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169033C" w14:textId="77777777" w:rsidTr="00282BBE">
        <w:trPr>
          <w:cantSplit/>
          <w:trHeight w:val="900"/>
        </w:trPr>
        <w:tc>
          <w:tcPr>
            <w:tcW w:w="6588" w:type="dxa"/>
            <w:gridSpan w:val="2"/>
            <w:tcBorders>
              <w:top w:val="nil"/>
              <w:left w:val="nil"/>
              <w:bottom w:val="single" w:sz="12" w:space="0" w:color="auto"/>
              <w:right w:val="nil"/>
            </w:tcBorders>
          </w:tcPr>
          <w:p w14:paraId="5945AB39" w14:textId="77777777" w:rsidR="001E3423" w:rsidRPr="00E6057C" w:rsidRDefault="00306609" w:rsidP="0066700D">
            <w:pPr>
              <w:pStyle w:val="Heading2"/>
              <w:bidi w:val="0"/>
              <w:spacing w:before="12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3872" behindDoc="0" locked="0" layoutInCell="1" allowOverlap="1" wp14:anchorId="69D5F156" wp14:editId="4F986DF9">
                  <wp:simplePos x="0" y="0"/>
                  <wp:positionH relativeFrom="column">
                    <wp:posOffset>3624580</wp:posOffset>
                  </wp:positionH>
                  <wp:positionV relativeFrom="paragraph">
                    <wp:posOffset>27940</wp:posOffset>
                  </wp:positionV>
                  <wp:extent cx="1809750" cy="53975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9750" cy="539750"/>
                          </a:xfrm>
                          <a:prstGeom prst="rect">
                            <a:avLst/>
                          </a:prstGeom>
                          <a:noFill/>
                          <a:ln w="9525">
                            <a:noFill/>
                            <a:miter lim="800000"/>
                            <a:headEnd/>
                            <a:tailEnd/>
                          </a:ln>
                        </pic:spPr>
                      </pic:pic>
                    </a:graphicData>
                  </a:graphic>
                </wp:anchor>
              </w:drawing>
            </w:r>
            <w:r w:rsidR="001E3423"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0C68BA3" w14:textId="77777777" w:rsidR="001E3423" w:rsidRPr="00F9708A" w:rsidRDefault="001E3423" w:rsidP="00F9708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3BE7D591"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5BFBB5B" wp14:editId="478359F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7F8DDFD" w14:textId="77777777" w:rsidR="001E3423" w:rsidRPr="005136A5" w:rsidRDefault="001E3423" w:rsidP="00BD1F03">
            <w:pPr>
              <w:tabs>
                <w:tab w:val="left" w:pos="-720"/>
              </w:tabs>
              <w:suppressAutoHyphens/>
              <w:spacing w:line="120" w:lineRule="auto"/>
              <w:rPr>
                <w:lang w:val="en-US"/>
              </w:rPr>
            </w:pPr>
          </w:p>
        </w:tc>
      </w:tr>
      <w:tr w:rsidR="001E3423" w:rsidRPr="00F9708A" w14:paraId="375A9DCF" w14:textId="77777777" w:rsidTr="00282BBE">
        <w:trPr>
          <w:cantSplit/>
          <w:trHeight w:val="1770"/>
        </w:trPr>
        <w:tc>
          <w:tcPr>
            <w:tcW w:w="4428" w:type="dxa"/>
            <w:tcBorders>
              <w:top w:val="single" w:sz="12" w:space="0" w:color="auto"/>
              <w:left w:val="nil"/>
              <w:bottom w:val="single" w:sz="12" w:space="0" w:color="auto"/>
              <w:right w:val="nil"/>
            </w:tcBorders>
          </w:tcPr>
          <w:p w14:paraId="24ADE3D9" w14:textId="77777777" w:rsidR="001E3423" w:rsidRPr="008158E3" w:rsidRDefault="001E3423" w:rsidP="00BD1F03">
            <w:pPr>
              <w:spacing w:before="60"/>
              <w:rPr>
                <w:sz w:val="22"/>
                <w:szCs w:val="22"/>
              </w:rPr>
            </w:pPr>
            <w:r w:rsidRPr="008158E3">
              <w:rPr>
                <w:sz w:val="22"/>
                <w:szCs w:val="22"/>
              </w:rPr>
              <w:t>Distr.</w:t>
            </w:r>
          </w:p>
          <w:p w14:paraId="3E0AC783" w14:textId="77777777" w:rsidR="001E3423" w:rsidRPr="008158E3" w:rsidRDefault="001E3423" w:rsidP="00BD1F03">
            <w:pPr>
              <w:rPr>
                <w:sz w:val="22"/>
                <w:szCs w:val="22"/>
              </w:rPr>
            </w:pPr>
            <w:r w:rsidRPr="008158E3">
              <w:rPr>
                <w:sz w:val="22"/>
                <w:szCs w:val="22"/>
              </w:rPr>
              <w:t>GENERAL</w:t>
            </w:r>
          </w:p>
          <w:p w14:paraId="3E94B199" w14:textId="77777777" w:rsidR="001E3423" w:rsidRPr="008158E3" w:rsidRDefault="001E3423" w:rsidP="00BD1F03">
            <w:pPr>
              <w:pStyle w:val="Heading3"/>
              <w:bidi w:val="0"/>
              <w:spacing w:before="0" w:after="0" w:line="240" w:lineRule="auto"/>
              <w:jc w:val="left"/>
              <w:rPr>
                <w:sz w:val="22"/>
                <w:szCs w:val="22"/>
                <w:lang w:val="en-US"/>
              </w:rPr>
            </w:pPr>
          </w:p>
          <w:p w14:paraId="696E1F95" w14:textId="67771E8C" w:rsidR="00E550D7" w:rsidRPr="008158E3" w:rsidRDefault="008158E3" w:rsidP="004122C6">
            <w:pPr>
              <w:rPr>
                <w:sz w:val="22"/>
                <w:szCs w:val="22"/>
                <w:lang w:val="en-GB" w:eastAsia="en-US"/>
              </w:rPr>
            </w:pPr>
            <w:r w:rsidRPr="008158E3">
              <w:rPr>
                <w:snapToGrid w:val="0"/>
                <w:kern w:val="22"/>
                <w:sz w:val="22"/>
                <w:szCs w:val="22"/>
              </w:rPr>
              <w:t>CBD/COP/15/</w:t>
            </w:r>
            <w:r w:rsidR="00FC301D">
              <w:rPr>
                <w:snapToGrid w:val="0"/>
                <w:kern w:val="22"/>
                <w:sz w:val="22"/>
                <w:szCs w:val="22"/>
              </w:rPr>
              <w:t>12</w:t>
            </w:r>
          </w:p>
          <w:p w14:paraId="40BE91A3" w14:textId="0E287916" w:rsidR="001E3423" w:rsidRPr="008158E3" w:rsidRDefault="00FC301D" w:rsidP="00FF674B">
            <w:pPr>
              <w:rPr>
                <w:rFonts w:eastAsia="MS Mincho"/>
                <w:sz w:val="22"/>
                <w:szCs w:val="22"/>
                <w:lang w:eastAsia="ja-JP"/>
              </w:rPr>
            </w:pPr>
            <w:r>
              <w:rPr>
                <w:sz w:val="22"/>
                <w:szCs w:val="22"/>
              </w:rPr>
              <w:t>8</w:t>
            </w:r>
            <w:r w:rsidR="008158E3">
              <w:rPr>
                <w:sz w:val="22"/>
                <w:szCs w:val="22"/>
              </w:rPr>
              <w:t xml:space="preserve"> </w:t>
            </w:r>
            <w:r w:rsidR="00C10D29">
              <w:rPr>
                <w:sz w:val="22"/>
                <w:szCs w:val="22"/>
              </w:rPr>
              <w:t>November</w:t>
            </w:r>
            <w:r w:rsidR="008158E3">
              <w:rPr>
                <w:sz w:val="22"/>
                <w:szCs w:val="22"/>
              </w:rPr>
              <w:t xml:space="preserve"> 2022</w:t>
            </w:r>
          </w:p>
          <w:p w14:paraId="69E5F361" w14:textId="77777777"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35B6AFEC" w14:textId="77777777"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8158E3">
              <w:rPr>
                <w:rFonts w:ascii="Times New Roman" w:hAnsi="Times New Roman" w:cs="Times New Roman"/>
                <w:b w:val="0"/>
                <w:bCs w:val="0"/>
                <w:szCs w:val="22"/>
                <w:lang w:eastAsia="en-US"/>
              </w:rPr>
              <w:t>ARABIC</w:t>
            </w:r>
          </w:p>
          <w:p w14:paraId="3C87C8DA" w14:textId="77777777" w:rsidR="001E3423" w:rsidRPr="008158E3" w:rsidRDefault="001E3423" w:rsidP="00BD1F03">
            <w:pPr>
              <w:tabs>
                <w:tab w:val="left" w:pos="-720"/>
              </w:tabs>
              <w:suppressAutoHyphens/>
              <w:spacing w:after="40"/>
              <w:rPr>
                <w:sz w:val="22"/>
                <w:szCs w:val="22"/>
              </w:rPr>
            </w:pPr>
            <w:r w:rsidRPr="008158E3">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40311E0D"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5202723" wp14:editId="0D8A3698">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A64D3CF" w14:textId="5CB2FBEE" w:rsidR="00A27159" w:rsidRPr="00306609" w:rsidRDefault="00A27159" w:rsidP="004A5236">
      <w:pPr>
        <w:bidi/>
        <w:spacing w:before="60" w:line="216" w:lineRule="auto"/>
        <w:rPr>
          <w:rFonts w:ascii="Simplified Arabic" w:hAnsi="Simplified Arabic" w:cs="Simplified Arabic"/>
          <w:b/>
          <w:bCs/>
          <w:rtl/>
          <w:lang w:bidi="ar-EG"/>
        </w:rPr>
      </w:pPr>
      <w:r w:rsidRPr="00306609">
        <w:rPr>
          <w:rFonts w:ascii="Simplified Arabic" w:hAnsi="Simplified Arabic" w:cs="Simplified Arabic" w:hint="cs"/>
          <w:b/>
          <w:bCs/>
          <w:rtl/>
        </w:rPr>
        <w:t>مؤتمر الأطراف في</w:t>
      </w:r>
    </w:p>
    <w:p w14:paraId="791E7C38"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306609">
        <w:rPr>
          <w:rFonts w:ascii="Simplified Arabic" w:hAnsi="Simplified Arabic" w:cs="Simplified Arabic" w:hint="cs"/>
          <w:b/>
          <w:bCs/>
          <w:rtl/>
        </w:rPr>
        <w:t>الاتفاقية المتعلقة بالتنوع البيولوجي</w:t>
      </w:r>
    </w:p>
    <w:p w14:paraId="21907040" w14:textId="77777777"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r w:rsidR="00FB5C12">
        <w:rPr>
          <w:rFonts w:ascii="Simplified Arabic" w:hAnsi="Simplified Arabic" w:cs="Simplified Arabic" w:hint="cs"/>
          <w:rtl/>
        </w:rPr>
        <w:t xml:space="preserve"> </w:t>
      </w:r>
      <w:r w:rsidR="00FB5C12">
        <w:rPr>
          <w:rFonts w:ascii="Simplified Arabic" w:hAnsi="Simplified Arabic" w:cs="Simplified Arabic"/>
          <w:rtl/>
        </w:rPr>
        <w:t>–</w:t>
      </w:r>
      <w:r w:rsidR="00FB5C12">
        <w:rPr>
          <w:rFonts w:ascii="Simplified Arabic" w:hAnsi="Simplified Arabic" w:cs="Simplified Arabic" w:hint="cs"/>
          <w:rtl/>
        </w:rPr>
        <w:t xml:space="preserve"> الجزء الثاني</w:t>
      </w:r>
    </w:p>
    <w:p w14:paraId="3D2EFD20" w14:textId="77777777" w:rsidR="00F15332" w:rsidRDefault="008158E3" w:rsidP="001726C1">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مونتريال، كندا، 7-19 ديسمبر/كانون الأول 2022</w:t>
      </w:r>
    </w:p>
    <w:p w14:paraId="4EB17F1A" w14:textId="30966756" w:rsidR="0092760B" w:rsidRPr="0092760B" w:rsidRDefault="0092760B" w:rsidP="008158E3">
      <w:pPr>
        <w:bidi/>
        <w:spacing w:line="216" w:lineRule="auto"/>
        <w:rPr>
          <w:rFonts w:ascii="Simplified Arabic" w:hAnsi="Simplified Arabic" w:cs="Simplified Arabic"/>
          <w:rtl/>
          <w:lang w:val="en-US" w:bidi="ar-EG"/>
        </w:rPr>
      </w:pPr>
      <w:r>
        <w:rPr>
          <w:rFonts w:ascii="Simplified Arabic" w:hAnsi="Simplified Arabic" w:cs="Simplified Arabic" w:hint="cs"/>
          <w:rtl/>
          <w:lang w:bidi="ar-EG"/>
        </w:rPr>
        <w:t xml:space="preserve">البند </w:t>
      </w:r>
      <w:r w:rsidR="00FC301D">
        <w:rPr>
          <w:rFonts w:ascii="Simplified Arabic" w:hAnsi="Simplified Arabic" w:cs="Simplified Arabic" w:hint="cs"/>
          <w:rtl/>
          <w:lang w:bidi="ar-EG"/>
        </w:rPr>
        <w:t>13</w:t>
      </w:r>
      <w:r>
        <w:rPr>
          <w:rFonts w:ascii="Simplified Arabic" w:hAnsi="Simplified Arabic" w:cs="Simplified Arabic" w:hint="cs"/>
          <w:rtl/>
          <w:lang w:bidi="ar-EG"/>
        </w:rPr>
        <w:t xml:space="preserve"> من جدول الأعمال</w:t>
      </w:r>
    </w:p>
    <w:p w14:paraId="0A65F76B" w14:textId="77777777" w:rsidR="00F15332" w:rsidRDefault="00F15332" w:rsidP="00F15332">
      <w:pPr>
        <w:bidi/>
        <w:spacing w:line="120" w:lineRule="auto"/>
        <w:rPr>
          <w:rtl/>
        </w:rPr>
      </w:pPr>
    </w:p>
    <w:p w14:paraId="04D177BA" w14:textId="6BD72BFD" w:rsidR="00C5766C" w:rsidRDefault="00100C9B" w:rsidP="005A3127">
      <w:pPr>
        <w:bidi/>
        <w:spacing w:after="120" w:line="216" w:lineRule="auto"/>
        <w:jc w:val="center"/>
        <w:rPr>
          <w:rFonts w:cs="Simplified Arabic"/>
          <w:b/>
          <w:bCs/>
          <w:szCs w:val="28"/>
          <w:rtl/>
        </w:rPr>
      </w:pPr>
      <w:r>
        <w:rPr>
          <w:rFonts w:cs="Simplified Arabic" w:hint="cs"/>
          <w:b/>
          <w:bCs/>
          <w:szCs w:val="28"/>
          <w:rtl/>
        </w:rPr>
        <w:t>تقرير موجز عن استعراض برامج التعاون التقني والعلمي</w:t>
      </w:r>
    </w:p>
    <w:p w14:paraId="572023EC" w14:textId="3D67AC14" w:rsidR="00100C9B" w:rsidRPr="00100C9B" w:rsidRDefault="00100C9B" w:rsidP="00100C9B">
      <w:pPr>
        <w:bidi/>
        <w:spacing w:after="120" w:line="216" w:lineRule="auto"/>
        <w:jc w:val="center"/>
        <w:rPr>
          <w:rFonts w:cs="Simplified Arabic"/>
          <w:i/>
          <w:iCs/>
          <w:sz w:val="20"/>
          <w:szCs w:val="22"/>
          <w:rtl/>
          <w:lang w:bidi="ar-EG"/>
        </w:rPr>
      </w:pPr>
      <w:r w:rsidRPr="00100C9B">
        <w:rPr>
          <w:rFonts w:cs="Simplified Arabic" w:hint="cs"/>
          <w:i/>
          <w:iCs/>
          <w:sz w:val="20"/>
          <w:szCs w:val="22"/>
          <w:rtl/>
          <w:lang w:bidi="ar-EG"/>
        </w:rPr>
        <w:t>مذكرة أعدتها الأمينة التنفيذية</w:t>
      </w:r>
    </w:p>
    <w:p w14:paraId="72EAC25B" w14:textId="5C1B094D" w:rsidR="00BD1F03" w:rsidRPr="008158E3" w:rsidRDefault="00FC301D" w:rsidP="000764B5">
      <w:pPr>
        <w:keepNext/>
        <w:keepLines/>
        <w:bidi/>
        <w:spacing w:after="120" w:line="216" w:lineRule="auto"/>
        <w:jc w:val="center"/>
        <w:rPr>
          <w:rFonts w:eastAsia="YouYuan" w:cs="Simplified Arabic"/>
          <w:b/>
          <w:bCs/>
          <w:kern w:val="2"/>
          <w:sz w:val="28"/>
          <w:szCs w:val="28"/>
          <w:rtl/>
          <w:lang w:val="en-US" w:eastAsia="en-US" w:bidi="ar-EG"/>
        </w:rPr>
      </w:pPr>
      <w:r>
        <w:rPr>
          <w:rFonts w:eastAsia="YouYuan" w:cs="Simplified Arabic" w:hint="cs"/>
          <w:b/>
          <w:bCs/>
          <w:kern w:val="2"/>
          <w:sz w:val="28"/>
          <w:szCs w:val="28"/>
          <w:rtl/>
          <w:lang w:val="en-US" w:eastAsia="en-US" w:bidi="ar-EG"/>
        </w:rPr>
        <w:t>مقدمة</w:t>
      </w:r>
    </w:p>
    <w:p w14:paraId="332F0835" w14:textId="0D6AB38F" w:rsidR="0032311E" w:rsidRDefault="009332ED" w:rsidP="0080060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sz w:val="22"/>
          <w:lang w:val="en-GB" w:eastAsia="en-US" w:bidi="ar-EG"/>
        </w:rPr>
        <w:t xml:space="preserve"> </w:t>
      </w:r>
      <w:r w:rsidR="00100C9B">
        <w:rPr>
          <w:rFonts w:eastAsia="Malgun Gothic" w:cs="Simplified Arabic" w:hint="cs"/>
          <w:sz w:val="22"/>
          <w:rtl/>
          <w:lang w:val="en-GB" w:eastAsia="en-US"/>
        </w:rPr>
        <w:t>في المقرر 14/24 باء، الفقرة 9، طلب مؤتمر الأطراف من الأمينة التنفيذية إعداد مقترحات لعملية شاملة لاستعراض وتجديد برامج التعاون التقني والعلمي،</w:t>
      </w:r>
      <w:r w:rsidR="00100C9B">
        <w:rPr>
          <w:rStyle w:val="FootnoteReference"/>
          <w:rFonts w:eastAsia="Malgun Gothic" w:cs="Simplified Arabic"/>
          <w:sz w:val="22"/>
          <w:rtl/>
          <w:lang w:val="en-GB" w:eastAsia="en-US"/>
        </w:rPr>
        <w:footnoteReference w:id="1"/>
      </w:r>
      <w:r w:rsidR="00100C9B">
        <w:rPr>
          <w:rFonts w:eastAsia="Malgun Gothic" w:cs="Simplified Arabic" w:hint="cs"/>
          <w:sz w:val="22"/>
          <w:rtl/>
          <w:lang w:val="en-GB" w:eastAsia="en-US"/>
        </w:rPr>
        <w:t xml:space="preserve"> لدعم الإطار العالمي للتنوع البيولوجي لما بعد عام 2020، ولتقديم المقترحات إلى الهيئة الفرعية للمشورة العلمية والتقنية والتكنولوجية</w:t>
      </w:r>
      <w:r w:rsidR="00903D53">
        <w:rPr>
          <w:rFonts w:eastAsia="Malgun Gothic" w:cs="Simplified Arabic" w:hint="cs"/>
          <w:sz w:val="22"/>
          <w:rtl/>
          <w:lang w:val="en-GB" w:eastAsia="en-US"/>
        </w:rPr>
        <w:t>، والهيئة الفرعية للتنفيذ</w:t>
      </w:r>
      <w:r w:rsidR="00634CC7">
        <w:rPr>
          <w:rFonts w:eastAsia="Malgun Gothic" w:cs="Simplified Arabic" w:hint="cs"/>
          <w:sz w:val="22"/>
          <w:rtl/>
          <w:lang w:val="en-GB" w:eastAsia="en-US"/>
        </w:rPr>
        <w:t xml:space="preserve">، </w:t>
      </w:r>
      <w:r w:rsidR="00100C9B">
        <w:rPr>
          <w:rFonts w:eastAsia="Malgun Gothic" w:cs="Simplified Arabic" w:hint="cs"/>
          <w:sz w:val="22"/>
          <w:rtl/>
          <w:lang w:val="en-GB" w:eastAsia="en-US"/>
        </w:rPr>
        <w:t xml:space="preserve">للنظر فيها في اجتماعيهما </w:t>
      </w:r>
      <w:r w:rsidR="00634CC7">
        <w:rPr>
          <w:rFonts w:eastAsia="Malgun Gothic" w:cs="Simplified Arabic" w:hint="cs"/>
          <w:sz w:val="22"/>
          <w:rtl/>
          <w:lang w:val="en-GB" w:eastAsia="en-US"/>
        </w:rPr>
        <w:t xml:space="preserve">المقررين </w:t>
      </w:r>
      <w:r w:rsidR="00100C9B">
        <w:rPr>
          <w:rFonts w:eastAsia="Malgun Gothic" w:cs="Simplified Arabic" w:hint="cs"/>
          <w:sz w:val="22"/>
          <w:rtl/>
          <w:lang w:val="en-GB" w:eastAsia="en-US"/>
        </w:rPr>
        <w:t xml:space="preserve">قبيل انعقاد الاجتماع الخامس عشر لمؤتمر الأطراف. واستجابة لهذا الطلب، أعدت الأمينة التنفيذية </w:t>
      </w:r>
      <w:r w:rsidR="00634CC7">
        <w:rPr>
          <w:rFonts w:eastAsia="Malgun Gothic" w:cs="Simplified Arabic" w:hint="cs"/>
          <w:sz w:val="22"/>
          <w:rtl/>
          <w:lang w:val="en-GB" w:eastAsia="en-US"/>
        </w:rPr>
        <w:t xml:space="preserve">المقترحات </w:t>
      </w:r>
      <w:r w:rsidR="00100C9B">
        <w:rPr>
          <w:rFonts w:eastAsia="Malgun Gothic" w:cs="Simplified Arabic" w:hint="cs"/>
          <w:sz w:val="22"/>
          <w:rtl/>
          <w:lang w:val="en-GB" w:eastAsia="en-US"/>
        </w:rPr>
        <w:t xml:space="preserve">وأتاحتها في الوثيقتين </w:t>
      </w:r>
      <w:r w:rsidR="00100C9B">
        <w:rPr>
          <w:rFonts w:eastAsia="Malgun Gothic" w:cs="Simplified Arabic"/>
          <w:sz w:val="22"/>
          <w:lang w:val="en-GB" w:eastAsia="en-US"/>
        </w:rPr>
        <w:t>CBD/SBI/3/7/Add.2</w:t>
      </w:r>
      <w:r w:rsidR="00100C9B">
        <w:rPr>
          <w:rFonts w:eastAsia="Malgun Gothic" w:cs="Simplified Arabic" w:hint="cs"/>
          <w:sz w:val="22"/>
          <w:rtl/>
          <w:lang w:val="en-GB" w:eastAsia="en-US"/>
        </w:rPr>
        <w:t xml:space="preserve"> و</w:t>
      </w:r>
      <w:r w:rsidR="00100C9B">
        <w:rPr>
          <w:rFonts w:eastAsia="Malgun Gothic" w:cs="Simplified Arabic"/>
          <w:sz w:val="22"/>
          <w:lang w:val="en-GB" w:eastAsia="en-US"/>
        </w:rPr>
        <w:t>CBD/</w:t>
      </w:r>
      <w:r w:rsidR="00F90421">
        <w:rPr>
          <w:rFonts w:eastAsia="Malgun Gothic" w:cs="Simplified Arabic"/>
          <w:sz w:val="22"/>
          <w:lang w:val="en-GB" w:eastAsia="en-US"/>
        </w:rPr>
        <w:t>SBI/3INF/15</w:t>
      </w:r>
      <w:r w:rsidR="00100C9B">
        <w:rPr>
          <w:rFonts w:eastAsia="Malgun Gothic" w:cs="Simplified Arabic" w:hint="cs"/>
          <w:sz w:val="22"/>
          <w:rtl/>
          <w:lang w:val="en-GB" w:eastAsia="en-US"/>
        </w:rPr>
        <w:t>. وقد أحاطت الهيئة الفرعية للتنفيذ في اجتماعها الثالث علما بالمقترحات المعنية بعملية الاستعراض</w:t>
      </w:r>
      <w:r w:rsidR="00A84276">
        <w:rPr>
          <w:rFonts w:eastAsia="Malgun Gothic" w:cs="Simplified Arabic" w:hint="cs"/>
          <w:sz w:val="22"/>
          <w:rtl/>
          <w:lang w:val="en-GB" w:eastAsia="en-US"/>
        </w:rPr>
        <w:t>،</w:t>
      </w:r>
      <w:r w:rsidR="00100C9B">
        <w:rPr>
          <w:rFonts w:eastAsia="Malgun Gothic" w:cs="Simplified Arabic" w:hint="cs"/>
          <w:sz w:val="22"/>
          <w:rtl/>
          <w:lang w:val="en-GB" w:eastAsia="en-US"/>
        </w:rPr>
        <w:t xml:space="preserve"> وطلبت من الأمينة التنفيذية التفويض بالاستعراض بما يتفق مع العملية المقترحة</w:t>
      </w:r>
      <w:r w:rsidR="00A84276">
        <w:rPr>
          <w:rFonts w:eastAsia="Malgun Gothic" w:cs="Simplified Arabic" w:hint="cs"/>
          <w:sz w:val="22"/>
          <w:rtl/>
          <w:lang w:val="en-GB" w:eastAsia="en-US"/>
        </w:rPr>
        <w:t>،</w:t>
      </w:r>
      <w:r w:rsidR="00100C9B">
        <w:rPr>
          <w:rFonts w:eastAsia="Malgun Gothic" w:cs="Simplified Arabic" w:hint="cs"/>
          <w:sz w:val="22"/>
          <w:rtl/>
          <w:lang w:val="en-GB" w:eastAsia="en-US"/>
        </w:rPr>
        <w:t xml:space="preserve"> كما هو وارد في المرفق الرابع</w:t>
      </w:r>
      <w:r w:rsidR="005A298C">
        <w:rPr>
          <w:rFonts w:eastAsia="Malgun Gothic" w:cs="Simplified Arabic" w:hint="cs"/>
          <w:sz w:val="22"/>
          <w:rtl/>
          <w:lang w:val="en-GB" w:eastAsia="en-US"/>
        </w:rPr>
        <w:t xml:space="preserve"> من</w:t>
      </w:r>
      <w:r w:rsidR="00100C9B">
        <w:rPr>
          <w:rFonts w:eastAsia="Malgun Gothic" w:cs="Simplified Arabic" w:hint="cs"/>
          <w:sz w:val="22"/>
          <w:rtl/>
          <w:lang w:val="en-GB" w:eastAsia="en-US"/>
        </w:rPr>
        <w:t xml:space="preserve"> التوصية 3/8، و</w:t>
      </w:r>
      <w:r w:rsidR="005A298C">
        <w:rPr>
          <w:rFonts w:eastAsia="Malgun Gothic" w:cs="Simplified Arabic" w:hint="cs"/>
          <w:sz w:val="22"/>
          <w:rtl/>
          <w:lang w:val="en-GB" w:eastAsia="en-US"/>
        </w:rPr>
        <w:t>عرض</w:t>
      </w:r>
      <w:r w:rsidR="00100C9B">
        <w:rPr>
          <w:rFonts w:eastAsia="Malgun Gothic" w:cs="Simplified Arabic" w:hint="cs"/>
          <w:sz w:val="22"/>
          <w:rtl/>
          <w:lang w:val="en-GB" w:eastAsia="en-US"/>
        </w:rPr>
        <w:t xml:space="preserve"> تقرير الاستعراض على مؤتمر الأطراف للنظر فيه في اجتماعه الخامس عشر.</w:t>
      </w:r>
    </w:p>
    <w:p w14:paraId="4EC275C1" w14:textId="79CD9486" w:rsidR="009332ED" w:rsidRDefault="00F90421"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وبناء عليه، فوضت الأمينة التنفيذية، بتمويل من جمهورية كوريا، فريقا مستقلا من ثلاثة خبراء في يونيو/حزيران 2020 للقيام باستعراض لبرامج التعاون التقني والعلمي. وقام هذا الفريق بتحليل استراتيجي رفيع المستوى للبرامج والمبادرات التي تقودها الأمانة العامة</w:t>
      </w:r>
      <w:r w:rsidR="001454F4">
        <w:rPr>
          <w:rFonts w:eastAsia="Malgun Gothic" w:cs="Simplified Arabic" w:hint="cs"/>
          <w:sz w:val="22"/>
          <w:rtl/>
          <w:lang w:val="en-GB" w:eastAsia="en-US" w:bidi="ar-EG"/>
        </w:rPr>
        <w:t>،</w:t>
      </w:r>
      <w:r w:rsidR="00085458">
        <w:rPr>
          <w:rFonts w:eastAsia="Malgun Gothic" w:cs="Simplified Arabic" w:hint="cs"/>
          <w:sz w:val="22"/>
          <w:rtl/>
          <w:lang w:val="en-GB" w:eastAsia="en-US" w:bidi="ar-EG"/>
        </w:rPr>
        <w:t xml:space="preserve"> التي تنطوي على </w:t>
      </w:r>
      <w:r>
        <w:rPr>
          <w:rFonts w:eastAsia="Malgun Gothic" w:cs="Simplified Arabic" w:hint="cs"/>
          <w:sz w:val="22"/>
          <w:rtl/>
          <w:lang w:val="en-GB" w:eastAsia="en-US" w:bidi="ar-EG"/>
        </w:rPr>
        <w:t>أنشطة التعاون التقني والعلمي</w:t>
      </w:r>
      <w:r w:rsidR="00085458">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بغية تحديد الممارسات الجيدة والدروس المستقاة والتقدم بتوصيات لتيسير تجديد وتعزيز التعاون التقني والعلمي دعما للإطار العالمي للتنوع البيولوجي لما بعد عام 2020. وغطى الاستعراض المبادرات التالية: مبادرة الجسر البيولوجي، ومبادرة استعادة النظم الإيكولوجية للغابات، ومبادرة المحيطات المستدامة، ومبادرة حوار السلام والتنوع البيولوجي، ومبادرة بناء القدرات في مجال السلامة الأحيائية، علاوة على البرامج العالمية التي تبناها مؤتمر الأطراف، بما في ذلك المبادرة العالمية للتصنيف، والاستراتيجية العالمية لبرنامج </w:t>
      </w:r>
      <w:r w:rsidR="007C587E">
        <w:rPr>
          <w:rFonts w:eastAsia="Malgun Gothic" w:cs="Simplified Arabic" w:hint="cs"/>
          <w:sz w:val="22"/>
          <w:rtl/>
          <w:lang w:val="en-GB" w:eastAsia="en-US" w:bidi="ar-EG"/>
        </w:rPr>
        <w:t xml:space="preserve">حفظ </w:t>
      </w:r>
      <w:r>
        <w:rPr>
          <w:rFonts w:eastAsia="Malgun Gothic" w:cs="Simplified Arabic" w:hint="cs"/>
          <w:sz w:val="22"/>
          <w:rtl/>
          <w:lang w:val="en-GB" w:eastAsia="en-US" w:bidi="ar-EG"/>
        </w:rPr>
        <w:t xml:space="preserve">النباتات. كذلك حلل الاستعراض أيضا </w:t>
      </w:r>
      <w:r>
        <w:rPr>
          <w:rFonts w:eastAsia="Malgun Gothic" w:cs="Simplified Arabic" w:hint="cs"/>
          <w:sz w:val="22"/>
          <w:rtl/>
          <w:lang w:val="en-GB" w:eastAsia="en-US" w:bidi="ar-EG"/>
        </w:rPr>
        <w:lastRenderedPageBreak/>
        <w:t xml:space="preserve">بعض الأنشطة والشراكات التابعة للأمانة العامة والتي تروج للتعاون التقني </w:t>
      </w:r>
      <w:r w:rsidR="00257099">
        <w:rPr>
          <w:rFonts w:eastAsia="Malgun Gothic" w:cs="Simplified Arabic" w:hint="cs"/>
          <w:sz w:val="22"/>
          <w:rtl/>
          <w:lang w:val="en-GB" w:eastAsia="en-US" w:bidi="ar-EG"/>
        </w:rPr>
        <w:t>والعلمي</w:t>
      </w:r>
      <w:r>
        <w:rPr>
          <w:rFonts w:eastAsia="Malgun Gothic" w:cs="Simplified Arabic" w:hint="cs"/>
          <w:sz w:val="22"/>
          <w:rtl/>
          <w:lang w:val="en-GB" w:eastAsia="en-US" w:bidi="ar-EG"/>
        </w:rPr>
        <w:t>، بما في ذلك جهودها المبذولة لدعم وتسريع عمل اتحاد الشركاء العلميين بشأن التنوع البيولوجي والمنظمات</w:t>
      </w:r>
      <w:r w:rsidR="0014381D">
        <w:rPr>
          <w:rFonts w:eastAsia="Malgun Gothic" w:cs="Simplified Arabic" w:hint="cs"/>
          <w:sz w:val="22"/>
          <w:rtl/>
          <w:lang w:val="en-GB" w:eastAsia="en-US" w:bidi="ar-EG"/>
        </w:rPr>
        <w:t xml:space="preserve"> الأوسع </w:t>
      </w:r>
      <w:r>
        <w:rPr>
          <w:rFonts w:eastAsia="Malgun Gothic" w:cs="Simplified Arabic" w:hint="cs"/>
          <w:sz w:val="22"/>
          <w:rtl/>
          <w:lang w:val="en-GB" w:eastAsia="en-US" w:bidi="ar-EG"/>
        </w:rPr>
        <w:t>الأعضا</w:t>
      </w:r>
      <w:r w:rsidR="0014381D">
        <w:rPr>
          <w:rFonts w:eastAsia="Malgun Gothic" w:cs="Simplified Arabic" w:hint="cs"/>
          <w:sz w:val="22"/>
          <w:rtl/>
          <w:lang w:val="en-GB" w:eastAsia="en-US" w:bidi="ar-EG"/>
        </w:rPr>
        <w:t>ء</w:t>
      </w:r>
      <w:r w:rsidR="00874B5E">
        <w:rPr>
          <w:rFonts w:eastAsia="Malgun Gothic" w:cs="Simplified Arabic" w:hint="cs"/>
          <w:sz w:val="22"/>
          <w:rtl/>
          <w:lang w:val="en-GB" w:eastAsia="en-US" w:bidi="ar-EG"/>
        </w:rPr>
        <w:t xml:space="preserve"> فيه</w:t>
      </w:r>
      <w:r>
        <w:rPr>
          <w:rFonts w:eastAsia="Malgun Gothic" w:cs="Simplified Arabic" w:hint="cs"/>
          <w:sz w:val="22"/>
          <w:rtl/>
          <w:lang w:val="en-GB" w:eastAsia="en-US" w:bidi="ar-EG"/>
        </w:rPr>
        <w:t>.</w:t>
      </w:r>
    </w:p>
    <w:p w14:paraId="030F21C2" w14:textId="75B90F83" w:rsidR="009332ED" w:rsidRDefault="00E132B7"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وتضمنت العملية استعراضا مكتبيا للتقارير والوثائق ذات الصلة</w:t>
      </w:r>
      <w:r w:rsidR="0014381D">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ومقابلات مستهدفة مع موظفي الأمانة العامة </w:t>
      </w:r>
      <w:r w:rsidR="00690BD1">
        <w:rPr>
          <w:rFonts w:eastAsia="Malgun Gothic" w:cs="Simplified Arabic" w:hint="cs"/>
          <w:sz w:val="22"/>
          <w:rtl/>
          <w:lang w:val="en-GB" w:eastAsia="en-US" w:bidi="ar-EG"/>
        </w:rPr>
        <w:t xml:space="preserve">المعنيين </w:t>
      </w:r>
      <w:r>
        <w:rPr>
          <w:rFonts w:eastAsia="Malgun Gothic" w:cs="Simplified Arabic" w:hint="cs"/>
          <w:sz w:val="22"/>
          <w:rtl/>
          <w:lang w:val="en-GB" w:eastAsia="en-US" w:bidi="ar-EG"/>
        </w:rPr>
        <w:t>وتحليل لاستبيان أرسلته الأمانة العامة إلى الأطراف وغيرهم من أصحاب المصلحة. وقد أخذ الاستعراض بعين الاعتبار إلى أقصى حد ممكن المعلومات من الأطراف والشعوب الأصلية والمجتمعات المحلية والنساء والشباب وغير الأطراف</w:t>
      </w:r>
      <w:r w:rsidR="006B6EC8">
        <w:rPr>
          <w:rFonts w:eastAsia="Malgun Gothic" w:cs="Simplified Arabic" w:hint="cs"/>
          <w:sz w:val="22"/>
          <w:rtl/>
          <w:lang w:val="en-GB" w:eastAsia="en-US" w:bidi="ar-EG"/>
        </w:rPr>
        <w:t xml:space="preserve"> و</w:t>
      </w:r>
      <w:r>
        <w:rPr>
          <w:rFonts w:eastAsia="Malgun Gothic" w:cs="Simplified Arabic" w:hint="cs"/>
          <w:sz w:val="22"/>
          <w:rtl/>
          <w:lang w:val="en-GB" w:eastAsia="en-US" w:bidi="ar-EG"/>
        </w:rPr>
        <w:t>أصحاب المصلحة المعنيين</w:t>
      </w:r>
      <w:r w:rsidR="004A3A42">
        <w:rPr>
          <w:rFonts w:eastAsia="Malgun Gothic" w:cs="Simplified Arabic" w:hint="cs"/>
          <w:sz w:val="22"/>
          <w:rtl/>
          <w:lang w:val="en-GB" w:eastAsia="en-US" w:bidi="ar-EG"/>
        </w:rPr>
        <w:t xml:space="preserve"> الآخرين</w:t>
      </w:r>
      <w:r>
        <w:rPr>
          <w:rFonts w:eastAsia="Malgun Gothic" w:cs="Simplified Arabic" w:hint="cs"/>
          <w:sz w:val="22"/>
          <w:rtl/>
          <w:lang w:val="en-GB" w:eastAsia="en-US" w:bidi="ar-EG"/>
        </w:rPr>
        <w:t xml:space="preserve">، علاوة على التقارير ودراسات الحالة الخاصة بعمل التعاون التقني والعلمي بموجب الاتفاقيات والعمليات الأخرى، بما في ذلك استعراض تنفيذ شبكة ومركز تكنولوجيا المناخ </w:t>
      </w:r>
      <w:r w:rsidR="00BF78AA">
        <w:rPr>
          <w:rFonts w:eastAsia="Malgun Gothic" w:cs="Simplified Arabic" w:hint="cs"/>
          <w:sz w:val="22"/>
          <w:rtl/>
          <w:lang w:val="en-GB" w:eastAsia="en-US" w:bidi="ar-EG"/>
        </w:rPr>
        <w:t>التابع ل</w:t>
      </w:r>
      <w:r>
        <w:rPr>
          <w:rFonts w:eastAsia="Malgun Gothic" w:cs="Simplified Arabic" w:hint="cs"/>
          <w:sz w:val="22"/>
          <w:rtl/>
          <w:lang w:val="en-GB" w:eastAsia="en-US" w:bidi="ar-EG"/>
        </w:rPr>
        <w:t>اتفاقية الأمم المتحدة الإطارية بشأن تغير المناخ.</w:t>
      </w:r>
    </w:p>
    <w:p w14:paraId="059B9CFA" w14:textId="0CE1E4D3" w:rsidR="009332ED" w:rsidRDefault="00E132B7"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ويوفر القسم أولا من المذكرة الحالية موجزا للنتائج الأساسية، في حين يعرض القسم ثانيا المقترحات </w:t>
      </w:r>
      <w:r w:rsidR="00B406BD">
        <w:rPr>
          <w:rFonts w:eastAsia="Malgun Gothic" w:cs="Simplified Arabic" w:hint="cs"/>
          <w:sz w:val="22"/>
          <w:rtl/>
          <w:lang w:val="en-GB" w:eastAsia="en-US" w:bidi="ar-EG"/>
        </w:rPr>
        <w:t xml:space="preserve">الرامية إلى التجديد والتعزيز الممكن لبرامج التعاون التقني والعلمي، بما في ذلك التوصيات الرئيسية للاستعراض. ويعرض القسم ثالثا اعتبارات إضافية لمعالجة العناصر المقترحة في المرفق الرابع من التوصية 3/8 للهيئة الفرعية للتنفيذ. وأخيرا، </w:t>
      </w:r>
      <w:r w:rsidR="00E06353">
        <w:rPr>
          <w:rFonts w:eastAsia="Malgun Gothic" w:cs="Simplified Arabic" w:hint="cs"/>
          <w:sz w:val="22"/>
          <w:rtl/>
          <w:lang w:val="en-GB" w:eastAsia="en-US" w:bidi="ar-EG"/>
        </w:rPr>
        <w:t>ترد</w:t>
      </w:r>
      <w:r w:rsidR="00B406BD">
        <w:rPr>
          <w:rFonts w:eastAsia="Malgun Gothic" w:cs="Simplified Arabic" w:hint="cs"/>
          <w:sz w:val="22"/>
          <w:rtl/>
          <w:lang w:val="en-GB" w:eastAsia="en-US" w:bidi="ar-EG"/>
        </w:rPr>
        <w:t xml:space="preserve"> في القسم رابعا نتيجة</w:t>
      </w:r>
      <w:r w:rsidR="00E06353">
        <w:rPr>
          <w:rFonts w:eastAsia="Malgun Gothic" w:cs="Simplified Arabic" w:hint="cs"/>
          <w:sz w:val="22"/>
          <w:rtl/>
          <w:lang w:val="en-GB" w:eastAsia="en-US" w:bidi="ar-EG"/>
        </w:rPr>
        <w:t>،</w:t>
      </w:r>
      <w:r w:rsidR="00B406BD">
        <w:rPr>
          <w:rFonts w:eastAsia="Malgun Gothic" w:cs="Simplified Arabic" w:hint="cs"/>
          <w:sz w:val="22"/>
          <w:rtl/>
          <w:lang w:val="en-GB" w:eastAsia="en-US" w:bidi="ar-EG"/>
        </w:rPr>
        <w:t xml:space="preserve"> وربما سبيل للمضي قدما. وأما التقرير الكامل للاستعراض الذي أعده فريق الخبراء المستقل فهو متوفر في الوثيقة </w:t>
      </w:r>
      <w:r w:rsidR="00B406BD">
        <w:rPr>
          <w:rFonts w:eastAsia="Malgun Gothic" w:cs="Simplified Arabic"/>
          <w:sz w:val="22"/>
          <w:lang w:val="en-GB" w:eastAsia="en-US" w:bidi="ar-EG"/>
        </w:rPr>
        <w:t>CBD/COP/15/INF/6</w:t>
      </w:r>
      <w:r w:rsidR="00B406BD">
        <w:rPr>
          <w:rFonts w:eastAsia="Malgun Gothic" w:cs="Simplified Arabic" w:hint="cs"/>
          <w:sz w:val="22"/>
          <w:rtl/>
          <w:lang w:val="en-GB" w:eastAsia="en-US" w:bidi="ar-EG"/>
        </w:rPr>
        <w:t>.</w:t>
      </w:r>
    </w:p>
    <w:p w14:paraId="72F6D6C3" w14:textId="08C5DB15" w:rsidR="00B406BD" w:rsidRPr="000764B5" w:rsidRDefault="00B406BD" w:rsidP="000764B5">
      <w:pPr>
        <w:keepNext/>
        <w:keepLines/>
        <w:bidi/>
        <w:spacing w:after="120" w:line="216" w:lineRule="auto"/>
        <w:jc w:val="center"/>
        <w:rPr>
          <w:rFonts w:eastAsia="YouYuan" w:cs="Simplified Arabic"/>
          <w:b/>
          <w:bCs/>
          <w:kern w:val="2"/>
          <w:sz w:val="28"/>
          <w:szCs w:val="28"/>
          <w:lang w:val="en-US" w:eastAsia="en-US" w:bidi="ar-EG"/>
        </w:rPr>
      </w:pPr>
      <w:r w:rsidRPr="000764B5">
        <w:rPr>
          <w:rFonts w:eastAsia="YouYuan" w:cs="Simplified Arabic" w:hint="cs"/>
          <w:b/>
          <w:bCs/>
          <w:kern w:val="2"/>
          <w:sz w:val="28"/>
          <w:szCs w:val="28"/>
          <w:rtl/>
          <w:lang w:val="en-US" w:eastAsia="en-US" w:bidi="ar-EG"/>
        </w:rPr>
        <w:t>أولا - موجز للنتائج الأساسية للاستعراض</w:t>
      </w:r>
    </w:p>
    <w:p w14:paraId="0F7341C3" w14:textId="7722C062" w:rsidR="009332ED" w:rsidRDefault="00B406BD"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يعرض القسم التالي موجزا للنتائج الأساسية للاستعراض منظمة في قسمين فرعيين</w:t>
      </w:r>
      <w:r w:rsidR="000065C0">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حيث يصف القسم الفرعي ألف مظاهر البرمجة الحالية للتعاون التقني والعلمي بموجب الاتفاقية وبروتوكوليها التي سارت على ما يرام، بما في ذلك عوامل النجاح الرئيسية والممارسات السليمة والدروس المستفادة. في حين يعرض القسم الفرعي باء المظاهر التي لم تعمل بشكل جيد، بما في ذلك مكامن الضعف الرئيسية والتحديات التي تحتاج للمعالجة بصورة ملحة.</w:t>
      </w:r>
    </w:p>
    <w:p w14:paraId="0951C225" w14:textId="4C2A045D" w:rsidR="009201CD" w:rsidRPr="009201CD" w:rsidRDefault="009201CD" w:rsidP="007E1C89">
      <w:pPr>
        <w:keepNext/>
        <w:keepLines/>
        <w:bidi/>
        <w:spacing w:after="120" w:line="216" w:lineRule="auto"/>
        <w:jc w:val="center"/>
        <w:rPr>
          <w:rFonts w:eastAsia="Malgun Gothic" w:cs="Simplified Arabic"/>
          <w:b/>
          <w:bCs/>
          <w:sz w:val="22"/>
          <w:lang w:val="en-GB" w:eastAsia="en-US" w:bidi="ar-EG"/>
        </w:rPr>
      </w:pPr>
      <w:r w:rsidRPr="009201CD">
        <w:rPr>
          <w:rFonts w:eastAsia="Malgun Gothic" w:cs="Simplified Arabic" w:hint="cs"/>
          <w:b/>
          <w:bCs/>
          <w:sz w:val="22"/>
          <w:rtl/>
          <w:lang w:val="en-GB" w:eastAsia="en-US" w:bidi="ar-EG"/>
        </w:rPr>
        <w:t xml:space="preserve">ألف </w:t>
      </w:r>
      <w:r w:rsidRPr="009201CD">
        <w:rPr>
          <w:rFonts w:eastAsia="Malgun Gothic" w:cs="Simplified Arabic"/>
          <w:b/>
          <w:bCs/>
          <w:sz w:val="22"/>
          <w:rtl/>
          <w:lang w:val="en-GB" w:eastAsia="en-US" w:bidi="ar-EG"/>
        </w:rPr>
        <w:t>–</w:t>
      </w:r>
      <w:r w:rsidRPr="009201CD">
        <w:rPr>
          <w:rFonts w:eastAsia="Malgun Gothic" w:cs="Simplified Arabic" w:hint="cs"/>
          <w:b/>
          <w:bCs/>
          <w:sz w:val="22"/>
          <w:rtl/>
          <w:lang w:val="en-GB" w:eastAsia="en-US" w:bidi="ar-EG"/>
        </w:rPr>
        <w:t xml:space="preserve"> العوامل التي سارت </w:t>
      </w:r>
      <w:r w:rsidR="00E6572E">
        <w:rPr>
          <w:rFonts w:eastAsia="Malgun Gothic" w:cs="Simplified Arabic" w:hint="cs"/>
          <w:b/>
          <w:bCs/>
          <w:sz w:val="22"/>
          <w:rtl/>
          <w:lang w:val="en-GB" w:eastAsia="en-US" w:bidi="ar-EG"/>
        </w:rPr>
        <w:t xml:space="preserve">على </w:t>
      </w:r>
      <w:proofErr w:type="spellStart"/>
      <w:r w:rsidR="00E6572E">
        <w:rPr>
          <w:rFonts w:eastAsia="Malgun Gothic" w:cs="Simplified Arabic" w:hint="cs"/>
          <w:b/>
          <w:bCs/>
          <w:sz w:val="22"/>
          <w:rtl/>
          <w:lang w:val="en-GB" w:eastAsia="en-US" w:bidi="ar-EG"/>
        </w:rPr>
        <w:t>مايرام</w:t>
      </w:r>
      <w:proofErr w:type="spellEnd"/>
      <w:r w:rsidR="00E6572E">
        <w:rPr>
          <w:rFonts w:eastAsia="Malgun Gothic" w:cs="Simplified Arabic" w:hint="cs"/>
          <w:b/>
          <w:bCs/>
          <w:sz w:val="22"/>
          <w:rtl/>
          <w:lang w:val="en-GB" w:eastAsia="en-US" w:bidi="ar-EG"/>
        </w:rPr>
        <w:t xml:space="preserve"> </w:t>
      </w:r>
    </w:p>
    <w:p w14:paraId="3E553171" w14:textId="1B6258C0" w:rsidR="009332ED" w:rsidRDefault="009201CD" w:rsidP="009201C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أظهر الاستعراض أن </w:t>
      </w:r>
      <w:r w:rsidR="00276322">
        <w:rPr>
          <w:rFonts w:eastAsia="Malgun Gothic" w:cs="Simplified Arabic" w:hint="cs"/>
          <w:sz w:val="22"/>
          <w:rtl/>
          <w:lang w:val="en-GB" w:eastAsia="en-US" w:bidi="ar-EG"/>
        </w:rPr>
        <w:t xml:space="preserve">الأطراف وأصحاب المصلحة بالإجمال يعتبرون التعاون التقني والعلمي وسيلة </w:t>
      </w:r>
      <w:proofErr w:type="gramStart"/>
      <w:r w:rsidR="00276322">
        <w:rPr>
          <w:rFonts w:eastAsia="Malgun Gothic" w:cs="Simplified Arabic" w:hint="cs"/>
          <w:sz w:val="22"/>
          <w:rtl/>
          <w:lang w:val="en-GB" w:eastAsia="en-US" w:bidi="ar-EG"/>
        </w:rPr>
        <w:t>هامة</w:t>
      </w:r>
      <w:proofErr w:type="gramEnd"/>
      <w:r w:rsidR="00276322">
        <w:rPr>
          <w:rFonts w:eastAsia="Malgun Gothic" w:cs="Simplified Arabic" w:hint="cs"/>
          <w:sz w:val="22"/>
          <w:rtl/>
          <w:lang w:val="en-GB" w:eastAsia="en-US" w:bidi="ar-EG"/>
        </w:rPr>
        <w:t xml:space="preserve"> وذات صلة لتنفيذ الاتفاقية وبروتوكوليها. وبناء على نتائج </w:t>
      </w:r>
      <w:proofErr w:type="gramStart"/>
      <w:r w:rsidR="00276322">
        <w:rPr>
          <w:rFonts w:eastAsia="Malgun Gothic" w:cs="Simplified Arabic" w:hint="cs"/>
          <w:sz w:val="22"/>
          <w:rtl/>
          <w:lang w:val="en-GB" w:eastAsia="en-US" w:bidi="ar-EG"/>
        </w:rPr>
        <w:t>الاستبيان</w:t>
      </w:r>
      <w:proofErr w:type="gramEnd"/>
      <w:r w:rsidR="00276322">
        <w:rPr>
          <w:rFonts w:eastAsia="Malgun Gothic" w:cs="Simplified Arabic" w:hint="cs"/>
          <w:sz w:val="22"/>
          <w:rtl/>
          <w:lang w:val="en-GB" w:eastAsia="en-US" w:bidi="ar-EG"/>
        </w:rPr>
        <w:t>، أشارت غالبية الذين أجابوا على الاستبيان إلى أن أنشطة وبرامج التعاون التقني والعلمي التي انخرطوا فيها كانت مفيدة للغاية وذات صلة كبيرة</w:t>
      </w:r>
      <w:r w:rsidR="00E25C38">
        <w:rPr>
          <w:rFonts w:eastAsia="Malgun Gothic" w:cs="Simplified Arabic" w:hint="cs"/>
          <w:sz w:val="22"/>
          <w:rtl/>
          <w:lang w:val="en-GB" w:eastAsia="en-US" w:bidi="ar-EG"/>
        </w:rPr>
        <w:t>.</w:t>
      </w:r>
      <w:r w:rsidR="00276322">
        <w:rPr>
          <w:rFonts w:eastAsia="Malgun Gothic" w:cs="Simplified Arabic" w:hint="cs"/>
          <w:sz w:val="22"/>
          <w:rtl/>
          <w:lang w:val="en-GB" w:eastAsia="en-US" w:bidi="ar-EG"/>
        </w:rPr>
        <w:t xml:space="preserve"> ووافق أكثر من 70 في </w:t>
      </w:r>
      <w:proofErr w:type="gramStart"/>
      <w:r w:rsidR="00276322">
        <w:rPr>
          <w:rFonts w:eastAsia="Malgun Gothic" w:cs="Simplified Arabic" w:hint="cs"/>
          <w:sz w:val="22"/>
          <w:rtl/>
          <w:lang w:val="en-GB" w:eastAsia="en-US" w:bidi="ar-EG"/>
        </w:rPr>
        <w:t>المائة</w:t>
      </w:r>
      <w:proofErr w:type="gramEnd"/>
      <w:r w:rsidR="00276322">
        <w:rPr>
          <w:rFonts w:eastAsia="Malgun Gothic" w:cs="Simplified Arabic" w:hint="cs"/>
          <w:sz w:val="22"/>
          <w:rtl/>
          <w:lang w:val="en-GB" w:eastAsia="en-US" w:bidi="ar-EG"/>
        </w:rPr>
        <w:t xml:space="preserve"> منهم على ضرورة القيام باستثمارات أعظم للترويج للتعاون التقني والعلمي وتمكينه دعما للإطار العالمي للتنوع البيولوجي لما بعد عام 2020.</w:t>
      </w:r>
    </w:p>
    <w:p w14:paraId="6B3696B0" w14:textId="540FC35A" w:rsidR="009332ED" w:rsidRDefault="009F078B"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كذلك فقد وجد الاستعراض أيضا بأن تنفيذ أنشطة وبرامج ومبادرات التعاون التقني والعلمي بموجب الاتفاقية وبروتوكوليها قد تحسن مع مرور الوقت. وتتضمن عوامل النجاح الرئيسية تبني نهج يتمحور حول البشر </w:t>
      </w:r>
      <w:r w:rsidR="00D1783B">
        <w:rPr>
          <w:rFonts w:eastAsia="Malgun Gothic" w:cs="Simplified Arabic" w:hint="cs"/>
          <w:sz w:val="22"/>
          <w:rtl/>
          <w:lang w:val="en-GB" w:eastAsia="en-US" w:bidi="ar-EG"/>
        </w:rPr>
        <w:t>و</w:t>
      </w:r>
      <w:r>
        <w:rPr>
          <w:rFonts w:eastAsia="Malgun Gothic" w:cs="Simplified Arabic" w:hint="cs"/>
          <w:sz w:val="22"/>
          <w:rtl/>
          <w:lang w:val="en-GB" w:eastAsia="en-US" w:bidi="ar-EG"/>
        </w:rPr>
        <w:t>يركز على بناء وتعزيز قدرات وإمكانيات الأفراد والمؤسسات المسؤولة عن التنفيذ على أرض الواقع. ومن الممارسات الجيدة الأخرى أيضا إرساء الشراكات على المستويات الوطنية والإقليمية والعالمية.</w:t>
      </w:r>
    </w:p>
    <w:p w14:paraId="3F88A2F0" w14:textId="6AD2A1D6" w:rsidR="009332ED" w:rsidRDefault="009F078B"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وقد وجد الأطراف وأصحاب المصلحة ذوو الصلة بأن عددا من نهج التعاون التقني والعلمي كانت فعالة على وجه الخصوص. وهي تتضمن أنشطة التدريب المشترك ونقل المعرفة بين الأقران وبناء الشبكات وإرساء الشراكات وتبادل الخبراء </w:t>
      </w:r>
      <w:r w:rsidR="00A861F4">
        <w:rPr>
          <w:rFonts w:eastAsia="Malgun Gothic" w:cs="Simplified Arabic" w:hint="cs"/>
          <w:sz w:val="22"/>
          <w:rtl/>
          <w:lang w:val="en-GB" w:eastAsia="en-US" w:bidi="ar-EG"/>
        </w:rPr>
        <w:t>والبرامج البحثية</w:t>
      </w:r>
      <w:r>
        <w:rPr>
          <w:rFonts w:eastAsia="Malgun Gothic" w:cs="Simplified Arabic" w:hint="cs"/>
          <w:sz w:val="22"/>
          <w:rtl/>
          <w:lang w:val="en-GB" w:eastAsia="en-US" w:bidi="ar-EG"/>
        </w:rPr>
        <w:t xml:space="preserve"> وتطوير التكنولوجيا المشتركة والجولات الدراسية الدولية.</w:t>
      </w:r>
    </w:p>
    <w:p w14:paraId="66508AFA" w14:textId="32C020E0" w:rsidR="009F078B" w:rsidRDefault="009F078B" w:rsidP="009F078B">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وفيما يتعلق بالنهج الشاملة للتعاون </w:t>
      </w:r>
      <w:r w:rsidR="00A861F4">
        <w:rPr>
          <w:rFonts w:eastAsia="Malgun Gothic" w:cs="Simplified Arabic" w:hint="cs"/>
          <w:sz w:val="22"/>
          <w:rtl/>
          <w:lang w:val="en-GB" w:eastAsia="en-US" w:bidi="ar-EG"/>
        </w:rPr>
        <w:t xml:space="preserve">التقني </w:t>
      </w:r>
      <w:r>
        <w:rPr>
          <w:rFonts w:eastAsia="Malgun Gothic" w:cs="Simplified Arabic" w:hint="cs"/>
          <w:sz w:val="22"/>
          <w:rtl/>
          <w:lang w:val="en-GB" w:eastAsia="en-US" w:bidi="ar-EG"/>
        </w:rPr>
        <w:t xml:space="preserve">والعلمي، وجد الاستعراض بأن الآليات الإقليمية ودون الإقليمية تمتعت بميزات متعددة مقارنة بالآليات العالمية، بما في ذلك حقيقة أنها تصل إلى عدد أكبر من الجمهور المستهدف </w:t>
      </w:r>
      <w:r w:rsidR="00913AF9">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بما في ذلك </w:t>
      </w:r>
      <w:r>
        <w:rPr>
          <w:rFonts w:eastAsia="Malgun Gothic" w:cs="Simplified Arabic" w:hint="cs"/>
          <w:sz w:val="22"/>
          <w:rtl/>
          <w:lang w:val="en-GB" w:eastAsia="en-US" w:bidi="ar-EG"/>
        </w:rPr>
        <w:lastRenderedPageBreak/>
        <w:t>الشع</w:t>
      </w:r>
      <w:r w:rsidR="00913AF9">
        <w:rPr>
          <w:rFonts w:eastAsia="Malgun Gothic" w:cs="Simplified Arabic" w:hint="cs"/>
          <w:sz w:val="22"/>
          <w:rtl/>
          <w:lang w:val="en-GB" w:eastAsia="en-US" w:bidi="ar-EG"/>
        </w:rPr>
        <w:t>و</w:t>
      </w:r>
      <w:r>
        <w:rPr>
          <w:rFonts w:eastAsia="Malgun Gothic" w:cs="Simplified Arabic" w:hint="cs"/>
          <w:sz w:val="22"/>
          <w:rtl/>
          <w:lang w:val="en-GB" w:eastAsia="en-US" w:bidi="ar-EG"/>
        </w:rPr>
        <w:t xml:space="preserve">ب الأصلية والمجتمعات </w:t>
      </w:r>
      <w:r w:rsidR="005851B5">
        <w:rPr>
          <w:rFonts w:eastAsia="Malgun Gothic" w:cs="Simplified Arabic" w:hint="cs"/>
          <w:sz w:val="22"/>
          <w:rtl/>
          <w:lang w:val="en-GB" w:eastAsia="en-US" w:bidi="ar-EG"/>
        </w:rPr>
        <w:t xml:space="preserve">المحلية </w:t>
      </w:r>
      <w:r w:rsidR="00913AF9">
        <w:rPr>
          <w:rFonts w:eastAsia="Malgun Gothic" w:cs="Simplified Arabic" w:hint="cs"/>
          <w:sz w:val="22"/>
          <w:rtl/>
          <w:lang w:val="en-GB" w:eastAsia="en-US" w:bidi="ar-EG"/>
        </w:rPr>
        <w:t xml:space="preserve">)؛ وكونها مفصلة </w:t>
      </w:r>
      <w:proofErr w:type="spellStart"/>
      <w:r w:rsidR="00913AF9">
        <w:rPr>
          <w:rFonts w:eastAsia="Malgun Gothic" w:cs="Simplified Arabic" w:hint="cs"/>
          <w:sz w:val="22"/>
          <w:rtl/>
          <w:lang w:val="en-GB" w:eastAsia="en-US" w:bidi="ar-EG"/>
        </w:rPr>
        <w:t>لتتواءم</w:t>
      </w:r>
      <w:proofErr w:type="spellEnd"/>
      <w:r w:rsidR="00913AF9">
        <w:rPr>
          <w:rFonts w:eastAsia="Malgun Gothic" w:cs="Simplified Arabic" w:hint="cs"/>
          <w:sz w:val="22"/>
          <w:rtl/>
          <w:lang w:val="en-GB" w:eastAsia="en-US" w:bidi="ar-EG"/>
        </w:rPr>
        <w:t xml:space="preserve"> وتستهدف بصورة أفضل المعارف وتعزيز القدرات لتلبية الاحتياجات المحلية والوطنية، كما أنها يسرت المبادرات </w:t>
      </w:r>
      <w:r w:rsidR="008C3957">
        <w:rPr>
          <w:rFonts w:eastAsia="Malgun Gothic" w:cs="Simplified Arabic" w:hint="cs"/>
          <w:sz w:val="22"/>
          <w:rtl/>
          <w:lang w:val="en-GB" w:eastAsia="en-US" w:bidi="ar-EG"/>
        </w:rPr>
        <w:t>الأطول امدا</w:t>
      </w:r>
      <w:r w:rsidR="002E7AEC">
        <w:rPr>
          <w:rFonts w:eastAsia="Malgun Gothic" w:cs="Simplified Arabic" w:hint="cs"/>
          <w:sz w:val="22"/>
          <w:rtl/>
          <w:lang w:val="en-GB" w:eastAsia="en-US" w:bidi="ar-EG"/>
        </w:rPr>
        <w:t xml:space="preserve"> و</w:t>
      </w:r>
      <w:r w:rsidR="00913AF9">
        <w:rPr>
          <w:rFonts w:eastAsia="Malgun Gothic" w:cs="Simplified Arabic" w:hint="cs"/>
          <w:sz w:val="22"/>
          <w:rtl/>
          <w:lang w:val="en-GB" w:eastAsia="en-US" w:bidi="ar-EG"/>
        </w:rPr>
        <w:t>الأكثر استدامة</w:t>
      </w:r>
      <w:r w:rsidR="002E7AEC">
        <w:rPr>
          <w:rFonts w:eastAsia="Malgun Gothic" w:cs="Simplified Arabic" w:hint="cs"/>
          <w:sz w:val="22"/>
          <w:rtl/>
          <w:lang w:val="en-GB" w:eastAsia="en-US" w:bidi="ar-EG"/>
        </w:rPr>
        <w:t>،</w:t>
      </w:r>
      <w:r w:rsidR="00913AF9">
        <w:rPr>
          <w:rFonts w:eastAsia="Malgun Gothic" w:cs="Simplified Arabic" w:hint="cs"/>
          <w:sz w:val="22"/>
          <w:rtl/>
          <w:lang w:val="en-GB" w:eastAsia="en-US" w:bidi="ar-EG"/>
        </w:rPr>
        <w:t xml:space="preserve"> وعززت تطوير التكنولوجيات ذات الصلة بالأقاليم المعنية</w:t>
      </w:r>
      <w:r w:rsidR="002E7AEC">
        <w:rPr>
          <w:rFonts w:eastAsia="Malgun Gothic" w:cs="Simplified Arabic" w:hint="cs"/>
          <w:sz w:val="22"/>
          <w:rtl/>
          <w:lang w:val="en-GB" w:eastAsia="en-US" w:bidi="ar-EG"/>
        </w:rPr>
        <w:t>،</w:t>
      </w:r>
      <w:r w:rsidR="00913AF9">
        <w:rPr>
          <w:rFonts w:eastAsia="Malgun Gothic" w:cs="Simplified Arabic" w:hint="cs"/>
          <w:sz w:val="22"/>
          <w:rtl/>
          <w:lang w:val="en-GB" w:eastAsia="en-US" w:bidi="ar-EG"/>
        </w:rPr>
        <w:t xml:space="preserve"> وساعدت على بناء قنوات </w:t>
      </w:r>
      <w:r w:rsidR="002E7AEC">
        <w:rPr>
          <w:rFonts w:eastAsia="Malgun Gothic" w:cs="Simplified Arabic" w:hint="cs"/>
          <w:sz w:val="22"/>
          <w:rtl/>
          <w:lang w:val="en-GB" w:eastAsia="en-US" w:bidi="ar-EG"/>
        </w:rPr>
        <w:t xml:space="preserve">نقاش </w:t>
      </w:r>
      <w:r w:rsidR="00913AF9">
        <w:rPr>
          <w:rFonts w:eastAsia="Malgun Gothic" w:cs="Simplified Arabic" w:hint="cs"/>
          <w:sz w:val="22"/>
          <w:rtl/>
          <w:lang w:val="en-GB" w:eastAsia="en-US" w:bidi="ar-EG"/>
        </w:rPr>
        <w:t xml:space="preserve">أكثر فعالية </w:t>
      </w:r>
      <w:r w:rsidR="00F86E23">
        <w:rPr>
          <w:rFonts w:eastAsia="Malgun Gothic" w:cs="Simplified Arabic" w:hint="cs"/>
          <w:sz w:val="22"/>
          <w:rtl/>
          <w:lang w:val="en-GB" w:eastAsia="en-US" w:bidi="ar-EG"/>
        </w:rPr>
        <w:t xml:space="preserve">في توفير </w:t>
      </w:r>
      <w:r w:rsidR="00913AF9">
        <w:rPr>
          <w:rFonts w:eastAsia="Malgun Gothic" w:cs="Simplified Arabic" w:hint="cs"/>
          <w:sz w:val="22"/>
          <w:rtl/>
          <w:lang w:val="en-GB" w:eastAsia="en-US" w:bidi="ar-EG"/>
        </w:rPr>
        <w:t>المدخل لتصميم وتنفيذ برامج التنوع البيولوجي.</w:t>
      </w:r>
    </w:p>
    <w:p w14:paraId="1A139306" w14:textId="61B28027" w:rsidR="009332ED" w:rsidRPr="007E1C89" w:rsidRDefault="00913AF9" w:rsidP="007E1C89">
      <w:pPr>
        <w:keepNext/>
        <w:keepLines/>
        <w:bidi/>
        <w:spacing w:after="120" w:line="216" w:lineRule="auto"/>
        <w:jc w:val="center"/>
        <w:rPr>
          <w:rFonts w:eastAsia="Malgun Gothic" w:cs="Simplified Arabic"/>
          <w:b/>
          <w:bCs/>
          <w:sz w:val="22"/>
          <w:lang w:val="en-GB" w:eastAsia="en-US" w:bidi="ar-EG"/>
        </w:rPr>
      </w:pPr>
      <w:r w:rsidRPr="007E1C89">
        <w:rPr>
          <w:rFonts w:eastAsia="Malgun Gothic" w:cs="Simplified Arabic" w:hint="cs"/>
          <w:b/>
          <w:bCs/>
          <w:sz w:val="22"/>
          <w:rtl/>
          <w:lang w:val="en-GB" w:eastAsia="en-US" w:bidi="ar-EG"/>
        </w:rPr>
        <w:t xml:space="preserve">باء </w:t>
      </w:r>
      <w:r w:rsidRPr="007E1C89">
        <w:rPr>
          <w:rFonts w:eastAsia="Malgun Gothic" w:cs="Simplified Arabic"/>
          <w:b/>
          <w:bCs/>
          <w:sz w:val="22"/>
          <w:rtl/>
          <w:lang w:val="en-GB" w:eastAsia="en-US" w:bidi="ar-EG"/>
        </w:rPr>
        <w:t>–</w:t>
      </w:r>
      <w:r w:rsidRPr="007E1C89">
        <w:rPr>
          <w:rFonts w:eastAsia="Malgun Gothic" w:cs="Simplified Arabic" w:hint="cs"/>
          <w:b/>
          <w:bCs/>
          <w:sz w:val="22"/>
          <w:rtl/>
          <w:lang w:val="en-GB" w:eastAsia="en-US" w:bidi="ar-EG"/>
        </w:rPr>
        <w:t xml:space="preserve"> العوامل التي </w:t>
      </w:r>
      <w:r w:rsidR="00F86E23">
        <w:rPr>
          <w:rFonts w:eastAsia="Malgun Gothic" w:cs="Simplified Arabic" w:hint="cs"/>
          <w:b/>
          <w:bCs/>
          <w:sz w:val="22"/>
          <w:rtl/>
          <w:lang w:val="en-GB" w:eastAsia="en-US" w:bidi="ar-EG"/>
        </w:rPr>
        <w:t xml:space="preserve">تستدعي </w:t>
      </w:r>
      <w:r w:rsidRPr="007E1C89">
        <w:rPr>
          <w:rFonts w:eastAsia="Malgun Gothic" w:cs="Simplified Arabic" w:hint="cs"/>
          <w:b/>
          <w:bCs/>
          <w:sz w:val="22"/>
          <w:rtl/>
          <w:lang w:val="en-GB" w:eastAsia="en-US" w:bidi="ar-EG"/>
        </w:rPr>
        <w:t>إدخال تحسينات عليها</w:t>
      </w:r>
    </w:p>
    <w:p w14:paraId="39416919" w14:textId="072F1B3C" w:rsidR="009332ED" w:rsidRDefault="00913AF9"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حدد الاستعراض مظاهر متعددة للتعاون التقني والعلمي بموجب الاتفاقية وبروتوكوليها لم </w:t>
      </w:r>
      <w:r w:rsidR="006374C2">
        <w:rPr>
          <w:rFonts w:eastAsia="Malgun Gothic" w:cs="Simplified Arabic" w:hint="cs"/>
          <w:sz w:val="22"/>
          <w:rtl/>
          <w:lang w:val="en-GB" w:eastAsia="en-US" w:bidi="ar-EG"/>
        </w:rPr>
        <w:t xml:space="preserve">يسر عملها بصورة جيدة، </w:t>
      </w:r>
      <w:r>
        <w:rPr>
          <w:rFonts w:eastAsia="Malgun Gothic" w:cs="Simplified Arabic" w:hint="cs"/>
          <w:sz w:val="22"/>
          <w:rtl/>
          <w:lang w:val="en-GB" w:eastAsia="en-US" w:bidi="ar-EG"/>
        </w:rPr>
        <w:t xml:space="preserve">وذلك بسبب عدد من مكامن الضعف والتحديات. وتتعلق التحديات الأساسية بعدم كفاية ومحدودية التمويل والموارد البشرية اللازمة </w:t>
      </w:r>
      <w:r w:rsidR="0078571E">
        <w:rPr>
          <w:rFonts w:eastAsia="Malgun Gothic" w:cs="Simplified Arabic" w:hint="cs"/>
          <w:sz w:val="22"/>
          <w:rtl/>
          <w:lang w:val="en-GB" w:eastAsia="en-US" w:bidi="ar-EG"/>
        </w:rPr>
        <w:t xml:space="preserve">لبرامج </w:t>
      </w:r>
      <w:r>
        <w:rPr>
          <w:rFonts w:eastAsia="Malgun Gothic" w:cs="Simplified Arabic" w:hint="cs"/>
          <w:sz w:val="22"/>
          <w:rtl/>
          <w:lang w:val="en-GB" w:eastAsia="en-US" w:bidi="ar-EG"/>
        </w:rPr>
        <w:t xml:space="preserve">وأنشطة التعاون التقني والعلمي. فالموارد المالية للتعاون التقني والعلمي شحيحة وغير كافية ولا يمكن التنبؤ بها، مما يجعل من الصعب برمجة وتنفيذ أنشطة التعاون التقني والعلمي </w:t>
      </w:r>
      <w:r w:rsidR="00192ACE">
        <w:rPr>
          <w:rFonts w:eastAsia="Malgun Gothic" w:cs="Simplified Arabic" w:hint="cs"/>
          <w:sz w:val="22"/>
          <w:rtl/>
          <w:lang w:val="en-GB" w:eastAsia="en-US" w:bidi="ar-EG"/>
        </w:rPr>
        <w:t>ال</w:t>
      </w:r>
      <w:r>
        <w:rPr>
          <w:rFonts w:eastAsia="Malgun Gothic" w:cs="Simplified Arabic" w:hint="cs"/>
          <w:sz w:val="22"/>
          <w:rtl/>
          <w:lang w:val="en-GB" w:eastAsia="en-US" w:bidi="ar-EG"/>
        </w:rPr>
        <w:t>حاسمة</w:t>
      </w:r>
      <w:r>
        <w:rPr>
          <w:rFonts w:eastAsia="Malgun Gothic" w:cs="Simplified Arabic" w:hint="cs"/>
          <w:sz w:val="22"/>
          <w:rtl/>
          <w:lang w:val="en-GB" w:eastAsia="en-US"/>
        </w:rPr>
        <w:t>.</w:t>
      </w:r>
      <w:r>
        <w:rPr>
          <w:rFonts w:eastAsia="Malgun Gothic" w:cs="Simplified Arabic" w:hint="cs"/>
          <w:sz w:val="22"/>
          <w:rtl/>
          <w:lang w:val="en-GB" w:eastAsia="en-US" w:bidi="ar-EG"/>
        </w:rPr>
        <w:t xml:space="preserve"> </w:t>
      </w:r>
      <w:r w:rsidR="00667868">
        <w:rPr>
          <w:rFonts w:eastAsia="Malgun Gothic" w:cs="Simplified Arabic" w:hint="cs"/>
          <w:sz w:val="22"/>
          <w:rtl/>
          <w:lang w:val="en-GB" w:eastAsia="en-US" w:bidi="ar-EG"/>
        </w:rPr>
        <w:t>ف</w:t>
      </w:r>
      <w:r>
        <w:rPr>
          <w:rFonts w:eastAsia="Malgun Gothic" w:cs="Simplified Arabic" w:hint="cs"/>
          <w:sz w:val="22"/>
          <w:rtl/>
          <w:lang w:val="en-GB" w:eastAsia="en-US" w:bidi="ar-EG"/>
        </w:rPr>
        <w:t xml:space="preserve">على سبيل المثال، وفي حين أن </w:t>
      </w:r>
      <w:r w:rsidR="004C5945">
        <w:rPr>
          <w:rFonts w:eastAsia="Malgun Gothic" w:cs="Simplified Arabic" w:hint="cs"/>
          <w:sz w:val="22"/>
          <w:rtl/>
          <w:lang w:val="en-GB" w:eastAsia="en-US" w:bidi="ar-EG"/>
        </w:rPr>
        <w:t xml:space="preserve">التوافق </w:t>
      </w:r>
      <w:r>
        <w:rPr>
          <w:rStyle w:val="FootnoteReference"/>
          <w:rFonts w:eastAsia="Malgun Gothic" w:cs="Simplified Arabic"/>
          <w:sz w:val="22"/>
          <w:rtl/>
          <w:lang w:val="en-GB" w:eastAsia="en-US" w:bidi="ar-EG"/>
        </w:rPr>
        <w:footnoteReference w:id="2"/>
      </w:r>
      <w:r>
        <w:rPr>
          <w:rFonts w:eastAsia="Malgun Gothic" w:cs="Simplified Arabic" w:hint="cs"/>
          <w:sz w:val="22"/>
          <w:rtl/>
          <w:lang w:val="en-GB" w:eastAsia="en-US" w:bidi="ar-EG"/>
        </w:rPr>
        <w:t xml:space="preserve"> أداة فعالة وهامة لتنفيذ برامج وأنشطة التعاون التقني والعلمي، إلا أنه من الصعب تنفيذه بدون الموارد المالية، كما تمت الإشارة إليه من خلال </w:t>
      </w:r>
      <w:r w:rsidR="006B4ED6">
        <w:rPr>
          <w:rFonts w:eastAsia="Malgun Gothic" w:cs="Simplified Arabic" w:hint="cs"/>
          <w:sz w:val="22"/>
          <w:rtl/>
          <w:lang w:val="en-GB" w:eastAsia="en-US" w:bidi="ar-EG"/>
        </w:rPr>
        <w:t xml:space="preserve">تجربة </w:t>
      </w:r>
      <w:r>
        <w:rPr>
          <w:rFonts w:eastAsia="Malgun Gothic" w:cs="Simplified Arabic" w:hint="cs"/>
          <w:sz w:val="22"/>
          <w:rtl/>
          <w:lang w:val="en-GB" w:eastAsia="en-US" w:bidi="ar-EG"/>
        </w:rPr>
        <w:t xml:space="preserve">مبادرة الجسر البيولوجي. </w:t>
      </w:r>
      <w:r w:rsidR="00644BCD">
        <w:rPr>
          <w:rFonts w:eastAsia="Malgun Gothic" w:cs="Simplified Arabic" w:hint="cs"/>
          <w:sz w:val="22"/>
          <w:rtl/>
          <w:lang w:val="en-GB" w:eastAsia="en-US" w:bidi="ar-EG"/>
        </w:rPr>
        <w:t xml:space="preserve">كما </w:t>
      </w:r>
      <w:r>
        <w:rPr>
          <w:rFonts w:eastAsia="Malgun Gothic" w:cs="Simplified Arabic" w:hint="cs"/>
          <w:sz w:val="22"/>
          <w:rtl/>
          <w:lang w:val="en-GB" w:eastAsia="en-US" w:bidi="ar-EG"/>
        </w:rPr>
        <w:t>وجد الاستعراض أيضا،</w:t>
      </w:r>
      <w:r w:rsidR="00644BCD">
        <w:rPr>
          <w:rFonts w:eastAsia="Malgun Gothic" w:cs="Simplified Arabic" w:hint="cs"/>
          <w:sz w:val="22"/>
          <w:rtl/>
          <w:lang w:val="en-GB" w:eastAsia="en-US" w:bidi="ar-EG"/>
        </w:rPr>
        <w:t xml:space="preserve"> أنه و</w:t>
      </w:r>
      <w:r>
        <w:rPr>
          <w:rFonts w:eastAsia="Malgun Gothic" w:cs="Simplified Arabic" w:hint="cs"/>
          <w:sz w:val="22"/>
          <w:rtl/>
          <w:lang w:val="en-GB" w:eastAsia="en-US" w:bidi="ar-EG"/>
        </w:rPr>
        <w:t>في حين</w:t>
      </w:r>
      <w:r w:rsidR="00505F2D">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 xml:space="preserve">قد يبدي عدد من الأطراف والمنظمات اهتمامه بتوفير المساعدة التقنية إلى أولئك الذين يعبرون عن الحاجة إلى مثل هذه المساعدة، إلا أن العديد منهم لا يستطيع القيام بذلك </w:t>
      </w:r>
      <w:r w:rsidR="00505F2D">
        <w:rPr>
          <w:rFonts w:eastAsia="Malgun Gothic" w:cs="Simplified Arabic" w:hint="cs"/>
          <w:sz w:val="22"/>
          <w:rtl/>
          <w:lang w:val="en-GB" w:eastAsia="en-US" w:bidi="ar-EG"/>
        </w:rPr>
        <w:t xml:space="preserve">دون </w:t>
      </w:r>
      <w:r>
        <w:rPr>
          <w:rFonts w:eastAsia="Malgun Gothic" w:cs="Simplified Arabic" w:hint="cs"/>
          <w:sz w:val="22"/>
          <w:rtl/>
          <w:lang w:val="en-GB" w:eastAsia="en-US" w:bidi="ar-EG"/>
        </w:rPr>
        <w:t>بعض الدعم المالي</w:t>
      </w:r>
      <w:r w:rsidR="00505F2D">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على الأقل لتغطية </w:t>
      </w:r>
      <w:r w:rsidR="0033750A">
        <w:rPr>
          <w:rFonts w:eastAsia="Malgun Gothic" w:cs="Simplified Arabic" w:hint="cs"/>
          <w:sz w:val="22"/>
          <w:rtl/>
          <w:lang w:val="en-GB" w:eastAsia="en-US" w:bidi="ar-EG"/>
        </w:rPr>
        <w:t>ال</w:t>
      </w:r>
      <w:r>
        <w:rPr>
          <w:rFonts w:eastAsia="Malgun Gothic" w:cs="Simplified Arabic" w:hint="cs"/>
          <w:sz w:val="22"/>
          <w:rtl/>
          <w:lang w:val="en-GB" w:eastAsia="en-US" w:bidi="ar-EG"/>
        </w:rPr>
        <w:t>تكاليف التشغيلية مثل السفر والسكن.</w:t>
      </w:r>
      <w:r w:rsidR="0033750A">
        <w:rPr>
          <w:rFonts w:eastAsia="Malgun Gothic" w:cs="Simplified Arabic" w:hint="cs"/>
          <w:sz w:val="22"/>
          <w:rtl/>
          <w:lang w:val="en-GB" w:eastAsia="en-US" w:bidi="ar-EG"/>
        </w:rPr>
        <w:t xml:space="preserve"> وأشار الاستعراض إلى أن المبادرات التي كان لديها تمويل لتيسير أنشطة التعاون التقني والعلمي من خلال المنح الصغيرة </w:t>
      </w:r>
      <w:r w:rsidR="0057794D">
        <w:rPr>
          <w:rFonts w:eastAsia="Malgun Gothic" w:cs="Simplified Arabic" w:hint="cs"/>
          <w:sz w:val="22"/>
          <w:rtl/>
          <w:lang w:val="en-GB" w:eastAsia="en-US" w:bidi="ar-EG"/>
        </w:rPr>
        <w:t xml:space="preserve">قد </w:t>
      </w:r>
      <w:r w:rsidR="0033750A">
        <w:rPr>
          <w:rFonts w:eastAsia="Malgun Gothic" w:cs="Simplified Arabic" w:hint="cs"/>
          <w:sz w:val="22"/>
          <w:rtl/>
          <w:lang w:val="en-GB" w:eastAsia="en-US" w:bidi="ar-EG"/>
        </w:rPr>
        <w:t>حظيت بنجاح أكبر.</w:t>
      </w:r>
    </w:p>
    <w:p w14:paraId="1B1E431F" w14:textId="18F8A1D9" w:rsidR="009332ED" w:rsidRDefault="007F3313"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كذلك يعتبر الافتقار إلى فهم مشترك لما </w:t>
      </w:r>
      <w:r w:rsidR="00013AA3">
        <w:rPr>
          <w:rFonts w:eastAsia="Malgun Gothic" w:cs="Simplified Arabic" w:hint="cs"/>
          <w:sz w:val="22"/>
          <w:rtl/>
          <w:lang w:val="en-GB" w:eastAsia="en-US" w:bidi="ar-EG"/>
        </w:rPr>
        <w:t xml:space="preserve">يمكن ان </w:t>
      </w:r>
      <w:r>
        <w:rPr>
          <w:rFonts w:eastAsia="Malgun Gothic" w:cs="Simplified Arabic" w:hint="cs"/>
          <w:sz w:val="22"/>
          <w:rtl/>
          <w:lang w:val="en-GB" w:eastAsia="en-US" w:bidi="ar-EG"/>
        </w:rPr>
        <w:t xml:space="preserve">يشكل تعاونا تقنيا وعلميا بموجب الاتفاقية وبروتوكوليها تحديا </w:t>
      </w:r>
      <w:r w:rsidR="00E8636C">
        <w:rPr>
          <w:rFonts w:eastAsia="Malgun Gothic" w:cs="Simplified Arabic" w:hint="cs"/>
          <w:sz w:val="22"/>
          <w:rtl/>
          <w:lang w:val="en-GB" w:eastAsia="en-US" w:bidi="ar-EG"/>
        </w:rPr>
        <w:t xml:space="preserve">رئيسيا آخر يقوض تبني نهج متسقة ذات مغزى للتعاون التقني والعلمي. ويتعلق بذلك أيضا الافتقار إلى برنامج شامل متسق </w:t>
      </w:r>
      <w:r w:rsidR="00DD486C">
        <w:rPr>
          <w:rFonts w:eastAsia="Malgun Gothic" w:cs="Simplified Arabic" w:hint="cs"/>
          <w:sz w:val="22"/>
          <w:rtl/>
          <w:lang w:val="en-GB" w:eastAsia="en-US" w:bidi="ar-EG"/>
        </w:rPr>
        <w:t xml:space="preserve">للتعاون </w:t>
      </w:r>
      <w:r w:rsidR="00E8636C">
        <w:rPr>
          <w:rFonts w:eastAsia="Malgun Gothic" w:cs="Simplified Arabic" w:hint="cs"/>
          <w:sz w:val="22"/>
          <w:rtl/>
          <w:lang w:val="en-GB" w:eastAsia="en-US" w:bidi="ar-EG"/>
        </w:rPr>
        <w:t>التقني والعلمي بموجب الاتفاقية مع نظرية تغيير جيدة التعريف</w:t>
      </w:r>
      <w:r w:rsidR="00DD486C">
        <w:rPr>
          <w:rFonts w:eastAsia="Malgun Gothic" w:cs="Simplified Arabic" w:hint="cs"/>
          <w:sz w:val="22"/>
          <w:rtl/>
          <w:lang w:val="en-GB" w:eastAsia="en-US" w:bidi="ar-EG"/>
        </w:rPr>
        <w:t>،</w:t>
      </w:r>
      <w:r w:rsidR="00E8636C">
        <w:rPr>
          <w:rFonts w:eastAsia="Malgun Gothic" w:cs="Simplified Arabic" w:hint="cs"/>
          <w:sz w:val="22"/>
          <w:rtl/>
          <w:lang w:val="en-GB" w:eastAsia="en-US" w:bidi="ar-EG"/>
        </w:rPr>
        <w:t xml:space="preserve"> والافتقار إلى خطة للرصد والتقييم مع مؤشرات واضحة. وقد قوض هذا الافتقار إلى الوضوح من قدرة التعاون التقني والعلمي على الوصول لإمكانياته الكاملة كوسيلة فعالة للتنفيذ.</w:t>
      </w:r>
    </w:p>
    <w:p w14:paraId="625523EF" w14:textId="01823026" w:rsidR="009332ED" w:rsidRDefault="003A4A20"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وتعتبر </w:t>
      </w:r>
      <w:r w:rsidR="00E8636C">
        <w:rPr>
          <w:rFonts w:eastAsia="Malgun Gothic" w:cs="Simplified Arabic" w:hint="cs"/>
          <w:sz w:val="22"/>
          <w:rtl/>
          <w:lang w:val="en-GB" w:eastAsia="en-US" w:bidi="ar-EG"/>
        </w:rPr>
        <w:t xml:space="preserve">معوقات الموارد البشرية أيضا تحديا كبيرا آخر يؤثر على جهود </w:t>
      </w:r>
      <w:r w:rsidR="00457693">
        <w:rPr>
          <w:rFonts w:eastAsia="Malgun Gothic" w:cs="Simplified Arabic" w:hint="cs"/>
          <w:sz w:val="22"/>
          <w:rtl/>
          <w:lang w:val="en-GB" w:eastAsia="en-US" w:bidi="ar-EG"/>
        </w:rPr>
        <w:t xml:space="preserve">التعاون </w:t>
      </w:r>
      <w:r w:rsidR="00E8636C">
        <w:rPr>
          <w:rFonts w:eastAsia="Malgun Gothic" w:cs="Simplified Arabic" w:hint="cs"/>
          <w:sz w:val="22"/>
          <w:rtl/>
          <w:lang w:val="en-GB" w:eastAsia="en-US" w:bidi="ar-EG"/>
        </w:rPr>
        <w:t>التقني والعلمي بموجب الاتفاقية وبروتوكوليها. فعلى سبيل المثال، يحد الافتقار إلى موظفين بدوام كامل</w:t>
      </w:r>
      <w:r w:rsidR="00457693">
        <w:rPr>
          <w:rFonts w:eastAsia="Malgun Gothic" w:cs="Simplified Arabic" w:hint="cs"/>
          <w:sz w:val="22"/>
          <w:rtl/>
          <w:lang w:val="en-GB" w:eastAsia="en-US" w:bidi="ar-EG"/>
        </w:rPr>
        <w:t xml:space="preserve"> </w:t>
      </w:r>
      <w:r w:rsidR="00E65D8D">
        <w:rPr>
          <w:rFonts w:eastAsia="Malgun Gothic" w:cs="Simplified Arabic" w:hint="cs"/>
          <w:sz w:val="22"/>
          <w:rtl/>
          <w:lang w:val="en-GB" w:eastAsia="en-US" w:bidi="ar-EG"/>
        </w:rPr>
        <w:t xml:space="preserve">مكرسين </w:t>
      </w:r>
      <w:r w:rsidR="00E8636C">
        <w:rPr>
          <w:rFonts w:eastAsia="Malgun Gothic" w:cs="Simplified Arabic" w:hint="cs"/>
          <w:sz w:val="22"/>
          <w:rtl/>
          <w:lang w:val="en-GB" w:eastAsia="en-US" w:bidi="ar-EG"/>
        </w:rPr>
        <w:t>للتعاون التقني والعلمي في الأمانة العامة من فعالية التخطيط وإيصال الدعم للأطراف. كما يقوض الافتقار إلى الموارد البشرية والخبرة على المستويين الوطني والإقليمي من الجهود الرامية إلى تحفيز التعاون التقني والعلمي</w:t>
      </w:r>
      <w:r w:rsidR="00E65D8D">
        <w:rPr>
          <w:rFonts w:eastAsia="Malgun Gothic" w:cs="Simplified Arabic" w:hint="cs"/>
          <w:sz w:val="22"/>
          <w:rtl/>
          <w:lang w:val="en-GB" w:eastAsia="en-US" w:bidi="ar-EG"/>
        </w:rPr>
        <w:t>،</w:t>
      </w:r>
      <w:r w:rsidR="00E8636C">
        <w:rPr>
          <w:rFonts w:eastAsia="Malgun Gothic" w:cs="Simplified Arabic" w:hint="cs"/>
          <w:sz w:val="22"/>
          <w:rtl/>
          <w:lang w:val="en-GB" w:eastAsia="en-US" w:bidi="ar-EG"/>
        </w:rPr>
        <w:t xml:space="preserve"> والإبقاء عليه لتحقيق أهداف الاتفاقية وبروتوكوليها.</w:t>
      </w:r>
    </w:p>
    <w:p w14:paraId="2F35CC8A" w14:textId="2BF8AA3C" w:rsidR="009332ED" w:rsidRDefault="00E8636C"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وحدد الاستعراض أيضا الافتقار إلى نهج طويل الأمد للتعاون التقني والعلمي</w:t>
      </w:r>
      <w:r w:rsidR="00333475">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والاعتماد المفرط على التدخلات </w:t>
      </w:r>
      <w:r w:rsidR="00333475">
        <w:rPr>
          <w:rFonts w:eastAsia="Malgun Gothic" w:cs="Simplified Arabic" w:hint="cs"/>
          <w:sz w:val="22"/>
          <w:rtl/>
          <w:lang w:val="en-GB" w:eastAsia="en-US" w:bidi="ar-EG"/>
        </w:rPr>
        <w:t xml:space="preserve">قصيرة </w:t>
      </w:r>
      <w:r>
        <w:rPr>
          <w:rFonts w:eastAsia="Malgun Gothic" w:cs="Simplified Arabic" w:hint="cs"/>
          <w:sz w:val="22"/>
          <w:rtl/>
          <w:lang w:val="en-GB" w:eastAsia="en-US" w:bidi="ar-EG"/>
        </w:rPr>
        <w:t xml:space="preserve">الأجل للترويج للتعاون التقني والعلمي كمعوقات رئيسية </w:t>
      </w:r>
      <w:r w:rsidR="002379FE">
        <w:rPr>
          <w:rFonts w:eastAsia="Malgun Gothic" w:cs="Simplified Arabic" w:hint="cs"/>
          <w:sz w:val="22"/>
          <w:rtl/>
          <w:lang w:val="en-GB" w:eastAsia="en-US" w:bidi="ar-EG"/>
        </w:rPr>
        <w:t>أخرى.</w:t>
      </w:r>
      <w:r>
        <w:rPr>
          <w:rFonts w:eastAsia="Malgun Gothic" w:cs="Simplified Arabic" w:hint="cs"/>
          <w:sz w:val="22"/>
          <w:rtl/>
          <w:lang w:val="en-GB" w:eastAsia="en-US" w:bidi="ar-EG"/>
        </w:rPr>
        <w:t xml:space="preserve"> وأشارت الأطراف وأصحاب المصلحة إلى </w:t>
      </w:r>
      <w:r w:rsidR="0017308C">
        <w:rPr>
          <w:rFonts w:eastAsia="Malgun Gothic" w:cs="Simplified Arabic" w:hint="cs"/>
          <w:sz w:val="22"/>
          <w:rtl/>
          <w:lang w:val="en-GB" w:eastAsia="en-US" w:bidi="ar-EG"/>
        </w:rPr>
        <w:t>الحاجة إلى</w:t>
      </w:r>
      <w:r>
        <w:rPr>
          <w:rFonts w:eastAsia="Malgun Gothic" w:cs="Simplified Arabic" w:hint="cs"/>
          <w:sz w:val="22"/>
          <w:rtl/>
          <w:lang w:val="en-GB" w:eastAsia="en-US" w:bidi="ar-EG"/>
        </w:rPr>
        <w:t xml:space="preserve"> التخطيط </w:t>
      </w:r>
      <w:r w:rsidR="0017308C">
        <w:rPr>
          <w:rFonts w:eastAsia="Malgun Gothic" w:cs="Simplified Arabic" w:hint="cs"/>
          <w:sz w:val="22"/>
          <w:rtl/>
          <w:lang w:val="en-GB" w:eastAsia="en-US" w:bidi="ar-EG"/>
        </w:rPr>
        <w:t>الأطول أمدا</w:t>
      </w:r>
      <w:r>
        <w:rPr>
          <w:rFonts w:eastAsia="Malgun Gothic" w:cs="Simplified Arabic" w:hint="cs"/>
          <w:sz w:val="22"/>
          <w:rtl/>
          <w:lang w:val="en-GB" w:eastAsia="en-US" w:bidi="ar-EG"/>
        </w:rPr>
        <w:t xml:space="preserve"> والدعم المست</w:t>
      </w:r>
      <w:r w:rsidR="0017308C">
        <w:rPr>
          <w:rFonts w:eastAsia="Malgun Gothic" w:cs="Simplified Arabic" w:hint="cs"/>
          <w:sz w:val="22"/>
          <w:rtl/>
          <w:lang w:val="en-GB" w:eastAsia="en-US" w:bidi="ar-EG"/>
        </w:rPr>
        <w:t xml:space="preserve">دام </w:t>
      </w:r>
      <w:r w:rsidR="00520F58">
        <w:rPr>
          <w:rFonts w:eastAsia="Malgun Gothic" w:cs="Simplified Arabic" w:hint="cs"/>
          <w:sz w:val="22"/>
          <w:rtl/>
          <w:lang w:val="en-GB" w:eastAsia="en-US" w:bidi="ar-EG"/>
        </w:rPr>
        <w:t>لإحداث</w:t>
      </w:r>
      <w:r w:rsidR="0017308C">
        <w:rPr>
          <w:rFonts w:eastAsia="Malgun Gothic" w:cs="Simplified Arabic" w:hint="cs"/>
          <w:sz w:val="22"/>
          <w:rtl/>
          <w:lang w:val="en-GB" w:eastAsia="en-US" w:bidi="ar-EG"/>
        </w:rPr>
        <w:t xml:space="preserve"> </w:t>
      </w:r>
      <w:r w:rsidR="00520F58">
        <w:rPr>
          <w:rFonts w:eastAsia="Malgun Gothic" w:cs="Simplified Arabic" w:hint="cs"/>
          <w:sz w:val="22"/>
          <w:rtl/>
          <w:lang w:val="en-GB" w:eastAsia="en-US" w:bidi="ar-EG"/>
        </w:rPr>
        <w:t>ال</w:t>
      </w:r>
      <w:r w:rsidR="0017308C">
        <w:rPr>
          <w:rFonts w:eastAsia="Malgun Gothic" w:cs="Simplified Arabic" w:hint="cs"/>
          <w:sz w:val="22"/>
          <w:rtl/>
          <w:lang w:val="en-GB" w:eastAsia="en-US" w:bidi="ar-EG"/>
        </w:rPr>
        <w:t>فرق.</w:t>
      </w:r>
    </w:p>
    <w:p w14:paraId="3A81FEB2" w14:textId="0F9F0C56" w:rsidR="009332ED" w:rsidRDefault="00942731"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5C4CCE">
        <w:rPr>
          <w:rFonts w:eastAsia="Malgun Gothic" w:cs="Simplified Arabic" w:hint="cs"/>
          <w:sz w:val="22"/>
          <w:rtl/>
          <w:lang w:val="en-GB" w:eastAsia="en-US" w:bidi="ar-EG"/>
        </w:rPr>
        <w:t>بالإ</w:t>
      </w:r>
      <w:r>
        <w:rPr>
          <w:rFonts w:eastAsia="Malgun Gothic" w:cs="Simplified Arabic" w:hint="cs"/>
          <w:sz w:val="22"/>
          <w:rtl/>
          <w:lang w:val="en-GB" w:eastAsia="en-US" w:bidi="ar-EG"/>
        </w:rPr>
        <w:t xml:space="preserve">ضافة إلى ذلك، أشار الاستعراض أيضا </w:t>
      </w:r>
      <w:r w:rsidR="00270C69">
        <w:rPr>
          <w:rFonts w:eastAsia="Malgun Gothic" w:cs="Simplified Arabic" w:hint="cs"/>
          <w:sz w:val="22"/>
          <w:rtl/>
          <w:lang w:val="en-GB" w:eastAsia="en-US" w:bidi="ar-EG"/>
        </w:rPr>
        <w:t xml:space="preserve">إعداد العديد </w:t>
      </w:r>
      <w:r>
        <w:rPr>
          <w:rFonts w:eastAsia="Malgun Gothic" w:cs="Simplified Arabic" w:hint="cs"/>
          <w:sz w:val="22"/>
          <w:rtl/>
          <w:lang w:val="en-GB" w:eastAsia="en-US" w:bidi="ar-EG"/>
        </w:rPr>
        <w:t>من</w:t>
      </w:r>
      <w:r w:rsidR="005C4CCE">
        <w:rPr>
          <w:rFonts w:eastAsia="Malgun Gothic" w:cs="Simplified Arabic" w:hint="cs"/>
          <w:sz w:val="22"/>
          <w:rtl/>
          <w:lang w:val="en-GB" w:eastAsia="en-US" w:bidi="ar-EG"/>
        </w:rPr>
        <w:t xml:space="preserve"> برامج ومبادرات التعاون التقني والعلمي بموجب </w:t>
      </w:r>
      <w:proofErr w:type="gramStart"/>
      <w:r w:rsidR="005C4CCE">
        <w:rPr>
          <w:rFonts w:eastAsia="Malgun Gothic" w:cs="Simplified Arabic" w:hint="cs"/>
          <w:sz w:val="22"/>
          <w:rtl/>
          <w:lang w:val="en-GB" w:eastAsia="en-US" w:bidi="ar-EG"/>
        </w:rPr>
        <w:t>الاتفاقية  بأسلوب</w:t>
      </w:r>
      <w:proofErr w:type="gramEnd"/>
      <w:r w:rsidR="005C4CCE">
        <w:rPr>
          <w:rFonts w:eastAsia="Malgun Gothic" w:cs="Simplified Arabic" w:hint="cs"/>
          <w:sz w:val="22"/>
          <w:rtl/>
          <w:lang w:val="en-GB" w:eastAsia="en-US" w:bidi="ar-EG"/>
        </w:rPr>
        <w:t xml:space="preserve"> "ينطلق من القمة إلى القاعدة". أي بعبارة أخرى،</w:t>
      </w:r>
      <w:r w:rsidR="00FF74D0">
        <w:rPr>
          <w:rFonts w:eastAsia="Malgun Gothic" w:cs="Simplified Arabic" w:hint="cs"/>
          <w:sz w:val="22"/>
          <w:rtl/>
          <w:lang w:val="en-GB" w:eastAsia="en-US" w:bidi="ar-EG"/>
        </w:rPr>
        <w:t xml:space="preserve"> أنه قد </w:t>
      </w:r>
      <w:r w:rsidR="005C4CCE">
        <w:rPr>
          <w:rFonts w:eastAsia="Malgun Gothic" w:cs="Simplified Arabic" w:hint="cs"/>
          <w:sz w:val="22"/>
          <w:rtl/>
          <w:lang w:val="en-GB" w:eastAsia="en-US" w:bidi="ar-EG"/>
        </w:rPr>
        <w:t xml:space="preserve">تم التفكير بها على المستوى </w:t>
      </w:r>
      <w:r w:rsidR="00FF74D0">
        <w:rPr>
          <w:rFonts w:eastAsia="Malgun Gothic" w:cs="Simplified Arabic" w:hint="cs"/>
          <w:sz w:val="22"/>
          <w:rtl/>
          <w:lang w:val="en-GB" w:eastAsia="en-US" w:bidi="ar-EG"/>
        </w:rPr>
        <w:t>العالمي</w:t>
      </w:r>
      <w:r w:rsidR="005C4CCE">
        <w:rPr>
          <w:rFonts w:eastAsia="Malgun Gothic" w:cs="Simplified Arabic" w:hint="cs"/>
          <w:sz w:val="22"/>
          <w:rtl/>
          <w:lang w:val="en-GB" w:eastAsia="en-US" w:bidi="ar-EG"/>
        </w:rPr>
        <w:t xml:space="preserve">، </w:t>
      </w:r>
      <w:r w:rsidR="004D189A">
        <w:rPr>
          <w:rFonts w:eastAsia="Malgun Gothic" w:cs="Simplified Arabic" w:hint="cs"/>
          <w:sz w:val="22"/>
          <w:rtl/>
          <w:lang w:val="en-GB" w:eastAsia="en-US" w:bidi="ar-EG"/>
        </w:rPr>
        <w:t xml:space="preserve">دون </w:t>
      </w:r>
      <w:r w:rsidR="005C4CCE">
        <w:rPr>
          <w:rFonts w:eastAsia="Malgun Gothic" w:cs="Simplified Arabic" w:hint="cs"/>
          <w:sz w:val="22"/>
          <w:rtl/>
          <w:lang w:val="en-GB" w:eastAsia="en-US" w:bidi="ar-EG"/>
        </w:rPr>
        <w:t>إشراك أصحاب المصلحة المعنيين على المستوى المحلي بصورة استراتيجية أو فعالة خلال مرحلة التصميم. وثمة حاجة لوضع خرائط ملائمة لأصحاب المصلحة</w:t>
      </w:r>
      <w:r w:rsidR="004D189A">
        <w:rPr>
          <w:rFonts w:eastAsia="Malgun Gothic" w:cs="Simplified Arabic" w:hint="cs"/>
          <w:sz w:val="22"/>
          <w:rtl/>
          <w:lang w:val="en-GB" w:eastAsia="en-US" w:bidi="ar-EG"/>
        </w:rPr>
        <w:t>،</w:t>
      </w:r>
      <w:r w:rsidR="005C4CCE">
        <w:rPr>
          <w:rFonts w:eastAsia="Malgun Gothic" w:cs="Simplified Arabic" w:hint="cs"/>
          <w:sz w:val="22"/>
          <w:rtl/>
          <w:lang w:val="en-GB" w:eastAsia="en-US" w:bidi="ar-EG"/>
        </w:rPr>
        <w:t xml:space="preserve"> مع تقييمات منتظمة للاحتياجات</w:t>
      </w:r>
      <w:r w:rsidR="004D189A">
        <w:rPr>
          <w:rFonts w:eastAsia="Malgun Gothic" w:cs="Simplified Arabic" w:hint="cs"/>
          <w:sz w:val="22"/>
          <w:rtl/>
          <w:lang w:val="en-GB" w:eastAsia="en-US" w:bidi="ar-EG"/>
        </w:rPr>
        <w:t>،</w:t>
      </w:r>
      <w:r w:rsidR="005C4CCE">
        <w:rPr>
          <w:rFonts w:eastAsia="Malgun Gothic" w:cs="Simplified Arabic" w:hint="cs"/>
          <w:sz w:val="22"/>
          <w:rtl/>
          <w:lang w:val="en-GB" w:eastAsia="en-US" w:bidi="ar-EG"/>
        </w:rPr>
        <w:t xml:space="preserve"> وانخراط كافٍ على المستويات المختلفة لتعزيز صلة وفعالية برمجة التعاون التقني والعلمي.</w:t>
      </w:r>
    </w:p>
    <w:p w14:paraId="4E0AEDC1" w14:textId="430A7039" w:rsidR="009332ED" w:rsidRDefault="005C4CC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علاوة على ذلك، وجد الاستعراض بأن تيسير التعاون بين بلدان الجنوب والتعاون الثلاثي أكثر ندرة ومحفوف بتحديات أكبر مقارنة بالتعاون بين بلدان الشمال وبلدان الجنوب. وتم التعبير عن</w:t>
      </w:r>
      <w:r w:rsidR="00372662">
        <w:rPr>
          <w:rFonts w:eastAsia="Malgun Gothic" w:cs="Simplified Arabic" w:hint="cs"/>
          <w:sz w:val="22"/>
          <w:rtl/>
          <w:lang w:val="en-GB" w:eastAsia="en-US" w:bidi="ar-EG"/>
        </w:rPr>
        <w:t xml:space="preserve"> القلق بشأن </w:t>
      </w:r>
      <w:r>
        <w:rPr>
          <w:rFonts w:eastAsia="Malgun Gothic" w:cs="Simplified Arabic" w:hint="cs"/>
          <w:sz w:val="22"/>
          <w:rtl/>
          <w:lang w:val="en-GB" w:eastAsia="en-US" w:bidi="ar-EG"/>
        </w:rPr>
        <w:t xml:space="preserve">حجم المعارف والخبرات الضائعة عندما لا يتم </w:t>
      </w:r>
      <w:r w:rsidR="00BA6249">
        <w:rPr>
          <w:rFonts w:eastAsia="Malgun Gothic" w:cs="Simplified Arabic" w:hint="cs"/>
          <w:sz w:val="22"/>
          <w:rtl/>
          <w:lang w:val="en-GB" w:eastAsia="en-US" w:bidi="ar-EG"/>
        </w:rPr>
        <w:t xml:space="preserve">تفعيل </w:t>
      </w:r>
      <w:r>
        <w:rPr>
          <w:rFonts w:eastAsia="Malgun Gothic" w:cs="Simplified Arabic" w:hint="cs"/>
          <w:sz w:val="22"/>
          <w:rtl/>
          <w:lang w:val="en-GB" w:eastAsia="en-US" w:bidi="ar-EG"/>
        </w:rPr>
        <w:t>فرص التعاون بين بلدان الجنوب. وضمن كل من البلدان النامية والمتقدمة، تم تحديد مكمن إضافي للضعف وهو الافتقار إلى الإشراك ذ</w:t>
      </w:r>
      <w:r w:rsidR="00BA6249">
        <w:rPr>
          <w:rFonts w:eastAsia="Malgun Gothic" w:cs="Simplified Arabic" w:hint="cs"/>
          <w:sz w:val="22"/>
          <w:rtl/>
          <w:lang w:val="en-GB" w:eastAsia="en-US" w:bidi="ar-EG"/>
        </w:rPr>
        <w:t>ي</w:t>
      </w:r>
      <w:r>
        <w:rPr>
          <w:rFonts w:eastAsia="Malgun Gothic" w:cs="Simplified Arabic" w:hint="cs"/>
          <w:sz w:val="22"/>
          <w:rtl/>
          <w:lang w:val="en-GB" w:eastAsia="en-US" w:bidi="ar-EG"/>
        </w:rPr>
        <w:t xml:space="preserve"> المغزى للشعوب الأصلية والمجتمعات المحلية في تدخلات التعاون التقني والعلمي.</w:t>
      </w:r>
    </w:p>
    <w:p w14:paraId="51D47E62" w14:textId="3BD5CB05" w:rsidR="009332ED" w:rsidRDefault="005C4CC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وأخيرا، أشار الاستعراض إلى أنه</w:t>
      </w:r>
      <w:r w:rsidR="00D42AFC">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وفي </w:t>
      </w:r>
      <w:proofErr w:type="gramStart"/>
      <w:r>
        <w:rPr>
          <w:rFonts w:eastAsia="Malgun Gothic" w:cs="Simplified Arabic" w:hint="cs"/>
          <w:sz w:val="22"/>
          <w:rtl/>
          <w:lang w:val="en-GB" w:eastAsia="en-US" w:bidi="ar-EG"/>
        </w:rPr>
        <w:t>حين  تمت</w:t>
      </w:r>
      <w:proofErr w:type="gramEnd"/>
      <w:r>
        <w:rPr>
          <w:rFonts w:eastAsia="Malgun Gothic" w:cs="Simplified Arabic" w:hint="cs"/>
          <w:sz w:val="22"/>
          <w:rtl/>
          <w:lang w:val="en-GB" w:eastAsia="en-US" w:bidi="ar-EG"/>
        </w:rPr>
        <w:t xml:space="preserve"> الإشارة إلى آلية غرفة تبادل المعلومات </w:t>
      </w:r>
      <w:r w:rsidR="00A93D15">
        <w:rPr>
          <w:rFonts w:eastAsia="Malgun Gothic" w:cs="Simplified Arabic" w:hint="cs"/>
          <w:sz w:val="22"/>
          <w:rtl/>
          <w:lang w:val="en-GB" w:eastAsia="en-US" w:bidi="ar-EG"/>
        </w:rPr>
        <w:t>في نص الاتفاقية على أنها آلية يُقصد منها ترويج وتيسير التعاون التقني والعلمي، إلا أنه من غير الواضح من تحليل المعلومات والتقارير المتاحة كيف تقوم هذه الآلية بترويج وتيسير التعاون التقني والعلمي في الممارسة الفعلية. كما أنه من الصعب أيضا قياس كيفية استجابة آلية غرفة تبادل المعلومات وغيرها من المبادرات للمقررات ذات الصلة بالتعاون التقني والعلمي التي تبناها مؤتمر الأطراف.</w:t>
      </w:r>
    </w:p>
    <w:p w14:paraId="72730A1B" w14:textId="0F3436F1" w:rsidR="00A93D15" w:rsidRPr="000764B5" w:rsidRDefault="00A93D15" w:rsidP="000764B5">
      <w:pPr>
        <w:keepNext/>
        <w:keepLines/>
        <w:bidi/>
        <w:spacing w:after="120" w:line="216" w:lineRule="auto"/>
        <w:jc w:val="center"/>
        <w:rPr>
          <w:rFonts w:eastAsia="YouYuan" w:cs="Simplified Arabic"/>
          <w:b/>
          <w:bCs/>
          <w:kern w:val="2"/>
          <w:sz w:val="28"/>
          <w:szCs w:val="28"/>
          <w:lang w:val="en-US" w:eastAsia="en-US" w:bidi="ar-EG"/>
        </w:rPr>
      </w:pPr>
      <w:r w:rsidRPr="000764B5">
        <w:rPr>
          <w:rFonts w:eastAsia="YouYuan" w:cs="Simplified Arabic" w:hint="cs"/>
          <w:b/>
          <w:bCs/>
          <w:kern w:val="2"/>
          <w:sz w:val="28"/>
          <w:szCs w:val="28"/>
          <w:rtl/>
          <w:lang w:val="en-US" w:eastAsia="en-US" w:bidi="ar-EG"/>
        </w:rPr>
        <w:t xml:space="preserve">ثانيا </w:t>
      </w:r>
      <w:r w:rsidRPr="000764B5">
        <w:rPr>
          <w:rFonts w:eastAsia="YouYuan" w:cs="Simplified Arabic"/>
          <w:b/>
          <w:bCs/>
          <w:kern w:val="2"/>
          <w:sz w:val="28"/>
          <w:szCs w:val="28"/>
          <w:rtl/>
          <w:lang w:val="en-US" w:eastAsia="en-US" w:bidi="ar-EG"/>
        </w:rPr>
        <w:t>–</w:t>
      </w:r>
      <w:r w:rsidRPr="000764B5">
        <w:rPr>
          <w:rFonts w:eastAsia="YouYuan" w:cs="Simplified Arabic" w:hint="cs"/>
          <w:b/>
          <w:bCs/>
          <w:kern w:val="2"/>
          <w:sz w:val="28"/>
          <w:szCs w:val="28"/>
          <w:rtl/>
          <w:lang w:val="en-US" w:eastAsia="en-US" w:bidi="ar-EG"/>
        </w:rPr>
        <w:t xml:space="preserve"> مقترحات لتجديد وتعزيز محتملَين لبرامج التعاون التقني والعلمي</w:t>
      </w:r>
    </w:p>
    <w:p w14:paraId="16BA6C2B" w14:textId="52B19F21" w:rsidR="009332ED" w:rsidRDefault="00A93D15"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استنادا إلى نتائج الاستعراض، يعرض هذا القسم مقترحات ترمي إلى التجديد والتعزيز المحتملَين لبرامج ومبادرات التعاون التقني والعلمي لدعم تنفيذ الإطار العالمي للتنوع البيولوجي لما بعد عام 2020. ويعرض القسم الفرعي ألف التوصيات الاستراتيجية والتشغيلية الشاملة الهادفة إلى معالجة بعض التحديات </w:t>
      </w:r>
      <w:proofErr w:type="spellStart"/>
      <w:r>
        <w:rPr>
          <w:rFonts w:eastAsia="Malgun Gothic" w:cs="Simplified Arabic" w:hint="cs"/>
          <w:sz w:val="22"/>
          <w:rtl/>
          <w:lang w:val="en-GB" w:eastAsia="en-US" w:bidi="ar-EG"/>
        </w:rPr>
        <w:t>والمحدوديات</w:t>
      </w:r>
      <w:proofErr w:type="spellEnd"/>
      <w:r>
        <w:rPr>
          <w:rFonts w:eastAsia="Malgun Gothic" w:cs="Simplified Arabic" w:hint="cs"/>
          <w:sz w:val="22"/>
          <w:rtl/>
          <w:lang w:val="en-GB" w:eastAsia="en-US" w:bidi="ar-EG"/>
        </w:rPr>
        <w:t xml:space="preserve"> التي واجهتها البرامج والمبادرات الموجودة لتعزيز صلتها وفعاليتها وتعزيز برمجة التعاون التقني والعلمي بموجب الاتفاقية وبروتوكوليها.</w:t>
      </w:r>
    </w:p>
    <w:p w14:paraId="5302B648" w14:textId="22BC649F" w:rsidR="009332ED" w:rsidRDefault="00E86E4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يعرض القسم الفرعي باء </w:t>
      </w:r>
      <w:r w:rsidR="00C46904">
        <w:rPr>
          <w:rFonts w:eastAsia="Malgun Gothic" w:cs="Simplified Arabic" w:hint="cs"/>
          <w:sz w:val="22"/>
          <w:rtl/>
          <w:lang w:val="en-GB" w:eastAsia="en-US" w:bidi="ar-EG"/>
        </w:rPr>
        <w:t xml:space="preserve">مقترحات </w:t>
      </w:r>
      <w:proofErr w:type="spellStart"/>
      <w:r w:rsidR="00C46904">
        <w:rPr>
          <w:rFonts w:eastAsia="Malgun Gothic" w:cs="Simplified Arabic" w:hint="cs"/>
          <w:sz w:val="22"/>
          <w:rtl/>
          <w:lang w:val="en-GB" w:eastAsia="en-US" w:bidi="ar-EG"/>
        </w:rPr>
        <w:t>لانشاء</w:t>
      </w:r>
      <w:proofErr w:type="spellEnd"/>
      <w:r w:rsidR="00C46904">
        <w:rPr>
          <w:rFonts w:eastAsia="Malgun Gothic" w:cs="Simplified Arabic" w:hint="cs"/>
          <w:sz w:val="22"/>
          <w:rtl/>
          <w:lang w:val="en-GB" w:eastAsia="en-US" w:bidi="ar-EG"/>
        </w:rPr>
        <w:t xml:space="preserve"> برنامج متسق </w:t>
      </w:r>
      <w:r w:rsidR="00200C48">
        <w:rPr>
          <w:rFonts w:eastAsia="Malgun Gothic" w:cs="Simplified Arabic" w:hint="cs"/>
          <w:sz w:val="22"/>
          <w:rtl/>
          <w:lang w:val="en-GB" w:eastAsia="en-US" w:bidi="ar-EG"/>
        </w:rPr>
        <w:t>للتعاون التقني والعلمي مع نظري</w:t>
      </w:r>
      <w:r w:rsidR="0064783C">
        <w:rPr>
          <w:rFonts w:eastAsia="Malgun Gothic" w:cs="Simplified Arabic" w:hint="cs"/>
          <w:sz w:val="22"/>
          <w:rtl/>
          <w:lang w:val="en-GB" w:eastAsia="en-US" w:bidi="ar-EG"/>
        </w:rPr>
        <w:t xml:space="preserve">ة تغيير واضحة </w:t>
      </w:r>
      <w:proofErr w:type="spellStart"/>
      <w:r w:rsidR="00812530">
        <w:rPr>
          <w:rFonts w:eastAsia="Malgun Gothic" w:cs="Simplified Arabic" w:hint="cs"/>
          <w:sz w:val="22"/>
          <w:rtl/>
          <w:lang w:val="en-GB" w:eastAsia="en-US" w:bidi="ar-EG"/>
        </w:rPr>
        <w:t>تتواءم</w:t>
      </w:r>
      <w:proofErr w:type="spellEnd"/>
      <w:r w:rsidR="00812530">
        <w:rPr>
          <w:rFonts w:eastAsia="Malgun Gothic" w:cs="Simplified Arabic" w:hint="cs"/>
          <w:sz w:val="22"/>
          <w:rtl/>
          <w:lang w:val="en-GB" w:eastAsia="en-US" w:bidi="ar-EG"/>
        </w:rPr>
        <w:t xml:space="preserve"> مع نظرية التغيير الخاصة </w:t>
      </w:r>
      <w:r w:rsidR="0031526A">
        <w:rPr>
          <w:rFonts w:eastAsia="Malgun Gothic" w:cs="Simplified Arabic" w:hint="cs"/>
          <w:sz w:val="22"/>
          <w:rtl/>
          <w:lang w:val="en-GB" w:eastAsia="en-US" w:bidi="ar-EG"/>
        </w:rPr>
        <w:t xml:space="preserve">بالإطار العالمي للتنوع البيولوجي لما بعد عام </w:t>
      </w:r>
      <w:proofErr w:type="gramStart"/>
      <w:r w:rsidR="0031526A">
        <w:rPr>
          <w:rFonts w:eastAsia="Malgun Gothic" w:cs="Simplified Arabic"/>
          <w:sz w:val="22"/>
          <w:lang w:val="en-US" w:eastAsia="en-US" w:bidi="ar-EG"/>
        </w:rPr>
        <w:t>2020</w:t>
      </w:r>
      <w:r w:rsidR="0031526A">
        <w:rPr>
          <w:rFonts w:eastAsia="Malgun Gothic" w:cs="Simplified Arabic" w:hint="cs"/>
          <w:sz w:val="22"/>
          <w:rtl/>
          <w:lang w:val="en-US" w:eastAsia="en-US"/>
        </w:rPr>
        <w:t xml:space="preserve"> </w:t>
      </w:r>
      <w:r w:rsidR="00F75DF5">
        <w:rPr>
          <w:rFonts w:eastAsia="Malgun Gothic" w:cs="Simplified Arabic" w:hint="cs"/>
          <w:sz w:val="22"/>
          <w:rtl/>
          <w:lang w:val="en-US" w:eastAsia="en-US"/>
        </w:rPr>
        <w:t>.</w:t>
      </w:r>
      <w:proofErr w:type="gramEnd"/>
      <w:r w:rsidR="00F75DF5">
        <w:rPr>
          <w:rFonts w:eastAsia="Malgun Gothic" w:cs="Simplified Arabic" w:hint="cs"/>
          <w:sz w:val="22"/>
          <w:rtl/>
          <w:lang w:val="en-US" w:eastAsia="en-US"/>
        </w:rPr>
        <w:t xml:space="preserve"> </w:t>
      </w:r>
      <w:r w:rsidR="00A93D15">
        <w:rPr>
          <w:rFonts w:eastAsia="Malgun Gothic" w:cs="Simplified Arabic" w:hint="cs"/>
          <w:sz w:val="22"/>
          <w:rtl/>
          <w:lang w:val="en-GB" w:eastAsia="en-US" w:bidi="ar-EG"/>
        </w:rPr>
        <w:t xml:space="preserve">ويعرض القسم الفرعي جيم مقترحات لإطار شامل </w:t>
      </w:r>
      <w:r w:rsidR="001113DE">
        <w:rPr>
          <w:rFonts w:eastAsia="Malgun Gothic" w:cs="Simplified Arabic" w:hint="cs"/>
          <w:sz w:val="22"/>
          <w:rtl/>
          <w:lang w:val="en-GB" w:eastAsia="en-US" w:bidi="ar-EG"/>
        </w:rPr>
        <w:t>ل</w:t>
      </w:r>
      <w:r w:rsidR="00A93D15">
        <w:rPr>
          <w:rFonts w:eastAsia="Malgun Gothic" w:cs="Simplified Arabic" w:hint="cs"/>
          <w:sz w:val="22"/>
          <w:rtl/>
          <w:lang w:val="en-GB" w:eastAsia="en-US" w:bidi="ar-EG"/>
        </w:rPr>
        <w:t xml:space="preserve">لرصد </w:t>
      </w:r>
      <w:r w:rsidR="001113DE">
        <w:rPr>
          <w:rFonts w:eastAsia="Malgun Gothic" w:cs="Simplified Arabic" w:hint="cs"/>
          <w:sz w:val="22"/>
          <w:rtl/>
          <w:lang w:val="en-GB" w:eastAsia="en-US" w:bidi="ar-EG"/>
        </w:rPr>
        <w:t xml:space="preserve">والاستعراض </w:t>
      </w:r>
      <w:r w:rsidR="00D659CD">
        <w:rPr>
          <w:rFonts w:eastAsia="Malgun Gothic" w:cs="Simplified Arabic" w:hint="cs"/>
          <w:sz w:val="22"/>
          <w:rtl/>
          <w:lang w:val="en-GB" w:eastAsia="en-US" w:bidi="ar-EG"/>
        </w:rPr>
        <w:t xml:space="preserve">والإبلاغ </w:t>
      </w:r>
      <w:r w:rsidR="00A93D15">
        <w:rPr>
          <w:rFonts w:eastAsia="Malgun Gothic" w:cs="Simplified Arabic" w:hint="cs"/>
          <w:sz w:val="22"/>
          <w:rtl/>
          <w:lang w:val="en-GB" w:eastAsia="en-US" w:bidi="ar-EG"/>
        </w:rPr>
        <w:t xml:space="preserve">يستند إلى النتائج لبرامج ومبادرات التعاون التقني والعلمي، </w:t>
      </w:r>
      <w:r w:rsidR="006A7D0E">
        <w:rPr>
          <w:rFonts w:eastAsia="Malgun Gothic" w:cs="Simplified Arabic" w:hint="cs"/>
          <w:sz w:val="22"/>
          <w:rtl/>
          <w:lang w:val="en-GB" w:eastAsia="en-US" w:bidi="ar-EG"/>
        </w:rPr>
        <w:t xml:space="preserve">يحتمل </w:t>
      </w:r>
      <w:r w:rsidR="001069F8">
        <w:rPr>
          <w:rFonts w:eastAsia="Malgun Gothic" w:cs="Simplified Arabic" w:hint="cs"/>
          <w:sz w:val="22"/>
          <w:rtl/>
          <w:lang w:val="en-GB" w:eastAsia="en-US" w:bidi="ar-EG"/>
        </w:rPr>
        <w:t xml:space="preserve">ان يشمل أيضا </w:t>
      </w:r>
      <w:r w:rsidR="00A93D15">
        <w:rPr>
          <w:rFonts w:eastAsia="Malgun Gothic" w:cs="Simplified Arabic" w:hint="cs"/>
          <w:sz w:val="22"/>
          <w:rtl/>
          <w:lang w:val="en-GB" w:eastAsia="en-US" w:bidi="ar-EG"/>
        </w:rPr>
        <w:t>مؤشرات أداء رئيسية.</w:t>
      </w:r>
    </w:p>
    <w:p w14:paraId="55E8BCEF" w14:textId="31A2A7AF" w:rsidR="00FA1C71" w:rsidRPr="007E1C89" w:rsidRDefault="00FA1C71" w:rsidP="007E1C89">
      <w:pPr>
        <w:keepNext/>
        <w:keepLines/>
        <w:bidi/>
        <w:spacing w:after="120" w:line="216" w:lineRule="auto"/>
        <w:jc w:val="center"/>
        <w:rPr>
          <w:rFonts w:eastAsia="Malgun Gothic" w:cs="Simplified Arabic"/>
          <w:b/>
          <w:bCs/>
          <w:sz w:val="22"/>
          <w:lang w:val="en-GB" w:eastAsia="en-US" w:bidi="ar-EG"/>
        </w:rPr>
      </w:pPr>
      <w:r w:rsidRPr="007E1C89">
        <w:rPr>
          <w:rFonts w:eastAsia="Malgun Gothic" w:cs="Simplified Arabic" w:hint="cs"/>
          <w:b/>
          <w:bCs/>
          <w:sz w:val="22"/>
          <w:rtl/>
          <w:lang w:val="en-GB" w:eastAsia="en-US" w:bidi="ar-EG"/>
        </w:rPr>
        <w:t xml:space="preserve">ألف </w:t>
      </w:r>
      <w:r w:rsidRPr="007E1C89">
        <w:rPr>
          <w:rFonts w:eastAsia="Malgun Gothic" w:cs="Simplified Arabic"/>
          <w:b/>
          <w:bCs/>
          <w:sz w:val="22"/>
          <w:rtl/>
          <w:lang w:val="en-GB" w:eastAsia="en-US" w:bidi="ar-EG"/>
        </w:rPr>
        <w:t>–</w:t>
      </w:r>
      <w:r w:rsidRPr="007E1C89">
        <w:rPr>
          <w:rFonts w:eastAsia="Malgun Gothic" w:cs="Simplified Arabic" w:hint="cs"/>
          <w:b/>
          <w:bCs/>
          <w:sz w:val="22"/>
          <w:rtl/>
          <w:lang w:val="en-GB" w:eastAsia="en-US" w:bidi="ar-EG"/>
        </w:rPr>
        <w:t xml:space="preserve"> التوصيات الشاملة لتعزيز التعاون التقني والعلمي دعما للإطار العالمي للتنوع البيولوجي</w:t>
      </w:r>
    </w:p>
    <w:p w14:paraId="5E4E02DD" w14:textId="72E982A7" w:rsidR="009332ED" w:rsidRDefault="00FA1C71"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استنادا إلى نتائج الاستعراض، اقتُرحت التوصية التالية لكي تنظر فيها، كما هو ملائم، الأطراف والأمانة العامة وأصحاب المصلحة المعنيين بهدف تعزيز صلة وفعالية التعاون التقني والعلمي دعما لتنفيذ الإطار العالمي للتنوع البيولوجي لما بعد عام 2020. وقد نُظمت هذه التوصيات ضمن فئتين أساسيتين وهما: استراتيجية وتشغيلية.</w:t>
      </w:r>
    </w:p>
    <w:p w14:paraId="03463449" w14:textId="4D1FDA74" w:rsidR="00FA1C71" w:rsidRPr="00FA1C71" w:rsidRDefault="00FA1C71" w:rsidP="00FA1C71">
      <w:pPr>
        <w:bidi/>
        <w:spacing w:after="120" w:line="216" w:lineRule="auto"/>
        <w:jc w:val="both"/>
        <w:rPr>
          <w:rFonts w:eastAsia="Malgun Gothic" w:cs="Simplified Arabic"/>
          <w:i/>
          <w:iCs/>
          <w:sz w:val="22"/>
          <w:lang w:val="en-GB" w:eastAsia="en-US" w:bidi="ar-EG"/>
        </w:rPr>
      </w:pPr>
      <w:r w:rsidRPr="00FA1C71">
        <w:rPr>
          <w:rFonts w:eastAsia="Malgun Gothic" w:cs="Simplified Arabic" w:hint="cs"/>
          <w:i/>
          <w:iCs/>
          <w:sz w:val="22"/>
          <w:rtl/>
          <w:lang w:val="en-GB" w:eastAsia="en-US" w:bidi="ar-EG"/>
        </w:rPr>
        <w:t>التوصيات الاستراتيجية</w:t>
      </w:r>
    </w:p>
    <w:p w14:paraId="2E154DE9" w14:textId="47366B8F" w:rsidR="009332ED" w:rsidRDefault="00FA1C71" w:rsidP="009332ED">
      <w:pPr>
        <w:numPr>
          <w:ilvl w:val="0"/>
          <w:numId w:val="32"/>
        </w:numPr>
        <w:bidi/>
        <w:spacing w:after="120" w:line="216" w:lineRule="auto"/>
        <w:ind w:left="0" w:firstLine="0"/>
        <w:jc w:val="both"/>
        <w:rPr>
          <w:rFonts w:eastAsia="Malgun Gothic" w:cs="Simplified Arabic"/>
          <w:sz w:val="22"/>
          <w:lang w:val="en-GB" w:eastAsia="en-US" w:bidi="ar-EG"/>
        </w:rPr>
      </w:pPr>
      <w:r w:rsidRPr="00FA1C71">
        <w:rPr>
          <w:rFonts w:eastAsia="Malgun Gothic" w:cs="Simplified Arabic" w:hint="cs"/>
          <w:b/>
          <w:bCs/>
          <w:sz w:val="22"/>
          <w:rtl/>
          <w:lang w:val="en-GB" w:eastAsia="en-US" w:bidi="ar-EG"/>
        </w:rPr>
        <w:t>إعداد توصيف واضح لنطاق التعاون التقني والعلمي وكيفية تيسيره على جميع المستويات.</w:t>
      </w:r>
      <w:r>
        <w:rPr>
          <w:rFonts w:eastAsia="Malgun Gothic" w:cs="Simplified Arabic" w:hint="cs"/>
          <w:sz w:val="22"/>
          <w:rtl/>
          <w:lang w:val="en-GB" w:eastAsia="en-US" w:bidi="ar-EG"/>
        </w:rPr>
        <w:t xml:space="preserve"> يمكن لتطوير فهم مشترك ونهج متسق للتعاون التقني والعلمي في سياق البرمجة بموجب الاتفاقية أن يكون مفيدا لتركيز تدخلات التعاون التقني والعلمي بصورة أفضل على جميع المستويات، ولجعلها أكثر فعالية</w:t>
      </w:r>
      <w:r w:rsidR="00D05A55">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وضمان وجود الرصد والإبلاغ المنتظمين عن التقدم المحرز.</w:t>
      </w:r>
    </w:p>
    <w:p w14:paraId="04DE207A" w14:textId="09EB1D0B" w:rsidR="009332ED" w:rsidRDefault="00FA1C71" w:rsidP="009332ED">
      <w:pPr>
        <w:numPr>
          <w:ilvl w:val="0"/>
          <w:numId w:val="32"/>
        </w:numPr>
        <w:bidi/>
        <w:spacing w:after="120" w:line="216" w:lineRule="auto"/>
        <w:ind w:left="0" w:firstLine="0"/>
        <w:jc w:val="both"/>
        <w:rPr>
          <w:rFonts w:eastAsia="Malgun Gothic" w:cs="Simplified Arabic"/>
          <w:sz w:val="22"/>
          <w:lang w:val="en-GB" w:eastAsia="en-US" w:bidi="ar-EG"/>
        </w:rPr>
      </w:pPr>
      <w:r w:rsidRPr="008A6520">
        <w:rPr>
          <w:rFonts w:eastAsia="Malgun Gothic" w:cs="Simplified Arabic" w:hint="cs"/>
          <w:b/>
          <w:bCs/>
          <w:sz w:val="22"/>
          <w:rtl/>
          <w:lang w:val="en-GB" w:eastAsia="en-US" w:bidi="ar-EG"/>
        </w:rPr>
        <w:t xml:space="preserve">مأسسة </w:t>
      </w:r>
      <w:r w:rsidR="008A6520" w:rsidRPr="008A6520">
        <w:rPr>
          <w:rFonts w:eastAsia="Malgun Gothic" w:cs="Simplified Arabic" w:hint="cs"/>
          <w:b/>
          <w:bCs/>
          <w:sz w:val="22"/>
          <w:rtl/>
          <w:lang w:val="en-GB" w:eastAsia="en-US" w:bidi="ar-EG"/>
        </w:rPr>
        <w:t>تنسيق التعاون التقني والعلمي وإجراءاته من خلال الآليات الإقليمية ودون الإقليمية.</w:t>
      </w:r>
      <w:r w:rsidR="008A6520">
        <w:rPr>
          <w:rFonts w:eastAsia="Malgun Gothic" w:cs="Simplified Arabic" w:hint="cs"/>
          <w:sz w:val="22"/>
          <w:rtl/>
          <w:lang w:val="en-GB" w:eastAsia="en-US" w:bidi="ar-EG"/>
        </w:rPr>
        <w:t xml:space="preserve"> تتمتع المراكز الإقليمية ودون الإقليمية بميزة كونها أكثر ارتباطا ودراية</w:t>
      </w:r>
      <w:r w:rsidR="00BE5827">
        <w:rPr>
          <w:rFonts w:eastAsia="Malgun Gothic" w:cs="Simplified Arabic" w:hint="cs"/>
          <w:sz w:val="22"/>
          <w:rtl/>
          <w:lang w:val="en-GB" w:eastAsia="en-US" w:bidi="ar-EG"/>
        </w:rPr>
        <w:t>،</w:t>
      </w:r>
      <w:r w:rsidR="008A6520">
        <w:rPr>
          <w:rFonts w:eastAsia="Malgun Gothic" w:cs="Simplified Arabic" w:hint="cs"/>
          <w:sz w:val="22"/>
          <w:rtl/>
          <w:lang w:val="en-GB" w:eastAsia="en-US" w:bidi="ar-EG"/>
        </w:rPr>
        <w:t xml:space="preserve"> لا فيما يتعلق بالقضايا والتحديات فحسب، وإنما أيضا أصحاب المصلحة والخبراء العاملين على أرض الواقع لتحقيق غايات التنوع البيولوجي. ويمكن لهذه المراكز أن تكون أكثر كفاءة وفعالية في ربط العالمي بالمحلي، وتيسير إرساء شراكات التعاون التقني والعلمي، وخلق </w:t>
      </w:r>
      <w:r w:rsidR="00C85D7A">
        <w:rPr>
          <w:rFonts w:eastAsia="Malgun Gothic" w:cs="Simplified Arabic" w:hint="cs"/>
          <w:sz w:val="22"/>
          <w:rtl/>
          <w:lang w:val="en-GB" w:eastAsia="en-US" w:bidi="ar-EG"/>
        </w:rPr>
        <w:t xml:space="preserve">التوافق </w:t>
      </w:r>
      <w:r w:rsidR="008A6520">
        <w:rPr>
          <w:rFonts w:eastAsia="Malgun Gothic" w:cs="Simplified Arabic" w:hint="cs"/>
          <w:sz w:val="22"/>
          <w:rtl/>
          <w:lang w:val="en-GB" w:eastAsia="en-US" w:bidi="ar-EG"/>
        </w:rPr>
        <w:t>الذي يمكن أن يدعم تنفيذ الإطار العالمي للتنوع البيولوجي لما بعد عام 2020. ولكي تكون فعالة، فإنه من الهام بمكان تعزيز قدرات المراكز/المؤسسات الإقليمية، وبخاصة في مجالات على شاكلة حشد الموارد.</w:t>
      </w:r>
    </w:p>
    <w:p w14:paraId="39CDF9AE" w14:textId="2DBCB49A" w:rsidR="009332ED" w:rsidRDefault="008A6520" w:rsidP="009332ED">
      <w:pPr>
        <w:numPr>
          <w:ilvl w:val="0"/>
          <w:numId w:val="32"/>
        </w:numPr>
        <w:bidi/>
        <w:spacing w:after="120" w:line="216" w:lineRule="auto"/>
        <w:ind w:left="0" w:firstLine="0"/>
        <w:jc w:val="both"/>
        <w:rPr>
          <w:rFonts w:eastAsia="Malgun Gothic" w:cs="Simplified Arabic"/>
          <w:sz w:val="22"/>
          <w:lang w:val="en-GB" w:eastAsia="en-US" w:bidi="ar-EG"/>
        </w:rPr>
      </w:pPr>
      <w:r w:rsidRPr="008A6520">
        <w:rPr>
          <w:rFonts w:eastAsia="Malgun Gothic" w:cs="Simplified Arabic" w:hint="cs"/>
          <w:b/>
          <w:bCs/>
          <w:sz w:val="22"/>
          <w:rtl/>
          <w:lang w:val="en-GB" w:eastAsia="en-US" w:bidi="ar-EG"/>
        </w:rPr>
        <w:lastRenderedPageBreak/>
        <w:t>إدماج أنشطة تعزيز القدرات ضمن برامج التعاون التقني والعلمي.</w:t>
      </w:r>
      <w:r>
        <w:rPr>
          <w:rFonts w:eastAsia="Malgun Gothic" w:cs="Simplified Arabic" w:hint="cs"/>
          <w:sz w:val="22"/>
          <w:rtl/>
          <w:lang w:val="en-GB" w:eastAsia="en-US" w:bidi="ar-EG"/>
        </w:rPr>
        <w:t xml:space="preserve"> للمبادرات التي تتضمن تنمية القدرات </w:t>
      </w:r>
      <w:r w:rsidR="0015667A">
        <w:rPr>
          <w:rFonts w:eastAsia="Malgun Gothic" w:cs="Simplified Arabic" w:hint="cs"/>
          <w:sz w:val="22"/>
          <w:rtl/>
          <w:lang w:val="en-GB" w:eastAsia="en-US" w:bidi="ar-EG"/>
        </w:rPr>
        <w:t xml:space="preserve">قدرة </w:t>
      </w:r>
      <w:r>
        <w:rPr>
          <w:rFonts w:eastAsia="Malgun Gothic" w:cs="Simplified Arabic" w:hint="cs"/>
          <w:sz w:val="22"/>
          <w:rtl/>
          <w:lang w:val="en-GB" w:eastAsia="en-US" w:bidi="ar-EG"/>
        </w:rPr>
        <w:t>أعظم على الوصول وإمكانية أن تخلف أثرا أكبر، وبالتالي ينبغي على برمجة التعاون التقني والعلمي أن تتضمن بصورة متعمدة أنشطة لتعزيز القدرات.</w:t>
      </w:r>
    </w:p>
    <w:p w14:paraId="4169E925" w14:textId="5777B85B" w:rsidR="009332ED" w:rsidRDefault="00F17D62" w:rsidP="009332ED">
      <w:pPr>
        <w:numPr>
          <w:ilvl w:val="0"/>
          <w:numId w:val="32"/>
        </w:numPr>
        <w:bidi/>
        <w:spacing w:after="120" w:line="216" w:lineRule="auto"/>
        <w:ind w:left="0" w:firstLine="0"/>
        <w:jc w:val="both"/>
        <w:rPr>
          <w:rFonts w:eastAsia="Malgun Gothic" w:cs="Simplified Arabic"/>
          <w:sz w:val="22"/>
          <w:lang w:val="en-GB" w:eastAsia="en-US" w:bidi="ar-EG"/>
        </w:rPr>
      </w:pPr>
      <w:r w:rsidRPr="00F17D62">
        <w:rPr>
          <w:rFonts w:eastAsia="Malgun Gothic" w:cs="Simplified Arabic" w:hint="cs"/>
          <w:b/>
          <w:bCs/>
          <w:sz w:val="22"/>
          <w:rtl/>
          <w:lang w:val="en-GB" w:eastAsia="en-US" w:bidi="ar-EG"/>
        </w:rPr>
        <w:t>مواءمة واستهداف برامج التعاون التقني والعلمي للاحتياجات التي حددتها البلدان والمجتمعات الشريكة.</w:t>
      </w:r>
      <w:r>
        <w:rPr>
          <w:rFonts w:eastAsia="Malgun Gothic" w:cs="Simplified Arabic" w:hint="cs"/>
          <w:sz w:val="22"/>
          <w:rtl/>
          <w:lang w:val="en-GB" w:eastAsia="en-US" w:bidi="ar-EG"/>
        </w:rPr>
        <w:t xml:space="preserve"> هنالك حاجة لبذل جهود أعظم وأكثر انتظاما لضمان أن تكون برمجة التعاون التقني والعلمي موجهة بالطلب</w:t>
      </w:r>
      <w:r w:rsidR="00B149D3">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w:t>
      </w:r>
      <w:r w:rsidR="00326875">
        <w:rPr>
          <w:rFonts w:eastAsia="Malgun Gothic" w:cs="Simplified Arabic" w:hint="cs"/>
          <w:sz w:val="22"/>
          <w:rtl/>
          <w:lang w:val="en-GB" w:eastAsia="en-US" w:bidi="ar-EG"/>
        </w:rPr>
        <w:t>ومستجيب</w:t>
      </w:r>
      <w:r w:rsidR="00B149D3">
        <w:rPr>
          <w:rFonts w:eastAsia="Malgun Gothic" w:cs="Simplified Arabic" w:hint="cs"/>
          <w:sz w:val="22"/>
          <w:rtl/>
          <w:lang w:val="en-GB" w:eastAsia="en-US" w:bidi="ar-EG"/>
        </w:rPr>
        <w:t xml:space="preserve">ة </w:t>
      </w:r>
      <w:r>
        <w:rPr>
          <w:rFonts w:eastAsia="Malgun Gothic" w:cs="Simplified Arabic" w:hint="cs"/>
          <w:sz w:val="22"/>
          <w:rtl/>
          <w:lang w:val="en-GB" w:eastAsia="en-US" w:bidi="ar-EG"/>
        </w:rPr>
        <w:t>للاحتياجات والفجوات التي حددها المستفيدون من التدخلات المزمعة.</w:t>
      </w:r>
    </w:p>
    <w:p w14:paraId="5BE08189" w14:textId="701D3F57" w:rsidR="009332ED" w:rsidRDefault="00705ABB" w:rsidP="009332ED">
      <w:pPr>
        <w:numPr>
          <w:ilvl w:val="0"/>
          <w:numId w:val="32"/>
        </w:numPr>
        <w:bidi/>
        <w:spacing w:after="120" w:line="216" w:lineRule="auto"/>
        <w:ind w:left="0" w:firstLine="0"/>
        <w:jc w:val="both"/>
        <w:rPr>
          <w:rFonts w:eastAsia="Malgun Gothic" w:cs="Simplified Arabic"/>
          <w:sz w:val="22"/>
          <w:lang w:val="en-GB" w:eastAsia="en-US" w:bidi="ar-EG"/>
        </w:rPr>
      </w:pPr>
      <w:r w:rsidRPr="00705ABB">
        <w:rPr>
          <w:rFonts w:eastAsia="Malgun Gothic" w:cs="Simplified Arabic" w:hint="cs"/>
          <w:b/>
          <w:bCs/>
          <w:sz w:val="22"/>
          <w:rtl/>
          <w:lang w:val="en-GB" w:eastAsia="en-US" w:bidi="ar-EG"/>
        </w:rPr>
        <w:t>تعزيز القدرات المؤسسية والتنظيمية لإرساء شراكات مع المؤسسات الوطنية والإقليمية.</w:t>
      </w:r>
      <w:r>
        <w:rPr>
          <w:rFonts w:eastAsia="Malgun Gothic" w:cs="Simplified Arabic" w:hint="cs"/>
          <w:sz w:val="22"/>
          <w:rtl/>
          <w:lang w:val="en-GB" w:eastAsia="en-US" w:bidi="ar-EG"/>
        </w:rPr>
        <w:t xml:space="preserve"> من الهام بمكان أن تضع برامج التعاون التقني والعلمي المزيد من التركيز على تعزيز القدرات المؤسسية والتنظيمية</w:t>
      </w:r>
      <w:r w:rsidR="00B149D3">
        <w:rPr>
          <w:rFonts w:eastAsia="Malgun Gothic" w:cs="Simplified Arabic" w:hint="cs"/>
          <w:sz w:val="22"/>
          <w:rtl/>
          <w:lang w:val="en-GB" w:eastAsia="en-US" w:bidi="ar-EG"/>
        </w:rPr>
        <w:t>،</w:t>
      </w:r>
      <w:r w:rsidR="002141F6">
        <w:rPr>
          <w:rFonts w:eastAsia="Malgun Gothic" w:cs="Simplified Arabic" w:hint="cs"/>
          <w:sz w:val="22"/>
          <w:rtl/>
          <w:lang w:val="en-GB" w:eastAsia="en-US"/>
        </w:rPr>
        <w:t xml:space="preserve"> وأن تتضمن استراتيجيات تساعد على تحسين الحوكمة والبنى التحتية لاتخاذ القرار والإجراءات والموارد المالية والبشرية، من بين أمور أخرى، التي باستطاعتها أن تمكن التطور العلمي </w:t>
      </w:r>
      <w:r w:rsidR="004014AB">
        <w:rPr>
          <w:rFonts w:eastAsia="Malgun Gothic" w:cs="Simplified Arabic" w:hint="cs"/>
          <w:sz w:val="22"/>
          <w:rtl/>
          <w:lang w:val="en-GB" w:eastAsia="en-US"/>
        </w:rPr>
        <w:t xml:space="preserve">طويل </w:t>
      </w:r>
      <w:r w:rsidR="002141F6">
        <w:rPr>
          <w:rFonts w:eastAsia="Malgun Gothic" w:cs="Simplified Arabic" w:hint="cs"/>
          <w:sz w:val="22"/>
          <w:rtl/>
          <w:lang w:val="en-GB" w:eastAsia="en-US"/>
        </w:rPr>
        <w:t>الأمد</w:t>
      </w:r>
      <w:r w:rsidR="004014AB">
        <w:rPr>
          <w:rFonts w:eastAsia="Malgun Gothic" w:cs="Simplified Arabic" w:hint="cs"/>
          <w:sz w:val="22"/>
          <w:rtl/>
          <w:lang w:val="en-GB" w:eastAsia="en-US"/>
        </w:rPr>
        <w:t>،</w:t>
      </w:r>
      <w:r w:rsidR="002141F6">
        <w:rPr>
          <w:rFonts w:eastAsia="Malgun Gothic" w:cs="Simplified Arabic" w:hint="cs"/>
          <w:sz w:val="22"/>
          <w:rtl/>
          <w:lang w:val="en-GB" w:eastAsia="en-US"/>
        </w:rPr>
        <w:t xml:space="preserve"> والابتكار التكنولوجي </w:t>
      </w:r>
      <w:r w:rsidR="00E87B53">
        <w:rPr>
          <w:rFonts w:eastAsia="Malgun Gothic" w:cs="Simplified Arabic" w:hint="cs"/>
          <w:sz w:val="22"/>
          <w:rtl/>
          <w:lang w:val="en-GB" w:eastAsia="en-US"/>
        </w:rPr>
        <w:t xml:space="preserve">القادر على دعم </w:t>
      </w:r>
      <w:r w:rsidR="002141F6">
        <w:rPr>
          <w:rFonts w:eastAsia="Malgun Gothic" w:cs="Simplified Arabic" w:hint="cs"/>
          <w:sz w:val="22"/>
          <w:rtl/>
          <w:lang w:val="en-GB" w:eastAsia="en-US"/>
        </w:rPr>
        <w:t xml:space="preserve">الإطار العالمي للتنوع البيولوجي لما بعد عام 2020. </w:t>
      </w:r>
    </w:p>
    <w:p w14:paraId="1C409EF4" w14:textId="01BC15C6" w:rsidR="009332ED" w:rsidRDefault="002141F6" w:rsidP="009332ED">
      <w:pPr>
        <w:numPr>
          <w:ilvl w:val="0"/>
          <w:numId w:val="32"/>
        </w:numPr>
        <w:bidi/>
        <w:spacing w:after="120" w:line="216" w:lineRule="auto"/>
        <w:ind w:left="0" w:firstLine="0"/>
        <w:jc w:val="both"/>
        <w:rPr>
          <w:rFonts w:eastAsia="Malgun Gothic" w:cs="Simplified Arabic"/>
          <w:sz w:val="22"/>
          <w:lang w:val="en-GB" w:eastAsia="en-US" w:bidi="ar-EG"/>
        </w:rPr>
      </w:pPr>
      <w:r w:rsidRPr="007E3B6E">
        <w:rPr>
          <w:rFonts w:eastAsia="Malgun Gothic" w:cs="Simplified Arabic" w:hint="cs"/>
          <w:b/>
          <w:bCs/>
          <w:sz w:val="22"/>
          <w:rtl/>
          <w:lang w:val="en-GB" w:eastAsia="en-US" w:bidi="ar-EG"/>
        </w:rPr>
        <w:t xml:space="preserve">وضع أولويات لأنشطة التعاون التقني والعلمي التي تروج لتقاسم المعارف المحلية والأصلية بين الأطراف والتي </w:t>
      </w:r>
      <w:r w:rsidR="007E3B6E" w:rsidRPr="007E3B6E">
        <w:rPr>
          <w:rFonts w:eastAsia="Malgun Gothic" w:cs="Simplified Arabic" w:hint="cs"/>
          <w:b/>
          <w:bCs/>
          <w:sz w:val="22"/>
          <w:rtl/>
          <w:lang w:val="en-GB" w:eastAsia="en-US" w:bidi="ar-EG"/>
        </w:rPr>
        <w:t>تعظم من استخدام الخبرة المحلية في تطوير تكنولوجيات جديدة.</w:t>
      </w:r>
      <w:r w:rsidR="007E3B6E">
        <w:rPr>
          <w:rFonts w:eastAsia="Malgun Gothic" w:cs="Simplified Arabic" w:hint="cs"/>
          <w:sz w:val="22"/>
          <w:rtl/>
          <w:lang w:val="en-GB" w:eastAsia="en-US" w:bidi="ar-EG"/>
        </w:rPr>
        <w:t xml:space="preserve"> هنالك حاجة لبذل المزيد من الجهود لتطوير برمجة للتعاون التقني والعلمي تستهدف على وجه الخصوص الشعوب الأصلية والمجتمعات المحلية وتركز على استقطاب المعارف الأصلية والخبرات المحلية. وفي هذا الصدد، يوصى أيضا بأن تطبق الأطراف والمنظمات وغيرها من أصحاب المصلحة التي تصمم برامج للتعاون التقني والعلمي مبادئ </w:t>
      </w:r>
      <w:proofErr w:type="spellStart"/>
      <w:r w:rsidR="007E3B6E">
        <w:rPr>
          <w:rFonts w:eastAsia="Malgun Gothic" w:cs="Simplified Arabic" w:hint="cs"/>
          <w:sz w:val="22"/>
          <w:rtl/>
          <w:lang w:val="en-GB" w:eastAsia="en-US" w:bidi="ar-EG"/>
        </w:rPr>
        <w:t>أغواي</w:t>
      </w:r>
      <w:proofErr w:type="spellEnd"/>
      <w:r w:rsidR="007E3B6E">
        <w:rPr>
          <w:rFonts w:eastAsia="Malgun Gothic" w:cs="Simplified Arabic" w:hint="cs"/>
          <w:sz w:val="22"/>
          <w:rtl/>
          <w:lang w:val="en-GB" w:eastAsia="en-US" w:bidi="ar-EG"/>
        </w:rPr>
        <w:t>: كون الإرشادية الطوعية</w:t>
      </w:r>
      <w:r w:rsidR="007E3B6E">
        <w:rPr>
          <w:rStyle w:val="FootnoteReference"/>
          <w:rFonts w:eastAsia="Malgun Gothic" w:cs="Simplified Arabic"/>
          <w:sz w:val="22"/>
          <w:rtl/>
          <w:lang w:val="en-GB" w:eastAsia="en-US" w:bidi="ar-EG"/>
        </w:rPr>
        <w:footnoteReference w:id="3"/>
      </w:r>
      <w:r w:rsidR="007E3B6E">
        <w:rPr>
          <w:rFonts w:eastAsia="Malgun Gothic" w:cs="Simplified Arabic" w:hint="cs"/>
          <w:sz w:val="22"/>
          <w:rtl/>
          <w:lang w:val="en-GB" w:eastAsia="en-US"/>
        </w:rPr>
        <w:t xml:space="preserve"> للتطرق </w:t>
      </w:r>
      <w:proofErr w:type="spellStart"/>
      <w:r w:rsidR="007E3B6E">
        <w:rPr>
          <w:rFonts w:eastAsia="Malgun Gothic" w:cs="Simplified Arabic" w:hint="cs"/>
          <w:sz w:val="22"/>
          <w:rtl/>
          <w:lang w:val="en-GB" w:eastAsia="en-US"/>
        </w:rPr>
        <w:t>لل</w:t>
      </w:r>
      <w:r w:rsidR="007E3B6E" w:rsidRPr="007E3B6E">
        <w:rPr>
          <w:rFonts w:eastAsia="Malgun Gothic" w:cs="Simplified Arabic"/>
          <w:sz w:val="22"/>
          <w:rtl/>
          <w:lang w:val="en-GB" w:eastAsia="en-US"/>
        </w:rPr>
        <w:t>تنميات</w:t>
      </w:r>
      <w:proofErr w:type="spellEnd"/>
      <w:r w:rsidR="007E3B6E" w:rsidRPr="007E3B6E">
        <w:rPr>
          <w:rFonts w:eastAsia="Malgun Gothic" w:cs="Simplified Arabic"/>
          <w:sz w:val="22"/>
          <w:rtl/>
          <w:lang w:val="en-GB" w:eastAsia="en-US"/>
        </w:rPr>
        <w:t xml:space="preserve"> </w:t>
      </w:r>
      <w:r w:rsidR="00923CAC">
        <w:rPr>
          <w:rFonts w:eastAsia="Malgun Gothic" w:cs="Simplified Arabic" w:hint="cs"/>
          <w:sz w:val="22"/>
          <w:rtl/>
          <w:lang w:val="en-GB" w:eastAsia="en-US"/>
        </w:rPr>
        <w:t>ال</w:t>
      </w:r>
      <w:r w:rsidR="007E3B6E" w:rsidRPr="007E3B6E">
        <w:rPr>
          <w:rFonts w:eastAsia="Malgun Gothic" w:cs="Simplified Arabic"/>
          <w:sz w:val="22"/>
          <w:rtl/>
          <w:lang w:val="en-GB" w:eastAsia="en-US"/>
        </w:rPr>
        <w:t>مقترح إجراؤها</w:t>
      </w:r>
      <w:r w:rsidR="007F1530">
        <w:rPr>
          <w:rFonts w:eastAsia="Malgun Gothic" w:cs="Simplified Arabic" w:hint="cs"/>
          <w:sz w:val="22"/>
          <w:rtl/>
          <w:lang w:val="en-GB" w:eastAsia="en-US"/>
        </w:rPr>
        <w:t>،</w:t>
      </w:r>
      <w:r w:rsidR="007E3B6E" w:rsidRPr="007E3B6E">
        <w:rPr>
          <w:rFonts w:eastAsia="Malgun Gothic" w:cs="Simplified Arabic"/>
          <w:sz w:val="22"/>
          <w:rtl/>
          <w:lang w:val="en-GB" w:eastAsia="en-US"/>
        </w:rPr>
        <w:t xml:space="preserve"> أو </w:t>
      </w:r>
      <w:r w:rsidR="007F1530">
        <w:rPr>
          <w:rFonts w:eastAsia="Malgun Gothic" w:cs="Simplified Arabic" w:hint="cs"/>
          <w:sz w:val="22"/>
          <w:rtl/>
          <w:lang w:val="en-GB" w:eastAsia="en-US"/>
        </w:rPr>
        <w:t xml:space="preserve">التي </w:t>
      </w:r>
      <w:r w:rsidR="007E3B6E" w:rsidRPr="007E3B6E">
        <w:rPr>
          <w:rFonts w:eastAsia="Malgun Gothic" w:cs="Simplified Arabic"/>
          <w:sz w:val="22"/>
          <w:rtl/>
          <w:lang w:val="en-GB" w:eastAsia="en-US"/>
        </w:rPr>
        <w:t xml:space="preserve">يمكن أن يكون لها </w:t>
      </w:r>
      <w:r w:rsidR="007F1530">
        <w:rPr>
          <w:rFonts w:eastAsia="Malgun Gothic" w:cs="Simplified Arabic" w:hint="cs"/>
          <w:sz w:val="22"/>
          <w:rtl/>
          <w:lang w:val="en-GB" w:eastAsia="en-US"/>
        </w:rPr>
        <w:t xml:space="preserve">أثر </w:t>
      </w:r>
      <w:r w:rsidR="007E3B6E" w:rsidRPr="007E3B6E">
        <w:rPr>
          <w:rFonts w:eastAsia="Malgun Gothic" w:cs="Simplified Arabic"/>
          <w:sz w:val="22"/>
          <w:rtl/>
          <w:lang w:val="en-GB" w:eastAsia="en-US"/>
        </w:rPr>
        <w:t>على المواقع المقدسة والأراضي والمياه التي تشغلها أو تستعملها بصفة تقليدية المجتمعات الأصلية والمحلية</w:t>
      </w:r>
      <w:r w:rsidR="007E3B6E">
        <w:rPr>
          <w:rFonts w:eastAsia="Malgun Gothic" w:cs="Simplified Arabic" w:hint="cs"/>
          <w:sz w:val="22"/>
          <w:rtl/>
          <w:lang w:val="en-GB" w:eastAsia="en-US"/>
        </w:rPr>
        <w:t>.</w:t>
      </w:r>
    </w:p>
    <w:p w14:paraId="06BB8346" w14:textId="0336A55C" w:rsidR="009332ED" w:rsidRDefault="00161A82" w:rsidP="009332ED">
      <w:pPr>
        <w:numPr>
          <w:ilvl w:val="0"/>
          <w:numId w:val="32"/>
        </w:numPr>
        <w:bidi/>
        <w:spacing w:after="120" w:line="216" w:lineRule="auto"/>
        <w:ind w:left="0" w:firstLine="0"/>
        <w:jc w:val="both"/>
        <w:rPr>
          <w:rFonts w:eastAsia="Malgun Gothic" w:cs="Simplified Arabic"/>
          <w:sz w:val="22"/>
          <w:lang w:val="en-GB" w:eastAsia="en-US" w:bidi="ar-EG"/>
        </w:rPr>
      </w:pPr>
      <w:r w:rsidRPr="00161A82">
        <w:rPr>
          <w:rFonts w:eastAsia="Malgun Gothic" w:cs="Simplified Arabic" w:hint="cs"/>
          <w:b/>
          <w:bCs/>
          <w:sz w:val="22"/>
          <w:rtl/>
          <w:lang w:val="en-GB" w:eastAsia="en-US"/>
        </w:rPr>
        <w:t xml:space="preserve">تعزيز الشراكات والتعاون عبر القطاعات وتنويع الشركاء الاستراتيجيين </w:t>
      </w:r>
      <w:r>
        <w:rPr>
          <w:rFonts w:eastAsia="Malgun Gothic" w:cs="Simplified Arabic" w:hint="cs"/>
          <w:b/>
          <w:bCs/>
          <w:sz w:val="22"/>
          <w:rtl/>
          <w:lang w:val="en-GB" w:eastAsia="en-US"/>
        </w:rPr>
        <w:t>والتنفيذيين</w:t>
      </w:r>
      <w:r w:rsidRPr="00161A82">
        <w:rPr>
          <w:rFonts w:eastAsia="Malgun Gothic" w:cs="Simplified Arabic" w:hint="cs"/>
          <w:b/>
          <w:bCs/>
          <w:sz w:val="22"/>
          <w:rtl/>
          <w:lang w:val="en-GB" w:eastAsia="en-US"/>
        </w:rPr>
        <w:t xml:space="preserve"> للتعاون التقني والعلمي.</w:t>
      </w:r>
      <w:r>
        <w:rPr>
          <w:rFonts w:eastAsia="Malgun Gothic" w:cs="Simplified Arabic" w:hint="cs"/>
          <w:sz w:val="22"/>
          <w:rtl/>
          <w:lang w:val="en-GB" w:eastAsia="en-US"/>
        </w:rPr>
        <w:t xml:space="preserve"> وكلما كان ذلك ممكنا، ينبغي على برمجة التعاون التقني والعلمي أن تروج لخلق </w:t>
      </w:r>
      <w:proofErr w:type="spellStart"/>
      <w:r>
        <w:rPr>
          <w:rFonts w:eastAsia="Malgun Gothic" w:cs="Simplified Arabic" w:hint="cs"/>
          <w:sz w:val="22"/>
          <w:rtl/>
          <w:lang w:val="en-GB" w:eastAsia="en-US"/>
        </w:rPr>
        <w:t>الاتساقات</w:t>
      </w:r>
      <w:proofErr w:type="spellEnd"/>
      <w:r>
        <w:rPr>
          <w:rFonts w:eastAsia="Malgun Gothic" w:cs="Simplified Arabic" w:hint="cs"/>
          <w:sz w:val="22"/>
          <w:rtl/>
          <w:lang w:val="en-GB" w:eastAsia="en-US"/>
        </w:rPr>
        <w:t xml:space="preserve"> بين الاتفاقية المتعلقة بالتنوع البيولوجي والاتفاقيات البيئية المتعددة الأطراف ذات الصلة والمنابر الموجودة مثل الهيئة الحكومية الدولية المعنية بتغير المناخ والمنبر الحكومي الدولي للعلوم والسياسات المعني بالتنوع البيولوجي وخدمات النظم الإيكولوجية. وبالنسبة للبرمجة الجديدة</w:t>
      </w:r>
      <w:r w:rsidR="00B13DCF">
        <w:rPr>
          <w:rFonts w:eastAsia="Malgun Gothic" w:cs="Simplified Arabic" w:hint="cs"/>
          <w:sz w:val="22"/>
          <w:rtl/>
          <w:lang w:val="en-GB" w:eastAsia="en-US"/>
        </w:rPr>
        <w:t>،</w:t>
      </w:r>
      <w:r>
        <w:rPr>
          <w:rFonts w:eastAsia="Malgun Gothic" w:cs="Simplified Arabic" w:hint="cs"/>
          <w:sz w:val="22"/>
          <w:rtl/>
          <w:lang w:val="en-GB" w:eastAsia="en-US"/>
        </w:rPr>
        <w:t xml:space="preserve"> ينبغي وضع تركيز أعظم على التطرق للقضايا والمواضيع بين القطعات والشاملة للقطاعات</w:t>
      </w:r>
      <w:r w:rsidR="00403CCF">
        <w:rPr>
          <w:rFonts w:eastAsia="Malgun Gothic" w:cs="Simplified Arabic" w:hint="cs"/>
          <w:sz w:val="22"/>
          <w:rtl/>
          <w:lang w:val="en-GB" w:eastAsia="en-US"/>
        </w:rPr>
        <w:t>،</w:t>
      </w:r>
      <w:r>
        <w:rPr>
          <w:rFonts w:eastAsia="Malgun Gothic" w:cs="Simplified Arabic" w:hint="cs"/>
          <w:sz w:val="22"/>
          <w:rtl/>
          <w:lang w:val="en-GB" w:eastAsia="en-US"/>
        </w:rPr>
        <w:t xml:space="preserve"> وعلى حل التحديات مع إشراك الاتفاقيات البيئية المتعددة الأطراف الأخرى ذات الصلة والشركاء التنفيذيين الجدد.</w:t>
      </w:r>
    </w:p>
    <w:p w14:paraId="20AEAF36" w14:textId="7FD4FA7C" w:rsidR="009332ED" w:rsidRDefault="00F60E1C" w:rsidP="009332ED">
      <w:pPr>
        <w:numPr>
          <w:ilvl w:val="0"/>
          <w:numId w:val="32"/>
        </w:numPr>
        <w:bidi/>
        <w:spacing w:after="120" w:line="216" w:lineRule="auto"/>
        <w:ind w:left="0" w:firstLine="0"/>
        <w:jc w:val="both"/>
        <w:rPr>
          <w:rFonts w:eastAsia="Malgun Gothic" w:cs="Simplified Arabic"/>
          <w:sz w:val="22"/>
          <w:lang w:val="en-GB" w:eastAsia="en-US" w:bidi="ar-EG"/>
        </w:rPr>
      </w:pPr>
      <w:r w:rsidRPr="00F60E1C">
        <w:rPr>
          <w:rFonts w:eastAsia="Malgun Gothic" w:cs="Simplified Arabic" w:hint="cs"/>
          <w:b/>
          <w:bCs/>
          <w:sz w:val="22"/>
          <w:rtl/>
          <w:lang w:val="en-GB" w:eastAsia="en-US" w:bidi="ar-EG"/>
        </w:rPr>
        <w:t>توسيع وتعزيز التعاون بين بلدان الجنوب.</w:t>
      </w:r>
      <w:r>
        <w:rPr>
          <w:rFonts w:eastAsia="Malgun Gothic" w:cs="Simplified Arabic" w:hint="cs"/>
          <w:sz w:val="22"/>
          <w:rtl/>
          <w:lang w:val="en-GB" w:eastAsia="en-US" w:bidi="ar-EG"/>
        </w:rPr>
        <w:t xml:space="preserve"> ينبغي إتاحة الموارد الكافية لتوسيع وتعزيز التعاون بين بلدان الجنوب لتمكين الشركاء من البلدان النامية من تطوير وتنفيذ الأنشطة المشتركة للتعاون التقني والعلمي بصورة تعاونية، والمشاركة في خلق التكنولوجيات والمعارف الجديدة. وينبغي رفد ذلك بالتعاون الثلاثي والتعاون بين بلدان الشمال وبلدان الجنوب لإدماج جميع </w:t>
      </w:r>
      <w:r w:rsidR="00D729BD">
        <w:rPr>
          <w:rFonts w:eastAsia="Malgun Gothic" w:cs="Simplified Arabic" w:hint="cs"/>
          <w:sz w:val="22"/>
          <w:rtl/>
          <w:lang w:val="en-GB" w:eastAsia="en-US" w:bidi="ar-EG"/>
        </w:rPr>
        <w:t xml:space="preserve">المنظورات </w:t>
      </w:r>
      <w:r>
        <w:rPr>
          <w:rFonts w:eastAsia="Malgun Gothic" w:cs="Simplified Arabic" w:hint="cs"/>
          <w:sz w:val="22"/>
          <w:rtl/>
          <w:lang w:val="en-GB" w:eastAsia="en-US" w:bidi="ar-EG"/>
        </w:rPr>
        <w:t>والمعارف الموجودة. ولكي يحدث هذا الأمر، ينبغي تعزيز وظيفة التوافق التي تقوم بها آلية غرفة تبادل المعلومات لتمكين الأطراف من تحديد الشركاء والمانحين المحتملين.</w:t>
      </w:r>
    </w:p>
    <w:p w14:paraId="0FC7F3F4" w14:textId="26E8C689" w:rsidR="00F60E1C" w:rsidRPr="00F60E1C" w:rsidRDefault="00F60E1C" w:rsidP="00F60E1C">
      <w:pPr>
        <w:bidi/>
        <w:spacing w:after="120" w:line="216" w:lineRule="auto"/>
        <w:jc w:val="both"/>
        <w:rPr>
          <w:rFonts w:eastAsia="Malgun Gothic" w:cs="Simplified Arabic"/>
          <w:i/>
          <w:iCs/>
          <w:sz w:val="22"/>
          <w:lang w:val="en-GB" w:eastAsia="en-US" w:bidi="ar-EG"/>
        </w:rPr>
      </w:pPr>
      <w:r w:rsidRPr="00F60E1C">
        <w:rPr>
          <w:rFonts w:eastAsia="Malgun Gothic" w:cs="Simplified Arabic" w:hint="cs"/>
          <w:i/>
          <w:iCs/>
          <w:sz w:val="22"/>
          <w:rtl/>
          <w:lang w:val="en-GB" w:eastAsia="en-US" w:bidi="ar-EG"/>
        </w:rPr>
        <w:t>التوصيات التشغيلية</w:t>
      </w:r>
    </w:p>
    <w:p w14:paraId="63DBBA8C" w14:textId="7C8BD89B" w:rsidR="009332ED" w:rsidRDefault="00FE1981" w:rsidP="009332ED">
      <w:pPr>
        <w:numPr>
          <w:ilvl w:val="0"/>
          <w:numId w:val="32"/>
        </w:numPr>
        <w:bidi/>
        <w:spacing w:after="120" w:line="216" w:lineRule="auto"/>
        <w:ind w:left="0" w:firstLine="0"/>
        <w:jc w:val="both"/>
        <w:rPr>
          <w:rFonts w:eastAsia="Malgun Gothic" w:cs="Simplified Arabic"/>
          <w:sz w:val="22"/>
          <w:lang w:val="en-GB" w:eastAsia="en-US" w:bidi="ar-EG"/>
        </w:rPr>
      </w:pPr>
      <w:r w:rsidRPr="00FE1981">
        <w:rPr>
          <w:rFonts w:eastAsia="Malgun Gothic" w:cs="Simplified Arabic" w:hint="cs"/>
          <w:b/>
          <w:bCs/>
          <w:sz w:val="22"/>
          <w:rtl/>
          <w:lang w:val="en-GB" w:eastAsia="en-US" w:bidi="ar-EG"/>
        </w:rPr>
        <w:lastRenderedPageBreak/>
        <w:t>إنشاء آليات لضمان توفر الموارد المالية المستدامة والكافية للتعاون التقني والعلمي.</w:t>
      </w:r>
      <w:r>
        <w:rPr>
          <w:rFonts w:eastAsia="Malgun Gothic" w:cs="Simplified Arabic" w:hint="cs"/>
          <w:sz w:val="22"/>
          <w:rtl/>
          <w:lang w:val="en-GB" w:eastAsia="en-US" w:bidi="ar-EG"/>
        </w:rPr>
        <w:t xml:space="preserve"> بهدف الإبقاء على تدفق كافٍ </w:t>
      </w:r>
      <w:r w:rsidR="000779C2">
        <w:rPr>
          <w:rFonts w:eastAsia="Malgun Gothic" w:cs="Simplified Arabic" w:hint="cs"/>
          <w:sz w:val="22"/>
          <w:rtl/>
          <w:lang w:val="en-GB" w:eastAsia="en-US" w:bidi="ar-EG"/>
        </w:rPr>
        <w:t xml:space="preserve">وموثوق </w:t>
      </w:r>
      <w:r>
        <w:rPr>
          <w:rFonts w:eastAsia="Malgun Gothic" w:cs="Simplified Arabic" w:hint="cs"/>
          <w:sz w:val="22"/>
          <w:rtl/>
          <w:lang w:val="en-GB" w:eastAsia="en-US" w:bidi="ar-EG"/>
        </w:rPr>
        <w:t>للموارد المالية لتنفيذ فعال لبرامج التعاون التقني والعلمي، لا بد من إنشاء آليات تمويل مكرسة للتعاون التقني والعلمي</w:t>
      </w:r>
      <w:r w:rsidR="000779C2">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مع استراتيجية لحشد وتنويع الموارد.</w:t>
      </w:r>
    </w:p>
    <w:p w14:paraId="719DE0BE" w14:textId="2F5B60B1" w:rsidR="009332ED" w:rsidRDefault="00FE1981" w:rsidP="009332ED">
      <w:pPr>
        <w:numPr>
          <w:ilvl w:val="0"/>
          <w:numId w:val="32"/>
        </w:numPr>
        <w:bidi/>
        <w:spacing w:after="120" w:line="216" w:lineRule="auto"/>
        <w:ind w:left="0" w:firstLine="0"/>
        <w:jc w:val="both"/>
        <w:rPr>
          <w:rFonts w:eastAsia="Malgun Gothic" w:cs="Simplified Arabic"/>
          <w:sz w:val="22"/>
          <w:lang w:val="en-GB" w:eastAsia="en-US" w:bidi="ar-EG"/>
        </w:rPr>
      </w:pPr>
      <w:r w:rsidRPr="00FE1981">
        <w:rPr>
          <w:rFonts w:eastAsia="Malgun Gothic" w:cs="Simplified Arabic" w:hint="cs"/>
          <w:b/>
          <w:bCs/>
          <w:sz w:val="22"/>
          <w:rtl/>
          <w:lang w:val="en-GB" w:eastAsia="en-US" w:bidi="ar-EG"/>
        </w:rPr>
        <w:t xml:space="preserve">المزيد من </w:t>
      </w:r>
      <w:r w:rsidR="000779C2">
        <w:rPr>
          <w:rFonts w:eastAsia="Malgun Gothic" w:cs="Simplified Arabic" w:hint="cs"/>
          <w:b/>
          <w:bCs/>
          <w:sz w:val="22"/>
          <w:rtl/>
          <w:lang w:val="en-GB" w:eastAsia="en-US" w:bidi="ar-EG"/>
        </w:rPr>
        <w:t>ال</w:t>
      </w:r>
      <w:r w:rsidRPr="00FE1981">
        <w:rPr>
          <w:rFonts w:eastAsia="Malgun Gothic" w:cs="Simplified Arabic" w:hint="cs"/>
          <w:b/>
          <w:bCs/>
          <w:sz w:val="22"/>
          <w:rtl/>
          <w:lang w:val="en-GB" w:eastAsia="en-US" w:bidi="ar-EG"/>
        </w:rPr>
        <w:t>تطوير والاستفادة الأفضل من آلية غرفة تبادل المعلومات.</w:t>
      </w:r>
      <w:r>
        <w:rPr>
          <w:rFonts w:eastAsia="Malgun Gothic" w:cs="Simplified Arabic" w:hint="cs"/>
          <w:sz w:val="22"/>
          <w:rtl/>
          <w:lang w:val="en-GB" w:eastAsia="en-US" w:bidi="ar-EG"/>
        </w:rPr>
        <w:t xml:space="preserve"> ينبغي تعزيز آلية غرفة تبادل المعلومات لتفي بولايتها بصورة فعالة في الترويج للتعاون التقني والعلمي وتيسيره. وعلى وجه الخصوص، ينبغي تعزيز وظيفة التوافق التي تقوم بها الآلية لتمكين الأطراف من إيجاد الأطراف الأخرى وأصحاب المصلحة المعنيين بالقضايا ذات الاهتمام المشترك والارتباط بهم والتعاون معهم، وكذلك الأمر بالنسبة للجهات المانحة. علاوة على ذلك، ينبغي تطوير آليات جديدة مثل التطبيقات على الهواتف المحمولة وتوظيفها للترويج لوصول واستخدام أيسر وأوسع لآلية غرفة تبادل المعلومات. </w:t>
      </w:r>
      <w:r w:rsidR="00E62C5F">
        <w:rPr>
          <w:rFonts w:eastAsia="Malgun Gothic" w:cs="Simplified Arabic" w:hint="cs"/>
          <w:sz w:val="22"/>
          <w:rtl/>
          <w:lang w:val="en-GB" w:eastAsia="en-US" w:bidi="ar-EG"/>
        </w:rPr>
        <w:t>وبالإضافة لذلك</w:t>
      </w:r>
      <w:r>
        <w:rPr>
          <w:rFonts w:eastAsia="Malgun Gothic" w:cs="Simplified Arabic" w:hint="cs"/>
          <w:sz w:val="22"/>
          <w:rtl/>
          <w:lang w:val="en-GB" w:eastAsia="en-US" w:bidi="ar-EG"/>
        </w:rPr>
        <w:t>، ينبغي تعزيز منابر النقاش في هذه الآلية لترويج وتيسير التعاون التقني والعلمي بين الأطراف وأصحاب المصلحة المعنيين.</w:t>
      </w:r>
    </w:p>
    <w:p w14:paraId="581C0C20" w14:textId="00E9B067" w:rsidR="009332ED" w:rsidRPr="00FE1981" w:rsidRDefault="00FE1981" w:rsidP="009332ED">
      <w:pPr>
        <w:numPr>
          <w:ilvl w:val="0"/>
          <w:numId w:val="32"/>
        </w:numPr>
        <w:bidi/>
        <w:spacing w:after="120" w:line="216" w:lineRule="auto"/>
        <w:ind w:left="0" w:firstLine="0"/>
        <w:jc w:val="both"/>
        <w:rPr>
          <w:rFonts w:eastAsia="Malgun Gothic" w:cs="Simplified Arabic"/>
          <w:b/>
          <w:bCs/>
          <w:sz w:val="22"/>
          <w:lang w:val="en-GB" w:eastAsia="en-US" w:bidi="ar-EG"/>
        </w:rPr>
      </w:pPr>
      <w:r w:rsidRPr="00FE1981">
        <w:rPr>
          <w:rFonts w:eastAsia="Malgun Gothic" w:cs="Simplified Arabic" w:hint="cs"/>
          <w:b/>
          <w:bCs/>
          <w:sz w:val="22"/>
          <w:rtl/>
          <w:lang w:val="en-GB" w:eastAsia="en-US" w:bidi="ar-EG"/>
        </w:rPr>
        <w:t xml:space="preserve">تطوير برنامج للتعاون التقني والعلمي مع نظرية تغيير واضحة وإطار للرصد والتقييم قائم على النتائج. </w:t>
      </w:r>
      <w:r w:rsidR="00C63A75">
        <w:rPr>
          <w:rFonts w:eastAsia="Malgun Gothic" w:cs="Simplified Arabic" w:hint="cs"/>
          <w:sz w:val="22"/>
          <w:rtl/>
          <w:lang w:val="en-GB" w:eastAsia="en-US" w:bidi="ar-EG"/>
        </w:rPr>
        <w:t>ينبغي تطوير برنامج شامل للتعاون التقني والعلمي مع نظرية تغيير واضحة وإطار شامل للرصد والتقييم قائم على النتائج لتوفير التوجيه الإجمالي للأطراف وشركاء التعاون التقني والعلمي</w:t>
      </w:r>
      <w:r w:rsidR="002E2CEB">
        <w:rPr>
          <w:rFonts w:eastAsia="Malgun Gothic" w:cs="Simplified Arabic" w:hint="cs"/>
          <w:sz w:val="22"/>
          <w:rtl/>
          <w:lang w:val="en-GB" w:eastAsia="en-US" w:bidi="ar-EG"/>
        </w:rPr>
        <w:t>،</w:t>
      </w:r>
      <w:r w:rsidR="00C63A75">
        <w:rPr>
          <w:rFonts w:eastAsia="Malgun Gothic" w:cs="Simplified Arabic" w:hint="cs"/>
          <w:sz w:val="22"/>
          <w:rtl/>
          <w:lang w:val="en-GB" w:eastAsia="en-US" w:bidi="ar-EG"/>
        </w:rPr>
        <w:t xml:space="preserve"> وتيسير الإبلاغ القائم على الأدلة عن التقدم المحرز في مساهمة التعاون التقني والعلمي نحو تحقيق أهداف وغايات الإطار العالمي للتنوع البيولوجي لما بعد عام 2020.</w:t>
      </w:r>
    </w:p>
    <w:p w14:paraId="01DCB381" w14:textId="6A4A83ED" w:rsidR="009332ED" w:rsidRDefault="00C63A75" w:rsidP="009332ED">
      <w:pPr>
        <w:numPr>
          <w:ilvl w:val="0"/>
          <w:numId w:val="32"/>
        </w:numPr>
        <w:bidi/>
        <w:spacing w:after="120" w:line="216" w:lineRule="auto"/>
        <w:ind w:left="0" w:firstLine="0"/>
        <w:jc w:val="both"/>
        <w:rPr>
          <w:rFonts w:eastAsia="Malgun Gothic" w:cs="Simplified Arabic"/>
          <w:sz w:val="22"/>
          <w:lang w:val="en-GB" w:eastAsia="en-US" w:bidi="ar-EG"/>
        </w:rPr>
      </w:pPr>
      <w:r w:rsidRPr="00C63A75">
        <w:rPr>
          <w:rFonts w:eastAsia="Malgun Gothic" w:cs="Simplified Arabic" w:hint="cs"/>
          <w:b/>
          <w:bCs/>
          <w:sz w:val="22"/>
          <w:rtl/>
          <w:lang w:val="en-GB" w:eastAsia="en-US" w:bidi="ar-EG"/>
        </w:rPr>
        <w:t>تعزيز الموارد البشرية.</w:t>
      </w:r>
      <w:r>
        <w:rPr>
          <w:rFonts w:eastAsia="Malgun Gothic" w:cs="Simplified Arabic" w:hint="cs"/>
          <w:sz w:val="22"/>
          <w:rtl/>
          <w:lang w:val="en-GB" w:eastAsia="en-US" w:bidi="ar-EG"/>
        </w:rPr>
        <w:t xml:space="preserve"> ينبغي على الأطراف أن توجد البيئات التمكينية وغيرها من الإجراءات الرامية إلى الإبقاء على نفس الأشخاص المشاركين في برامج التعاون التقني والعلمي على مدى فترات أطول من الوقت، وأيضا لتيسير النقل المنتظم للخبرات والمعارف والتجارب. وضمن برنامج التعاون التقني والعلمي، ينبغي الحد من الإفراط في الاعتماد على المستشارين الخارجيين والمندبين وغيرهم من الموظفين الآخرين المؤقتين لتحسين القدرات المؤسسية </w:t>
      </w:r>
      <w:r w:rsidR="00575365">
        <w:rPr>
          <w:rFonts w:eastAsia="Malgun Gothic" w:cs="Simplified Arabic" w:hint="cs"/>
          <w:sz w:val="22"/>
          <w:rtl/>
          <w:lang w:val="en-GB" w:eastAsia="en-US" w:bidi="ar-EG"/>
        </w:rPr>
        <w:t xml:space="preserve">طويلة </w:t>
      </w:r>
      <w:r>
        <w:rPr>
          <w:rFonts w:eastAsia="Malgun Gothic" w:cs="Simplified Arabic" w:hint="cs"/>
          <w:sz w:val="22"/>
          <w:rtl/>
          <w:lang w:val="en-GB" w:eastAsia="en-US" w:bidi="ar-EG"/>
        </w:rPr>
        <w:t>الأمد</w:t>
      </w:r>
      <w:r w:rsidR="00575365">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وللحد من الانقطاعات في التنفيذ.</w:t>
      </w:r>
    </w:p>
    <w:p w14:paraId="5549BF13" w14:textId="2932124B" w:rsidR="009332ED" w:rsidRDefault="00C63A75"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وربما يكون من الجدير بالملاحظة أن معظم هذه التوصيات قد انعكست بالفعل في المقترحات الرامية إلى تعزيز التعاون التقني والعلمي المرفقة بمشروع المقرر الذي </w:t>
      </w:r>
      <w:r w:rsidR="008778C4">
        <w:rPr>
          <w:rFonts w:eastAsia="Malgun Gothic" w:cs="Simplified Arabic" w:hint="cs"/>
          <w:sz w:val="22"/>
          <w:rtl/>
          <w:lang w:val="en-GB" w:eastAsia="en-US" w:bidi="ar-EG"/>
        </w:rPr>
        <w:t xml:space="preserve">أوصت </w:t>
      </w:r>
      <w:r>
        <w:rPr>
          <w:rFonts w:eastAsia="Malgun Gothic" w:cs="Simplified Arabic" w:hint="cs"/>
          <w:sz w:val="22"/>
          <w:rtl/>
          <w:lang w:val="en-GB" w:eastAsia="en-US" w:bidi="ar-EG"/>
        </w:rPr>
        <w:t xml:space="preserve">به الهيئة الفرعية للتنفيذ (انظر </w:t>
      </w:r>
      <w:r>
        <w:rPr>
          <w:rFonts w:eastAsia="Malgun Gothic" w:cs="Simplified Arabic"/>
          <w:sz w:val="22"/>
          <w:lang w:val="en-GB" w:eastAsia="en-US" w:bidi="ar-EG"/>
        </w:rPr>
        <w:t>CBD/COP/15/2</w:t>
      </w:r>
      <w:r>
        <w:rPr>
          <w:rFonts w:eastAsia="Malgun Gothic" w:cs="Simplified Arabic" w:hint="cs"/>
          <w:sz w:val="22"/>
          <w:rtl/>
          <w:lang w:val="en-GB" w:eastAsia="en-US"/>
        </w:rPr>
        <w:t>، البند 13 ألف، المرفق الثاني</w:t>
      </w:r>
      <w:r>
        <w:rPr>
          <w:rFonts w:eastAsia="Malgun Gothic" w:cs="Simplified Arabic" w:hint="cs"/>
          <w:sz w:val="22"/>
          <w:rtl/>
          <w:lang w:val="en-GB" w:eastAsia="en-US" w:bidi="ar-EG"/>
        </w:rPr>
        <w:t>).</w:t>
      </w:r>
    </w:p>
    <w:p w14:paraId="6CF2CF8C" w14:textId="4C633145" w:rsidR="00C63A75" w:rsidRPr="007E1C89" w:rsidRDefault="00C63A75" w:rsidP="007E1C89">
      <w:pPr>
        <w:keepNext/>
        <w:keepLines/>
        <w:bidi/>
        <w:spacing w:after="120" w:line="216" w:lineRule="auto"/>
        <w:jc w:val="center"/>
        <w:rPr>
          <w:rFonts w:eastAsia="Malgun Gothic" w:cs="Simplified Arabic"/>
          <w:b/>
          <w:bCs/>
          <w:sz w:val="22"/>
          <w:lang w:val="en-GB" w:eastAsia="en-US" w:bidi="ar-EG"/>
        </w:rPr>
      </w:pPr>
      <w:r w:rsidRPr="007E1C89">
        <w:rPr>
          <w:rFonts w:eastAsia="Malgun Gothic" w:cs="Simplified Arabic" w:hint="cs"/>
          <w:b/>
          <w:bCs/>
          <w:sz w:val="22"/>
          <w:rtl/>
          <w:lang w:val="en-GB" w:eastAsia="en-US" w:bidi="ar-EG"/>
        </w:rPr>
        <w:t>باء- نظرية التغيير المقترحة للتعاون التقني والعلمي</w:t>
      </w:r>
    </w:p>
    <w:p w14:paraId="08405EE4" w14:textId="1DAE004C" w:rsidR="009332ED" w:rsidRDefault="00C63A75"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يعرض القسم التالي نظرية التغيير الإجمالية المقترحة للتعاون التقني والعلمي في سياق الإطار العالمي للتنوع البيولوجي لما بعد عام 2020. ومن الهام بمكان ملاحظة أن هذه النظرية </w:t>
      </w:r>
      <w:proofErr w:type="spellStart"/>
      <w:r>
        <w:rPr>
          <w:rFonts w:eastAsia="Malgun Gothic" w:cs="Simplified Arabic" w:hint="cs"/>
          <w:sz w:val="22"/>
          <w:rtl/>
          <w:lang w:val="en-GB" w:eastAsia="en-US" w:bidi="ar-EG"/>
        </w:rPr>
        <w:t>التأشيرية</w:t>
      </w:r>
      <w:proofErr w:type="spellEnd"/>
      <w:r>
        <w:rPr>
          <w:rFonts w:eastAsia="Malgun Gothic" w:cs="Simplified Arabic" w:hint="cs"/>
          <w:sz w:val="22"/>
          <w:rtl/>
          <w:lang w:val="en-GB" w:eastAsia="en-US" w:bidi="ar-EG"/>
        </w:rPr>
        <w:t xml:space="preserve"> قد طورها فريق من الخبراء كي ينظر فيها مؤتمر الأطراف.</w:t>
      </w:r>
    </w:p>
    <w:p w14:paraId="2C6A1C92" w14:textId="639AE795" w:rsidR="009332ED" w:rsidRDefault="00C63A75"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يركز المقترح على سلسلة من النتائج التي من شأنها أن تسهم في تحقيق الهدف 19-2: تعزيز بناء وتنمية القدرات والوصول إلى التكنولوجيا ونقلها والترويج </w:t>
      </w:r>
      <w:r w:rsidR="00E4591D">
        <w:rPr>
          <w:rFonts w:eastAsia="Malgun Gothic" w:cs="Simplified Arabic" w:hint="cs"/>
          <w:sz w:val="22"/>
          <w:rtl/>
          <w:lang w:val="en-GB" w:eastAsia="en-US" w:bidi="ar-EG"/>
        </w:rPr>
        <w:t>لتطوير الابتكارات والوصول إليها والتعاون التقني والعلمي.</w:t>
      </w:r>
      <w:r w:rsidR="00E4591D">
        <w:rPr>
          <w:rStyle w:val="FootnoteReference"/>
          <w:rFonts w:eastAsia="Malgun Gothic" w:cs="Simplified Arabic"/>
          <w:sz w:val="22"/>
          <w:rtl/>
          <w:lang w:val="en-GB" w:eastAsia="en-US" w:bidi="ar-EG"/>
        </w:rPr>
        <w:footnoteReference w:id="4"/>
      </w:r>
      <w:r w:rsidR="009F4BF9">
        <w:rPr>
          <w:rFonts w:eastAsia="Malgun Gothic" w:cs="Simplified Arabic" w:hint="cs"/>
          <w:sz w:val="22"/>
          <w:rtl/>
          <w:lang w:val="en-GB" w:eastAsia="en-US"/>
        </w:rPr>
        <w:t xml:space="preserve"> ويحدد هذا المقترح العناصر التي هي تحت السيطرة المباشرة للأطراف وأصحاب المصلحة المعنيين، بما في ذلك المدخلات الضرورية لتنفيذ المادة 18 من الاتفاقية، مثل الموارد المالية الكافية والتدابير المؤسسية المنقحة والشراكات الموسعة والتخطيط والإبلاغ المحسن. وستيسر هذه المدخلات تنفيذ الأنشطة التي ستولد النواتج المرغوب بها، بما في ذلك عرض الطلبات الخاصة بالتعاون التقني والعلمي </w:t>
      </w:r>
      <w:r w:rsidR="008066BE">
        <w:rPr>
          <w:rFonts w:eastAsia="Malgun Gothic" w:cs="Simplified Arabic" w:hint="cs"/>
          <w:sz w:val="22"/>
          <w:rtl/>
          <w:lang w:val="en-GB" w:eastAsia="en-US"/>
        </w:rPr>
        <w:t>وآ</w:t>
      </w:r>
      <w:r w:rsidR="009F4BF9">
        <w:rPr>
          <w:rFonts w:eastAsia="Malgun Gothic" w:cs="Simplified Arabic" w:hint="cs"/>
          <w:sz w:val="22"/>
          <w:rtl/>
          <w:lang w:val="en-GB" w:eastAsia="en-US"/>
        </w:rPr>
        <w:t xml:space="preserve">ليات </w:t>
      </w:r>
      <w:r w:rsidR="009F4BF9">
        <w:rPr>
          <w:rFonts w:eastAsia="Malgun Gothic" w:cs="Simplified Arabic" w:hint="cs"/>
          <w:sz w:val="22"/>
          <w:rtl/>
          <w:lang w:val="en-GB" w:eastAsia="en-US"/>
        </w:rPr>
        <w:lastRenderedPageBreak/>
        <w:t xml:space="preserve">تيسير هذا التعاون، ودعم تطوير التكنولوجيا وخلق مجتمعات الممارسة، إلخ. وستسهم هذه النواتج في تحقيق المخرجات </w:t>
      </w:r>
      <w:r w:rsidR="00E315DC">
        <w:rPr>
          <w:rFonts w:eastAsia="Malgun Gothic" w:cs="Simplified Arabic" w:hint="cs"/>
          <w:sz w:val="22"/>
          <w:rtl/>
          <w:lang w:val="en-GB" w:eastAsia="en-US"/>
        </w:rPr>
        <w:t xml:space="preserve">المندرجة </w:t>
      </w:r>
      <w:r w:rsidR="008066BE">
        <w:rPr>
          <w:rFonts w:eastAsia="Malgun Gothic" w:cs="Simplified Arabic" w:hint="cs"/>
          <w:sz w:val="22"/>
          <w:rtl/>
          <w:lang w:val="en-GB" w:eastAsia="en-US"/>
        </w:rPr>
        <w:t>ضمن نطاق تأثير البرنامج.</w:t>
      </w:r>
    </w:p>
    <w:p w14:paraId="1B1CCDBD" w14:textId="035A45F9" w:rsidR="009332ED" w:rsidRDefault="008066B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وتحدد افتراضات عديدة نظرية التغيير هذه، بما في ذلك بقاء التعاون التقني والعلمي وسيلة </w:t>
      </w:r>
      <w:proofErr w:type="gramStart"/>
      <w:r>
        <w:rPr>
          <w:rFonts w:eastAsia="Malgun Gothic" w:cs="Simplified Arabic" w:hint="cs"/>
          <w:sz w:val="22"/>
          <w:rtl/>
          <w:lang w:val="en-GB" w:eastAsia="en-US" w:bidi="ar-EG"/>
        </w:rPr>
        <w:t>هامة</w:t>
      </w:r>
      <w:proofErr w:type="gramEnd"/>
      <w:r>
        <w:rPr>
          <w:rFonts w:eastAsia="Malgun Gothic" w:cs="Simplified Arabic" w:hint="cs"/>
          <w:sz w:val="22"/>
          <w:rtl/>
          <w:lang w:val="en-GB" w:eastAsia="en-US" w:bidi="ar-EG"/>
        </w:rPr>
        <w:t xml:space="preserve"> مزودة بالموارد الكافية للتنفيذ لصالح الإطار العالمي للتنوع البيولوجي؛ </w:t>
      </w:r>
      <w:r w:rsidR="00CF4BDC">
        <w:rPr>
          <w:rFonts w:eastAsia="Malgun Gothic" w:cs="Simplified Arabic" w:hint="cs"/>
          <w:sz w:val="22"/>
          <w:rtl/>
          <w:lang w:val="en-GB" w:eastAsia="en-US" w:bidi="ar-EG"/>
        </w:rPr>
        <w:t xml:space="preserve">وتصميم </w:t>
      </w:r>
      <w:r>
        <w:rPr>
          <w:rFonts w:eastAsia="Malgun Gothic" w:cs="Simplified Arabic" w:hint="cs"/>
          <w:sz w:val="22"/>
          <w:rtl/>
          <w:lang w:val="en-GB" w:eastAsia="en-US" w:bidi="ar-EG"/>
        </w:rPr>
        <w:t xml:space="preserve">برامج التعاون التقني والعلمي بطريقة تسمح لها بالاستجابة للاحتياجات والأولويات القطرية؛ </w:t>
      </w:r>
      <w:r w:rsidR="002403A9">
        <w:rPr>
          <w:rFonts w:eastAsia="Malgun Gothic" w:cs="Simplified Arabic" w:hint="cs"/>
          <w:sz w:val="22"/>
          <w:rtl/>
          <w:lang w:val="en-GB" w:eastAsia="en-US" w:bidi="ar-EG"/>
        </w:rPr>
        <w:t>و</w:t>
      </w:r>
      <w:r>
        <w:rPr>
          <w:rFonts w:eastAsia="Malgun Gothic" w:cs="Simplified Arabic" w:hint="cs"/>
          <w:sz w:val="22"/>
          <w:rtl/>
          <w:lang w:val="en-GB" w:eastAsia="en-US" w:bidi="ar-EG"/>
        </w:rPr>
        <w:t xml:space="preserve">إدماج المعارف الأصلية والتقليدية بصورة ملائمة في برامج التعاون التقني والعلمي؛ </w:t>
      </w:r>
      <w:r w:rsidR="002403A9">
        <w:rPr>
          <w:rFonts w:eastAsia="Malgun Gothic" w:cs="Simplified Arabic" w:hint="cs"/>
          <w:sz w:val="22"/>
          <w:rtl/>
          <w:lang w:val="en-GB" w:eastAsia="en-US" w:bidi="ar-EG"/>
        </w:rPr>
        <w:t>و</w:t>
      </w:r>
      <w:r>
        <w:rPr>
          <w:rFonts w:eastAsia="Malgun Gothic" w:cs="Simplified Arabic" w:hint="cs"/>
          <w:sz w:val="22"/>
          <w:rtl/>
          <w:lang w:val="en-GB" w:eastAsia="en-US" w:bidi="ar-EG"/>
        </w:rPr>
        <w:t>بناء قدرات كافية لتنفيذ فعال لهذه البرامج يستجيب للشؤون الجنسانية.</w:t>
      </w:r>
    </w:p>
    <w:p w14:paraId="79095367" w14:textId="5FA513D7" w:rsidR="009332ED" w:rsidRDefault="008066B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وتعترف نظرية التغيير المقترحة بأنه وللمساهمة بصورة </w:t>
      </w:r>
      <w:r w:rsidR="003566D5">
        <w:rPr>
          <w:rFonts w:eastAsia="Malgun Gothic" w:cs="Simplified Arabic" w:hint="cs"/>
          <w:sz w:val="22"/>
          <w:rtl/>
          <w:lang w:val="en-GB" w:eastAsia="en-US" w:bidi="ar-EG"/>
        </w:rPr>
        <w:t xml:space="preserve">فعالة </w:t>
      </w:r>
      <w:r>
        <w:rPr>
          <w:rFonts w:eastAsia="Malgun Gothic" w:cs="Simplified Arabic" w:hint="cs"/>
          <w:sz w:val="22"/>
          <w:rtl/>
          <w:lang w:val="en-GB" w:eastAsia="en-US" w:bidi="ar-EG"/>
        </w:rPr>
        <w:t>في الإطار العالمي للتنوع البيولوجي لما بعد عام 2020، ثمة حاجة لالتزام بوضع برمجة متسقة للتعاون التقني والعلمي، بما في ذلك من خلال الحوكمة الفعالة والتخطيط والتمويل الاستراتيجيين. وستشكل هذه التغييرات مدخلات حاسمة سيعتمد عليها تحقيق النواتج والمخرجات والأثر.</w:t>
      </w:r>
    </w:p>
    <w:p w14:paraId="2324517E" w14:textId="20D4FC0C" w:rsidR="006B40FE" w:rsidRDefault="006B40FE" w:rsidP="006B40FE">
      <w:pPr>
        <w:bidi/>
        <w:spacing w:after="120" w:line="216" w:lineRule="auto"/>
        <w:jc w:val="both"/>
        <w:rPr>
          <w:rFonts w:eastAsia="Malgun Gothic" w:cs="Simplified Arabic"/>
          <w:sz w:val="22"/>
          <w:rtl/>
          <w:lang w:val="en-GB" w:eastAsia="en-US" w:bidi="ar-EG"/>
        </w:rPr>
      </w:pPr>
      <w:r>
        <w:rPr>
          <w:rFonts w:eastAsia="Malgun Gothic" w:cs="Simplified Arabic" w:hint="cs"/>
          <w:sz w:val="22"/>
          <w:rtl/>
          <w:lang w:val="en-GB" w:eastAsia="en-US" w:bidi="ar-EG"/>
        </w:rPr>
        <w:t>الشكل 1</w:t>
      </w:r>
    </w:p>
    <w:p w14:paraId="14EFBEDB" w14:textId="2BC3C1E8" w:rsidR="009332ED" w:rsidRDefault="00B7033C" w:rsidP="008066BE">
      <w:pPr>
        <w:bidi/>
        <w:spacing w:after="120" w:line="216" w:lineRule="auto"/>
        <w:jc w:val="both"/>
        <w:rPr>
          <w:rFonts w:eastAsia="Malgun Gothic" w:cs="Simplified Arabic"/>
          <w:sz w:val="22"/>
          <w:lang w:val="en-GB" w:eastAsia="en-US" w:bidi="ar-EG"/>
        </w:rPr>
      </w:pPr>
      <w:r w:rsidRPr="00CC2A7D">
        <w:rPr>
          <w:rFonts w:cs="Simplified Arabic"/>
          <w:b/>
          <w:noProof/>
          <w:sz w:val="20"/>
          <w:szCs w:val="22"/>
          <w:lang w:val="en-US" w:bidi="ar-EG"/>
        </w:rPr>
        <w:object w:dxaOrig="9578" w:dyaOrig="5399" w14:anchorId="5FAC7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15pt;height:265.4pt" o:ole="">
            <v:imagedata r:id="rId11" o:title=""/>
          </v:shape>
          <o:OLEObject Type="Embed" ProgID="PowerPoint.Slide.12" ShapeID="_x0000_i1025" DrawAspect="Content" ObjectID="_1730266870" r:id="rId12"/>
        </w:object>
      </w:r>
    </w:p>
    <w:p w14:paraId="30FC8C9B" w14:textId="05F99496" w:rsidR="008066BE" w:rsidRPr="007E1C89" w:rsidRDefault="0089246F" w:rsidP="007E1C89">
      <w:pPr>
        <w:keepNext/>
        <w:keepLines/>
        <w:bidi/>
        <w:spacing w:after="120" w:line="216" w:lineRule="auto"/>
        <w:jc w:val="center"/>
        <w:rPr>
          <w:rFonts w:eastAsia="Malgun Gothic" w:cs="Simplified Arabic"/>
          <w:b/>
          <w:bCs/>
          <w:sz w:val="22"/>
          <w:rtl/>
          <w:lang w:val="en-GB" w:eastAsia="en-US" w:bidi="ar-EG"/>
        </w:rPr>
      </w:pPr>
      <w:r w:rsidRPr="007E1C89">
        <w:rPr>
          <w:rFonts w:eastAsia="Malgun Gothic" w:cs="Simplified Arabic" w:hint="cs"/>
          <w:b/>
          <w:bCs/>
          <w:sz w:val="22"/>
          <w:rtl/>
          <w:lang w:val="en-GB" w:eastAsia="en-US" w:bidi="ar-EG"/>
        </w:rPr>
        <w:t xml:space="preserve">جيم </w:t>
      </w:r>
      <w:r w:rsidRPr="007E1C89">
        <w:rPr>
          <w:rFonts w:eastAsia="Malgun Gothic" w:cs="Simplified Arabic"/>
          <w:b/>
          <w:bCs/>
          <w:sz w:val="22"/>
          <w:rtl/>
          <w:lang w:val="en-GB" w:eastAsia="en-US" w:bidi="ar-EG"/>
        </w:rPr>
        <w:t>–</w:t>
      </w:r>
      <w:r w:rsidRPr="007E1C89">
        <w:rPr>
          <w:rFonts w:eastAsia="Malgun Gothic" w:cs="Simplified Arabic" w:hint="cs"/>
          <w:b/>
          <w:bCs/>
          <w:sz w:val="22"/>
          <w:rtl/>
          <w:lang w:val="en-GB" w:eastAsia="en-US" w:bidi="ar-EG"/>
        </w:rPr>
        <w:t xml:space="preserve"> إطار الرصد المقترح للتعاون التقني والعلمي</w:t>
      </w:r>
    </w:p>
    <w:p w14:paraId="2F248BAC" w14:textId="7E1F8834" w:rsidR="009332ED" w:rsidRDefault="0089246F"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حيث </w:t>
      </w:r>
      <w:proofErr w:type="gramStart"/>
      <w:r>
        <w:rPr>
          <w:rFonts w:eastAsia="Malgun Gothic" w:cs="Simplified Arabic" w:hint="cs"/>
          <w:sz w:val="22"/>
          <w:rtl/>
          <w:lang w:val="en-GB" w:eastAsia="en-US" w:bidi="ar-EG"/>
        </w:rPr>
        <w:t>أن</w:t>
      </w:r>
      <w:proofErr w:type="gramEnd"/>
      <w:r>
        <w:rPr>
          <w:rFonts w:eastAsia="Malgun Gothic" w:cs="Simplified Arabic" w:hint="cs"/>
          <w:sz w:val="22"/>
          <w:rtl/>
          <w:lang w:val="en-GB" w:eastAsia="en-US" w:bidi="ar-EG"/>
        </w:rPr>
        <w:t xml:space="preserve"> الإطار العالمي للتنوع البيولوجي لما بعد عام 2020 ما زال قيد التطوير، يوفر إطار الرصد المقترح للتعاون التقني والعلمي توجها عاما لمساعدة الأطراف على تتبع وجمع الأدلة لإثبات </w:t>
      </w:r>
      <w:r w:rsidR="00AD5531">
        <w:rPr>
          <w:rFonts w:eastAsia="Malgun Gothic" w:cs="Simplified Arabic" w:hint="cs"/>
          <w:sz w:val="22"/>
          <w:rtl/>
          <w:lang w:val="en-GB" w:eastAsia="en-US" w:bidi="ar-EG"/>
        </w:rPr>
        <w:t xml:space="preserve">كيفية إسهام </w:t>
      </w:r>
      <w:r>
        <w:rPr>
          <w:rFonts w:eastAsia="Malgun Gothic" w:cs="Simplified Arabic" w:hint="cs"/>
          <w:sz w:val="22"/>
          <w:rtl/>
          <w:lang w:val="en-GB" w:eastAsia="en-US" w:bidi="ar-EG"/>
        </w:rPr>
        <w:t xml:space="preserve">تدخلات التعاون التقني والعلمي </w:t>
      </w:r>
      <w:r w:rsidR="00B15014">
        <w:rPr>
          <w:rFonts w:eastAsia="Malgun Gothic" w:cs="Simplified Arabic" w:hint="cs"/>
          <w:sz w:val="22"/>
          <w:rtl/>
          <w:lang w:val="en-GB" w:eastAsia="en-US" w:bidi="ar-EG"/>
        </w:rPr>
        <w:t xml:space="preserve">لأغراض </w:t>
      </w:r>
      <w:r>
        <w:rPr>
          <w:rFonts w:eastAsia="Malgun Gothic" w:cs="Simplified Arabic" w:hint="cs"/>
          <w:sz w:val="22"/>
          <w:rtl/>
          <w:lang w:val="en-GB" w:eastAsia="en-US" w:bidi="ar-EG"/>
        </w:rPr>
        <w:t>التنوع البيول</w:t>
      </w:r>
      <w:r w:rsidR="00B15014">
        <w:rPr>
          <w:rFonts w:eastAsia="Malgun Gothic" w:cs="Simplified Arabic" w:hint="cs"/>
          <w:sz w:val="22"/>
          <w:rtl/>
          <w:lang w:val="en-GB" w:eastAsia="en-US" w:bidi="ar-EG"/>
        </w:rPr>
        <w:t>و</w:t>
      </w:r>
      <w:r>
        <w:rPr>
          <w:rFonts w:eastAsia="Malgun Gothic" w:cs="Simplified Arabic" w:hint="cs"/>
          <w:sz w:val="22"/>
          <w:rtl/>
          <w:lang w:val="en-GB" w:eastAsia="en-US" w:bidi="ar-EG"/>
        </w:rPr>
        <w:t>جي</w:t>
      </w:r>
      <w:r w:rsidR="00B15014">
        <w:rPr>
          <w:rFonts w:eastAsia="Malgun Gothic" w:cs="Simplified Arabic" w:hint="cs"/>
          <w:sz w:val="22"/>
          <w:rtl/>
          <w:lang w:val="en-GB" w:eastAsia="en-US" w:bidi="ar-EG"/>
        </w:rPr>
        <w:t xml:space="preserve"> نحو تحقيق الهدف 19-2. كذلك </w:t>
      </w:r>
      <w:r w:rsidR="00146EA4">
        <w:rPr>
          <w:rFonts w:eastAsia="Malgun Gothic" w:cs="Simplified Arabic" w:hint="cs"/>
          <w:sz w:val="22"/>
          <w:rtl/>
          <w:lang w:val="en-GB" w:eastAsia="en-US" w:bidi="ar-EG"/>
        </w:rPr>
        <w:t xml:space="preserve">يأخذ </w:t>
      </w:r>
      <w:r w:rsidR="00B15014">
        <w:rPr>
          <w:rFonts w:eastAsia="Malgun Gothic" w:cs="Simplified Arabic" w:hint="cs"/>
          <w:sz w:val="22"/>
          <w:rtl/>
          <w:lang w:val="en-GB" w:eastAsia="en-US" w:bidi="ar-EG"/>
        </w:rPr>
        <w:t>هذا الإطار بعين الحسبان أيضا الالتزامات بموجب المادة 18 من الاتفاقية.</w:t>
      </w:r>
    </w:p>
    <w:p w14:paraId="098D05AB" w14:textId="21CB9BD5" w:rsidR="009332ED" w:rsidRDefault="00B15014"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يركز إطار الرصد على تحديد العناصر التي يمكن تقييمها لتقرير فيما لو كانت النتائج المرجوة المحددة في نظرية التغيير المقترحة للتعاون التقني والعلمي قيد التحقيق. ويمكن استخدام العناصر التالية لقياس التقدم المحرز في تحقيق النواتج والمخرجات المرغوبة.</w:t>
      </w:r>
    </w:p>
    <w:p w14:paraId="1B26053C" w14:textId="3BF19B1A"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إنشاء التكنولوجيات الجديدة واستخدامها بصورة مشتركة؛</w:t>
      </w:r>
    </w:p>
    <w:p w14:paraId="3ED7F9AE" w14:textId="34475FBF"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إجراء ونشر البحوث المشتركة؛</w:t>
      </w:r>
    </w:p>
    <w:p w14:paraId="0836AAE9" w14:textId="11D4AEFE"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تعزيز قدرات الشركاء وزيادة إذكاء الوعي من خلال أنشطة التعاون التقني والعلمي المستهدفة/المصممة؛</w:t>
      </w:r>
    </w:p>
    <w:p w14:paraId="57E5E9B2" w14:textId="5C834679"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إيجاد السياسات الوطنية لدعم أهداف وغايات التعاون التقني والعلمي؛</w:t>
      </w:r>
    </w:p>
    <w:p w14:paraId="33336B98" w14:textId="63AE884E"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التأثير على صناعة السياسات نحو تغيير النماذج الاجتماعية والاقتصادية والتمويلية التي تؤدي إلى فقدان التنوع البيولوجي؛</w:t>
      </w:r>
    </w:p>
    <w:p w14:paraId="39B003D8" w14:textId="4CBAE52F"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اعتناق صناع السياسة للتغييرات المتفق عليها نحو الاستخدام العادل والمستدام للتنوع البيولوجي، مستنيرين بمساهمة الطبيعة للبشر؛</w:t>
      </w:r>
    </w:p>
    <w:p w14:paraId="38F70AD3" w14:textId="788578C4"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إرساء/توسيع الشراكات وتعزيز التعاون بين القطاعات؛</w:t>
      </w:r>
    </w:p>
    <w:p w14:paraId="3376F89B" w14:textId="37828CCB" w:rsid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حشد الموارد لدعم وتوسيع تغطية برامج التعاون التقني والعلمي؛</w:t>
      </w:r>
    </w:p>
    <w:p w14:paraId="26601779" w14:textId="6BAF99B8" w:rsidR="00B15014" w:rsidRPr="00B15014" w:rsidRDefault="00B15014" w:rsidP="00D861B1">
      <w:pPr>
        <w:pStyle w:val="ListParagraph"/>
        <w:keepLines/>
        <w:numPr>
          <w:ilvl w:val="0"/>
          <w:numId w:val="47"/>
        </w:numPr>
        <w:bidi/>
        <w:spacing w:after="120" w:line="216" w:lineRule="auto"/>
        <w:ind w:left="1134" w:hanging="567"/>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تعزيز التعاون بين بلدان الجنوب ورفده بالتعاون الثلاثي والتعاون بين بلدان الشمال وبلدان الجنوب.</w:t>
      </w:r>
    </w:p>
    <w:p w14:paraId="089FE915" w14:textId="1635EF3F" w:rsidR="009332ED" w:rsidRDefault="00B15014"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ويعرض المرفق الملحق بالوثيقة الحالية لأغراض الإشارة، نماذج لعناصر برمجة التعاون التقني والعلمي</w:t>
      </w:r>
      <w:r w:rsidR="001B72D0">
        <w:rPr>
          <w:rFonts w:eastAsia="Malgun Gothic" w:cs="Simplified Arabic" w:hint="cs"/>
          <w:sz w:val="22"/>
          <w:rtl/>
          <w:lang w:val="en-GB" w:eastAsia="en-US" w:bidi="ar-EG"/>
        </w:rPr>
        <w:t xml:space="preserve"> التي يمكن رصدها، إضافة إلى بعض</w:t>
      </w:r>
      <w:r w:rsidR="00321F57">
        <w:rPr>
          <w:rFonts w:eastAsia="Malgun Gothic" w:cs="Simplified Arabic" w:hint="cs"/>
          <w:sz w:val="22"/>
          <w:rtl/>
          <w:lang w:val="en-GB" w:eastAsia="en-US" w:bidi="ar-EG"/>
        </w:rPr>
        <w:t xml:space="preserve"> ال</w:t>
      </w:r>
      <w:r w:rsidR="001B72D0">
        <w:rPr>
          <w:rFonts w:eastAsia="Malgun Gothic" w:cs="Simplified Arabic" w:hint="cs"/>
          <w:sz w:val="22"/>
          <w:rtl/>
          <w:lang w:val="en-GB" w:eastAsia="en-US" w:bidi="ar-EG"/>
        </w:rPr>
        <w:t>نماذج عن مؤشرات الأداء الرئيسية. وهنالك حاجة للمزيد من تطوير إطار شامل لرصد التعاون التقني والعلمي، ومواءمته مع، ورفده لإطار رصد الإطار العالمي للتنوع البيولوجي لما بعد عام 2020.</w:t>
      </w:r>
    </w:p>
    <w:p w14:paraId="511AD97F" w14:textId="38DBDD94" w:rsidR="001B72D0" w:rsidRPr="000764B5" w:rsidRDefault="001B72D0" w:rsidP="000764B5">
      <w:pPr>
        <w:keepNext/>
        <w:keepLines/>
        <w:bidi/>
        <w:spacing w:after="120" w:line="216" w:lineRule="auto"/>
        <w:jc w:val="center"/>
        <w:rPr>
          <w:rFonts w:eastAsia="YouYuan" w:cs="Simplified Arabic"/>
          <w:b/>
          <w:bCs/>
          <w:kern w:val="2"/>
          <w:sz w:val="28"/>
          <w:szCs w:val="28"/>
          <w:lang w:val="en-US" w:eastAsia="en-US" w:bidi="ar-EG"/>
        </w:rPr>
      </w:pPr>
      <w:r w:rsidRPr="000764B5">
        <w:rPr>
          <w:rFonts w:eastAsia="YouYuan" w:cs="Simplified Arabic" w:hint="cs"/>
          <w:b/>
          <w:bCs/>
          <w:kern w:val="2"/>
          <w:sz w:val="28"/>
          <w:szCs w:val="28"/>
          <w:rtl/>
          <w:lang w:val="en-US" w:eastAsia="en-US" w:bidi="ar-EG"/>
        </w:rPr>
        <w:t xml:space="preserve">ثالثا </w:t>
      </w:r>
      <w:r w:rsidRPr="000764B5">
        <w:rPr>
          <w:rFonts w:eastAsia="YouYuan" w:cs="Simplified Arabic"/>
          <w:b/>
          <w:bCs/>
          <w:kern w:val="2"/>
          <w:sz w:val="28"/>
          <w:szCs w:val="28"/>
          <w:rtl/>
          <w:lang w:val="en-US" w:eastAsia="en-US" w:bidi="ar-EG"/>
        </w:rPr>
        <w:t>–</w:t>
      </w:r>
      <w:r w:rsidRPr="000764B5">
        <w:rPr>
          <w:rFonts w:eastAsia="YouYuan" w:cs="Simplified Arabic" w:hint="cs"/>
          <w:b/>
          <w:bCs/>
          <w:kern w:val="2"/>
          <w:sz w:val="28"/>
          <w:szCs w:val="28"/>
          <w:rtl/>
          <w:lang w:val="en-US" w:eastAsia="en-US" w:bidi="ar-EG"/>
        </w:rPr>
        <w:t xml:space="preserve"> اعتبارات أخرى لاستعراض برامج التعاون التقني والعلمي</w:t>
      </w:r>
    </w:p>
    <w:p w14:paraId="1F9EE7BE" w14:textId="29BEDD72" w:rsidR="009332ED" w:rsidRDefault="001B72D0"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يتطرق هذا القسم للعناصر الأخرى المقترحة في المرفق الرابع من التوصية 3/8 للهيئة الفرعية للتنفيذ. ويوفر القسم الفرعي ألف معلومات ذات صلة بالتحليلات السابقة المجراة لتقدير المتطلبات من الموارد لدعم برامج ومبادرات التعاون التقني والعلمي. في حين يضع القسم الفرعي باء مخططا لمقترحات معايير وطرائق اختيار الهيئات والمنظمات التي ستستضيف الآليات المؤسسية للترويج لبرامج التعاون التقني والعلمي وتيسيرها على المستويات العالمية والإقليمية و/أو دون الإقليمية.</w:t>
      </w:r>
    </w:p>
    <w:p w14:paraId="2E0BB02F" w14:textId="4032C10E" w:rsidR="001B72D0" w:rsidRPr="007E1C89" w:rsidRDefault="001B72D0" w:rsidP="007E1C89">
      <w:pPr>
        <w:keepNext/>
        <w:keepLines/>
        <w:bidi/>
        <w:spacing w:after="120" w:line="216" w:lineRule="auto"/>
        <w:jc w:val="center"/>
        <w:rPr>
          <w:rFonts w:eastAsia="Malgun Gothic" w:cs="Simplified Arabic"/>
          <w:b/>
          <w:bCs/>
          <w:sz w:val="22"/>
          <w:lang w:val="en-GB" w:eastAsia="en-US" w:bidi="ar-EG"/>
        </w:rPr>
      </w:pPr>
      <w:r w:rsidRPr="007E1C89">
        <w:rPr>
          <w:rFonts w:eastAsia="Malgun Gothic" w:cs="Simplified Arabic" w:hint="cs"/>
          <w:b/>
          <w:bCs/>
          <w:sz w:val="22"/>
          <w:rtl/>
          <w:lang w:val="en-GB" w:eastAsia="en-US" w:bidi="ar-EG"/>
        </w:rPr>
        <w:t xml:space="preserve">ألف </w:t>
      </w:r>
      <w:r w:rsidRPr="007E1C89">
        <w:rPr>
          <w:rFonts w:eastAsia="Malgun Gothic" w:cs="Simplified Arabic"/>
          <w:b/>
          <w:bCs/>
          <w:sz w:val="22"/>
          <w:rtl/>
          <w:lang w:val="en-GB" w:eastAsia="en-US" w:bidi="ar-EG"/>
        </w:rPr>
        <w:t>–</w:t>
      </w:r>
      <w:r w:rsidRPr="007E1C89">
        <w:rPr>
          <w:rFonts w:eastAsia="Malgun Gothic" w:cs="Simplified Arabic" w:hint="cs"/>
          <w:b/>
          <w:bCs/>
          <w:sz w:val="22"/>
          <w:rtl/>
          <w:lang w:val="en-GB" w:eastAsia="en-US" w:bidi="ar-EG"/>
        </w:rPr>
        <w:t xml:space="preserve"> متطلبات الموارد </w:t>
      </w:r>
      <w:r w:rsidR="00BA0DB0">
        <w:rPr>
          <w:rFonts w:eastAsia="Malgun Gothic" w:cs="Simplified Arabic" w:hint="cs"/>
          <w:b/>
          <w:bCs/>
          <w:sz w:val="22"/>
          <w:rtl/>
          <w:lang w:val="en-GB" w:eastAsia="en-US" w:bidi="ar-EG"/>
        </w:rPr>
        <w:t>و</w:t>
      </w:r>
      <w:r w:rsidRPr="007E1C89">
        <w:rPr>
          <w:rFonts w:eastAsia="Malgun Gothic" w:cs="Simplified Arabic" w:hint="cs"/>
          <w:b/>
          <w:bCs/>
          <w:sz w:val="22"/>
          <w:rtl/>
          <w:lang w:val="en-GB" w:eastAsia="en-US" w:bidi="ar-EG"/>
        </w:rPr>
        <w:t xml:space="preserve">استراتيجية حشد الموارد لأغراض </w:t>
      </w:r>
      <w:r w:rsidR="00BA0DB0">
        <w:rPr>
          <w:rFonts w:eastAsia="Malgun Gothic" w:cs="Simplified Arabic" w:hint="cs"/>
          <w:b/>
          <w:bCs/>
          <w:sz w:val="22"/>
          <w:rtl/>
          <w:lang w:val="en-GB" w:eastAsia="en-US" w:bidi="ar-EG"/>
        </w:rPr>
        <w:t>ا</w:t>
      </w:r>
      <w:r w:rsidRPr="007E1C89">
        <w:rPr>
          <w:rFonts w:eastAsia="Malgun Gothic" w:cs="Simplified Arabic" w:hint="cs"/>
          <w:b/>
          <w:bCs/>
          <w:sz w:val="22"/>
          <w:rtl/>
          <w:lang w:val="en-GB" w:eastAsia="en-US" w:bidi="ar-EG"/>
        </w:rPr>
        <w:t>لتعاون التقني والعلمي</w:t>
      </w:r>
    </w:p>
    <w:p w14:paraId="6DE34880" w14:textId="6940DD28" w:rsidR="009332ED" w:rsidRDefault="001B72D0"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أشار الاستعراض إلى أن تنفيذ برامج التعاون التقني والعلمي يتعرض لمعوقات بسبب عوامل متنوعة، </w:t>
      </w:r>
      <w:r w:rsidR="003F1CD3">
        <w:rPr>
          <w:rFonts w:eastAsia="Malgun Gothic" w:cs="Simplified Arabic" w:hint="cs"/>
          <w:sz w:val="22"/>
          <w:rtl/>
          <w:lang w:val="en-GB" w:eastAsia="en-US" w:bidi="ar-EG"/>
        </w:rPr>
        <w:t xml:space="preserve">أكثرها </w:t>
      </w:r>
      <w:proofErr w:type="gramStart"/>
      <w:r>
        <w:rPr>
          <w:rFonts w:eastAsia="Malgun Gothic" w:cs="Simplified Arabic" w:hint="cs"/>
          <w:sz w:val="22"/>
          <w:rtl/>
          <w:lang w:val="en-GB" w:eastAsia="en-US" w:bidi="ar-EG"/>
        </w:rPr>
        <w:t>وضوحا  الافتقار</w:t>
      </w:r>
      <w:proofErr w:type="gramEnd"/>
      <w:r>
        <w:rPr>
          <w:rFonts w:eastAsia="Malgun Gothic" w:cs="Simplified Arabic" w:hint="cs"/>
          <w:sz w:val="22"/>
          <w:rtl/>
          <w:lang w:val="en-GB" w:eastAsia="en-US" w:bidi="ar-EG"/>
        </w:rPr>
        <w:t xml:space="preserve"> إلى الموارد المالية والبشرية المستدامة والكافية. إذ أن الموارد المالية المتاحة للتعاون التقني والعلمي شحيحة وغير كافية وقصيرة الأ</w:t>
      </w:r>
      <w:r w:rsidR="00C47234">
        <w:rPr>
          <w:rFonts w:eastAsia="Malgun Gothic" w:cs="Simplified Arabic" w:hint="cs"/>
          <w:sz w:val="22"/>
          <w:rtl/>
          <w:lang w:val="en-GB" w:eastAsia="en-US" w:bidi="ar-EG"/>
        </w:rPr>
        <w:t xml:space="preserve">مد </w:t>
      </w:r>
      <w:r w:rsidR="00860D03">
        <w:rPr>
          <w:rFonts w:eastAsia="Malgun Gothic" w:cs="Simplified Arabic" w:hint="cs"/>
          <w:sz w:val="22"/>
          <w:rtl/>
          <w:lang w:val="en-GB" w:eastAsia="en-US" w:bidi="ar-EG"/>
        </w:rPr>
        <w:t xml:space="preserve">وغير مستدامة ولا يمكن التنبؤ بها. وقد أثر ذلك بصورة </w:t>
      </w:r>
      <w:r w:rsidR="00C47234">
        <w:rPr>
          <w:rFonts w:eastAsia="Malgun Gothic" w:cs="Simplified Arabic" w:hint="cs"/>
          <w:sz w:val="22"/>
          <w:rtl/>
          <w:lang w:val="en-GB" w:eastAsia="en-US" w:bidi="ar-EG"/>
        </w:rPr>
        <w:t xml:space="preserve">سلبية </w:t>
      </w:r>
      <w:r w:rsidR="00860D03">
        <w:rPr>
          <w:rFonts w:eastAsia="Malgun Gothic" w:cs="Simplified Arabic" w:hint="cs"/>
          <w:sz w:val="22"/>
          <w:rtl/>
          <w:lang w:val="en-GB" w:eastAsia="en-US" w:bidi="ar-EG"/>
        </w:rPr>
        <w:t xml:space="preserve">على وجه الخصوص على البلدان الأقل </w:t>
      </w:r>
      <w:r w:rsidR="00262609">
        <w:rPr>
          <w:rFonts w:eastAsia="Malgun Gothic" w:cs="Simplified Arabic" w:hint="cs"/>
          <w:sz w:val="22"/>
          <w:rtl/>
          <w:lang w:val="en-GB" w:eastAsia="en-US" w:bidi="ar-EG"/>
        </w:rPr>
        <w:t xml:space="preserve">نموًا </w:t>
      </w:r>
      <w:r w:rsidR="00860D03">
        <w:rPr>
          <w:rFonts w:eastAsia="Malgun Gothic" w:cs="Simplified Arabic" w:hint="cs"/>
          <w:sz w:val="22"/>
          <w:rtl/>
          <w:lang w:val="en-GB" w:eastAsia="en-US" w:bidi="ar-EG"/>
        </w:rPr>
        <w:t>والدول الجزرية النامية الصغيرة والبلدان التي تمر اقتصاداتها بمرحلة انتقالية</w:t>
      </w:r>
      <w:r w:rsidR="00262609">
        <w:rPr>
          <w:rFonts w:eastAsia="Malgun Gothic" w:cs="Simplified Arabic" w:hint="cs"/>
          <w:sz w:val="22"/>
          <w:rtl/>
          <w:lang w:val="en-GB" w:eastAsia="en-US" w:bidi="ar-EG"/>
        </w:rPr>
        <w:t>،</w:t>
      </w:r>
      <w:r w:rsidR="00860D03">
        <w:rPr>
          <w:rFonts w:eastAsia="Malgun Gothic" w:cs="Simplified Arabic" w:hint="cs"/>
          <w:sz w:val="22"/>
          <w:rtl/>
          <w:lang w:val="en-GB" w:eastAsia="en-US" w:bidi="ar-EG"/>
        </w:rPr>
        <w:t xml:space="preserve"> في جهودها الرامية إلى التنفيذ الفعال للاتفاقية وبروتوكوليها. </w:t>
      </w:r>
      <w:r w:rsidR="005533C9">
        <w:rPr>
          <w:rFonts w:eastAsia="Malgun Gothic" w:cs="Simplified Arabic" w:hint="cs"/>
          <w:sz w:val="22"/>
          <w:rtl/>
          <w:lang w:val="en-GB" w:eastAsia="en-US" w:bidi="ar-EG"/>
        </w:rPr>
        <w:t>ف</w:t>
      </w:r>
      <w:r w:rsidR="00860D03">
        <w:rPr>
          <w:rFonts w:eastAsia="Malgun Gothic" w:cs="Simplified Arabic" w:hint="cs"/>
          <w:sz w:val="22"/>
          <w:rtl/>
          <w:lang w:val="en-GB" w:eastAsia="en-US" w:bidi="ar-EG"/>
        </w:rPr>
        <w:t>جميع أنشطة ومبادرات التعاون التقني والعلمي التي تقودها الأمانة العام تقريبا مدعومة من خلال المساهمات الطوعية التي غالبا ما لا يمكن التنبؤ بها</w:t>
      </w:r>
      <w:r w:rsidR="005533C9">
        <w:rPr>
          <w:rFonts w:eastAsia="Malgun Gothic" w:cs="Simplified Arabic" w:hint="cs"/>
          <w:sz w:val="22"/>
          <w:rtl/>
          <w:lang w:val="en-GB" w:eastAsia="en-US" w:bidi="ar-EG"/>
        </w:rPr>
        <w:t>،</w:t>
      </w:r>
      <w:r w:rsidR="00860D03">
        <w:rPr>
          <w:rFonts w:eastAsia="Malgun Gothic" w:cs="Simplified Arabic" w:hint="cs"/>
          <w:sz w:val="22"/>
          <w:rtl/>
          <w:lang w:val="en-GB" w:eastAsia="en-US" w:bidi="ar-EG"/>
        </w:rPr>
        <w:t xml:space="preserve"> مما يجعل برمجة التعاون التقني والعلمي وتنفيذه أمرا محفوفا بالتحديات.</w:t>
      </w:r>
    </w:p>
    <w:p w14:paraId="101F87C6" w14:textId="4CF993F0" w:rsidR="009332ED" w:rsidRDefault="00860D03"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واستجابة للتوصية 23/6 </w:t>
      </w:r>
      <w:r w:rsidR="00C13541">
        <w:rPr>
          <w:rFonts w:eastAsia="Malgun Gothic" w:cs="Simplified Arabic" w:hint="cs"/>
          <w:sz w:val="22"/>
          <w:rtl/>
          <w:lang w:val="en-GB" w:eastAsia="en-US" w:bidi="ar-EG"/>
        </w:rPr>
        <w:t xml:space="preserve">للهيئة </w:t>
      </w:r>
      <w:r>
        <w:rPr>
          <w:rFonts w:eastAsia="Malgun Gothic" w:cs="Simplified Arabic" w:hint="cs"/>
          <w:sz w:val="22"/>
          <w:rtl/>
          <w:lang w:val="en-GB" w:eastAsia="en-US" w:bidi="ar-EG"/>
        </w:rPr>
        <w:t xml:space="preserve">الفرعية للمشورة العلمية والتقنية والتكنولوجية، جمعت الأمينة التنفيذية معلومات عن تقديرات تكاليف الخيارات المتعددة </w:t>
      </w:r>
      <w:r w:rsidR="00C13541">
        <w:rPr>
          <w:rFonts w:eastAsia="Malgun Gothic" w:cs="Simplified Arabic" w:hint="cs"/>
          <w:sz w:val="22"/>
          <w:rtl/>
          <w:lang w:val="en-GB" w:eastAsia="en-US" w:bidi="ar-EG"/>
        </w:rPr>
        <w:t>ل</w:t>
      </w:r>
      <w:r>
        <w:rPr>
          <w:rFonts w:eastAsia="Malgun Gothic" w:cs="Simplified Arabic" w:hint="cs"/>
          <w:sz w:val="22"/>
          <w:rtl/>
          <w:lang w:val="en-GB" w:eastAsia="en-US" w:bidi="ar-EG"/>
        </w:rPr>
        <w:t xml:space="preserve">لتدابير المؤسسية لتيسير وتعزيز التعاون التقني والعلمي، ووفرتها في الوثيقة </w:t>
      </w:r>
      <w:r>
        <w:rPr>
          <w:rFonts w:eastAsia="Malgun Gothic" w:cs="Simplified Arabic"/>
          <w:sz w:val="22"/>
          <w:lang w:val="en-GB" w:eastAsia="en-US" w:bidi="ar-EG"/>
        </w:rPr>
        <w:t>CBD/SBI/3/INF/16</w:t>
      </w:r>
      <w:r>
        <w:rPr>
          <w:rFonts w:eastAsia="Malgun Gothic" w:cs="Simplified Arabic" w:hint="cs"/>
          <w:sz w:val="22"/>
          <w:rtl/>
          <w:lang w:val="en-GB" w:eastAsia="en-US" w:bidi="ar-EG"/>
        </w:rPr>
        <w:t xml:space="preserve">. وتوفر المعلومات الواردة في تلك الوثيقة تقديرات متحفظة للحد الأدنى من متطلبات الموارد لإيجاد التدابير المؤسسية الجوهرية الضرورية. إلا أنه سيكون من المطلوب توفير موارد أكبر بصورة معتبرة لدعم أنشطة ومشاريع وبرامج التعاون التقني والعلمي الملموسة </w:t>
      </w:r>
      <w:r w:rsidR="00CF4AF5">
        <w:rPr>
          <w:rFonts w:eastAsia="Malgun Gothic" w:cs="Simplified Arabic" w:hint="cs"/>
          <w:sz w:val="22"/>
          <w:rtl/>
          <w:lang w:val="en-GB" w:eastAsia="en-US" w:bidi="ar-EG"/>
        </w:rPr>
        <w:t>والفعلية</w:t>
      </w:r>
      <w:r>
        <w:rPr>
          <w:rFonts w:eastAsia="Malgun Gothic" w:cs="Simplified Arabic" w:hint="cs"/>
          <w:sz w:val="22"/>
          <w:rtl/>
          <w:lang w:val="en-GB" w:eastAsia="en-US" w:bidi="ar-EG"/>
        </w:rPr>
        <w:t>.</w:t>
      </w:r>
    </w:p>
    <w:p w14:paraId="09DB2D5F" w14:textId="1C906853" w:rsidR="009332ED" w:rsidRDefault="00860D03" w:rsidP="00860D0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 xml:space="preserve">ولتسليط الضوء على أهمية حشد الموارد، من الجدير بالإشارة إلى 72 في </w:t>
      </w:r>
      <w:proofErr w:type="gramStart"/>
      <w:r>
        <w:rPr>
          <w:rFonts w:eastAsia="Malgun Gothic" w:cs="Simplified Arabic" w:hint="cs"/>
          <w:sz w:val="22"/>
          <w:rtl/>
          <w:lang w:val="en-GB" w:eastAsia="en-US" w:bidi="ar-EG"/>
        </w:rPr>
        <w:t>المائة</w:t>
      </w:r>
      <w:proofErr w:type="gramEnd"/>
      <w:r>
        <w:rPr>
          <w:rFonts w:eastAsia="Malgun Gothic" w:cs="Simplified Arabic" w:hint="cs"/>
          <w:sz w:val="22"/>
          <w:rtl/>
          <w:lang w:val="en-GB" w:eastAsia="en-US" w:bidi="ar-EG"/>
        </w:rPr>
        <w:t xml:space="preserve"> من أولئك الذين أجابوا على الاستبيان وافقوا بشدة على أنه، "ولتحقيق الإطار العالمي للتنوع البيولوجي لما بعد عام 2020، هنالك حاجة لاستثمارات أعظم للترويج للتعاون التقني والعلمي وتمكينه، وبخاصة لصالح البلدان النامي</w:t>
      </w:r>
      <w:r w:rsidR="002B6372">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والبلدان التي تمر اقتصاداتها بمرحلة انتقالية</w:t>
      </w:r>
      <w:r w:rsidR="002B6372">
        <w:rPr>
          <w:rFonts w:eastAsia="Malgun Gothic" w:cs="Simplified Arabic" w:hint="cs"/>
          <w:sz w:val="22"/>
          <w:rtl/>
          <w:lang w:val="en-GB" w:eastAsia="en-US" w:bidi="ar-EG"/>
        </w:rPr>
        <w:t>"</w:t>
      </w:r>
      <w:r>
        <w:rPr>
          <w:rFonts w:eastAsia="Malgun Gothic" w:cs="Simplified Arabic" w:hint="cs"/>
          <w:sz w:val="22"/>
          <w:rtl/>
          <w:lang w:val="en-GB" w:eastAsia="en-US" w:bidi="ar-EG"/>
        </w:rPr>
        <w:t>.</w:t>
      </w:r>
    </w:p>
    <w:p w14:paraId="289697B2" w14:textId="2C6849D4" w:rsidR="009332ED" w:rsidRDefault="002B6372"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ويبقى حشد الموارد الضرورية للتعاون التقني والعلمي وغيره من البرامج الأخرى تحديا رئيسيا في كامل الاتفاقية وبروتوكوليها. وثمة حاجة لتحديد وحشد الموارد لبرامج ومبادرات التعاون التقني والعلمي من مصادر متنوعة كجزء من استراتيجية حشد الموارد الإجمالية للإطار العالمي للتنوع البيولوجي لما بعد عام 2020.</w:t>
      </w:r>
      <w:r w:rsidR="00860D03">
        <w:rPr>
          <w:rStyle w:val="FootnoteReference"/>
          <w:rFonts w:eastAsia="Malgun Gothic" w:cs="Simplified Arabic"/>
          <w:sz w:val="22"/>
          <w:rtl/>
          <w:lang w:val="en-GB" w:eastAsia="en-US" w:bidi="ar-EG"/>
        </w:rPr>
        <w:footnoteReference w:id="5"/>
      </w:r>
    </w:p>
    <w:p w14:paraId="37E52368" w14:textId="3B578E21" w:rsidR="002B6372" w:rsidRPr="007E1C89" w:rsidRDefault="002B6372" w:rsidP="007E1C89">
      <w:pPr>
        <w:keepNext/>
        <w:keepLines/>
        <w:bidi/>
        <w:spacing w:after="120" w:line="216" w:lineRule="auto"/>
        <w:jc w:val="center"/>
        <w:rPr>
          <w:rFonts w:eastAsia="Malgun Gothic" w:cs="Simplified Arabic"/>
          <w:b/>
          <w:bCs/>
          <w:sz w:val="22"/>
          <w:lang w:val="en-GB" w:eastAsia="en-US" w:bidi="ar-EG"/>
        </w:rPr>
      </w:pPr>
      <w:r w:rsidRPr="007E1C89">
        <w:rPr>
          <w:rFonts w:eastAsia="Malgun Gothic" w:cs="Simplified Arabic" w:hint="cs"/>
          <w:b/>
          <w:bCs/>
          <w:sz w:val="22"/>
          <w:rtl/>
          <w:lang w:val="en-GB" w:eastAsia="en-US" w:bidi="ar-EG"/>
        </w:rPr>
        <w:t xml:space="preserve">باء </w:t>
      </w:r>
      <w:r w:rsidRPr="007E1C89">
        <w:rPr>
          <w:rFonts w:eastAsia="Malgun Gothic" w:cs="Simplified Arabic"/>
          <w:b/>
          <w:bCs/>
          <w:sz w:val="22"/>
          <w:rtl/>
          <w:lang w:val="en-GB" w:eastAsia="en-US" w:bidi="ar-EG"/>
        </w:rPr>
        <w:t>–</w:t>
      </w:r>
      <w:r w:rsidRPr="007E1C89">
        <w:rPr>
          <w:rFonts w:eastAsia="Malgun Gothic" w:cs="Simplified Arabic" w:hint="cs"/>
          <w:b/>
          <w:bCs/>
          <w:sz w:val="22"/>
          <w:rtl/>
          <w:lang w:val="en-GB" w:eastAsia="en-US" w:bidi="ar-EG"/>
        </w:rPr>
        <w:t xml:space="preserve"> معايير وطرائق اختيار الكيانات والمنظمات لاستضافة الآليات المؤسسية للترويج للتعاون التقني والعلمي وتيسيره</w:t>
      </w:r>
    </w:p>
    <w:p w14:paraId="040332F8" w14:textId="2EED696B" w:rsidR="009332ED" w:rsidRDefault="002B6372"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نظر</w:t>
      </w:r>
      <w:r w:rsidR="004B2CF3">
        <w:rPr>
          <w:rFonts w:eastAsia="Malgun Gothic" w:cs="Simplified Arabic" w:hint="cs"/>
          <w:sz w:val="22"/>
          <w:rtl/>
          <w:lang w:val="en-GB" w:eastAsia="en-US" w:bidi="ar-EG"/>
        </w:rPr>
        <w:t xml:space="preserve"> </w:t>
      </w:r>
      <w:r>
        <w:rPr>
          <w:rFonts w:eastAsia="Malgun Gothic" w:cs="Simplified Arabic" w:hint="cs"/>
          <w:sz w:val="22"/>
          <w:rtl/>
          <w:lang w:val="en-GB" w:eastAsia="en-US" w:bidi="ar-EG"/>
        </w:rPr>
        <w:t xml:space="preserve">الاجتماع الثالث للهيئة الفرعية للتنفيذ في مسودة جملة من المعايير للكيانات والمنظمات التي قد ترغب في استضافة الآليات المؤسسية للترويج للتعاون التقني والعلمي وتيسيره على المستويات العالمية والإقليمية و/أو دون الإقليمية. وهي مدرجة </w:t>
      </w:r>
      <w:r w:rsidR="00FC2553">
        <w:rPr>
          <w:rFonts w:eastAsia="Malgun Gothic" w:cs="Simplified Arabic" w:hint="cs"/>
          <w:sz w:val="22"/>
          <w:rtl/>
          <w:lang w:val="en-GB" w:eastAsia="en-US" w:bidi="ar-EG"/>
        </w:rPr>
        <w:t xml:space="preserve">في </w:t>
      </w:r>
      <w:r>
        <w:rPr>
          <w:rFonts w:eastAsia="Malgun Gothic" w:cs="Simplified Arabic" w:hint="cs"/>
          <w:sz w:val="22"/>
          <w:rtl/>
          <w:lang w:val="en-GB" w:eastAsia="en-US" w:bidi="ar-EG"/>
        </w:rPr>
        <w:t xml:space="preserve">مشروع المقرر الخاص ببناء القدرات والتعاون التقني العلمي المتوفر في الوثيقة </w:t>
      </w:r>
      <w:r>
        <w:rPr>
          <w:rFonts w:eastAsia="Malgun Gothic" w:cs="Simplified Arabic"/>
          <w:sz w:val="22"/>
          <w:lang w:val="en-GB" w:eastAsia="en-US" w:bidi="ar-EG"/>
        </w:rPr>
        <w:t>CBD/COP/15/2</w:t>
      </w:r>
      <w:r>
        <w:rPr>
          <w:rStyle w:val="FootnoteReference"/>
          <w:rFonts w:eastAsia="Malgun Gothic" w:cs="Simplified Arabic"/>
          <w:sz w:val="22"/>
          <w:rtl/>
          <w:lang w:val="en-GB" w:eastAsia="en-US" w:bidi="ar-EG"/>
        </w:rPr>
        <w:footnoteReference w:id="6"/>
      </w:r>
      <w:r>
        <w:rPr>
          <w:rFonts w:eastAsia="Malgun Gothic" w:cs="Simplified Arabic"/>
          <w:sz w:val="22"/>
          <w:lang w:val="en-GB" w:eastAsia="en-US" w:bidi="ar-EG"/>
        </w:rPr>
        <w:t xml:space="preserve"> </w:t>
      </w:r>
      <w:r>
        <w:rPr>
          <w:rFonts w:eastAsia="Malgun Gothic" w:cs="Simplified Arabic" w:hint="cs"/>
          <w:sz w:val="22"/>
          <w:rtl/>
          <w:lang w:val="en-GB" w:eastAsia="en-US" w:bidi="ar-EG"/>
        </w:rPr>
        <w:t>كي ينظر فيه مؤتمر الأطراف في اجتماعه الخامس عشر.</w:t>
      </w:r>
    </w:p>
    <w:p w14:paraId="7A2A67E7" w14:textId="089AFC2D" w:rsidR="00BF6FEF" w:rsidRDefault="00BF6FEF" w:rsidP="00BF6FE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وبالإضافة إلى ذلك، و</w:t>
      </w:r>
      <w:r w:rsidR="00261EC2">
        <w:rPr>
          <w:rFonts w:eastAsia="Malgun Gothic" w:cs="Simplified Arabic" w:hint="cs"/>
          <w:sz w:val="22"/>
          <w:rtl/>
          <w:lang w:val="en-GB" w:eastAsia="en-US" w:bidi="ar-EG"/>
        </w:rPr>
        <w:t xml:space="preserve">من خلال </w:t>
      </w:r>
      <w:proofErr w:type="gramStart"/>
      <w:r>
        <w:rPr>
          <w:rFonts w:eastAsia="Malgun Gothic" w:cs="Simplified Arabic" w:hint="cs"/>
          <w:sz w:val="22"/>
          <w:rtl/>
          <w:lang w:val="en-GB" w:eastAsia="en-US" w:bidi="ar-EG"/>
        </w:rPr>
        <w:t>الاستبيان</w:t>
      </w:r>
      <w:proofErr w:type="gramEnd"/>
      <w:r>
        <w:rPr>
          <w:rFonts w:eastAsia="Malgun Gothic" w:cs="Simplified Arabic" w:hint="cs"/>
          <w:sz w:val="22"/>
          <w:rtl/>
          <w:lang w:val="en-GB" w:eastAsia="en-US" w:bidi="ar-EG"/>
        </w:rPr>
        <w:t xml:space="preserve"> الخاص بهذا الاستعراض، تمت دعوة الذين أجابوا على هذا الاستبيان إلى تحديد المعايير ذات الأولوية التي ينبغي أخذها بعين الحسبان عند اختيار الكيانات والمنظمات لتيسير وتعزيز التعاون التقني والعلمي دعما للإطار العالمي للتنوع البيولوجي لمما بعد عام 2020. وأما المعايير الأربعة الأولى التي اختارتها غالبية الذين أجابوا على </w:t>
      </w:r>
      <w:proofErr w:type="gramStart"/>
      <w:r>
        <w:rPr>
          <w:rFonts w:eastAsia="Malgun Gothic" w:cs="Simplified Arabic" w:hint="cs"/>
          <w:sz w:val="22"/>
          <w:rtl/>
          <w:lang w:val="en-GB" w:eastAsia="en-US" w:bidi="ar-EG"/>
        </w:rPr>
        <w:t>الاستبيان</w:t>
      </w:r>
      <w:proofErr w:type="gramEnd"/>
      <w:r>
        <w:rPr>
          <w:rFonts w:eastAsia="Malgun Gothic" w:cs="Simplified Arabic" w:hint="cs"/>
          <w:sz w:val="22"/>
          <w:rtl/>
          <w:lang w:val="en-GB" w:eastAsia="en-US" w:bidi="ar-EG"/>
        </w:rPr>
        <w:t xml:space="preserve"> فكانت التالية:</w:t>
      </w:r>
    </w:p>
    <w:p w14:paraId="210D5249" w14:textId="758D3D45" w:rsidR="00E12F68" w:rsidRPr="00E12F68" w:rsidRDefault="00E12F68" w:rsidP="00D861B1">
      <w:pPr>
        <w:bidi/>
        <w:spacing w:after="120" w:line="216" w:lineRule="auto"/>
        <w:ind w:left="565"/>
        <w:jc w:val="both"/>
        <w:rPr>
          <w:rFonts w:eastAsia="Malgun Gothic" w:cs="Simplified Arabic"/>
          <w:sz w:val="22"/>
          <w:rtl/>
          <w:lang w:val="en-GB" w:eastAsia="en-US" w:bidi="ar-EG"/>
        </w:rPr>
      </w:pPr>
      <w:r w:rsidRPr="00E12F68">
        <w:rPr>
          <w:rFonts w:eastAsia="Malgun Gothic" w:cs="Simplified Arabic"/>
          <w:sz w:val="22"/>
          <w:rtl/>
          <w:lang w:val="en-GB" w:eastAsia="en-US" w:bidi="ar-EG"/>
        </w:rPr>
        <w:t>(</w:t>
      </w:r>
      <w:r>
        <w:rPr>
          <w:rFonts w:eastAsia="Malgun Gothic" w:cs="Simplified Arabic" w:hint="cs"/>
          <w:sz w:val="22"/>
          <w:rtl/>
          <w:lang w:val="en-GB" w:eastAsia="en-US" w:bidi="ar-EG"/>
        </w:rPr>
        <w:t>أ</w:t>
      </w:r>
      <w:r w:rsidRPr="00E12F68">
        <w:rPr>
          <w:rFonts w:eastAsia="Malgun Gothic" w:cs="Simplified Arabic"/>
          <w:sz w:val="22"/>
          <w:rtl/>
          <w:lang w:val="en-GB" w:eastAsia="en-US" w:bidi="ar-EG"/>
        </w:rPr>
        <w:t>)</w:t>
      </w:r>
      <w:r w:rsidRPr="00E12F68">
        <w:rPr>
          <w:rFonts w:eastAsia="Malgun Gothic" w:cs="Simplified Arabic"/>
          <w:sz w:val="22"/>
          <w:lang w:val="en-GB" w:eastAsia="en-US" w:bidi="ar-EG"/>
        </w:rPr>
        <w:tab/>
      </w:r>
      <w:r w:rsidRPr="00E12F68">
        <w:rPr>
          <w:rFonts w:eastAsia="Malgun Gothic" w:cs="Simplified Arabic"/>
          <w:sz w:val="22"/>
          <w:rtl/>
          <w:lang w:val="en-GB" w:eastAsia="en-US" w:bidi="ar-EG"/>
        </w:rPr>
        <w:t>المشاركة في الشبكات والشراكات الإقليمية ودون الإقليمية المتعلقة بالتنوع البيولوجي؛</w:t>
      </w:r>
    </w:p>
    <w:p w14:paraId="171A8227" w14:textId="7BCBE705" w:rsidR="00E12F68" w:rsidRPr="00E12F68" w:rsidRDefault="00E12F68" w:rsidP="00D861B1">
      <w:pPr>
        <w:bidi/>
        <w:spacing w:after="120" w:line="216" w:lineRule="auto"/>
        <w:ind w:left="565"/>
        <w:jc w:val="both"/>
        <w:rPr>
          <w:rFonts w:eastAsia="Malgun Gothic" w:cs="Simplified Arabic"/>
          <w:sz w:val="22"/>
          <w:rtl/>
          <w:lang w:val="en-GB" w:eastAsia="en-US" w:bidi="ar-EG"/>
        </w:rPr>
      </w:pPr>
      <w:r w:rsidRPr="00E12F68">
        <w:rPr>
          <w:rFonts w:eastAsia="Malgun Gothic" w:cs="Simplified Arabic"/>
          <w:sz w:val="22"/>
          <w:rtl/>
          <w:lang w:val="en-GB" w:eastAsia="en-US" w:bidi="ar-EG"/>
        </w:rPr>
        <w:t>(</w:t>
      </w:r>
      <w:r>
        <w:rPr>
          <w:rFonts w:eastAsia="Malgun Gothic" w:cs="Simplified Arabic" w:hint="cs"/>
          <w:sz w:val="22"/>
          <w:rtl/>
          <w:lang w:val="en-GB" w:eastAsia="en-US" w:bidi="ar-EG"/>
        </w:rPr>
        <w:t>ب</w:t>
      </w:r>
      <w:r w:rsidRPr="00E12F68">
        <w:rPr>
          <w:rFonts w:eastAsia="Malgun Gothic" w:cs="Simplified Arabic"/>
          <w:sz w:val="22"/>
          <w:rtl/>
          <w:lang w:val="en-GB" w:eastAsia="en-US" w:bidi="ar-EG"/>
        </w:rPr>
        <w:t>)</w:t>
      </w:r>
      <w:r w:rsidRPr="00E12F68">
        <w:rPr>
          <w:rFonts w:eastAsia="Malgun Gothic" w:cs="Simplified Arabic"/>
          <w:sz w:val="22"/>
          <w:lang w:val="en-GB" w:eastAsia="en-US" w:bidi="ar-EG"/>
        </w:rPr>
        <w:tab/>
      </w:r>
      <w:r w:rsidRPr="00E12F68">
        <w:rPr>
          <w:rFonts w:eastAsia="Malgun Gothic" w:cs="Simplified Arabic"/>
          <w:sz w:val="22"/>
          <w:rtl/>
          <w:lang w:val="en-GB" w:eastAsia="en-US" w:bidi="ar-EG"/>
        </w:rPr>
        <w:t>خبرة في مجالات العمل المتعلقة بالتنوع البيولوجي؛</w:t>
      </w:r>
    </w:p>
    <w:p w14:paraId="6EFFDE84" w14:textId="0BA079A3" w:rsidR="00E12F68" w:rsidRPr="00E12F68" w:rsidRDefault="00E12F68" w:rsidP="00D861B1">
      <w:pPr>
        <w:bidi/>
        <w:spacing w:after="120" w:line="216" w:lineRule="auto"/>
        <w:ind w:left="565"/>
        <w:jc w:val="both"/>
        <w:rPr>
          <w:rFonts w:eastAsia="Malgun Gothic" w:cs="Simplified Arabic"/>
          <w:sz w:val="22"/>
          <w:rtl/>
          <w:lang w:val="en-GB" w:eastAsia="en-US" w:bidi="ar-EG"/>
        </w:rPr>
      </w:pPr>
      <w:r w:rsidRPr="00E12F68">
        <w:rPr>
          <w:rFonts w:eastAsia="Malgun Gothic" w:cs="Simplified Arabic"/>
          <w:sz w:val="22"/>
          <w:rtl/>
          <w:lang w:val="en-GB" w:eastAsia="en-US" w:bidi="ar-EG"/>
        </w:rPr>
        <w:t>(</w:t>
      </w:r>
      <w:r>
        <w:rPr>
          <w:rFonts w:eastAsia="Malgun Gothic" w:cs="Simplified Arabic" w:hint="cs"/>
          <w:sz w:val="22"/>
          <w:rtl/>
          <w:lang w:val="en-GB" w:eastAsia="en-US" w:bidi="ar-EG"/>
        </w:rPr>
        <w:t>ج</w:t>
      </w:r>
      <w:r w:rsidRPr="00E12F68">
        <w:rPr>
          <w:rFonts w:eastAsia="Malgun Gothic" w:cs="Simplified Arabic"/>
          <w:sz w:val="22"/>
          <w:rtl/>
          <w:lang w:val="en-GB" w:eastAsia="en-US" w:bidi="ar-EG"/>
        </w:rPr>
        <w:t>)</w:t>
      </w:r>
      <w:r w:rsidRPr="00E12F68">
        <w:rPr>
          <w:rFonts w:eastAsia="Malgun Gothic" w:cs="Simplified Arabic"/>
          <w:sz w:val="22"/>
          <w:lang w:val="en-GB" w:eastAsia="en-US" w:bidi="ar-EG"/>
        </w:rPr>
        <w:tab/>
      </w:r>
      <w:r w:rsidRPr="00E12F68">
        <w:rPr>
          <w:rFonts w:eastAsia="Malgun Gothic" w:cs="Simplified Arabic"/>
          <w:sz w:val="22"/>
          <w:rtl/>
          <w:lang w:val="en-GB" w:eastAsia="en-US" w:bidi="ar-EG"/>
        </w:rPr>
        <w:t>خبرة مثبتة في تيسير التعاون التقني والعلمي؛</w:t>
      </w:r>
    </w:p>
    <w:p w14:paraId="2140996F" w14:textId="47E1048D" w:rsidR="00E12F68" w:rsidRDefault="00E12F68" w:rsidP="00D861B1">
      <w:pPr>
        <w:bidi/>
        <w:spacing w:after="120" w:line="216" w:lineRule="auto"/>
        <w:ind w:left="565"/>
        <w:jc w:val="both"/>
        <w:rPr>
          <w:rFonts w:eastAsia="Malgun Gothic" w:cs="Simplified Arabic"/>
          <w:sz w:val="22"/>
          <w:rtl/>
          <w:lang w:val="en-GB" w:eastAsia="en-US" w:bidi="ar-EG"/>
        </w:rPr>
      </w:pPr>
      <w:r w:rsidRPr="00E12F68">
        <w:rPr>
          <w:rFonts w:eastAsia="Malgun Gothic" w:cs="Simplified Arabic"/>
          <w:sz w:val="22"/>
          <w:rtl/>
          <w:lang w:val="en-GB" w:eastAsia="en-US" w:bidi="ar-EG"/>
        </w:rPr>
        <w:t>(</w:t>
      </w:r>
      <w:r>
        <w:rPr>
          <w:rFonts w:eastAsia="Malgun Gothic" w:cs="Simplified Arabic" w:hint="cs"/>
          <w:sz w:val="22"/>
          <w:rtl/>
          <w:lang w:val="en-GB" w:eastAsia="en-US" w:bidi="ar-EG"/>
        </w:rPr>
        <w:t>د</w:t>
      </w:r>
      <w:r w:rsidRPr="00E12F68">
        <w:rPr>
          <w:rFonts w:eastAsia="Malgun Gothic" w:cs="Simplified Arabic"/>
          <w:sz w:val="22"/>
          <w:rtl/>
          <w:lang w:val="en-GB" w:eastAsia="en-US" w:bidi="ar-EG"/>
        </w:rPr>
        <w:t>)</w:t>
      </w:r>
      <w:r w:rsidRPr="00E12F68">
        <w:rPr>
          <w:rFonts w:eastAsia="Malgun Gothic" w:cs="Simplified Arabic"/>
          <w:sz w:val="22"/>
          <w:rtl/>
          <w:lang w:val="en-GB" w:eastAsia="en-US" w:bidi="ar-EG"/>
        </w:rPr>
        <w:tab/>
        <w:t>قدرة مثبتة وقدرات مؤسسية على إدارة مشروعات متعددة.</w:t>
      </w:r>
    </w:p>
    <w:p w14:paraId="1E787AE7" w14:textId="3B1037CB" w:rsidR="00BF6FEF" w:rsidRDefault="0048538E" w:rsidP="00BF6FEF">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وقد يرغب مؤتمر الأطراف أيضا في النظر في اعتماد العملية والطرائق التالية لاختيار الكيانات والمنظمات لاستضافة الآليات المؤسسية للترويج للتعاون التقني والعلمي وتيسيره كما هو ملائم:</w:t>
      </w:r>
    </w:p>
    <w:p w14:paraId="78393FAF" w14:textId="007B4808" w:rsidR="0048538E" w:rsidRPr="0048538E" w:rsidRDefault="0048538E" w:rsidP="00D861B1">
      <w:pPr>
        <w:pStyle w:val="ListParagraph"/>
        <w:numPr>
          <w:ilvl w:val="0"/>
          <w:numId w:val="48"/>
        </w:numPr>
        <w:bidi/>
        <w:spacing w:after="120" w:line="216" w:lineRule="auto"/>
        <w:ind w:left="567" w:firstLine="567"/>
        <w:jc w:val="both"/>
        <w:rPr>
          <w:rFonts w:eastAsia="Malgun Gothic" w:cs="Simplified Arabic"/>
          <w:sz w:val="22"/>
          <w:rtl/>
          <w:lang w:val="en-GB" w:eastAsia="en-US" w:bidi="ar-EG"/>
        </w:rPr>
      </w:pPr>
      <w:r>
        <w:rPr>
          <w:rFonts w:eastAsia="Malgun Gothic" w:cs="Simplified Arabic" w:hint="cs"/>
          <w:sz w:val="22"/>
          <w:rtl/>
          <w:lang w:val="en-GB" w:eastAsia="en-US" w:bidi="ar-EG"/>
        </w:rPr>
        <w:t>الطلب من الأمينة التنفيذية القيام بما يلي:</w:t>
      </w:r>
    </w:p>
    <w:p w14:paraId="3F42ED35" w14:textId="02BBD015"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6B40FE">
        <w:rPr>
          <w:rFonts w:ascii="Simplified Arabic" w:eastAsia="Malgun Gothic" w:hAnsi="Simplified Arabic" w:cs="Simplified Arabic" w:hint="cs"/>
          <w:sz w:val="22"/>
          <w:lang w:val="en-GB" w:eastAsia="en-US"/>
        </w:rPr>
        <w:t>(1)</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إصدار إخطار يدعو الكيانات والمنظمات التي تستوفى معايير الاختيار وترغب في استضافة آلية أو آليات مؤسسية لتعزيز التعاون التقني والعلمي إلى التعبير عن اهتمامها ومقترح تفصيلي </w:t>
      </w:r>
      <w:proofErr w:type="gramStart"/>
      <w:r w:rsidRPr="00D861B1">
        <w:rPr>
          <w:rFonts w:ascii="Simplified Arabic" w:eastAsia="Malgun Gothic" w:hAnsi="Simplified Arabic" w:cs="Simplified Arabic" w:hint="cs"/>
          <w:rtl/>
          <w:lang w:val="en-GB" w:eastAsia="en-US"/>
        </w:rPr>
        <w:t>لعرضها؛</w:t>
      </w:r>
      <w:proofErr w:type="gramEnd"/>
    </w:p>
    <w:p w14:paraId="0592E825"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t>(2)</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تقديم استجابات لأي تساؤلات أو نقاط توضيح من الكيانات والمنظمات المهتمة، حسب </w:t>
      </w:r>
      <w:proofErr w:type="gramStart"/>
      <w:r w:rsidRPr="00D861B1">
        <w:rPr>
          <w:rFonts w:ascii="Simplified Arabic" w:eastAsia="Malgun Gothic" w:hAnsi="Simplified Arabic" w:cs="Simplified Arabic" w:hint="cs"/>
          <w:rtl/>
          <w:lang w:val="en-GB" w:eastAsia="en-US"/>
        </w:rPr>
        <w:t>الاقتضاء؛</w:t>
      </w:r>
      <w:proofErr w:type="gramEnd"/>
    </w:p>
    <w:p w14:paraId="6FE07768"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t>(3)</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عقد اجتماع للفريق الاستشاري غير الرسمي المعني بالتعاون التقني والعلمي لإجراء تقييم هادف للمقترحات المستلمة وتقديم المشورة بشأن المتقدمين الأكثر </w:t>
      </w:r>
      <w:proofErr w:type="gramStart"/>
      <w:r w:rsidRPr="00D861B1">
        <w:rPr>
          <w:rFonts w:ascii="Simplified Arabic" w:eastAsia="Malgun Gothic" w:hAnsi="Simplified Arabic" w:cs="Simplified Arabic" w:hint="cs"/>
          <w:rtl/>
          <w:lang w:val="en-GB" w:eastAsia="en-US"/>
        </w:rPr>
        <w:t>ملاءمة؛</w:t>
      </w:r>
      <w:proofErr w:type="gramEnd"/>
    </w:p>
    <w:p w14:paraId="1151B1D1"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lastRenderedPageBreak/>
        <w:t>(4)</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إعداد تقرير تقييم مع قائمة قصيرة لثلاثة كيانات ومنظمات، مع تقديم معلومات أيضا عن كيفية تطبيق معايير </w:t>
      </w:r>
      <w:proofErr w:type="gramStart"/>
      <w:r w:rsidRPr="00D861B1">
        <w:rPr>
          <w:rFonts w:ascii="Simplified Arabic" w:eastAsia="Malgun Gothic" w:hAnsi="Simplified Arabic" w:cs="Simplified Arabic" w:hint="cs"/>
          <w:rtl/>
          <w:lang w:val="en-GB" w:eastAsia="en-US"/>
        </w:rPr>
        <w:t>الاختيار؛</w:t>
      </w:r>
      <w:proofErr w:type="gramEnd"/>
    </w:p>
    <w:p w14:paraId="061F5B19"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t>(5)</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النظر في أعلى ثلاث مرشحين على القائمة القصيرة مع مدخلات من مكتب الهيئة الفرعية للمشورة العلمية والتقنية والتكنولوجية واختيار أفضل كيان (كيانات) ومنظمة (منظمات لاستضافة الآلية (الآليات) المؤسسية لتعزيز وتيسير التعاون التقني والعلمي على المستويات العالمي والإقليمي و/أو دون الإقليمي، حسب </w:t>
      </w:r>
      <w:proofErr w:type="gramStart"/>
      <w:r w:rsidRPr="00D861B1">
        <w:rPr>
          <w:rFonts w:ascii="Simplified Arabic" w:eastAsia="Malgun Gothic" w:hAnsi="Simplified Arabic" w:cs="Simplified Arabic" w:hint="cs"/>
          <w:rtl/>
          <w:lang w:val="en-GB" w:eastAsia="en-US"/>
        </w:rPr>
        <w:t>الاقتضاء؛</w:t>
      </w:r>
      <w:proofErr w:type="gramEnd"/>
    </w:p>
    <w:p w14:paraId="7BF67C16"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t>(6)</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إبلاغ القرار النهائي إلى الكيان (الكيانات) والمنظمة (المنظمات) المختارة ودعوتها إلى تأكيد الموافقة على اختيارها في غضون فترة مدتها شهر </w:t>
      </w:r>
      <w:proofErr w:type="gramStart"/>
      <w:r w:rsidRPr="00D861B1">
        <w:rPr>
          <w:rFonts w:ascii="Simplified Arabic" w:eastAsia="Malgun Gothic" w:hAnsi="Simplified Arabic" w:cs="Simplified Arabic" w:hint="cs"/>
          <w:rtl/>
          <w:lang w:val="en-GB" w:eastAsia="en-US"/>
        </w:rPr>
        <w:t>واحد؛</w:t>
      </w:r>
      <w:proofErr w:type="gramEnd"/>
    </w:p>
    <w:p w14:paraId="3A034610" w14:textId="77777777"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lang w:val="en-GB" w:eastAsia="en-US"/>
        </w:rPr>
        <w:t>(7)</w:t>
      </w:r>
      <w:r w:rsidRPr="00D861B1">
        <w:rPr>
          <w:rFonts w:ascii="Simplified Arabic" w:eastAsia="Malgun Gothic" w:hAnsi="Simplified Arabic" w:cs="Simplified Arabic" w:hint="cs"/>
          <w:lang w:val="en-GB" w:eastAsia="en-US"/>
        </w:rPr>
        <w:tab/>
      </w:r>
      <w:r w:rsidRPr="00D861B1">
        <w:rPr>
          <w:rFonts w:ascii="Simplified Arabic" w:eastAsia="Malgun Gothic" w:hAnsi="Simplified Arabic" w:cs="Simplified Arabic" w:hint="cs"/>
          <w:rtl/>
          <w:lang w:val="en-GB" w:eastAsia="en-US"/>
        </w:rPr>
        <w:t xml:space="preserve">بدء وتيسير عملية لتحديد الجهات المانحة التي يمكن أن تقدم التمويل إلى الكيان (الكيانات) والمنظمة (المنظمات) المختارة لتيسير التعاون التقني والعلمي دعما لتنفيذ الإطار العالمي للتنوع البيولوجي لما بعد عام </w:t>
      </w:r>
      <w:proofErr w:type="gramStart"/>
      <w:r w:rsidRPr="00D861B1">
        <w:rPr>
          <w:rFonts w:ascii="Simplified Arabic" w:eastAsia="Malgun Gothic" w:hAnsi="Simplified Arabic" w:cs="Simplified Arabic" w:hint="cs"/>
          <w:rtl/>
          <w:lang w:val="en-GB" w:eastAsia="en-US"/>
        </w:rPr>
        <w:t>2020؛</w:t>
      </w:r>
      <w:proofErr w:type="gramEnd"/>
    </w:p>
    <w:p w14:paraId="3C5CC977" w14:textId="1C0CAE4F" w:rsidR="006B40FE" w:rsidRPr="00D861B1" w:rsidRDefault="006B40FE" w:rsidP="00D861B1">
      <w:pPr>
        <w:bidi/>
        <w:spacing w:after="120" w:line="216" w:lineRule="auto"/>
        <w:ind w:left="1701" w:hanging="567"/>
        <w:jc w:val="both"/>
        <w:rPr>
          <w:rFonts w:ascii="Simplified Arabic" w:eastAsia="Malgun Gothic" w:hAnsi="Simplified Arabic" w:cs="Simplified Arabic"/>
          <w:rtl/>
          <w:lang w:val="en-GB" w:eastAsia="en-US"/>
        </w:rPr>
      </w:pPr>
      <w:r w:rsidRPr="00D861B1">
        <w:rPr>
          <w:rFonts w:ascii="Simplified Arabic" w:eastAsia="Malgun Gothic" w:hAnsi="Simplified Arabic" w:cs="Simplified Arabic" w:hint="cs"/>
          <w:rtl/>
          <w:lang w:val="en-GB" w:eastAsia="en-US"/>
        </w:rPr>
        <w:t>(8)</w:t>
      </w:r>
      <w:r w:rsidRPr="00D861B1">
        <w:rPr>
          <w:rFonts w:ascii="Simplified Arabic" w:eastAsia="Malgun Gothic" w:hAnsi="Simplified Arabic" w:cs="Simplified Arabic" w:hint="cs"/>
          <w:rtl/>
          <w:lang w:val="en-GB" w:eastAsia="en-US"/>
        </w:rPr>
        <w:tab/>
        <w:t>بدء العملية وتيسير التوقيع على اتفاق (اتفاقات) الاستضافة مع الكيان (الكيانات) والمنظمة (المنظمات) المختارة لتيسير التعاون التقني والعلمي في غضون فترة مدتها ثلاثة أشهر.</w:t>
      </w:r>
    </w:p>
    <w:p w14:paraId="2D87CAE4" w14:textId="7D37396C" w:rsidR="0048538E" w:rsidRPr="000764B5" w:rsidRDefault="007E1C89" w:rsidP="000764B5">
      <w:pPr>
        <w:keepNext/>
        <w:keepLines/>
        <w:bidi/>
        <w:spacing w:after="120" w:line="216" w:lineRule="auto"/>
        <w:jc w:val="center"/>
        <w:rPr>
          <w:rFonts w:eastAsia="YouYuan" w:cs="Simplified Arabic"/>
          <w:b/>
          <w:bCs/>
          <w:kern w:val="2"/>
          <w:sz w:val="28"/>
          <w:szCs w:val="28"/>
          <w:rtl/>
          <w:lang w:val="en-US" w:eastAsia="en-US" w:bidi="ar-EG"/>
        </w:rPr>
      </w:pPr>
      <w:r>
        <w:rPr>
          <w:rFonts w:eastAsia="YouYuan" w:cs="Simplified Arabic" w:hint="cs"/>
          <w:b/>
          <w:bCs/>
          <w:kern w:val="2"/>
          <w:sz w:val="28"/>
          <w:szCs w:val="28"/>
          <w:rtl/>
          <w:lang w:val="en-US" w:eastAsia="en-US" w:bidi="ar-EG"/>
        </w:rPr>
        <w:t>رابعا</w:t>
      </w:r>
      <w:r w:rsidR="0048538E" w:rsidRPr="000764B5">
        <w:rPr>
          <w:rFonts w:eastAsia="YouYuan" w:cs="Simplified Arabic" w:hint="cs"/>
          <w:b/>
          <w:bCs/>
          <w:kern w:val="2"/>
          <w:sz w:val="28"/>
          <w:szCs w:val="28"/>
          <w:rtl/>
          <w:lang w:val="en-US" w:eastAsia="en-US" w:bidi="ar-EG"/>
        </w:rPr>
        <w:t xml:space="preserve"> </w:t>
      </w:r>
      <w:r w:rsidR="0048538E" w:rsidRPr="000764B5">
        <w:rPr>
          <w:rFonts w:eastAsia="YouYuan" w:cs="Simplified Arabic"/>
          <w:b/>
          <w:bCs/>
          <w:kern w:val="2"/>
          <w:sz w:val="28"/>
          <w:szCs w:val="28"/>
          <w:rtl/>
          <w:lang w:val="en-US" w:eastAsia="en-US" w:bidi="ar-EG"/>
        </w:rPr>
        <w:t>–</w:t>
      </w:r>
      <w:r w:rsidR="0048538E" w:rsidRPr="000764B5">
        <w:rPr>
          <w:rFonts w:eastAsia="YouYuan" w:cs="Simplified Arabic" w:hint="cs"/>
          <w:b/>
          <w:bCs/>
          <w:kern w:val="2"/>
          <w:sz w:val="28"/>
          <w:szCs w:val="28"/>
          <w:rtl/>
          <w:lang w:val="en-US" w:eastAsia="en-US" w:bidi="ar-EG"/>
        </w:rPr>
        <w:t xml:space="preserve"> </w:t>
      </w:r>
      <w:r w:rsidR="00823D14">
        <w:rPr>
          <w:rFonts w:eastAsia="YouYuan" w:cs="Simplified Arabic" w:hint="cs"/>
          <w:b/>
          <w:bCs/>
          <w:kern w:val="2"/>
          <w:sz w:val="28"/>
          <w:szCs w:val="28"/>
          <w:rtl/>
          <w:lang w:val="en-US" w:eastAsia="en-US" w:bidi="ar-EG"/>
        </w:rPr>
        <w:t xml:space="preserve">النتيجة </w:t>
      </w:r>
      <w:r w:rsidR="008070C2">
        <w:rPr>
          <w:rFonts w:eastAsia="YouYuan" w:cs="Simplified Arabic" w:hint="cs"/>
          <w:b/>
          <w:bCs/>
          <w:kern w:val="2"/>
          <w:sz w:val="28"/>
          <w:szCs w:val="28"/>
          <w:rtl/>
          <w:lang w:val="en-US" w:eastAsia="en-US" w:bidi="ar-EG"/>
        </w:rPr>
        <w:t xml:space="preserve">والسبيل </w:t>
      </w:r>
      <w:r w:rsidR="0048538E" w:rsidRPr="000764B5">
        <w:rPr>
          <w:rFonts w:eastAsia="YouYuan" w:cs="Simplified Arabic" w:hint="cs"/>
          <w:b/>
          <w:bCs/>
          <w:kern w:val="2"/>
          <w:sz w:val="28"/>
          <w:szCs w:val="28"/>
          <w:rtl/>
          <w:lang w:val="en-US" w:eastAsia="en-US" w:bidi="ar-EG"/>
        </w:rPr>
        <w:t>المحتمل للمضي قدما</w:t>
      </w:r>
    </w:p>
    <w:p w14:paraId="57018953" w14:textId="0DCCA8F6" w:rsidR="009332ED" w:rsidRDefault="0048538E" w:rsidP="009332E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حدد الاستعراض عددا من الملاحظات ذات الصلة والممارسات السليمة والدروس المستفادة، وخرج بتوصيات تشغيلية عملية واستراتيجية على حد سواء. كما أنه أظهر بأن العديد من الأطراف يعتبر التعاون التقني والعلمي حاسما للتنفيذ الناجح للاتفاقية وللإطار العالمي للتنوع البيولوجي لما بعد عام 2020، وأن هنالك حاجة لاستثمارات أعظم لتجديد وتعزيز التعاون التقني والعلمي على المستويات الوطنية والإقليمية والعالمية.</w:t>
      </w:r>
    </w:p>
    <w:p w14:paraId="11B56CED" w14:textId="5A13C53F" w:rsidR="00FC301D" w:rsidRDefault="0048538E" w:rsidP="00FC301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كذلك حدد هذا الاستعراض أيضا عددا من التحديات الرئيسية، والمعوقات والثغرات التي تقوض حاليا فعالية برامج </w:t>
      </w:r>
      <w:r w:rsidR="00E6525E">
        <w:rPr>
          <w:rFonts w:eastAsia="Malgun Gothic" w:cs="Simplified Arabic" w:hint="cs"/>
          <w:sz w:val="22"/>
          <w:rtl/>
          <w:lang w:val="en-GB" w:eastAsia="en-US" w:bidi="ar-EG"/>
        </w:rPr>
        <w:t>و</w:t>
      </w:r>
      <w:r>
        <w:rPr>
          <w:rFonts w:eastAsia="Malgun Gothic" w:cs="Simplified Arabic" w:hint="cs"/>
          <w:sz w:val="22"/>
          <w:rtl/>
          <w:lang w:val="en-GB" w:eastAsia="en-US" w:bidi="ar-EG"/>
        </w:rPr>
        <w:t>مبادرات التعاون التقني والعلمي بموجب الاتفاقية وبروتوكوليها</w:t>
      </w:r>
      <w:r w:rsidR="00E6525E">
        <w:rPr>
          <w:rFonts w:eastAsia="Malgun Gothic" w:cs="Simplified Arabic" w:hint="cs"/>
          <w:sz w:val="22"/>
          <w:rtl/>
          <w:lang w:val="en-GB" w:eastAsia="en-US" w:bidi="ar-EG"/>
        </w:rPr>
        <w:t xml:space="preserve">. وهي تتضمن محدودية التمويل </w:t>
      </w:r>
      <w:r w:rsidR="002B3F90">
        <w:rPr>
          <w:rFonts w:eastAsia="Malgun Gothic" w:cs="Simplified Arabic" w:hint="cs"/>
          <w:sz w:val="22"/>
          <w:rtl/>
          <w:lang w:val="en-GB" w:eastAsia="en-US" w:bidi="ar-EG"/>
        </w:rPr>
        <w:t xml:space="preserve">وعدم </w:t>
      </w:r>
      <w:r w:rsidR="00E6525E">
        <w:rPr>
          <w:rFonts w:eastAsia="Malgun Gothic" w:cs="Simplified Arabic" w:hint="cs"/>
          <w:sz w:val="22"/>
          <w:rtl/>
          <w:lang w:val="en-GB" w:eastAsia="en-US" w:bidi="ar-EG"/>
        </w:rPr>
        <w:t>القدرة على التنبؤ به، والافتقار إلى الموارد البشرية الكافية، والافتقار إلى فهم مشترك ونهج متسق للتعاون التقني والعلمي، والافتقار إلى منظور ونهج طويل الأمد للتعاون التقني والعلمي، والافتقار إلى برنامج شامل ومتسق للتعاون التقني والعلمي يتميز بنظرية تغيير جيدة التعريف، والافتقار إلى خطة لرصد وتقييم التعاون التقني والعلمي مع مؤشرات واضحة. ولا بد من معالجة هذه التحديات والمعوقات والثغرات بصورة ملحة.</w:t>
      </w:r>
    </w:p>
    <w:p w14:paraId="0D27F9E3" w14:textId="28E789CF" w:rsidR="00FC301D" w:rsidRPr="00472AD2" w:rsidRDefault="00E6525E" w:rsidP="00FC301D">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وقد يرغب مؤتمر الأطراف في النظر في واستخدام النتائج والتوصيات التي خرج بها الاستعراض</w:t>
      </w:r>
      <w:r w:rsidR="00983708">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كما هي ملخصة في الوثيقة الحالية</w:t>
      </w:r>
      <w:r w:rsidR="00983708">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كي يستنير بها في مداولاته بشأن مشروع المقرر الوارد في الوثيقة </w:t>
      </w:r>
      <w:r>
        <w:rPr>
          <w:rFonts w:eastAsia="Malgun Gothic" w:cs="Simplified Arabic"/>
          <w:sz w:val="22"/>
          <w:lang w:val="en-GB" w:eastAsia="en-US" w:bidi="ar-EG"/>
        </w:rPr>
        <w:t>CBD/COP/15/2</w:t>
      </w:r>
      <w:r>
        <w:rPr>
          <w:rFonts w:eastAsia="Malgun Gothic" w:cs="Simplified Arabic" w:hint="cs"/>
          <w:sz w:val="22"/>
          <w:rtl/>
          <w:lang w:val="en-GB" w:eastAsia="en-US"/>
        </w:rPr>
        <w:t>، بما في ذلك المقترحات في المرفق الثاني لمشروع المقرر لتعزيز برامج التعاون التقني والعلمي دعما لتنفيذ الإطار العالمي للتنوع البيولوجي لما بعد عام 2020 على المستويات الوطنية والإقليمية والعالمية.</w:t>
      </w:r>
    </w:p>
    <w:p w14:paraId="1F936DAB" w14:textId="77777777" w:rsidR="006D3CC5" w:rsidRDefault="006D3CC5" w:rsidP="006D3CC5">
      <w:pPr>
        <w:bidi/>
        <w:spacing w:after="120" w:line="216" w:lineRule="auto"/>
        <w:jc w:val="both"/>
        <w:rPr>
          <w:rFonts w:eastAsia="Malgun Gothic" w:cs="Simplified Arabic"/>
          <w:sz w:val="22"/>
          <w:rtl/>
          <w:lang w:val="en-GB" w:eastAsia="en-US" w:bidi="ar-EG"/>
        </w:rPr>
      </w:pPr>
    </w:p>
    <w:p w14:paraId="75E2F1FD" w14:textId="77777777" w:rsidR="00141CAE" w:rsidRDefault="00141CAE" w:rsidP="00141CAE">
      <w:pPr>
        <w:bidi/>
        <w:spacing w:after="120" w:line="216" w:lineRule="auto"/>
        <w:jc w:val="both"/>
        <w:rPr>
          <w:rFonts w:eastAsia="Malgun Gothic" w:cs="Simplified Arabic"/>
          <w:sz w:val="22"/>
          <w:rtl/>
          <w:lang w:val="en-GB" w:eastAsia="en-US" w:bidi="ar-EG"/>
        </w:rPr>
      </w:pPr>
    </w:p>
    <w:p w14:paraId="1E6A71F2" w14:textId="77777777" w:rsidR="00141CAE" w:rsidRDefault="00141CAE" w:rsidP="00141CAE">
      <w:pPr>
        <w:bidi/>
        <w:spacing w:after="120" w:line="216" w:lineRule="auto"/>
        <w:jc w:val="both"/>
        <w:rPr>
          <w:rFonts w:eastAsia="Malgun Gothic" w:cs="Simplified Arabic"/>
          <w:sz w:val="22"/>
          <w:rtl/>
          <w:lang w:val="en-GB" w:eastAsia="en-US" w:bidi="ar-EG"/>
        </w:rPr>
        <w:sectPr w:rsidR="00141CAE" w:rsidSect="00686AAB">
          <w:headerReference w:type="even" r:id="rId13"/>
          <w:headerReference w:type="default" r:id="rId14"/>
          <w:headerReference w:type="first" r:id="rId15"/>
          <w:footnotePr>
            <w:numRestart w:val="eachSect"/>
          </w:footnotePr>
          <w:type w:val="continuous"/>
          <w:pgSz w:w="12240" w:h="15840" w:code="1"/>
          <w:pgMar w:top="1440" w:right="1440" w:bottom="1440" w:left="1440" w:header="720" w:footer="720" w:gutter="0"/>
          <w:cols w:space="720"/>
          <w:titlePg/>
          <w:docGrid w:linePitch="360"/>
        </w:sectPr>
      </w:pPr>
    </w:p>
    <w:p w14:paraId="15CF2977" w14:textId="77777777" w:rsidR="0015796C" w:rsidRPr="00427C80" w:rsidRDefault="0015796C" w:rsidP="00427C80">
      <w:pPr>
        <w:bidi/>
        <w:spacing w:after="120"/>
        <w:jc w:val="center"/>
        <w:rPr>
          <w:rFonts w:cs="Simplified Arabic"/>
          <w:b/>
          <w:i/>
          <w:iCs/>
          <w:snapToGrid w:val="0"/>
          <w:kern w:val="22"/>
          <w:sz w:val="20"/>
          <w:szCs w:val="22"/>
          <w:rtl/>
          <w:lang w:bidi="ar-EG"/>
        </w:rPr>
      </w:pPr>
      <w:r w:rsidRPr="00427C80">
        <w:rPr>
          <w:rFonts w:cs="Simplified Arabic" w:hint="cs"/>
          <w:b/>
          <w:i/>
          <w:iCs/>
          <w:snapToGrid w:val="0"/>
          <w:kern w:val="22"/>
          <w:sz w:val="20"/>
          <w:szCs w:val="22"/>
          <w:rtl/>
          <w:lang w:bidi="ar-EG"/>
        </w:rPr>
        <w:lastRenderedPageBreak/>
        <w:t>المرفق</w:t>
      </w:r>
    </w:p>
    <w:p w14:paraId="7DDBA707" w14:textId="327C0B7C" w:rsidR="00F41A64" w:rsidRPr="00FC301D" w:rsidRDefault="00FC301D" w:rsidP="004616DA">
      <w:pPr>
        <w:pStyle w:val="ListParagraph"/>
        <w:bidi/>
        <w:spacing w:after="120"/>
        <w:contextualSpacing w:val="0"/>
        <w:jc w:val="both"/>
        <w:rPr>
          <w:rFonts w:eastAsia="Malgun Gothic" w:cs="Simplified Arabic"/>
          <w:b/>
          <w:bCs/>
          <w:sz w:val="22"/>
          <w:rtl/>
          <w:lang w:val="en-GB" w:eastAsia="en-US" w:bidi="ar-EG"/>
        </w:rPr>
      </w:pPr>
      <w:r w:rsidRPr="00FC301D">
        <w:rPr>
          <w:rFonts w:eastAsia="Malgun Gothic" w:cs="Simplified Arabic"/>
          <w:b/>
          <w:bCs/>
          <w:sz w:val="22"/>
          <w:rtl/>
          <w:lang w:val="en-GB" w:eastAsia="en-US" w:bidi="ar-EG"/>
        </w:rPr>
        <w:t>إطار الرصد المقترح للتعاون التقني والعلمي في إطار الاتفاقية (عينة من مؤشرات الأداء الرئيسية)</w:t>
      </w:r>
    </w:p>
    <w:tbl>
      <w:tblPr>
        <w:tblStyle w:val="TableGrid"/>
        <w:tblpPr w:leftFromText="180" w:rightFromText="180" w:vertAnchor="text" w:tblpXSpec="center" w:tblpY="1"/>
        <w:tblOverlap w:val="never"/>
        <w:bidiVisual/>
        <w:tblW w:w="10141" w:type="dxa"/>
        <w:tblLook w:val="04A0" w:firstRow="1" w:lastRow="0" w:firstColumn="1" w:lastColumn="0" w:noHBand="0" w:noVBand="1"/>
      </w:tblPr>
      <w:tblGrid>
        <w:gridCol w:w="2605"/>
        <w:gridCol w:w="3780"/>
        <w:gridCol w:w="3756"/>
      </w:tblGrid>
      <w:tr w:rsidR="0006202C" w:rsidRPr="0006202C" w14:paraId="10184B9B" w14:textId="77777777" w:rsidTr="006549D6">
        <w:trPr>
          <w:trHeight w:val="339"/>
        </w:trPr>
        <w:tc>
          <w:tcPr>
            <w:tcW w:w="2605" w:type="dxa"/>
            <w:shd w:val="clear" w:color="auto" w:fill="auto"/>
          </w:tcPr>
          <w:p w14:paraId="063BA28F" w14:textId="77777777" w:rsidR="0006202C" w:rsidRPr="00FC301D" w:rsidRDefault="0006202C" w:rsidP="00FC301D">
            <w:pPr>
              <w:bidi/>
              <w:spacing w:before="120" w:after="120"/>
              <w:ind w:left="30"/>
              <w:jc w:val="center"/>
              <w:rPr>
                <w:rFonts w:ascii="Simplified Arabic" w:hAnsi="Simplified Arabic" w:cs="Simplified Arabic"/>
                <w:b/>
                <w:bCs/>
                <w:sz w:val="22"/>
                <w:szCs w:val="22"/>
              </w:rPr>
            </w:pPr>
            <w:bookmarkStart w:id="0" w:name="_Hlk115179391"/>
            <w:r w:rsidRPr="00FC301D">
              <w:rPr>
                <w:rFonts w:ascii="Simplified Arabic" w:hAnsi="Simplified Arabic" w:cs="Simplified Arabic"/>
                <w:b/>
                <w:bCs/>
                <w:sz w:val="22"/>
                <w:szCs w:val="22"/>
                <w:rtl/>
              </w:rPr>
              <w:t>العناصر</w:t>
            </w:r>
          </w:p>
        </w:tc>
        <w:tc>
          <w:tcPr>
            <w:tcW w:w="3780" w:type="dxa"/>
            <w:shd w:val="clear" w:color="auto" w:fill="auto"/>
          </w:tcPr>
          <w:p w14:paraId="38D7EA31" w14:textId="77777777" w:rsidR="0006202C" w:rsidRPr="00FC301D" w:rsidRDefault="0006202C" w:rsidP="00FC301D">
            <w:pPr>
              <w:bidi/>
              <w:spacing w:before="120" w:after="120"/>
              <w:ind w:left="30"/>
              <w:jc w:val="center"/>
              <w:rPr>
                <w:rFonts w:ascii="Simplified Arabic" w:hAnsi="Simplified Arabic" w:cs="Simplified Arabic"/>
                <w:b/>
                <w:bCs/>
                <w:sz w:val="22"/>
                <w:szCs w:val="22"/>
              </w:rPr>
            </w:pPr>
            <w:r w:rsidRPr="00FC301D">
              <w:rPr>
                <w:rFonts w:ascii="Simplified Arabic" w:hAnsi="Simplified Arabic" w:cs="Simplified Arabic"/>
                <w:b/>
                <w:bCs/>
                <w:sz w:val="22"/>
                <w:szCs w:val="22"/>
                <w:rtl/>
              </w:rPr>
              <w:t>تعريف العنصر</w:t>
            </w:r>
          </w:p>
        </w:tc>
        <w:tc>
          <w:tcPr>
            <w:tcW w:w="3756" w:type="dxa"/>
            <w:shd w:val="clear" w:color="auto" w:fill="auto"/>
          </w:tcPr>
          <w:p w14:paraId="4E403404" w14:textId="77777777" w:rsidR="0006202C" w:rsidRPr="00FC301D" w:rsidRDefault="0006202C" w:rsidP="00FC301D">
            <w:pPr>
              <w:bidi/>
              <w:spacing w:before="120" w:after="120"/>
              <w:ind w:left="30"/>
              <w:jc w:val="center"/>
              <w:rPr>
                <w:rFonts w:ascii="Simplified Arabic" w:hAnsi="Simplified Arabic" w:cs="Simplified Arabic"/>
                <w:b/>
                <w:bCs/>
                <w:sz w:val="22"/>
                <w:szCs w:val="22"/>
              </w:rPr>
            </w:pPr>
            <w:r w:rsidRPr="00FC301D">
              <w:rPr>
                <w:rFonts w:ascii="Simplified Arabic" w:hAnsi="Simplified Arabic" w:cs="Simplified Arabic"/>
                <w:b/>
                <w:bCs/>
                <w:sz w:val="22"/>
                <w:szCs w:val="22"/>
                <w:rtl/>
              </w:rPr>
              <w:t>مؤشرات الإداء الرئيسية الإشارية</w:t>
            </w:r>
          </w:p>
        </w:tc>
      </w:tr>
      <w:tr w:rsidR="0006202C" w:rsidRPr="0006202C" w14:paraId="566FEED1" w14:textId="77777777" w:rsidTr="006549D6">
        <w:trPr>
          <w:trHeight w:val="388"/>
        </w:trPr>
        <w:tc>
          <w:tcPr>
            <w:tcW w:w="10141" w:type="dxa"/>
            <w:gridSpan w:val="3"/>
            <w:shd w:val="clear" w:color="auto" w:fill="auto"/>
          </w:tcPr>
          <w:p w14:paraId="0F193E19" w14:textId="77777777" w:rsidR="0006202C" w:rsidRPr="00FC301D" w:rsidRDefault="0006202C" w:rsidP="00FC301D">
            <w:pPr>
              <w:bidi/>
              <w:spacing w:before="120" w:after="120"/>
              <w:ind w:left="30"/>
              <w:jc w:val="center"/>
              <w:rPr>
                <w:rFonts w:ascii="Simplified Arabic" w:hAnsi="Simplified Arabic" w:cs="Simplified Arabic"/>
                <w:b/>
                <w:bCs/>
                <w:sz w:val="22"/>
                <w:szCs w:val="22"/>
              </w:rPr>
            </w:pPr>
            <w:bookmarkStart w:id="1" w:name="_Hlk115343673"/>
            <w:r w:rsidRPr="00FC301D">
              <w:rPr>
                <w:rFonts w:ascii="Simplified Arabic" w:hAnsi="Simplified Arabic" w:cs="Simplified Arabic"/>
                <w:b/>
                <w:bCs/>
                <w:sz w:val="22"/>
                <w:szCs w:val="22"/>
                <w:rtl/>
              </w:rPr>
              <w:t>النتائج</w:t>
            </w:r>
          </w:p>
        </w:tc>
      </w:tr>
      <w:tr w:rsidR="0006202C" w:rsidRPr="0006202C" w14:paraId="1926C4B3" w14:textId="77777777" w:rsidTr="006549D6">
        <w:trPr>
          <w:trHeight w:val="339"/>
        </w:trPr>
        <w:tc>
          <w:tcPr>
            <w:tcW w:w="2605" w:type="dxa"/>
            <w:vMerge w:val="restart"/>
            <w:shd w:val="clear" w:color="auto" w:fill="auto"/>
          </w:tcPr>
          <w:p w14:paraId="1F29A870"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إنشاء تكنولوجيات مشتركة جديدة ونشرها</w:t>
            </w:r>
          </w:p>
          <w:p w14:paraId="1C2F825E"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إنشاء مشاريع تطوير مشتركة للتكنولوجيا</w:t>
            </w:r>
          </w:p>
          <w:p w14:paraId="65A91408"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إجراء البحوث المشتركة ونشرها</w:t>
            </w:r>
          </w:p>
        </w:tc>
        <w:tc>
          <w:tcPr>
            <w:tcW w:w="3780" w:type="dxa"/>
            <w:shd w:val="clear" w:color="auto" w:fill="auto"/>
          </w:tcPr>
          <w:p w14:paraId="2272667A"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تعزيز تبادل المعارف المحلية والأصلية</w:t>
            </w:r>
          </w:p>
          <w:p w14:paraId="19D21B8F" w14:textId="77777777" w:rsidR="0006202C" w:rsidRPr="0006202C" w:rsidRDefault="0006202C" w:rsidP="0006202C">
            <w:pPr>
              <w:bidi/>
              <w:spacing w:before="120" w:after="120"/>
              <w:rPr>
                <w:rFonts w:ascii="Simplified Arabic" w:hAnsi="Simplified Arabic" w:cs="Simplified Arabic"/>
                <w:sz w:val="22"/>
                <w:szCs w:val="22"/>
              </w:rPr>
            </w:pPr>
            <w:r w:rsidRPr="0006202C">
              <w:rPr>
                <w:rFonts w:ascii="Simplified Arabic" w:hAnsi="Simplified Arabic" w:cs="Simplified Arabic"/>
                <w:sz w:val="22"/>
                <w:szCs w:val="22"/>
                <w:rtl/>
              </w:rPr>
              <w:t>جمع العلماء مع الخبراء المحليين والأصليين لفهم المشاكل وإيجاد حلول لها</w:t>
            </w:r>
          </w:p>
          <w:p w14:paraId="2C77EA22"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تطوير تكنولوجيات جديدة من خلال عملية دينامية تحترم مختلف الآراء العالمية</w:t>
            </w:r>
          </w:p>
        </w:tc>
        <w:tc>
          <w:tcPr>
            <w:tcW w:w="3756" w:type="dxa"/>
            <w:shd w:val="clear" w:color="auto" w:fill="auto"/>
          </w:tcPr>
          <w:p w14:paraId="0F5DE223" w14:textId="77777777" w:rsidR="0006202C" w:rsidRPr="0006202C" w:rsidRDefault="0006202C" w:rsidP="0006202C">
            <w:pPr>
              <w:bidi/>
              <w:spacing w:before="120" w:after="120"/>
              <w:ind w:left="30"/>
              <w:rPr>
                <w:rFonts w:ascii="Simplified Arabic" w:hAnsi="Simplified Arabic" w:cs="Simplified Arabic"/>
                <w:sz w:val="22"/>
                <w:szCs w:val="22"/>
                <w:rtl/>
                <w:lang w:val="en-US" w:bidi="ar-EG"/>
              </w:rPr>
            </w:pPr>
            <w:r w:rsidRPr="0006202C">
              <w:rPr>
                <w:rFonts w:ascii="Simplified Arabic" w:hAnsi="Simplified Arabic" w:cs="Simplified Arabic"/>
                <w:sz w:val="22"/>
                <w:szCs w:val="22"/>
                <w:rtl/>
                <w:lang w:val="en-US" w:bidi="ar-EG"/>
              </w:rPr>
              <w:t xml:space="preserve">عدد </w:t>
            </w:r>
            <w:r w:rsidRPr="0006202C">
              <w:rPr>
                <w:rFonts w:ascii="Simplified Arabic" w:hAnsi="Simplified Arabic" w:cs="Simplified Arabic"/>
                <w:sz w:val="22"/>
                <w:szCs w:val="22"/>
                <w:rtl/>
              </w:rPr>
              <w:t>التكنولوجيات</w:t>
            </w:r>
            <w:r w:rsidRPr="0006202C">
              <w:rPr>
                <w:rFonts w:ascii="Simplified Arabic" w:hAnsi="Simplified Arabic" w:cs="Simplified Arabic"/>
                <w:sz w:val="22"/>
                <w:szCs w:val="22"/>
                <w:rtl/>
                <w:lang w:val="en-US" w:bidi="ar-EG"/>
              </w:rPr>
              <w:t xml:space="preserve"> المشتركة المنشأة</w:t>
            </w:r>
          </w:p>
          <w:p w14:paraId="1FB90CA4"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مشاركة أصحاب المصلحة (حسب النوع والدور) في تطوير التكنولوجيا</w:t>
            </w:r>
          </w:p>
        </w:tc>
      </w:tr>
      <w:tr w:rsidR="0006202C" w:rsidRPr="0006202C" w14:paraId="0D598BA0" w14:textId="77777777" w:rsidTr="006549D6">
        <w:trPr>
          <w:trHeight w:val="339"/>
        </w:trPr>
        <w:tc>
          <w:tcPr>
            <w:tcW w:w="2605" w:type="dxa"/>
            <w:vMerge/>
            <w:shd w:val="clear" w:color="auto" w:fill="auto"/>
          </w:tcPr>
          <w:p w14:paraId="7F54C7B0" w14:textId="77777777" w:rsidR="0006202C" w:rsidRPr="0006202C" w:rsidRDefault="0006202C" w:rsidP="001B72D0">
            <w:pPr>
              <w:shd w:val="clear" w:color="auto" w:fill="D9D9D9" w:themeFill="background1" w:themeFillShade="D9"/>
              <w:bidi/>
              <w:spacing w:before="120" w:after="120"/>
              <w:ind w:left="30"/>
              <w:rPr>
                <w:rFonts w:ascii="Simplified Arabic" w:hAnsi="Simplified Arabic" w:cs="Simplified Arabic"/>
                <w:sz w:val="22"/>
                <w:szCs w:val="22"/>
              </w:rPr>
            </w:pPr>
          </w:p>
        </w:tc>
        <w:tc>
          <w:tcPr>
            <w:tcW w:w="3780" w:type="dxa"/>
            <w:shd w:val="clear" w:color="auto" w:fill="auto"/>
          </w:tcPr>
          <w:p w14:paraId="727DA1C5" w14:textId="77777777" w:rsidR="0006202C" w:rsidRPr="0006202C" w:rsidRDefault="0006202C" w:rsidP="0006202C">
            <w:pPr>
              <w:bidi/>
              <w:spacing w:before="120" w:after="120"/>
              <w:ind w:left="30"/>
              <w:rPr>
                <w:rFonts w:ascii="Simplified Arabic" w:hAnsi="Simplified Arabic" w:cs="Simplified Arabic"/>
                <w:sz w:val="22"/>
                <w:szCs w:val="22"/>
                <w:rtl/>
                <w:lang w:val="en-US" w:bidi="ar-EG"/>
              </w:rPr>
            </w:pPr>
            <w:r w:rsidRPr="0006202C">
              <w:rPr>
                <w:rFonts w:ascii="Simplified Arabic" w:hAnsi="Simplified Arabic" w:cs="Simplified Arabic"/>
                <w:sz w:val="22"/>
                <w:szCs w:val="22"/>
                <w:rtl/>
                <w:lang w:val="en-US" w:bidi="ar-EG"/>
              </w:rPr>
              <w:t xml:space="preserve">التنفيذ على المستوى </w:t>
            </w:r>
            <w:r w:rsidRPr="0006202C">
              <w:rPr>
                <w:rFonts w:ascii="Simplified Arabic" w:hAnsi="Simplified Arabic" w:cs="Simplified Arabic"/>
                <w:sz w:val="22"/>
                <w:szCs w:val="22"/>
                <w:rtl/>
              </w:rPr>
              <w:t>الوطني</w:t>
            </w:r>
            <w:r w:rsidRPr="0006202C">
              <w:rPr>
                <w:rFonts w:ascii="Simplified Arabic" w:hAnsi="Simplified Arabic" w:cs="Simplified Arabic"/>
                <w:sz w:val="22"/>
                <w:szCs w:val="22"/>
                <w:rtl/>
                <w:lang w:val="en-US" w:bidi="ar-EG"/>
              </w:rPr>
              <w:t xml:space="preserve"> يستفيد من الدعم الإقليمي والمشورة العالمية</w:t>
            </w:r>
          </w:p>
        </w:tc>
        <w:tc>
          <w:tcPr>
            <w:tcW w:w="3756" w:type="dxa"/>
            <w:shd w:val="clear" w:color="auto" w:fill="auto"/>
          </w:tcPr>
          <w:p w14:paraId="58B40610"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مبادرات التعاون التقني والعلمي المنسقة على المستوى الإقليمي</w:t>
            </w:r>
          </w:p>
        </w:tc>
      </w:tr>
      <w:tr w:rsidR="0006202C" w:rsidRPr="0006202C" w14:paraId="7ED5AB55" w14:textId="77777777" w:rsidTr="006549D6">
        <w:trPr>
          <w:trHeight w:val="339"/>
        </w:trPr>
        <w:tc>
          <w:tcPr>
            <w:tcW w:w="2605" w:type="dxa"/>
            <w:vMerge w:val="restart"/>
            <w:shd w:val="clear" w:color="auto" w:fill="auto"/>
          </w:tcPr>
          <w:p w14:paraId="3F4E3D9C" w14:textId="77777777" w:rsidR="0006202C" w:rsidRPr="0006202C" w:rsidRDefault="0006202C" w:rsidP="0006202C">
            <w:pPr>
              <w:bidi/>
              <w:spacing w:before="120" w:after="120"/>
              <w:ind w:left="30"/>
              <w:rPr>
                <w:rFonts w:ascii="Simplified Arabic" w:hAnsi="Simplified Arabic" w:cs="Simplified Arabic"/>
                <w:sz w:val="22"/>
                <w:szCs w:val="22"/>
                <w:rtl/>
              </w:rPr>
            </w:pPr>
            <w:r w:rsidRPr="0006202C">
              <w:rPr>
                <w:rFonts w:ascii="Simplified Arabic" w:hAnsi="Simplified Arabic" w:cs="Simplified Arabic"/>
                <w:sz w:val="22"/>
                <w:szCs w:val="22"/>
                <w:rtl/>
              </w:rPr>
              <w:t>تعزيز قدرات الأطراف من خلال التعاون التقني والعلمي</w:t>
            </w:r>
          </w:p>
          <w:p w14:paraId="379E6443" w14:textId="77777777" w:rsidR="0006202C" w:rsidRPr="0006202C" w:rsidRDefault="0006202C" w:rsidP="0006202C">
            <w:pPr>
              <w:bidi/>
              <w:spacing w:before="120" w:after="120"/>
              <w:ind w:left="30"/>
              <w:rPr>
                <w:rFonts w:ascii="Simplified Arabic" w:hAnsi="Simplified Arabic" w:cs="Simplified Arabic"/>
                <w:sz w:val="22"/>
                <w:szCs w:val="22"/>
                <w:rtl/>
              </w:rPr>
            </w:pPr>
          </w:p>
          <w:p w14:paraId="527928F8"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زيادة التوعية من خلال أنشطة موجهة/ مكيفة للتعاون التقني والعلمي</w:t>
            </w:r>
          </w:p>
        </w:tc>
        <w:tc>
          <w:tcPr>
            <w:tcW w:w="3780" w:type="dxa"/>
            <w:shd w:val="clear" w:color="auto" w:fill="auto"/>
          </w:tcPr>
          <w:p w14:paraId="0D2588A4" w14:textId="039033E0" w:rsidR="0006202C" w:rsidRPr="0006202C" w:rsidRDefault="0006202C" w:rsidP="0006202C">
            <w:pPr>
              <w:bidi/>
              <w:spacing w:before="120" w:after="120"/>
              <w:ind w:left="30"/>
              <w:rPr>
                <w:rFonts w:ascii="Simplified Arabic" w:hAnsi="Simplified Arabic" w:cs="Simplified Arabic"/>
                <w:sz w:val="22"/>
                <w:szCs w:val="22"/>
                <w:lang w:bidi="ar-EG"/>
              </w:rPr>
            </w:pPr>
            <w:r w:rsidRPr="0006202C">
              <w:rPr>
                <w:rFonts w:ascii="Simplified Arabic" w:hAnsi="Simplified Arabic" w:cs="Simplified Arabic"/>
                <w:sz w:val="22"/>
                <w:szCs w:val="22"/>
                <w:rtl/>
                <w:lang w:bidi="ar-EG"/>
              </w:rPr>
              <w:t>تعزيز غايات القدرات والأنشطة الرامية إلى التبادل المتبادل للمعارف والتعلم المتبادل بين الشركاء المشاركين</w:t>
            </w:r>
          </w:p>
        </w:tc>
        <w:tc>
          <w:tcPr>
            <w:tcW w:w="3756" w:type="dxa"/>
            <w:shd w:val="clear" w:color="auto" w:fill="auto"/>
          </w:tcPr>
          <w:p w14:paraId="73F7A72F"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أنشطة تنمية القدرات التي يقودها الشركاء في الجنوب والشعوب الأصلية والمجتمعات المحلية</w:t>
            </w:r>
          </w:p>
        </w:tc>
      </w:tr>
      <w:tr w:rsidR="0006202C" w:rsidRPr="0006202C" w14:paraId="675C95E1" w14:textId="77777777" w:rsidTr="006549D6">
        <w:trPr>
          <w:trHeight w:val="339"/>
        </w:trPr>
        <w:tc>
          <w:tcPr>
            <w:tcW w:w="2605" w:type="dxa"/>
            <w:vMerge/>
            <w:shd w:val="clear" w:color="auto" w:fill="auto"/>
          </w:tcPr>
          <w:p w14:paraId="661AE66B" w14:textId="77777777" w:rsidR="0006202C" w:rsidRPr="0006202C" w:rsidRDefault="0006202C" w:rsidP="001B72D0">
            <w:pPr>
              <w:shd w:val="clear" w:color="auto" w:fill="D9D9D9" w:themeFill="background1" w:themeFillShade="D9"/>
              <w:bidi/>
              <w:spacing w:before="120" w:after="120"/>
              <w:ind w:left="30"/>
              <w:rPr>
                <w:rFonts w:ascii="Simplified Arabic" w:hAnsi="Simplified Arabic" w:cs="Simplified Arabic"/>
                <w:sz w:val="22"/>
                <w:szCs w:val="22"/>
              </w:rPr>
            </w:pPr>
          </w:p>
        </w:tc>
        <w:tc>
          <w:tcPr>
            <w:tcW w:w="3780" w:type="dxa"/>
            <w:shd w:val="clear" w:color="auto" w:fill="auto"/>
          </w:tcPr>
          <w:p w14:paraId="31069188" w14:textId="77777777" w:rsidR="0006202C" w:rsidRPr="0006202C" w:rsidRDefault="0006202C" w:rsidP="0006202C">
            <w:pPr>
              <w:bidi/>
              <w:spacing w:before="120" w:after="120"/>
              <w:ind w:left="30"/>
              <w:rPr>
                <w:rFonts w:ascii="Simplified Arabic" w:hAnsi="Simplified Arabic" w:cs="Simplified Arabic"/>
                <w:sz w:val="22"/>
                <w:szCs w:val="22"/>
                <w:rtl/>
                <w:lang w:val="en-US" w:bidi="ar-EG"/>
              </w:rPr>
            </w:pPr>
            <w:r w:rsidRPr="0006202C">
              <w:rPr>
                <w:rFonts w:ascii="Simplified Arabic" w:hAnsi="Simplified Arabic" w:cs="Simplified Arabic"/>
                <w:sz w:val="22"/>
                <w:szCs w:val="22"/>
                <w:rtl/>
                <w:lang w:val="en-US" w:bidi="ar-EG"/>
              </w:rPr>
              <w:t xml:space="preserve">قدرات المنظمات الشعبية والمنظمات التي تحمي التنوع </w:t>
            </w:r>
            <w:r w:rsidRPr="0006202C">
              <w:rPr>
                <w:rFonts w:ascii="Simplified Arabic" w:hAnsi="Simplified Arabic" w:cs="Simplified Arabic"/>
                <w:sz w:val="22"/>
                <w:szCs w:val="22"/>
                <w:rtl/>
              </w:rPr>
              <w:t>البيولوجي</w:t>
            </w:r>
            <w:r w:rsidRPr="0006202C">
              <w:rPr>
                <w:rFonts w:ascii="Simplified Arabic" w:hAnsi="Simplified Arabic" w:cs="Simplified Arabic"/>
                <w:sz w:val="22"/>
                <w:szCs w:val="22"/>
                <w:rtl/>
                <w:lang w:val="en-US" w:bidi="ar-EG"/>
              </w:rPr>
              <w:t xml:space="preserve"> حاليا على الأرض التي تم تعزيزها لتمكينها من المشاركة بإيجابية في تحقيق أهداف اتفاقية التنوع البيولوجي</w:t>
            </w:r>
          </w:p>
        </w:tc>
        <w:tc>
          <w:tcPr>
            <w:tcW w:w="3756" w:type="dxa"/>
            <w:shd w:val="clear" w:color="auto" w:fill="auto"/>
          </w:tcPr>
          <w:p w14:paraId="6409CF24"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أنشطة تعزيز القدرات المقدمة إلى المنظمات الشعبية باللغات المحلية</w:t>
            </w:r>
          </w:p>
        </w:tc>
      </w:tr>
      <w:tr w:rsidR="0006202C" w:rsidRPr="0006202C" w14:paraId="5D16ADAB" w14:textId="77777777" w:rsidTr="006549D6">
        <w:trPr>
          <w:trHeight w:val="339"/>
        </w:trPr>
        <w:tc>
          <w:tcPr>
            <w:tcW w:w="2605" w:type="dxa"/>
            <w:vMerge/>
            <w:shd w:val="clear" w:color="auto" w:fill="auto"/>
          </w:tcPr>
          <w:p w14:paraId="65EED7F7" w14:textId="77777777" w:rsidR="0006202C" w:rsidRPr="0006202C" w:rsidRDefault="0006202C" w:rsidP="001B72D0">
            <w:pPr>
              <w:shd w:val="clear" w:color="auto" w:fill="D9D9D9" w:themeFill="background1" w:themeFillShade="D9"/>
              <w:bidi/>
              <w:spacing w:before="60" w:after="60"/>
              <w:ind w:left="30"/>
              <w:rPr>
                <w:rFonts w:ascii="Simplified Arabic" w:hAnsi="Simplified Arabic" w:cs="Simplified Arabic"/>
                <w:sz w:val="22"/>
                <w:szCs w:val="22"/>
              </w:rPr>
            </w:pPr>
          </w:p>
        </w:tc>
        <w:tc>
          <w:tcPr>
            <w:tcW w:w="3780" w:type="dxa"/>
            <w:shd w:val="clear" w:color="auto" w:fill="auto"/>
          </w:tcPr>
          <w:p w14:paraId="16E008E8"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أنشطة تعزيز القدرات الموجهة – بالإضافة إلى المعارف العلمية والتقنية والابتكارات – التطوير التنظيمي للمؤسسات الشريكة الإقليمية والوطنية، الذي يشمل الحوكمة، والبنية التحتية، والنظم، والإجراءات، والموارد المالية والبشرية</w:t>
            </w:r>
          </w:p>
        </w:tc>
        <w:tc>
          <w:tcPr>
            <w:tcW w:w="3756" w:type="dxa"/>
            <w:shd w:val="clear" w:color="auto" w:fill="auto"/>
          </w:tcPr>
          <w:p w14:paraId="2BC26E85" w14:textId="77777777" w:rsidR="0006202C" w:rsidRPr="0006202C" w:rsidRDefault="0006202C" w:rsidP="0006202C">
            <w:pPr>
              <w:bidi/>
              <w:spacing w:before="120" w:after="120"/>
              <w:ind w:left="30"/>
              <w:rPr>
                <w:rFonts w:ascii="Simplified Arabic" w:hAnsi="Simplified Arabic" w:cs="Simplified Arabic"/>
                <w:sz w:val="22"/>
                <w:szCs w:val="22"/>
                <w:rtl/>
                <w:lang w:val="en-US" w:bidi="ar-EG"/>
              </w:rPr>
            </w:pPr>
            <w:r w:rsidRPr="0006202C">
              <w:rPr>
                <w:rFonts w:ascii="Simplified Arabic" w:hAnsi="Simplified Arabic" w:cs="Simplified Arabic"/>
                <w:sz w:val="22"/>
                <w:szCs w:val="22"/>
                <w:rtl/>
                <w:lang w:val="en-US" w:bidi="ar-EG"/>
              </w:rPr>
              <w:t xml:space="preserve">نسبة برامج تعزيز القدرات المقدمة بشأن </w:t>
            </w:r>
            <w:r w:rsidRPr="0006202C">
              <w:rPr>
                <w:rFonts w:ascii="Simplified Arabic" w:hAnsi="Simplified Arabic" w:cs="Simplified Arabic"/>
                <w:sz w:val="22"/>
                <w:szCs w:val="22"/>
                <w:rtl/>
              </w:rPr>
              <w:t>الإدارة</w:t>
            </w:r>
            <w:r w:rsidRPr="0006202C">
              <w:rPr>
                <w:rFonts w:ascii="Simplified Arabic" w:hAnsi="Simplified Arabic" w:cs="Simplified Arabic"/>
                <w:sz w:val="22"/>
                <w:szCs w:val="22"/>
                <w:rtl/>
                <w:lang w:val="en-US" w:bidi="ar-EG"/>
              </w:rPr>
              <w:t xml:space="preserve"> التنظيمية والتطوير</w:t>
            </w:r>
          </w:p>
        </w:tc>
      </w:tr>
      <w:tr w:rsidR="0006202C" w:rsidRPr="0006202C" w14:paraId="2D2E902D" w14:textId="77777777" w:rsidTr="006549D6">
        <w:trPr>
          <w:trHeight w:val="339"/>
        </w:trPr>
        <w:tc>
          <w:tcPr>
            <w:tcW w:w="2605" w:type="dxa"/>
            <w:vMerge/>
            <w:shd w:val="clear" w:color="auto" w:fill="auto"/>
          </w:tcPr>
          <w:p w14:paraId="4A1172A8" w14:textId="77777777" w:rsidR="0006202C" w:rsidRPr="0006202C" w:rsidRDefault="0006202C" w:rsidP="001B72D0">
            <w:pPr>
              <w:shd w:val="clear" w:color="auto" w:fill="D9D9D9" w:themeFill="background1" w:themeFillShade="D9"/>
              <w:bidi/>
              <w:spacing w:before="60" w:after="60"/>
              <w:ind w:left="30"/>
              <w:rPr>
                <w:rFonts w:ascii="Simplified Arabic" w:hAnsi="Simplified Arabic" w:cs="Simplified Arabic"/>
                <w:sz w:val="22"/>
                <w:szCs w:val="22"/>
              </w:rPr>
            </w:pPr>
          </w:p>
        </w:tc>
        <w:tc>
          <w:tcPr>
            <w:tcW w:w="3780" w:type="dxa"/>
            <w:shd w:val="clear" w:color="auto" w:fill="auto"/>
          </w:tcPr>
          <w:p w14:paraId="1A686256" w14:textId="6E7EA191"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أنشطة إذكاء الوعي التي تستهدف الجماهير غير المباشرة تم توسيعها من أجل إنشاء بيئة للترحيب وتمكين إ</w:t>
            </w:r>
            <w:r w:rsidR="00FC301D">
              <w:rPr>
                <w:rFonts w:ascii="Simplified Arabic" w:hAnsi="Simplified Arabic" w:cs="Simplified Arabic" w:hint="cs"/>
                <w:sz w:val="22"/>
                <w:szCs w:val="22"/>
                <w:rtl/>
              </w:rPr>
              <w:t>ج</w:t>
            </w:r>
            <w:r w:rsidRPr="0006202C">
              <w:rPr>
                <w:rFonts w:ascii="Simplified Arabic" w:hAnsi="Simplified Arabic" w:cs="Simplified Arabic"/>
                <w:sz w:val="22"/>
                <w:szCs w:val="22"/>
                <w:rtl/>
              </w:rPr>
              <w:t>راءات التنفيذ</w:t>
            </w:r>
          </w:p>
        </w:tc>
        <w:tc>
          <w:tcPr>
            <w:tcW w:w="3756" w:type="dxa"/>
            <w:shd w:val="clear" w:color="auto" w:fill="auto"/>
          </w:tcPr>
          <w:p w14:paraId="319145C6" w14:textId="26C56973"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عدد أنشطة إذكاء الوعي ال</w:t>
            </w:r>
            <w:r w:rsidR="00FC301D">
              <w:rPr>
                <w:rFonts w:ascii="Simplified Arabic" w:hAnsi="Simplified Arabic" w:cs="Simplified Arabic" w:hint="cs"/>
                <w:sz w:val="22"/>
                <w:szCs w:val="22"/>
                <w:rtl/>
              </w:rPr>
              <w:t>ا</w:t>
            </w:r>
            <w:r w:rsidRPr="0006202C">
              <w:rPr>
                <w:rFonts w:ascii="Simplified Arabic" w:hAnsi="Simplified Arabic" w:cs="Simplified Arabic"/>
                <w:sz w:val="22"/>
                <w:szCs w:val="22"/>
                <w:rtl/>
              </w:rPr>
              <w:t>فتراضية والحضورية وعدد أنواع السكان المتواصل معهم</w:t>
            </w:r>
          </w:p>
        </w:tc>
      </w:tr>
      <w:tr w:rsidR="0006202C" w:rsidRPr="0006202C" w14:paraId="1806BCDB" w14:textId="77777777" w:rsidTr="006549D6">
        <w:trPr>
          <w:trHeight w:val="339"/>
        </w:trPr>
        <w:tc>
          <w:tcPr>
            <w:tcW w:w="2605" w:type="dxa"/>
            <w:shd w:val="clear" w:color="auto" w:fill="auto"/>
          </w:tcPr>
          <w:p w14:paraId="6E5DE09E"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lastRenderedPageBreak/>
              <w:t>إعداد السياسات الوطنية، وتنقيحها وتنفيذها دعما للتعاون التقني والعلمي</w:t>
            </w:r>
          </w:p>
          <w:p w14:paraId="227EF82C"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تأثر صنع السياسات نحو تغيير النماذج الاجتماعية والاقتصادية والمالية التي تؤدي إلى فقدان التنوع البيولوجي</w:t>
            </w:r>
          </w:p>
          <w:p w14:paraId="7C0383AD"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يؤيد صانعو السياسات التغييرات الموافق عليها نحو الاستخدام المستدام والعادل للتنوع البيولوجي</w:t>
            </w:r>
          </w:p>
        </w:tc>
        <w:tc>
          <w:tcPr>
            <w:tcW w:w="3780" w:type="dxa"/>
            <w:shd w:val="clear" w:color="auto" w:fill="auto"/>
          </w:tcPr>
          <w:p w14:paraId="2DDF7FEE"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تم الاتصال بصانعي السياسات وربطهم من خلال أنشطة إذكاء الوعي، وناقشوا مع الشركاء التغييرات اللازمة، والتزموا بالقيام بها، وأظهروا نتائج.</w:t>
            </w:r>
          </w:p>
        </w:tc>
        <w:tc>
          <w:tcPr>
            <w:tcW w:w="3756" w:type="dxa"/>
            <w:shd w:val="clear" w:color="auto" w:fill="auto"/>
          </w:tcPr>
          <w:p w14:paraId="723B9F81"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المشاركة لصانعي السياسات في أنشطة إذكاء الوعي على جميع المستويات</w:t>
            </w:r>
          </w:p>
          <w:p w14:paraId="74631417" w14:textId="0B091C02"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عدد السياسات المعدلة أو المعدة دعما لاتفاقية التنوع البيولوجي على مختلف المستويات</w:t>
            </w:r>
          </w:p>
        </w:tc>
      </w:tr>
      <w:tr w:rsidR="0006202C" w:rsidRPr="0006202C" w14:paraId="468E5060" w14:textId="77777777" w:rsidTr="006549D6">
        <w:trPr>
          <w:trHeight w:val="339"/>
        </w:trPr>
        <w:tc>
          <w:tcPr>
            <w:tcW w:w="2605" w:type="dxa"/>
            <w:vMerge w:val="restart"/>
            <w:shd w:val="clear" w:color="auto" w:fill="auto"/>
          </w:tcPr>
          <w:p w14:paraId="5587D2D5"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إنشاء شراكات التعاون التقني والعلمي وتوسيع نطاقها</w:t>
            </w:r>
          </w:p>
          <w:p w14:paraId="56B014D6"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تعزيز التعاون فيما بين بلدان الجنون والتعاون الثلاثي</w:t>
            </w:r>
          </w:p>
          <w:p w14:paraId="3C1C3F51"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حشد الموارد لدعم تغطية التعاون التقني والعلمي وتوسيع نطاقه</w:t>
            </w:r>
          </w:p>
        </w:tc>
        <w:tc>
          <w:tcPr>
            <w:tcW w:w="3780" w:type="dxa"/>
            <w:shd w:val="clear" w:color="auto" w:fill="auto"/>
          </w:tcPr>
          <w:p w14:paraId="22B5DDA5"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تشمل الشراكة في التنفيذ قطاعات مختلفة اشتركت معا على جميع مستويات التخطيط، والقطاعات التمثيلية الأخرى</w:t>
            </w:r>
          </w:p>
        </w:tc>
        <w:tc>
          <w:tcPr>
            <w:tcW w:w="3756" w:type="dxa"/>
            <w:shd w:val="clear" w:color="auto" w:fill="auto"/>
          </w:tcPr>
          <w:p w14:paraId="3604C6E7"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مستوى مشاركة اتفاقيات ومنظمات الأمم المتحدة الأخرى</w:t>
            </w:r>
          </w:p>
          <w:p w14:paraId="704F5C17"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مستوى مشاركة القطاع الخاص</w:t>
            </w:r>
          </w:p>
          <w:p w14:paraId="2F8CC5D5"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مستوى مشاركة المنظمات غير الحكومية الدولية</w:t>
            </w:r>
          </w:p>
        </w:tc>
      </w:tr>
      <w:tr w:rsidR="0006202C" w:rsidRPr="0006202C" w14:paraId="795A8425" w14:textId="77777777" w:rsidTr="006549D6">
        <w:trPr>
          <w:trHeight w:val="339"/>
        </w:trPr>
        <w:tc>
          <w:tcPr>
            <w:tcW w:w="2605" w:type="dxa"/>
            <w:vMerge/>
            <w:shd w:val="clear" w:color="auto" w:fill="auto"/>
          </w:tcPr>
          <w:p w14:paraId="5CAE3E1A" w14:textId="77777777" w:rsidR="0006202C" w:rsidRPr="0006202C" w:rsidRDefault="0006202C" w:rsidP="001B72D0">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auto"/>
          </w:tcPr>
          <w:p w14:paraId="2391535F"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إتاحة الموارد للتعاون فيما بين بلدان الجنوب لإعداد متعاون للمعارف والتكنولوجيات الجديدة التي تستهدف التحديات المحددة في بلدان الجنوب</w:t>
            </w:r>
          </w:p>
        </w:tc>
        <w:tc>
          <w:tcPr>
            <w:tcW w:w="3756" w:type="dxa"/>
            <w:shd w:val="clear" w:color="auto" w:fill="auto"/>
          </w:tcPr>
          <w:p w14:paraId="19383AE1"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الموارد المخصصة للتعاون فيما بين بلدان الجنوب</w:t>
            </w:r>
          </w:p>
          <w:p w14:paraId="1D379BA3"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اتفاقات التعاون فيما بين بلدان الجنوب إلى اتفاقات التعاون بين الشمال والجنوب</w:t>
            </w:r>
          </w:p>
        </w:tc>
      </w:tr>
      <w:tr w:rsidR="0006202C" w:rsidRPr="0006202C" w14:paraId="33C30188" w14:textId="77777777" w:rsidTr="006549D6">
        <w:trPr>
          <w:trHeight w:val="339"/>
        </w:trPr>
        <w:tc>
          <w:tcPr>
            <w:tcW w:w="2605" w:type="dxa"/>
            <w:vMerge/>
            <w:shd w:val="clear" w:color="auto" w:fill="auto"/>
          </w:tcPr>
          <w:p w14:paraId="208C67AB" w14:textId="77777777" w:rsidR="0006202C" w:rsidRPr="0006202C" w:rsidRDefault="0006202C" w:rsidP="001B72D0">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auto"/>
          </w:tcPr>
          <w:p w14:paraId="4571D813"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السعي إلى إقامة التعاون الثلاثي بالإضافة إلى التعاون المعتاد بين الجنوب والشمال</w:t>
            </w:r>
          </w:p>
        </w:tc>
        <w:tc>
          <w:tcPr>
            <w:tcW w:w="3756" w:type="dxa"/>
            <w:shd w:val="clear" w:color="auto" w:fill="auto"/>
          </w:tcPr>
          <w:p w14:paraId="3B7B1949"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الموارد المخصصة للتعاون الثلاثي</w:t>
            </w:r>
          </w:p>
          <w:p w14:paraId="7C85CAD3"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اتفاقات التعاون الثلاثي إلى اتفاقات التعاون بين الشمال والجنوب</w:t>
            </w:r>
          </w:p>
        </w:tc>
      </w:tr>
      <w:tr w:rsidR="0006202C" w:rsidRPr="00121335" w14:paraId="38F6EDE9" w14:textId="77777777" w:rsidTr="006549D6">
        <w:trPr>
          <w:trHeight w:val="1382"/>
        </w:trPr>
        <w:tc>
          <w:tcPr>
            <w:tcW w:w="2605" w:type="dxa"/>
            <w:vMerge/>
            <w:shd w:val="clear" w:color="auto" w:fill="auto"/>
          </w:tcPr>
          <w:p w14:paraId="5B1E8211" w14:textId="77777777" w:rsidR="0006202C" w:rsidRPr="0006202C" w:rsidRDefault="0006202C" w:rsidP="001B72D0">
            <w:pPr>
              <w:shd w:val="clear" w:color="auto" w:fill="D9D9D9" w:themeFill="background1" w:themeFillShade="D9"/>
              <w:bidi/>
              <w:spacing w:before="120" w:after="120"/>
              <w:rPr>
                <w:rFonts w:ascii="Simplified Arabic" w:hAnsi="Simplified Arabic" w:cs="Simplified Arabic"/>
                <w:sz w:val="22"/>
                <w:szCs w:val="22"/>
              </w:rPr>
            </w:pPr>
          </w:p>
        </w:tc>
        <w:tc>
          <w:tcPr>
            <w:tcW w:w="3780" w:type="dxa"/>
            <w:shd w:val="clear" w:color="auto" w:fill="auto"/>
          </w:tcPr>
          <w:p w14:paraId="3C70A0D7" w14:textId="77777777" w:rsidR="0006202C" w:rsidRPr="0006202C" w:rsidRDefault="0006202C" w:rsidP="0006202C">
            <w:pPr>
              <w:bidi/>
              <w:spacing w:before="120" w:after="120"/>
              <w:ind w:left="30"/>
              <w:rPr>
                <w:rFonts w:ascii="Simplified Arabic" w:hAnsi="Simplified Arabic" w:cs="Simplified Arabic"/>
                <w:sz w:val="22"/>
                <w:szCs w:val="22"/>
                <w:rtl/>
                <w:lang w:bidi="ar-EG"/>
              </w:rPr>
            </w:pPr>
            <w:r w:rsidRPr="0006202C">
              <w:rPr>
                <w:rFonts w:ascii="Simplified Arabic" w:hAnsi="Simplified Arabic" w:cs="Simplified Arabic"/>
                <w:sz w:val="22"/>
                <w:szCs w:val="22"/>
                <w:rtl/>
              </w:rPr>
              <w:t>تفعيل التوافق من خلال وظيفة في البوابة المركزية لآلية غرفة تبادل المعلومات التي تسمح للبلدان التي لديها احتياجات تقنية وعلمية محددة إلى تقديم طلبات للمساعدة وللبلدان والمنظمات ذات الصلة التي هي في وضع يسمح لها بذلك بتقديم المساعدة للتسجيل الإلكتروني</w:t>
            </w:r>
          </w:p>
        </w:tc>
        <w:tc>
          <w:tcPr>
            <w:tcW w:w="3756" w:type="dxa"/>
            <w:shd w:val="clear" w:color="auto" w:fill="auto"/>
          </w:tcPr>
          <w:p w14:paraId="47D729B4" w14:textId="77777777" w:rsidR="0006202C" w:rsidRPr="0006202C"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الأطراف التي تستخدم آلية غرفة تبادل المعلومات بانتظام</w:t>
            </w:r>
          </w:p>
          <w:p w14:paraId="2467B0D0" w14:textId="77777777" w:rsidR="0006202C" w:rsidRPr="00121335" w:rsidRDefault="0006202C" w:rsidP="0006202C">
            <w:pPr>
              <w:bidi/>
              <w:spacing w:before="120" w:after="120"/>
              <w:ind w:left="30"/>
              <w:rPr>
                <w:rFonts w:ascii="Simplified Arabic" w:hAnsi="Simplified Arabic" w:cs="Simplified Arabic"/>
                <w:sz w:val="22"/>
                <w:szCs w:val="22"/>
              </w:rPr>
            </w:pPr>
            <w:r w:rsidRPr="0006202C">
              <w:rPr>
                <w:rFonts w:ascii="Simplified Arabic" w:hAnsi="Simplified Arabic" w:cs="Simplified Arabic"/>
                <w:sz w:val="22"/>
                <w:szCs w:val="22"/>
                <w:rtl/>
              </w:rPr>
              <w:t>نسبة الاتفاقات المبرمة نتيجة لوظيفة التوافق في آلية غرفة تبادل المعلومات</w:t>
            </w:r>
          </w:p>
        </w:tc>
      </w:tr>
      <w:bookmarkEnd w:id="0"/>
      <w:bookmarkEnd w:id="1"/>
    </w:tbl>
    <w:p w14:paraId="3553B9CE" w14:textId="77777777" w:rsidR="004616DA" w:rsidRPr="0006202C" w:rsidRDefault="004616DA" w:rsidP="0006202C">
      <w:pPr>
        <w:pStyle w:val="ListParagraph"/>
        <w:bidi/>
        <w:spacing w:after="120"/>
        <w:ind w:left="0"/>
        <w:contextualSpacing w:val="0"/>
        <w:jc w:val="both"/>
        <w:rPr>
          <w:rFonts w:eastAsia="Malgun Gothic" w:cs="Simplified Arabic"/>
          <w:sz w:val="22"/>
          <w:rtl/>
          <w:lang w:eastAsia="en-US" w:bidi="ar-EG"/>
        </w:rPr>
      </w:pPr>
    </w:p>
    <w:p w14:paraId="17B08473" w14:textId="77777777" w:rsidR="00286C6E" w:rsidRPr="00D9150B" w:rsidRDefault="00286C6E" w:rsidP="00D9150B">
      <w:pPr>
        <w:pStyle w:val="Para1"/>
        <w:numPr>
          <w:ilvl w:val="0"/>
          <w:numId w:val="0"/>
        </w:numPr>
        <w:kinsoku w:val="0"/>
        <w:overflowPunct w:val="0"/>
        <w:autoSpaceDE w:val="0"/>
        <w:autoSpaceDN w:val="0"/>
        <w:adjustRightInd w:val="0"/>
        <w:snapToGrid w:val="0"/>
        <w:spacing w:line="216" w:lineRule="auto"/>
        <w:jc w:val="center"/>
        <w:rPr>
          <w:kern w:val="22"/>
          <w:szCs w:val="22"/>
          <w:lang w:val="en-US"/>
        </w:rPr>
      </w:pPr>
      <w:r w:rsidRPr="00584A6C">
        <w:rPr>
          <w:kern w:val="22"/>
          <w:szCs w:val="22"/>
        </w:rPr>
        <w:t>__________</w:t>
      </w:r>
    </w:p>
    <w:sectPr w:rsidR="00286C6E" w:rsidRPr="00D9150B" w:rsidSect="00141CAE">
      <w:headerReference w:type="first" r:id="rId1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F77F" w14:textId="77777777" w:rsidR="00D91491" w:rsidRDefault="00D91491" w:rsidP="00C005BD">
      <w:r>
        <w:separator/>
      </w:r>
    </w:p>
  </w:endnote>
  <w:endnote w:type="continuationSeparator" w:id="0">
    <w:p w14:paraId="4CFFF5B7" w14:textId="77777777" w:rsidR="00D91491" w:rsidRDefault="00D9149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YouYuan">
    <w:altName w:val="Arial Unicode MS"/>
    <w:panose1 w:val="02010509060101010101"/>
    <w:charset w:val="86"/>
    <w:family w:val="modern"/>
    <w:pitch w:val="fixed"/>
    <w:sig w:usb0="00000000" w:usb1="080E0000" w:usb2="00000010" w:usb3="00000000" w:csb0="00040000" w:csb1="00000000"/>
  </w:font>
  <w:font w:name="CG Times Bold">
    <w:altName w:val="Arial"/>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2267E" w14:textId="77777777" w:rsidR="00D91491" w:rsidRDefault="00D91491" w:rsidP="00A319AA">
      <w:pPr>
        <w:bidi/>
      </w:pPr>
      <w:r>
        <w:separator/>
      </w:r>
    </w:p>
  </w:footnote>
  <w:footnote w:type="continuationSeparator" w:id="0">
    <w:p w14:paraId="33252E35" w14:textId="77777777" w:rsidR="00D91491" w:rsidRDefault="00D91491" w:rsidP="00C005BD">
      <w:r>
        <w:continuationSeparator/>
      </w:r>
    </w:p>
  </w:footnote>
  <w:footnote w:id="1">
    <w:p w14:paraId="3697D9C1" w14:textId="4BB01B3B" w:rsidR="001B72D0" w:rsidRDefault="001B72D0" w:rsidP="00100C9B">
      <w:pPr>
        <w:pStyle w:val="FootnoteText"/>
        <w:bidi/>
        <w:rPr>
          <w:rtl/>
        </w:rPr>
      </w:pPr>
      <w:r>
        <w:rPr>
          <w:rStyle w:val="FootnoteReference"/>
        </w:rPr>
        <w:footnoteRef/>
      </w:r>
      <w:r>
        <w:rPr>
          <w:rFonts w:hint="cs"/>
          <w:rtl/>
        </w:rPr>
        <w:t xml:space="preserve"> </w:t>
      </w:r>
      <w:r w:rsidR="00105075">
        <w:rPr>
          <w:rFonts w:hint="cs"/>
          <w:rtl/>
        </w:rPr>
        <w:t>في</w:t>
      </w:r>
      <w:r w:rsidRPr="00874B5E">
        <w:rPr>
          <w:rtl/>
        </w:rPr>
        <w:t xml:space="preserve"> سياق هذه المقترحات، يشير التعاون التقني والعلمي إلى عملية يسعى بمقتضاها بَلَدان و/أو مؤسستان أو أكثر إلى تحقيق أهدافهم الفردية أو الجماعية المتعلقة بالتنوع البيولوجي من خلال الإجراءات التعاونية</w:t>
      </w:r>
      <w:r>
        <w:rPr>
          <w:rFonts w:hint="cs"/>
          <w:rtl/>
        </w:rPr>
        <w:t xml:space="preserve"> و/أو من خلال</w:t>
      </w:r>
      <w:r w:rsidRPr="00874B5E">
        <w:rPr>
          <w:rtl/>
        </w:rPr>
        <w:t xml:space="preserve"> تبادل المعارف والبيانات والخبرات والموارد العلمية والتكنولوجيات والدراية التقنية. وقد يشمل </w:t>
      </w:r>
      <w:r>
        <w:rPr>
          <w:rFonts w:hint="cs"/>
          <w:rtl/>
        </w:rPr>
        <w:t>التعاون التقني والعلمي</w:t>
      </w:r>
      <w:r w:rsidRPr="00874B5E">
        <w:rPr>
          <w:rtl/>
        </w:rPr>
        <w:t xml:space="preserve"> تنمية الموارد البشرية، وبناء المؤسسات، والتدريب المشترك للأفراد، وتبادل الخبرا</w:t>
      </w:r>
      <w:r>
        <w:rPr>
          <w:rFonts w:hint="cs"/>
          <w:rtl/>
        </w:rPr>
        <w:t>ت</w:t>
      </w:r>
      <w:r w:rsidRPr="00874B5E">
        <w:rPr>
          <w:rtl/>
        </w:rPr>
        <w:t>، والبرامج البحثية المشتركة، والمشاريع المشتركة لتطوير ونشر التكنولوجيات (بما في ذلك تكنولوجيات الشعوب الأصلية والتكنولوجيات التقليدية) ونقل التكنولوجيا والدراية التقنية</w:t>
      </w:r>
      <w:r>
        <w:rPr>
          <w:rFonts w:hint="cs"/>
          <w:rtl/>
        </w:rPr>
        <w:t xml:space="preserve"> (من </w:t>
      </w:r>
      <w:r>
        <w:rPr>
          <w:lang w:val="en-GB"/>
        </w:rPr>
        <w:t>CBD/SBI/3/7/Add.2</w:t>
      </w:r>
      <w:r>
        <w:rPr>
          <w:rFonts w:hint="cs"/>
          <w:rtl/>
        </w:rPr>
        <w:t>).</w:t>
      </w:r>
    </w:p>
  </w:footnote>
  <w:footnote w:id="2">
    <w:p w14:paraId="535429E5" w14:textId="76816B42" w:rsidR="001B72D0" w:rsidRPr="00E6525E" w:rsidRDefault="001B72D0" w:rsidP="00913AF9">
      <w:pPr>
        <w:pStyle w:val="FootnoteText"/>
        <w:bidi/>
        <w:rPr>
          <w:rtl/>
          <w:lang w:val="es-ES"/>
        </w:rPr>
      </w:pPr>
      <w:r>
        <w:rPr>
          <w:rStyle w:val="FootnoteReference"/>
        </w:rPr>
        <w:footnoteRef/>
      </w:r>
      <w:r w:rsidR="00E6525E">
        <w:rPr>
          <w:rFonts w:hint="cs"/>
          <w:rtl/>
          <w:lang w:val="es-ES"/>
        </w:rPr>
        <w:t xml:space="preserve"> ينطوي التوافق على ربط البلدان التي لديها احتياجات تقنية وعلمية محددة بالبلدان أو المنظمات القادرة على توفير الدعم </w:t>
      </w:r>
      <w:r w:rsidR="00F17D62">
        <w:rPr>
          <w:rFonts w:hint="cs"/>
          <w:rtl/>
          <w:lang w:val="es-ES"/>
        </w:rPr>
        <w:t>التقني الضروري والموارد (بما في ذلك المعارف والخبرات ومواد الموارد والتكنولوجيات والتمويل، إلخ) لمعالجة الاحتياجات المعبر عنها من خلال شراكات متبادلة. ويمكن أن يتم ذلك بصورة مباشرة من خلال منبر على شبكة الإنترنت أو بدعم من مكتب مساعدة.</w:t>
      </w:r>
    </w:p>
  </w:footnote>
  <w:footnote w:id="3">
    <w:p w14:paraId="2BECE1B4" w14:textId="4A61D41A" w:rsidR="001B72D0" w:rsidRDefault="001B72D0" w:rsidP="007E3B6E">
      <w:pPr>
        <w:pStyle w:val="FootnoteText"/>
        <w:bidi/>
        <w:rPr>
          <w:rtl/>
        </w:rPr>
      </w:pPr>
      <w:r>
        <w:rPr>
          <w:rStyle w:val="FootnoteReference"/>
        </w:rPr>
        <w:footnoteRef/>
      </w:r>
      <w:r>
        <w:t xml:space="preserve"> </w:t>
      </w:r>
      <w:r>
        <w:rPr>
          <w:rFonts w:eastAsia="Malgun Gothic" w:hint="cs"/>
          <w:sz w:val="22"/>
          <w:rtl/>
          <w:lang w:val="en-GB" w:eastAsia="en-US" w:bidi="ar-EG"/>
        </w:rPr>
        <w:t xml:space="preserve">مبادئ </w:t>
      </w:r>
      <w:proofErr w:type="spellStart"/>
      <w:r>
        <w:rPr>
          <w:rFonts w:eastAsia="Malgun Gothic" w:hint="cs"/>
          <w:sz w:val="22"/>
          <w:rtl/>
          <w:lang w:val="en-GB" w:eastAsia="en-US" w:bidi="ar-EG"/>
        </w:rPr>
        <w:t>أغواي</w:t>
      </w:r>
      <w:proofErr w:type="spellEnd"/>
      <w:r>
        <w:rPr>
          <w:rFonts w:eastAsia="Malgun Gothic" w:hint="cs"/>
          <w:sz w:val="22"/>
          <w:rtl/>
          <w:lang w:val="en-GB" w:eastAsia="en-US" w:bidi="ar-EG"/>
        </w:rPr>
        <w:t xml:space="preserve">: كون الإرشادية الطوعية للقيام بتقييمات الأثر الثقافي والبيئي والاجتماعي بشأن أي </w:t>
      </w:r>
      <w:proofErr w:type="spellStart"/>
      <w:r>
        <w:rPr>
          <w:rFonts w:eastAsia="Malgun Gothic" w:hint="cs"/>
          <w:sz w:val="22"/>
          <w:rtl/>
          <w:lang w:val="en-GB" w:eastAsia="en-US" w:bidi="ar-EG"/>
        </w:rPr>
        <w:t>تنميات</w:t>
      </w:r>
      <w:proofErr w:type="spellEnd"/>
      <w:r>
        <w:rPr>
          <w:rFonts w:eastAsia="Malgun Gothic" w:hint="cs"/>
          <w:sz w:val="22"/>
          <w:rtl/>
          <w:lang w:val="en-GB" w:eastAsia="en-US" w:bidi="ar-EG"/>
        </w:rPr>
        <w:t xml:space="preserve"> مقترح إجراؤها أو يمكن أن يكون لها</w:t>
      </w:r>
      <w:r w:rsidR="009C3BA3">
        <w:rPr>
          <w:rFonts w:eastAsia="Malgun Gothic" w:hint="cs"/>
          <w:sz w:val="22"/>
          <w:rtl/>
          <w:lang w:val="en-GB" w:eastAsia="en-US" w:bidi="ar-EG"/>
        </w:rPr>
        <w:t xml:space="preserve"> أث</w:t>
      </w:r>
      <w:r w:rsidR="007624F8">
        <w:rPr>
          <w:rFonts w:eastAsia="Malgun Gothic" w:hint="cs"/>
          <w:sz w:val="22"/>
          <w:rtl/>
          <w:lang w:val="en-GB" w:eastAsia="en-US" w:bidi="ar-EG"/>
        </w:rPr>
        <w:t xml:space="preserve">ر </w:t>
      </w:r>
      <w:r>
        <w:rPr>
          <w:rFonts w:eastAsia="Malgun Gothic" w:hint="cs"/>
          <w:sz w:val="22"/>
          <w:rtl/>
          <w:lang w:val="en-GB" w:eastAsia="en-US" w:bidi="ar-EG"/>
        </w:rPr>
        <w:t>على المواقع المقدسة والأراضي والمياه التي تشغلها أو تستعملها بصفة تقليدية المجتمعات الأصلية والمحلية. المقرر</w:t>
      </w:r>
      <w:r w:rsidR="00F17D62">
        <w:rPr>
          <w:rFonts w:eastAsia="Malgun Gothic" w:hint="cs"/>
          <w:sz w:val="22"/>
          <w:rtl/>
          <w:lang w:val="en-GB" w:eastAsia="en-US" w:bidi="ar-EG"/>
        </w:rPr>
        <w:t xml:space="preserve"> </w:t>
      </w:r>
      <w:r w:rsidR="00F17D62">
        <w:rPr>
          <w:rFonts w:eastAsia="Malgun Gothic"/>
          <w:sz w:val="22"/>
          <w:lang w:val="en-GB" w:eastAsia="en-US" w:bidi="ar-EG"/>
        </w:rPr>
        <w:t>VII/16 F</w:t>
      </w:r>
      <w:r>
        <w:rPr>
          <w:rFonts w:eastAsia="Malgun Gothic" w:hint="cs"/>
          <w:sz w:val="22"/>
          <w:rtl/>
          <w:lang w:val="en-GB" w:eastAsia="en-US" w:bidi="ar-EG"/>
        </w:rPr>
        <w:t>.</w:t>
      </w:r>
    </w:p>
  </w:footnote>
  <w:footnote w:id="4">
    <w:p w14:paraId="0DCBA6CA" w14:textId="443794B3" w:rsidR="001B72D0" w:rsidRDefault="001B72D0" w:rsidP="00E4591D">
      <w:pPr>
        <w:pStyle w:val="FootnoteText"/>
        <w:bidi/>
        <w:rPr>
          <w:rtl/>
        </w:rPr>
      </w:pPr>
      <w:r>
        <w:rPr>
          <w:rStyle w:val="FootnoteReference"/>
        </w:rPr>
        <w:footnoteRef/>
      </w:r>
      <w:r>
        <w:t xml:space="preserve"> </w:t>
      </w:r>
      <w:r>
        <w:rPr>
          <w:rFonts w:hint="cs"/>
          <w:rtl/>
        </w:rPr>
        <w:t xml:space="preserve">هذه الصياغة للهدف 19-2 إنما هي نسخة مختصرة تستند إلى نواتج الاجتماع الرابع لفريق العمل مفتوح العضوية المعني بالإطار العالمي للتنوع البيولوجي لما عام 2020. انظر </w:t>
      </w:r>
      <w:hyperlink r:id="rId1" w:history="1">
        <w:r w:rsidRPr="00E4591D">
          <w:rPr>
            <w:rStyle w:val="Hyperlink"/>
            <w:rFonts w:hint="cs"/>
            <w:rtl/>
          </w:rPr>
          <w:t>التوصية 4/1</w:t>
        </w:r>
      </w:hyperlink>
      <w:r>
        <w:rPr>
          <w:rFonts w:hint="cs"/>
          <w:rtl/>
        </w:rPr>
        <w:t>.</w:t>
      </w:r>
    </w:p>
  </w:footnote>
  <w:footnote w:id="5">
    <w:p w14:paraId="375B2661" w14:textId="6E54BF95" w:rsidR="00860D03" w:rsidRPr="00860D03" w:rsidRDefault="00860D03" w:rsidP="00860D03">
      <w:pPr>
        <w:pStyle w:val="FootnoteText"/>
        <w:bidi/>
        <w:rPr>
          <w:rtl/>
          <w:lang w:val="en-GB"/>
        </w:rPr>
      </w:pPr>
      <w:r>
        <w:rPr>
          <w:rStyle w:val="FootnoteReference"/>
        </w:rPr>
        <w:footnoteRef/>
      </w:r>
      <w:r>
        <w:t xml:space="preserve"> </w:t>
      </w:r>
      <w:r>
        <w:rPr>
          <w:rFonts w:hint="cs"/>
          <w:rtl/>
        </w:rPr>
        <w:t>القرار 15/-- المتعلق بحشد الموارد.</w:t>
      </w:r>
    </w:p>
  </w:footnote>
  <w:footnote w:id="6">
    <w:p w14:paraId="05FD94A8" w14:textId="77777777" w:rsidR="002B6372" w:rsidRDefault="002B6372" w:rsidP="002B6372">
      <w:pPr>
        <w:pStyle w:val="FootnoteText"/>
        <w:bidi/>
        <w:rPr>
          <w:rtl/>
        </w:rPr>
      </w:pPr>
      <w:r>
        <w:rPr>
          <w:rStyle w:val="FootnoteReference"/>
        </w:rPr>
        <w:footnoteRef/>
      </w:r>
      <w:r>
        <w:rPr>
          <w:rFonts w:hint="cs"/>
          <w:rtl/>
        </w:rPr>
        <w:t xml:space="preserve"> تحت البند 13 ألف، المرفق 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B63C2" w14:textId="3FD5DEBE" w:rsidR="001B72D0" w:rsidRPr="006D75A6" w:rsidRDefault="001B72D0" w:rsidP="004076F6">
    <w:pPr>
      <w:bidi/>
      <w:rPr>
        <w:sz w:val="22"/>
        <w:szCs w:val="22"/>
        <w:lang w:val="en-GB" w:eastAsia="en-US"/>
      </w:rPr>
    </w:pPr>
    <w:r w:rsidRPr="008158E3">
      <w:rPr>
        <w:snapToGrid w:val="0"/>
        <w:kern w:val="22"/>
        <w:sz w:val="22"/>
        <w:szCs w:val="22"/>
      </w:rPr>
      <w:t>CBD/COP/15/</w:t>
    </w:r>
    <w:r>
      <w:rPr>
        <w:snapToGrid w:val="0"/>
        <w:kern w:val="22"/>
        <w:sz w:val="22"/>
        <w:szCs w:val="22"/>
      </w:rPr>
      <w:t>12</w:t>
    </w:r>
  </w:p>
  <w:p w14:paraId="3ACEE0C5" w14:textId="77777777" w:rsidR="001B72D0" w:rsidRPr="006D75A6" w:rsidRDefault="001B72D0"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26</w:t>
    </w:r>
    <w:r w:rsidRPr="00211F29">
      <w:rPr>
        <w:noProof/>
        <w:sz w:val="22"/>
        <w:szCs w:val="22"/>
      </w:rPr>
      <w:fldChar w:fldCharType="end"/>
    </w:r>
    <w:r w:rsidRPr="006D75A6">
      <w:rPr>
        <w:sz w:val="22"/>
        <w:szCs w:val="22"/>
      </w:rPr>
      <w:t xml:space="preserve">Page </w:t>
    </w:r>
  </w:p>
  <w:p w14:paraId="2D91B07F" w14:textId="77777777" w:rsidR="001B72D0" w:rsidRDefault="001B7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F4D4A" w14:textId="6F1796CA" w:rsidR="001B72D0" w:rsidRPr="008158E3" w:rsidRDefault="001B72D0" w:rsidP="00211F29">
    <w:pPr>
      <w:rPr>
        <w:sz w:val="22"/>
        <w:szCs w:val="22"/>
        <w:lang w:val="en-US" w:eastAsia="en-US"/>
      </w:rPr>
    </w:pPr>
    <w:r w:rsidRPr="008158E3">
      <w:rPr>
        <w:snapToGrid w:val="0"/>
        <w:kern w:val="22"/>
        <w:sz w:val="22"/>
        <w:szCs w:val="22"/>
      </w:rPr>
      <w:t>CBD/COP/15/</w:t>
    </w:r>
    <w:r>
      <w:rPr>
        <w:snapToGrid w:val="0"/>
        <w:kern w:val="22"/>
        <w:sz w:val="22"/>
        <w:szCs w:val="22"/>
      </w:rPr>
      <w:t>12</w:t>
    </w:r>
  </w:p>
  <w:p w14:paraId="29F4E048" w14:textId="77777777" w:rsidR="001B72D0" w:rsidRPr="006D75A6" w:rsidRDefault="001B72D0"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25</w:t>
    </w:r>
    <w:r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BF3F" w14:textId="77777777" w:rsidR="001B72D0" w:rsidRPr="00C005BD" w:rsidRDefault="001B72D0" w:rsidP="000541B7">
    <w:pPr>
      <w:pStyle w:val="Header"/>
      <w:tabs>
        <w:tab w:val="clear" w:pos="4680"/>
        <w:tab w:val="clear" w:pos="9360"/>
      </w:tabs>
      <w:jc w:val="center"/>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47B7" w14:textId="1B7A7771" w:rsidR="001B72D0" w:rsidRPr="006D75A6" w:rsidRDefault="001B72D0" w:rsidP="00202290">
    <w:pPr>
      <w:rPr>
        <w:sz w:val="22"/>
        <w:szCs w:val="22"/>
        <w:lang w:val="en-GB" w:eastAsia="en-US"/>
      </w:rPr>
    </w:pPr>
    <w:r w:rsidRPr="008158E3">
      <w:rPr>
        <w:snapToGrid w:val="0"/>
        <w:kern w:val="22"/>
        <w:sz w:val="22"/>
        <w:szCs w:val="22"/>
      </w:rPr>
      <w:t>CBD/COP/15/</w:t>
    </w:r>
    <w:r>
      <w:rPr>
        <w:snapToGrid w:val="0"/>
        <w:kern w:val="22"/>
        <w:sz w:val="22"/>
        <w:szCs w:val="22"/>
      </w:rPr>
      <w:t>12</w:t>
    </w:r>
  </w:p>
  <w:p w14:paraId="6186DADB" w14:textId="4DC34B82" w:rsidR="001B72D0" w:rsidRPr="00C005BD" w:rsidRDefault="001B72D0" w:rsidP="00202290">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sz w:val="22"/>
        <w:szCs w:val="22"/>
      </w:rPr>
      <w:t>6</w:t>
    </w:r>
    <w:r w:rsidRPr="00211F29">
      <w:rPr>
        <w:noProof/>
        <w:sz w:val="22"/>
        <w:szCs w:val="22"/>
      </w:rPr>
      <w:fldChar w:fldCharType="end"/>
    </w:r>
    <w:r w:rsidRPr="006D75A6">
      <w:rPr>
        <w:sz w:val="22"/>
        <w:szCs w:val="22"/>
      </w:rPr>
      <w:t xml:space="preserve">Page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D740CF"/>
    <w:multiLevelType w:val="hybridMultilevel"/>
    <w:tmpl w:val="2AA0CA58"/>
    <w:lvl w:ilvl="0" w:tplc="08702D3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122CB"/>
    <w:multiLevelType w:val="hybridMultilevel"/>
    <w:tmpl w:val="25408C0E"/>
    <w:lvl w:ilvl="0" w:tplc="35FC6DB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BA7186D"/>
    <w:multiLevelType w:val="hybridMultilevel"/>
    <w:tmpl w:val="9FA03534"/>
    <w:lvl w:ilvl="0" w:tplc="F8C67BF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C7517D"/>
    <w:multiLevelType w:val="hybridMultilevel"/>
    <w:tmpl w:val="3CBEA7CC"/>
    <w:lvl w:ilvl="0" w:tplc="6A7218B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8A74539"/>
    <w:multiLevelType w:val="hybridMultilevel"/>
    <w:tmpl w:val="2D00BBFE"/>
    <w:lvl w:ilvl="0" w:tplc="CFEE7684">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D45D7F"/>
    <w:multiLevelType w:val="hybridMultilevel"/>
    <w:tmpl w:val="20D4D030"/>
    <w:lvl w:ilvl="0" w:tplc="A94426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52BEA"/>
    <w:multiLevelType w:val="hybridMultilevel"/>
    <w:tmpl w:val="97C6EF7E"/>
    <w:lvl w:ilvl="0" w:tplc="CDE8B71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B9E0379"/>
    <w:multiLevelType w:val="hybridMultilevel"/>
    <w:tmpl w:val="69569A56"/>
    <w:lvl w:ilvl="0" w:tplc="665068BC">
      <w:start w:val="1"/>
      <w:numFmt w:val="decimal"/>
      <w:lvlText w:val="%1-"/>
      <w:lvlJc w:val="left"/>
      <w:pPr>
        <w:ind w:left="720" w:hanging="360"/>
      </w:pPr>
      <w:rPr>
        <w:rFonts w:hint="default"/>
      </w:rPr>
    </w:lvl>
    <w:lvl w:ilvl="1" w:tplc="2D347D1A">
      <w:start w:val="1"/>
      <w:numFmt w:val="arabicAbjad"/>
      <w:lvlText w:val="(%2)"/>
      <w:lvlJc w:val="left"/>
      <w:pPr>
        <w:ind w:left="1800" w:hanging="720"/>
      </w:pPr>
      <w:rPr>
        <w:rFonts w:ascii="Simplified Arabic" w:eastAsia="Times New Roman" w:hAnsi="Simplified Arabic" w:cs="Simplified Arabic" w:hint="default"/>
        <w:sz w:val="24"/>
      </w:rPr>
    </w:lvl>
    <w:lvl w:ilvl="2" w:tplc="A83A5BFE">
      <w:start w:val="1"/>
      <w:numFmt w:val="arabicAbjad"/>
      <w:lvlText w:val="(%3)"/>
      <w:lvlJc w:val="left"/>
      <w:pPr>
        <w:ind w:left="2340" w:hanging="360"/>
      </w:pPr>
      <w:rPr>
        <w:rFonts w:hint="default"/>
        <w:sz w:val="24"/>
      </w:rPr>
    </w:lvl>
    <w:lvl w:ilvl="3" w:tplc="3CEA4532">
      <w:start w:val="1"/>
      <w:numFmt w:val="arabicAlpha"/>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1B1D27"/>
    <w:multiLevelType w:val="hybridMultilevel"/>
    <w:tmpl w:val="61046920"/>
    <w:lvl w:ilvl="0" w:tplc="9960A4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6"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3E4E7774"/>
    <w:multiLevelType w:val="hybridMultilevel"/>
    <w:tmpl w:val="62167EFE"/>
    <w:lvl w:ilvl="0" w:tplc="DFF8C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42F4531E"/>
    <w:multiLevelType w:val="hybridMultilevel"/>
    <w:tmpl w:val="B75AA6A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B3207F"/>
    <w:multiLevelType w:val="hybridMultilevel"/>
    <w:tmpl w:val="A6BE6D98"/>
    <w:lvl w:ilvl="0" w:tplc="B54EE2F0">
      <w:start w:val="1"/>
      <w:numFmt w:val="arabicAbjad"/>
      <w:lvlText w:val="(%1)"/>
      <w:lvlJc w:val="left"/>
      <w:pPr>
        <w:ind w:left="720" w:hanging="360"/>
      </w:pPr>
      <w:rPr>
        <w:rFonts w:hint="default"/>
        <w:b w:val="0"/>
        <w:i w:val="0"/>
        <w:sz w:val="22"/>
        <w:szCs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4C534328"/>
    <w:multiLevelType w:val="hybridMultilevel"/>
    <w:tmpl w:val="2D267672"/>
    <w:lvl w:ilvl="0" w:tplc="D3C26A8E">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1EA7322"/>
    <w:multiLevelType w:val="hybridMultilevel"/>
    <w:tmpl w:val="43AEB872"/>
    <w:lvl w:ilvl="0" w:tplc="5F86164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7"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9"/>
  </w:num>
  <w:num w:numId="3">
    <w:abstractNumId w:val="15"/>
  </w:num>
  <w:num w:numId="4">
    <w:abstractNumId w:val="29"/>
  </w:num>
  <w:num w:numId="5">
    <w:abstractNumId w:val="20"/>
  </w:num>
  <w:num w:numId="6">
    <w:abstractNumId w:val="40"/>
  </w:num>
  <w:num w:numId="7">
    <w:abstractNumId w:val="34"/>
  </w:num>
  <w:num w:numId="8">
    <w:abstractNumId w:val="43"/>
  </w:num>
  <w:num w:numId="9">
    <w:abstractNumId w:val="33"/>
  </w:num>
  <w:num w:numId="10">
    <w:abstractNumId w:val="27"/>
  </w:num>
  <w:num w:numId="11">
    <w:abstractNumId w:val="3"/>
  </w:num>
  <w:num w:numId="12">
    <w:abstractNumId w:val="13"/>
  </w:num>
  <w:num w:numId="13">
    <w:abstractNumId w:val="36"/>
  </w:num>
  <w:num w:numId="14">
    <w:abstractNumId w:val="46"/>
  </w:num>
  <w:num w:numId="15">
    <w:abstractNumId w:val="25"/>
  </w:num>
  <w:num w:numId="16">
    <w:abstractNumId w:val="24"/>
  </w:num>
  <w:num w:numId="17">
    <w:abstractNumId w:val="26"/>
  </w:num>
  <w:num w:numId="18">
    <w:abstractNumId w:val="3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6"/>
  </w:num>
  <w:num w:numId="22">
    <w:abstractNumId w:val="1"/>
  </w:num>
  <w:num w:numId="23">
    <w:abstractNumId w:val="42"/>
  </w:num>
  <w:num w:numId="24">
    <w:abstractNumId w:val="4"/>
  </w:num>
  <w:num w:numId="25">
    <w:abstractNumId w:val="41"/>
  </w:num>
  <w:num w:numId="26">
    <w:abstractNumId w:val="0"/>
  </w:num>
  <w:num w:numId="27">
    <w:abstractNumId w:val="5"/>
  </w:num>
  <w:num w:numId="28">
    <w:abstractNumId w:val="37"/>
  </w:num>
  <w:num w:numId="29">
    <w:abstractNumId w:val="47"/>
  </w:num>
  <w:num w:numId="30">
    <w:abstractNumId w:val="12"/>
  </w:num>
  <w:num w:numId="31">
    <w:abstractNumId w:val="45"/>
  </w:num>
  <w:num w:numId="32">
    <w:abstractNumId w:val="2"/>
  </w:num>
  <w:num w:numId="33">
    <w:abstractNumId w:val="6"/>
  </w:num>
  <w:num w:numId="34">
    <w:abstractNumId w:val="23"/>
  </w:num>
  <w:num w:numId="35">
    <w:abstractNumId w:val="31"/>
  </w:num>
  <w:num w:numId="36">
    <w:abstractNumId w:val="11"/>
  </w:num>
  <w:num w:numId="37">
    <w:abstractNumId w:val="44"/>
  </w:num>
  <w:num w:numId="38">
    <w:abstractNumId w:val="7"/>
  </w:num>
  <w:num w:numId="39">
    <w:abstractNumId w:val="19"/>
  </w:num>
  <w:num w:numId="40">
    <w:abstractNumId w:val="8"/>
  </w:num>
  <w:num w:numId="41">
    <w:abstractNumId w:val="21"/>
  </w:num>
  <w:num w:numId="42">
    <w:abstractNumId w:val="28"/>
  </w:num>
  <w:num w:numId="43">
    <w:abstractNumId w:val="18"/>
  </w:num>
  <w:num w:numId="44">
    <w:abstractNumId w:val="22"/>
  </w:num>
  <w:num w:numId="45">
    <w:abstractNumId w:val="35"/>
  </w:num>
  <w:num w:numId="46">
    <w:abstractNumId w:val="10"/>
  </w:num>
  <w:num w:numId="47">
    <w:abstractNumId w:val="3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CD5"/>
    <w:rsid w:val="00001595"/>
    <w:rsid w:val="00004421"/>
    <w:rsid w:val="00004DD2"/>
    <w:rsid w:val="00005DC0"/>
    <w:rsid w:val="000065C0"/>
    <w:rsid w:val="0000742A"/>
    <w:rsid w:val="00013AA3"/>
    <w:rsid w:val="000141A3"/>
    <w:rsid w:val="00015E2F"/>
    <w:rsid w:val="000160AF"/>
    <w:rsid w:val="00016461"/>
    <w:rsid w:val="00020BC7"/>
    <w:rsid w:val="000212CF"/>
    <w:rsid w:val="00022635"/>
    <w:rsid w:val="0002350B"/>
    <w:rsid w:val="00024707"/>
    <w:rsid w:val="00024CE7"/>
    <w:rsid w:val="0002792F"/>
    <w:rsid w:val="000324B4"/>
    <w:rsid w:val="00032655"/>
    <w:rsid w:val="0003386B"/>
    <w:rsid w:val="00033D91"/>
    <w:rsid w:val="000378B6"/>
    <w:rsid w:val="00037DBB"/>
    <w:rsid w:val="00040B89"/>
    <w:rsid w:val="00042B1A"/>
    <w:rsid w:val="00045762"/>
    <w:rsid w:val="00047397"/>
    <w:rsid w:val="00054071"/>
    <w:rsid w:val="000541B7"/>
    <w:rsid w:val="00054292"/>
    <w:rsid w:val="00054459"/>
    <w:rsid w:val="00054EEE"/>
    <w:rsid w:val="00055293"/>
    <w:rsid w:val="000553FA"/>
    <w:rsid w:val="00056FE5"/>
    <w:rsid w:val="00057599"/>
    <w:rsid w:val="00057CA3"/>
    <w:rsid w:val="00060D26"/>
    <w:rsid w:val="00061C13"/>
    <w:rsid w:val="0006202C"/>
    <w:rsid w:val="000640EA"/>
    <w:rsid w:val="00064C82"/>
    <w:rsid w:val="00064EBE"/>
    <w:rsid w:val="00070BB8"/>
    <w:rsid w:val="0007346F"/>
    <w:rsid w:val="000764B5"/>
    <w:rsid w:val="00076B2B"/>
    <w:rsid w:val="00077478"/>
    <w:rsid w:val="000779C2"/>
    <w:rsid w:val="0008009C"/>
    <w:rsid w:val="000833CF"/>
    <w:rsid w:val="00085458"/>
    <w:rsid w:val="00085E7C"/>
    <w:rsid w:val="00090564"/>
    <w:rsid w:val="00091351"/>
    <w:rsid w:val="00093D6C"/>
    <w:rsid w:val="0009438F"/>
    <w:rsid w:val="00096D07"/>
    <w:rsid w:val="000A1725"/>
    <w:rsid w:val="000A18BB"/>
    <w:rsid w:val="000A1F60"/>
    <w:rsid w:val="000A20D2"/>
    <w:rsid w:val="000A28B6"/>
    <w:rsid w:val="000A2909"/>
    <w:rsid w:val="000A2A00"/>
    <w:rsid w:val="000A33A3"/>
    <w:rsid w:val="000A489C"/>
    <w:rsid w:val="000A5943"/>
    <w:rsid w:val="000A6CB0"/>
    <w:rsid w:val="000B0CB7"/>
    <w:rsid w:val="000B1263"/>
    <w:rsid w:val="000B2AEF"/>
    <w:rsid w:val="000B4517"/>
    <w:rsid w:val="000B551A"/>
    <w:rsid w:val="000B7A1A"/>
    <w:rsid w:val="000C157C"/>
    <w:rsid w:val="000C2646"/>
    <w:rsid w:val="000C3645"/>
    <w:rsid w:val="000C53C8"/>
    <w:rsid w:val="000C63A5"/>
    <w:rsid w:val="000C777F"/>
    <w:rsid w:val="000C7B4D"/>
    <w:rsid w:val="000D0476"/>
    <w:rsid w:val="000D1320"/>
    <w:rsid w:val="000D139B"/>
    <w:rsid w:val="000D219A"/>
    <w:rsid w:val="000D2250"/>
    <w:rsid w:val="000D277A"/>
    <w:rsid w:val="000D3B0A"/>
    <w:rsid w:val="000D6C75"/>
    <w:rsid w:val="000E0446"/>
    <w:rsid w:val="000E2E18"/>
    <w:rsid w:val="000E32DA"/>
    <w:rsid w:val="000E3AA6"/>
    <w:rsid w:val="000E546F"/>
    <w:rsid w:val="000E7936"/>
    <w:rsid w:val="000F1926"/>
    <w:rsid w:val="000F3905"/>
    <w:rsid w:val="000F3A16"/>
    <w:rsid w:val="000F3E05"/>
    <w:rsid w:val="000F4451"/>
    <w:rsid w:val="000F7B51"/>
    <w:rsid w:val="000F7BB3"/>
    <w:rsid w:val="00100A70"/>
    <w:rsid w:val="00100C9B"/>
    <w:rsid w:val="00101222"/>
    <w:rsid w:val="00102FAB"/>
    <w:rsid w:val="0010332B"/>
    <w:rsid w:val="00105075"/>
    <w:rsid w:val="001069F8"/>
    <w:rsid w:val="00106A41"/>
    <w:rsid w:val="00106E2A"/>
    <w:rsid w:val="0010711F"/>
    <w:rsid w:val="001101BB"/>
    <w:rsid w:val="001113DE"/>
    <w:rsid w:val="00112E75"/>
    <w:rsid w:val="001156DD"/>
    <w:rsid w:val="00115F68"/>
    <w:rsid w:val="00116206"/>
    <w:rsid w:val="00121644"/>
    <w:rsid w:val="00121F4C"/>
    <w:rsid w:val="00123952"/>
    <w:rsid w:val="00124B46"/>
    <w:rsid w:val="00125F53"/>
    <w:rsid w:val="0012744F"/>
    <w:rsid w:val="00132F39"/>
    <w:rsid w:val="00133246"/>
    <w:rsid w:val="00133263"/>
    <w:rsid w:val="0013484F"/>
    <w:rsid w:val="00134D0E"/>
    <w:rsid w:val="001350D0"/>
    <w:rsid w:val="00140113"/>
    <w:rsid w:val="00141CAE"/>
    <w:rsid w:val="0014381D"/>
    <w:rsid w:val="001454F4"/>
    <w:rsid w:val="00145854"/>
    <w:rsid w:val="00146EA4"/>
    <w:rsid w:val="00147BC8"/>
    <w:rsid w:val="00147FFE"/>
    <w:rsid w:val="00152B14"/>
    <w:rsid w:val="001530D0"/>
    <w:rsid w:val="00153323"/>
    <w:rsid w:val="001539CC"/>
    <w:rsid w:val="001543D9"/>
    <w:rsid w:val="0015580C"/>
    <w:rsid w:val="00155E91"/>
    <w:rsid w:val="0015667A"/>
    <w:rsid w:val="0015796C"/>
    <w:rsid w:val="0016095A"/>
    <w:rsid w:val="00161A82"/>
    <w:rsid w:val="00163136"/>
    <w:rsid w:val="00163F91"/>
    <w:rsid w:val="00164F6F"/>
    <w:rsid w:val="001659B2"/>
    <w:rsid w:val="00165BB5"/>
    <w:rsid w:val="00165F04"/>
    <w:rsid w:val="00167330"/>
    <w:rsid w:val="00167386"/>
    <w:rsid w:val="001726C1"/>
    <w:rsid w:val="0017273D"/>
    <w:rsid w:val="0017304B"/>
    <w:rsid w:val="0017308C"/>
    <w:rsid w:val="00175177"/>
    <w:rsid w:val="00175959"/>
    <w:rsid w:val="00176861"/>
    <w:rsid w:val="00177342"/>
    <w:rsid w:val="0017742B"/>
    <w:rsid w:val="00180260"/>
    <w:rsid w:val="001805E2"/>
    <w:rsid w:val="0018180F"/>
    <w:rsid w:val="00181BFF"/>
    <w:rsid w:val="00184344"/>
    <w:rsid w:val="00184A6B"/>
    <w:rsid w:val="00185EFE"/>
    <w:rsid w:val="0018663F"/>
    <w:rsid w:val="00186EAA"/>
    <w:rsid w:val="00187FD2"/>
    <w:rsid w:val="00192403"/>
    <w:rsid w:val="0019265E"/>
    <w:rsid w:val="00192ACE"/>
    <w:rsid w:val="00193D48"/>
    <w:rsid w:val="001940BF"/>
    <w:rsid w:val="001957F1"/>
    <w:rsid w:val="00195999"/>
    <w:rsid w:val="00196945"/>
    <w:rsid w:val="001A00F5"/>
    <w:rsid w:val="001A25FA"/>
    <w:rsid w:val="001A35BC"/>
    <w:rsid w:val="001A7098"/>
    <w:rsid w:val="001B24E9"/>
    <w:rsid w:val="001B4E49"/>
    <w:rsid w:val="001B5A8D"/>
    <w:rsid w:val="001B692F"/>
    <w:rsid w:val="001B7237"/>
    <w:rsid w:val="001B72D0"/>
    <w:rsid w:val="001B7B39"/>
    <w:rsid w:val="001C0675"/>
    <w:rsid w:val="001C15F2"/>
    <w:rsid w:val="001C1706"/>
    <w:rsid w:val="001C2612"/>
    <w:rsid w:val="001C34B7"/>
    <w:rsid w:val="001C38FE"/>
    <w:rsid w:val="001C534C"/>
    <w:rsid w:val="001C57E8"/>
    <w:rsid w:val="001D2679"/>
    <w:rsid w:val="001D4386"/>
    <w:rsid w:val="001D547B"/>
    <w:rsid w:val="001D757D"/>
    <w:rsid w:val="001D7A40"/>
    <w:rsid w:val="001D7B4D"/>
    <w:rsid w:val="001D7E3A"/>
    <w:rsid w:val="001E3423"/>
    <w:rsid w:val="001E3508"/>
    <w:rsid w:val="001E4870"/>
    <w:rsid w:val="001E4ADF"/>
    <w:rsid w:val="001E643D"/>
    <w:rsid w:val="001E7A22"/>
    <w:rsid w:val="001F0236"/>
    <w:rsid w:val="001F0FC7"/>
    <w:rsid w:val="001F19E8"/>
    <w:rsid w:val="001F33DC"/>
    <w:rsid w:val="001F59FC"/>
    <w:rsid w:val="001F71F6"/>
    <w:rsid w:val="00200C48"/>
    <w:rsid w:val="00202290"/>
    <w:rsid w:val="0020491F"/>
    <w:rsid w:val="00204E3C"/>
    <w:rsid w:val="00205B9C"/>
    <w:rsid w:val="00205E7F"/>
    <w:rsid w:val="002067EE"/>
    <w:rsid w:val="00206CF2"/>
    <w:rsid w:val="00211F29"/>
    <w:rsid w:val="00212595"/>
    <w:rsid w:val="00212919"/>
    <w:rsid w:val="002141F6"/>
    <w:rsid w:val="0021469A"/>
    <w:rsid w:val="00216421"/>
    <w:rsid w:val="00216D86"/>
    <w:rsid w:val="00217178"/>
    <w:rsid w:val="002176F3"/>
    <w:rsid w:val="00227535"/>
    <w:rsid w:val="0023064A"/>
    <w:rsid w:val="002306D1"/>
    <w:rsid w:val="0023174B"/>
    <w:rsid w:val="0023231D"/>
    <w:rsid w:val="002327C7"/>
    <w:rsid w:val="0023529D"/>
    <w:rsid w:val="0023552C"/>
    <w:rsid w:val="00235CD9"/>
    <w:rsid w:val="002364EA"/>
    <w:rsid w:val="0023694F"/>
    <w:rsid w:val="00237438"/>
    <w:rsid w:val="002379FE"/>
    <w:rsid w:val="002403A9"/>
    <w:rsid w:val="00241EF9"/>
    <w:rsid w:val="0024239F"/>
    <w:rsid w:val="0024436A"/>
    <w:rsid w:val="00244DEA"/>
    <w:rsid w:val="002453E7"/>
    <w:rsid w:val="0024646F"/>
    <w:rsid w:val="00246EF2"/>
    <w:rsid w:val="00250EE7"/>
    <w:rsid w:val="00251206"/>
    <w:rsid w:val="00252185"/>
    <w:rsid w:val="00254A8C"/>
    <w:rsid w:val="002560D1"/>
    <w:rsid w:val="002566BF"/>
    <w:rsid w:val="00256A36"/>
    <w:rsid w:val="00257099"/>
    <w:rsid w:val="00257139"/>
    <w:rsid w:val="0025795E"/>
    <w:rsid w:val="002601F7"/>
    <w:rsid w:val="00260700"/>
    <w:rsid w:val="00261BFB"/>
    <w:rsid w:val="00261EC2"/>
    <w:rsid w:val="00262609"/>
    <w:rsid w:val="002639AA"/>
    <w:rsid w:val="002663FF"/>
    <w:rsid w:val="00266909"/>
    <w:rsid w:val="00270C69"/>
    <w:rsid w:val="00272F2E"/>
    <w:rsid w:val="00272F77"/>
    <w:rsid w:val="00274A61"/>
    <w:rsid w:val="00274E89"/>
    <w:rsid w:val="002760B5"/>
    <w:rsid w:val="00276322"/>
    <w:rsid w:val="00276B6D"/>
    <w:rsid w:val="002804F2"/>
    <w:rsid w:val="00280F5A"/>
    <w:rsid w:val="00281DF6"/>
    <w:rsid w:val="00282BBE"/>
    <w:rsid w:val="00282E7A"/>
    <w:rsid w:val="00283F92"/>
    <w:rsid w:val="0028448E"/>
    <w:rsid w:val="00284E10"/>
    <w:rsid w:val="002852C1"/>
    <w:rsid w:val="00286C6E"/>
    <w:rsid w:val="00286DE5"/>
    <w:rsid w:val="002878B1"/>
    <w:rsid w:val="0029059A"/>
    <w:rsid w:val="00291B31"/>
    <w:rsid w:val="00291E63"/>
    <w:rsid w:val="00292A01"/>
    <w:rsid w:val="00292CA1"/>
    <w:rsid w:val="00295420"/>
    <w:rsid w:val="00295A6C"/>
    <w:rsid w:val="00297C59"/>
    <w:rsid w:val="002A0E05"/>
    <w:rsid w:val="002A5BE1"/>
    <w:rsid w:val="002A6320"/>
    <w:rsid w:val="002A6D1E"/>
    <w:rsid w:val="002B0B2B"/>
    <w:rsid w:val="002B0EE3"/>
    <w:rsid w:val="002B168C"/>
    <w:rsid w:val="002B3F90"/>
    <w:rsid w:val="002B49E9"/>
    <w:rsid w:val="002B6372"/>
    <w:rsid w:val="002B65CB"/>
    <w:rsid w:val="002B7B3C"/>
    <w:rsid w:val="002C04FC"/>
    <w:rsid w:val="002C0BBF"/>
    <w:rsid w:val="002C216F"/>
    <w:rsid w:val="002C3088"/>
    <w:rsid w:val="002C3D9F"/>
    <w:rsid w:val="002C425E"/>
    <w:rsid w:val="002C4E10"/>
    <w:rsid w:val="002C5D87"/>
    <w:rsid w:val="002C623A"/>
    <w:rsid w:val="002C7F44"/>
    <w:rsid w:val="002D296A"/>
    <w:rsid w:val="002D5703"/>
    <w:rsid w:val="002D6F3B"/>
    <w:rsid w:val="002D74F7"/>
    <w:rsid w:val="002D77E0"/>
    <w:rsid w:val="002D7A89"/>
    <w:rsid w:val="002E239D"/>
    <w:rsid w:val="002E2CEB"/>
    <w:rsid w:val="002E3989"/>
    <w:rsid w:val="002E53FE"/>
    <w:rsid w:val="002E5908"/>
    <w:rsid w:val="002E6B50"/>
    <w:rsid w:val="002E6EBF"/>
    <w:rsid w:val="002E7AEC"/>
    <w:rsid w:val="002F17BC"/>
    <w:rsid w:val="002F1E7D"/>
    <w:rsid w:val="002F1EA6"/>
    <w:rsid w:val="002F2AC6"/>
    <w:rsid w:val="002F2D34"/>
    <w:rsid w:val="003016F9"/>
    <w:rsid w:val="003028B1"/>
    <w:rsid w:val="00303422"/>
    <w:rsid w:val="00304AD1"/>
    <w:rsid w:val="00305F22"/>
    <w:rsid w:val="003065EF"/>
    <w:rsid w:val="00306609"/>
    <w:rsid w:val="0030754F"/>
    <w:rsid w:val="003077BF"/>
    <w:rsid w:val="00310AB0"/>
    <w:rsid w:val="00311D71"/>
    <w:rsid w:val="00311F73"/>
    <w:rsid w:val="003140AF"/>
    <w:rsid w:val="003140EC"/>
    <w:rsid w:val="003142D5"/>
    <w:rsid w:val="00314893"/>
    <w:rsid w:val="0031526A"/>
    <w:rsid w:val="0031642F"/>
    <w:rsid w:val="00317820"/>
    <w:rsid w:val="00320D8E"/>
    <w:rsid w:val="00321F57"/>
    <w:rsid w:val="003221B0"/>
    <w:rsid w:val="00322B56"/>
    <w:rsid w:val="0032311E"/>
    <w:rsid w:val="00324779"/>
    <w:rsid w:val="00324CFB"/>
    <w:rsid w:val="00325E86"/>
    <w:rsid w:val="00326817"/>
    <w:rsid w:val="00326875"/>
    <w:rsid w:val="00326B76"/>
    <w:rsid w:val="003318EE"/>
    <w:rsid w:val="0033337E"/>
    <w:rsid w:val="00333475"/>
    <w:rsid w:val="003334D5"/>
    <w:rsid w:val="003365D8"/>
    <w:rsid w:val="00336F2F"/>
    <w:rsid w:val="00337348"/>
    <w:rsid w:val="0033750A"/>
    <w:rsid w:val="00337C93"/>
    <w:rsid w:val="00340554"/>
    <w:rsid w:val="00340B98"/>
    <w:rsid w:val="00341291"/>
    <w:rsid w:val="003472F1"/>
    <w:rsid w:val="00350776"/>
    <w:rsid w:val="00351C77"/>
    <w:rsid w:val="00352117"/>
    <w:rsid w:val="003523AF"/>
    <w:rsid w:val="0035396C"/>
    <w:rsid w:val="00353A8D"/>
    <w:rsid w:val="00354FB8"/>
    <w:rsid w:val="0035555A"/>
    <w:rsid w:val="00356521"/>
    <w:rsid w:val="003566D5"/>
    <w:rsid w:val="00360C07"/>
    <w:rsid w:val="00360FBE"/>
    <w:rsid w:val="003615C5"/>
    <w:rsid w:val="00361A63"/>
    <w:rsid w:val="00361BFB"/>
    <w:rsid w:val="003639A3"/>
    <w:rsid w:val="00364BA9"/>
    <w:rsid w:val="0036580F"/>
    <w:rsid w:val="00365890"/>
    <w:rsid w:val="00366553"/>
    <w:rsid w:val="003669F9"/>
    <w:rsid w:val="00366D81"/>
    <w:rsid w:val="00370908"/>
    <w:rsid w:val="00371027"/>
    <w:rsid w:val="00371D14"/>
    <w:rsid w:val="00372662"/>
    <w:rsid w:val="003726CE"/>
    <w:rsid w:val="003748F0"/>
    <w:rsid w:val="00380AF8"/>
    <w:rsid w:val="00380F06"/>
    <w:rsid w:val="0038248F"/>
    <w:rsid w:val="003839C6"/>
    <w:rsid w:val="00386300"/>
    <w:rsid w:val="00386368"/>
    <w:rsid w:val="003901AC"/>
    <w:rsid w:val="00390E42"/>
    <w:rsid w:val="00392806"/>
    <w:rsid w:val="00394FC5"/>
    <w:rsid w:val="003966D1"/>
    <w:rsid w:val="003A0742"/>
    <w:rsid w:val="003A0946"/>
    <w:rsid w:val="003A2339"/>
    <w:rsid w:val="003A2343"/>
    <w:rsid w:val="003A3207"/>
    <w:rsid w:val="003A44FF"/>
    <w:rsid w:val="003A4A20"/>
    <w:rsid w:val="003A5142"/>
    <w:rsid w:val="003A54A7"/>
    <w:rsid w:val="003A5C26"/>
    <w:rsid w:val="003A7795"/>
    <w:rsid w:val="003B0ED0"/>
    <w:rsid w:val="003B18FD"/>
    <w:rsid w:val="003B4B7E"/>
    <w:rsid w:val="003B6733"/>
    <w:rsid w:val="003B6C97"/>
    <w:rsid w:val="003C12BD"/>
    <w:rsid w:val="003C19BE"/>
    <w:rsid w:val="003C2B93"/>
    <w:rsid w:val="003C3F50"/>
    <w:rsid w:val="003C5B65"/>
    <w:rsid w:val="003C63B5"/>
    <w:rsid w:val="003C6791"/>
    <w:rsid w:val="003C6C62"/>
    <w:rsid w:val="003C7F66"/>
    <w:rsid w:val="003D1B59"/>
    <w:rsid w:val="003D22BC"/>
    <w:rsid w:val="003D46F4"/>
    <w:rsid w:val="003D4C5B"/>
    <w:rsid w:val="003D754B"/>
    <w:rsid w:val="003E0848"/>
    <w:rsid w:val="003E2267"/>
    <w:rsid w:val="003E440B"/>
    <w:rsid w:val="003F1CD3"/>
    <w:rsid w:val="003F2524"/>
    <w:rsid w:val="003F2BF1"/>
    <w:rsid w:val="003F3973"/>
    <w:rsid w:val="003F423A"/>
    <w:rsid w:val="003F426D"/>
    <w:rsid w:val="003F58E2"/>
    <w:rsid w:val="003F7896"/>
    <w:rsid w:val="0040036B"/>
    <w:rsid w:val="004014AB"/>
    <w:rsid w:val="0040211C"/>
    <w:rsid w:val="00403CCF"/>
    <w:rsid w:val="00404F83"/>
    <w:rsid w:val="00405F77"/>
    <w:rsid w:val="004076F6"/>
    <w:rsid w:val="0041108B"/>
    <w:rsid w:val="004111F7"/>
    <w:rsid w:val="004122C6"/>
    <w:rsid w:val="00412703"/>
    <w:rsid w:val="00413277"/>
    <w:rsid w:val="0041522D"/>
    <w:rsid w:val="004219B3"/>
    <w:rsid w:val="00421FCD"/>
    <w:rsid w:val="00422789"/>
    <w:rsid w:val="00422A77"/>
    <w:rsid w:val="00426521"/>
    <w:rsid w:val="00426A25"/>
    <w:rsid w:val="00426C39"/>
    <w:rsid w:val="004279FF"/>
    <w:rsid w:val="00427C80"/>
    <w:rsid w:val="0043040B"/>
    <w:rsid w:val="00431F3C"/>
    <w:rsid w:val="00432AC4"/>
    <w:rsid w:val="00433F2D"/>
    <w:rsid w:val="00434A4A"/>
    <w:rsid w:val="0043646A"/>
    <w:rsid w:val="004369AE"/>
    <w:rsid w:val="00436E76"/>
    <w:rsid w:val="0043791F"/>
    <w:rsid w:val="004400DF"/>
    <w:rsid w:val="00442228"/>
    <w:rsid w:val="004427FF"/>
    <w:rsid w:val="00443D6C"/>
    <w:rsid w:val="004442FF"/>
    <w:rsid w:val="004477D7"/>
    <w:rsid w:val="00450333"/>
    <w:rsid w:val="00450F86"/>
    <w:rsid w:val="00451599"/>
    <w:rsid w:val="00452E62"/>
    <w:rsid w:val="0045704B"/>
    <w:rsid w:val="0045763A"/>
    <w:rsid w:val="00457693"/>
    <w:rsid w:val="00460F11"/>
    <w:rsid w:val="004610C0"/>
    <w:rsid w:val="004616DA"/>
    <w:rsid w:val="00461BA0"/>
    <w:rsid w:val="00462E5D"/>
    <w:rsid w:val="00462F23"/>
    <w:rsid w:val="00465311"/>
    <w:rsid w:val="0046560D"/>
    <w:rsid w:val="00465A98"/>
    <w:rsid w:val="00466282"/>
    <w:rsid w:val="00467A37"/>
    <w:rsid w:val="00470BE5"/>
    <w:rsid w:val="00471E92"/>
    <w:rsid w:val="0047236B"/>
    <w:rsid w:val="00472AD2"/>
    <w:rsid w:val="00472FC1"/>
    <w:rsid w:val="00473210"/>
    <w:rsid w:val="00473C44"/>
    <w:rsid w:val="004740F7"/>
    <w:rsid w:val="0047535F"/>
    <w:rsid w:val="00480564"/>
    <w:rsid w:val="004820B7"/>
    <w:rsid w:val="00484CEF"/>
    <w:rsid w:val="0048538E"/>
    <w:rsid w:val="00487860"/>
    <w:rsid w:val="004901EE"/>
    <w:rsid w:val="00491FDE"/>
    <w:rsid w:val="00492A4E"/>
    <w:rsid w:val="0049407E"/>
    <w:rsid w:val="004960F6"/>
    <w:rsid w:val="00496383"/>
    <w:rsid w:val="004A331F"/>
    <w:rsid w:val="004A3737"/>
    <w:rsid w:val="004A3A42"/>
    <w:rsid w:val="004A4013"/>
    <w:rsid w:val="004A4A82"/>
    <w:rsid w:val="004A5236"/>
    <w:rsid w:val="004A5F51"/>
    <w:rsid w:val="004A777D"/>
    <w:rsid w:val="004B07C9"/>
    <w:rsid w:val="004B0F6D"/>
    <w:rsid w:val="004B1C73"/>
    <w:rsid w:val="004B2CF3"/>
    <w:rsid w:val="004B3429"/>
    <w:rsid w:val="004B3E36"/>
    <w:rsid w:val="004B5A11"/>
    <w:rsid w:val="004B6450"/>
    <w:rsid w:val="004C04E4"/>
    <w:rsid w:val="004C1B27"/>
    <w:rsid w:val="004C2D39"/>
    <w:rsid w:val="004C437C"/>
    <w:rsid w:val="004C5945"/>
    <w:rsid w:val="004C6718"/>
    <w:rsid w:val="004C71CB"/>
    <w:rsid w:val="004D005E"/>
    <w:rsid w:val="004D05E8"/>
    <w:rsid w:val="004D188C"/>
    <w:rsid w:val="004D189A"/>
    <w:rsid w:val="004D45B4"/>
    <w:rsid w:val="004E1FAF"/>
    <w:rsid w:val="004E246D"/>
    <w:rsid w:val="004E29B4"/>
    <w:rsid w:val="004E67B5"/>
    <w:rsid w:val="004E72FC"/>
    <w:rsid w:val="004F0AF8"/>
    <w:rsid w:val="004F0BF8"/>
    <w:rsid w:val="004F0F7F"/>
    <w:rsid w:val="004F1B9D"/>
    <w:rsid w:val="004F1EB2"/>
    <w:rsid w:val="004F2240"/>
    <w:rsid w:val="004F67AD"/>
    <w:rsid w:val="00500517"/>
    <w:rsid w:val="005016D5"/>
    <w:rsid w:val="0050206C"/>
    <w:rsid w:val="00502161"/>
    <w:rsid w:val="00503721"/>
    <w:rsid w:val="00503C13"/>
    <w:rsid w:val="005046A0"/>
    <w:rsid w:val="00505696"/>
    <w:rsid w:val="00505F2D"/>
    <w:rsid w:val="005136A5"/>
    <w:rsid w:val="005142BF"/>
    <w:rsid w:val="00515C7C"/>
    <w:rsid w:val="005162DE"/>
    <w:rsid w:val="00516BC5"/>
    <w:rsid w:val="00516D1A"/>
    <w:rsid w:val="00517032"/>
    <w:rsid w:val="0052012E"/>
    <w:rsid w:val="00520532"/>
    <w:rsid w:val="00520F58"/>
    <w:rsid w:val="00521A89"/>
    <w:rsid w:val="00523CCE"/>
    <w:rsid w:val="0052444F"/>
    <w:rsid w:val="00525469"/>
    <w:rsid w:val="0053011D"/>
    <w:rsid w:val="00530F38"/>
    <w:rsid w:val="0053146D"/>
    <w:rsid w:val="00533F9E"/>
    <w:rsid w:val="005369EE"/>
    <w:rsid w:val="00536D02"/>
    <w:rsid w:val="005377ED"/>
    <w:rsid w:val="0054009C"/>
    <w:rsid w:val="00540896"/>
    <w:rsid w:val="00544756"/>
    <w:rsid w:val="00545577"/>
    <w:rsid w:val="005466EF"/>
    <w:rsid w:val="00547BE0"/>
    <w:rsid w:val="00552AF8"/>
    <w:rsid w:val="005533C9"/>
    <w:rsid w:val="00554A13"/>
    <w:rsid w:val="005604EC"/>
    <w:rsid w:val="00560D1E"/>
    <w:rsid w:val="00562E5F"/>
    <w:rsid w:val="00563077"/>
    <w:rsid w:val="00564792"/>
    <w:rsid w:val="00565C12"/>
    <w:rsid w:val="00567DE0"/>
    <w:rsid w:val="00570235"/>
    <w:rsid w:val="005727A8"/>
    <w:rsid w:val="005729FC"/>
    <w:rsid w:val="00573BA5"/>
    <w:rsid w:val="00574111"/>
    <w:rsid w:val="00574A6B"/>
    <w:rsid w:val="00574C69"/>
    <w:rsid w:val="00575365"/>
    <w:rsid w:val="00576140"/>
    <w:rsid w:val="0057794D"/>
    <w:rsid w:val="00581D6D"/>
    <w:rsid w:val="005821E4"/>
    <w:rsid w:val="005851B5"/>
    <w:rsid w:val="005866CB"/>
    <w:rsid w:val="00586A55"/>
    <w:rsid w:val="00587DC9"/>
    <w:rsid w:val="00591622"/>
    <w:rsid w:val="0059269A"/>
    <w:rsid w:val="00592E04"/>
    <w:rsid w:val="005960C0"/>
    <w:rsid w:val="00596306"/>
    <w:rsid w:val="005A07F3"/>
    <w:rsid w:val="005A2116"/>
    <w:rsid w:val="005A298C"/>
    <w:rsid w:val="005A3127"/>
    <w:rsid w:val="005A4306"/>
    <w:rsid w:val="005A7AC9"/>
    <w:rsid w:val="005B0447"/>
    <w:rsid w:val="005B0523"/>
    <w:rsid w:val="005B0EAA"/>
    <w:rsid w:val="005B6051"/>
    <w:rsid w:val="005B6222"/>
    <w:rsid w:val="005B6379"/>
    <w:rsid w:val="005B794B"/>
    <w:rsid w:val="005C0388"/>
    <w:rsid w:val="005C1343"/>
    <w:rsid w:val="005C1724"/>
    <w:rsid w:val="005C2FF9"/>
    <w:rsid w:val="005C31CE"/>
    <w:rsid w:val="005C46F1"/>
    <w:rsid w:val="005C4CCE"/>
    <w:rsid w:val="005C529A"/>
    <w:rsid w:val="005C5845"/>
    <w:rsid w:val="005C5AFC"/>
    <w:rsid w:val="005D0FAD"/>
    <w:rsid w:val="005D14C8"/>
    <w:rsid w:val="005D41E3"/>
    <w:rsid w:val="005D4774"/>
    <w:rsid w:val="005D5D40"/>
    <w:rsid w:val="005D743F"/>
    <w:rsid w:val="005D75BA"/>
    <w:rsid w:val="005E056D"/>
    <w:rsid w:val="005E2E5A"/>
    <w:rsid w:val="005E6305"/>
    <w:rsid w:val="005F2F57"/>
    <w:rsid w:val="005F4272"/>
    <w:rsid w:val="005F527A"/>
    <w:rsid w:val="005F5293"/>
    <w:rsid w:val="005F5E79"/>
    <w:rsid w:val="00600DA0"/>
    <w:rsid w:val="006031B6"/>
    <w:rsid w:val="00603268"/>
    <w:rsid w:val="00603B5B"/>
    <w:rsid w:val="00610559"/>
    <w:rsid w:val="006118FD"/>
    <w:rsid w:val="0061398F"/>
    <w:rsid w:val="00613B45"/>
    <w:rsid w:val="00616EC2"/>
    <w:rsid w:val="00621A66"/>
    <w:rsid w:val="00622141"/>
    <w:rsid w:val="0062303C"/>
    <w:rsid w:val="00623EE7"/>
    <w:rsid w:val="00624D7E"/>
    <w:rsid w:val="00625405"/>
    <w:rsid w:val="00626166"/>
    <w:rsid w:val="00627052"/>
    <w:rsid w:val="00630412"/>
    <w:rsid w:val="006319EE"/>
    <w:rsid w:val="00631FA9"/>
    <w:rsid w:val="00632ABF"/>
    <w:rsid w:val="00632CC3"/>
    <w:rsid w:val="0063499A"/>
    <w:rsid w:val="00634CC7"/>
    <w:rsid w:val="006360E8"/>
    <w:rsid w:val="00636D99"/>
    <w:rsid w:val="006374C2"/>
    <w:rsid w:val="006376CA"/>
    <w:rsid w:val="006424EA"/>
    <w:rsid w:val="00642546"/>
    <w:rsid w:val="00642F94"/>
    <w:rsid w:val="00644609"/>
    <w:rsid w:val="00644BCD"/>
    <w:rsid w:val="0064783C"/>
    <w:rsid w:val="00647A37"/>
    <w:rsid w:val="006505B7"/>
    <w:rsid w:val="00651D73"/>
    <w:rsid w:val="00652115"/>
    <w:rsid w:val="006527EE"/>
    <w:rsid w:val="0065310A"/>
    <w:rsid w:val="00654181"/>
    <w:rsid w:val="006541BF"/>
    <w:rsid w:val="006549D6"/>
    <w:rsid w:val="00654ECC"/>
    <w:rsid w:val="00655B0E"/>
    <w:rsid w:val="006579A8"/>
    <w:rsid w:val="00661315"/>
    <w:rsid w:val="00663400"/>
    <w:rsid w:val="0066700D"/>
    <w:rsid w:val="00667868"/>
    <w:rsid w:val="00667E12"/>
    <w:rsid w:val="00671BEC"/>
    <w:rsid w:val="00672E7F"/>
    <w:rsid w:val="00673653"/>
    <w:rsid w:val="006737F8"/>
    <w:rsid w:val="006753B9"/>
    <w:rsid w:val="0068085D"/>
    <w:rsid w:val="006811F2"/>
    <w:rsid w:val="00681EDE"/>
    <w:rsid w:val="0068263A"/>
    <w:rsid w:val="00685876"/>
    <w:rsid w:val="00686AAB"/>
    <w:rsid w:val="0068736E"/>
    <w:rsid w:val="00687733"/>
    <w:rsid w:val="006877D8"/>
    <w:rsid w:val="0068788B"/>
    <w:rsid w:val="00690BD1"/>
    <w:rsid w:val="006953DA"/>
    <w:rsid w:val="00696560"/>
    <w:rsid w:val="00697371"/>
    <w:rsid w:val="00697B91"/>
    <w:rsid w:val="00697EEB"/>
    <w:rsid w:val="006A3912"/>
    <w:rsid w:val="006A54A6"/>
    <w:rsid w:val="006A61F9"/>
    <w:rsid w:val="006A6264"/>
    <w:rsid w:val="006A6890"/>
    <w:rsid w:val="006A7D0E"/>
    <w:rsid w:val="006B036C"/>
    <w:rsid w:val="006B0C26"/>
    <w:rsid w:val="006B1C81"/>
    <w:rsid w:val="006B40FE"/>
    <w:rsid w:val="006B4ECF"/>
    <w:rsid w:val="006B4ED6"/>
    <w:rsid w:val="006B6008"/>
    <w:rsid w:val="006B6EC8"/>
    <w:rsid w:val="006B7CD4"/>
    <w:rsid w:val="006C08A7"/>
    <w:rsid w:val="006C204D"/>
    <w:rsid w:val="006C22B8"/>
    <w:rsid w:val="006C3AE4"/>
    <w:rsid w:val="006C5C25"/>
    <w:rsid w:val="006C5D8B"/>
    <w:rsid w:val="006C7588"/>
    <w:rsid w:val="006D05DF"/>
    <w:rsid w:val="006D0753"/>
    <w:rsid w:val="006D0959"/>
    <w:rsid w:val="006D35DA"/>
    <w:rsid w:val="006D3CC5"/>
    <w:rsid w:val="006D75A6"/>
    <w:rsid w:val="006D7BB5"/>
    <w:rsid w:val="006E09E2"/>
    <w:rsid w:val="006E0CC9"/>
    <w:rsid w:val="006E1B44"/>
    <w:rsid w:val="006E248E"/>
    <w:rsid w:val="006E2B67"/>
    <w:rsid w:val="006E4B99"/>
    <w:rsid w:val="006E57EE"/>
    <w:rsid w:val="006E6CF9"/>
    <w:rsid w:val="006E7320"/>
    <w:rsid w:val="006F2FD1"/>
    <w:rsid w:val="006F32A6"/>
    <w:rsid w:val="006F49B4"/>
    <w:rsid w:val="006F4B01"/>
    <w:rsid w:val="00700CAE"/>
    <w:rsid w:val="00702049"/>
    <w:rsid w:val="00705ABB"/>
    <w:rsid w:val="00706007"/>
    <w:rsid w:val="00712417"/>
    <w:rsid w:val="00712AD8"/>
    <w:rsid w:val="0071423F"/>
    <w:rsid w:val="00716901"/>
    <w:rsid w:val="0072151A"/>
    <w:rsid w:val="007219A3"/>
    <w:rsid w:val="00723747"/>
    <w:rsid w:val="007255A2"/>
    <w:rsid w:val="00732BC1"/>
    <w:rsid w:val="00733BFA"/>
    <w:rsid w:val="00736D88"/>
    <w:rsid w:val="007376A0"/>
    <w:rsid w:val="00740C98"/>
    <w:rsid w:val="00740E65"/>
    <w:rsid w:val="0074523B"/>
    <w:rsid w:val="0074539A"/>
    <w:rsid w:val="00747446"/>
    <w:rsid w:val="00747BB0"/>
    <w:rsid w:val="00747E7D"/>
    <w:rsid w:val="00751256"/>
    <w:rsid w:val="00751AEA"/>
    <w:rsid w:val="007541ED"/>
    <w:rsid w:val="007557A8"/>
    <w:rsid w:val="00756D85"/>
    <w:rsid w:val="007605FC"/>
    <w:rsid w:val="00762466"/>
    <w:rsid w:val="007624F8"/>
    <w:rsid w:val="007707C2"/>
    <w:rsid w:val="0077220C"/>
    <w:rsid w:val="007744CC"/>
    <w:rsid w:val="00774776"/>
    <w:rsid w:val="00775CAA"/>
    <w:rsid w:val="007762AC"/>
    <w:rsid w:val="00776BD1"/>
    <w:rsid w:val="0077711C"/>
    <w:rsid w:val="007778E4"/>
    <w:rsid w:val="00780CB3"/>
    <w:rsid w:val="007836F5"/>
    <w:rsid w:val="007839D3"/>
    <w:rsid w:val="0078571E"/>
    <w:rsid w:val="00785A9E"/>
    <w:rsid w:val="007925F1"/>
    <w:rsid w:val="00792F29"/>
    <w:rsid w:val="00793C0E"/>
    <w:rsid w:val="007946F9"/>
    <w:rsid w:val="00794E96"/>
    <w:rsid w:val="007961AF"/>
    <w:rsid w:val="007A0E00"/>
    <w:rsid w:val="007A1E7B"/>
    <w:rsid w:val="007A24C2"/>
    <w:rsid w:val="007A31ED"/>
    <w:rsid w:val="007A434A"/>
    <w:rsid w:val="007A4A05"/>
    <w:rsid w:val="007A55FF"/>
    <w:rsid w:val="007A6AFF"/>
    <w:rsid w:val="007B0B22"/>
    <w:rsid w:val="007B15AC"/>
    <w:rsid w:val="007B2A7A"/>
    <w:rsid w:val="007B4C84"/>
    <w:rsid w:val="007B5160"/>
    <w:rsid w:val="007C0AE1"/>
    <w:rsid w:val="007C4A83"/>
    <w:rsid w:val="007C587E"/>
    <w:rsid w:val="007C78ED"/>
    <w:rsid w:val="007D32AF"/>
    <w:rsid w:val="007D3BFF"/>
    <w:rsid w:val="007D401D"/>
    <w:rsid w:val="007D4AD9"/>
    <w:rsid w:val="007D7C63"/>
    <w:rsid w:val="007E03B2"/>
    <w:rsid w:val="007E063B"/>
    <w:rsid w:val="007E1C89"/>
    <w:rsid w:val="007E2EC1"/>
    <w:rsid w:val="007E344B"/>
    <w:rsid w:val="007E3B6E"/>
    <w:rsid w:val="007E4F19"/>
    <w:rsid w:val="007E6886"/>
    <w:rsid w:val="007E7EB3"/>
    <w:rsid w:val="007F1530"/>
    <w:rsid w:val="007F3313"/>
    <w:rsid w:val="007F474C"/>
    <w:rsid w:val="007F78EF"/>
    <w:rsid w:val="007F7932"/>
    <w:rsid w:val="00800601"/>
    <w:rsid w:val="008012C5"/>
    <w:rsid w:val="00806667"/>
    <w:rsid w:val="008066BE"/>
    <w:rsid w:val="008070C2"/>
    <w:rsid w:val="0081231E"/>
    <w:rsid w:val="00812530"/>
    <w:rsid w:val="00814010"/>
    <w:rsid w:val="008142FA"/>
    <w:rsid w:val="008158E3"/>
    <w:rsid w:val="0081603A"/>
    <w:rsid w:val="0081695B"/>
    <w:rsid w:val="00816D69"/>
    <w:rsid w:val="00816DDF"/>
    <w:rsid w:val="00817E7B"/>
    <w:rsid w:val="008207EB"/>
    <w:rsid w:val="00821723"/>
    <w:rsid w:val="00823D14"/>
    <w:rsid w:val="0082437D"/>
    <w:rsid w:val="00825124"/>
    <w:rsid w:val="0082535D"/>
    <w:rsid w:val="00826DE5"/>
    <w:rsid w:val="00832BB6"/>
    <w:rsid w:val="0083376A"/>
    <w:rsid w:val="0083382D"/>
    <w:rsid w:val="00833D24"/>
    <w:rsid w:val="00834FCD"/>
    <w:rsid w:val="0083503D"/>
    <w:rsid w:val="008366DE"/>
    <w:rsid w:val="00837868"/>
    <w:rsid w:val="00840AF2"/>
    <w:rsid w:val="00840E5C"/>
    <w:rsid w:val="00844EFF"/>
    <w:rsid w:val="00845E92"/>
    <w:rsid w:val="0084785C"/>
    <w:rsid w:val="008539A7"/>
    <w:rsid w:val="008542D4"/>
    <w:rsid w:val="0085480E"/>
    <w:rsid w:val="008548F4"/>
    <w:rsid w:val="008556EF"/>
    <w:rsid w:val="008568F5"/>
    <w:rsid w:val="008573EF"/>
    <w:rsid w:val="00860BFF"/>
    <w:rsid w:val="00860D03"/>
    <w:rsid w:val="00860E67"/>
    <w:rsid w:val="00861123"/>
    <w:rsid w:val="00861A0B"/>
    <w:rsid w:val="008638F1"/>
    <w:rsid w:val="00866660"/>
    <w:rsid w:val="00874B5E"/>
    <w:rsid w:val="00876763"/>
    <w:rsid w:val="0087712A"/>
    <w:rsid w:val="008778C4"/>
    <w:rsid w:val="00881078"/>
    <w:rsid w:val="008821B8"/>
    <w:rsid w:val="008827CF"/>
    <w:rsid w:val="00884B48"/>
    <w:rsid w:val="00886EB7"/>
    <w:rsid w:val="0088710F"/>
    <w:rsid w:val="00887E0E"/>
    <w:rsid w:val="0089246F"/>
    <w:rsid w:val="00894253"/>
    <w:rsid w:val="008951C6"/>
    <w:rsid w:val="008953FF"/>
    <w:rsid w:val="008955F8"/>
    <w:rsid w:val="00896463"/>
    <w:rsid w:val="00897734"/>
    <w:rsid w:val="00897CA5"/>
    <w:rsid w:val="00897D76"/>
    <w:rsid w:val="008A0406"/>
    <w:rsid w:val="008A20F7"/>
    <w:rsid w:val="008A2284"/>
    <w:rsid w:val="008A2B2C"/>
    <w:rsid w:val="008A2FCA"/>
    <w:rsid w:val="008A3ADF"/>
    <w:rsid w:val="008A3C8F"/>
    <w:rsid w:val="008A5839"/>
    <w:rsid w:val="008A5B7B"/>
    <w:rsid w:val="008A63D9"/>
    <w:rsid w:val="008A6520"/>
    <w:rsid w:val="008A6B7B"/>
    <w:rsid w:val="008A7CA0"/>
    <w:rsid w:val="008A7DC6"/>
    <w:rsid w:val="008B0631"/>
    <w:rsid w:val="008B25FF"/>
    <w:rsid w:val="008B601E"/>
    <w:rsid w:val="008B703B"/>
    <w:rsid w:val="008B71B5"/>
    <w:rsid w:val="008C0134"/>
    <w:rsid w:val="008C0498"/>
    <w:rsid w:val="008C16CA"/>
    <w:rsid w:val="008C20E9"/>
    <w:rsid w:val="008C266F"/>
    <w:rsid w:val="008C287C"/>
    <w:rsid w:val="008C299A"/>
    <w:rsid w:val="008C2C4A"/>
    <w:rsid w:val="008C3884"/>
    <w:rsid w:val="008C3957"/>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D"/>
    <w:rsid w:val="008F763F"/>
    <w:rsid w:val="008F7DF1"/>
    <w:rsid w:val="0090119B"/>
    <w:rsid w:val="00903D53"/>
    <w:rsid w:val="009040E8"/>
    <w:rsid w:val="00904615"/>
    <w:rsid w:val="00905E82"/>
    <w:rsid w:val="00906F18"/>
    <w:rsid w:val="0091173B"/>
    <w:rsid w:val="0091278A"/>
    <w:rsid w:val="0091295E"/>
    <w:rsid w:val="00913AF9"/>
    <w:rsid w:val="00916997"/>
    <w:rsid w:val="009201CD"/>
    <w:rsid w:val="0092105D"/>
    <w:rsid w:val="00921075"/>
    <w:rsid w:val="00923CAC"/>
    <w:rsid w:val="00924712"/>
    <w:rsid w:val="00925AC4"/>
    <w:rsid w:val="00925EB0"/>
    <w:rsid w:val="00926B32"/>
    <w:rsid w:val="0092760B"/>
    <w:rsid w:val="009276C7"/>
    <w:rsid w:val="00933091"/>
    <w:rsid w:val="009332ED"/>
    <w:rsid w:val="00933712"/>
    <w:rsid w:val="00935A2D"/>
    <w:rsid w:val="0093638E"/>
    <w:rsid w:val="00936C55"/>
    <w:rsid w:val="00940047"/>
    <w:rsid w:val="00940093"/>
    <w:rsid w:val="00940445"/>
    <w:rsid w:val="00942731"/>
    <w:rsid w:val="009434BC"/>
    <w:rsid w:val="00944DE6"/>
    <w:rsid w:val="00944E7F"/>
    <w:rsid w:val="00950247"/>
    <w:rsid w:val="009503CA"/>
    <w:rsid w:val="00953C37"/>
    <w:rsid w:val="00954811"/>
    <w:rsid w:val="0096000A"/>
    <w:rsid w:val="00960AF4"/>
    <w:rsid w:val="00961BAB"/>
    <w:rsid w:val="00962406"/>
    <w:rsid w:val="009626C3"/>
    <w:rsid w:val="009630CB"/>
    <w:rsid w:val="00963233"/>
    <w:rsid w:val="0097055B"/>
    <w:rsid w:val="009706AE"/>
    <w:rsid w:val="00970E0B"/>
    <w:rsid w:val="00973D8A"/>
    <w:rsid w:val="00974BF6"/>
    <w:rsid w:val="009751A1"/>
    <w:rsid w:val="00975A4E"/>
    <w:rsid w:val="00976ED6"/>
    <w:rsid w:val="00982AB4"/>
    <w:rsid w:val="009831C0"/>
    <w:rsid w:val="0098321A"/>
    <w:rsid w:val="00983708"/>
    <w:rsid w:val="00983D9E"/>
    <w:rsid w:val="00984F2F"/>
    <w:rsid w:val="009856BF"/>
    <w:rsid w:val="00986228"/>
    <w:rsid w:val="009863E5"/>
    <w:rsid w:val="009901C9"/>
    <w:rsid w:val="0099026D"/>
    <w:rsid w:val="00990642"/>
    <w:rsid w:val="0099130E"/>
    <w:rsid w:val="00991803"/>
    <w:rsid w:val="009933FC"/>
    <w:rsid w:val="0099537B"/>
    <w:rsid w:val="00995D81"/>
    <w:rsid w:val="009A1967"/>
    <w:rsid w:val="009A1CAD"/>
    <w:rsid w:val="009A469B"/>
    <w:rsid w:val="009A4963"/>
    <w:rsid w:val="009A56DF"/>
    <w:rsid w:val="009A6AF9"/>
    <w:rsid w:val="009B2AF9"/>
    <w:rsid w:val="009B3767"/>
    <w:rsid w:val="009B4D8D"/>
    <w:rsid w:val="009B5477"/>
    <w:rsid w:val="009B5565"/>
    <w:rsid w:val="009B6435"/>
    <w:rsid w:val="009B7674"/>
    <w:rsid w:val="009C3BA3"/>
    <w:rsid w:val="009C3BC4"/>
    <w:rsid w:val="009C5634"/>
    <w:rsid w:val="009C702B"/>
    <w:rsid w:val="009D5052"/>
    <w:rsid w:val="009D5C0C"/>
    <w:rsid w:val="009D5CBE"/>
    <w:rsid w:val="009D7533"/>
    <w:rsid w:val="009D7980"/>
    <w:rsid w:val="009E00BF"/>
    <w:rsid w:val="009E2BCB"/>
    <w:rsid w:val="009E3A30"/>
    <w:rsid w:val="009E52E5"/>
    <w:rsid w:val="009E610B"/>
    <w:rsid w:val="009E674F"/>
    <w:rsid w:val="009E6B25"/>
    <w:rsid w:val="009E7547"/>
    <w:rsid w:val="009F078B"/>
    <w:rsid w:val="009F0921"/>
    <w:rsid w:val="009F2822"/>
    <w:rsid w:val="009F4BF9"/>
    <w:rsid w:val="009F6F49"/>
    <w:rsid w:val="00A00C29"/>
    <w:rsid w:val="00A03BCD"/>
    <w:rsid w:val="00A054DB"/>
    <w:rsid w:val="00A06276"/>
    <w:rsid w:val="00A10AE0"/>
    <w:rsid w:val="00A10B97"/>
    <w:rsid w:val="00A10D31"/>
    <w:rsid w:val="00A1138E"/>
    <w:rsid w:val="00A12CC2"/>
    <w:rsid w:val="00A12EFE"/>
    <w:rsid w:val="00A16B4B"/>
    <w:rsid w:val="00A174ED"/>
    <w:rsid w:val="00A21F91"/>
    <w:rsid w:val="00A23931"/>
    <w:rsid w:val="00A23B3A"/>
    <w:rsid w:val="00A27078"/>
    <w:rsid w:val="00A27159"/>
    <w:rsid w:val="00A27FCF"/>
    <w:rsid w:val="00A30B99"/>
    <w:rsid w:val="00A30E02"/>
    <w:rsid w:val="00A317A4"/>
    <w:rsid w:val="00A319AA"/>
    <w:rsid w:val="00A37185"/>
    <w:rsid w:val="00A37FC9"/>
    <w:rsid w:val="00A41940"/>
    <w:rsid w:val="00A41C43"/>
    <w:rsid w:val="00A41EE8"/>
    <w:rsid w:val="00A4492D"/>
    <w:rsid w:val="00A50EF1"/>
    <w:rsid w:val="00A528DB"/>
    <w:rsid w:val="00A57B20"/>
    <w:rsid w:val="00A609E2"/>
    <w:rsid w:val="00A60A7A"/>
    <w:rsid w:val="00A61C0F"/>
    <w:rsid w:val="00A663C6"/>
    <w:rsid w:val="00A72462"/>
    <w:rsid w:val="00A72AFE"/>
    <w:rsid w:val="00A75221"/>
    <w:rsid w:val="00A759F3"/>
    <w:rsid w:val="00A75B94"/>
    <w:rsid w:val="00A763F6"/>
    <w:rsid w:val="00A76A29"/>
    <w:rsid w:val="00A80B2A"/>
    <w:rsid w:val="00A80B51"/>
    <w:rsid w:val="00A81861"/>
    <w:rsid w:val="00A81F2E"/>
    <w:rsid w:val="00A82BC6"/>
    <w:rsid w:val="00A832BA"/>
    <w:rsid w:val="00A83E90"/>
    <w:rsid w:val="00A84276"/>
    <w:rsid w:val="00A8561D"/>
    <w:rsid w:val="00A861F4"/>
    <w:rsid w:val="00A86CCA"/>
    <w:rsid w:val="00A86CF4"/>
    <w:rsid w:val="00A87523"/>
    <w:rsid w:val="00A87E1D"/>
    <w:rsid w:val="00A87F84"/>
    <w:rsid w:val="00A903BA"/>
    <w:rsid w:val="00A921E3"/>
    <w:rsid w:val="00A93D15"/>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5D7B"/>
    <w:rsid w:val="00AB6DC5"/>
    <w:rsid w:val="00AB79DB"/>
    <w:rsid w:val="00AC08A3"/>
    <w:rsid w:val="00AC0F51"/>
    <w:rsid w:val="00AC1689"/>
    <w:rsid w:val="00AC1F82"/>
    <w:rsid w:val="00AC36F3"/>
    <w:rsid w:val="00AC59BE"/>
    <w:rsid w:val="00AC7C2D"/>
    <w:rsid w:val="00AD0D3F"/>
    <w:rsid w:val="00AD1C59"/>
    <w:rsid w:val="00AD220C"/>
    <w:rsid w:val="00AD38B3"/>
    <w:rsid w:val="00AD5531"/>
    <w:rsid w:val="00AE0F61"/>
    <w:rsid w:val="00AF062B"/>
    <w:rsid w:val="00AF1EA9"/>
    <w:rsid w:val="00AF20C1"/>
    <w:rsid w:val="00AF7BE0"/>
    <w:rsid w:val="00B021B8"/>
    <w:rsid w:val="00B0281B"/>
    <w:rsid w:val="00B033F1"/>
    <w:rsid w:val="00B05C9C"/>
    <w:rsid w:val="00B063F8"/>
    <w:rsid w:val="00B10398"/>
    <w:rsid w:val="00B1094B"/>
    <w:rsid w:val="00B11044"/>
    <w:rsid w:val="00B110A8"/>
    <w:rsid w:val="00B115C5"/>
    <w:rsid w:val="00B119CB"/>
    <w:rsid w:val="00B129BC"/>
    <w:rsid w:val="00B132D9"/>
    <w:rsid w:val="00B1349B"/>
    <w:rsid w:val="00B13DCF"/>
    <w:rsid w:val="00B149D3"/>
    <w:rsid w:val="00B14FC5"/>
    <w:rsid w:val="00B15014"/>
    <w:rsid w:val="00B16689"/>
    <w:rsid w:val="00B1745B"/>
    <w:rsid w:val="00B23B2B"/>
    <w:rsid w:val="00B250E9"/>
    <w:rsid w:val="00B27F16"/>
    <w:rsid w:val="00B3403A"/>
    <w:rsid w:val="00B35613"/>
    <w:rsid w:val="00B35EF0"/>
    <w:rsid w:val="00B36CD0"/>
    <w:rsid w:val="00B37DB9"/>
    <w:rsid w:val="00B406BD"/>
    <w:rsid w:val="00B4209C"/>
    <w:rsid w:val="00B45A2D"/>
    <w:rsid w:val="00B47646"/>
    <w:rsid w:val="00B50BD7"/>
    <w:rsid w:val="00B51B10"/>
    <w:rsid w:val="00B52230"/>
    <w:rsid w:val="00B53350"/>
    <w:rsid w:val="00B544AB"/>
    <w:rsid w:val="00B54867"/>
    <w:rsid w:val="00B54C48"/>
    <w:rsid w:val="00B55763"/>
    <w:rsid w:val="00B5582F"/>
    <w:rsid w:val="00B5666B"/>
    <w:rsid w:val="00B57ABD"/>
    <w:rsid w:val="00B60AC4"/>
    <w:rsid w:val="00B6186F"/>
    <w:rsid w:val="00B61A4E"/>
    <w:rsid w:val="00B63589"/>
    <w:rsid w:val="00B63BEB"/>
    <w:rsid w:val="00B6495D"/>
    <w:rsid w:val="00B66349"/>
    <w:rsid w:val="00B6654C"/>
    <w:rsid w:val="00B668D3"/>
    <w:rsid w:val="00B66985"/>
    <w:rsid w:val="00B66CFB"/>
    <w:rsid w:val="00B67941"/>
    <w:rsid w:val="00B7033C"/>
    <w:rsid w:val="00B70B22"/>
    <w:rsid w:val="00B7190B"/>
    <w:rsid w:val="00B7267F"/>
    <w:rsid w:val="00B73EAB"/>
    <w:rsid w:val="00B7641A"/>
    <w:rsid w:val="00B85E71"/>
    <w:rsid w:val="00B92B50"/>
    <w:rsid w:val="00B9426A"/>
    <w:rsid w:val="00B94696"/>
    <w:rsid w:val="00B949B9"/>
    <w:rsid w:val="00B9530C"/>
    <w:rsid w:val="00B96B78"/>
    <w:rsid w:val="00B973A6"/>
    <w:rsid w:val="00BA0DB0"/>
    <w:rsid w:val="00BA29CC"/>
    <w:rsid w:val="00BA60E1"/>
    <w:rsid w:val="00BA6121"/>
    <w:rsid w:val="00BA6249"/>
    <w:rsid w:val="00BA72D6"/>
    <w:rsid w:val="00BB0128"/>
    <w:rsid w:val="00BB23E1"/>
    <w:rsid w:val="00BB3198"/>
    <w:rsid w:val="00BB5A42"/>
    <w:rsid w:val="00BB6B02"/>
    <w:rsid w:val="00BC1F59"/>
    <w:rsid w:val="00BC34E2"/>
    <w:rsid w:val="00BC5CAC"/>
    <w:rsid w:val="00BC78AF"/>
    <w:rsid w:val="00BD0480"/>
    <w:rsid w:val="00BD0523"/>
    <w:rsid w:val="00BD05FD"/>
    <w:rsid w:val="00BD0E66"/>
    <w:rsid w:val="00BD1364"/>
    <w:rsid w:val="00BD1F03"/>
    <w:rsid w:val="00BD321B"/>
    <w:rsid w:val="00BD3FAF"/>
    <w:rsid w:val="00BD4A09"/>
    <w:rsid w:val="00BD57FF"/>
    <w:rsid w:val="00BD69D9"/>
    <w:rsid w:val="00BE05B0"/>
    <w:rsid w:val="00BE35F1"/>
    <w:rsid w:val="00BE3898"/>
    <w:rsid w:val="00BE3FFF"/>
    <w:rsid w:val="00BE4033"/>
    <w:rsid w:val="00BE42C1"/>
    <w:rsid w:val="00BE569A"/>
    <w:rsid w:val="00BE5827"/>
    <w:rsid w:val="00BE5FDC"/>
    <w:rsid w:val="00BE6240"/>
    <w:rsid w:val="00BE676B"/>
    <w:rsid w:val="00BE76F1"/>
    <w:rsid w:val="00BF0867"/>
    <w:rsid w:val="00BF1B84"/>
    <w:rsid w:val="00BF383A"/>
    <w:rsid w:val="00BF39F5"/>
    <w:rsid w:val="00BF6BA5"/>
    <w:rsid w:val="00BF6FEF"/>
    <w:rsid w:val="00BF78AA"/>
    <w:rsid w:val="00BF7D04"/>
    <w:rsid w:val="00C005BD"/>
    <w:rsid w:val="00C0066B"/>
    <w:rsid w:val="00C010FF"/>
    <w:rsid w:val="00C02BAD"/>
    <w:rsid w:val="00C03F83"/>
    <w:rsid w:val="00C05CE3"/>
    <w:rsid w:val="00C05EDA"/>
    <w:rsid w:val="00C0607F"/>
    <w:rsid w:val="00C06A97"/>
    <w:rsid w:val="00C10486"/>
    <w:rsid w:val="00C107A9"/>
    <w:rsid w:val="00C10D29"/>
    <w:rsid w:val="00C125C4"/>
    <w:rsid w:val="00C13438"/>
    <w:rsid w:val="00C13541"/>
    <w:rsid w:val="00C16C72"/>
    <w:rsid w:val="00C17BA4"/>
    <w:rsid w:val="00C22AB3"/>
    <w:rsid w:val="00C23E8F"/>
    <w:rsid w:val="00C24DA7"/>
    <w:rsid w:val="00C25B90"/>
    <w:rsid w:val="00C26C86"/>
    <w:rsid w:val="00C31765"/>
    <w:rsid w:val="00C3185A"/>
    <w:rsid w:val="00C33AE8"/>
    <w:rsid w:val="00C34D6F"/>
    <w:rsid w:val="00C34E83"/>
    <w:rsid w:val="00C35A94"/>
    <w:rsid w:val="00C36CAD"/>
    <w:rsid w:val="00C4104B"/>
    <w:rsid w:val="00C41632"/>
    <w:rsid w:val="00C41CD9"/>
    <w:rsid w:val="00C44583"/>
    <w:rsid w:val="00C45CE4"/>
    <w:rsid w:val="00C45E85"/>
    <w:rsid w:val="00C46904"/>
    <w:rsid w:val="00C47234"/>
    <w:rsid w:val="00C47325"/>
    <w:rsid w:val="00C47C87"/>
    <w:rsid w:val="00C535BB"/>
    <w:rsid w:val="00C5410B"/>
    <w:rsid w:val="00C54B78"/>
    <w:rsid w:val="00C55C34"/>
    <w:rsid w:val="00C56648"/>
    <w:rsid w:val="00C5766C"/>
    <w:rsid w:val="00C60504"/>
    <w:rsid w:val="00C60E59"/>
    <w:rsid w:val="00C610F4"/>
    <w:rsid w:val="00C627E8"/>
    <w:rsid w:val="00C63A75"/>
    <w:rsid w:val="00C6407D"/>
    <w:rsid w:val="00C6458A"/>
    <w:rsid w:val="00C65C76"/>
    <w:rsid w:val="00C71667"/>
    <w:rsid w:val="00C71FBB"/>
    <w:rsid w:val="00C720B9"/>
    <w:rsid w:val="00C73E8A"/>
    <w:rsid w:val="00C750D8"/>
    <w:rsid w:val="00C75179"/>
    <w:rsid w:val="00C81732"/>
    <w:rsid w:val="00C82B67"/>
    <w:rsid w:val="00C82E08"/>
    <w:rsid w:val="00C84220"/>
    <w:rsid w:val="00C847E7"/>
    <w:rsid w:val="00C85D7A"/>
    <w:rsid w:val="00C86FE7"/>
    <w:rsid w:val="00C87683"/>
    <w:rsid w:val="00C91A4C"/>
    <w:rsid w:val="00C92EAA"/>
    <w:rsid w:val="00C93019"/>
    <w:rsid w:val="00C9507B"/>
    <w:rsid w:val="00CA03C2"/>
    <w:rsid w:val="00CA1758"/>
    <w:rsid w:val="00CA6019"/>
    <w:rsid w:val="00CA614E"/>
    <w:rsid w:val="00CA6A56"/>
    <w:rsid w:val="00CB2680"/>
    <w:rsid w:val="00CB33BD"/>
    <w:rsid w:val="00CB6B06"/>
    <w:rsid w:val="00CB712E"/>
    <w:rsid w:val="00CC057A"/>
    <w:rsid w:val="00CC125F"/>
    <w:rsid w:val="00CC1BBC"/>
    <w:rsid w:val="00CC205D"/>
    <w:rsid w:val="00CC31AF"/>
    <w:rsid w:val="00CC46A5"/>
    <w:rsid w:val="00CC5EA8"/>
    <w:rsid w:val="00CC5EFD"/>
    <w:rsid w:val="00CC6B7B"/>
    <w:rsid w:val="00CC6D16"/>
    <w:rsid w:val="00CC7156"/>
    <w:rsid w:val="00CC7931"/>
    <w:rsid w:val="00CD026B"/>
    <w:rsid w:val="00CD2019"/>
    <w:rsid w:val="00CD46FE"/>
    <w:rsid w:val="00CD55D0"/>
    <w:rsid w:val="00CD5855"/>
    <w:rsid w:val="00CD5A25"/>
    <w:rsid w:val="00CE4098"/>
    <w:rsid w:val="00CE47C5"/>
    <w:rsid w:val="00CF01BF"/>
    <w:rsid w:val="00CF172E"/>
    <w:rsid w:val="00CF2E13"/>
    <w:rsid w:val="00CF3450"/>
    <w:rsid w:val="00CF373B"/>
    <w:rsid w:val="00CF4AF5"/>
    <w:rsid w:val="00CF4BDC"/>
    <w:rsid w:val="00D00229"/>
    <w:rsid w:val="00D00BC8"/>
    <w:rsid w:val="00D01601"/>
    <w:rsid w:val="00D031AA"/>
    <w:rsid w:val="00D03ADC"/>
    <w:rsid w:val="00D03D8A"/>
    <w:rsid w:val="00D054A4"/>
    <w:rsid w:val="00D05A55"/>
    <w:rsid w:val="00D05B94"/>
    <w:rsid w:val="00D05C3A"/>
    <w:rsid w:val="00D06331"/>
    <w:rsid w:val="00D10FA6"/>
    <w:rsid w:val="00D1196E"/>
    <w:rsid w:val="00D12223"/>
    <w:rsid w:val="00D12A62"/>
    <w:rsid w:val="00D12DE7"/>
    <w:rsid w:val="00D130F0"/>
    <w:rsid w:val="00D1394F"/>
    <w:rsid w:val="00D14D5E"/>
    <w:rsid w:val="00D15D5B"/>
    <w:rsid w:val="00D1783B"/>
    <w:rsid w:val="00D17846"/>
    <w:rsid w:val="00D17B7A"/>
    <w:rsid w:val="00D221F4"/>
    <w:rsid w:val="00D23F35"/>
    <w:rsid w:val="00D24A2B"/>
    <w:rsid w:val="00D24A36"/>
    <w:rsid w:val="00D25E6A"/>
    <w:rsid w:val="00D336FE"/>
    <w:rsid w:val="00D34978"/>
    <w:rsid w:val="00D34F35"/>
    <w:rsid w:val="00D400BE"/>
    <w:rsid w:val="00D42150"/>
    <w:rsid w:val="00D42AFC"/>
    <w:rsid w:val="00D47727"/>
    <w:rsid w:val="00D50733"/>
    <w:rsid w:val="00D51306"/>
    <w:rsid w:val="00D51549"/>
    <w:rsid w:val="00D547C2"/>
    <w:rsid w:val="00D54B72"/>
    <w:rsid w:val="00D56B4C"/>
    <w:rsid w:val="00D57193"/>
    <w:rsid w:val="00D612E4"/>
    <w:rsid w:val="00D62A7C"/>
    <w:rsid w:val="00D65265"/>
    <w:rsid w:val="00D659CD"/>
    <w:rsid w:val="00D66235"/>
    <w:rsid w:val="00D67C99"/>
    <w:rsid w:val="00D7005F"/>
    <w:rsid w:val="00D715D4"/>
    <w:rsid w:val="00D71DBB"/>
    <w:rsid w:val="00D729BD"/>
    <w:rsid w:val="00D72CDA"/>
    <w:rsid w:val="00D73612"/>
    <w:rsid w:val="00D73BF9"/>
    <w:rsid w:val="00D73F39"/>
    <w:rsid w:val="00D74C52"/>
    <w:rsid w:val="00D76455"/>
    <w:rsid w:val="00D82032"/>
    <w:rsid w:val="00D830B3"/>
    <w:rsid w:val="00D850BD"/>
    <w:rsid w:val="00D85360"/>
    <w:rsid w:val="00D861B1"/>
    <w:rsid w:val="00D86EDC"/>
    <w:rsid w:val="00D90ABD"/>
    <w:rsid w:val="00D91491"/>
    <w:rsid w:val="00D9150B"/>
    <w:rsid w:val="00D92F44"/>
    <w:rsid w:val="00D93162"/>
    <w:rsid w:val="00D93CC5"/>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4AA"/>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86C"/>
    <w:rsid w:val="00DD494C"/>
    <w:rsid w:val="00DE0457"/>
    <w:rsid w:val="00DE1662"/>
    <w:rsid w:val="00DE211C"/>
    <w:rsid w:val="00DE33A6"/>
    <w:rsid w:val="00DE36A9"/>
    <w:rsid w:val="00DE4A61"/>
    <w:rsid w:val="00DF0050"/>
    <w:rsid w:val="00DF1A28"/>
    <w:rsid w:val="00DF297A"/>
    <w:rsid w:val="00DF31BB"/>
    <w:rsid w:val="00DF3A48"/>
    <w:rsid w:val="00DF3C0C"/>
    <w:rsid w:val="00DF5021"/>
    <w:rsid w:val="00DF666C"/>
    <w:rsid w:val="00E0139B"/>
    <w:rsid w:val="00E04C72"/>
    <w:rsid w:val="00E06353"/>
    <w:rsid w:val="00E101C1"/>
    <w:rsid w:val="00E124AB"/>
    <w:rsid w:val="00E129CB"/>
    <w:rsid w:val="00E12D05"/>
    <w:rsid w:val="00E12F68"/>
    <w:rsid w:val="00E132B7"/>
    <w:rsid w:val="00E16733"/>
    <w:rsid w:val="00E17E94"/>
    <w:rsid w:val="00E22147"/>
    <w:rsid w:val="00E25B1C"/>
    <w:rsid w:val="00E25C38"/>
    <w:rsid w:val="00E26D32"/>
    <w:rsid w:val="00E31002"/>
    <w:rsid w:val="00E315DC"/>
    <w:rsid w:val="00E32D05"/>
    <w:rsid w:val="00E335FD"/>
    <w:rsid w:val="00E33F9F"/>
    <w:rsid w:val="00E40CB8"/>
    <w:rsid w:val="00E428EA"/>
    <w:rsid w:val="00E43C92"/>
    <w:rsid w:val="00E4591D"/>
    <w:rsid w:val="00E50155"/>
    <w:rsid w:val="00E51019"/>
    <w:rsid w:val="00E550D7"/>
    <w:rsid w:val="00E55191"/>
    <w:rsid w:val="00E55ACE"/>
    <w:rsid w:val="00E5683E"/>
    <w:rsid w:val="00E57E8B"/>
    <w:rsid w:val="00E6057C"/>
    <w:rsid w:val="00E61663"/>
    <w:rsid w:val="00E61F4B"/>
    <w:rsid w:val="00E62C16"/>
    <w:rsid w:val="00E62C5F"/>
    <w:rsid w:val="00E64298"/>
    <w:rsid w:val="00E646AA"/>
    <w:rsid w:val="00E6525E"/>
    <w:rsid w:val="00E6572E"/>
    <w:rsid w:val="00E65A21"/>
    <w:rsid w:val="00E65D8D"/>
    <w:rsid w:val="00E70AF3"/>
    <w:rsid w:val="00E722BD"/>
    <w:rsid w:val="00E728B7"/>
    <w:rsid w:val="00E745F1"/>
    <w:rsid w:val="00E74B24"/>
    <w:rsid w:val="00E74C90"/>
    <w:rsid w:val="00E74EF2"/>
    <w:rsid w:val="00E7665C"/>
    <w:rsid w:val="00E81342"/>
    <w:rsid w:val="00E81890"/>
    <w:rsid w:val="00E8636C"/>
    <w:rsid w:val="00E86E4E"/>
    <w:rsid w:val="00E87B53"/>
    <w:rsid w:val="00E912FB"/>
    <w:rsid w:val="00E91EF8"/>
    <w:rsid w:val="00E92328"/>
    <w:rsid w:val="00E95A16"/>
    <w:rsid w:val="00E97122"/>
    <w:rsid w:val="00EA08D9"/>
    <w:rsid w:val="00EA09DC"/>
    <w:rsid w:val="00EA1921"/>
    <w:rsid w:val="00EA49B0"/>
    <w:rsid w:val="00EB0022"/>
    <w:rsid w:val="00EB153E"/>
    <w:rsid w:val="00EB5152"/>
    <w:rsid w:val="00EB53CB"/>
    <w:rsid w:val="00EB53CF"/>
    <w:rsid w:val="00EB609B"/>
    <w:rsid w:val="00EB6250"/>
    <w:rsid w:val="00EC0E1E"/>
    <w:rsid w:val="00EC2521"/>
    <w:rsid w:val="00EC30DD"/>
    <w:rsid w:val="00EC3F13"/>
    <w:rsid w:val="00EC4958"/>
    <w:rsid w:val="00EC5D62"/>
    <w:rsid w:val="00EC64D0"/>
    <w:rsid w:val="00EC70BE"/>
    <w:rsid w:val="00ED1190"/>
    <w:rsid w:val="00ED1A62"/>
    <w:rsid w:val="00ED75DC"/>
    <w:rsid w:val="00ED77D1"/>
    <w:rsid w:val="00EE0486"/>
    <w:rsid w:val="00EE261F"/>
    <w:rsid w:val="00EE262D"/>
    <w:rsid w:val="00EE3B4D"/>
    <w:rsid w:val="00EE6A47"/>
    <w:rsid w:val="00EE6AC7"/>
    <w:rsid w:val="00EE7D2B"/>
    <w:rsid w:val="00EE7DF5"/>
    <w:rsid w:val="00EF1065"/>
    <w:rsid w:val="00EF34BE"/>
    <w:rsid w:val="00EF51B0"/>
    <w:rsid w:val="00EF528F"/>
    <w:rsid w:val="00EF7F31"/>
    <w:rsid w:val="00F02AF0"/>
    <w:rsid w:val="00F03389"/>
    <w:rsid w:val="00F034FD"/>
    <w:rsid w:val="00F053C9"/>
    <w:rsid w:val="00F06170"/>
    <w:rsid w:val="00F06929"/>
    <w:rsid w:val="00F06B7D"/>
    <w:rsid w:val="00F07970"/>
    <w:rsid w:val="00F07B53"/>
    <w:rsid w:val="00F1337A"/>
    <w:rsid w:val="00F15332"/>
    <w:rsid w:val="00F15F8E"/>
    <w:rsid w:val="00F176FA"/>
    <w:rsid w:val="00F17BBB"/>
    <w:rsid w:val="00F17D62"/>
    <w:rsid w:val="00F22186"/>
    <w:rsid w:val="00F23DB3"/>
    <w:rsid w:val="00F30D14"/>
    <w:rsid w:val="00F31B6D"/>
    <w:rsid w:val="00F31CDC"/>
    <w:rsid w:val="00F31DC9"/>
    <w:rsid w:val="00F34437"/>
    <w:rsid w:val="00F36946"/>
    <w:rsid w:val="00F41A64"/>
    <w:rsid w:val="00F41AAC"/>
    <w:rsid w:val="00F43EB7"/>
    <w:rsid w:val="00F443AF"/>
    <w:rsid w:val="00F4494F"/>
    <w:rsid w:val="00F469A9"/>
    <w:rsid w:val="00F46E37"/>
    <w:rsid w:val="00F47B94"/>
    <w:rsid w:val="00F50D46"/>
    <w:rsid w:val="00F53638"/>
    <w:rsid w:val="00F54A05"/>
    <w:rsid w:val="00F562C0"/>
    <w:rsid w:val="00F57424"/>
    <w:rsid w:val="00F60947"/>
    <w:rsid w:val="00F60E1C"/>
    <w:rsid w:val="00F62355"/>
    <w:rsid w:val="00F649FB"/>
    <w:rsid w:val="00F657C8"/>
    <w:rsid w:val="00F676D3"/>
    <w:rsid w:val="00F677FC"/>
    <w:rsid w:val="00F700BA"/>
    <w:rsid w:val="00F704B1"/>
    <w:rsid w:val="00F709D3"/>
    <w:rsid w:val="00F726E2"/>
    <w:rsid w:val="00F73746"/>
    <w:rsid w:val="00F73B36"/>
    <w:rsid w:val="00F75DF5"/>
    <w:rsid w:val="00F765A2"/>
    <w:rsid w:val="00F76C9B"/>
    <w:rsid w:val="00F77611"/>
    <w:rsid w:val="00F803A1"/>
    <w:rsid w:val="00F81AFB"/>
    <w:rsid w:val="00F837C6"/>
    <w:rsid w:val="00F84551"/>
    <w:rsid w:val="00F84901"/>
    <w:rsid w:val="00F84F6A"/>
    <w:rsid w:val="00F85526"/>
    <w:rsid w:val="00F86E23"/>
    <w:rsid w:val="00F87F81"/>
    <w:rsid w:val="00F9003B"/>
    <w:rsid w:val="00F90421"/>
    <w:rsid w:val="00F913A9"/>
    <w:rsid w:val="00F91B49"/>
    <w:rsid w:val="00F9643E"/>
    <w:rsid w:val="00F9708A"/>
    <w:rsid w:val="00F9761D"/>
    <w:rsid w:val="00FA1BA3"/>
    <w:rsid w:val="00FA1C71"/>
    <w:rsid w:val="00FA24D8"/>
    <w:rsid w:val="00FA3962"/>
    <w:rsid w:val="00FA3BD0"/>
    <w:rsid w:val="00FA4868"/>
    <w:rsid w:val="00FA5EBF"/>
    <w:rsid w:val="00FB07D2"/>
    <w:rsid w:val="00FB2865"/>
    <w:rsid w:val="00FB2D0F"/>
    <w:rsid w:val="00FB3A85"/>
    <w:rsid w:val="00FB4127"/>
    <w:rsid w:val="00FB5C12"/>
    <w:rsid w:val="00FC002E"/>
    <w:rsid w:val="00FC0E5A"/>
    <w:rsid w:val="00FC2553"/>
    <w:rsid w:val="00FC2F31"/>
    <w:rsid w:val="00FC301D"/>
    <w:rsid w:val="00FC334D"/>
    <w:rsid w:val="00FC4AAA"/>
    <w:rsid w:val="00FC6C20"/>
    <w:rsid w:val="00FC7037"/>
    <w:rsid w:val="00FD1547"/>
    <w:rsid w:val="00FD43A0"/>
    <w:rsid w:val="00FD4CBE"/>
    <w:rsid w:val="00FD59DB"/>
    <w:rsid w:val="00FD6C56"/>
    <w:rsid w:val="00FD72BE"/>
    <w:rsid w:val="00FE1981"/>
    <w:rsid w:val="00FE1F9A"/>
    <w:rsid w:val="00FE28F7"/>
    <w:rsid w:val="00FE31C8"/>
    <w:rsid w:val="00FE3700"/>
    <w:rsid w:val="00FE3F4E"/>
    <w:rsid w:val="00FE4EC8"/>
    <w:rsid w:val="00FF5D52"/>
    <w:rsid w:val="00FF674B"/>
    <w:rsid w:val="00FF679D"/>
    <w:rsid w:val="00FF73C3"/>
    <w:rsid w:val="00FF74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79DBDB7"/>
  <w15:docId w15:val="{68299F5B-4DE5-49EA-BF0A-D6B8E6A8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5C0C"/>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304AD1"/>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04AD1"/>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qFormat/>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F2240"/>
  </w:style>
  <w:style w:type="character" w:customStyle="1" w:styleId="normaltextrun">
    <w:name w:val="normaltextrun"/>
    <w:rsid w:val="00F704B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D38B3"/>
    <w:pPr>
      <w:spacing w:line="240" w:lineRule="exact"/>
      <w:jc w:val="both"/>
    </w:pPr>
    <w:rPr>
      <w:sz w:val="20"/>
      <w:szCs w:val="20"/>
      <w:vertAlign w:val="superscript"/>
    </w:rPr>
  </w:style>
  <w:style w:type="table" w:customStyle="1" w:styleId="TableGrid1">
    <w:name w:val="Table Grid1"/>
    <w:basedOn w:val="TableNormal"/>
    <w:next w:val="TableGrid"/>
    <w:uiPriority w:val="39"/>
    <w:rsid w:val="00141CAE"/>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5890"/>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1579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PowerPoint_Slide.sld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4/wg2020-04-rec-0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FED38-E0E6-4AF1-BE8A-0AE63383F99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4402</Words>
  <Characters>24895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COP-15-1-add3-ar</vt:lpstr>
    </vt:vector>
  </TitlesOfParts>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COP-15-1-add3-ar</dc:title>
  <dc:subject/>
  <dc:creator>SCBD</dc:creator>
  <cp:lastModifiedBy>Xue He Yan</cp:lastModifiedBy>
  <cp:revision>3</cp:revision>
  <cp:lastPrinted>2022-10-30T16:29:00Z</cp:lastPrinted>
  <dcterms:created xsi:type="dcterms:W3CDTF">2022-11-17T09:04:00Z</dcterms:created>
  <dcterms:modified xsi:type="dcterms:W3CDTF">2022-11-18T13:55:00Z</dcterms:modified>
</cp:coreProperties>
</file>