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B2953" w:rsidRPr="003F1A75" w14:paraId="3BD58245" w14:textId="77777777" w:rsidTr="00607F94">
        <w:trPr>
          <w:trHeight w:val="850"/>
        </w:trPr>
        <w:tc>
          <w:tcPr>
            <w:tcW w:w="975" w:type="dxa"/>
            <w:vAlign w:val="bottom"/>
          </w:tcPr>
          <w:p w14:paraId="36A5CB9E" w14:textId="77777777" w:rsidR="00EB2953" w:rsidRPr="003F1A75" w:rsidRDefault="00EB2953" w:rsidP="00607F94">
            <w:pPr>
              <w:pStyle w:val="AASmallLogo"/>
            </w:pPr>
            <w:r>
              <w:rPr>
                <w:noProof/>
              </w:rPr>
              <w:drawing>
                <wp:inline distT="0" distB="0" distL="0" distR="0" wp14:anchorId="7B0E6242" wp14:editId="71DC650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t xml:space="preserve"> </w:t>
            </w:r>
          </w:p>
          <w:p w14:paraId="11813CA6" w14:textId="77777777" w:rsidR="00EB2953" w:rsidRPr="003F1A75" w:rsidRDefault="00EB2953" w:rsidP="00607F94">
            <w:pPr>
              <w:pStyle w:val="AASmallLogo"/>
            </w:pPr>
          </w:p>
        </w:tc>
        <w:tc>
          <w:tcPr>
            <w:tcW w:w="1434" w:type="dxa"/>
            <w:noWrap/>
            <w:vAlign w:val="bottom"/>
          </w:tcPr>
          <w:p w14:paraId="26007463" w14:textId="77777777" w:rsidR="00EB2953" w:rsidRPr="003F1A75" w:rsidRDefault="00EB2953" w:rsidP="00607F94">
            <w:pPr>
              <w:pStyle w:val="AASmallLogo"/>
            </w:pPr>
            <w:r w:rsidRPr="00B01CD9">
              <w:rPr>
                <w:noProof/>
              </w:rPr>
              <w:drawing>
                <wp:inline distT="0" distB="0" distL="0" distR="0" wp14:anchorId="2F1BA7EA" wp14:editId="530579A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7A7DC9C3" w14:textId="77777777" w:rsidR="00EB2953" w:rsidRPr="003F1A75" w:rsidRDefault="00EB2953" w:rsidP="00607F94">
            <w:pPr>
              <w:pStyle w:val="AASmallLogo"/>
            </w:pPr>
          </w:p>
        </w:tc>
        <w:tc>
          <w:tcPr>
            <w:tcW w:w="8073" w:type="dxa"/>
            <w:vAlign w:val="bottom"/>
          </w:tcPr>
          <w:p w14:paraId="46B228D6" w14:textId="77777777" w:rsidR="00EB2953" w:rsidRPr="003F1A75" w:rsidRDefault="00EB2953" w:rsidP="00607F94">
            <w:pPr>
              <w:pStyle w:val="ABSymbol"/>
            </w:pPr>
            <w:r>
              <w:rPr>
                <w:sz w:val="40"/>
              </w:rPr>
              <w:t>CBD</w:t>
            </w:r>
            <w:r>
              <w:t>/COP/17/INF/7</w:t>
            </w:r>
          </w:p>
        </w:tc>
      </w:tr>
    </w:tbl>
    <w:p w14:paraId="08F35375" w14:textId="77777777" w:rsidR="00EB2953" w:rsidRPr="003F1A75" w:rsidRDefault="00EB2953" w:rsidP="00EB295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B2953" w:rsidRPr="003F1A75" w14:paraId="09BB1D82" w14:textId="77777777" w:rsidTr="00607F94">
        <w:trPr>
          <w:trHeight w:val="1814"/>
        </w:trPr>
        <w:tc>
          <w:tcPr>
            <w:tcW w:w="7370" w:type="dxa"/>
          </w:tcPr>
          <w:p w14:paraId="79D5606E" w14:textId="77777777" w:rsidR="00EB2953" w:rsidRPr="003F1A75" w:rsidRDefault="00EB2953" w:rsidP="00607F94">
            <w:pPr>
              <w:pStyle w:val="ACLargeLogo"/>
            </w:pPr>
            <w:r>
              <w:rPr>
                <w:noProof/>
              </w:rPr>
              <w:drawing>
                <wp:inline distT="0" distB="0" distL="0" distR="0" wp14:anchorId="1419A822" wp14:editId="3753E25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09E14D42" w14:textId="77777777" w:rsidR="00EB2953" w:rsidRPr="003F1A75" w:rsidRDefault="00EB2953" w:rsidP="00607F94">
            <w:pPr>
              <w:pStyle w:val="ACLargeLogo"/>
            </w:pPr>
          </w:p>
        </w:tc>
        <w:tc>
          <w:tcPr>
            <w:tcW w:w="3112" w:type="dxa"/>
          </w:tcPr>
          <w:p w14:paraId="235D82AB" w14:textId="77777777" w:rsidR="00EB2953" w:rsidRPr="003F1A75" w:rsidRDefault="00EB2953" w:rsidP="00607F94">
            <w:pPr>
              <w:pStyle w:val="AEDistrNormal"/>
            </w:pPr>
            <w:proofErr w:type="spellStart"/>
            <w:r>
              <w:t>Distr</w:t>
            </w:r>
            <w:proofErr w:type="spellEnd"/>
            <w:r>
              <w:t xml:space="preserve">. general </w:t>
            </w:r>
          </w:p>
          <w:p w14:paraId="556A9B9C" w14:textId="77777777" w:rsidR="00EB2953" w:rsidRPr="003F1A75" w:rsidRDefault="00EB2953" w:rsidP="00607F94">
            <w:pPr>
              <w:pStyle w:val="AEDistrNormal"/>
            </w:pPr>
            <w:r>
              <w:t>10 de septiembre de 2026</w:t>
            </w:r>
          </w:p>
          <w:p w14:paraId="75E08011" w14:textId="77777777" w:rsidR="00EB2953" w:rsidRPr="003F1A75" w:rsidRDefault="00EB2953" w:rsidP="00607F94">
            <w:pPr>
              <w:pStyle w:val="AEDistrNormal6pt"/>
              <w:spacing w:before="0"/>
            </w:pPr>
            <w:r>
              <w:t>Español</w:t>
            </w:r>
            <w:r>
              <w:br/>
              <w:t xml:space="preserve">Original: inglés </w:t>
            </w:r>
          </w:p>
          <w:p w14:paraId="409E088F" w14:textId="77777777" w:rsidR="00EB2953" w:rsidRPr="003F1A75" w:rsidRDefault="00EB2953" w:rsidP="00607F94">
            <w:pPr>
              <w:pStyle w:val="AEDistrNormal6pt"/>
            </w:pPr>
          </w:p>
        </w:tc>
      </w:tr>
    </w:tbl>
    <w:p w14:paraId="6A67C99C" w14:textId="77777777" w:rsidR="00EB2953" w:rsidRPr="003F1A75" w:rsidRDefault="00EB2953" w:rsidP="00EB2953">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B2953" w:rsidRPr="003F1A75" w14:paraId="5B118BFF" w14:textId="77777777" w:rsidTr="00607F94">
        <w:trPr>
          <w:trHeight w:val="57"/>
        </w:trPr>
        <w:tc>
          <w:tcPr>
            <w:tcW w:w="6094" w:type="dxa"/>
          </w:tcPr>
          <w:p w14:paraId="2AAE4728" w14:textId="77777777" w:rsidR="00EB2953" w:rsidRPr="003F1A75" w:rsidRDefault="00EB2953" w:rsidP="00607F94">
            <w:pPr>
              <w:pStyle w:val="AFCorN12Bold"/>
            </w:pPr>
            <w:r>
              <w:t xml:space="preserve">Conferencia de las Partes en el </w:t>
            </w:r>
            <w:r>
              <w:br/>
              <w:t xml:space="preserve">Convenio sobre la Diversidad Biológica </w:t>
            </w:r>
          </w:p>
          <w:p w14:paraId="7AEC8911" w14:textId="77777777" w:rsidR="00EB2953" w:rsidRPr="003F1A75" w:rsidRDefault="00EB2953" w:rsidP="00607F94">
            <w:pPr>
              <w:pStyle w:val="AFCorNBold"/>
            </w:pPr>
            <w:r>
              <w:t>17</w:t>
            </w:r>
            <w:r>
              <w:rPr>
                <w:vertAlign w:val="superscript"/>
              </w:rPr>
              <w:t>a</w:t>
            </w:r>
            <w:r>
              <w:t xml:space="preserve"> reunión </w:t>
            </w:r>
          </w:p>
          <w:p w14:paraId="5F535293" w14:textId="77777777" w:rsidR="00EB2953" w:rsidRPr="003F1A75" w:rsidRDefault="00EB2953" w:rsidP="00607F94">
            <w:pPr>
              <w:pStyle w:val="AFCorNNormal"/>
            </w:pPr>
            <w:r>
              <w:t xml:space="preserve">Ereván, </w:t>
            </w:r>
            <w:r>
              <w:rPr>
                <w:snapToGrid w:val="0"/>
              </w:rPr>
              <w:t>19 a 30 de octubre de 2026</w:t>
            </w:r>
          </w:p>
          <w:p w14:paraId="1A93C5EB" w14:textId="77777777" w:rsidR="00EB2953" w:rsidRPr="003F1A75" w:rsidRDefault="00EB2953" w:rsidP="00607F94">
            <w:pPr>
              <w:pStyle w:val="AFCorNNormal"/>
            </w:pPr>
            <w:r>
              <w:t>Tema 9 a) del programa provisional</w:t>
            </w:r>
            <w:r>
              <w:rPr>
                <w:rStyle w:val="FootnoteReference"/>
              </w:rPr>
              <w:footnoteReference w:customMarkFollows="1" w:id="1"/>
              <w:t>*</w:t>
            </w:r>
            <w:r>
              <w:t xml:space="preserve"> </w:t>
            </w:r>
          </w:p>
          <w:p w14:paraId="321C8D28" w14:textId="77777777" w:rsidR="00EB2953" w:rsidRPr="003F1A75" w:rsidRDefault="00EB2953" w:rsidP="00607F94">
            <w:pPr>
              <w:pStyle w:val="AFCorNBold"/>
            </w:pPr>
            <w:r>
              <w:t>Planificación, seguimiento, presentación de informes y revisión: revisión mundial de los progresos colectivos en la implementación del Marco Mundial de Biodiversidad de Kunming-Montreal</w:t>
            </w:r>
          </w:p>
        </w:tc>
        <w:tc>
          <w:tcPr>
            <w:tcW w:w="4388" w:type="dxa"/>
          </w:tcPr>
          <w:p w14:paraId="0C6007A2" w14:textId="77777777" w:rsidR="00EB2953" w:rsidRPr="003F1A75" w:rsidRDefault="00EB2953" w:rsidP="00607F94">
            <w:pPr>
              <w:pStyle w:val="CBDNormal"/>
              <w:jc w:val="left"/>
            </w:pPr>
          </w:p>
        </w:tc>
      </w:tr>
    </w:tbl>
    <w:p w14:paraId="4B348DAD" w14:textId="0A8DD793" w:rsidR="00EB2953" w:rsidRPr="003F1A75" w:rsidRDefault="00000000" w:rsidP="00EB2953">
      <w:pPr>
        <w:pStyle w:val="CBDTitle"/>
        <w:rPr>
          <w:caps/>
        </w:rPr>
      </w:pPr>
      <w:sdt>
        <w:sdtPr>
          <w:alias w:val="Title"/>
          <w:tag w:val=""/>
          <w:id w:val="772832786"/>
          <w:placeholder>
            <w:docPart w:val="92D86BB1DF184B2F82D58810AF2B9F6C"/>
          </w:placeholder>
          <w:dataBinding w:prefixMappings="xmlns:ns0='http://purl.org/dc/elements/1.1/' xmlns:ns1='http://schemas.openxmlformats.org/package/2006/metadata/core-properties' " w:xpath="/ns1:coreProperties[1]/ns0:title[1]" w:storeItemID="{6C3C8BC8-F283-45AE-878A-BAB7291924A1}"/>
          <w:text/>
        </w:sdtPr>
        <w:sdtContent>
          <w:r w:rsidR="005C747D">
            <w:t>Informe Mundial sobre los Progresos Colectivos en la Implementación del Marco Mundial de Biodiversidad de Kunming-Montreal</w:t>
          </w:r>
        </w:sdtContent>
      </w:sdt>
      <w:r w:rsidR="00EB2953">
        <w:rPr>
          <w:caps/>
        </w:rPr>
        <w:t xml:space="preserve"> </w:t>
      </w:r>
    </w:p>
    <w:p w14:paraId="3A2C1019" w14:textId="77777777" w:rsidR="00EB2953" w:rsidRPr="003F1A75" w:rsidRDefault="00EB2953" w:rsidP="00EB2953">
      <w:pPr>
        <w:pStyle w:val="CBDSubTitle"/>
      </w:pPr>
      <w:r>
        <w:t>Nota de la Secretaría</w:t>
      </w:r>
    </w:p>
    <w:p w14:paraId="47725849" w14:textId="77777777" w:rsidR="00EB2953" w:rsidRPr="003F1A75" w:rsidRDefault="00EB2953" w:rsidP="00EB2953">
      <w:pPr>
        <w:pStyle w:val="CBDNormalNumber"/>
        <w:numPr>
          <w:ilvl w:val="0"/>
          <w:numId w:val="42"/>
        </w:numPr>
        <w:ind w:left="567"/>
      </w:pPr>
      <w:r>
        <w:t xml:space="preserve">En su decisión </w:t>
      </w:r>
      <w:hyperlink r:id="rId14" w:history="1">
        <w:r>
          <w:rPr>
            <w:rStyle w:val="Hyperlink"/>
          </w:rPr>
          <w:t>16/32</w:t>
        </w:r>
      </w:hyperlink>
      <w:r>
        <w:t>, la Conferencia de las Partes adoptó un calendario indicativo para la revisión mundial de los progresos colectivos en la implementación del Marco Mundial de Biodiversidad de Kunming-Montreal, incluida la preparación del informe mundial. Según el calendario, el texto del informe mundial debía finalizarse y enviarse para su traducción y maquetación a más tardar el 28 de agosto de 2026, y el informe completo debía publicarse durante la 17</w:t>
      </w:r>
      <w:r>
        <w:rPr>
          <w:vertAlign w:val="superscript"/>
        </w:rPr>
        <w:t>a</w:t>
      </w:r>
      <w:r>
        <w:t xml:space="preserve"> reunión de la Conferencia de las Partes.</w:t>
      </w:r>
    </w:p>
    <w:p w14:paraId="08B1D41F" w14:textId="77777777" w:rsidR="00EB2953" w:rsidRDefault="00EB2953" w:rsidP="00EB2953">
      <w:pPr>
        <w:pStyle w:val="CBDNormalNumber"/>
        <w:numPr>
          <w:ilvl w:val="0"/>
          <w:numId w:val="42"/>
        </w:numPr>
        <w:ind w:left="567"/>
      </w:pPr>
      <w:r>
        <w:t>El proyecto de informe fue sometido a revisión por pares desde el 1 de junio al 29 de junio de 2026, y los comentarios recibidos se tomaron en cuenta para preparar un proyecto revisado, que se puso a disposición del Órgano Subsidiario de Asesoramiento Científico, Técnico y Tecnológico, en su 28</w:t>
      </w:r>
      <w:r>
        <w:rPr>
          <w:vertAlign w:val="superscript"/>
        </w:rPr>
        <w:t>a</w:t>
      </w:r>
      <w:r>
        <w:t xml:space="preserve"> reunión, como documento </w:t>
      </w:r>
      <w:hyperlink r:id="rId15" w:history="1">
        <w:r>
          <w:rPr>
            <w:rStyle w:val="Hyperlink"/>
          </w:rPr>
          <w:t>CBD/SBTTA/28/2/Add.1/Rev.1</w:t>
        </w:r>
      </w:hyperlink>
      <w:r>
        <w:t>. No obstante, ese proyecto siguió sometido a corrección y revisión técnica para asegurar la claridad y la coherencia.</w:t>
      </w:r>
    </w:p>
    <w:p w14:paraId="29235672" w14:textId="77777777" w:rsidR="00EB2953" w:rsidRDefault="00EB2953" w:rsidP="00EB2953">
      <w:pPr>
        <w:pStyle w:val="CBDNormalNumber"/>
        <w:numPr>
          <w:ilvl w:val="0"/>
          <w:numId w:val="42"/>
        </w:numPr>
        <w:ind w:left="567"/>
      </w:pPr>
      <w:r>
        <w:t xml:space="preserve">El presente documento contiene el texto definitivo del informe mundial, tras la corrección y la revisión técnica adicionales antedichas. Sin embargo, los elementos gráficos utilizados en las figuras y los cuadros se mantienen como espacios reservados, ya que todos se volverán a elaborar para la maquetación del informe con vistas a su publicación. En las versiones del presente documento en todos los idiomas, los elementos gráficos figuran únicamente en inglés, puesto que su cantidad y complejidad hicieron imposible prepararlos en los demás idiomas a tiempo para la presente reunión. De todos modos, debajo de cada elemento gráfico se proporciona una traducción. En la versión del informe final publicada en cada idioma, los elementos gráficos aparecerán en el idioma correspondiente. El informe final publicado también contendrá fotografías, entre ellas algunas que </w:t>
      </w:r>
      <w:r>
        <w:lastRenderedPageBreak/>
        <w:t xml:space="preserve">las Partes y las organizaciones tuvieron la amabilidad de proporcionar en relación con los estudios de casos utilizados en el informe mundial. </w:t>
      </w:r>
    </w:p>
    <w:p w14:paraId="4BB81B32" w14:textId="77777777" w:rsidR="00EB2953" w:rsidRDefault="00EB2953" w:rsidP="00EB2953">
      <w:pPr>
        <w:pStyle w:val="Para1"/>
        <w:numPr>
          <w:ilvl w:val="0"/>
          <w:numId w:val="0"/>
        </w:numPr>
        <w:ind w:left="567"/>
        <w:jc w:val="center"/>
      </w:pPr>
    </w:p>
    <w:p w14:paraId="70F82773" w14:textId="77777777" w:rsidR="00EB2953" w:rsidRPr="003F1A75" w:rsidRDefault="00EB2953" w:rsidP="00EB2953">
      <w:pPr>
        <w:pStyle w:val="Para1"/>
        <w:numPr>
          <w:ilvl w:val="0"/>
          <w:numId w:val="0"/>
        </w:numPr>
        <w:ind w:left="567"/>
        <w:jc w:val="center"/>
      </w:pPr>
      <w:r>
        <w:t>__________</w:t>
      </w:r>
    </w:p>
    <w:p w14:paraId="3E7A5F8B" w14:textId="77777777" w:rsidR="00EB2953" w:rsidRDefault="00EB2953">
      <w:pPr>
        <w:rPr>
          <w:b/>
          <w:bCs/>
          <w:sz w:val="32"/>
          <w:szCs w:val="32"/>
          <w:lang w:val="es-ES"/>
        </w:rPr>
      </w:pPr>
      <w:r>
        <w:rPr>
          <w:b/>
          <w:bCs/>
          <w:sz w:val="32"/>
          <w:szCs w:val="32"/>
          <w:lang w:val="es-ES"/>
        </w:rPr>
        <w:br w:type="page"/>
      </w:r>
    </w:p>
    <w:p w14:paraId="1CAD6110" w14:textId="47F5DF0A" w:rsidR="00CA788F" w:rsidRPr="005E3D50" w:rsidRDefault="001711FE" w:rsidP="510DA373">
      <w:pPr>
        <w:rPr>
          <w:b/>
          <w:sz w:val="32"/>
          <w:szCs w:val="32"/>
          <w:lang w:val="es-ES"/>
        </w:rPr>
      </w:pPr>
      <w:r w:rsidRPr="005E3D50">
        <w:rPr>
          <w:b/>
          <w:bCs/>
          <w:sz w:val="32"/>
          <w:szCs w:val="32"/>
          <w:lang w:val="es-ES"/>
        </w:rPr>
        <w:lastRenderedPageBreak/>
        <w:t xml:space="preserve">Estado de la acción en materia de biodiversidad: Informe mundial sobre los progresos colectivos en la </w:t>
      </w:r>
      <w:r w:rsidR="007B519D" w:rsidRPr="005E3D50">
        <w:rPr>
          <w:b/>
          <w:bCs/>
          <w:sz w:val="32"/>
          <w:szCs w:val="32"/>
          <w:lang w:val="es-ES"/>
        </w:rPr>
        <w:t>i</w:t>
      </w:r>
      <w:r w:rsidRPr="005E3D50">
        <w:rPr>
          <w:b/>
          <w:bCs/>
          <w:sz w:val="32"/>
          <w:szCs w:val="32"/>
          <w:lang w:val="es-ES"/>
        </w:rPr>
        <w:t>mplementación del Marco Mundial de Biodiversidad de Kunming-Montreal</w:t>
      </w:r>
    </w:p>
    <w:p w14:paraId="5C838772" w14:textId="78B8B1BB" w:rsidR="74032CC2" w:rsidRPr="005E3D50" w:rsidRDefault="74032CC2">
      <w:pPr>
        <w:rPr>
          <w:lang w:val="es-ES"/>
        </w:rPr>
      </w:pPr>
    </w:p>
    <w:p w14:paraId="4C94B5A9" w14:textId="3CEB347C" w:rsidR="002F495C" w:rsidRPr="005E3D50" w:rsidRDefault="00FD63A2" w:rsidP="002F495C">
      <w:pPr>
        <w:rPr>
          <w:lang w:val="es-ES"/>
        </w:rPr>
      </w:pPr>
      <w:r w:rsidRPr="005E3D50">
        <w:rPr>
          <w:lang w:val="es-ES"/>
        </w:rPr>
        <w:t>Texto final editado</w:t>
      </w:r>
    </w:p>
    <w:p w14:paraId="674D6E11" w14:textId="77777777" w:rsidR="00EF2D5D" w:rsidRPr="005E3D50" w:rsidRDefault="00EF2D5D" w:rsidP="002F495C">
      <w:pPr>
        <w:rPr>
          <w:lang w:val="es-ES"/>
        </w:rPr>
      </w:pPr>
    </w:p>
    <w:p w14:paraId="15BAC0FD" w14:textId="65DD1F2B" w:rsidR="00EF2D5D" w:rsidRPr="005E3D50" w:rsidRDefault="00EF2D5D" w:rsidP="002F495C">
      <w:pPr>
        <w:rPr>
          <w:sz w:val="32"/>
          <w:szCs w:val="32"/>
          <w:lang w:val="es-ES"/>
        </w:rPr>
      </w:pPr>
      <w:r w:rsidRPr="005E3D50">
        <w:rPr>
          <w:sz w:val="32"/>
          <w:szCs w:val="32"/>
          <w:lang w:val="es-ES"/>
        </w:rPr>
        <w:t>Índice</w:t>
      </w:r>
    </w:p>
    <w:p w14:paraId="1849B009" w14:textId="58F13BA2" w:rsidR="00942359" w:rsidRDefault="00EF2D5D">
      <w:pPr>
        <w:pStyle w:val="TOC1"/>
        <w:tabs>
          <w:tab w:val="right" w:leader="dot" w:pos="9350"/>
        </w:tabs>
        <w:rPr>
          <w:rFonts w:eastAsiaTheme="minorEastAsia"/>
          <w:b w:val="0"/>
          <w:bCs w:val="0"/>
          <w:i w:val="0"/>
          <w:iCs w:val="0"/>
          <w:noProof/>
          <w:lang w:val="en-US" w:eastAsia="zh-CN"/>
        </w:rPr>
      </w:pPr>
      <w:r w:rsidRPr="005E3D50">
        <w:rPr>
          <w:lang w:val="es-ES"/>
        </w:rPr>
        <w:fldChar w:fldCharType="begin"/>
      </w:r>
      <w:r w:rsidRPr="005E3D50">
        <w:rPr>
          <w:lang w:val="es-ES"/>
        </w:rPr>
        <w:instrText>TOC \o "1-4" \z \u \h</w:instrText>
      </w:r>
      <w:r w:rsidRPr="005E3D50">
        <w:rPr>
          <w:lang w:val="es-ES"/>
        </w:rPr>
        <w:fldChar w:fldCharType="separate"/>
      </w:r>
      <w:hyperlink w:anchor="_Toc242882951" w:history="1">
        <w:r w:rsidR="00942359" w:rsidRPr="00F16F96">
          <w:rPr>
            <w:rStyle w:val="Hyperlink"/>
            <w:noProof/>
            <w:lang w:val="es-ES"/>
          </w:rPr>
          <w:t>Prólogo</w:t>
        </w:r>
        <w:r w:rsidR="00942359">
          <w:rPr>
            <w:noProof/>
            <w:webHidden/>
          </w:rPr>
          <w:tab/>
        </w:r>
        <w:r w:rsidR="00942359">
          <w:rPr>
            <w:noProof/>
            <w:webHidden/>
          </w:rPr>
          <w:fldChar w:fldCharType="begin"/>
        </w:r>
        <w:r w:rsidR="00942359">
          <w:rPr>
            <w:noProof/>
            <w:webHidden/>
          </w:rPr>
          <w:instrText xml:space="preserve"> PAGEREF _Toc242882951 \h </w:instrText>
        </w:r>
        <w:r w:rsidR="00942359">
          <w:rPr>
            <w:noProof/>
            <w:webHidden/>
          </w:rPr>
        </w:r>
        <w:r w:rsidR="00942359">
          <w:rPr>
            <w:noProof/>
            <w:webHidden/>
          </w:rPr>
          <w:fldChar w:fldCharType="separate"/>
        </w:r>
        <w:r w:rsidR="00942359">
          <w:rPr>
            <w:noProof/>
            <w:webHidden/>
          </w:rPr>
          <w:t>6</w:t>
        </w:r>
        <w:r w:rsidR="00942359">
          <w:rPr>
            <w:noProof/>
            <w:webHidden/>
          </w:rPr>
          <w:fldChar w:fldCharType="end"/>
        </w:r>
      </w:hyperlink>
    </w:p>
    <w:p w14:paraId="5DF2FE8B" w14:textId="6DB366F6" w:rsidR="00942359" w:rsidRDefault="00942359">
      <w:pPr>
        <w:pStyle w:val="TOC1"/>
        <w:tabs>
          <w:tab w:val="right" w:leader="dot" w:pos="9350"/>
        </w:tabs>
        <w:rPr>
          <w:rFonts w:eastAsiaTheme="minorEastAsia"/>
          <w:b w:val="0"/>
          <w:bCs w:val="0"/>
          <w:i w:val="0"/>
          <w:iCs w:val="0"/>
          <w:noProof/>
          <w:lang w:val="en-US" w:eastAsia="zh-CN"/>
        </w:rPr>
      </w:pPr>
      <w:hyperlink w:anchor="_Toc242882952" w:history="1">
        <w:r w:rsidRPr="00F16F96">
          <w:rPr>
            <w:rStyle w:val="Hyperlink"/>
            <w:noProof/>
            <w:lang w:val="es-ES"/>
          </w:rPr>
          <w:t>Agradecimientos</w:t>
        </w:r>
        <w:r>
          <w:rPr>
            <w:noProof/>
            <w:webHidden/>
          </w:rPr>
          <w:tab/>
        </w:r>
        <w:r>
          <w:rPr>
            <w:noProof/>
            <w:webHidden/>
          </w:rPr>
          <w:fldChar w:fldCharType="begin"/>
        </w:r>
        <w:r>
          <w:rPr>
            <w:noProof/>
            <w:webHidden/>
          </w:rPr>
          <w:instrText xml:space="preserve"> PAGEREF _Toc242882952 \h </w:instrText>
        </w:r>
        <w:r>
          <w:rPr>
            <w:noProof/>
            <w:webHidden/>
          </w:rPr>
        </w:r>
        <w:r>
          <w:rPr>
            <w:noProof/>
            <w:webHidden/>
          </w:rPr>
          <w:fldChar w:fldCharType="separate"/>
        </w:r>
        <w:r>
          <w:rPr>
            <w:noProof/>
            <w:webHidden/>
          </w:rPr>
          <w:t>7</w:t>
        </w:r>
        <w:r>
          <w:rPr>
            <w:noProof/>
            <w:webHidden/>
          </w:rPr>
          <w:fldChar w:fldCharType="end"/>
        </w:r>
      </w:hyperlink>
    </w:p>
    <w:p w14:paraId="4E1BF9F4" w14:textId="0F400859" w:rsidR="00942359" w:rsidRDefault="00942359">
      <w:pPr>
        <w:pStyle w:val="TOC1"/>
        <w:tabs>
          <w:tab w:val="right" w:leader="dot" w:pos="9350"/>
        </w:tabs>
        <w:rPr>
          <w:rFonts w:eastAsiaTheme="minorEastAsia"/>
          <w:b w:val="0"/>
          <w:bCs w:val="0"/>
          <w:i w:val="0"/>
          <w:iCs w:val="0"/>
          <w:noProof/>
          <w:lang w:val="en-US" w:eastAsia="zh-CN"/>
        </w:rPr>
      </w:pPr>
      <w:hyperlink w:anchor="_Toc242882953" w:history="1">
        <w:r w:rsidRPr="00F16F96">
          <w:rPr>
            <w:rStyle w:val="Hyperlink"/>
            <w:noProof/>
            <w:lang w:val="es-ES"/>
          </w:rPr>
          <w:t>Lista de abreviaciones y siglas</w:t>
        </w:r>
        <w:r>
          <w:rPr>
            <w:noProof/>
            <w:webHidden/>
          </w:rPr>
          <w:tab/>
        </w:r>
        <w:r>
          <w:rPr>
            <w:noProof/>
            <w:webHidden/>
          </w:rPr>
          <w:fldChar w:fldCharType="begin"/>
        </w:r>
        <w:r>
          <w:rPr>
            <w:noProof/>
            <w:webHidden/>
          </w:rPr>
          <w:instrText xml:space="preserve"> PAGEREF _Toc242882953 \h </w:instrText>
        </w:r>
        <w:r>
          <w:rPr>
            <w:noProof/>
            <w:webHidden/>
          </w:rPr>
        </w:r>
        <w:r>
          <w:rPr>
            <w:noProof/>
            <w:webHidden/>
          </w:rPr>
          <w:fldChar w:fldCharType="separate"/>
        </w:r>
        <w:r>
          <w:rPr>
            <w:noProof/>
            <w:webHidden/>
          </w:rPr>
          <w:t>9</w:t>
        </w:r>
        <w:r>
          <w:rPr>
            <w:noProof/>
            <w:webHidden/>
          </w:rPr>
          <w:fldChar w:fldCharType="end"/>
        </w:r>
      </w:hyperlink>
    </w:p>
    <w:p w14:paraId="2250EF37" w14:textId="06EC11F9" w:rsidR="00942359" w:rsidRDefault="00942359">
      <w:pPr>
        <w:pStyle w:val="TOC1"/>
        <w:tabs>
          <w:tab w:val="right" w:leader="dot" w:pos="9350"/>
        </w:tabs>
        <w:rPr>
          <w:rFonts w:eastAsiaTheme="minorEastAsia"/>
          <w:b w:val="0"/>
          <w:bCs w:val="0"/>
          <w:i w:val="0"/>
          <w:iCs w:val="0"/>
          <w:noProof/>
          <w:lang w:val="en-US" w:eastAsia="zh-CN"/>
        </w:rPr>
      </w:pPr>
      <w:hyperlink w:anchor="_Toc242882954" w:history="1">
        <w:r w:rsidRPr="00F16F96">
          <w:rPr>
            <w:rStyle w:val="Hyperlink"/>
            <w:noProof/>
            <w:lang w:val="es-ES"/>
          </w:rPr>
          <w:t>Resumen de las conclusiones y mensajes principales del informe mundial</w:t>
        </w:r>
        <w:r>
          <w:rPr>
            <w:noProof/>
            <w:webHidden/>
          </w:rPr>
          <w:tab/>
        </w:r>
        <w:r>
          <w:rPr>
            <w:noProof/>
            <w:webHidden/>
          </w:rPr>
          <w:fldChar w:fldCharType="begin"/>
        </w:r>
        <w:r>
          <w:rPr>
            <w:noProof/>
            <w:webHidden/>
          </w:rPr>
          <w:instrText xml:space="preserve"> PAGEREF _Toc242882954 \h </w:instrText>
        </w:r>
        <w:r>
          <w:rPr>
            <w:noProof/>
            <w:webHidden/>
          </w:rPr>
        </w:r>
        <w:r>
          <w:rPr>
            <w:noProof/>
            <w:webHidden/>
          </w:rPr>
          <w:fldChar w:fldCharType="separate"/>
        </w:r>
        <w:r>
          <w:rPr>
            <w:noProof/>
            <w:webHidden/>
          </w:rPr>
          <w:t>13</w:t>
        </w:r>
        <w:r>
          <w:rPr>
            <w:noProof/>
            <w:webHidden/>
          </w:rPr>
          <w:fldChar w:fldCharType="end"/>
        </w:r>
      </w:hyperlink>
    </w:p>
    <w:p w14:paraId="15F5E833" w14:textId="4DF6868B" w:rsidR="00942359" w:rsidRDefault="00942359">
      <w:pPr>
        <w:pStyle w:val="TOC1"/>
        <w:tabs>
          <w:tab w:val="right" w:leader="dot" w:pos="9350"/>
        </w:tabs>
        <w:rPr>
          <w:rFonts w:eastAsiaTheme="minorEastAsia"/>
          <w:b w:val="0"/>
          <w:bCs w:val="0"/>
          <w:i w:val="0"/>
          <w:iCs w:val="0"/>
          <w:noProof/>
          <w:lang w:val="en-US" w:eastAsia="zh-CN"/>
        </w:rPr>
      </w:pPr>
      <w:hyperlink w:anchor="_Toc242882955" w:history="1">
        <w:r w:rsidRPr="00F16F96">
          <w:rPr>
            <w:rStyle w:val="Hyperlink"/>
            <w:noProof/>
            <w:lang w:val="es-ES"/>
          </w:rPr>
          <w:t>Parte I: Introducción</w:t>
        </w:r>
        <w:r>
          <w:rPr>
            <w:noProof/>
            <w:webHidden/>
          </w:rPr>
          <w:tab/>
        </w:r>
        <w:r>
          <w:rPr>
            <w:noProof/>
            <w:webHidden/>
          </w:rPr>
          <w:fldChar w:fldCharType="begin"/>
        </w:r>
        <w:r>
          <w:rPr>
            <w:noProof/>
            <w:webHidden/>
          </w:rPr>
          <w:instrText xml:space="preserve"> PAGEREF _Toc242882955 \h </w:instrText>
        </w:r>
        <w:r>
          <w:rPr>
            <w:noProof/>
            <w:webHidden/>
          </w:rPr>
        </w:r>
        <w:r>
          <w:rPr>
            <w:noProof/>
            <w:webHidden/>
          </w:rPr>
          <w:fldChar w:fldCharType="separate"/>
        </w:r>
        <w:r>
          <w:rPr>
            <w:noProof/>
            <w:webHidden/>
          </w:rPr>
          <w:t>16</w:t>
        </w:r>
        <w:r>
          <w:rPr>
            <w:noProof/>
            <w:webHidden/>
          </w:rPr>
          <w:fldChar w:fldCharType="end"/>
        </w:r>
      </w:hyperlink>
    </w:p>
    <w:p w14:paraId="15D9B07D" w14:textId="259358D7" w:rsidR="00942359" w:rsidRDefault="00942359">
      <w:pPr>
        <w:pStyle w:val="TOC2"/>
        <w:tabs>
          <w:tab w:val="right" w:leader="dot" w:pos="9350"/>
        </w:tabs>
        <w:rPr>
          <w:rFonts w:eastAsiaTheme="minorEastAsia"/>
          <w:b w:val="0"/>
          <w:bCs w:val="0"/>
          <w:noProof/>
          <w:sz w:val="24"/>
          <w:szCs w:val="24"/>
          <w:lang w:val="en-US" w:eastAsia="zh-CN"/>
        </w:rPr>
      </w:pPr>
      <w:hyperlink w:anchor="_Toc242882956" w:history="1">
        <w:r w:rsidRPr="00F16F96">
          <w:rPr>
            <w:rStyle w:val="Hyperlink"/>
            <w:noProof/>
            <w:lang w:val="es-ES"/>
          </w:rPr>
          <w:t>I.A Introducción al Marco Mundial de Biodiversidad de Kunming-Montreal y al informe mundial</w:t>
        </w:r>
        <w:r>
          <w:rPr>
            <w:noProof/>
            <w:webHidden/>
          </w:rPr>
          <w:tab/>
        </w:r>
        <w:r>
          <w:rPr>
            <w:noProof/>
            <w:webHidden/>
          </w:rPr>
          <w:fldChar w:fldCharType="begin"/>
        </w:r>
        <w:r>
          <w:rPr>
            <w:noProof/>
            <w:webHidden/>
          </w:rPr>
          <w:instrText xml:space="preserve"> PAGEREF _Toc242882956 \h </w:instrText>
        </w:r>
        <w:r>
          <w:rPr>
            <w:noProof/>
            <w:webHidden/>
          </w:rPr>
        </w:r>
        <w:r>
          <w:rPr>
            <w:noProof/>
            <w:webHidden/>
          </w:rPr>
          <w:fldChar w:fldCharType="separate"/>
        </w:r>
        <w:r>
          <w:rPr>
            <w:noProof/>
            <w:webHidden/>
          </w:rPr>
          <w:t>16</w:t>
        </w:r>
        <w:r>
          <w:rPr>
            <w:noProof/>
            <w:webHidden/>
          </w:rPr>
          <w:fldChar w:fldCharType="end"/>
        </w:r>
      </w:hyperlink>
    </w:p>
    <w:p w14:paraId="5B547B95" w14:textId="1AF243C5" w:rsidR="00942359" w:rsidRDefault="00942359">
      <w:pPr>
        <w:pStyle w:val="TOC3"/>
        <w:rPr>
          <w:rFonts w:eastAsiaTheme="minorEastAsia"/>
          <w:noProof/>
          <w:sz w:val="24"/>
          <w:szCs w:val="24"/>
          <w:lang w:val="en-US" w:eastAsia="zh-CN"/>
        </w:rPr>
      </w:pPr>
      <w:hyperlink w:anchor="_Toc242882957" w:history="1">
        <w:r w:rsidRPr="00F16F96">
          <w:rPr>
            <w:rStyle w:val="Hyperlink"/>
            <w:noProof/>
            <w:lang w:val="es-ES"/>
          </w:rPr>
          <w:t>El Marco</w:t>
        </w:r>
        <w:r>
          <w:rPr>
            <w:noProof/>
            <w:webHidden/>
          </w:rPr>
          <w:tab/>
        </w:r>
        <w:r>
          <w:rPr>
            <w:noProof/>
            <w:webHidden/>
          </w:rPr>
          <w:fldChar w:fldCharType="begin"/>
        </w:r>
        <w:r>
          <w:rPr>
            <w:noProof/>
            <w:webHidden/>
          </w:rPr>
          <w:instrText xml:space="preserve"> PAGEREF _Toc242882957 \h </w:instrText>
        </w:r>
        <w:r>
          <w:rPr>
            <w:noProof/>
            <w:webHidden/>
          </w:rPr>
        </w:r>
        <w:r>
          <w:rPr>
            <w:noProof/>
            <w:webHidden/>
          </w:rPr>
          <w:fldChar w:fldCharType="separate"/>
        </w:r>
        <w:r>
          <w:rPr>
            <w:noProof/>
            <w:webHidden/>
          </w:rPr>
          <w:t>16</w:t>
        </w:r>
        <w:r>
          <w:rPr>
            <w:noProof/>
            <w:webHidden/>
          </w:rPr>
          <w:fldChar w:fldCharType="end"/>
        </w:r>
      </w:hyperlink>
    </w:p>
    <w:p w14:paraId="5315EA9B" w14:textId="42123EEE" w:rsidR="00942359" w:rsidRDefault="00942359">
      <w:pPr>
        <w:pStyle w:val="TOC3"/>
        <w:rPr>
          <w:rFonts w:eastAsiaTheme="minorEastAsia"/>
          <w:noProof/>
          <w:sz w:val="24"/>
          <w:szCs w:val="24"/>
          <w:lang w:val="en-US" w:eastAsia="zh-CN"/>
        </w:rPr>
      </w:pPr>
      <w:hyperlink w:anchor="_Toc242882958" w:history="1">
        <w:r w:rsidRPr="00F16F96">
          <w:rPr>
            <w:rStyle w:val="Hyperlink"/>
            <w:noProof/>
            <w:lang w:val="es-ES"/>
          </w:rPr>
          <w:t>Planificación, seguimiento, presentación de informes y revisión</w:t>
        </w:r>
        <w:r>
          <w:rPr>
            <w:noProof/>
            <w:webHidden/>
          </w:rPr>
          <w:tab/>
        </w:r>
        <w:r>
          <w:rPr>
            <w:noProof/>
            <w:webHidden/>
          </w:rPr>
          <w:fldChar w:fldCharType="begin"/>
        </w:r>
        <w:r>
          <w:rPr>
            <w:noProof/>
            <w:webHidden/>
          </w:rPr>
          <w:instrText xml:space="preserve"> PAGEREF _Toc242882958 \h </w:instrText>
        </w:r>
        <w:r>
          <w:rPr>
            <w:noProof/>
            <w:webHidden/>
          </w:rPr>
        </w:r>
        <w:r>
          <w:rPr>
            <w:noProof/>
            <w:webHidden/>
          </w:rPr>
          <w:fldChar w:fldCharType="separate"/>
        </w:r>
        <w:r>
          <w:rPr>
            <w:noProof/>
            <w:webHidden/>
          </w:rPr>
          <w:t>19</w:t>
        </w:r>
        <w:r>
          <w:rPr>
            <w:noProof/>
            <w:webHidden/>
          </w:rPr>
          <w:fldChar w:fldCharType="end"/>
        </w:r>
      </w:hyperlink>
    </w:p>
    <w:p w14:paraId="0AD6103B" w14:textId="4A4653B0" w:rsidR="00942359" w:rsidRDefault="00942359">
      <w:pPr>
        <w:pStyle w:val="TOC3"/>
        <w:rPr>
          <w:rFonts w:eastAsiaTheme="minorEastAsia"/>
          <w:noProof/>
          <w:sz w:val="24"/>
          <w:szCs w:val="24"/>
          <w:lang w:val="en-US" w:eastAsia="zh-CN"/>
        </w:rPr>
      </w:pPr>
      <w:hyperlink w:anchor="_Toc242882959" w:history="1">
        <w:r w:rsidRPr="00F16F96">
          <w:rPr>
            <w:rStyle w:val="Hyperlink"/>
            <w:noProof/>
            <w:lang w:val="es-ES"/>
          </w:rPr>
          <w:t>Finalidad del informe mundial</w:t>
        </w:r>
        <w:r>
          <w:rPr>
            <w:noProof/>
            <w:webHidden/>
          </w:rPr>
          <w:tab/>
        </w:r>
        <w:r>
          <w:rPr>
            <w:noProof/>
            <w:webHidden/>
          </w:rPr>
          <w:fldChar w:fldCharType="begin"/>
        </w:r>
        <w:r>
          <w:rPr>
            <w:noProof/>
            <w:webHidden/>
          </w:rPr>
          <w:instrText xml:space="preserve"> PAGEREF _Toc242882959 \h </w:instrText>
        </w:r>
        <w:r>
          <w:rPr>
            <w:noProof/>
            <w:webHidden/>
          </w:rPr>
        </w:r>
        <w:r>
          <w:rPr>
            <w:noProof/>
            <w:webHidden/>
          </w:rPr>
          <w:fldChar w:fldCharType="separate"/>
        </w:r>
        <w:r>
          <w:rPr>
            <w:noProof/>
            <w:webHidden/>
          </w:rPr>
          <w:t>22</w:t>
        </w:r>
        <w:r>
          <w:rPr>
            <w:noProof/>
            <w:webHidden/>
          </w:rPr>
          <w:fldChar w:fldCharType="end"/>
        </w:r>
      </w:hyperlink>
    </w:p>
    <w:p w14:paraId="51396BB1" w14:textId="72BDB6B7" w:rsidR="00942359" w:rsidRDefault="00942359">
      <w:pPr>
        <w:pStyle w:val="TOC3"/>
        <w:rPr>
          <w:rFonts w:eastAsiaTheme="minorEastAsia"/>
          <w:noProof/>
          <w:sz w:val="24"/>
          <w:szCs w:val="24"/>
          <w:lang w:val="en-US" w:eastAsia="zh-CN"/>
        </w:rPr>
      </w:pPr>
      <w:hyperlink w:anchor="_Toc242882960" w:history="1">
        <w:r w:rsidRPr="00F16F96">
          <w:rPr>
            <w:rStyle w:val="Hyperlink"/>
            <w:noProof/>
            <w:lang w:val="es-ES"/>
          </w:rPr>
          <w:t>Fuentes y metodología del informe mundial</w:t>
        </w:r>
        <w:r>
          <w:rPr>
            <w:noProof/>
            <w:webHidden/>
          </w:rPr>
          <w:tab/>
        </w:r>
        <w:r>
          <w:rPr>
            <w:noProof/>
            <w:webHidden/>
          </w:rPr>
          <w:fldChar w:fldCharType="begin"/>
        </w:r>
        <w:r>
          <w:rPr>
            <w:noProof/>
            <w:webHidden/>
          </w:rPr>
          <w:instrText xml:space="preserve"> PAGEREF _Toc242882960 \h </w:instrText>
        </w:r>
        <w:r>
          <w:rPr>
            <w:noProof/>
            <w:webHidden/>
          </w:rPr>
        </w:r>
        <w:r>
          <w:rPr>
            <w:noProof/>
            <w:webHidden/>
          </w:rPr>
          <w:fldChar w:fldCharType="separate"/>
        </w:r>
        <w:r>
          <w:rPr>
            <w:noProof/>
            <w:webHidden/>
          </w:rPr>
          <w:t>26</w:t>
        </w:r>
        <w:r>
          <w:rPr>
            <w:noProof/>
            <w:webHidden/>
          </w:rPr>
          <w:fldChar w:fldCharType="end"/>
        </w:r>
      </w:hyperlink>
    </w:p>
    <w:p w14:paraId="22E55159" w14:textId="66AF2A15" w:rsidR="00942359" w:rsidRDefault="00942359">
      <w:pPr>
        <w:pStyle w:val="TOC3"/>
        <w:rPr>
          <w:rFonts w:eastAsiaTheme="minorEastAsia"/>
          <w:noProof/>
          <w:sz w:val="24"/>
          <w:szCs w:val="24"/>
          <w:lang w:val="en-US" w:eastAsia="zh-CN"/>
        </w:rPr>
      </w:pPr>
      <w:hyperlink w:anchor="_Toc242882961" w:history="1">
        <w:r w:rsidRPr="00F16F96">
          <w:rPr>
            <w:rStyle w:val="Hyperlink"/>
            <w:noProof/>
            <w:lang w:val="es-ES"/>
          </w:rPr>
          <w:t>Limitaciones y supuestos metodológicos</w:t>
        </w:r>
        <w:r>
          <w:rPr>
            <w:noProof/>
            <w:webHidden/>
          </w:rPr>
          <w:tab/>
        </w:r>
        <w:r>
          <w:rPr>
            <w:noProof/>
            <w:webHidden/>
          </w:rPr>
          <w:fldChar w:fldCharType="begin"/>
        </w:r>
        <w:r>
          <w:rPr>
            <w:noProof/>
            <w:webHidden/>
          </w:rPr>
          <w:instrText xml:space="preserve"> PAGEREF _Toc242882961 \h </w:instrText>
        </w:r>
        <w:r>
          <w:rPr>
            <w:noProof/>
            <w:webHidden/>
          </w:rPr>
        </w:r>
        <w:r>
          <w:rPr>
            <w:noProof/>
            <w:webHidden/>
          </w:rPr>
          <w:fldChar w:fldCharType="separate"/>
        </w:r>
        <w:r>
          <w:rPr>
            <w:noProof/>
            <w:webHidden/>
          </w:rPr>
          <w:t>37</w:t>
        </w:r>
        <w:r>
          <w:rPr>
            <w:noProof/>
            <w:webHidden/>
          </w:rPr>
          <w:fldChar w:fldCharType="end"/>
        </w:r>
      </w:hyperlink>
    </w:p>
    <w:p w14:paraId="526E9A53" w14:textId="1CC1ABAD" w:rsidR="00942359" w:rsidRDefault="00942359">
      <w:pPr>
        <w:pStyle w:val="TOC2"/>
        <w:tabs>
          <w:tab w:val="right" w:leader="dot" w:pos="9350"/>
        </w:tabs>
        <w:rPr>
          <w:rFonts w:eastAsiaTheme="minorEastAsia"/>
          <w:b w:val="0"/>
          <w:bCs w:val="0"/>
          <w:noProof/>
          <w:sz w:val="24"/>
          <w:szCs w:val="24"/>
          <w:lang w:val="en-US" w:eastAsia="zh-CN"/>
        </w:rPr>
      </w:pPr>
      <w:hyperlink w:anchor="_Toc242882962" w:history="1">
        <w:r w:rsidRPr="00F16F96">
          <w:rPr>
            <w:rStyle w:val="Hyperlink"/>
            <w:noProof/>
            <w:lang w:val="es-ES"/>
          </w:rPr>
          <w:t>I.B Estado y tendencias mundiales</w:t>
        </w:r>
        <w:r>
          <w:rPr>
            <w:noProof/>
            <w:webHidden/>
          </w:rPr>
          <w:tab/>
        </w:r>
        <w:r>
          <w:rPr>
            <w:noProof/>
            <w:webHidden/>
          </w:rPr>
          <w:fldChar w:fldCharType="begin"/>
        </w:r>
        <w:r>
          <w:rPr>
            <w:noProof/>
            <w:webHidden/>
          </w:rPr>
          <w:instrText xml:space="preserve"> PAGEREF _Toc242882962 \h </w:instrText>
        </w:r>
        <w:r>
          <w:rPr>
            <w:noProof/>
            <w:webHidden/>
          </w:rPr>
        </w:r>
        <w:r>
          <w:rPr>
            <w:noProof/>
            <w:webHidden/>
          </w:rPr>
          <w:fldChar w:fldCharType="separate"/>
        </w:r>
        <w:r>
          <w:rPr>
            <w:noProof/>
            <w:webHidden/>
          </w:rPr>
          <w:t>42</w:t>
        </w:r>
        <w:r>
          <w:rPr>
            <w:noProof/>
            <w:webHidden/>
          </w:rPr>
          <w:fldChar w:fldCharType="end"/>
        </w:r>
      </w:hyperlink>
    </w:p>
    <w:p w14:paraId="78233791" w14:textId="5829E515" w:rsidR="00942359" w:rsidRDefault="00942359">
      <w:pPr>
        <w:pStyle w:val="TOC1"/>
        <w:tabs>
          <w:tab w:val="right" w:leader="dot" w:pos="9350"/>
        </w:tabs>
        <w:rPr>
          <w:rFonts w:eastAsiaTheme="minorEastAsia"/>
          <w:b w:val="0"/>
          <w:bCs w:val="0"/>
          <w:i w:val="0"/>
          <w:iCs w:val="0"/>
          <w:noProof/>
          <w:lang w:val="en-US" w:eastAsia="zh-CN"/>
        </w:rPr>
      </w:pPr>
      <w:hyperlink w:anchor="_Toc242882963" w:history="1">
        <w:r w:rsidRPr="00F16F96">
          <w:rPr>
            <w:rStyle w:val="Hyperlink"/>
            <w:noProof/>
            <w:lang w:val="es-ES"/>
          </w:rPr>
          <w:t>Parte II: Progresos colectivos en la implementación del Marco Mundial de Biodiversidad de Kunming-Montreal</w:t>
        </w:r>
        <w:r>
          <w:rPr>
            <w:noProof/>
            <w:webHidden/>
          </w:rPr>
          <w:tab/>
        </w:r>
        <w:r>
          <w:rPr>
            <w:noProof/>
            <w:webHidden/>
          </w:rPr>
          <w:fldChar w:fldCharType="begin"/>
        </w:r>
        <w:r>
          <w:rPr>
            <w:noProof/>
            <w:webHidden/>
          </w:rPr>
          <w:instrText xml:space="preserve"> PAGEREF _Toc242882963 \h </w:instrText>
        </w:r>
        <w:r>
          <w:rPr>
            <w:noProof/>
            <w:webHidden/>
          </w:rPr>
        </w:r>
        <w:r>
          <w:rPr>
            <w:noProof/>
            <w:webHidden/>
          </w:rPr>
          <w:fldChar w:fldCharType="separate"/>
        </w:r>
        <w:r>
          <w:rPr>
            <w:noProof/>
            <w:webHidden/>
          </w:rPr>
          <w:t>48</w:t>
        </w:r>
        <w:r>
          <w:rPr>
            <w:noProof/>
            <w:webHidden/>
          </w:rPr>
          <w:fldChar w:fldCharType="end"/>
        </w:r>
      </w:hyperlink>
    </w:p>
    <w:p w14:paraId="7A17B893" w14:textId="52E92FD1" w:rsidR="00942359" w:rsidRDefault="00942359">
      <w:pPr>
        <w:pStyle w:val="TOC2"/>
        <w:tabs>
          <w:tab w:val="right" w:leader="dot" w:pos="9350"/>
        </w:tabs>
        <w:rPr>
          <w:rFonts w:eastAsiaTheme="minorEastAsia"/>
          <w:b w:val="0"/>
          <w:bCs w:val="0"/>
          <w:noProof/>
          <w:sz w:val="24"/>
          <w:szCs w:val="24"/>
          <w:lang w:val="en-US" w:eastAsia="zh-CN"/>
        </w:rPr>
      </w:pPr>
      <w:hyperlink w:anchor="_Toc242882964" w:history="1">
        <w:r w:rsidRPr="00F16F96">
          <w:rPr>
            <w:rStyle w:val="Hyperlink"/>
            <w:noProof/>
            <w:lang w:val="es-ES"/>
          </w:rPr>
          <w:t>II.A Resumen del estado de la presentación de las estrategias y planes de acción nacionales en materia de biodiversidad, metas nacionales e informes nacionales, y de las presentaciones de actores distintos de los Gobiernos nacionales.</w:t>
        </w:r>
        <w:r>
          <w:rPr>
            <w:noProof/>
            <w:webHidden/>
          </w:rPr>
          <w:tab/>
        </w:r>
        <w:r>
          <w:rPr>
            <w:noProof/>
            <w:webHidden/>
          </w:rPr>
          <w:fldChar w:fldCharType="begin"/>
        </w:r>
        <w:r>
          <w:rPr>
            <w:noProof/>
            <w:webHidden/>
          </w:rPr>
          <w:instrText xml:space="preserve"> PAGEREF _Toc242882964 \h </w:instrText>
        </w:r>
        <w:r>
          <w:rPr>
            <w:noProof/>
            <w:webHidden/>
          </w:rPr>
        </w:r>
        <w:r>
          <w:rPr>
            <w:noProof/>
            <w:webHidden/>
          </w:rPr>
          <w:fldChar w:fldCharType="separate"/>
        </w:r>
        <w:r>
          <w:rPr>
            <w:noProof/>
            <w:webHidden/>
          </w:rPr>
          <w:t>48</w:t>
        </w:r>
        <w:r>
          <w:rPr>
            <w:noProof/>
            <w:webHidden/>
          </w:rPr>
          <w:fldChar w:fldCharType="end"/>
        </w:r>
      </w:hyperlink>
    </w:p>
    <w:p w14:paraId="7B10C5D3" w14:textId="59528308" w:rsidR="00942359" w:rsidRDefault="00942359">
      <w:pPr>
        <w:pStyle w:val="TOC3"/>
        <w:rPr>
          <w:rFonts w:eastAsiaTheme="minorEastAsia"/>
          <w:noProof/>
          <w:sz w:val="24"/>
          <w:szCs w:val="24"/>
          <w:lang w:val="en-US" w:eastAsia="zh-CN"/>
        </w:rPr>
      </w:pPr>
      <w:hyperlink w:anchor="_Toc242882965" w:history="1">
        <w:r w:rsidRPr="00F16F96">
          <w:rPr>
            <w:rStyle w:val="Hyperlink"/>
            <w:noProof/>
            <w:lang w:val="es-ES"/>
          </w:rPr>
          <w:t>Panorama general de la presentación de las estrategias y planes de acción nacionales en materia de biodiversidad, metas nacionales e informes nacionales</w:t>
        </w:r>
        <w:r>
          <w:rPr>
            <w:noProof/>
            <w:webHidden/>
          </w:rPr>
          <w:tab/>
        </w:r>
        <w:r>
          <w:rPr>
            <w:noProof/>
            <w:webHidden/>
          </w:rPr>
          <w:fldChar w:fldCharType="begin"/>
        </w:r>
        <w:r>
          <w:rPr>
            <w:noProof/>
            <w:webHidden/>
          </w:rPr>
          <w:instrText xml:space="preserve"> PAGEREF _Toc242882965 \h </w:instrText>
        </w:r>
        <w:r>
          <w:rPr>
            <w:noProof/>
            <w:webHidden/>
          </w:rPr>
        </w:r>
        <w:r>
          <w:rPr>
            <w:noProof/>
            <w:webHidden/>
          </w:rPr>
          <w:fldChar w:fldCharType="separate"/>
        </w:r>
        <w:r>
          <w:rPr>
            <w:noProof/>
            <w:webHidden/>
          </w:rPr>
          <w:t>48</w:t>
        </w:r>
        <w:r>
          <w:rPr>
            <w:noProof/>
            <w:webHidden/>
          </w:rPr>
          <w:fldChar w:fldCharType="end"/>
        </w:r>
      </w:hyperlink>
    </w:p>
    <w:p w14:paraId="4D823B8B" w14:textId="4F0A225E" w:rsidR="00942359" w:rsidRDefault="00942359">
      <w:pPr>
        <w:pStyle w:val="TOC3"/>
        <w:rPr>
          <w:rFonts w:eastAsiaTheme="minorEastAsia"/>
          <w:noProof/>
          <w:sz w:val="24"/>
          <w:szCs w:val="24"/>
          <w:lang w:val="en-US" w:eastAsia="zh-CN"/>
        </w:rPr>
      </w:pPr>
      <w:hyperlink w:anchor="_Toc242882966" w:history="1">
        <w:r w:rsidRPr="00F16F96">
          <w:rPr>
            <w:rStyle w:val="Hyperlink"/>
            <w:noProof/>
            <w:lang w:val="es-ES"/>
          </w:rPr>
          <w:t>Apoyo prestado a las Partes con respecto a las estrategias y planes de acción nacionales en materia de biodiversidad, la elaboración de metas nacionales y la presentación de informes nacionales</w:t>
        </w:r>
        <w:r>
          <w:rPr>
            <w:noProof/>
            <w:webHidden/>
          </w:rPr>
          <w:tab/>
        </w:r>
        <w:r>
          <w:rPr>
            <w:noProof/>
            <w:webHidden/>
          </w:rPr>
          <w:fldChar w:fldCharType="begin"/>
        </w:r>
        <w:r>
          <w:rPr>
            <w:noProof/>
            <w:webHidden/>
          </w:rPr>
          <w:instrText xml:space="preserve"> PAGEREF _Toc242882966 \h </w:instrText>
        </w:r>
        <w:r>
          <w:rPr>
            <w:noProof/>
            <w:webHidden/>
          </w:rPr>
        </w:r>
        <w:r>
          <w:rPr>
            <w:noProof/>
            <w:webHidden/>
          </w:rPr>
          <w:fldChar w:fldCharType="separate"/>
        </w:r>
        <w:r>
          <w:rPr>
            <w:noProof/>
            <w:webHidden/>
          </w:rPr>
          <w:t>50</w:t>
        </w:r>
        <w:r>
          <w:rPr>
            <w:noProof/>
            <w:webHidden/>
          </w:rPr>
          <w:fldChar w:fldCharType="end"/>
        </w:r>
      </w:hyperlink>
    </w:p>
    <w:p w14:paraId="18332222" w14:textId="5D056F40" w:rsidR="00942359" w:rsidRDefault="00942359">
      <w:pPr>
        <w:pStyle w:val="TOC3"/>
        <w:rPr>
          <w:rFonts w:eastAsiaTheme="minorEastAsia"/>
          <w:noProof/>
          <w:sz w:val="24"/>
          <w:szCs w:val="24"/>
          <w:lang w:val="en-US" w:eastAsia="zh-CN"/>
        </w:rPr>
      </w:pPr>
      <w:hyperlink w:anchor="_Toc242882967" w:history="1">
        <w:r w:rsidRPr="00F16F96">
          <w:rPr>
            <w:rStyle w:val="Hyperlink"/>
            <w:noProof/>
            <w:lang w:val="es-ES"/>
          </w:rPr>
          <w:t>Relación entre las estrategias y planes de acción nacionales en materia de biodiversidad, las metas nacionales y los informes nacionales</w:t>
        </w:r>
        <w:r>
          <w:rPr>
            <w:noProof/>
            <w:webHidden/>
          </w:rPr>
          <w:tab/>
        </w:r>
        <w:r>
          <w:rPr>
            <w:noProof/>
            <w:webHidden/>
          </w:rPr>
          <w:fldChar w:fldCharType="begin"/>
        </w:r>
        <w:r>
          <w:rPr>
            <w:noProof/>
            <w:webHidden/>
          </w:rPr>
          <w:instrText xml:space="preserve"> PAGEREF _Toc242882967 \h </w:instrText>
        </w:r>
        <w:r>
          <w:rPr>
            <w:noProof/>
            <w:webHidden/>
          </w:rPr>
        </w:r>
        <w:r>
          <w:rPr>
            <w:noProof/>
            <w:webHidden/>
          </w:rPr>
          <w:fldChar w:fldCharType="separate"/>
        </w:r>
        <w:r>
          <w:rPr>
            <w:noProof/>
            <w:webHidden/>
          </w:rPr>
          <w:t>51</w:t>
        </w:r>
        <w:r>
          <w:rPr>
            <w:noProof/>
            <w:webHidden/>
          </w:rPr>
          <w:fldChar w:fldCharType="end"/>
        </w:r>
      </w:hyperlink>
    </w:p>
    <w:p w14:paraId="7CB135A2" w14:textId="279E50B7" w:rsidR="00942359" w:rsidRDefault="00942359">
      <w:pPr>
        <w:pStyle w:val="TOC3"/>
        <w:rPr>
          <w:rFonts w:eastAsiaTheme="minorEastAsia"/>
          <w:noProof/>
          <w:sz w:val="24"/>
          <w:szCs w:val="24"/>
          <w:lang w:val="en-US" w:eastAsia="zh-CN"/>
        </w:rPr>
      </w:pPr>
      <w:hyperlink w:anchor="_Toc242882968" w:history="1">
        <w:r w:rsidRPr="00F16F96">
          <w:rPr>
            <w:rStyle w:val="Hyperlink"/>
            <w:noProof/>
            <w:lang w:val="es-ES"/>
          </w:rPr>
          <w:t>Panorama general de las estrategias y planes de acción nacionales en materia de biodiversidad</w:t>
        </w:r>
        <w:r>
          <w:rPr>
            <w:noProof/>
            <w:webHidden/>
          </w:rPr>
          <w:tab/>
        </w:r>
        <w:r>
          <w:rPr>
            <w:noProof/>
            <w:webHidden/>
          </w:rPr>
          <w:fldChar w:fldCharType="begin"/>
        </w:r>
        <w:r>
          <w:rPr>
            <w:noProof/>
            <w:webHidden/>
          </w:rPr>
          <w:instrText xml:space="preserve"> PAGEREF _Toc242882968 \h </w:instrText>
        </w:r>
        <w:r>
          <w:rPr>
            <w:noProof/>
            <w:webHidden/>
          </w:rPr>
        </w:r>
        <w:r>
          <w:rPr>
            <w:noProof/>
            <w:webHidden/>
          </w:rPr>
          <w:fldChar w:fldCharType="separate"/>
        </w:r>
        <w:r>
          <w:rPr>
            <w:noProof/>
            <w:webHidden/>
          </w:rPr>
          <w:t>52</w:t>
        </w:r>
        <w:r>
          <w:rPr>
            <w:noProof/>
            <w:webHidden/>
          </w:rPr>
          <w:fldChar w:fldCharType="end"/>
        </w:r>
      </w:hyperlink>
    </w:p>
    <w:p w14:paraId="35638C67" w14:textId="1BA445B1" w:rsidR="00942359" w:rsidRDefault="00942359">
      <w:pPr>
        <w:pStyle w:val="TOC3"/>
        <w:rPr>
          <w:rFonts w:eastAsiaTheme="minorEastAsia"/>
          <w:noProof/>
          <w:sz w:val="24"/>
          <w:szCs w:val="24"/>
          <w:lang w:val="en-US" w:eastAsia="zh-CN"/>
        </w:rPr>
      </w:pPr>
      <w:hyperlink w:anchor="_Toc242882969" w:history="1">
        <w:r w:rsidRPr="00F16F96">
          <w:rPr>
            <w:rStyle w:val="Hyperlink"/>
            <w:noProof/>
            <w:lang w:val="es-ES"/>
          </w:rPr>
          <w:t>Compromisos de actores distintos de los Gobiernos nacionales</w:t>
        </w:r>
        <w:r>
          <w:rPr>
            <w:noProof/>
            <w:webHidden/>
          </w:rPr>
          <w:tab/>
        </w:r>
        <w:r>
          <w:rPr>
            <w:noProof/>
            <w:webHidden/>
          </w:rPr>
          <w:fldChar w:fldCharType="begin"/>
        </w:r>
        <w:r>
          <w:rPr>
            <w:noProof/>
            <w:webHidden/>
          </w:rPr>
          <w:instrText xml:space="preserve"> PAGEREF _Toc242882969 \h </w:instrText>
        </w:r>
        <w:r>
          <w:rPr>
            <w:noProof/>
            <w:webHidden/>
          </w:rPr>
        </w:r>
        <w:r>
          <w:rPr>
            <w:noProof/>
            <w:webHidden/>
          </w:rPr>
          <w:fldChar w:fldCharType="separate"/>
        </w:r>
        <w:r>
          <w:rPr>
            <w:noProof/>
            <w:webHidden/>
          </w:rPr>
          <w:t>56</w:t>
        </w:r>
        <w:r>
          <w:rPr>
            <w:noProof/>
            <w:webHidden/>
          </w:rPr>
          <w:fldChar w:fldCharType="end"/>
        </w:r>
      </w:hyperlink>
    </w:p>
    <w:p w14:paraId="470E0B55" w14:textId="44F8D5DB" w:rsidR="00942359" w:rsidRDefault="00942359">
      <w:pPr>
        <w:pStyle w:val="TOC2"/>
        <w:tabs>
          <w:tab w:val="right" w:leader="dot" w:pos="9350"/>
        </w:tabs>
        <w:rPr>
          <w:rFonts w:eastAsiaTheme="minorEastAsia"/>
          <w:b w:val="0"/>
          <w:bCs w:val="0"/>
          <w:noProof/>
          <w:sz w:val="24"/>
          <w:szCs w:val="24"/>
          <w:lang w:val="en-US" w:eastAsia="zh-CN"/>
        </w:rPr>
      </w:pPr>
      <w:hyperlink w:anchor="_Toc242882970" w:history="1">
        <w:r w:rsidRPr="00F16F96">
          <w:rPr>
            <w:rStyle w:val="Hyperlink"/>
            <w:noProof/>
            <w:lang w:val="es-ES"/>
          </w:rPr>
          <w:t>II.B Progresos colectivos en la consecución de las metas</w:t>
        </w:r>
        <w:r>
          <w:rPr>
            <w:noProof/>
            <w:webHidden/>
          </w:rPr>
          <w:tab/>
        </w:r>
        <w:r>
          <w:rPr>
            <w:noProof/>
            <w:webHidden/>
          </w:rPr>
          <w:fldChar w:fldCharType="begin"/>
        </w:r>
        <w:r>
          <w:rPr>
            <w:noProof/>
            <w:webHidden/>
          </w:rPr>
          <w:instrText xml:space="preserve"> PAGEREF _Toc242882970 \h </w:instrText>
        </w:r>
        <w:r>
          <w:rPr>
            <w:noProof/>
            <w:webHidden/>
          </w:rPr>
        </w:r>
        <w:r>
          <w:rPr>
            <w:noProof/>
            <w:webHidden/>
          </w:rPr>
          <w:fldChar w:fldCharType="separate"/>
        </w:r>
        <w:r>
          <w:rPr>
            <w:noProof/>
            <w:webHidden/>
          </w:rPr>
          <w:t>58</w:t>
        </w:r>
        <w:r>
          <w:rPr>
            <w:noProof/>
            <w:webHidden/>
          </w:rPr>
          <w:fldChar w:fldCharType="end"/>
        </w:r>
      </w:hyperlink>
    </w:p>
    <w:p w14:paraId="00D59366" w14:textId="09DDB4EB" w:rsidR="00942359" w:rsidRDefault="00942359">
      <w:pPr>
        <w:pStyle w:val="TOC3"/>
        <w:rPr>
          <w:rFonts w:eastAsiaTheme="minorEastAsia"/>
          <w:noProof/>
          <w:sz w:val="24"/>
          <w:szCs w:val="24"/>
          <w:lang w:val="en-US" w:eastAsia="zh-CN"/>
        </w:rPr>
      </w:pPr>
      <w:hyperlink w:anchor="_Toc242882971" w:history="1">
        <w:r w:rsidRPr="00F16F96">
          <w:rPr>
            <w:rStyle w:val="Hyperlink"/>
            <w:noProof/>
            <w:lang w:val="es-ES"/>
          </w:rPr>
          <w:t>Introducción a los resúmenes de los progresos por meta</w:t>
        </w:r>
        <w:r>
          <w:rPr>
            <w:noProof/>
            <w:webHidden/>
          </w:rPr>
          <w:tab/>
        </w:r>
        <w:r>
          <w:rPr>
            <w:noProof/>
            <w:webHidden/>
          </w:rPr>
          <w:fldChar w:fldCharType="begin"/>
        </w:r>
        <w:r>
          <w:rPr>
            <w:noProof/>
            <w:webHidden/>
          </w:rPr>
          <w:instrText xml:space="preserve"> PAGEREF _Toc242882971 \h </w:instrText>
        </w:r>
        <w:r>
          <w:rPr>
            <w:noProof/>
            <w:webHidden/>
          </w:rPr>
        </w:r>
        <w:r>
          <w:rPr>
            <w:noProof/>
            <w:webHidden/>
          </w:rPr>
          <w:fldChar w:fldCharType="separate"/>
        </w:r>
        <w:r>
          <w:rPr>
            <w:noProof/>
            <w:webHidden/>
          </w:rPr>
          <w:t>58</w:t>
        </w:r>
        <w:r>
          <w:rPr>
            <w:noProof/>
            <w:webHidden/>
          </w:rPr>
          <w:fldChar w:fldCharType="end"/>
        </w:r>
      </w:hyperlink>
    </w:p>
    <w:p w14:paraId="1C846987" w14:textId="54108C6E" w:rsidR="00942359" w:rsidRDefault="00942359">
      <w:pPr>
        <w:pStyle w:val="TOC3"/>
        <w:rPr>
          <w:rFonts w:eastAsiaTheme="minorEastAsia"/>
          <w:noProof/>
          <w:sz w:val="24"/>
          <w:szCs w:val="24"/>
          <w:lang w:val="en-US" w:eastAsia="zh-CN"/>
        </w:rPr>
      </w:pPr>
      <w:hyperlink w:anchor="_Toc242882972" w:history="1">
        <w:r w:rsidRPr="00F16F96">
          <w:rPr>
            <w:rStyle w:val="Hyperlink"/>
            <w:noProof/>
            <w:lang w:val="es-ES"/>
          </w:rPr>
          <w:t>Reducir las amenazas a la diversidad biológica</w:t>
        </w:r>
        <w:r>
          <w:rPr>
            <w:noProof/>
            <w:webHidden/>
          </w:rPr>
          <w:tab/>
        </w:r>
        <w:r>
          <w:rPr>
            <w:noProof/>
            <w:webHidden/>
          </w:rPr>
          <w:fldChar w:fldCharType="begin"/>
        </w:r>
        <w:r>
          <w:rPr>
            <w:noProof/>
            <w:webHidden/>
          </w:rPr>
          <w:instrText xml:space="preserve"> PAGEREF _Toc242882972 \h </w:instrText>
        </w:r>
        <w:r>
          <w:rPr>
            <w:noProof/>
            <w:webHidden/>
          </w:rPr>
        </w:r>
        <w:r>
          <w:rPr>
            <w:noProof/>
            <w:webHidden/>
          </w:rPr>
          <w:fldChar w:fldCharType="separate"/>
        </w:r>
        <w:r>
          <w:rPr>
            <w:noProof/>
            <w:webHidden/>
          </w:rPr>
          <w:t>61</w:t>
        </w:r>
        <w:r>
          <w:rPr>
            <w:noProof/>
            <w:webHidden/>
          </w:rPr>
          <w:fldChar w:fldCharType="end"/>
        </w:r>
      </w:hyperlink>
    </w:p>
    <w:p w14:paraId="1ED11FBC" w14:textId="7DCB001F" w:rsidR="00942359" w:rsidRDefault="00942359">
      <w:pPr>
        <w:pStyle w:val="TOC4"/>
        <w:tabs>
          <w:tab w:val="right" w:leader="dot" w:pos="9350"/>
        </w:tabs>
        <w:rPr>
          <w:rFonts w:eastAsiaTheme="minorEastAsia"/>
          <w:noProof/>
          <w:sz w:val="24"/>
          <w:szCs w:val="24"/>
          <w:lang w:val="en-US" w:eastAsia="zh-CN"/>
        </w:rPr>
      </w:pPr>
      <w:hyperlink w:anchor="_Toc242882973" w:history="1">
        <w:r w:rsidRPr="00F16F96">
          <w:rPr>
            <w:rStyle w:val="Hyperlink"/>
            <w:b/>
            <w:bCs/>
            <w:noProof/>
            <w:lang w:val="es-ES"/>
          </w:rPr>
          <w:t>Meta 1.</w:t>
        </w:r>
        <w:r w:rsidRPr="00F16F96">
          <w:rPr>
            <w:rStyle w:val="Hyperlink"/>
            <w:noProof/>
            <w:lang w:val="es-ES"/>
          </w:rPr>
          <w:t xml:space="preserve"> Planificar y gestionar todas las zonas para reducir la pérdida de diversidad biológica</w:t>
        </w:r>
        <w:r>
          <w:rPr>
            <w:noProof/>
            <w:webHidden/>
          </w:rPr>
          <w:tab/>
        </w:r>
        <w:r>
          <w:rPr>
            <w:noProof/>
            <w:webHidden/>
          </w:rPr>
          <w:fldChar w:fldCharType="begin"/>
        </w:r>
        <w:r>
          <w:rPr>
            <w:noProof/>
            <w:webHidden/>
          </w:rPr>
          <w:instrText xml:space="preserve"> PAGEREF _Toc242882973 \h </w:instrText>
        </w:r>
        <w:r>
          <w:rPr>
            <w:noProof/>
            <w:webHidden/>
          </w:rPr>
        </w:r>
        <w:r>
          <w:rPr>
            <w:noProof/>
            <w:webHidden/>
          </w:rPr>
          <w:fldChar w:fldCharType="separate"/>
        </w:r>
        <w:r>
          <w:rPr>
            <w:noProof/>
            <w:webHidden/>
          </w:rPr>
          <w:t>61</w:t>
        </w:r>
        <w:r>
          <w:rPr>
            <w:noProof/>
            <w:webHidden/>
          </w:rPr>
          <w:fldChar w:fldCharType="end"/>
        </w:r>
      </w:hyperlink>
    </w:p>
    <w:p w14:paraId="57BB3D69" w14:textId="31A520C6" w:rsidR="00942359" w:rsidRDefault="00942359">
      <w:pPr>
        <w:pStyle w:val="TOC4"/>
        <w:tabs>
          <w:tab w:val="right" w:leader="dot" w:pos="9350"/>
        </w:tabs>
        <w:rPr>
          <w:rFonts w:eastAsiaTheme="minorEastAsia"/>
          <w:noProof/>
          <w:sz w:val="24"/>
          <w:szCs w:val="24"/>
          <w:lang w:val="en-US" w:eastAsia="zh-CN"/>
        </w:rPr>
      </w:pPr>
      <w:hyperlink w:anchor="_Toc242882974" w:history="1">
        <w:r w:rsidRPr="00F16F96">
          <w:rPr>
            <w:rStyle w:val="Hyperlink"/>
            <w:b/>
            <w:bCs/>
            <w:noProof/>
            <w:lang w:val="es-ES"/>
          </w:rPr>
          <w:t>Meta 2</w:t>
        </w:r>
        <w:r w:rsidRPr="00F16F96">
          <w:rPr>
            <w:rStyle w:val="Hyperlink"/>
            <w:noProof/>
            <w:lang w:val="es-ES"/>
          </w:rPr>
          <w:t>. Restaurar el 30 % de todos los ecosistemas degradados</w:t>
        </w:r>
        <w:r>
          <w:rPr>
            <w:noProof/>
            <w:webHidden/>
          </w:rPr>
          <w:tab/>
        </w:r>
        <w:r>
          <w:rPr>
            <w:noProof/>
            <w:webHidden/>
          </w:rPr>
          <w:fldChar w:fldCharType="begin"/>
        </w:r>
        <w:r>
          <w:rPr>
            <w:noProof/>
            <w:webHidden/>
          </w:rPr>
          <w:instrText xml:space="preserve"> PAGEREF _Toc242882974 \h </w:instrText>
        </w:r>
        <w:r>
          <w:rPr>
            <w:noProof/>
            <w:webHidden/>
          </w:rPr>
        </w:r>
        <w:r>
          <w:rPr>
            <w:noProof/>
            <w:webHidden/>
          </w:rPr>
          <w:fldChar w:fldCharType="separate"/>
        </w:r>
        <w:r>
          <w:rPr>
            <w:noProof/>
            <w:webHidden/>
          </w:rPr>
          <w:t>75</w:t>
        </w:r>
        <w:r>
          <w:rPr>
            <w:noProof/>
            <w:webHidden/>
          </w:rPr>
          <w:fldChar w:fldCharType="end"/>
        </w:r>
      </w:hyperlink>
    </w:p>
    <w:p w14:paraId="452FB9A0" w14:textId="099E6AE7" w:rsidR="00942359" w:rsidRDefault="00942359">
      <w:pPr>
        <w:pStyle w:val="TOC4"/>
        <w:tabs>
          <w:tab w:val="right" w:leader="dot" w:pos="9350"/>
        </w:tabs>
        <w:rPr>
          <w:rFonts w:eastAsiaTheme="minorEastAsia"/>
          <w:noProof/>
          <w:sz w:val="24"/>
          <w:szCs w:val="24"/>
          <w:lang w:val="en-US" w:eastAsia="zh-CN"/>
        </w:rPr>
      </w:pPr>
      <w:hyperlink w:anchor="_Toc242882975" w:history="1">
        <w:r w:rsidRPr="00F16F96">
          <w:rPr>
            <w:rStyle w:val="Hyperlink"/>
            <w:b/>
            <w:bCs/>
            <w:noProof/>
            <w:lang w:val="es-ES"/>
          </w:rPr>
          <w:t>Meta 3</w:t>
        </w:r>
        <w:r w:rsidRPr="00F16F96">
          <w:rPr>
            <w:rStyle w:val="Hyperlink"/>
            <w:noProof/>
            <w:lang w:val="es-ES"/>
          </w:rPr>
          <w:t>. Conservar y gestionar eficazmente al menos el 30 % de las zonas terrestres y de aguas continentales y el 30 % de las zonas marinas y costeras.</w:t>
        </w:r>
        <w:r>
          <w:rPr>
            <w:noProof/>
            <w:webHidden/>
          </w:rPr>
          <w:tab/>
        </w:r>
        <w:r>
          <w:rPr>
            <w:noProof/>
            <w:webHidden/>
          </w:rPr>
          <w:fldChar w:fldCharType="begin"/>
        </w:r>
        <w:r>
          <w:rPr>
            <w:noProof/>
            <w:webHidden/>
          </w:rPr>
          <w:instrText xml:space="preserve"> PAGEREF _Toc242882975 \h </w:instrText>
        </w:r>
        <w:r>
          <w:rPr>
            <w:noProof/>
            <w:webHidden/>
          </w:rPr>
        </w:r>
        <w:r>
          <w:rPr>
            <w:noProof/>
            <w:webHidden/>
          </w:rPr>
          <w:fldChar w:fldCharType="separate"/>
        </w:r>
        <w:r>
          <w:rPr>
            <w:noProof/>
            <w:webHidden/>
          </w:rPr>
          <w:t>89</w:t>
        </w:r>
        <w:r>
          <w:rPr>
            <w:noProof/>
            <w:webHidden/>
          </w:rPr>
          <w:fldChar w:fldCharType="end"/>
        </w:r>
      </w:hyperlink>
    </w:p>
    <w:p w14:paraId="52F1146D" w14:textId="17ADEA1C" w:rsidR="00942359" w:rsidRDefault="00942359">
      <w:pPr>
        <w:pStyle w:val="TOC4"/>
        <w:tabs>
          <w:tab w:val="right" w:leader="dot" w:pos="9350"/>
        </w:tabs>
        <w:rPr>
          <w:rFonts w:eastAsiaTheme="minorEastAsia"/>
          <w:noProof/>
          <w:sz w:val="24"/>
          <w:szCs w:val="24"/>
          <w:lang w:val="en-US" w:eastAsia="zh-CN"/>
        </w:rPr>
      </w:pPr>
      <w:hyperlink w:anchor="_Toc242882976" w:history="1">
        <w:r w:rsidRPr="00F16F96">
          <w:rPr>
            <w:rStyle w:val="Hyperlink"/>
            <w:b/>
            <w:bCs/>
            <w:noProof/>
            <w:lang w:val="es-ES"/>
          </w:rPr>
          <w:t>Meta 4.</w:t>
        </w:r>
        <w:r w:rsidRPr="00F16F96">
          <w:rPr>
            <w:rStyle w:val="Hyperlink"/>
            <w:noProof/>
            <w:lang w:val="es-ES"/>
          </w:rPr>
          <w:t xml:space="preserve"> Detener la extinción de especies, proteger la diversidad genética y gestionar los conflictos entre los seres humanos y las especies silvestres</w:t>
        </w:r>
        <w:r>
          <w:rPr>
            <w:noProof/>
            <w:webHidden/>
          </w:rPr>
          <w:tab/>
        </w:r>
        <w:r>
          <w:rPr>
            <w:noProof/>
            <w:webHidden/>
          </w:rPr>
          <w:fldChar w:fldCharType="begin"/>
        </w:r>
        <w:r>
          <w:rPr>
            <w:noProof/>
            <w:webHidden/>
          </w:rPr>
          <w:instrText xml:space="preserve"> PAGEREF _Toc242882976 \h </w:instrText>
        </w:r>
        <w:r>
          <w:rPr>
            <w:noProof/>
            <w:webHidden/>
          </w:rPr>
        </w:r>
        <w:r>
          <w:rPr>
            <w:noProof/>
            <w:webHidden/>
          </w:rPr>
          <w:fldChar w:fldCharType="separate"/>
        </w:r>
        <w:r>
          <w:rPr>
            <w:noProof/>
            <w:webHidden/>
          </w:rPr>
          <w:t>108</w:t>
        </w:r>
        <w:r>
          <w:rPr>
            <w:noProof/>
            <w:webHidden/>
          </w:rPr>
          <w:fldChar w:fldCharType="end"/>
        </w:r>
      </w:hyperlink>
    </w:p>
    <w:p w14:paraId="05A9899F" w14:textId="06EE8D76" w:rsidR="00942359" w:rsidRDefault="00942359">
      <w:pPr>
        <w:pStyle w:val="TOC4"/>
        <w:tabs>
          <w:tab w:val="right" w:leader="dot" w:pos="9350"/>
        </w:tabs>
        <w:rPr>
          <w:rFonts w:eastAsiaTheme="minorEastAsia"/>
          <w:noProof/>
          <w:sz w:val="24"/>
          <w:szCs w:val="24"/>
          <w:lang w:val="en-US" w:eastAsia="zh-CN"/>
        </w:rPr>
      </w:pPr>
      <w:hyperlink w:anchor="_Toc242882977" w:history="1">
        <w:r w:rsidRPr="00F16F96">
          <w:rPr>
            <w:rStyle w:val="Hyperlink"/>
            <w:b/>
            <w:bCs/>
            <w:noProof/>
            <w:lang w:val="es-ES"/>
          </w:rPr>
          <w:t>Meta 5.</w:t>
        </w:r>
        <w:r w:rsidRPr="00F16F96">
          <w:rPr>
            <w:rStyle w:val="Hyperlink"/>
            <w:noProof/>
            <w:lang w:val="es-ES"/>
          </w:rPr>
          <w:t xml:space="preserve"> Garantizar que la recolección y el comercio de especies silvestres sean sostenibles, seguros y lícitos</w:t>
        </w:r>
        <w:r>
          <w:rPr>
            <w:noProof/>
            <w:webHidden/>
          </w:rPr>
          <w:tab/>
        </w:r>
        <w:r>
          <w:rPr>
            <w:noProof/>
            <w:webHidden/>
          </w:rPr>
          <w:fldChar w:fldCharType="begin"/>
        </w:r>
        <w:r>
          <w:rPr>
            <w:noProof/>
            <w:webHidden/>
          </w:rPr>
          <w:instrText xml:space="preserve"> PAGEREF _Toc242882977 \h </w:instrText>
        </w:r>
        <w:r>
          <w:rPr>
            <w:noProof/>
            <w:webHidden/>
          </w:rPr>
        </w:r>
        <w:r>
          <w:rPr>
            <w:noProof/>
            <w:webHidden/>
          </w:rPr>
          <w:fldChar w:fldCharType="separate"/>
        </w:r>
        <w:r>
          <w:rPr>
            <w:noProof/>
            <w:webHidden/>
          </w:rPr>
          <w:t>127</w:t>
        </w:r>
        <w:r>
          <w:rPr>
            <w:noProof/>
            <w:webHidden/>
          </w:rPr>
          <w:fldChar w:fldCharType="end"/>
        </w:r>
      </w:hyperlink>
    </w:p>
    <w:p w14:paraId="54113B14" w14:textId="3AA50A2D" w:rsidR="00942359" w:rsidRDefault="00942359">
      <w:pPr>
        <w:pStyle w:val="TOC4"/>
        <w:tabs>
          <w:tab w:val="right" w:leader="dot" w:pos="9350"/>
        </w:tabs>
        <w:rPr>
          <w:rFonts w:eastAsiaTheme="minorEastAsia"/>
          <w:noProof/>
          <w:sz w:val="24"/>
          <w:szCs w:val="24"/>
          <w:lang w:val="en-US" w:eastAsia="zh-CN"/>
        </w:rPr>
      </w:pPr>
      <w:hyperlink w:anchor="_Toc242882978" w:history="1">
        <w:r w:rsidRPr="00F16F96">
          <w:rPr>
            <w:rStyle w:val="Hyperlink"/>
            <w:b/>
            <w:bCs/>
            <w:noProof/>
            <w:lang w:val="es-ES"/>
          </w:rPr>
          <w:t>Meta 6.</w:t>
        </w:r>
        <w:r w:rsidRPr="00F16F96">
          <w:rPr>
            <w:rStyle w:val="Hyperlink"/>
            <w:noProof/>
            <w:lang w:val="es-ES"/>
          </w:rPr>
          <w:t xml:space="preserve"> Reducir la introducción de especies exóticas invasoras en un 50% y minimizar sus impactos</w:t>
        </w:r>
        <w:r>
          <w:rPr>
            <w:noProof/>
            <w:webHidden/>
          </w:rPr>
          <w:tab/>
        </w:r>
        <w:r>
          <w:rPr>
            <w:noProof/>
            <w:webHidden/>
          </w:rPr>
          <w:fldChar w:fldCharType="begin"/>
        </w:r>
        <w:r>
          <w:rPr>
            <w:noProof/>
            <w:webHidden/>
          </w:rPr>
          <w:instrText xml:space="preserve"> PAGEREF _Toc242882978 \h </w:instrText>
        </w:r>
        <w:r>
          <w:rPr>
            <w:noProof/>
            <w:webHidden/>
          </w:rPr>
        </w:r>
        <w:r>
          <w:rPr>
            <w:noProof/>
            <w:webHidden/>
          </w:rPr>
          <w:fldChar w:fldCharType="separate"/>
        </w:r>
        <w:r>
          <w:rPr>
            <w:noProof/>
            <w:webHidden/>
          </w:rPr>
          <w:t>140</w:t>
        </w:r>
        <w:r>
          <w:rPr>
            <w:noProof/>
            <w:webHidden/>
          </w:rPr>
          <w:fldChar w:fldCharType="end"/>
        </w:r>
      </w:hyperlink>
    </w:p>
    <w:p w14:paraId="34144F73" w14:textId="3185AE75" w:rsidR="00942359" w:rsidRDefault="00942359">
      <w:pPr>
        <w:pStyle w:val="TOC4"/>
        <w:tabs>
          <w:tab w:val="right" w:leader="dot" w:pos="9350"/>
        </w:tabs>
        <w:rPr>
          <w:rFonts w:eastAsiaTheme="minorEastAsia"/>
          <w:noProof/>
          <w:sz w:val="24"/>
          <w:szCs w:val="24"/>
          <w:lang w:val="en-US" w:eastAsia="zh-CN"/>
        </w:rPr>
      </w:pPr>
      <w:hyperlink w:anchor="_Toc242882979" w:history="1">
        <w:r w:rsidRPr="00F16F96">
          <w:rPr>
            <w:rStyle w:val="Hyperlink"/>
            <w:b/>
            <w:bCs/>
            <w:noProof/>
            <w:lang w:val="es-ES"/>
          </w:rPr>
          <w:t>Meta 7</w:t>
        </w:r>
        <w:r w:rsidRPr="00F16F96">
          <w:rPr>
            <w:rStyle w:val="Hyperlink"/>
            <w:noProof/>
            <w:lang w:val="es-ES"/>
          </w:rPr>
          <w:t>. Reducir la contaminación a niveles que no sean perjudiciales para la biodiversidad</w:t>
        </w:r>
        <w:r>
          <w:rPr>
            <w:noProof/>
            <w:webHidden/>
          </w:rPr>
          <w:tab/>
        </w:r>
        <w:r>
          <w:rPr>
            <w:noProof/>
            <w:webHidden/>
          </w:rPr>
          <w:fldChar w:fldCharType="begin"/>
        </w:r>
        <w:r>
          <w:rPr>
            <w:noProof/>
            <w:webHidden/>
          </w:rPr>
          <w:instrText xml:space="preserve"> PAGEREF _Toc242882979 \h </w:instrText>
        </w:r>
        <w:r>
          <w:rPr>
            <w:noProof/>
            <w:webHidden/>
          </w:rPr>
        </w:r>
        <w:r>
          <w:rPr>
            <w:noProof/>
            <w:webHidden/>
          </w:rPr>
          <w:fldChar w:fldCharType="separate"/>
        </w:r>
        <w:r>
          <w:rPr>
            <w:noProof/>
            <w:webHidden/>
          </w:rPr>
          <w:t>154</w:t>
        </w:r>
        <w:r>
          <w:rPr>
            <w:noProof/>
            <w:webHidden/>
          </w:rPr>
          <w:fldChar w:fldCharType="end"/>
        </w:r>
      </w:hyperlink>
    </w:p>
    <w:p w14:paraId="0A38B8CF" w14:textId="5D5A76CB" w:rsidR="00942359" w:rsidRDefault="00942359">
      <w:pPr>
        <w:pStyle w:val="TOC4"/>
        <w:tabs>
          <w:tab w:val="right" w:leader="dot" w:pos="9350"/>
        </w:tabs>
        <w:rPr>
          <w:rFonts w:eastAsiaTheme="minorEastAsia"/>
          <w:noProof/>
          <w:sz w:val="24"/>
          <w:szCs w:val="24"/>
          <w:lang w:val="en-US" w:eastAsia="zh-CN"/>
        </w:rPr>
      </w:pPr>
      <w:hyperlink w:anchor="_Toc242882980" w:history="1">
        <w:r w:rsidRPr="00F16F96">
          <w:rPr>
            <w:rStyle w:val="Hyperlink"/>
            <w:b/>
            <w:bCs/>
            <w:noProof/>
            <w:lang w:val="es-ES"/>
          </w:rPr>
          <w:t xml:space="preserve">Meta 8. </w:t>
        </w:r>
        <w:r w:rsidRPr="00F16F96">
          <w:rPr>
            <w:rStyle w:val="Hyperlink"/>
            <w:noProof/>
            <w:lang w:val="es-ES"/>
          </w:rPr>
          <w:t>Minimizar el impacto del cambio climático en la biodiversidad y aumentar su resiliencia</w:t>
        </w:r>
        <w:r>
          <w:rPr>
            <w:noProof/>
            <w:webHidden/>
          </w:rPr>
          <w:tab/>
        </w:r>
        <w:r>
          <w:rPr>
            <w:noProof/>
            <w:webHidden/>
          </w:rPr>
          <w:fldChar w:fldCharType="begin"/>
        </w:r>
        <w:r>
          <w:rPr>
            <w:noProof/>
            <w:webHidden/>
          </w:rPr>
          <w:instrText xml:space="preserve"> PAGEREF _Toc242882980 \h </w:instrText>
        </w:r>
        <w:r>
          <w:rPr>
            <w:noProof/>
            <w:webHidden/>
          </w:rPr>
        </w:r>
        <w:r>
          <w:rPr>
            <w:noProof/>
            <w:webHidden/>
          </w:rPr>
          <w:fldChar w:fldCharType="separate"/>
        </w:r>
        <w:r>
          <w:rPr>
            <w:noProof/>
            <w:webHidden/>
          </w:rPr>
          <w:t>167</w:t>
        </w:r>
        <w:r>
          <w:rPr>
            <w:noProof/>
            <w:webHidden/>
          </w:rPr>
          <w:fldChar w:fldCharType="end"/>
        </w:r>
      </w:hyperlink>
    </w:p>
    <w:p w14:paraId="3D16A25C" w14:textId="08D5D9C9" w:rsidR="00942359" w:rsidRDefault="00942359">
      <w:pPr>
        <w:pStyle w:val="TOC3"/>
        <w:rPr>
          <w:rFonts w:eastAsiaTheme="minorEastAsia"/>
          <w:noProof/>
          <w:sz w:val="24"/>
          <w:szCs w:val="24"/>
          <w:lang w:val="en-US" w:eastAsia="zh-CN"/>
        </w:rPr>
      </w:pPr>
      <w:hyperlink w:anchor="_Toc242882981" w:history="1">
        <w:r w:rsidRPr="00F16F96">
          <w:rPr>
            <w:rStyle w:val="Hyperlink"/>
            <w:noProof/>
            <w:lang w:val="es-ES"/>
          </w:rPr>
          <w:t>Satisfacer las necesidades de las personas mediante la utilización sostenible y la participación en los beneficios</w:t>
        </w:r>
        <w:r>
          <w:rPr>
            <w:noProof/>
            <w:webHidden/>
          </w:rPr>
          <w:tab/>
        </w:r>
        <w:r>
          <w:rPr>
            <w:noProof/>
            <w:webHidden/>
          </w:rPr>
          <w:fldChar w:fldCharType="begin"/>
        </w:r>
        <w:r>
          <w:rPr>
            <w:noProof/>
            <w:webHidden/>
          </w:rPr>
          <w:instrText xml:space="preserve"> PAGEREF _Toc242882981 \h </w:instrText>
        </w:r>
        <w:r>
          <w:rPr>
            <w:noProof/>
            <w:webHidden/>
          </w:rPr>
        </w:r>
        <w:r>
          <w:rPr>
            <w:noProof/>
            <w:webHidden/>
          </w:rPr>
          <w:fldChar w:fldCharType="separate"/>
        </w:r>
        <w:r>
          <w:rPr>
            <w:noProof/>
            <w:webHidden/>
          </w:rPr>
          <w:t>178</w:t>
        </w:r>
        <w:r>
          <w:rPr>
            <w:noProof/>
            <w:webHidden/>
          </w:rPr>
          <w:fldChar w:fldCharType="end"/>
        </w:r>
      </w:hyperlink>
    </w:p>
    <w:p w14:paraId="285F7000" w14:textId="0AC31E29" w:rsidR="00942359" w:rsidRDefault="00942359">
      <w:pPr>
        <w:pStyle w:val="TOC4"/>
        <w:tabs>
          <w:tab w:val="right" w:leader="dot" w:pos="9350"/>
        </w:tabs>
        <w:rPr>
          <w:rFonts w:eastAsiaTheme="minorEastAsia"/>
          <w:noProof/>
          <w:sz w:val="24"/>
          <w:szCs w:val="24"/>
          <w:lang w:val="en-US" w:eastAsia="zh-CN"/>
        </w:rPr>
      </w:pPr>
      <w:hyperlink w:anchor="_Toc242882982" w:history="1">
        <w:r w:rsidRPr="00F16F96">
          <w:rPr>
            <w:rStyle w:val="Hyperlink"/>
            <w:rFonts w:eastAsiaTheme="majorEastAsia" w:cstheme="majorBidi"/>
            <w:b/>
            <w:iCs/>
            <w:noProof/>
            <w:lang w:val="es-ES"/>
          </w:rPr>
          <w:t>Meta 9.</w:t>
        </w:r>
        <w:r w:rsidRPr="00F16F96">
          <w:rPr>
            <w:rStyle w:val="Hyperlink"/>
            <w:rFonts w:eastAsiaTheme="majorEastAsia" w:cstheme="majorBidi"/>
            <w:iCs/>
            <w:noProof/>
            <w:lang w:val="es-ES"/>
          </w:rPr>
          <w:t xml:space="preserve"> Gestionar las especies silvestres de manera sostenible para beneficio de las personas</w:t>
        </w:r>
        <w:r>
          <w:rPr>
            <w:noProof/>
            <w:webHidden/>
          </w:rPr>
          <w:tab/>
        </w:r>
        <w:r>
          <w:rPr>
            <w:noProof/>
            <w:webHidden/>
          </w:rPr>
          <w:fldChar w:fldCharType="begin"/>
        </w:r>
        <w:r>
          <w:rPr>
            <w:noProof/>
            <w:webHidden/>
          </w:rPr>
          <w:instrText xml:space="preserve"> PAGEREF _Toc242882982 \h </w:instrText>
        </w:r>
        <w:r>
          <w:rPr>
            <w:noProof/>
            <w:webHidden/>
          </w:rPr>
        </w:r>
        <w:r>
          <w:rPr>
            <w:noProof/>
            <w:webHidden/>
          </w:rPr>
          <w:fldChar w:fldCharType="separate"/>
        </w:r>
        <w:r>
          <w:rPr>
            <w:noProof/>
            <w:webHidden/>
          </w:rPr>
          <w:t>178</w:t>
        </w:r>
        <w:r>
          <w:rPr>
            <w:noProof/>
            <w:webHidden/>
          </w:rPr>
          <w:fldChar w:fldCharType="end"/>
        </w:r>
      </w:hyperlink>
    </w:p>
    <w:p w14:paraId="70587BE6" w14:textId="1F9B5157" w:rsidR="00942359" w:rsidRDefault="00942359">
      <w:pPr>
        <w:pStyle w:val="TOC4"/>
        <w:tabs>
          <w:tab w:val="right" w:leader="dot" w:pos="9350"/>
        </w:tabs>
        <w:rPr>
          <w:rFonts w:eastAsiaTheme="minorEastAsia"/>
          <w:noProof/>
          <w:sz w:val="24"/>
          <w:szCs w:val="24"/>
          <w:lang w:val="en-US" w:eastAsia="zh-CN"/>
        </w:rPr>
      </w:pPr>
      <w:hyperlink w:anchor="_Toc242882983" w:history="1">
        <w:r w:rsidRPr="00F16F96">
          <w:rPr>
            <w:rStyle w:val="Hyperlink"/>
            <w:rFonts w:eastAsiaTheme="majorEastAsia" w:cstheme="majorBidi"/>
            <w:b/>
            <w:iCs/>
            <w:noProof/>
            <w:lang w:val="es-ES"/>
          </w:rPr>
          <w:t>Meta 10.</w:t>
        </w:r>
        <w:r w:rsidRPr="00F16F96">
          <w:rPr>
            <w:rStyle w:val="Hyperlink"/>
            <w:rFonts w:eastAsiaTheme="majorEastAsia" w:cstheme="majorBidi"/>
            <w:iCs/>
            <w:noProof/>
            <w:lang w:val="es-ES"/>
          </w:rPr>
          <w:t xml:space="preserve"> Mejorar la biodiversidad y la sostenibilidad en la agricultura, la acuicultura, la pesca y la silvicultura</w:t>
        </w:r>
        <w:r>
          <w:rPr>
            <w:noProof/>
            <w:webHidden/>
          </w:rPr>
          <w:tab/>
        </w:r>
        <w:r>
          <w:rPr>
            <w:noProof/>
            <w:webHidden/>
          </w:rPr>
          <w:fldChar w:fldCharType="begin"/>
        </w:r>
        <w:r>
          <w:rPr>
            <w:noProof/>
            <w:webHidden/>
          </w:rPr>
          <w:instrText xml:space="preserve"> PAGEREF _Toc242882983 \h </w:instrText>
        </w:r>
        <w:r>
          <w:rPr>
            <w:noProof/>
            <w:webHidden/>
          </w:rPr>
        </w:r>
        <w:r>
          <w:rPr>
            <w:noProof/>
            <w:webHidden/>
          </w:rPr>
          <w:fldChar w:fldCharType="separate"/>
        </w:r>
        <w:r>
          <w:rPr>
            <w:noProof/>
            <w:webHidden/>
          </w:rPr>
          <w:t>189</w:t>
        </w:r>
        <w:r>
          <w:rPr>
            <w:noProof/>
            <w:webHidden/>
          </w:rPr>
          <w:fldChar w:fldCharType="end"/>
        </w:r>
      </w:hyperlink>
    </w:p>
    <w:p w14:paraId="0D9626D6" w14:textId="33CF0FEB" w:rsidR="00942359" w:rsidRDefault="00942359">
      <w:pPr>
        <w:pStyle w:val="TOC4"/>
        <w:tabs>
          <w:tab w:val="right" w:leader="dot" w:pos="9350"/>
        </w:tabs>
        <w:rPr>
          <w:rFonts w:eastAsiaTheme="minorEastAsia"/>
          <w:noProof/>
          <w:sz w:val="24"/>
          <w:szCs w:val="24"/>
          <w:lang w:val="en-US" w:eastAsia="zh-CN"/>
        </w:rPr>
      </w:pPr>
      <w:hyperlink w:anchor="_Toc242882984" w:history="1">
        <w:r w:rsidRPr="00F16F96">
          <w:rPr>
            <w:rStyle w:val="Hyperlink"/>
            <w:rFonts w:eastAsiaTheme="majorEastAsia" w:cstheme="majorBidi"/>
            <w:b/>
            <w:iCs/>
            <w:noProof/>
            <w:lang w:val="es-ES"/>
          </w:rPr>
          <w:t>Meta 11.</w:t>
        </w:r>
        <w:r w:rsidRPr="00F16F96">
          <w:rPr>
            <w:rStyle w:val="Hyperlink"/>
            <w:rFonts w:eastAsiaTheme="majorEastAsia" w:cstheme="majorBidi"/>
            <w:iCs/>
            <w:noProof/>
            <w:lang w:val="es-ES"/>
          </w:rPr>
          <w:t xml:space="preserve"> Restaurar, mantener y mejorar las contribuciones de la naturaleza a las personas</w:t>
        </w:r>
        <w:r>
          <w:rPr>
            <w:noProof/>
            <w:webHidden/>
          </w:rPr>
          <w:tab/>
        </w:r>
        <w:r>
          <w:rPr>
            <w:noProof/>
            <w:webHidden/>
          </w:rPr>
          <w:fldChar w:fldCharType="begin"/>
        </w:r>
        <w:r>
          <w:rPr>
            <w:noProof/>
            <w:webHidden/>
          </w:rPr>
          <w:instrText xml:space="preserve"> PAGEREF _Toc242882984 \h </w:instrText>
        </w:r>
        <w:r>
          <w:rPr>
            <w:noProof/>
            <w:webHidden/>
          </w:rPr>
        </w:r>
        <w:r>
          <w:rPr>
            <w:noProof/>
            <w:webHidden/>
          </w:rPr>
          <w:fldChar w:fldCharType="separate"/>
        </w:r>
        <w:r>
          <w:rPr>
            <w:noProof/>
            <w:webHidden/>
          </w:rPr>
          <w:t>210</w:t>
        </w:r>
        <w:r>
          <w:rPr>
            <w:noProof/>
            <w:webHidden/>
          </w:rPr>
          <w:fldChar w:fldCharType="end"/>
        </w:r>
      </w:hyperlink>
    </w:p>
    <w:p w14:paraId="545C9205" w14:textId="587DB6E5" w:rsidR="00942359" w:rsidRDefault="00942359">
      <w:pPr>
        <w:pStyle w:val="TOC4"/>
        <w:tabs>
          <w:tab w:val="right" w:leader="dot" w:pos="9350"/>
        </w:tabs>
        <w:rPr>
          <w:rFonts w:eastAsiaTheme="minorEastAsia"/>
          <w:noProof/>
          <w:sz w:val="24"/>
          <w:szCs w:val="24"/>
          <w:lang w:val="en-US" w:eastAsia="zh-CN"/>
        </w:rPr>
      </w:pPr>
      <w:hyperlink w:anchor="_Toc242882985" w:history="1">
        <w:r w:rsidRPr="00F16F96">
          <w:rPr>
            <w:rStyle w:val="Hyperlink"/>
            <w:rFonts w:eastAsiaTheme="majorEastAsia" w:cstheme="majorBidi"/>
            <w:b/>
            <w:iCs/>
            <w:noProof/>
            <w:lang w:val="es-ES"/>
          </w:rPr>
          <w:t>Meta 12.</w:t>
        </w:r>
        <w:r w:rsidRPr="00F16F96">
          <w:rPr>
            <w:rStyle w:val="Hyperlink"/>
            <w:rFonts w:eastAsiaTheme="majorEastAsia" w:cstheme="majorBidi"/>
            <w:iCs/>
            <w:noProof/>
            <w:lang w:val="es-ES"/>
          </w:rPr>
          <w:t xml:space="preserve"> Aumentar los espacios verdes y mejorar la planificación urbana para el bienestar humano y la biodiversidad</w:t>
        </w:r>
        <w:r>
          <w:rPr>
            <w:noProof/>
            <w:webHidden/>
          </w:rPr>
          <w:tab/>
        </w:r>
        <w:r>
          <w:rPr>
            <w:noProof/>
            <w:webHidden/>
          </w:rPr>
          <w:fldChar w:fldCharType="begin"/>
        </w:r>
        <w:r>
          <w:rPr>
            <w:noProof/>
            <w:webHidden/>
          </w:rPr>
          <w:instrText xml:space="preserve"> PAGEREF _Toc242882985 \h </w:instrText>
        </w:r>
        <w:r>
          <w:rPr>
            <w:noProof/>
            <w:webHidden/>
          </w:rPr>
        </w:r>
        <w:r>
          <w:rPr>
            <w:noProof/>
            <w:webHidden/>
          </w:rPr>
          <w:fldChar w:fldCharType="separate"/>
        </w:r>
        <w:r>
          <w:rPr>
            <w:noProof/>
            <w:webHidden/>
          </w:rPr>
          <w:t>222</w:t>
        </w:r>
        <w:r>
          <w:rPr>
            <w:noProof/>
            <w:webHidden/>
          </w:rPr>
          <w:fldChar w:fldCharType="end"/>
        </w:r>
      </w:hyperlink>
    </w:p>
    <w:p w14:paraId="7E5A9F15" w14:textId="111FF883" w:rsidR="00942359" w:rsidRDefault="00942359">
      <w:pPr>
        <w:pStyle w:val="TOC4"/>
        <w:tabs>
          <w:tab w:val="right" w:leader="dot" w:pos="9350"/>
        </w:tabs>
        <w:rPr>
          <w:rFonts w:eastAsiaTheme="minorEastAsia"/>
          <w:noProof/>
          <w:sz w:val="24"/>
          <w:szCs w:val="24"/>
          <w:lang w:val="en-US" w:eastAsia="zh-CN"/>
        </w:rPr>
      </w:pPr>
      <w:hyperlink w:anchor="_Toc242882986" w:history="1">
        <w:r w:rsidRPr="00F16F96">
          <w:rPr>
            <w:rStyle w:val="Hyperlink"/>
            <w:rFonts w:eastAsiaTheme="majorEastAsia" w:cstheme="majorBidi"/>
            <w:b/>
            <w:iCs/>
            <w:noProof/>
            <w:lang w:val="es-ES"/>
          </w:rPr>
          <w:t>Meta 13.</w:t>
        </w:r>
        <w:r w:rsidRPr="00F16F96">
          <w:rPr>
            <w:rStyle w:val="Hyperlink"/>
            <w:rFonts w:eastAsiaTheme="majorEastAsia" w:cstheme="majorBidi"/>
            <w:iCs/>
            <w:noProof/>
            <w:lang w:val="es-ES"/>
          </w:rPr>
          <w:t xml:space="preserve"> Aumentar la participación en los beneficios que se deriven de recursos genéticos, información digital sobre secuencias y conocimientos tradicionales</w:t>
        </w:r>
        <w:r>
          <w:rPr>
            <w:noProof/>
            <w:webHidden/>
          </w:rPr>
          <w:tab/>
        </w:r>
        <w:r>
          <w:rPr>
            <w:noProof/>
            <w:webHidden/>
          </w:rPr>
          <w:fldChar w:fldCharType="begin"/>
        </w:r>
        <w:r>
          <w:rPr>
            <w:noProof/>
            <w:webHidden/>
          </w:rPr>
          <w:instrText xml:space="preserve"> PAGEREF _Toc242882986 \h </w:instrText>
        </w:r>
        <w:r>
          <w:rPr>
            <w:noProof/>
            <w:webHidden/>
          </w:rPr>
        </w:r>
        <w:r>
          <w:rPr>
            <w:noProof/>
            <w:webHidden/>
          </w:rPr>
          <w:fldChar w:fldCharType="separate"/>
        </w:r>
        <w:r>
          <w:rPr>
            <w:noProof/>
            <w:webHidden/>
          </w:rPr>
          <w:t>234</w:t>
        </w:r>
        <w:r>
          <w:rPr>
            <w:noProof/>
            <w:webHidden/>
          </w:rPr>
          <w:fldChar w:fldCharType="end"/>
        </w:r>
      </w:hyperlink>
    </w:p>
    <w:p w14:paraId="7595DD97" w14:textId="55844385" w:rsidR="00942359" w:rsidRDefault="00942359">
      <w:pPr>
        <w:pStyle w:val="TOC3"/>
        <w:rPr>
          <w:rFonts w:eastAsiaTheme="minorEastAsia"/>
          <w:noProof/>
          <w:sz w:val="24"/>
          <w:szCs w:val="24"/>
          <w:lang w:val="en-US" w:eastAsia="zh-CN"/>
        </w:rPr>
      </w:pPr>
      <w:hyperlink w:anchor="_Toc242882987" w:history="1">
        <w:r w:rsidRPr="00F16F96">
          <w:rPr>
            <w:rStyle w:val="Hyperlink"/>
            <w:rFonts w:eastAsiaTheme="majorEastAsia" w:cstheme="majorBidi"/>
            <w:noProof/>
            <w:lang w:val="es-ES"/>
          </w:rPr>
          <w:t>Herramientas y soluciones para la implementación y la integración</w:t>
        </w:r>
        <w:r>
          <w:rPr>
            <w:noProof/>
            <w:webHidden/>
          </w:rPr>
          <w:tab/>
        </w:r>
        <w:r>
          <w:rPr>
            <w:noProof/>
            <w:webHidden/>
          </w:rPr>
          <w:fldChar w:fldCharType="begin"/>
        </w:r>
        <w:r>
          <w:rPr>
            <w:noProof/>
            <w:webHidden/>
          </w:rPr>
          <w:instrText xml:space="preserve"> PAGEREF _Toc242882987 \h </w:instrText>
        </w:r>
        <w:r>
          <w:rPr>
            <w:noProof/>
            <w:webHidden/>
          </w:rPr>
        </w:r>
        <w:r>
          <w:rPr>
            <w:noProof/>
            <w:webHidden/>
          </w:rPr>
          <w:fldChar w:fldCharType="separate"/>
        </w:r>
        <w:r>
          <w:rPr>
            <w:noProof/>
            <w:webHidden/>
          </w:rPr>
          <w:t>247</w:t>
        </w:r>
        <w:r>
          <w:rPr>
            <w:noProof/>
            <w:webHidden/>
          </w:rPr>
          <w:fldChar w:fldCharType="end"/>
        </w:r>
      </w:hyperlink>
    </w:p>
    <w:p w14:paraId="1162D887" w14:textId="1DF1F110" w:rsidR="00942359" w:rsidRDefault="00942359">
      <w:pPr>
        <w:pStyle w:val="TOC4"/>
        <w:tabs>
          <w:tab w:val="right" w:leader="dot" w:pos="9350"/>
        </w:tabs>
        <w:rPr>
          <w:rFonts w:eastAsiaTheme="minorEastAsia"/>
          <w:noProof/>
          <w:sz w:val="24"/>
          <w:szCs w:val="24"/>
          <w:lang w:val="en-US" w:eastAsia="zh-CN"/>
        </w:rPr>
      </w:pPr>
      <w:hyperlink w:anchor="_Toc242882988" w:history="1">
        <w:r w:rsidRPr="00F16F96">
          <w:rPr>
            <w:rStyle w:val="Hyperlink"/>
            <w:rFonts w:eastAsiaTheme="majorEastAsia" w:cstheme="majorBidi"/>
            <w:b/>
            <w:iCs/>
            <w:noProof/>
            <w:lang w:val="es-ES"/>
          </w:rPr>
          <w:t>Meta 14.</w:t>
        </w:r>
        <w:r w:rsidRPr="00F16F96">
          <w:rPr>
            <w:rStyle w:val="Hyperlink"/>
            <w:rFonts w:eastAsiaTheme="majorEastAsia" w:cstheme="majorBidi"/>
            <w:iCs/>
            <w:noProof/>
            <w:lang w:val="es-ES"/>
          </w:rPr>
          <w:t xml:space="preserve"> Integrar la biodiversidad en la toma de decisiones en todos los niveles</w:t>
        </w:r>
        <w:r>
          <w:rPr>
            <w:noProof/>
            <w:webHidden/>
          </w:rPr>
          <w:tab/>
        </w:r>
        <w:r>
          <w:rPr>
            <w:noProof/>
            <w:webHidden/>
          </w:rPr>
          <w:fldChar w:fldCharType="begin"/>
        </w:r>
        <w:r>
          <w:rPr>
            <w:noProof/>
            <w:webHidden/>
          </w:rPr>
          <w:instrText xml:space="preserve"> PAGEREF _Toc242882988 \h </w:instrText>
        </w:r>
        <w:r>
          <w:rPr>
            <w:noProof/>
            <w:webHidden/>
          </w:rPr>
        </w:r>
        <w:r>
          <w:rPr>
            <w:noProof/>
            <w:webHidden/>
          </w:rPr>
          <w:fldChar w:fldCharType="separate"/>
        </w:r>
        <w:r>
          <w:rPr>
            <w:noProof/>
            <w:webHidden/>
          </w:rPr>
          <w:t>247</w:t>
        </w:r>
        <w:r>
          <w:rPr>
            <w:noProof/>
            <w:webHidden/>
          </w:rPr>
          <w:fldChar w:fldCharType="end"/>
        </w:r>
      </w:hyperlink>
    </w:p>
    <w:p w14:paraId="18197176" w14:textId="21CACCEA" w:rsidR="00942359" w:rsidRDefault="00942359">
      <w:pPr>
        <w:pStyle w:val="TOC4"/>
        <w:tabs>
          <w:tab w:val="right" w:leader="dot" w:pos="9350"/>
        </w:tabs>
        <w:rPr>
          <w:rFonts w:eastAsiaTheme="minorEastAsia"/>
          <w:noProof/>
          <w:sz w:val="24"/>
          <w:szCs w:val="24"/>
          <w:lang w:val="en-US" w:eastAsia="zh-CN"/>
        </w:rPr>
      </w:pPr>
      <w:hyperlink w:anchor="_Toc242882989" w:history="1">
        <w:r w:rsidRPr="00F16F96">
          <w:rPr>
            <w:rStyle w:val="Hyperlink"/>
            <w:rFonts w:eastAsiaTheme="majorEastAsia" w:cstheme="majorBidi"/>
            <w:b/>
            <w:iCs/>
            <w:noProof/>
            <w:lang w:val="es-ES"/>
          </w:rPr>
          <w:t>Meta 15.</w:t>
        </w:r>
        <w:r w:rsidRPr="00F16F96">
          <w:rPr>
            <w:rStyle w:val="Hyperlink"/>
            <w:rFonts w:eastAsiaTheme="majorEastAsia" w:cstheme="majorBidi"/>
            <w:iCs/>
            <w:noProof/>
            <w:lang w:val="es-ES"/>
          </w:rPr>
          <w:t xml:space="preserve"> Las empresas evalúan, dan a conocer y reducen sus riesgos e impactos negativos relacionados con la biodiversidad</w:t>
        </w:r>
        <w:r>
          <w:rPr>
            <w:noProof/>
            <w:webHidden/>
          </w:rPr>
          <w:tab/>
        </w:r>
        <w:r>
          <w:rPr>
            <w:noProof/>
            <w:webHidden/>
          </w:rPr>
          <w:fldChar w:fldCharType="begin"/>
        </w:r>
        <w:r>
          <w:rPr>
            <w:noProof/>
            <w:webHidden/>
          </w:rPr>
          <w:instrText xml:space="preserve"> PAGEREF _Toc242882989 \h </w:instrText>
        </w:r>
        <w:r>
          <w:rPr>
            <w:noProof/>
            <w:webHidden/>
          </w:rPr>
        </w:r>
        <w:r>
          <w:rPr>
            <w:noProof/>
            <w:webHidden/>
          </w:rPr>
          <w:fldChar w:fldCharType="separate"/>
        </w:r>
        <w:r>
          <w:rPr>
            <w:noProof/>
            <w:webHidden/>
          </w:rPr>
          <w:t>257</w:t>
        </w:r>
        <w:r>
          <w:rPr>
            <w:noProof/>
            <w:webHidden/>
          </w:rPr>
          <w:fldChar w:fldCharType="end"/>
        </w:r>
      </w:hyperlink>
    </w:p>
    <w:p w14:paraId="23227B1C" w14:textId="09B22C57" w:rsidR="00942359" w:rsidRDefault="00942359">
      <w:pPr>
        <w:pStyle w:val="TOC4"/>
        <w:tabs>
          <w:tab w:val="right" w:leader="dot" w:pos="9350"/>
        </w:tabs>
        <w:rPr>
          <w:rFonts w:eastAsiaTheme="minorEastAsia"/>
          <w:noProof/>
          <w:sz w:val="24"/>
          <w:szCs w:val="24"/>
          <w:lang w:val="en-US" w:eastAsia="zh-CN"/>
        </w:rPr>
      </w:pPr>
      <w:hyperlink w:anchor="_Toc242882990" w:history="1">
        <w:r w:rsidRPr="00F16F96">
          <w:rPr>
            <w:rStyle w:val="Hyperlink"/>
            <w:rFonts w:eastAsiaTheme="majorEastAsia" w:cstheme="majorBidi"/>
            <w:b/>
            <w:iCs/>
            <w:noProof/>
            <w:lang w:val="es-ES"/>
          </w:rPr>
          <w:t>Meta 16</w:t>
        </w:r>
        <w:r w:rsidRPr="00F16F96">
          <w:rPr>
            <w:rStyle w:val="Hyperlink"/>
            <w:rFonts w:eastAsiaTheme="majorEastAsia" w:cstheme="majorBidi"/>
            <w:iCs/>
            <w:noProof/>
            <w:lang w:val="es-ES"/>
          </w:rPr>
          <w:t>.</w:t>
        </w:r>
        <w:r w:rsidRPr="00F16F96">
          <w:rPr>
            <w:rStyle w:val="Hyperlink"/>
            <w:rFonts w:eastAsiaTheme="majorEastAsia" w:cstheme="majorBidi"/>
            <w:i/>
            <w:iCs/>
            <w:noProof/>
            <w:lang w:val="es-ES"/>
          </w:rPr>
          <w:t xml:space="preserve"> </w:t>
        </w:r>
        <w:r w:rsidRPr="00F16F96">
          <w:rPr>
            <w:rStyle w:val="Hyperlink"/>
            <w:rFonts w:eastAsiaTheme="majorEastAsia" w:cstheme="majorBidi"/>
            <w:iCs/>
            <w:noProof/>
            <w:lang w:val="es-ES"/>
          </w:rPr>
          <w:t>Promover la elección de opciones de consumo sostenible para reducir el desperdicio y el consumo excesivo</w:t>
        </w:r>
        <w:r>
          <w:rPr>
            <w:noProof/>
            <w:webHidden/>
          </w:rPr>
          <w:tab/>
        </w:r>
        <w:r>
          <w:rPr>
            <w:noProof/>
            <w:webHidden/>
          </w:rPr>
          <w:fldChar w:fldCharType="begin"/>
        </w:r>
        <w:r>
          <w:rPr>
            <w:noProof/>
            <w:webHidden/>
          </w:rPr>
          <w:instrText xml:space="preserve"> PAGEREF _Toc242882990 \h </w:instrText>
        </w:r>
        <w:r>
          <w:rPr>
            <w:noProof/>
            <w:webHidden/>
          </w:rPr>
        </w:r>
        <w:r>
          <w:rPr>
            <w:noProof/>
            <w:webHidden/>
          </w:rPr>
          <w:fldChar w:fldCharType="separate"/>
        </w:r>
        <w:r>
          <w:rPr>
            <w:noProof/>
            <w:webHidden/>
          </w:rPr>
          <w:t>272</w:t>
        </w:r>
        <w:r>
          <w:rPr>
            <w:noProof/>
            <w:webHidden/>
          </w:rPr>
          <w:fldChar w:fldCharType="end"/>
        </w:r>
      </w:hyperlink>
    </w:p>
    <w:p w14:paraId="7CD9A055" w14:textId="414B2721" w:rsidR="00942359" w:rsidRDefault="00942359">
      <w:pPr>
        <w:pStyle w:val="TOC4"/>
        <w:tabs>
          <w:tab w:val="right" w:leader="dot" w:pos="9350"/>
        </w:tabs>
        <w:rPr>
          <w:rFonts w:eastAsiaTheme="minorEastAsia"/>
          <w:noProof/>
          <w:sz w:val="24"/>
          <w:szCs w:val="24"/>
          <w:lang w:val="en-US" w:eastAsia="zh-CN"/>
        </w:rPr>
      </w:pPr>
      <w:hyperlink w:anchor="_Toc242882991" w:history="1">
        <w:r w:rsidRPr="00F16F96">
          <w:rPr>
            <w:rStyle w:val="Hyperlink"/>
            <w:rFonts w:eastAsiaTheme="majorEastAsia" w:cstheme="majorBidi"/>
            <w:b/>
            <w:iCs/>
            <w:noProof/>
            <w:lang w:val="es-ES"/>
          </w:rPr>
          <w:t>Meta 17.</w:t>
        </w:r>
        <w:r w:rsidRPr="00F16F96">
          <w:rPr>
            <w:rStyle w:val="Hyperlink"/>
            <w:rFonts w:eastAsiaTheme="majorEastAsia" w:cstheme="majorBidi"/>
            <w:iCs/>
            <w:noProof/>
            <w:lang w:val="es-ES"/>
          </w:rPr>
          <w:t xml:space="preserve"> Reforzar la seguridad de la biotecnología y distribuir los beneficios de la biotecnología</w:t>
        </w:r>
        <w:r>
          <w:rPr>
            <w:noProof/>
            <w:webHidden/>
          </w:rPr>
          <w:tab/>
        </w:r>
        <w:r>
          <w:rPr>
            <w:noProof/>
            <w:webHidden/>
          </w:rPr>
          <w:fldChar w:fldCharType="begin"/>
        </w:r>
        <w:r>
          <w:rPr>
            <w:noProof/>
            <w:webHidden/>
          </w:rPr>
          <w:instrText xml:space="preserve"> PAGEREF _Toc242882991 \h </w:instrText>
        </w:r>
        <w:r>
          <w:rPr>
            <w:noProof/>
            <w:webHidden/>
          </w:rPr>
        </w:r>
        <w:r>
          <w:rPr>
            <w:noProof/>
            <w:webHidden/>
          </w:rPr>
          <w:fldChar w:fldCharType="separate"/>
        </w:r>
        <w:r>
          <w:rPr>
            <w:noProof/>
            <w:webHidden/>
          </w:rPr>
          <w:t>283</w:t>
        </w:r>
        <w:r>
          <w:rPr>
            <w:noProof/>
            <w:webHidden/>
          </w:rPr>
          <w:fldChar w:fldCharType="end"/>
        </w:r>
      </w:hyperlink>
    </w:p>
    <w:p w14:paraId="43E8E1CD" w14:textId="6BCBC91E" w:rsidR="00942359" w:rsidRDefault="00942359">
      <w:pPr>
        <w:pStyle w:val="TOC4"/>
        <w:tabs>
          <w:tab w:val="right" w:leader="dot" w:pos="9350"/>
        </w:tabs>
        <w:rPr>
          <w:rFonts w:eastAsiaTheme="minorEastAsia"/>
          <w:noProof/>
          <w:sz w:val="24"/>
          <w:szCs w:val="24"/>
          <w:lang w:val="en-US" w:eastAsia="zh-CN"/>
        </w:rPr>
      </w:pPr>
      <w:hyperlink w:anchor="_Toc242882992" w:history="1">
        <w:r w:rsidRPr="00F16F96">
          <w:rPr>
            <w:rStyle w:val="Hyperlink"/>
            <w:rFonts w:eastAsiaTheme="majorEastAsia" w:cstheme="majorBidi"/>
            <w:b/>
            <w:iCs/>
            <w:noProof/>
            <w:lang w:val="es-ES"/>
          </w:rPr>
          <w:t>Meta 18.</w:t>
        </w:r>
        <w:r w:rsidRPr="00F16F96">
          <w:rPr>
            <w:rStyle w:val="Hyperlink"/>
            <w:rFonts w:eastAsiaTheme="majorEastAsia" w:cstheme="majorBidi"/>
            <w:iCs/>
            <w:noProof/>
            <w:lang w:val="es-ES"/>
          </w:rPr>
          <w:t xml:space="preserve"> Reducir los incentivos perjudiciales en al menos 500.000 millones de dólares de los Estados Unidos al año y aumentar los incentivos positivos para la biodiversidad</w:t>
        </w:r>
        <w:r>
          <w:rPr>
            <w:noProof/>
            <w:webHidden/>
          </w:rPr>
          <w:tab/>
        </w:r>
        <w:r>
          <w:rPr>
            <w:noProof/>
            <w:webHidden/>
          </w:rPr>
          <w:fldChar w:fldCharType="begin"/>
        </w:r>
        <w:r>
          <w:rPr>
            <w:noProof/>
            <w:webHidden/>
          </w:rPr>
          <w:instrText xml:space="preserve"> PAGEREF _Toc242882992 \h </w:instrText>
        </w:r>
        <w:r>
          <w:rPr>
            <w:noProof/>
            <w:webHidden/>
          </w:rPr>
        </w:r>
        <w:r>
          <w:rPr>
            <w:noProof/>
            <w:webHidden/>
          </w:rPr>
          <w:fldChar w:fldCharType="separate"/>
        </w:r>
        <w:r>
          <w:rPr>
            <w:noProof/>
            <w:webHidden/>
          </w:rPr>
          <w:t>294</w:t>
        </w:r>
        <w:r>
          <w:rPr>
            <w:noProof/>
            <w:webHidden/>
          </w:rPr>
          <w:fldChar w:fldCharType="end"/>
        </w:r>
      </w:hyperlink>
    </w:p>
    <w:p w14:paraId="582B584D" w14:textId="16722DC8" w:rsidR="00942359" w:rsidRDefault="00942359">
      <w:pPr>
        <w:pStyle w:val="TOC4"/>
        <w:tabs>
          <w:tab w:val="right" w:leader="dot" w:pos="9350"/>
        </w:tabs>
        <w:rPr>
          <w:rFonts w:eastAsiaTheme="minorEastAsia"/>
          <w:noProof/>
          <w:sz w:val="24"/>
          <w:szCs w:val="24"/>
          <w:lang w:val="en-US" w:eastAsia="zh-CN"/>
        </w:rPr>
      </w:pPr>
      <w:hyperlink w:anchor="_Toc242882993" w:history="1">
        <w:r w:rsidRPr="00F16F96">
          <w:rPr>
            <w:rStyle w:val="Hyperlink"/>
            <w:rFonts w:eastAsiaTheme="majorEastAsia" w:cstheme="majorBidi"/>
            <w:b/>
            <w:iCs/>
            <w:noProof/>
            <w:lang w:val="es-ES"/>
          </w:rPr>
          <w:t xml:space="preserve">Meta 19. </w:t>
        </w:r>
        <w:r w:rsidRPr="00F16F96">
          <w:rPr>
            <w:rStyle w:val="Hyperlink"/>
            <w:rFonts w:eastAsiaTheme="majorEastAsia" w:cstheme="majorBidi"/>
            <w:iCs/>
            <w:noProof/>
            <w:lang w:val="es-ES"/>
          </w:rPr>
          <w:t>Movilizar 200.000 millones de dólares al año para la biodiversidad, provenientes de todas las fuentes, incluidos 30.000 millones de dólares mediante financiación internacional</w:t>
        </w:r>
        <w:r>
          <w:rPr>
            <w:noProof/>
            <w:webHidden/>
          </w:rPr>
          <w:tab/>
        </w:r>
        <w:r>
          <w:rPr>
            <w:noProof/>
            <w:webHidden/>
          </w:rPr>
          <w:fldChar w:fldCharType="begin"/>
        </w:r>
        <w:r>
          <w:rPr>
            <w:noProof/>
            <w:webHidden/>
          </w:rPr>
          <w:instrText xml:space="preserve"> PAGEREF _Toc242882993 \h </w:instrText>
        </w:r>
        <w:r>
          <w:rPr>
            <w:noProof/>
            <w:webHidden/>
          </w:rPr>
        </w:r>
        <w:r>
          <w:rPr>
            <w:noProof/>
            <w:webHidden/>
          </w:rPr>
          <w:fldChar w:fldCharType="separate"/>
        </w:r>
        <w:r>
          <w:rPr>
            <w:noProof/>
            <w:webHidden/>
          </w:rPr>
          <w:t>307</w:t>
        </w:r>
        <w:r>
          <w:rPr>
            <w:noProof/>
            <w:webHidden/>
          </w:rPr>
          <w:fldChar w:fldCharType="end"/>
        </w:r>
      </w:hyperlink>
    </w:p>
    <w:p w14:paraId="11E77238" w14:textId="4ECD45F1" w:rsidR="00942359" w:rsidRDefault="00942359">
      <w:pPr>
        <w:pStyle w:val="TOC4"/>
        <w:tabs>
          <w:tab w:val="right" w:leader="dot" w:pos="9350"/>
        </w:tabs>
        <w:rPr>
          <w:rFonts w:eastAsiaTheme="minorEastAsia"/>
          <w:noProof/>
          <w:sz w:val="24"/>
          <w:szCs w:val="24"/>
          <w:lang w:val="en-US" w:eastAsia="zh-CN"/>
        </w:rPr>
      </w:pPr>
      <w:hyperlink w:anchor="_Toc242882994" w:history="1">
        <w:r w:rsidRPr="00F16F96">
          <w:rPr>
            <w:rStyle w:val="Hyperlink"/>
            <w:rFonts w:eastAsiaTheme="majorEastAsia" w:cstheme="majorBidi"/>
            <w:b/>
            <w:iCs/>
            <w:noProof/>
            <w:lang w:val="es-ES"/>
          </w:rPr>
          <w:t>Meta 20.</w:t>
        </w:r>
        <w:r w:rsidRPr="00F16F96">
          <w:rPr>
            <w:rStyle w:val="Hyperlink"/>
            <w:rFonts w:eastAsiaTheme="majorEastAsia" w:cstheme="majorBidi"/>
            <w:iCs/>
            <w:noProof/>
            <w:lang w:val="es-ES"/>
          </w:rPr>
          <w:t xml:space="preserve"> Fortalecer la creación de capacidad, la transferencia de tecnología y la cooperación científica y técnica para la diversidad biológica</w:t>
        </w:r>
        <w:r>
          <w:rPr>
            <w:noProof/>
            <w:webHidden/>
          </w:rPr>
          <w:tab/>
        </w:r>
        <w:r>
          <w:rPr>
            <w:noProof/>
            <w:webHidden/>
          </w:rPr>
          <w:fldChar w:fldCharType="begin"/>
        </w:r>
        <w:r>
          <w:rPr>
            <w:noProof/>
            <w:webHidden/>
          </w:rPr>
          <w:instrText xml:space="preserve"> PAGEREF _Toc242882994 \h </w:instrText>
        </w:r>
        <w:r>
          <w:rPr>
            <w:noProof/>
            <w:webHidden/>
          </w:rPr>
        </w:r>
        <w:r>
          <w:rPr>
            <w:noProof/>
            <w:webHidden/>
          </w:rPr>
          <w:fldChar w:fldCharType="separate"/>
        </w:r>
        <w:r>
          <w:rPr>
            <w:noProof/>
            <w:webHidden/>
          </w:rPr>
          <w:t>324</w:t>
        </w:r>
        <w:r>
          <w:rPr>
            <w:noProof/>
            <w:webHidden/>
          </w:rPr>
          <w:fldChar w:fldCharType="end"/>
        </w:r>
      </w:hyperlink>
    </w:p>
    <w:p w14:paraId="77158590" w14:textId="296BF651" w:rsidR="00942359" w:rsidRDefault="00942359">
      <w:pPr>
        <w:pStyle w:val="TOC4"/>
        <w:tabs>
          <w:tab w:val="right" w:leader="dot" w:pos="9350"/>
        </w:tabs>
        <w:rPr>
          <w:rFonts w:eastAsiaTheme="minorEastAsia"/>
          <w:noProof/>
          <w:sz w:val="24"/>
          <w:szCs w:val="24"/>
          <w:lang w:val="en-US" w:eastAsia="zh-CN"/>
        </w:rPr>
      </w:pPr>
      <w:hyperlink w:anchor="_Toc242882995" w:history="1">
        <w:r w:rsidRPr="00F16F96">
          <w:rPr>
            <w:rStyle w:val="Hyperlink"/>
            <w:rFonts w:eastAsiaTheme="majorEastAsia" w:cstheme="majorBidi"/>
            <w:b/>
            <w:iCs/>
            <w:noProof/>
            <w:lang w:val="es-ES"/>
          </w:rPr>
          <w:t>Meta 21.</w:t>
        </w:r>
        <w:r w:rsidRPr="00F16F96">
          <w:rPr>
            <w:rStyle w:val="Hyperlink"/>
            <w:rFonts w:eastAsiaTheme="majorEastAsia" w:cstheme="majorBidi"/>
            <w:iCs/>
            <w:noProof/>
            <w:lang w:val="es-ES"/>
          </w:rPr>
          <w:t xml:space="preserve"> Garantizar la disponibilidad y accesibilidad de conocimientos para orientar las acciones en materia de biodiversidad</w:t>
        </w:r>
        <w:r>
          <w:rPr>
            <w:noProof/>
            <w:webHidden/>
          </w:rPr>
          <w:tab/>
        </w:r>
        <w:r>
          <w:rPr>
            <w:noProof/>
            <w:webHidden/>
          </w:rPr>
          <w:fldChar w:fldCharType="begin"/>
        </w:r>
        <w:r>
          <w:rPr>
            <w:noProof/>
            <w:webHidden/>
          </w:rPr>
          <w:instrText xml:space="preserve"> PAGEREF _Toc242882995 \h </w:instrText>
        </w:r>
        <w:r>
          <w:rPr>
            <w:noProof/>
            <w:webHidden/>
          </w:rPr>
        </w:r>
        <w:r>
          <w:rPr>
            <w:noProof/>
            <w:webHidden/>
          </w:rPr>
          <w:fldChar w:fldCharType="separate"/>
        </w:r>
        <w:r>
          <w:rPr>
            <w:noProof/>
            <w:webHidden/>
          </w:rPr>
          <w:t>335</w:t>
        </w:r>
        <w:r>
          <w:rPr>
            <w:noProof/>
            <w:webHidden/>
          </w:rPr>
          <w:fldChar w:fldCharType="end"/>
        </w:r>
      </w:hyperlink>
    </w:p>
    <w:p w14:paraId="0FB1E07F" w14:textId="6B35473B" w:rsidR="00942359" w:rsidRDefault="00942359">
      <w:pPr>
        <w:pStyle w:val="TOC4"/>
        <w:tabs>
          <w:tab w:val="right" w:leader="dot" w:pos="9350"/>
        </w:tabs>
        <w:rPr>
          <w:rFonts w:eastAsiaTheme="minorEastAsia"/>
          <w:noProof/>
          <w:sz w:val="24"/>
          <w:szCs w:val="24"/>
          <w:lang w:val="en-US" w:eastAsia="zh-CN"/>
        </w:rPr>
      </w:pPr>
      <w:hyperlink w:anchor="_Toc242882996" w:history="1">
        <w:r w:rsidRPr="00F16F96">
          <w:rPr>
            <w:rStyle w:val="Hyperlink"/>
            <w:rFonts w:eastAsiaTheme="majorEastAsia" w:cstheme="majorBidi"/>
            <w:b/>
            <w:iCs/>
            <w:noProof/>
            <w:lang w:val="es-ES"/>
          </w:rPr>
          <w:t>Meta 22.</w:t>
        </w:r>
        <w:r w:rsidRPr="00F16F96">
          <w:rPr>
            <w:rStyle w:val="Hyperlink"/>
            <w:rFonts w:eastAsiaTheme="majorEastAsia" w:cstheme="majorBidi"/>
            <w:iCs/>
            <w:noProof/>
            <w:lang w:val="es-ES"/>
          </w:rPr>
          <w:t xml:space="preserve"> Garantizar la participación de todos en la toma de decisiones y su acceso a la justicia y a información relacionada con la biodiversidad</w:t>
        </w:r>
        <w:r>
          <w:rPr>
            <w:noProof/>
            <w:webHidden/>
          </w:rPr>
          <w:tab/>
        </w:r>
        <w:r>
          <w:rPr>
            <w:noProof/>
            <w:webHidden/>
          </w:rPr>
          <w:fldChar w:fldCharType="begin"/>
        </w:r>
        <w:r>
          <w:rPr>
            <w:noProof/>
            <w:webHidden/>
          </w:rPr>
          <w:instrText xml:space="preserve"> PAGEREF _Toc242882996 \h </w:instrText>
        </w:r>
        <w:r>
          <w:rPr>
            <w:noProof/>
            <w:webHidden/>
          </w:rPr>
        </w:r>
        <w:r>
          <w:rPr>
            <w:noProof/>
            <w:webHidden/>
          </w:rPr>
          <w:fldChar w:fldCharType="separate"/>
        </w:r>
        <w:r>
          <w:rPr>
            <w:noProof/>
            <w:webHidden/>
          </w:rPr>
          <w:t>347</w:t>
        </w:r>
        <w:r>
          <w:rPr>
            <w:noProof/>
            <w:webHidden/>
          </w:rPr>
          <w:fldChar w:fldCharType="end"/>
        </w:r>
      </w:hyperlink>
    </w:p>
    <w:p w14:paraId="35FE334A" w14:textId="265031AA" w:rsidR="00942359" w:rsidRDefault="00942359">
      <w:pPr>
        <w:pStyle w:val="TOC4"/>
        <w:tabs>
          <w:tab w:val="right" w:leader="dot" w:pos="9350"/>
        </w:tabs>
        <w:rPr>
          <w:rFonts w:eastAsiaTheme="minorEastAsia"/>
          <w:noProof/>
          <w:sz w:val="24"/>
          <w:szCs w:val="24"/>
          <w:lang w:val="en-US" w:eastAsia="zh-CN"/>
        </w:rPr>
      </w:pPr>
      <w:hyperlink w:anchor="_Toc242882997" w:history="1">
        <w:r w:rsidRPr="00F16F96">
          <w:rPr>
            <w:rStyle w:val="Hyperlink"/>
            <w:rFonts w:eastAsiaTheme="majorEastAsia" w:cstheme="majorBidi"/>
            <w:b/>
            <w:iCs/>
            <w:noProof/>
            <w:lang w:val="es-ES"/>
          </w:rPr>
          <w:t xml:space="preserve">Meta 23. </w:t>
        </w:r>
        <w:r w:rsidRPr="00F16F96">
          <w:rPr>
            <w:rStyle w:val="Hyperlink"/>
            <w:rFonts w:eastAsiaTheme="majorEastAsia" w:cstheme="majorBidi"/>
            <w:iCs/>
            <w:noProof/>
            <w:lang w:val="es-ES"/>
          </w:rPr>
          <w:t>Garantizar la igualdad de género y un enfoque con perspectiva de género en la acción en materia de biodiversidad</w:t>
        </w:r>
        <w:r>
          <w:rPr>
            <w:noProof/>
            <w:webHidden/>
          </w:rPr>
          <w:tab/>
        </w:r>
        <w:r>
          <w:rPr>
            <w:noProof/>
            <w:webHidden/>
          </w:rPr>
          <w:fldChar w:fldCharType="begin"/>
        </w:r>
        <w:r>
          <w:rPr>
            <w:noProof/>
            <w:webHidden/>
          </w:rPr>
          <w:instrText xml:space="preserve"> PAGEREF _Toc242882997 \h </w:instrText>
        </w:r>
        <w:r>
          <w:rPr>
            <w:noProof/>
            <w:webHidden/>
          </w:rPr>
        </w:r>
        <w:r>
          <w:rPr>
            <w:noProof/>
            <w:webHidden/>
          </w:rPr>
          <w:fldChar w:fldCharType="separate"/>
        </w:r>
        <w:r>
          <w:rPr>
            <w:noProof/>
            <w:webHidden/>
          </w:rPr>
          <w:t>362</w:t>
        </w:r>
        <w:r>
          <w:rPr>
            <w:noProof/>
            <w:webHidden/>
          </w:rPr>
          <w:fldChar w:fldCharType="end"/>
        </w:r>
      </w:hyperlink>
    </w:p>
    <w:p w14:paraId="74027ED6" w14:textId="7BA017A3" w:rsidR="00942359" w:rsidRDefault="00942359">
      <w:pPr>
        <w:pStyle w:val="TOC2"/>
        <w:tabs>
          <w:tab w:val="right" w:leader="dot" w:pos="9350"/>
        </w:tabs>
        <w:rPr>
          <w:rFonts w:eastAsiaTheme="minorEastAsia"/>
          <w:b w:val="0"/>
          <w:bCs w:val="0"/>
          <w:noProof/>
          <w:sz w:val="24"/>
          <w:szCs w:val="24"/>
          <w:lang w:val="en-US" w:eastAsia="zh-CN"/>
        </w:rPr>
      </w:pPr>
      <w:hyperlink w:anchor="_Toc242882998" w:history="1">
        <w:r w:rsidRPr="00F16F96">
          <w:rPr>
            <w:rStyle w:val="Hyperlink"/>
            <w:rFonts w:asciiTheme="majorHAnsi" w:eastAsiaTheme="majorEastAsia" w:hAnsiTheme="majorHAnsi" w:cstheme="majorBidi"/>
            <w:noProof/>
            <w:lang w:val="es-ES"/>
          </w:rPr>
          <w:t>II.C Progresos colectivos en la consecución de los objetivos para 2050</w:t>
        </w:r>
        <w:r>
          <w:rPr>
            <w:noProof/>
            <w:webHidden/>
          </w:rPr>
          <w:tab/>
        </w:r>
        <w:r>
          <w:rPr>
            <w:noProof/>
            <w:webHidden/>
          </w:rPr>
          <w:fldChar w:fldCharType="begin"/>
        </w:r>
        <w:r>
          <w:rPr>
            <w:noProof/>
            <w:webHidden/>
          </w:rPr>
          <w:instrText xml:space="preserve"> PAGEREF _Toc242882998 \h </w:instrText>
        </w:r>
        <w:r>
          <w:rPr>
            <w:noProof/>
            <w:webHidden/>
          </w:rPr>
        </w:r>
        <w:r>
          <w:rPr>
            <w:noProof/>
            <w:webHidden/>
          </w:rPr>
          <w:fldChar w:fldCharType="separate"/>
        </w:r>
        <w:r>
          <w:rPr>
            <w:noProof/>
            <w:webHidden/>
          </w:rPr>
          <w:t>374</w:t>
        </w:r>
        <w:r>
          <w:rPr>
            <w:noProof/>
            <w:webHidden/>
          </w:rPr>
          <w:fldChar w:fldCharType="end"/>
        </w:r>
      </w:hyperlink>
    </w:p>
    <w:p w14:paraId="1EC8D998" w14:textId="6F938DFF" w:rsidR="00942359" w:rsidRDefault="00942359">
      <w:pPr>
        <w:pStyle w:val="TOC4"/>
        <w:tabs>
          <w:tab w:val="right" w:leader="dot" w:pos="9350"/>
        </w:tabs>
        <w:rPr>
          <w:rFonts w:eastAsiaTheme="minorEastAsia"/>
          <w:noProof/>
          <w:sz w:val="24"/>
          <w:szCs w:val="24"/>
          <w:lang w:val="en-US" w:eastAsia="zh-CN"/>
        </w:rPr>
      </w:pPr>
      <w:hyperlink w:anchor="_Toc242882999" w:history="1">
        <w:r w:rsidRPr="00F16F96">
          <w:rPr>
            <w:rStyle w:val="Hyperlink"/>
            <w:rFonts w:eastAsiaTheme="majorEastAsia" w:cstheme="majorBidi"/>
            <w:iCs/>
            <w:noProof/>
            <w:lang w:val="es-ES"/>
          </w:rPr>
          <w:t>Objetivo A. Proteger y restaurar</w:t>
        </w:r>
        <w:r>
          <w:rPr>
            <w:noProof/>
            <w:webHidden/>
          </w:rPr>
          <w:tab/>
        </w:r>
        <w:r>
          <w:rPr>
            <w:noProof/>
            <w:webHidden/>
          </w:rPr>
          <w:fldChar w:fldCharType="begin"/>
        </w:r>
        <w:r>
          <w:rPr>
            <w:noProof/>
            <w:webHidden/>
          </w:rPr>
          <w:instrText xml:space="preserve"> PAGEREF _Toc242882999 \h </w:instrText>
        </w:r>
        <w:r>
          <w:rPr>
            <w:noProof/>
            <w:webHidden/>
          </w:rPr>
        </w:r>
        <w:r>
          <w:rPr>
            <w:noProof/>
            <w:webHidden/>
          </w:rPr>
          <w:fldChar w:fldCharType="separate"/>
        </w:r>
        <w:r>
          <w:rPr>
            <w:noProof/>
            <w:webHidden/>
          </w:rPr>
          <w:t>377</w:t>
        </w:r>
        <w:r>
          <w:rPr>
            <w:noProof/>
            <w:webHidden/>
          </w:rPr>
          <w:fldChar w:fldCharType="end"/>
        </w:r>
      </w:hyperlink>
    </w:p>
    <w:p w14:paraId="1A506DD1" w14:textId="519395E3" w:rsidR="00942359" w:rsidRDefault="00942359">
      <w:pPr>
        <w:pStyle w:val="TOC4"/>
        <w:tabs>
          <w:tab w:val="right" w:leader="dot" w:pos="9350"/>
        </w:tabs>
        <w:rPr>
          <w:rFonts w:eastAsiaTheme="minorEastAsia"/>
          <w:noProof/>
          <w:sz w:val="24"/>
          <w:szCs w:val="24"/>
          <w:lang w:val="en-US" w:eastAsia="zh-CN"/>
        </w:rPr>
      </w:pPr>
      <w:hyperlink w:anchor="_Toc242883000" w:history="1">
        <w:r w:rsidRPr="00F16F96">
          <w:rPr>
            <w:rStyle w:val="Hyperlink"/>
            <w:rFonts w:eastAsiaTheme="majorEastAsia" w:cstheme="majorBidi"/>
            <w:b/>
            <w:iCs/>
            <w:noProof/>
            <w:lang w:val="es-ES"/>
          </w:rPr>
          <w:t>Objetivo B.</w:t>
        </w:r>
        <w:r w:rsidRPr="00F16F96">
          <w:rPr>
            <w:rStyle w:val="Hyperlink"/>
            <w:rFonts w:eastAsiaTheme="majorEastAsia" w:cstheme="majorBidi"/>
            <w:iCs/>
            <w:noProof/>
            <w:lang w:val="es-ES"/>
          </w:rPr>
          <w:t xml:space="preserve"> Prosperar con la naturaleza</w:t>
        </w:r>
        <w:r>
          <w:rPr>
            <w:noProof/>
            <w:webHidden/>
          </w:rPr>
          <w:tab/>
        </w:r>
        <w:r>
          <w:rPr>
            <w:noProof/>
            <w:webHidden/>
          </w:rPr>
          <w:fldChar w:fldCharType="begin"/>
        </w:r>
        <w:r>
          <w:rPr>
            <w:noProof/>
            <w:webHidden/>
          </w:rPr>
          <w:instrText xml:space="preserve"> PAGEREF _Toc242883000 \h </w:instrText>
        </w:r>
        <w:r>
          <w:rPr>
            <w:noProof/>
            <w:webHidden/>
          </w:rPr>
        </w:r>
        <w:r>
          <w:rPr>
            <w:noProof/>
            <w:webHidden/>
          </w:rPr>
          <w:fldChar w:fldCharType="separate"/>
        </w:r>
        <w:r>
          <w:rPr>
            <w:noProof/>
            <w:webHidden/>
          </w:rPr>
          <w:t>386</w:t>
        </w:r>
        <w:r>
          <w:rPr>
            <w:noProof/>
            <w:webHidden/>
          </w:rPr>
          <w:fldChar w:fldCharType="end"/>
        </w:r>
      </w:hyperlink>
    </w:p>
    <w:p w14:paraId="1A91BD59" w14:textId="1D6FBF73" w:rsidR="00942359" w:rsidRDefault="00942359">
      <w:pPr>
        <w:pStyle w:val="TOC4"/>
        <w:tabs>
          <w:tab w:val="right" w:leader="dot" w:pos="9350"/>
        </w:tabs>
        <w:rPr>
          <w:rFonts w:eastAsiaTheme="minorEastAsia"/>
          <w:noProof/>
          <w:sz w:val="24"/>
          <w:szCs w:val="24"/>
          <w:lang w:val="en-US" w:eastAsia="zh-CN"/>
        </w:rPr>
      </w:pPr>
      <w:hyperlink w:anchor="_Toc242883001" w:history="1">
        <w:r w:rsidRPr="00F16F96">
          <w:rPr>
            <w:rStyle w:val="Hyperlink"/>
            <w:rFonts w:eastAsiaTheme="majorEastAsia" w:cstheme="majorBidi"/>
            <w:b/>
            <w:iCs/>
            <w:noProof/>
            <w:lang w:val="es-ES"/>
          </w:rPr>
          <w:t>Objetivo C.</w:t>
        </w:r>
        <w:r w:rsidRPr="00F16F96">
          <w:rPr>
            <w:rStyle w:val="Hyperlink"/>
            <w:rFonts w:eastAsiaTheme="majorEastAsia" w:cstheme="majorBidi"/>
            <w:iCs/>
            <w:noProof/>
            <w:lang w:val="es-ES"/>
          </w:rPr>
          <w:t xml:space="preserve"> Compartir los beneficios de los recursos genéticos de manera justa</w:t>
        </w:r>
        <w:r>
          <w:rPr>
            <w:noProof/>
            <w:webHidden/>
          </w:rPr>
          <w:tab/>
        </w:r>
        <w:r>
          <w:rPr>
            <w:noProof/>
            <w:webHidden/>
          </w:rPr>
          <w:fldChar w:fldCharType="begin"/>
        </w:r>
        <w:r>
          <w:rPr>
            <w:noProof/>
            <w:webHidden/>
          </w:rPr>
          <w:instrText xml:space="preserve"> PAGEREF _Toc242883001 \h </w:instrText>
        </w:r>
        <w:r>
          <w:rPr>
            <w:noProof/>
            <w:webHidden/>
          </w:rPr>
        </w:r>
        <w:r>
          <w:rPr>
            <w:noProof/>
            <w:webHidden/>
          </w:rPr>
          <w:fldChar w:fldCharType="separate"/>
        </w:r>
        <w:r>
          <w:rPr>
            <w:noProof/>
            <w:webHidden/>
          </w:rPr>
          <w:t>394</w:t>
        </w:r>
        <w:r>
          <w:rPr>
            <w:noProof/>
            <w:webHidden/>
          </w:rPr>
          <w:fldChar w:fldCharType="end"/>
        </w:r>
      </w:hyperlink>
    </w:p>
    <w:p w14:paraId="6419D1AD" w14:textId="064FA0D9" w:rsidR="00942359" w:rsidRDefault="00942359">
      <w:pPr>
        <w:pStyle w:val="TOC4"/>
        <w:tabs>
          <w:tab w:val="right" w:leader="dot" w:pos="9350"/>
        </w:tabs>
        <w:rPr>
          <w:rFonts w:eastAsiaTheme="minorEastAsia"/>
          <w:noProof/>
          <w:sz w:val="24"/>
          <w:szCs w:val="24"/>
          <w:lang w:val="en-US" w:eastAsia="zh-CN"/>
        </w:rPr>
      </w:pPr>
      <w:hyperlink w:anchor="_Toc242883002" w:history="1">
        <w:r w:rsidRPr="00F16F96">
          <w:rPr>
            <w:rStyle w:val="Hyperlink"/>
            <w:rFonts w:eastAsiaTheme="majorEastAsia" w:cstheme="majorBidi"/>
            <w:b/>
            <w:iCs/>
            <w:noProof/>
            <w:lang w:val="es-ES"/>
          </w:rPr>
          <w:t>Objetivo D.</w:t>
        </w:r>
        <w:r w:rsidRPr="00F16F96">
          <w:rPr>
            <w:rStyle w:val="Hyperlink"/>
            <w:rFonts w:eastAsiaTheme="majorEastAsia" w:cstheme="majorBidi"/>
            <w:iCs/>
            <w:noProof/>
            <w:lang w:val="es-ES"/>
          </w:rPr>
          <w:t xml:space="preserve"> Invertir y colaborar</w:t>
        </w:r>
        <w:r>
          <w:rPr>
            <w:noProof/>
            <w:webHidden/>
          </w:rPr>
          <w:tab/>
        </w:r>
        <w:r>
          <w:rPr>
            <w:noProof/>
            <w:webHidden/>
          </w:rPr>
          <w:fldChar w:fldCharType="begin"/>
        </w:r>
        <w:r>
          <w:rPr>
            <w:noProof/>
            <w:webHidden/>
          </w:rPr>
          <w:instrText xml:space="preserve"> PAGEREF _Toc242883002 \h </w:instrText>
        </w:r>
        <w:r>
          <w:rPr>
            <w:noProof/>
            <w:webHidden/>
          </w:rPr>
        </w:r>
        <w:r>
          <w:rPr>
            <w:noProof/>
            <w:webHidden/>
          </w:rPr>
          <w:fldChar w:fldCharType="separate"/>
        </w:r>
        <w:r>
          <w:rPr>
            <w:noProof/>
            <w:webHidden/>
          </w:rPr>
          <w:t>400</w:t>
        </w:r>
        <w:r>
          <w:rPr>
            <w:noProof/>
            <w:webHidden/>
          </w:rPr>
          <w:fldChar w:fldCharType="end"/>
        </w:r>
      </w:hyperlink>
    </w:p>
    <w:p w14:paraId="4D8DCB97" w14:textId="4CABD531" w:rsidR="00942359" w:rsidRDefault="00942359">
      <w:pPr>
        <w:pStyle w:val="TOC2"/>
        <w:tabs>
          <w:tab w:val="right" w:leader="dot" w:pos="9350"/>
        </w:tabs>
        <w:rPr>
          <w:rFonts w:eastAsiaTheme="minorEastAsia"/>
          <w:b w:val="0"/>
          <w:bCs w:val="0"/>
          <w:noProof/>
          <w:sz w:val="24"/>
          <w:szCs w:val="24"/>
          <w:lang w:val="en-US" w:eastAsia="zh-CN"/>
        </w:rPr>
      </w:pPr>
      <w:hyperlink w:anchor="_Toc242883003" w:history="1">
        <w:r w:rsidRPr="00F16F96">
          <w:rPr>
            <w:rStyle w:val="Hyperlink"/>
            <w:rFonts w:asciiTheme="majorHAnsi" w:eastAsiaTheme="majorEastAsia" w:hAnsiTheme="majorHAnsi" w:cstheme="majorBidi"/>
            <w:noProof/>
            <w:lang w:val="es-ES"/>
          </w:rPr>
          <w:t>II.D Provisión de medios de implementación</w:t>
        </w:r>
        <w:r>
          <w:rPr>
            <w:noProof/>
            <w:webHidden/>
          </w:rPr>
          <w:tab/>
        </w:r>
        <w:r>
          <w:rPr>
            <w:noProof/>
            <w:webHidden/>
          </w:rPr>
          <w:fldChar w:fldCharType="begin"/>
        </w:r>
        <w:r>
          <w:rPr>
            <w:noProof/>
            <w:webHidden/>
          </w:rPr>
          <w:instrText xml:space="preserve"> PAGEREF _Toc242883003 \h </w:instrText>
        </w:r>
        <w:r>
          <w:rPr>
            <w:noProof/>
            <w:webHidden/>
          </w:rPr>
        </w:r>
        <w:r>
          <w:rPr>
            <w:noProof/>
            <w:webHidden/>
          </w:rPr>
          <w:fldChar w:fldCharType="separate"/>
        </w:r>
        <w:r>
          <w:rPr>
            <w:noProof/>
            <w:webHidden/>
          </w:rPr>
          <w:t>407</w:t>
        </w:r>
        <w:r>
          <w:rPr>
            <w:noProof/>
            <w:webHidden/>
          </w:rPr>
          <w:fldChar w:fldCharType="end"/>
        </w:r>
      </w:hyperlink>
    </w:p>
    <w:p w14:paraId="53C82F5A" w14:textId="6C8D3C7F" w:rsidR="00942359" w:rsidRDefault="00942359">
      <w:pPr>
        <w:pStyle w:val="TOC3"/>
        <w:rPr>
          <w:rFonts w:eastAsiaTheme="minorEastAsia"/>
          <w:noProof/>
          <w:sz w:val="24"/>
          <w:szCs w:val="24"/>
          <w:lang w:val="en-US" w:eastAsia="zh-CN"/>
        </w:rPr>
      </w:pPr>
      <w:hyperlink w:anchor="_Toc242883004" w:history="1">
        <w:r w:rsidRPr="00F16F96">
          <w:rPr>
            <w:rStyle w:val="Hyperlink"/>
            <w:rFonts w:eastAsiaTheme="majorEastAsia" w:cstheme="majorBidi"/>
            <w:noProof/>
            <w:lang w:val="es-ES"/>
          </w:rPr>
          <w:t>Introducción</w:t>
        </w:r>
        <w:r>
          <w:rPr>
            <w:noProof/>
            <w:webHidden/>
          </w:rPr>
          <w:tab/>
        </w:r>
        <w:r>
          <w:rPr>
            <w:noProof/>
            <w:webHidden/>
          </w:rPr>
          <w:fldChar w:fldCharType="begin"/>
        </w:r>
        <w:r>
          <w:rPr>
            <w:noProof/>
            <w:webHidden/>
          </w:rPr>
          <w:instrText xml:space="preserve"> PAGEREF _Toc242883004 \h </w:instrText>
        </w:r>
        <w:r>
          <w:rPr>
            <w:noProof/>
            <w:webHidden/>
          </w:rPr>
        </w:r>
        <w:r>
          <w:rPr>
            <w:noProof/>
            <w:webHidden/>
          </w:rPr>
          <w:fldChar w:fldCharType="separate"/>
        </w:r>
        <w:r>
          <w:rPr>
            <w:noProof/>
            <w:webHidden/>
          </w:rPr>
          <w:t>407</w:t>
        </w:r>
        <w:r>
          <w:rPr>
            <w:noProof/>
            <w:webHidden/>
          </w:rPr>
          <w:fldChar w:fldCharType="end"/>
        </w:r>
      </w:hyperlink>
    </w:p>
    <w:p w14:paraId="41CD852F" w14:textId="77BE8626" w:rsidR="00942359" w:rsidRDefault="00942359">
      <w:pPr>
        <w:pStyle w:val="TOC3"/>
        <w:rPr>
          <w:rFonts w:eastAsiaTheme="minorEastAsia"/>
          <w:noProof/>
          <w:sz w:val="24"/>
          <w:szCs w:val="24"/>
          <w:lang w:val="en-US" w:eastAsia="zh-CN"/>
        </w:rPr>
      </w:pPr>
      <w:hyperlink w:anchor="_Toc242883005" w:history="1">
        <w:r w:rsidRPr="00F16F96">
          <w:rPr>
            <w:rStyle w:val="Hyperlink"/>
            <w:rFonts w:eastAsiaTheme="majorEastAsia" w:cstheme="majorBidi"/>
            <w:noProof/>
            <w:lang w:val="es-ES"/>
          </w:rPr>
          <w:t>Análisis de las necesidades</w:t>
        </w:r>
        <w:r>
          <w:rPr>
            <w:noProof/>
            <w:webHidden/>
          </w:rPr>
          <w:tab/>
        </w:r>
        <w:r>
          <w:rPr>
            <w:noProof/>
            <w:webHidden/>
          </w:rPr>
          <w:fldChar w:fldCharType="begin"/>
        </w:r>
        <w:r>
          <w:rPr>
            <w:noProof/>
            <w:webHidden/>
          </w:rPr>
          <w:instrText xml:space="preserve"> PAGEREF _Toc242883005 \h </w:instrText>
        </w:r>
        <w:r>
          <w:rPr>
            <w:noProof/>
            <w:webHidden/>
          </w:rPr>
        </w:r>
        <w:r>
          <w:rPr>
            <w:noProof/>
            <w:webHidden/>
          </w:rPr>
          <w:fldChar w:fldCharType="separate"/>
        </w:r>
        <w:r>
          <w:rPr>
            <w:noProof/>
            <w:webHidden/>
          </w:rPr>
          <w:t>408</w:t>
        </w:r>
        <w:r>
          <w:rPr>
            <w:noProof/>
            <w:webHidden/>
          </w:rPr>
          <w:fldChar w:fldCharType="end"/>
        </w:r>
      </w:hyperlink>
    </w:p>
    <w:p w14:paraId="047B2EB9" w14:textId="5B50D1E6" w:rsidR="00942359" w:rsidRDefault="00942359">
      <w:pPr>
        <w:pStyle w:val="TOC4"/>
        <w:tabs>
          <w:tab w:val="right" w:leader="dot" w:pos="9350"/>
        </w:tabs>
        <w:rPr>
          <w:rFonts w:eastAsiaTheme="minorEastAsia"/>
          <w:noProof/>
          <w:sz w:val="24"/>
          <w:szCs w:val="24"/>
          <w:lang w:val="en-US" w:eastAsia="zh-CN"/>
        </w:rPr>
      </w:pPr>
      <w:hyperlink w:anchor="_Toc242883006" w:history="1">
        <w:r w:rsidRPr="00F16F96">
          <w:rPr>
            <w:rStyle w:val="Hyperlink"/>
            <w:rFonts w:eastAsiaTheme="majorEastAsia" w:cstheme="majorBidi"/>
            <w:i/>
            <w:iCs/>
            <w:noProof/>
            <w:lang w:val="es-ES"/>
          </w:rPr>
          <w:t>Recursos financieros</w:t>
        </w:r>
        <w:r>
          <w:rPr>
            <w:noProof/>
            <w:webHidden/>
          </w:rPr>
          <w:tab/>
        </w:r>
        <w:r>
          <w:rPr>
            <w:noProof/>
            <w:webHidden/>
          </w:rPr>
          <w:fldChar w:fldCharType="begin"/>
        </w:r>
        <w:r>
          <w:rPr>
            <w:noProof/>
            <w:webHidden/>
          </w:rPr>
          <w:instrText xml:space="preserve"> PAGEREF _Toc242883006 \h </w:instrText>
        </w:r>
        <w:r>
          <w:rPr>
            <w:noProof/>
            <w:webHidden/>
          </w:rPr>
        </w:r>
        <w:r>
          <w:rPr>
            <w:noProof/>
            <w:webHidden/>
          </w:rPr>
          <w:fldChar w:fldCharType="separate"/>
        </w:r>
        <w:r>
          <w:rPr>
            <w:noProof/>
            <w:webHidden/>
          </w:rPr>
          <w:t>408</w:t>
        </w:r>
        <w:r>
          <w:rPr>
            <w:noProof/>
            <w:webHidden/>
          </w:rPr>
          <w:fldChar w:fldCharType="end"/>
        </w:r>
      </w:hyperlink>
    </w:p>
    <w:p w14:paraId="04BC3019" w14:textId="4DF69025" w:rsidR="00942359" w:rsidRDefault="00942359">
      <w:pPr>
        <w:pStyle w:val="TOC4"/>
        <w:tabs>
          <w:tab w:val="right" w:leader="dot" w:pos="9350"/>
        </w:tabs>
        <w:rPr>
          <w:rFonts w:eastAsiaTheme="minorEastAsia"/>
          <w:noProof/>
          <w:sz w:val="24"/>
          <w:szCs w:val="24"/>
          <w:lang w:val="en-US" w:eastAsia="zh-CN"/>
        </w:rPr>
      </w:pPr>
      <w:hyperlink w:anchor="_Toc242883007" w:history="1">
        <w:r w:rsidRPr="00F16F96">
          <w:rPr>
            <w:rStyle w:val="Hyperlink"/>
            <w:rFonts w:eastAsiaTheme="majorEastAsia" w:cstheme="majorBidi"/>
            <w:i/>
            <w:iCs/>
            <w:noProof/>
            <w:lang w:val="es-ES"/>
          </w:rPr>
          <w:t>Capacidad</w:t>
        </w:r>
        <w:r>
          <w:rPr>
            <w:noProof/>
            <w:webHidden/>
          </w:rPr>
          <w:tab/>
        </w:r>
        <w:r>
          <w:rPr>
            <w:noProof/>
            <w:webHidden/>
          </w:rPr>
          <w:fldChar w:fldCharType="begin"/>
        </w:r>
        <w:r>
          <w:rPr>
            <w:noProof/>
            <w:webHidden/>
          </w:rPr>
          <w:instrText xml:space="preserve"> PAGEREF _Toc242883007 \h </w:instrText>
        </w:r>
        <w:r>
          <w:rPr>
            <w:noProof/>
            <w:webHidden/>
          </w:rPr>
        </w:r>
        <w:r>
          <w:rPr>
            <w:noProof/>
            <w:webHidden/>
          </w:rPr>
          <w:fldChar w:fldCharType="separate"/>
        </w:r>
        <w:r>
          <w:rPr>
            <w:noProof/>
            <w:webHidden/>
          </w:rPr>
          <w:t>411</w:t>
        </w:r>
        <w:r>
          <w:rPr>
            <w:noProof/>
            <w:webHidden/>
          </w:rPr>
          <w:fldChar w:fldCharType="end"/>
        </w:r>
      </w:hyperlink>
    </w:p>
    <w:p w14:paraId="428DEE19" w14:textId="5D8E1B97" w:rsidR="00942359" w:rsidRDefault="00942359">
      <w:pPr>
        <w:pStyle w:val="TOC4"/>
        <w:tabs>
          <w:tab w:val="right" w:leader="dot" w:pos="9350"/>
        </w:tabs>
        <w:rPr>
          <w:rFonts w:eastAsiaTheme="minorEastAsia"/>
          <w:noProof/>
          <w:sz w:val="24"/>
          <w:szCs w:val="24"/>
          <w:lang w:val="en-US" w:eastAsia="zh-CN"/>
        </w:rPr>
      </w:pPr>
      <w:hyperlink w:anchor="_Toc242883008" w:history="1">
        <w:r w:rsidRPr="00F16F96">
          <w:rPr>
            <w:rStyle w:val="Hyperlink"/>
            <w:rFonts w:eastAsiaTheme="majorEastAsia" w:cstheme="majorBidi"/>
            <w:i/>
            <w:iCs/>
            <w:noProof/>
            <w:lang w:val="es-ES"/>
          </w:rPr>
          <w:t>Cooperación científica y técnica</w:t>
        </w:r>
        <w:r>
          <w:rPr>
            <w:noProof/>
            <w:webHidden/>
          </w:rPr>
          <w:tab/>
        </w:r>
        <w:r>
          <w:rPr>
            <w:noProof/>
            <w:webHidden/>
          </w:rPr>
          <w:fldChar w:fldCharType="begin"/>
        </w:r>
        <w:r>
          <w:rPr>
            <w:noProof/>
            <w:webHidden/>
          </w:rPr>
          <w:instrText xml:space="preserve"> PAGEREF _Toc242883008 \h </w:instrText>
        </w:r>
        <w:r>
          <w:rPr>
            <w:noProof/>
            <w:webHidden/>
          </w:rPr>
        </w:r>
        <w:r>
          <w:rPr>
            <w:noProof/>
            <w:webHidden/>
          </w:rPr>
          <w:fldChar w:fldCharType="separate"/>
        </w:r>
        <w:r>
          <w:rPr>
            <w:noProof/>
            <w:webHidden/>
          </w:rPr>
          <w:t>413</w:t>
        </w:r>
        <w:r>
          <w:rPr>
            <w:noProof/>
            <w:webHidden/>
          </w:rPr>
          <w:fldChar w:fldCharType="end"/>
        </w:r>
      </w:hyperlink>
    </w:p>
    <w:p w14:paraId="59F405B4" w14:textId="40D98A1E" w:rsidR="00942359" w:rsidRDefault="00942359">
      <w:pPr>
        <w:pStyle w:val="TOC4"/>
        <w:tabs>
          <w:tab w:val="right" w:leader="dot" w:pos="9350"/>
        </w:tabs>
        <w:rPr>
          <w:rFonts w:eastAsiaTheme="minorEastAsia"/>
          <w:noProof/>
          <w:sz w:val="24"/>
          <w:szCs w:val="24"/>
          <w:lang w:val="en-US" w:eastAsia="zh-CN"/>
        </w:rPr>
      </w:pPr>
      <w:hyperlink w:anchor="_Toc242883009" w:history="1">
        <w:r w:rsidRPr="00F16F96">
          <w:rPr>
            <w:rStyle w:val="Hyperlink"/>
            <w:rFonts w:eastAsiaTheme="majorEastAsia" w:cstheme="majorBidi"/>
            <w:i/>
            <w:iCs/>
            <w:noProof/>
            <w:lang w:val="es-ES"/>
          </w:rPr>
          <w:t>Acceso a la tecnología y su transferencia</w:t>
        </w:r>
        <w:r>
          <w:rPr>
            <w:noProof/>
            <w:webHidden/>
          </w:rPr>
          <w:tab/>
        </w:r>
        <w:r>
          <w:rPr>
            <w:noProof/>
            <w:webHidden/>
          </w:rPr>
          <w:fldChar w:fldCharType="begin"/>
        </w:r>
        <w:r>
          <w:rPr>
            <w:noProof/>
            <w:webHidden/>
          </w:rPr>
          <w:instrText xml:space="preserve"> PAGEREF _Toc242883009 \h </w:instrText>
        </w:r>
        <w:r>
          <w:rPr>
            <w:noProof/>
            <w:webHidden/>
          </w:rPr>
        </w:r>
        <w:r>
          <w:rPr>
            <w:noProof/>
            <w:webHidden/>
          </w:rPr>
          <w:fldChar w:fldCharType="separate"/>
        </w:r>
        <w:r>
          <w:rPr>
            <w:noProof/>
            <w:webHidden/>
          </w:rPr>
          <w:t>415</w:t>
        </w:r>
        <w:r>
          <w:rPr>
            <w:noProof/>
            <w:webHidden/>
          </w:rPr>
          <w:fldChar w:fldCharType="end"/>
        </w:r>
      </w:hyperlink>
    </w:p>
    <w:p w14:paraId="018BB551" w14:textId="7F71D39D" w:rsidR="00942359" w:rsidRDefault="00942359">
      <w:pPr>
        <w:pStyle w:val="TOC4"/>
        <w:tabs>
          <w:tab w:val="right" w:leader="dot" w:pos="9350"/>
        </w:tabs>
        <w:rPr>
          <w:rFonts w:eastAsiaTheme="minorEastAsia"/>
          <w:noProof/>
          <w:sz w:val="24"/>
          <w:szCs w:val="24"/>
          <w:lang w:val="en-US" w:eastAsia="zh-CN"/>
        </w:rPr>
      </w:pPr>
      <w:hyperlink w:anchor="_Toc242883010" w:history="1">
        <w:r w:rsidRPr="00F16F96">
          <w:rPr>
            <w:rStyle w:val="Hyperlink"/>
            <w:rFonts w:eastAsiaTheme="majorEastAsia" w:cstheme="majorBidi"/>
            <w:i/>
            <w:iCs/>
            <w:noProof/>
            <w:lang w:val="es-ES"/>
          </w:rPr>
          <w:t>Panorama general de las necesidades relacionadas con los medios de implementación</w:t>
        </w:r>
        <w:r>
          <w:rPr>
            <w:noProof/>
            <w:webHidden/>
          </w:rPr>
          <w:tab/>
        </w:r>
        <w:r>
          <w:rPr>
            <w:noProof/>
            <w:webHidden/>
          </w:rPr>
          <w:fldChar w:fldCharType="begin"/>
        </w:r>
        <w:r>
          <w:rPr>
            <w:noProof/>
            <w:webHidden/>
          </w:rPr>
          <w:instrText xml:space="preserve"> PAGEREF _Toc242883010 \h </w:instrText>
        </w:r>
        <w:r>
          <w:rPr>
            <w:noProof/>
            <w:webHidden/>
          </w:rPr>
        </w:r>
        <w:r>
          <w:rPr>
            <w:noProof/>
            <w:webHidden/>
          </w:rPr>
          <w:fldChar w:fldCharType="separate"/>
        </w:r>
        <w:r>
          <w:rPr>
            <w:noProof/>
            <w:webHidden/>
          </w:rPr>
          <w:t>416</w:t>
        </w:r>
        <w:r>
          <w:rPr>
            <w:noProof/>
            <w:webHidden/>
          </w:rPr>
          <w:fldChar w:fldCharType="end"/>
        </w:r>
      </w:hyperlink>
    </w:p>
    <w:p w14:paraId="67B79F9E" w14:textId="6803BD7E" w:rsidR="00942359" w:rsidRDefault="00942359">
      <w:pPr>
        <w:pStyle w:val="TOC3"/>
        <w:rPr>
          <w:rFonts w:eastAsiaTheme="minorEastAsia"/>
          <w:noProof/>
          <w:sz w:val="24"/>
          <w:szCs w:val="24"/>
          <w:lang w:val="en-US" w:eastAsia="zh-CN"/>
        </w:rPr>
      </w:pPr>
      <w:hyperlink w:anchor="_Toc242883011" w:history="1">
        <w:r w:rsidRPr="00F16F96">
          <w:rPr>
            <w:rStyle w:val="Hyperlink"/>
            <w:rFonts w:eastAsiaTheme="majorEastAsia" w:cstheme="majorBidi"/>
            <w:noProof/>
            <w:lang w:val="es-ES"/>
          </w:rPr>
          <w:t>Análisis de la provisión de los medios de implementación</w:t>
        </w:r>
        <w:r>
          <w:rPr>
            <w:noProof/>
            <w:webHidden/>
          </w:rPr>
          <w:tab/>
        </w:r>
        <w:r>
          <w:rPr>
            <w:noProof/>
            <w:webHidden/>
          </w:rPr>
          <w:fldChar w:fldCharType="begin"/>
        </w:r>
        <w:r>
          <w:rPr>
            <w:noProof/>
            <w:webHidden/>
          </w:rPr>
          <w:instrText xml:space="preserve"> PAGEREF _Toc242883011 \h </w:instrText>
        </w:r>
        <w:r>
          <w:rPr>
            <w:noProof/>
            <w:webHidden/>
          </w:rPr>
        </w:r>
        <w:r>
          <w:rPr>
            <w:noProof/>
            <w:webHidden/>
          </w:rPr>
          <w:fldChar w:fldCharType="separate"/>
        </w:r>
        <w:r>
          <w:rPr>
            <w:noProof/>
            <w:webHidden/>
          </w:rPr>
          <w:t>417</w:t>
        </w:r>
        <w:r>
          <w:rPr>
            <w:noProof/>
            <w:webHidden/>
          </w:rPr>
          <w:fldChar w:fldCharType="end"/>
        </w:r>
      </w:hyperlink>
    </w:p>
    <w:p w14:paraId="0A735D46" w14:textId="2060991C" w:rsidR="00942359" w:rsidRDefault="00942359">
      <w:pPr>
        <w:pStyle w:val="TOC4"/>
        <w:tabs>
          <w:tab w:val="right" w:leader="dot" w:pos="9350"/>
        </w:tabs>
        <w:rPr>
          <w:rFonts w:eastAsiaTheme="minorEastAsia"/>
          <w:noProof/>
          <w:sz w:val="24"/>
          <w:szCs w:val="24"/>
          <w:lang w:val="en-US" w:eastAsia="zh-CN"/>
        </w:rPr>
      </w:pPr>
      <w:hyperlink w:anchor="_Toc242883012" w:history="1">
        <w:r w:rsidRPr="00F16F96">
          <w:rPr>
            <w:rStyle w:val="Hyperlink"/>
            <w:rFonts w:eastAsiaTheme="majorEastAsia" w:cstheme="majorBidi"/>
            <w:i/>
            <w:iCs/>
            <w:noProof/>
            <w:lang w:val="es-ES"/>
          </w:rPr>
          <w:t>Recursos financieros</w:t>
        </w:r>
        <w:r>
          <w:rPr>
            <w:noProof/>
            <w:webHidden/>
          </w:rPr>
          <w:tab/>
        </w:r>
        <w:r>
          <w:rPr>
            <w:noProof/>
            <w:webHidden/>
          </w:rPr>
          <w:fldChar w:fldCharType="begin"/>
        </w:r>
        <w:r>
          <w:rPr>
            <w:noProof/>
            <w:webHidden/>
          </w:rPr>
          <w:instrText xml:space="preserve"> PAGEREF _Toc242883012 \h </w:instrText>
        </w:r>
        <w:r>
          <w:rPr>
            <w:noProof/>
            <w:webHidden/>
          </w:rPr>
        </w:r>
        <w:r>
          <w:rPr>
            <w:noProof/>
            <w:webHidden/>
          </w:rPr>
          <w:fldChar w:fldCharType="separate"/>
        </w:r>
        <w:r>
          <w:rPr>
            <w:noProof/>
            <w:webHidden/>
          </w:rPr>
          <w:t>417</w:t>
        </w:r>
        <w:r>
          <w:rPr>
            <w:noProof/>
            <w:webHidden/>
          </w:rPr>
          <w:fldChar w:fldCharType="end"/>
        </w:r>
      </w:hyperlink>
    </w:p>
    <w:p w14:paraId="06CE0273" w14:textId="56D1BB71" w:rsidR="00942359" w:rsidRDefault="00942359">
      <w:pPr>
        <w:pStyle w:val="TOC4"/>
        <w:tabs>
          <w:tab w:val="right" w:leader="dot" w:pos="9350"/>
        </w:tabs>
        <w:rPr>
          <w:rFonts w:eastAsiaTheme="minorEastAsia"/>
          <w:noProof/>
          <w:sz w:val="24"/>
          <w:szCs w:val="24"/>
          <w:lang w:val="en-US" w:eastAsia="zh-CN"/>
        </w:rPr>
      </w:pPr>
      <w:hyperlink w:anchor="_Toc242883013" w:history="1">
        <w:r w:rsidRPr="00F16F96">
          <w:rPr>
            <w:rStyle w:val="Hyperlink"/>
            <w:rFonts w:eastAsiaTheme="majorEastAsia" w:cstheme="majorBidi"/>
            <w:i/>
            <w:iCs/>
            <w:noProof/>
            <w:lang w:val="es-ES"/>
          </w:rPr>
          <w:t>Capacidad</w:t>
        </w:r>
        <w:r>
          <w:rPr>
            <w:noProof/>
            <w:webHidden/>
          </w:rPr>
          <w:tab/>
        </w:r>
        <w:r>
          <w:rPr>
            <w:noProof/>
            <w:webHidden/>
          </w:rPr>
          <w:fldChar w:fldCharType="begin"/>
        </w:r>
        <w:r>
          <w:rPr>
            <w:noProof/>
            <w:webHidden/>
          </w:rPr>
          <w:instrText xml:space="preserve"> PAGEREF _Toc242883013 \h </w:instrText>
        </w:r>
        <w:r>
          <w:rPr>
            <w:noProof/>
            <w:webHidden/>
          </w:rPr>
        </w:r>
        <w:r>
          <w:rPr>
            <w:noProof/>
            <w:webHidden/>
          </w:rPr>
          <w:fldChar w:fldCharType="separate"/>
        </w:r>
        <w:r>
          <w:rPr>
            <w:noProof/>
            <w:webHidden/>
          </w:rPr>
          <w:t>422</w:t>
        </w:r>
        <w:r>
          <w:rPr>
            <w:noProof/>
            <w:webHidden/>
          </w:rPr>
          <w:fldChar w:fldCharType="end"/>
        </w:r>
      </w:hyperlink>
    </w:p>
    <w:p w14:paraId="2840BC36" w14:textId="66D5FE39" w:rsidR="00942359" w:rsidRDefault="00942359">
      <w:pPr>
        <w:pStyle w:val="TOC4"/>
        <w:tabs>
          <w:tab w:val="right" w:leader="dot" w:pos="9350"/>
        </w:tabs>
        <w:rPr>
          <w:rFonts w:eastAsiaTheme="minorEastAsia"/>
          <w:noProof/>
          <w:sz w:val="24"/>
          <w:szCs w:val="24"/>
          <w:lang w:val="en-US" w:eastAsia="zh-CN"/>
        </w:rPr>
      </w:pPr>
      <w:hyperlink w:anchor="_Toc242883014" w:history="1">
        <w:r w:rsidRPr="00F16F96">
          <w:rPr>
            <w:rStyle w:val="Hyperlink"/>
            <w:rFonts w:eastAsiaTheme="majorEastAsia" w:cstheme="majorBidi"/>
            <w:i/>
            <w:iCs/>
            <w:noProof/>
            <w:lang w:val="es-ES"/>
          </w:rPr>
          <w:t>Cooperación científica y técnica</w:t>
        </w:r>
        <w:r>
          <w:rPr>
            <w:noProof/>
            <w:webHidden/>
          </w:rPr>
          <w:tab/>
        </w:r>
        <w:r>
          <w:rPr>
            <w:noProof/>
            <w:webHidden/>
          </w:rPr>
          <w:fldChar w:fldCharType="begin"/>
        </w:r>
        <w:r>
          <w:rPr>
            <w:noProof/>
            <w:webHidden/>
          </w:rPr>
          <w:instrText xml:space="preserve"> PAGEREF _Toc242883014 \h </w:instrText>
        </w:r>
        <w:r>
          <w:rPr>
            <w:noProof/>
            <w:webHidden/>
          </w:rPr>
        </w:r>
        <w:r>
          <w:rPr>
            <w:noProof/>
            <w:webHidden/>
          </w:rPr>
          <w:fldChar w:fldCharType="separate"/>
        </w:r>
        <w:r>
          <w:rPr>
            <w:noProof/>
            <w:webHidden/>
          </w:rPr>
          <w:t>423</w:t>
        </w:r>
        <w:r>
          <w:rPr>
            <w:noProof/>
            <w:webHidden/>
          </w:rPr>
          <w:fldChar w:fldCharType="end"/>
        </w:r>
      </w:hyperlink>
    </w:p>
    <w:p w14:paraId="56813391" w14:textId="5E96A882" w:rsidR="00942359" w:rsidRDefault="00942359">
      <w:pPr>
        <w:pStyle w:val="TOC4"/>
        <w:tabs>
          <w:tab w:val="right" w:leader="dot" w:pos="9350"/>
        </w:tabs>
        <w:rPr>
          <w:rFonts w:eastAsiaTheme="minorEastAsia"/>
          <w:noProof/>
          <w:sz w:val="24"/>
          <w:szCs w:val="24"/>
          <w:lang w:val="en-US" w:eastAsia="zh-CN"/>
        </w:rPr>
      </w:pPr>
      <w:hyperlink w:anchor="_Toc242883015" w:history="1">
        <w:r w:rsidRPr="00F16F96">
          <w:rPr>
            <w:rStyle w:val="Hyperlink"/>
            <w:rFonts w:eastAsiaTheme="majorEastAsia" w:cstheme="majorBidi"/>
            <w:i/>
            <w:iCs/>
            <w:noProof/>
            <w:lang w:val="es-ES"/>
          </w:rPr>
          <w:t>Acceso a la tecnología y su transferencia</w:t>
        </w:r>
        <w:r>
          <w:rPr>
            <w:noProof/>
            <w:webHidden/>
          </w:rPr>
          <w:tab/>
        </w:r>
        <w:r>
          <w:rPr>
            <w:noProof/>
            <w:webHidden/>
          </w:rPr>
          <w:fldChar w:fldCharType="begin"/>
        </w:r>
        <w:r>
          <w:rPr>
            <w:noProof/>
            <w:webHidden/>
          </w:rPr>
          <w:instrText xml:space="preserve"> PAGEREF _Toc242883015 \h </w:instrText>
        </w:r>
        <w:r>
          <w:rPr>
            <w:noProof/>
            <w:webHidden/>
          </w:rPr>
        </w:r>
        <w:r>
          <w:rPr>
            <w:noProof/>
            <w:webHidden/>
          </w:rPr>
          <w:fldChar w:fldCharType="separate"/>
        </w:r>
        <w:r>
          <w:rPr>
            <w:noProof/>
            <w:webHidden/>
          </w:rPr>
          <w:t>425</w:t>
        </w:r>
        <w:r>
          <w:rPr>
            <w:noProof/>
            <w:webHidden/>
          </w:rPr>
          <w:fldChar w:fldCharType="end"/>
        </w:r>
      </w:hyperlink>
    </w:p>
    <w:p w14:paraId="35A4143F" w14:textId="1B140BF3" w:rsidR="00942359" w:rsidRDefault="00942359">
      <w:pPr>
        <w:pStyle w:val="TOC4"/>
        <w:tabs>
          <w:tab w:val="right" w:leader="dot" w:pos="9350"/>
        </w:tabs>
        <w:rPr>
          <w:rFonts w:eastAsiaTheme="minorEastAsia"/>
          <w:noProof/>
          <w:sz w:val="24"/>
          <w:szCs w:val="24"/>
          <w:lang w:val="en-US" w:eastAsia="zh-CN"/>
        </w:rPr>
      </w:pPr>
      <w:hyperlink w:anchor="_Toc242883016" w:history="1">
        <w:r w:rsidRPr="00F16F96">
          <w:rPr>
            <w:rStyle w:val="Hyperlink"/>
            <w:rFonts w:eastAsiaTheme="majorEastAsia" w:cstheme="majorBidi"/>
            <w:i/>
            <w:iCs/>
            <w:noProof/>
            <w:lang w:val="es-ES"/>
          </w:rPr>
          <w:t>Observaciones finales</w:t>
        </w:r>
        <w:r>
          <w:rPr>
            <w:noProof/>
            <w:webHidden/>
          </w:rPr>
          <w:tab/>
        </w:r>
        <w:r>
          <w:rPr>
            <w:noProof/>
            <w:webHidden/>
          </w:rPr>
          <w:fldChar w:fldCharType="begin"/>
        </w:r>
        <w:r>
          <w:rPr>
            <w:noProof/>
            <w:webHidden/>
          </w:rPr>
          <w:instrText xml:space="preserve"> PAGEREF _Toc242883016 \h </w:instrText>
        </w:r>
        <w:r>
          <w:rPr>
            <w:noProof/>
            <w:webHidden/>
          </w:rPr>
        </w:r>
        <w:r>
          <w:rPr>
            <w:noProof/>
            <w:webHidden/>
          </w:rPr>
          <w:fldChar w:fldCharType="separate"/>
        </w:r>
        <w:r>
          <w:rPr>
            <w:noProof/>
            <w:webHidden/>
          </w:rPr>
          <w:t>425</w:t>
        </w:r>
        <w:r>
          <w:rPr>
            <w:noProof/>
            <w:webHidden/>
          </w:rPr>
          <w:fldChar w:fldCharType="end"/>
        </w:r>
      </w:hyperlink>
    </w:p>
    <w:p w14:paraId="72A9952B" w14:textId="0DDF7F1C" w:rsidR="00942359" w:rsidRDefault="00942359">
      <w:pPr>
        <w:pStyle w:val="TOC3"/>
        <w:rPr>
          <w:rFonts w:eastAsiaTheme="minorEastAsia"/>
          <w:noProof/>
          <w:sz w:val="24"/>
          <w:szCs w:val="24"/>
          <w:lang w:val="en-US" w:eastAsia="zh-CN"/>
        </w:rPr>
      </w:pPr>
      <w:hyperlink w:anchor="_Toc242883017" w:history="1">
        <w:r w:rsidRPr="00F16F96">
          <w:rPr>
            <w:rStyle w:val="Hyperlink"/>
            <w:rFonts w:eastAsiaTheme="majorEastAsia" w:cstheme="majorBidi"/>
            <w:noProof/>
            <w:lang w:val="es-ES"/>
          </w:rPr>
          <w:t>Medios de implementación para los pueblos indígenas y las comunidades locales, las mujeres, la juventud y otros interesados</w:t>
        </w:r>
        <w:r>
          <w:rPr>
            <w:noProof/>
            <w:webHidden/>
          </w:rPr>
          <w:tab/>
        </w:r>
        <w:r>
          <w:rPr>
            <w:noProof/>
            <w:webHidden/>
          </w:rPr>
          <w:fldChar w:fldCharType="begin"/>
        </w:r>
        <w:r>
          <w:rPr>
            <w:noProof/>
            <w:webHidden/>
          </w:rPr>
          <w:instrText xml:space="preserve"> PAGEREF _Toc242883017 \h </w:instrText>
        </w:r>
        <w:r>
          <w:rPr>
            <w:noProof/>
            <w:webHidden/>
          </w:rPr>
        </w:r>
        <w:r>
          <w:rPr>
            <w:noProof/>
            <w:webHidden/>
          </w:rPr>
          <w:fldChar w:fldCharType="separate"/>
        </w:r>
        <w:r>
          <w:rPr>
            <w:noProof/>
            <w:webHidden/>
          </w:rPr>
          <w:t>426</w:t>
        </w:r>
        <w:r>
          <w:rPr>
            <w:noProof/>
            <w:webHidden/>
          </w:rPr>
          <w:fldChar w:fldCharType="end"/>
        </w:r>
      </w:hyperlink>
    </w:p>
    <w:p w14:paraId="6ECC7C1E" w14:textId="1B9DF649" w:rsidR="00942359" w:rsidRDefault="00942359">
      <w:pPr>
        <w:pStyle w:val="TOC4"/>
        <w:tabs>
          <w:tab w:val="right" w:leader="dot" w:pos="9350"/>
        </w:tabs>
        <w:rPr>
          <w:rFonts w:eastAsiaTheme="minorEastAsia"/>
          <w:noProof/>
          <w:sz w:val="24"/>
          <w:szCs w:val="24"/>
          <w:lang w:val="en-US" w:eastAsia="zh-CN"/>
        </w:rPr>
      </w:pPr>
      <w:hyperlink w:anchor="_Toc242883018" w:history="1">
        <w:r w:rsidRPr="00F16F96">
          <w:rPr>
            <w:rStyle w:val="Hyperlink"/>
            <w:rFonts w:eastAsiaTheme="majorEastAsia" w:cstheme="majorBidi"/>
            <w:i/>
            <w:iCs/>
            <w:noProof/>
            <w:lang w:val="es-ES"/>
          </w:rPr>
          <w:t>Recursos financieros</w:t>
        </w:r>
        <w:r>
          <w:rPr>
            <w:noProof/>
            <w:webHidden/>
          </w:rPr>
          <w:tab/>
        </w:r>
        <w:r>
          <w:rPr>
            <w:noProof/>
            <w:webHidden/>
          </w:rPr>
          <w:fldChar w:fldCharType="begin"/>
        </w:r>
        <w:r>
          <w:rPr>
            <w:noProof/>
            <w:webHidden/>
          </w:rPr>
          <w:instrText xml:space="preserve"> PAGEREF _Toc242883018 \h </w:instrText>
        </w:r>
        <w:r>
          <w:rPr>
            <w:noProof/>
            <w:webHidden/>
          </w:rPr>
        </w:r>
        <w:r>
          <w:rPr>
            <w:noProof/>
            <w:webHidden/>
          </w:rPr>
          <w:fldChar w:fldCharType="separate"/>
        </w:r>
        <w:r>
          <w:rPr>
            <w:noProof/>
            <w:webHidden/>
          </w:rPr>
          <w:t>427</w:t>
        </w:r>
        <w:r>
          <w:rPr>
            <w:noProof/>
            <w:webHidden/>
          </w:rPr>
          <w:fldChar w:fldCharType="end"/>
        </w:r>
      </w:hyperlink>
    </w:p>
    <w:p w14:paraId="35C28183" w14:textId="4E938ECE" w:rsidR="00942359" w:rsidRDefault="00942359">
      <w:pPr>
        <w:pStyle w:val="TOC4"/>
        <w:tabs>
          <w:tab w:val="right" w:leader="dot" w:pos="9350"/>
        </w:tabs>
        <w:rPr>
          <w:rFonts w:eastAsiaTheme="minorEastAsia"/>
          <w:noProof/>
          <w:sz w:val="24"/>
          <w:szCs w:val="24"/>
          <w:lang w:val="en-US" w:eastAsia="zh-CN"/>
        </w:rPr>
      </w:pPr>
      <w:hyperlink w:anchor="_Toc242883019" w:history="1">
        <w:r w:rsidRPr="00F16F96">
          <w:rPr>
            <w:rStyle w:val="Hyperlink"/>
            <w:rFonts w:eastAsiaTheme="majorEastAsia" w:cstheme="majorBidi"/>
            <w:i/>
            <w:iCs/>
            <w:noProof/>
            <w:lang w:val="es-ES"/>
          </w:rPr>
          <w:t>Capacidad</w:t>
        </w:r>
        <w:r>
          <w:rPr>
            <w:noProof/>
            <w:webHidden/>
          </w:rPr>
          <w:tab/>
        </w:r>
        <w:r>
          <w:rPr>
            <w:noProof/>
            <w:webHidden/>
          </w:rPr>
          <w:fldChar w:fldCharType="begin"/>
        </w:r>
        <w:r>
          <w:rPr>
            <w:noProof/>
            <w:webHidden/>
          </w:rPr>
          <w:instrText xml:space="preserve"> PAGEREF _Toc242883019 \h </w:instrText>
        </w:r>
        <w:r>
          <w:rPr>
            <w:noProof/>
            <w:webHidden/>
          </w:rPr>
        </w:r>
        <w:r>
          <w:rPr>
            <w:noProof/>
            <w:webHidden/>
          </w:rPr>
          <w:fldChar w:fldCharType="separate"/>
        </w:r>
        <w:r>
          <w:rPr>
            <w:noProof/>
            <w:webHidden/>
          </w:rPr>
          <w:t>430</w:t>
        </w:r>
        <w:r>
          <w:rPr>
            <w:noProof/>
            <w:webHidden/>
          </w:rPr>
          <w:fldChar w:fldCharType="end"/>
        </w:r>
      </w:hyperlink>
    </w:p>
    <w:p w14:paraId="01EF46C0" w14:textId="0CBE00DE" w:rsidR="00942359" w:rsidRDefault="00942359">
      <w:pPr>
        <w:pStyle w:val="TOC4"/>
        <w:tabs>
          <w:tab w:val="right" w:leader="dot" w:pos="9350"/>
        </w:tabs>
        <w:rPr>
          <w:rFonts w:eastAsiaTheme="minorEastAsia"/>
          <w:noProof/>
          <w:sz w:val="24"/>
          <w:szCs w:val="24"/>
          <w:lang w:val="en-US" w:eastAsia="zh-CN"/>
        </w:rPr>
      </w:pPr>
      <w:hyperlink w:anchor="_Toc242883020" w:history="1">
        <w:r w:rsidRPr="00F16F96">
          <w:rPr>
            <w:rStyle w:val="Hyperlink"/>
            <w:rFonts w:eastAsiaTheme="majorEastAsia" w:cstheme="majorBidi"/>
            <w:i/>
            <w:iCs/>
            <w:noProof/>
            <w:lang w:val="es-ES"/>
          </w:rPr>
          <w:t>Cooperación científica y técnica</w:t>
        </w:r>
        <w:r>
          <w:rPr>
            <w:noProof/>
            <w:webHidden/>
          </w:rPr>
          <w:tab/>
        </w:r>
        <w:r>
          <w:rPr>
            <w:noProof/>
            <w:webHidden/>
          </w:rPr>
          <w:fldChar w:fldCharType="begin"/>
        </w:r>
        <w:r>
          <w:rPr>
            <w:noProof/>
            <w:webHidden/>
          </w:rPr>
          <w:instrText xml:space="preserve"> PAGEREF _Toc242883020 \h </w:instrText>
        </w:r>
        <w:r>
          <w:rPr>
            <w:noProof/>
            <w:webHidden/>
          </w:rPr>
        </w:r>
        <w:r>
          <w:rPr>
            <w:noProof/>
            <w:webHidden/>
          </w:rPr>
          <w:fldChar w:fldCharType="separate"/>
        </w:r>
        <w:r>
          <w:rPr>
            <w:noProof/>
            <w:webHidden/>
          </w:rPr>
          <w:t>431</w:t>
        </w:r>
        <w:r>
          <w:rPr>
            <w:noProof/>
            <w:webHidden/>
          </w:rPr>
          <w:fldChar w:fldCharType="end"/>
        </w:r>
      </w:hyperlink>
    </w:p>
    <w:p w14:paraId="5379E427" w14:textId="12CE8BCD" w:rsidR="00942359" w:rsidRDefault="00942359">
      <w:pPr>
        <w:pStyle w:val="TOC4"/>
        <w:tabs>
          <w:tab w:val="right" w:leader="dot" w:pos="9350"/>
        </w:tabs>
        <w:rPr>
          <w:rFonts w:eastAsiaTheme="minorEastAsia"/>
          <w:noProof/>
          <w:sz w:val="24"/>
          <w:szCs w:val="24"/>
          <w:lang w:val="en-US" w:eastAsia="zh-CN"/>
        </w:rPr>
      </w:pPr>
      <w:hyperlink w:anchor="_Toc242883021" w:history="1">
        <w:r w:rsidRPr="00F16F96">
          <w:rPr>
            <w:rStyle w:val="Hyperlink"/>
            <w:rFonts w:eastAsiaTheme="majorEastAsia" w:cstheme="majorBidi"/>
            <w:i/>
            <w:iCs/>
            <w:noProof/>
            <w:lang w:val="es-ES"/>
          </w:rPr>
          <w:t>Acceso a la tecnología y su transferencia</w:t>
        </w:r>
        <w:r>
          <w:rPr>
            <w:noProof/>
            <w:webHidden/>
          </w:rPr>
          <w:tab/>
        </w:r>
        <w:r>
          <w:rPr>
            <w:noProof/>
            <w:webHidden/>
          </w:rPr>
          <w:fldChar w:fldCharType="begin"/>
        </w:r>
        <w:r>
          <w:rPr>
            <w:noProof/>
            <w:webHidden/>
          </w:rPr>
          <w:instrText xml:space="preserve"> PAGEREF _Toc242883021 \h </w:instrText>
        </w:r>
        <w:r>
          <w:rPr>
            <w:noProof/>
            <w:webHidden/>
          </w:rPr>
        </w:r>
        <w:r>
          <w:rPr>
            <w:noProof/>
            <w:webHidden/>
          </w:rPr>
          <w:fldChar w:fldCharType="separate"/>
        </w:r>
        <w:r>
          <w:rPr>
            <w:noProof/>
            <w:webHidden/>
          </w:rPr>
          <w:t>432</w:t>
        </w:r>
        <w:r>
          <w:rPr>
            <w:noProof/>
            <w:webHidden/>
          </w:rPr>
          <w:fldChar w:fldCharType="end"/>
        </w:r>
      </w:hyperlink>
    </w:p>
    <w:p w14:paraId="0632930D" w14:textId="658B90F1" w:rsidR="00942359" w:rsidRDefault="00942359">
      <w:pPr>
        <w:pStyle w:val="TOC4"/>
        <w:tabs>
          <w:tab w:val="right" w:leader="dot" w:pos="9350"/>
        </w:tabs>
        <w:rPr>
          <w:rFonts w:eastAsiaTheme="minorEastAsia"/>
          <w:noProof/>
          <w:sz w:val="24"/>
          <w:szCs w:val="24"/>
          <w:lang w:val="en-US" w:eastAsia="zh-CN"/>
        </w:rPr>
      </w:pPr>
      <w:hyperlink w:anchor="_Toc242883022" w:history="1">
        <w:r w:rsidRPr="00F16F96">
          <w:rPr>
            <w:rStyle w:val="Hyperlink"/>
            <w:rFonts w:eastAsia="Times New Roman" w:cstheme="majorBidi"/>
            <w:i/>
            <w:iCs/>
            <w:noProof/>
            <w:lang w:val="es-ES"/>
          </w:rPr>
          <w:t>Observaciones finales</w:t>
        </w:r>
        <w:r>
          <w:rPr>
            <w:noProof/>
            <w:webHidden/>
          </w:rPr>
          <w:tab/>
        </w:r>
        <w:r>
          <w:rPr>
            <w:noProof/>
            <w:webHidden/>
          </w:rPr>
          <w:fldChar w:fldCharType="begin"/>
        </w:r>
        <w:r>
          <w:rPr>
            <w:noProof/>
            <w:webHidden/>
          </w:rPr>
          <w:instrText xml:space="preserve"> PAGEREF _Toc242883022 \h </w:instrText>
        </w:r>
        <w:r>
          <w:rPr>
            <w:noProof/>
            <w:webHidden/>
          </w:rPr>
        </w:r>
        <w:r>
          <w:rPr>
            <w:noProof/>
            <w:webHidden/>
          </w:rPr>
          <w:fldChar w:fldCharType="separate"/>
        </w:r>
        <w:r>
          <w:rPr>
            <w:noProof/>
            <w:webHidden/>
          </w:rPr>
          <w:t>432</w:t>
        </w:r>
        <w:r>
          <w:rPr>
            <w:noProof/>
            <w:webHidden/>
          </w:rPr>
          <w:fldChar w:fldCharType="end"/>
        </w:r>
      </w:hyperlink>
    </w:p>
    <w:p w14:paraId="5D400CE6" w14:textId="77EEB0E8" w:rsidR="00942359" w:rsidRDefault="00942359">
      <w:pPr>
        <w:pStyle w:val="TOC3"/>
        <w:rPr>
          <w:rFonts w:eastAsiaTheme="minorEastAsia"/>
          <w:noProof/>
          <w:sz w:val="24"/>
          <w:szCs w:val="24"/>
          <w:lang w:val="en-US" w:eastAsia="zh-CN"/>
        </w:rPr>
      </w:pPr>
      <w:hyperlink w:anchor="_Toc242883023" w:history="1">
        <w:r w:rsidRPr="00F16F96">
          <w:rPr>
            <w:rStyle w:val="Hyperlink"/>
            <w:rFonts w:eastAsiaTheme="majorEastAsia" w:cstheme="majorBidi"/>
            <w:noProof/>
            <w:lang w:val="es-ES"/>
          </w:rPr>
          <w:t>Resumen de los medios de implementación y principales observaciones</w:t>
        </w:r>
        <w:r>
          <w:rPr>
            <w:noProof/>
            <w:webHidden/>
          </w:rPr>
          <w:tab/>
        </w:r>
        <w:r>
          <w:rPr>
            <w:noProof/>
            <w:webHidden/>
          </w:rPr>
          <w:fldChar w:fldCharType="begin"/>
        </w:r>
        <w:r>
          <w:rPr>
            <w:noProof/>
            <w:webHidden/>
          </w:rPr>
          <w:instrText xml:space="preserve"> PAGEREF _Toc242883023 \h </w:instrText>
        </w:r>
        <w:r>
          <w:rPr>
            <w:noProof/>
            <w:webHidden/>
          </w:rPr>
        </w:r>
        <w:r>
          <w:rPr>
            <w:noProof/>
            <w:webHidden/>
          </w:rPr>
          <w:fldChar w:fldCharType="separate"/>
        </w:r>
        <w:r>
          <w:rPr>
            <w:noProof/>
            <w:webHidden/>
          </w:rPr>
          <w:t>433</w:t>
        </w:r>
        <w:r>
          <w:rPr>
            <w:noProof/>
            <w:webHidden/>
          </w:rPr>
          <w:fldChar w:fldCharType="end"/>
        </w:r>
      </w:hyperlink>
    </w:p>
    <w:p w14:paraId="7D3BAFB7" w14:textId="431DDF7C" w:rsidR="00942359" w:rsidRDefault="00942359">
      <w:pPr>
        <w:pStyle w:val="TOC4"/>
        <w:tabs>
          <w:tab w:val="right" w:leader="dot" w:pos="9350"/>
        </w:tabs>
        <w:rPr>
          <w:rFonts w:eastAsiaTheme="minorEastAsia"/>
          <w:noProof/>
          <w:sz w:val="24"/>
          <w:szCs w:val="24"/>
          <w:lang w:val="en-US" w:eastAsia="zh-CN"/>
        </w:rPr>
      </w:pPr>
      <w:hyperlink w:anchor="_Toc242883024" w:history="1">
        <w:r w:rsidRPr="00F16F96">
          <w:rPr>
            <w:rStyle w:val="Hyperlink"/>
            <w:rFonts w:eastAsiaTheme="majorEastAsia" w:cstheme="majorBidi"/>
            <w:i/>
            <w:iCs/>
            <w:noProof/>
            <w:lang w:val="es-ES"/>
          </w:rPr>
          <w:t>Resumen</w:t>
        </w:r>
        <w:r>
          <w:rPr>
            <w:noProof/>
            <w:webHidden/>
          </w:rPr>
          <w:tab/>
        </w:r>
        <w:r>
          <w:rPr>
            <w:noProof/>
            <w:webHidden/>
          </w:rPr>
          <w:fldChar w:fldCharType="begin"/>
        </w:r>
        <w:r>
          <w:rPr>
            <w:noProof/>
            <w:webHidden/>
          </w:rPr>
          <w:instrText xml:space="preserve"> PAGEREF _Toc242883024 \h </w:instrText>
        </w:r>
        <w:r>
          <w:rPr>
            <w:noProof/>
            <w:webHidden/>
          </w:rPr>
        </w:r>
        <w:r>
          <w:rPr>
            <w:noProof/>
            <w:webHidden/>
          </w:rPr>
          <w:fldChar w:fldCharType="separate"/>
        </w:r>
        <w:r>
          <w:rPr>
            <w:noProof/>
            <w:webHidden/>
          </w:rPr>
          <w:t>433</w:t>
        </w:r>
        <w:r>
          <w:rPr>
            <w:noProof/>
            <w:webHidden/>
          </w:rPr>
          <w:fldChar w:fldCharType="end"/>
        </w:r>
      </w:hyperlink>
    </w:p>
    <w:p w14:paraId="75D0E95A" w14:textId="4312EB78" w:rsidR="00942359" w:rsidRDefault="00942359">
      <w:pPr>
        <w:pStyle w:val="TOC4"/>
        <w:tabs>
          <w:tab w:val="right" w:leader="dot" w:pos="9350"/>
        </w:tabs>
        <w:rPr>
          <w:rFonts w:eastAsiaTheme="minorEastAsia"/>
          <w:noProof/>
          <w:sz w:val="24"/>
          <w:szCs w:val="24"/>
          <w:lang w:val="en-US" w:eastAsia="zh-CN"/>
        </w:rPr>
      </w:pPr>
      <w:hyperlink w:anchor="_Toc242883025" w:history="1">
        <w:r w:rsidRPr="00F16F96">
          <w:rPr>
            <w:rStyle w:val="Hyperlink"/>
            <w:rFonts w:eastAsiaTheme="majorEastAsia" w:cstheme="majorBidi"/>
            <w:i/>
            <w:iCs/>
            <w:noProof/>
            <w:lang w:val="es-ES"/>
          </w:rPr>
          <w:t>Observaciones finales</w:t>
        </w:r>
        <w:r>
          <w:rPr>
            <w:noProof/>
            <w:webHidden/>
          </w:rPr>
          <w:tab/>
        </w:r>
        <w:r>
          <w:rPr>
            <w:noProof/>
            <w:webHidden/>
          </w:rPr>
          <w:fldChar w:fldCharType="begin"/>
        </w:r>
        <w:r>
          <w:rPr>
            <w:noProof/>
            <w:webHidden/>
          </w:rPr>
          <w:instrText xml:space="preserve"> PAGEREF _Toc242883025 \h </w:instrText>
        </w:r>
        <w:r>
          <w:rPr>
            <w:noProof/>
            <w:webHidden/>
          </w:rPr>
        </w:r>
        <w:r>
          <w:rPr>
            <w:noProof/>
            <w:webHidden/>
          </w:rPr>
          <w:fldChar w:fldCharType="separate"/>
        </w:r>
        <w:r>
          <w:rPr>
            <w:noProof/>
            <w:webHidden/>
          </w:rPr>
          <w:t>435</w:t>
        </w:r>
        <w:r>
          <w:rPr>
            <w:noProof/>
            <w:webHidden/>
          </w:rPr>
          <w:fldChar w:fldCharType="end"/>
        </w:r>
      </w:hyperlink>
    </w:p>
    <w:p w14:paraId="6A9514DC" w14:textId="01310204" w:rsidR="00942359" w:rsidRDefault="00942359">
      <w:pPr>
        <w:pStyle w:val="TOC2"/>
        <w:tabs>
          <w:tab w:val="right" w:leader="dot" w:pos="9350"/>
        </w:tabs>
        <w:rPr>
          <w:rFonts w:eastAsiaTheme="minorEastAsia"/>
          <w:b w:val="0"/>
          <w:bCs w:val="0"/>
          <w:noProof/>
          <w:sz w:val="24"/>
          <w:szCs w:val="24"/>
          <w:lang w:val="en-US" w:eastAsia="zh-CN"/>
        </w:rPr>
      </w:pPr>
      <w:hyperlink w:anchor="_Toc242883026" w:history="1">
        <w:r w:rsidRPr="00F16F96">
          <w:rPr>
            <w:rStyle w:val="Hyperlink"/>
            <w:rFonts w:asciiTheme="majorHAnsi" w:eastAsiaTheme="majorEastAsia" w:hAnsiTheme="majorHAnsi" w:cstheme="majorBidi"/>
            <w:noProof/>
            <w:lang w:val="es-ES"/>
          </w:rPr>
          <w:t>II.E Contribuciones de los acuerdos ambientales multilaterales, las organizaciones internacionales y los procesos pertinentes</w:t>
        </w:r>
        <w:r>
          <w:rPr>
            <w:noProof/>
            <w:webHidden/>
          </w:rPr>
          <w:tab/>
        </w:r>
        <w:r>
          <w:rPr>
            <w:noProof/>
            <w:webHidden/>
          </w:rPr>
          <w:fldChar w:fldCharType="begin"/>
        </w:r>
        <w:r>
          <w:rPr>
            <w:noProof/>
            <w:webHidden/>
          </w:rPr>
          <w:instrText xml:space="preserve"> PAGEREF _Toc242883026 \h </w:instrText>
        </w:r>
        <w:r>
          <w:rPr>
            <w:noProof/>
            <w:webHidden/>
          </w:rPr>
        </w:r>
        <w:r>
          <w:rPr>
            <w:noProof/>
            <w:webHidden/>
          </w:rPr>
          <w:fldChar w:fldCharType="separate"/>
        </w:r>
        <w:r>
          <w:rPr>
            <w:noProof/>
            <w:webHidden/>
          </w:rPr>
          <w:t>436</w:t>
        </w:r>
        <w:r>
          <w:rPr>
            <w:noProof/>
            <w:webHidden/>
          </w:rPr>
          <w:fldChar w:fldCharType="end"/>
        </w:r>
      </w:hyperlink>
    </w:p>
    <w:p w14:paraId="744E1CCD" w14:textId="02AF3C3E" w:rsidR="00942359" w:rsidRDefault="00942359">
      <w:pPr>
        <w:pStyle w:val="TOC3"/>
        <w:rPr>
          <w:rFonts w:eastAsiaTheme="minorEastAsia"/>
          <w:noProof/>
          <w:sz w:val="24"/>
          <w:szCs w:val="24"/>
          <w:lang w:val="en-US" w:eastAsia="zh-CN"/>
        </w:rPr>
      </w:pPr>
      <w:hyperlink w:anchor="_Toc242883027" w:history="1">
        <w:r w:rsidRPr="00F16F96">
          <w:rPr>
            <w:rStyle w:val="Hyperlink"/>
            <w:rFonts w:eastAsiaTheme="majorEastAsia" w:cstheme="majorBidi"/>
            <w:noProof/>
            <w:lang w:val="es-ES"/>
          </w:rPr>
          <w:t>Introducción</w:t>
        </w:r>
        <w:r>
          <w:rPr>
            <w:noProof/>
            <w:webHidden/>
          </w:rPr>
          <w:tab/>
        </w:r>
        <w:r>
          <w:rPr>
            <w:noProof/>
            <w:webHidden/>
          </w:rPr>
          <w:fldChar w:fldCharType="begin"/>
        </w:r>
        <w:r>
          <w:rPr>
            <w:noProof/>
            <w:webHidden/>
          </w:rPr>
          <w:instrText xml:space="preserve"> PAGEREF _Toc242883027 \h </w:instrText>
        </w:r>
        <w:r>
          <w:rPr>
            <w:noProof/>
            <w:webHidden/>
          </w:rPr>
        </w:r>
        <w:r>
          <w:rPr>
            <w:noProof/>
            <w:webHidden/>
          </w:rPr>
          <w:fldChar w:fldCharType="separate"/>
        </w:r>
        <w:r>
          <w:rPr>
            <w:noProof/>
            <w:webHidden/>
          </w:rPr>
          <w:t>436</w:t>
        </w:r>
        <w:r>
          <w:rPr>
            <w:noProof/>
            <w:webHidden/>
          </w:rPr>
          <w:fldChar w:fldCharType="end"/>
        </w:r>
      </w:hyperlink>
    </w:p>
    <w:p w14:paraId="73B3DF5A" w14:textId="76803E13" w:rsidR="00942359" w:rsidRDefault="00942359">
      <w:pPr>
        <w:pStyle w:val="TOC3"/>
        <w:rPr>
          <w:rFonts w:eastAsiaTheme="minorEastAsia"/>
          <w:noProof/>
          <w:sz w:val="24"/>
          <w:szCs w:val="24"/>
          <w:lang w:val="en-US" w:eastAsia="zh-CN"/>
        </w:rPr>
      </w:pPr>
      <w:hyperlink w:anchor="_Toc242883028" w:history="1">
        <w:r w:rsidRPr="00F16F96">
          <w:rPr>
            <w:rStyle w:val="Hyperlink"/>
            <w:rFonts w:eastAsiaTheme="majorEastAsia" w:cstheme="majorBidi"/>
            <w:noProof/>
            <w:lang w:val="es-ES"/>
          </w:rPr>
          <w:t>Apoyo al Marco por los acuerdos ambientales multilaterales</w:t>
        </w:r>
        <w:r>
          <w:rPr>
            <w:noProof/>
            <w:webHidden/>
          </w:rPr>
          <w:tab/>
        </w:r>
        <w:r>
          <w:rPr>
            <w:noProof/>
            <w:webHidden/>
          </w:rPr>
          <w:fldChar w:fldCharType="begin"/>
        </w:r>
        <w:r>
          <w:rPr>
            <w:noProof/>
            <w:webHidden/>
          </w:rPr>
          <w:instrText xml:space="preserve"> PAGEREF _Toc242883028 \h </w:instrText>
        </w:r>
        <w:r>
          <w:rPr>
            <w:noProof/>
            <w:webHidden/>
          </w:rPr>
        </w:r>
        <w:r>
          <w:rPr>
            <w:noProof/>
            <w:webHidden/>
          </w:rPr>
          <w:fldChar w:fldCharType="separate"/>
        </w:r>
        <w:r>
          <w:rPr>
            <w:noProof/>
            <w:webHidden/>
          </w:rPr>
          <w:t>439</w:t>
        </w:r>
        <w:r>
          <w:rPr>
            <w:noProof/>
            <w:webHidden/>
          </w:rPr>
          <w:fldChar w:fldCharType="end"/>
        </w:r>
      </w:hyperlink>
    </w:p>
    <w:p w14:paraId="568C7BB3" w14:textId="4279F7D6" w:rsidR="00942359" w:rsidRDefault="00942359">
      <w:pPr>
        <w:pStyle w:val="TOC4"/>
        <w:tabs>
          <w:tab w:val="right" w:leader="dot" w:pos="9350"/>
        </w:tabs>
        <w:rPr>
          <w:rFonts w:eastAsiaTheme="minorEastAsia"/>
          <w:noProof/>
          <w:sz w:val="24"/>
          <w:szCs w:val="24"/>
          <w:lang w:val="en-US" w:eastAsia="zh-CN"/>
        </w:rPr>
      </w:pPr>
      <w:hyperlink w:anchor="_Toc242883029" w:history="1">
        <w:r w:rsidRPr="00F16F96">
          <w:rPr>
            <w:rStyle w:val="Hyperlink"/>
            <w:rFonts w:eastAsiaTheme="majorEastAsia" w:cstheme="majorBidi"/>
            <w:i/>
            <w:iCs/>
            <w:noProof/>
            <w:lang w:val="es-ES"/>
          </w:rPr>
          <w:t>Las convenciones de Río</w:t>
        </w:r>
        <w:r>
          <w:rPr>
            <w:noProof/>
            <w:webHidden/>
          </w:rPr>
          <w:tab/>
        </w:r>
        <w:r>
          <w:rPr>
            <w:noProof/>
            <w:webHidden/>
          </w:rPr>
          <w:fldChar w:fldCharType="begin"/>
        </w:r>
        <w:r>
          <w:rPr>
            <w:noProof/>
            <w:webHidden/>
          </w:rPr>
          <w:instrText xml:space="preserve"> PAGEREF _Toc242883029 \h </w:instrText>
        </w:r>
        <w:r>
          <w:rPr>
            <w:noProof/>
            <w:webHidden/>
          </w:rPr>
        </w:r>
        <w:r>
          <w:rPr>
            <w:noProof/>
            <w:webHidden/>
          </w:rPr>
          <w:fldChar w:fldCharType="separate"/>
        </w:r>
        <w:r>
          <w:rPr>
            <w:noProof/>
            <w:webHidden/>
          </w:rPr>
          <w:t>439</w:t>
        </w:r>
        <w:r>
          <w:rPr>
            <w:noProof/>
            <w:webHidden/>
          </w:rPr>
          <w:fldChar w:fldCharType="end"/>
        </w:r>
      </w:hyperlink>
    </w:p>
    <w:p w14:paraId="6672738B" w14:textId="289D3486" w:rsidR="00942359" w:rsidRDefault="00942359">
      <w:pPr>
        <w:pStyle w:val="TOC4"/>
        <w:tabs>
          <w:tab w:val="right" w:leader="dot" w:pos="9350"/>
        </w:tabs>
        <w:rPr>
          <w:rFonts w:eastAsiaTheme="minorEastAsia"/>
          <w:noProof/>
          <w:sz w:val="24"/>
          <w:szCs w:val="24"/>
          <w:lang w:val="en-US" w:eastAsia="zh-CN"/>
        </w:rPr>
      </w:pPr>
      <w:hyperlink w:anchor="_Toc242883030" w:history="1">
        <w:r w:rsidRPr="00F16F96">
          <w:rPr>
            <w:rStyle w:val="Hyperlink"/>
            <w:rFonts w:eastAsiaTheme="majorEastAsia" w:cstheme="majorBidi"/>
            <w:i/>
            <w:iCs/>
            <w:noProof/>
            <w:lang w:val="es-ES"/>
          </w:rPr>
          <w:t>Convenios relacionados con la diversidad biológica</w:t>
        </w:r>
        <w:r>
          <w:rPr>
            <w:noProof/>
            <w:webHidden/>
          </w:rPr>
          <w:tab/>
        </w:r>
        <w:r>
          <w:rPr>
            <w:noProof/>
            <w:webHidden/>
          </w:rPr>
          <w:fldChar w:fldCharType="begin"/>
        </w:r>
        <w:r>
          <w:rPr>
            <w:noProof/>
            <w:webHidden/>
          </w:rPr>
          <w:instrText xml:space="preserve"> PAGEREF _Toc242883030 \h </w:instrText>
        </w:r>
        <w:r>
          <w:rPr>
            <w:noProof/>
            <w:webHidden/>
          </w:rPr>
        </w:r>
        <w:r>
          <w:rPr>
            <w:noProof/>
            <w:webHidden/>
          </w:rPr>
          <w:fldChar w:fldCharType="separate"/>
        </w:r>
        <w:r>
          <w:rPr>
            <w:noProof/>
            <w:webHidden/>
          </w:rPr>
          <w:t>440</w:t>
        </w:r>
        <w:r>
          <w:rPr>
            <w:noProof/>
            <w:webHidden/>
          </w:rPr>
          <w:fldChar w:fldCharType="end"/>
        </w:r>
      </w:hyperlink>
    </w:p>
    <w:p w14:paraId="4FC77C74" w14:textId="1371A137" w:rsidR="00942359" w:rsidRDefault="00942359">
      <w:pPr>
        <w:pStyle w:val="TOC4"/>
        <w:tabs>
          <w:tab w:val="right" w:leader="dot" w:pos="9350"/>
        </w:tabs>
        <w:rPr>
          <w:rFonts w:eastAsiaTheme="minorEastAsia"/>
          <w:noProof/>
          <w:sz w:val="24"/>
          <w:szCs w:val="24"/>
          <w:lang w:val="en-US" w:eastAsia="zh-CN"/>
        </w:rPr>
      </w:pPr>
      <w:hyperlink w:anchor="_Toc242883031" w:history="1">
        <w:r w:rsidRPr="00F16F96">
          <w:rPr>
            <w:rStyle w:val="Hyperlink"/>
            <w:rFonts w:eastAsiaTheme="majorEastAsia" w:cstheme="majorBidi"/>
            <w:i/>
            <w:iCs/>
            <w:noProof/>
            <w:lang w:val="es-ES"/>
          </w:rPr>
          <w:t>Otros acuerdos ambientales multilaterales pertinentes</w:t>
        </w:r>
        <w:r>
          <w:rPr>
            <w:noProof/>
            <w:webHidden/>
          </w:rPr>
          <w:tab/>
        </w:r>
        <w:r>
          <w:rPr>
            <w:noProof/>
            <w:webHidden/>
          </w:rPr>
          <w:fldChar w:fldCharType="begin"/>
        </w:r>
        <w:r>
          <w:rPr>
            <w:noProof/>
            <w:webHidden/>
          </w:rPr>
          <w:instrText xml:space="preserve"> PAGEREF _Toc242883031 \h </w:instrText>
        </w:r>
        <w:r>
          <w:rPr>
            <w:noProof/>
            <w:webHidden/>
          </w:rPr>
        </w:r>
        <w:r>
          <w:rPr>
            <w:noProof/>
            <w:webHidden/>
          </w:rPr>
          <w:fldChar w:fldCharType="separate"/>
        </w:r>
        <w:r>
          <w:rPr>
            <w:noProof/>
            <w:webHidden/>
          </w:rPr>
          <w:t>443</w:t>
        </w:r>
        <w:r>
          <w:rPr>
            <w:noProof/>
            <w:webHidden/>
          </w:rPr>
          <w:fldChar w:fldCharType="end"/>
        </w:r>
      </w:hyperlink>
    </w:p>
    <w:p w14:paraId="32FE49A1" w14:textId="53C2799E" w:rsidR="00942359" w:rsidRDefault="00942359">
      <w:pPr>
        <w:pStyle w:val="TOC3"/>
        <w:rPr>
          <w:rFonts w:eastAsiaTheme="minorEastAsia"/>
          <w:noProof/>
          <w:sz w:val="24"/>
          <w:szCs w:val="24"/>
          <w:lang w:val="en-US" w:eastAsia="zh-CN"/>
        </w:rPr>
      </w:pPr>
      <w:hyperlink w:anchor="_Toc242883032" w:history="1">
        <w:r w:rsidRPr="00F16F96">
          <w:rPr>
            <w:rStyle w:val="Hyperlink"/>
            <w:rFonts w:eastAsiaTheme="majorEastAsia" w:cstheme="majorBidi"/>
            <w:noProof/>
            <w:lang w:val="es-ES"/>
          </w:rPr>
          <w:t>Acuerdos ambientales multilaterales y otros acuerdos y convenios mencionados en las estrategias y planes de acción nacionales en materia de biodiversidad</w:t>
        </w:r>
        <w:r>
          <w:rPr>
            <w:noProof/>
            <w:webHidden/>
          </w:rPr>
          <w:tab/>
        </w:r>
        <w:r>
          <w:rPr>
            <w:noProof/>
            <w:webHidden/>
          </w:rPr>
          <w:fldChar w:fldCharType="begin"/>
        </w:r>
        <w:r>
          <w:rPr>
            <w:noProof/>
            <w:webHidden/>
          </w:rPr>
          <w:instrText xml:space="preserve"> PAGEREF _Toc242883032 \h </w:instrText>
        </w:r>
        <w:r>
          <w:rPr>
            <w:noProof/>
            <w:webHidden/>
          </w:rPr>
        </w:r>
        <w:r>
          <w:rPr>
            <w:noProof/>
            <w:webHidden/>
          </w:rPr>
          <w:fldChar w:fldCharType="separate"/>
        </w:r>
        <w:r>
          <w:rPr>
            <w:noProof/>
            <w:webHidden/>
          </w:rPr>
          <w:t>444</w:t>
        </w:r>
        <w:r>
          <w:rPr>
            <w:noProof/>
            <w:webHidden/>
          </w:rPr>
          <w:fldChar w:fldCharType="end"/>
        </w:r>
      </w:hyperlink>
    </w:p>
    <w:p w14:paraId="605B7702" w14:textId="0070ED16" w:rsidR="00942359" w:rsidRDefault="00942359">
      <w:pPr>
        <w:pStyle w:val="TOC3"/>
        <w:rPr>
          <w:rFonts w:eastAsiaTheme="minorEastAsia"/>
          <w:noProof/>
          <w:sz w:val="24"/>
          <w:szCs w:val="24"/>
          <w:lang w:val="en-US" w:eastAsia="zh-CN"/>
        </w:rPr>
      </w:pPr>
      <w:hyperlink w:anchor="_Toc242883033" w:history="1">
        <w:r w:rsidRPr="00F16F96">
          <w:rPr>
            <w:rStyle w:val="Hyperlink"/>
            <w:rFonts w:eastAsiaTheme="majorEastAsia" w:cstheme="majorBidi"/>
            <w:noProof/>
            <w:lang w:val="es-ES"/>
          </w:rPr>
          <w:t>Otras organizaciones y procesos internacionales pertinentes</w:t>
        </w:r>
        <w:r>
          <w:rPr>
            <w:noProof/>
            <w:webHidden/>
          </w:rPr>
          <w:tab/>
        </w:r>
        <w:r>
          <w:rPr>
            <w:noProof/>
            <w:webHidden/>
          </w:rPr>
          <w:fldChar w:fldCharType="begin"/>
        </w:r>
        <w:r>
          <w:rPr>
            <w:noProof/>
            <w:webHidden/>
          </w:rPr>
          <w:instrText xml:space="preserve"> PAGEREF _Toc242883033 \h </w:instrText>
        </w:r>
        <w:r>
          <w:rPr>
            <w:noProof/>
            <w:webHidden/>
          </w:rPr>
        </w:r>
        <w:r>
          <w:rPr>
            <w:noProof/>
            <w:webHidden/>
          </w:rPr>
          <w:fldChar w:fldCharType="separate"/>
        </w:r>
        <w:r>
          <w:rPr>
            <w:noProof/>
            <w:webHidden/>
          </w:rPr>
          <w:t>446</w:t>
        </w:r>
        <w:r>
          <w:rPr>
            <w:noProof/>
            <w:webHidden/>
          </w:rPr>
          <w:fldChar w:fldCharType="end"/>
        </w:r>
      </w:hyperlink>
    </w:p>
    <w:p w14:paraId="2FF1798B" w14:textId="5C570F27" w:rsidR="00942359" w:rsidRDefault="00942359">
      <w:pPr>
        <w:pStyle w:val="TOC1"/>
        <w:tabs>
          <w:tab w:val="right" w:leader="dot" w:pos="9350"/>
        </w:tabs>
        <w:rPr>
          <w:rFonts w:eastAsiaTheme="minorEastAsia"/>
          <w:b w:val="0"/>
          <w:bCs w:val="0"/>
          <w:i w:val="0"/>
          <w:iCs w:val="0"/>
          <w:noProof/>
          <w:lang w:val="en-US" w:eastAsia="zh-CN"/>
        </w:rPr>
      </w:pPr>
      <w:hyperlink w:anchor="_Toc242883034" w:history="1">
        <w:r w:rsidRPr="00F16F96">
          <w:rPr>
            <w:rStyle w:val="Hyperlink"/>
            <w:rFonts w:asciiTheme="majorHAnsi" w:eastAsiaTheme="majorEastAsia" w:hAnsiTheme="majorHAnsi" w:cstheme="majorBidi"/>
            <w:noProof/>
            <w:lang w:val="es-ES"/>
          </w:rPr>
          <w:t>Parte III: Conclusiones y mensajes principales</w:t>
        </w:r>
        <w:r>
          <w:rPr>
            <w:noProof/>
            <w:webHidden/>
          </w:rPr>
          <w:tab/>
        </w:r>
        <w:r>
          <w:rPr>
            <w:noProof/>
            <w:webHidden/>
          </w:rPr>
          <w:fldChar w:fldCharType="begin"/>
        </w:r>
        <w:r>
          <w:rPr>
            <w:noProof/>
            <w:webHidden/>
          </w:rPr>
          <w:instrText xml:space="preserve"> PAGEREF _Toc242883034 \h </w:instrText>
        </w:r>
        <w:r>
          <w:rPr>
            <w:noProof/>
            <w:webHidden/>
          </w:rPr>
        </w:r>
        <w:r>
          <w:rPr>
            <w:noProof/>
            <w:webHidden/>
          </w:rPr>
          <w:fldChar w:fldCharType="separate"/>
        </w:r>
        <w:r>
          <w:rPr>
            <w:noProof/>
            <w:webHidden/>
          </w:rPr>
          <w:t>450</w:t>
        </w:r>
        <w:r>
          <w:rPr>
            <w:noProof/>
            <w:webHidden/>
          </w:rPr>
          <w:fldChar w:fldCharType="end"/>
        </w:r>
      </w:hyperlink>
    </w:p>
    <w:p w14:paraId="5DD09FF6" w14:textId="2E3A44BB" w:rsidR="00942359" w:rsidRDefault="00942359">
      <w:pPr>
        <w:pStyle w:val="TOC2"/>
        <w:tabs>
          <w:tab w:val="right" w:leader="dot" w:pos="9350"/>
        </w:tabs>
        <w:rPr>
          <w:rFonts w:eastAsiaTheme="minorEastAsia"/>
          <w:b w:val="0"/>
          <w:bCs w:val="0"/>
          <w:noProof/>
          <w:sz w:val="24"/>
          <w:szCs w:val="24"/>
          <w:lang w:val="en-US" w:eastAsia="zh-CN"/>
        </w:rPr>
      </w:pPr>
      <w:hyperlink w:anchor="_Toc242883035" w:history="1">
        <w:r w:rsidRPr="00F16F96">
          <w:rPr>
            <w:rStyle w:val="Hyperlink"/>
            <w:rFonts w:asciiTheme="majorHAnsi" w:eastAsiaTheme="majorEastAsia" w:hAnsiTheme="majorHAnsi" w:cstheme="majorBidi"/>
            <w:noProof/>
            <w:lang w:val="es-ES"/>
          </w:rPr>
          <w:t>III.A Síntesis de los progresos colectivos en la implementación del Marco Mundial de Biodiversidad de Kunming-Montreal, incluidas la misión para 2030 y la visión para 2050</w:t>
        </w:r>
        <w:r>
          <w:rPr>
            <w:noProof/>
            <w:webHidden/>
          </w:rPr>
          <w:tab/>
        </w:r>
        <w:r>
          <w:rPr>
            <w:noProof/>
            <w:webHidden/>
          </w:rPr>
          <w:fldChar w:fldCharType="begin"/>
        </w:r>
        <w:r>
          <w:rPr>
            <w:noProof/>
            <w:webHidden/>
          </w:rPr>
          <w:instrText xml:space="preserve"> PAGEREF _Toc242883035 \h </w:instrText>
        </w:r>
        <w:r>
          <w:rPr>
            <w:noProof/>
            <w:webHidden/>
          </w:rPr>
        </w:r>
        <w:r>
          <w:rPr>
            <w:noProof/>
            <w:webHidden/>
          </w:rPr>
          <w:fldChar w:fldCharType="separate"/>
        </w:r>
        <w:r>
          <w:rPr>
            <w:noProof/>
            <w:webHidden/>
          </w:rPr>
          <w:t>450</w:t>
        </w:r>
        <w:r>
          <w:rPr>
            <w:noProof/>
            <w:webHidden/>
          </w:rPr>
          <w:fldChar w:fldCharType="end"/>
        </w:r>
      </w:hyperlink>
    </w:p>
    <w:p w14:paraId="279591BC" w14:textId="125C4F48" w:rsidR="00942359" w:rsidRDefault="00942359">
      <w:pPr>
        <w:pStyle w:val="TOC2"/>
        <w:tabs>
          <w:tab w:val="right" w:leader="dot" w:pos="9350"/>
        </w:tabs>
        <w:rPr>
          <w:rFonts w:eastAsiaTheme="minorEastAsia"/>
          <w:b w:val="0"/>
          <w:bCs w:val="0"/>
          <w:noProof/>
          <w:sz w:val="24"/>
          <w:szCs w:val="24"/>
          <w:lang w:val="en-US" w:eastAsia="zh-CN"/>
        </w:rPr>
      </w:pPr>
      <w:hyperlink w:anchor="_Toc242883036" w:history="1">
        <w:r w:rsidRPr="00F16F96">
          <w:rPr>
            <w:rStyle w:val="Hyperlink"/>
            <w:rFonts w:asciiTheme="majorHAnsi" w:eastAsiaTheme="majorEastAsia" w:hAnsiTheme="majorHAnsi" w:cstheme="majorBidi"/>
            <w:noProof/>
            <w:lang w:val="es-ES"/>
          </w:rPr>
          <w:t>III.B De cara al futuro: dificultades y oportunidades</w:t>
        </w:r>
        <w:r>
          <w:rPr>
            <w:noProof/>
            <w:webHidden/>
          </w:rPr>
          <w:tab/>
        </w:r>
        <w:r>
          <w:rPr>
            <w:noProof/>
            <w:webHidden/>
          </w:rPr>
          <w:fldChar w:fldCharType="begin"/>
        </w:r>
        <w:r>
          <w:rPr>
            <w:noProof/>
            <w:webHidden/>
          </w:rPr>
          <w:instrText xml:space="preserve"> PAGEREF _Toc242883036 \h </w:instrText>
        </w:r>
        <w:r>
          <w:rPr>
            <w:noProof/>
            <w:webHidden/>
          </w:rPr>
        </w:r>
        <w:r>
          <w:rPr>
            <w:noProof/>
            <w:webHidden/>
          </w:rPr>
          <w:fldChar w:fldCharType="separate"/>
        </w:r>
        <w:r>
          <w:rPr>
            <w:noProof/>
            <w:webHidden/>
          </w:rPr>
          <w:t>468</w:t>
        </w:r>
        <w:r>
          <w:rPr>
            <w:noProof/>
            <w:webHidden/>
          </w:rPr>
          <w:fldChar w:fldCharType="end"/>
        </w:r>
      </w:hyperlink>
    </w:p>
    <w:p w14:paraId="3004AC52" w14:textId="738C6B8D" w:rsidR="00942359" w:rsidRDefault="00942359">
      <w:pPr>
        <w:pStyle w:val="TOC1"/>
        <w:tabs>
          <w:tab w:val="right" w:leader="dot" w:pos="9350"/>
        </w:tabs>
        <w:rPr>
          <w:rFonts w:eastAsiaTheme="minorEastAsia"/>
          <w:b w:val="0"/>
          <w:bCs w:val="0"/>
          <w:i w:val="0"/>
          <w:iCs w:val="0"/>
          <w:noProof/>
          <w:lang w:val="en-US" w:eastAsia="zh-CN"/>
        </w:rPr>
      </w:pPr>
      <w:hyperlink w:anchor="_Toc242883037" w:history="1">
        <w:r w:rsidRPr="00F16F96">
          <w:rPr>
            <w:rStyle w:val="Hyperlink"/>
            <w:rFonts w:asciiTheme="majorHAnsi" w:eastAsiaTheme="majorEastAsia" w:hAnsiTheme="majorHAnsi" w:cstheme="majorBidi"/>
            <w:noProof/>
            <w:lang w:val="es-ES"/>
          </w:rPr>
          <w:t>Bibliografía</w:t>
        </w:r>
        <w:r>
          <w:rPr>
            <w:noProof/>
            <w:webHidden/>
          </w:rPr>
          <w:tab/>
        </w:r>
        <w:r>
          <w:rPr>
            <w:noProof/>
            <w:webHidden/>
          </w:rPr>
          <w:fldChar w:fldCharType="begin"/>
        </w:r>
        <w:r>
          <w:rPr>
            <w:noProof/>
            <w:webHidden/>
          </w:rPr>
          <w:instrText xml:space="preserve"> PAGEREF _Toc242883037 \h </w:instrText>
        </w:r>
        <w:r>
          <w:rPr>
            <w:noProof/>
            <w:webHidden/>
          </w:rPr>
        </w:r>
        <w:r>
          <w:rPr>
            <w:noProof/>
            <w:webHidden/>
          </w:rPr>
          <w:fldChar w:fldCharType="separate"/>
        </w:r>
        <w:r>
          <w:rPr>
            <w:noProof/>
            <w:webHidden/>
          </w:rPr>
          <w:t>480</w:t>
        </w:r>
        <w:r>
          <w:rPr>
            <w:noProof/>
            <w:webHidden/>
          </w:rPr>
          <w:fldChar w:fldCharType="end"/>
        </w:r>
      </w:hyperlink>
    </w:p>
    <w:p w14:paraId="51A275A5" w14:textId="3E538328" w:rsidR="00AC26D4" w:rsidRPr="005E3D50" w:rsidRDefault="00EF2D5D" w:rsidP="00AC26D4">
      <w:pPr>
        <w:rPr>
          <w:lang w:val="es-ES"/>
        </w:rPr>
      </w:pPr>
      <w:r w:rsidRPr="005E3D50">
        <w:rPr>
          <w:lang w:val="es-ES"/>
        </w:rPr>
        <w:lastRenderedPageBreak/>
        <w:fldChar w:fldCharType="end"/>
      </w:r>
    </w:p>
    <w:p w14:paraId="4C9068DE" w14:textId="6E69796C" w:rsidR="00433049" w:rsidRPr="005E3D50" w:rsidRDefault="00433049" w:rsidP="00433049">
      <w:pPr>
        <w:pStyle w:val="Heading1"/>
        <w:rPr>
          <w:lang w:val="es-ES"/>
        </w:rPr>
      </w:pPr>
      <w:bookmarkStart w:id="0" w:name="_Toc235821028"/>
      <w:bookmarkStart w:id="1" w:name="_Toc239069173"/>
      <w:bookmarkStart w:id="2" w:name="_Toc242882951"/>
      <w:r w:rsidRPr="005E3D50">
        <w:rPr>
          <w:lang w:val="es-ES"/>
        </w:rPr>
        <w:t>Prólogo</w:t>
      </w:r>
      <w:bookmarkEnd w:id="0"/>
      <w:bookmarkEnd w:id="1"/>
      <w:bookmarkEnd w:id="2"/>
    </w:p>
    <w:p w14:paraId="00B5E5B3" w14:textId="2BE0D533" w:rsidR="066448CA" w:rsidRPr="005E3D50" w:rsidRDefault="066448CA" w:rsidP="066448CA">
      <w:pPr>
        <w:spacing w:line="276" w:lineRule="auto"/>
        <w:rPr>
          <w:rFonts w:eastAsiaTheme="minorEastAsia"/>
          <w:i/>
          <w:iCs/>
          <w:lang w:val="es-ES"/>
        </w:rPr>
      </w:pPr>
    </w:p>
    <w:p w14:paraId="2E9EF065" w14:textId="0D58A1B6" w:rsidR="009B27A3" w:rsidRPr="005E3D50" w:rsidRDefault="63BF3BD2" w:rsidP="74032CC2">
      <w:pPr>
        <w:spacing w:line="276" w:lineRule="auto"/>
        <w:rPr>
          <w:rFonts w:eastAsiaTheme="minorEastAsia"/>
          <w:i/>
          <w:iCs/>
          <w:color w:val="000000" w:themeColor="text1"/>
          <w:lang w:val="es-ES"/>
        </w:rPr>
      </w:pPr>
      <w:r w:rsidRPr="005E3D50">
        <w:rPr>
          <w:i/>
          <w:iCs/>
          <w:lang w:val="es-ES"/>
        </w:rPr>
        <w:t>“</w:t>
      </w:r>
      <w:r w:rsidR="000265DD" w:rsidRPr="005E3D50">
        <w:rPr>
          <w:i/>
          <w:iCs/>
          <w:lang w:val="es-ES"/>
        </w:rPr>
        <w:t>La diversidad biológica sustenta la vida en la Tierra. Por lo tanto, la salvaguardia de la diversidad biológica es esencial para la salud de nuestro planeta, la resiliencia de nuestras economías y el bienestar de todas las personas. Este informe mundial, Estado de la acción en materia de biodiversidad, evalúa nuestros progresos en la implementación del Marco Mundial de Biodiversidad de Kunming-Montreal e indica las medidas urgentes que se necesitan para alca</w:t>
      </w:r>
      <w:r w:rsidR="00E32ADD" w:rsidRPr="005E3D50">
        <w:rPr>
          <w:i/>
          <w:iCs/>
          <w:lang w:val="es-ES"/>
        </w:rPr>
        <w:t>n</w:t>
      </w:r>
      <w:r w:rsidR="000265DD" w:rsidRPr="005E3D50">
        <w:rPr>
          <w:i/>
          <w:iCs/>
          <w:lang w:val="es-ES"/>
        </w:rPr>
        <w:t>zar sus metas para 2030 y hacer realidad su visión para 2050. Juntos, podemos acelerar la acción, detener e invertir la p</w:t>
      </w:r>
      <w:r w:rsidR="00E32ADD" w:rsidRPr="005E3D50">
        <w:rPr>
          <w:i/>
          <w:iCs/>
          <w:lang w:val="es-ES"/>
        </w:rPr>
        <w:t>érdida</w:t>
      </w:r>
      <w:r w:rsidR="000265DD" w:rsidRPr="005E3D50">
        <w:rPr>
          <w:i/>
          <w:iCs/>
          <w:lang w:val="es-ES"/>
        </w:rPr>
        <w:t xml:space="preserve"> de diversidad biológica y </w:t>
      </w:r>
      <w:r w:rsidR="00E32ADD" w:rsidRPr="005E3D50">
        <w:rPr>
          <w:i/>
          <w:iCs/>
          <w:lang w:val="es-ES"/>
        </w:rPr>
        <w:t>preservar la base</w:t>
      </w:r>
      <w:r w:rsidR="000265DD" w:rsidRPr="005E3D50">
        <w:rPr>
          <w:i/>
          <w:iCs/>
          <w:lang w:val="es-ES"/>
        </w:rPr>
        <w:t xml:space="preserve"> natural de la que dependen toda la vida y la prosperidad humanas</w:t>
      </w:r>
      <w:r w:rsidRPr="005E3D50">
        <w:rPr>
          <w:i/>
          <w:iCs/>
          <w:color w:val="000000" w:themeColor="text1"/>
          <w:lang w:val="es-ES"/>
        </w:rPr>
        <w:t xml:space="preserve">.” </w:t>
      </w:r>
    </w:p>
    <w:p w14:paraId="4829667C" w14:textId="08F1DF41" w:rsidR="009B27A3" w:rsidRPr="005E3D50" w:rsidRDefault="22ABA6C6" w:rsidP="74032CC2">
      <w:pPr>
        <w:spacing w:line="276" w:lineRule="auto"/>
        <w:rPr>
          <w:b/>
          <w:bCs/>
          <w:lang w:val="es-ES"/>
        </w:rPr>
      </w:pPr>
      <w:r w:rsidRPr="005E3D50">
        <w:rPr>
          <w:b/>
          <w:bCs/>
          <w:lang w:val="es-ES"/>
        </w:rPr>
        <w:t xml:space="preserve">António Guterres, </w:t>
      </w:r>
      <w:proofErr w:type="gramStart"/>
      <w:r w:rsidRPr="005E3D50">
        <w:rPr>
          <w:b/>
          <w:bCs/>
          <w:lang w:val="es-ES"/>
        </w:rPr>
        <w:t>Secretario General</w:t>
      </w:r>
      <w:proofErr w:type="gramEnd"/>
      <w:r w:rsidRPr="005E3D50">
        <w:rPr>
          <w:b/>
          <w:bCs/>
          <w:lang w:val="es-ES"/>
        </w:rPr>
        <w:t xml:space="preserve"> de las Naciones Unidas</w:t>
      </w:r>
    </w:p>
    <w:p w14:paraId="2A5812B3" w14:textId="7A39A947" w:rsidR="009B27A3" w:rsidRPr="005E3D50" w:rsidRDefault="009B27A3" w:rsidP="74032CC2">
      <w:pPr>
        <w:spacing w:line="276" w:lineRule="auto"/>
        <w:rPr>
          <w:rFonts w:eastAsiaTheme="minorEastAsia"/>
          <w:lang w:val="es-ES"/>
        </w:rPr>
      </w:pPr>
    </w:p>
    <w:p w14:paraId="5E09023D" w14:textId="3851A8E6" w:rsidR="009B27A3" w:rsidRPr="005E3D50" w:rsidRDefault="22ABA6C6" w:rsidP="74032CC2">
      <w:pPr>
        <w:spacing w:line="276" w:lineRule="auto"/>
        <w:rPr>
          <w:i/>
          <w:iCs/>
          <w:color w:val="000000" w:themeColor="text1"/>
          <w:lang w:val="es-ES"/>
        </w:rPr>
      </w:pPr>
      <w:r w:rsidRPr="005E3D50">
        <w:rPr>
          <w:i/>
          <w:iCs/>
          <w:color w:val="000000" w:themeColor="text1"/>
          <w:lang w:val="es-ES"/>
        </w:rPr>
        <w:t>“</w:t>
      </w:r>
      <w:r w:rsidR="000854BE" w:rsidRPr="005E3D50">
        <w:rPr>
          <w:i/>
          <w:iCs/>
          <w:color w:val="000000" w:themeColor="text1"/>
          <w:lang w:val="es-ES"/>
        </w:rPr>
        <w:t xml:space="preserve">El Marco Mundial de Biodiversidad de Kunming-Montreal es nuestra hoja de ruta para proteger la naturaleza y hacer las paces con ella. Sin embargo, a medida que nos acercamos a la mitad del camino hacia 2030, este nuevo informe mundial, Estado de la acción en materia de biodiversidad, revela una realidad preocupante, ya que seguimos sin estar </w:t>
      </w:r>
      <w:r w:rsidR="00676FAA" w:rsidRPr="005E3D50">
        <w:rPr>
          <w:i/>
          <w:iCs/>
          <w:color w:val="000000" w:themeColor="text1"/>
          <w:lang w:val="es-ES"/>
        </w:rPr>
        <w:t>en vías de alcanzar</w:t>
      </w:r>
      <w:r w:rsidR="000854BE" w:rsidRPr="005E3D50">
        <w:rPr>
          <w:i/>
          <w:iCs/>
          <w:color w:val="000000" w:themeColor="text1"/>
          <w:lang w:val="es-ES"/>
        </w:rPr>
        <w:t xml:space="preserve"> nuestros objetivos colectivos. La propia diversidad biológica de la que dependemos necesita progresos tangibles, no más promesas. Esta revisión mundial constituye un claro llamamiento a la acción: aún podemos retomar el rumbo y proteger a las personas y el planeta, pero solo si actuamos ahora, superamos los desafíos relacionados con la implementación e invertimos en soluciones que trabajen con la naturaleza y no contra ella</w:t>
      </w:r>
      <w:r w:rsidRPr="005E3D50">
        <w:rPr>
          <w:i/>
          <w:iCs/>
          <w:color w:val="000000" w:themeColor="text1"/>
          <w:lang w:val="es-ES"/>
        </w:rPr>
        <w:t>.</w:t>
      </w:r>
      <w:r w:rsidR="00F52AD4" w:rsidRPr="005E3D50">
        <w:rPr>
          <w:i/>
          <w:iCs/>
          <w:color w:val="000000" w:themeColor="text1"/>
          <w:lang w:val="es-ES"/>
        </w:rPr>
        <w:t>”</w:t>
      </w:r>
    </w:p>
    <w:p w14:paraId="677B3894" w14:textId="5D9488B5" w:rsidR="009B27A3" w:rsidRPr="005E3D50" w:rsidRDefault="22ABA6C6" w:rsidP="74032CC2">
      <w:pPr>
        <w:spacing w:line="276" w:lineRule="auto"/>
        <w:rPr>
          <w:b/>
          <w:bCs/>
          <w:lang w:val="es-ES"/>
        </w:rPr>
      </w:pPr>
      <w:proofErr w:type="spellStart"/>
      <w:r w:rsidRPr="005E3D50">
        <w:rPr>
          <w:b/>
          <w:bCs/>
          <w:lang w:val="es-ES"/>
        </w:rPr>
        <w:t>Inger</w:t>
      </w:r>
      <w:proofErr w:type="spellEnd"/>
      <w:r w:rsidRPr="005E3D50">
        <w:rPr>
          <w:b/>
          <w:bCs/>
          <w:lang w:val="es-ES"/>
        </w:rPr>
        <w:t xml:space="preserve"> Andersen, </w:t>
      </w:r>
      <w:proofErr w:type="gramStart"/>
      <w:r w:rsidRPr="005E3D50">
        <w:rPr>
          <w:b/>
          <w:bCs/>
          <w:lang w:val="es-ES"/>
        </w:rPr>
        <w:t>Secretaria General</w:t>
      </w:r>
      <w:proofErr w:type="gramEnd"/>
      <w:r w:rsidRPr="005E3D50">
        <w:rPr>
          <w:b/>
          <w:bCs/>
          <w:lang w:val="es-ES"/>
        </w:rPr>
        <w:t xml:space="preserve"> Adjunta y </w:t>
      </w:r>
      <w:proofErr w:type="gramStart"/>
      <w:r w:rsidRPr="005E3D50">
        <w:rPr>
          <w:b/>
          <w:bCs/>
          <w:lang w:val="es-ES"/>
        </w:rPr>
        <w:t>Directora Ejecutiva</w:t>
      </w:r>
      <w:proofErr w:type="gramEnd"/>
      <w:r w:rsidRPr="005E3D50">
        <w:rPr>
          <w:b/>
          <w:bCs/>
          <w:lang w:val="es-ES"/>
        </w:rPr>
        <w:t xml:space="preserve"> del Programa de las Naciones Unidas para el Medio Ambiente</w:t>
      </w:r>
    </w:p>
    <w:p w14:paraId="76358FCF" w14:textId="21752C2C" w:rsidR="009B27A3" w:rsidRPr="005E3D50" w:rsidRDefault="009B27A3" w:rsidP="74032CC2">
      <w:pPr>
        <w:spacing w:line="276" w:lineRule="auto"/>
        <w:rPr>
          <w:i/>
          <w:iCs/>
          <w:lang w:val="es-ES"/>
        </w:rPr>
      </w:pPr>
    </w:p>
    <w:p w14:paraId="40E6BB0B" w14:textId="28286BB9" w:rsidR="009B27A3" w:rsidRPr="005E3D50" w:rsidRDefault="4E36B9C3" w:rsidP="701E3C73">
      <w:pPr>
        <w:spacing w:line="276" w:lineRule="auto"/>
        <w:rPr>
          <w:rFonts w:eastAsiaTheme="minorEastAsia"/>
          <w:i/>
          <w:iCs/>
          <w:color w:val="000000" w:themeColor="text1"/>
          <w:lang w:val="es-ES"/>
        </w:rPr>
      </w:pPr>
      <w:r w:rsidRPr="005E3D50">
        <w:rPr>
          <w:i/>
          <w:iCs/>
          <w:color w:val="000000" w:themeColor="text1"/>
          <w:lang w:val="es-ES"/>
        </w:rPr>
        <w:t>“El informe mundial</w:t>
      </w:r>
      <w:r w:rsidR="00CD1296" w:rsidRPr="005E3D50">
        <w:rPr>
          <w:i/>
          <w:iCs/>
          <w:color w:val="000000" w:themeColor="text1"/>
          <w:lang w:val="es-ES"/>
        </w:rPr>
        <w:t>, Estado de la acción en materia de biodiversidad,</w:t>
      </w:r>
      <w:r w:rsidRPr="005E3D50">
        <w:rPr>
          <w:i/>
          <w:iCs/>
          <w:color w:val="000000" w:themeColor="text1"/>
          <w:lang w:val="es-ES"/>
        </w:rPr>
        <w:t xml:space="preserve"> presenta la primera evaluación mundial de los progresos colectivos en la implementación del Marco Mundial de Biodiversidad de Kunming-Montreal. Se basa principalmente en la información proporcionada por las Partes en nuestro Convenio e ilustra cómo, desde su adopción, el Marco ha </w:t>
      </w:r>
      <w:r w:rsidR="00F97AAA">
        <w:rPr>
          <w:i/>
          <w:iCs/>
          <w:color w:val="000000" w:themeColor="text1"/>
          <w:lang w:val="es-ES"/>
        </w:rPr>
        <w:t>generado</w:t>
      </w:r>
      <w:r w:rsidRPr="005E3D50">
        <w:rPr>
          <w:i/>
          <w:iCs/>
          <w:color w:val="000000" w:themeColor="text1"/>
          <w:lang w:val="es-ES"/>
        </w:rPr>
        <w:t xml:space="preserve"> un compromiso y una participación sin precedentes a nivel mundial. Al mismo tiempo, el informe deja claro que es necesario aumentar el ritmo y la escala de implementación en todo el mundo y en todos los niveles de la sociedad para hacer </w:t>
      </w:r>
      <w:r w:rsidRPr="005E3D50">
        <w:rPr>
          <w:i/>
          <w:iCs/>
          <w:color w:val="000000" w:themeColor="text1"/>
          <w:lang w:val="es-ES"/>
        </w:rPr>
        <w:lastRenderedPageBreak/>
        <w:t xml:space="preserve">realidad la ambición del Marco para 2030. Mientras las Partes llevan a cabo la primera revisión mundial de los progresos en la implementación del Marco, este informe proporciona una base para las deliberaciones y las medidas necesarias </w:t>
      </w:r>
      <w:r w:rsidR="00676FAA" w:rsidRPr="005E3D50">
        <w:rPr>
          <w:i/>
          <w:iCs/>
          <w:color w:val="000000" w:themeColor="text1"/>
          <w:lang w:val="es-ES"/>
        </w:rPr>
        <w:t>a fin de</w:t>
      </w:r>
      <w:r w:rsidRPr="005E3D50">
        <w:rPr>
          <w:i/>
          <w:iCs/>
          <w:color w:val="000000" w:themeColor="text1"/>
          <w:lang w:val="es-ES"/>
        </w:rPr>
        <w:t xml:space="preserve"> acelerar y ampliar nuestros esfuerzos </w:t>
      </w:r>
      <w:r w:rsidR="00676FAA" w:rsidRPr="005E3D50">
        <w:rPr>
          <w:i/>
          <w:iCs/>
          <w:color w:val="000000" w:themeColor="text1"/>
          <w:lang w:val="es-ES"/>
        </w:rPr>
        <w:t>para</w:t>
      </w:r>
      <w:r w:rsidRPr="005E3D50">
        <w:rPr>
          <w:i/>
          <w:iCs/>
          <w:color w:val="000000" w:themeColor="text1"/>
          <w:lang w:val="es-ES"/>
        </w:rPr>
        <w:t xml:space="preserve"> detener e invertir la pérdida de diversidad biológica.”</w:t>
      </w:r>
    </w:p>
    <w:p w14:paraId="4708F6EB" w14:textId="6C1A0F7E" w:rsidR="009B27A3" w:rsidRPr="005E3D50" w:rsidRDefault="00772101" w:rsidP="74032CC2">
      <w:pPr>
        <w:spacing w:line="276" w:lineRule="auto"/>
        <w:rPr>
          <w:b/>
          <w:bCs/>
          <w:lang w:val="es-ES"/>
        </w:rPr>
      </w:pPr>
      <w:r w:rsidRPr="005E3D50">
        <w:rPr>
          <w:b/>
          <w:bCs/>
          <w:lang w:val="es-ES"/>
        </w:rPr>
        <w:t xml:space="preserve">Astrid Schomaker, </w:t>
      </w:r>
      <w:proofErr w:type="gramStart"/>
      <w:r w:rsidRPr="005E3D50">
        <w:rPr>
          <w:b/>
          <w:bCs/>
          <w:lang w:val="es-ES"/>
        </w:rPr>
        <w:t>Secretaria Ejecutiva</w:t>
      </w:r>
      <w:proofErr w:type="gramEnd"/>
      <w:r w:rsidRPr="005E3D50">
        <w:rPr>
          <w:b/>
          <w:bCs/>
          <w:lang w:val="es-ES"/>
        </w:rPr>
        <w:t xml:space="preserve"> del Convenio sobre la Diversidad Biológica</w:t>
      </w:r>
    </w:p>
    <w:p w14:paraId="67A8596A" w14:textId="77777777" w:rsidR="00772101" w:rsidRPr="005E3D50" w:rsidRDefault="00772101" w:rsidP="00772101">
      <w:pPr>
        <w:rPr>
          <w:lang w:val="es-ES"/>
        </w:rPr>
      </w:pPr>
    </w:p>
    <w:p w14:paraId="7847E213" w14:textId="77777777" w:rsidR="00433049" w:rsidRPr="005E3D50" w:rsidRDefault="00433049" w:rsidP="00433049">
      <w:pPr>
        <w:pStyle w:val="Heading1"/>
        <w:rPr>
          <w:lang w:val="es-ES"/>
        </w:rPr>
      </w:pPr>
      <w:bookmarkStart w:id="3" w:name="_Toc235821029"/>
      <w:bookmarkStart w:id="4" w:name="_Toc239069174"/>
      <w:bookmarkStart w:id="5" w:name="_Toc242882952"/>
      <w:r w:rsidRPr="005E3D50">
        <w:rPr>
          <w:lang w:val="es-ES"/>
        </w:rPr>
        <w:t>Agradecimientos</w:t>
      </w:r>
      <w:bookmarkEnd w:id="3"/>
      <w:bookmarkEnd w:id="4"/>
      <w:bookmarkEnd w:id="5"/>
    </w:p>
    <w:p w14:paraId="1788CB40" w14:textId="45F4EF89" w:rsidR="00CF177D" w:rsidRPr="005E3D50" w:rsidRDefault="00CF177D" w:rsidP="00344995">
      <w:pPr>
        <w:rPr>
          <w:lang w:val="es-ES"/>
        </w:rPr>
      </w:pPr>
      <w:r w:rsidRPr="005E3D50">
        <w:rPr>
          <w:lang w:val="es-ES"/>
        </w:rPr>
        <w:t xml:space="preserve">El </w:t>
      </w:r>
      <w:r w:rsidRPr="005E3D50">
        <w:rPr>
          <w:i/>
          <w:iCs/>
          <w:lang w:val="es-ES"/>
        </w:rPr>
        <w:t>Estado de la acción en materia de biodiversidad: Informe mundial sobre los progresos colectivos en la implementación del Marco Mundial de Biodiversidad de Kunming-Montreal</w:t>
      </w:r>
      <w:r w:rsidRPr="005E3D50">
        <w:rPr>
          <w:lang w:val="es-ES"/>
        </w:rPr>
        <w:t xml:space="preserve"> es uno de los resultados de los procesos del Convenio sobre la Diversidad Biológica. Las Partes en el Convenio, otros Gobiernos y organizaciones observadoras han contribuido a la preparación del informe mundial mediante sus aportaciones en las reuniones y sus observaciones en la revisión por pares. </w:t>
      </w:r>
    </w:p>
    <w:p w14:paraId="75EA1137" w14:textId="53419D20" w:rsidR="00CF177D" w:rsidRPr="005E3D50" w:rsidRDefault="00CF177D" w:rsidP="00344995">
      <w:pPr>
        <w:rPr>
          <w:lang w:val="es-ES"/>
        </w:rPr>
      </w:pPr>
      <w:r w:rsidRPr="005E3D50">
        <w:rPr>
          <w:lang w:val="es-ES"/>
        </w:rPr>
        <w:t xml:space="preserve">El informe mundial fue preparado por la Secretaría del Convenio sobre la Diversidad Biológica con la orientación de las Partes, entre otras vías por conducto del Órgano Subsidiario sobre la Aplicación, y con el asesoramiento científico, técnico y tecnológico del Órgano Subsidiario de Asesoramiento Científico, Técnico y Tecnológico, que contó con el apoyo del Grupo Especial de Asesoramiento Científico y Técnico para la Preparación del Informe Mundial sobre los Progresos Colectivos en la Implementación del Marco Mundial de Biodiversidad de Kunming-Montreal. La preparación del informe se ha beneficiado de la colaboración con numerosas organizaciones asociadas y representantes de Gobiernos, organizaciones no gubernamentales y redes científicas, que generosamente contribuyeron con su tiempo, energía y conocimientos especializados. </w:t>
      </w:r>
    </w:p>
    <w:p w14:paraId="2FA36950" w14:textId="5BF0D244" w:rsidR="00CF177D" w:rsidRPr="005E3D50" w:rsidRDefault="00CF177D" w:rsidP="00344995">
      <w:pPr>
        <w:rPr>
          <w:lang w:val="es-ES"/>
        </w:rPr>
      </w:pPr>
      <w:r w:rsidRPr="005E3D50">
        <w:rPr>
          <w:lang w:val="es-ES"/>
        </w:rPr>
        <w:t>El informe mundial se basa en múltiples fuentes de información, según lo decidido por las Partes. Los séptimos informes nacionales presentados por las Partes en el Convenio son la principal fuente de información utilizada en la preparación del informe. Por lo tanto, la Secretaría desea agradecer a las Partes que presentaron sus séptimos informes nacionales, sus estrategias y planes de acción nacionales en materia de biodiversidad (EPANB) y sus metas nacionales a tiempo para que fueran considerados en la preparación del informe, así como a las Partes y organizaciones observadoras que compartieron informes e información adicionales y elaboraron conjuntamente estudios de casos para apoyar la preparación del informe.</w:t>
      </w:r>
    </w:p>
    <w:p w14:paraId="2B0BDEFB" w14:textId="1403FF84" w:rsidR="00CF177D" w:rsidRPr="005E3D50" w:rsidRDefault="00CF177D" w:rsidP="00344995">
      <w:pPr>
        <w:rPr>
          <w:lang w:val="es-ES"/>
        </w:rPr>
      </w:pPr>
      <w:r w:rsidRPr="005E3D50">
        <w:rPr>
          <w:lang w:val="es-ES"/>
        </w:rPr>
        <w:t xml:space="preserve">Las evaluaciones de la Plataforma Intergubernamental Científico-Normativa sobre Diversidad Biológica y Servicios de los Ecosistemas (IPBES) constituyen otra fuente </w:t>
      </w:r>
      <w:r w:rsidRPr="005E3D50">
        <w:rPr>
          <w:lang w:val="es-ES"/>
        </w:rPr>
        <w:lastRenderedPageBreak/>
        <w:t xml:space="preserve">importante de información para el informe mundial. La Secretaría también agradece sinceramente a todas las personas que han participado en el proceso de la IPBES y, en particular, a los expertos que han colaborado en la preparación de sus evaluaciones. </w:t>
      </w:r>
    </w:p>
    <w:p w14:paraId="19245645" w14:textId="572C81B5" w:rsidR="00CC007E" w:rsidRPr="005E3D50" w:rsidRDefault="00774A22" w:rsidP="00CC007E">
      <w:pPr>
        <w:rPr>
          <w:lang w:val="es-ES"/>
        </w:rPr>
      </w:pPr>
      <w:r w:rsidRPr="005E3D50">
        <w:rPr>
          <w:lang w:val="es-ES"/>
        </w:rPr>
        <w:t xml:space="preserve">El Grupo Especial de Asesoramiento Científico y Técnico para la Preparación del Informe Mundial sobre los Progresos Colectivos en la Implementación del Marco Mundial de Biodiversidad de Kunming-Montreal proporcionó invalorable orientación a lo largo de la preparación del informe. Se extiende un agradecimiento especial a sus copresidentes, Hesiquio Benítez Díaz y Emily Nicholson, y a sus integrantes: Ossama Ahmed Abdelkawy, Obaid Ali Humaid Alshamsi, Neil Burgess, Jocelyn </w:t>
      </w:r>
      <w:proofErr w:type="spellStart"/>
      <w:r w:rsidRPr="005E3D50">
        <w:rPr>
          <w:lang w:val="es-ES"/>
        </w:rPr>
        <w:t>Carino</w:t>
      </w:r>
      <w:proofErr w:type="spellEnd"/>
      <w:r w:rsidRPr="005E3D50">
        <w:rPr>
          <w:lang w:val="es-ES"/>
        </w:rPr>
        <w:t xml:space="preserve">, Cristina Eghenter, Megan Eldred, Voskehat </w:t>
      </w:r>
      <w:proofErr w:type="spellStart"/>
      <w:r w:rsidRPr="005E3D50">
        <w:rPr>
          <w:lang w:val="es-ES"/>
        </w:rPr>
        <w:t>Grigoryaní</w:t>
      </w:r>
      <w:proofErr w:type="spellEnd"/>
      <w:r w:rsidRPr="005E3D50">
        <w:rPr>
          <w:lang w:val="es-ES"/>
        </w:rPr>
        <w:t xml:space="preserve">, Shizuka Hashimoto, Walter Jetz, </w:t>
      </w:r>
      <w:proofErr w:type="spellStart"/>
      <w:r w:rsidRPr="005E3D50">
        <w:rPr>
          <w:lang w:val="es-ES"/>
        </w:rPr>
        <w:t>Vainuupo</w:t>
      </w:r>
      <w:proofErr w:type="spellEnd"/>
      <w:r w:rsidRPr="005E3D50">
        <w:rPr>
          <w:lang w:val="es-ES"/>
        </w:rPr>
        <w:t xml:space="preserve"> Jungblut, Alice Zione Kammwamba, Marcel Kok, Maria Cecilia Londo</w:t>
      </w:r>
      <w:r w:rsidRPr="005E3D50">
        <w:rPr>
          <w:rFonts w:ascii="Aptos" w:hAnsi="Aptos"/>
          <w:lang w:val="es-ES"/>
        </w:rPr>
        <w:t>ñ</w:t>
      </w:r>
      <w:r w:rsidRPr="005E3D50">
        <w:rPr>
          <w:lang w:val="es-ES"/>
        </w:rPr>
        <w:t>o Murcia, William Armand Mala, Mukondi Precious Matshusa, Rita Mesquita, Slaviša Popovi</w:t>
      </w:r>
      <w:r w:rsidRPr="005E3D50">
        <w:rPr>
          <w:rFonts w:ascii="Aptos" w:hAnsi="Aptos"/>
          <w:color w:val="202122"/>
          <w:lang w:val="es-ES"/>
        </w:rPr>
        <w:t>ć</w:t>
      </w:r>
      <w:r w:rsidRPr="005E3D50">
        <w:rPr>
          <w:lang w:val="es-ES"/>
        </w:rPr>
        <w:t xml:space="preserve">, Alexander Shestakov, Ruth Spencer, Andrew Stott, Jade Sullivan, Josefa Tauli y Jing </w:t>
      </w:r>
      <w:proofErr w:type="spellStart"/>
      <w:r w:rsidRPr="005E3D50">
        <w:rPr>
          <w:lang w:val="es-ES"/>
        </w:rPr>
        <w:t>Xu</w:t>
      </w:r>
      <w:proofErr w:type="spellEnd"/>
      <w:r w:rsidRPr="005E3D50">
        <w:rPr>
          <w:lang w:val="es-ES"/>
        </w:rPr>
        <w:t>.</w:t>
      </w:r>
    </w:p>
    <w:p w14:paraId="01761084" w14:textId="11070E68" w:rsidR="00CF177D" w:rsidRPr="005E3D50" w:rsidRDefault="00CF177D" w:rsidP="00344995">
      <w:pPr>
        <w:rPr>
          <w:lang w:val="es-ES"/>
        </w:rPr>
      </w:pPr>
      <w:r w:rsidRPr="005E3D50">
        <w:rPr>
          <w:lang w:val="es-ES"/>
        </w:rPr>
        <w:t xml:space="preserve">La redacción y edición del informe estuvo a cargo de Tim Hirsch, Flavio Affinito, Usman Tariq, Kieran Noonan Mooney, Vincent Hulin, Hirotsugu Takahashi y Jillian Campbell, con la orientación de Astrid Schomaker. La producción estuvo dirigida por Jillian Campbell, con el apoyo de Lisa Janishevski y Frederic Vogel. </w:t>
      </w:r>
    </w:p>
    <w:p w14:paraId="0EA45A5A" w14:textId="6FDA7AAD" w:rsidR="00F11FAC" w:rsidRPr="005E3D50" w:rsidRDefault="00F11FAC" w:rsidP="00F11FAC">
      <w:pPr>
        <w:rPr>
          <w:lang w:val="es-ES"/>
        </w:rPr>
      </w:pPr>
      <w:r w:rsidRPr="005E3D50">
        <w:rPr>
          <w:lang w:val="es-ES"/>
        </w:rPr>
        <w:t xml:space="preserve">Asimismo, numerosos integrantes del personal de la Secretaría, pasantes y consultores brindaron aportaciones, opiniones y apoyo para la preparación y comunicación del informe mundial. Entre ellos se encuentran Joseph Appiott, Erdoo Awai, Jade Baker, Lis Mullin Bernhardt, Bianca Lisboa Da Camara Brasil, Katherine Brielmaier, Michael Brodsky, Philippa Burgess-Arcos, Lijie Cai, Joshua Cohen, </w:t>
      </w:r>
      <w:proofErr w:type="spellStart"/>
      <w:r w:rsidRPr="005E3D50">
        <w:rPr>
          <w:lang w:val="es-ES"/>
        </w:rPr>
        <w:t>Q"apaj</w:t>
      </w:r>
      <w:proofErr w:type="spellEnd"/>
      <w:r w:rsidRPr="005E3D50">
        <w:rPr>
          <w:lang w:val="es-ES"/>
        </w:rPr>
        <w:t xml:space="preserve"> Conde, Annie Cung, Valentina De Noia, Jamie Depolla, Virginie Dupont Shakh, Deniz Dutton, Mohamed </w:t>
      </w:r>
      <w:proofErr w:type="spellStart"/>
      <w:r w:rsidRPr="005E3D50">
        <w:rPr>
          <w:lang w:val="es-ES"/>
        </w:rPr>
        <w:t>elSehemawi</w:t>
      </w:r>
      <w:proofErr w:type="spellEnd"/>
      <w:r w:rsidRPr="005E3D50">
        <w:rPr>
          <w:lang w:val="es-ES"/>
        </w:rPr>
        <w:t xml:space="preserve">, Andrea Floudiotis, Blaise Fonseca, </w:t>
      </w:r>
      <w:proofErr w:type="spellStart"/>
      <w:r w:rsidRPr="005E3D50">
        <w:rPr>
          <w:lang w:val="es-ES"/>
        </w:rPr>
        <w:t>Mingjiang</w:t>
      </w:r>
      <w:proofErr w:type="spellEnd"/>
      <w:r w:rsidRPr="005E3D50">
        <w:rPr>
          <w:lang w:val="es-ES"/>
        </w:rPr>
        <w:t xml:space="preserve"> Gao, Sarah Geargeoura, Jihed Ghannem, Ray Goh, Beatriz Gomez Castro, Zakir Jafry, Mariano Castro Jimenez, Sam Johnston, Regina Kipper, Monica Kobayashi, </w:t>
      </w:r>
      <w:proofErr w:type="spellStart"/>
      <w:r w:rsidRPr="005E3D50">
        <w:rPr>
          <w:lang w:val="es-ES"/>
        </w:rPr>
        <w:t>Yuwei</w:t>
      </w:r>
      <w:proofErr w:type="spellEnd"/>
      <w:r w:rsidRPr="005E3D50">
        <w:rPr>
          <w:lang w:val="es-ES"/>
        </w:rPr>
        <w:t xml:space="preserve"> Kong, Jihyun Lee, Markus Lehmann Kleineidam, Lucas Magdalena, Wadzanayi Mandivenyi, Matthias Massoulier, Teresa Mazza, Jennifer </w:t>
      </w:r>
      <w:proofErr w:type="spellStart"/>
      <w:r w:rsidRPr="005E3D50">
        <w:rPr>
          <w:lang w:val="es-ES"/>
        </w:rPr>
        <w:t>Mcdonald</w:t>
      </w:r>
      <w:proofErr w:type="spellEnd"/>
      <w:r w:rsidRPr="005E3D50">
        <w:rPr>
          <w:lang w:val="es-ES"/>
        </w:rPr>
        <w:t xml:space="preserve">, Aylin S. McNamara, Ehab Metwali, Natalia Morozova, Asad Naqvi, Ahmed Osman, Claudia Paguaga Trewin, Maria A. Troitiño, Jacopo Pasquero, Shu Pei, Rosario Pérez, Laura Pérez Carrara, Anna Polkina, Yonglin Qin, Marianela Araya Quesada, Rachel Richardson, Eliza </w:t>
      </w:r>
      <w:proofErr w:type="spellStart"/>
      <w:r w:rsidRPr="005E3D50">
        <w:rPr>
          <w:lang w:val="es-ES"/>
        </w:rPr>
        <w:t>Richold</w:t>
      </w:r>
      <w:proofErr w:type="spellEnd"/>
      <w:r w:rsidRPr="005E3D50">
        <w:rPr>
          <w:lang w:val="es-ES"/>
        </w:rPr>
        <w:t xml:space="preserve">, Chantal Robichaud, Olivier Rukundo, Nadine Saad, Benjamin Shaw, Nikolay Siganov, Sakhile Silitshena, Erie Tamale, Tristan Tyrrell, Frederic Vogel, </w:t>
      </w:r>
      <w:proofErr w:type="spellStart"/>
      <w:r w:rsidRPr="005E3D50">
        <w:rPr>
          <w:lang w:val="es-ES"/>
        </w:rPr>
        <w:t>Anaë</w:t>
      </w:r>
      <w:proofErr w:type="spellEnd"/>
      <w:r w:rsidRPr="005E3D50">
        <w:rPr>
          <w:lang w:val="es-ES"/>
        </w:rPr>
        <w:t xml:space="preserve"> Werner, Kelan Xiao y Anna Zaitseva.</w:t>
      </w:r>
    </w:p>
    <w:p w14:paraId="303A0CA0" w14:textId="350EE79B" w:rsidR="0050554E" w:rsidRPr="005E3D50" w:rsidRDefault="0050554E" w:rsidP="0050554E">
      <w:pPr>
        <w:rPr>
          <w:lang w:val="es-ES"/>
        </w:rPr>
      </w:pPr>
      <w:bookmarkStart w:id="6" w:name="_Toc235821030"/>
      <w:r w:rsidRPr="005E3D50">
        <w:rPr>
          <w:lang w:val="es-ES"/>
        </w:rPr>
        <w:t xml:space="preserve">La producción del informe mundial ha sido posible gracias a las contribuciones financieras de la Unión Europea, los Gobiernos del Reino de los Países Bajos y Suiza, y el Programa de las Naciones Unidas para el Medio Ambiente, a través del Fondo Fiduciario de China. Las </w:t>
      </w:r>
      <w:r w:rsidRPr="005E3D50">
        <w:rPr>
          <w:lang w:val="es-ES"/>
        </w:rPr>
        <w:lastRenderedPageBreak/>
        <w:t xml:space="preserve">opiniones expresadas en el presente documento no reflejan en modo alguno la opinión oficial de los donantes. </w:t>
      </w:r>
    </w:p>
    <w:p w14:paraId="67DDA0CD" w14:textId="1356A692" w:rsidR="00433049" w:rsidRPr="005E3D50" w:rsidRDefault="00433049" w:rsidP="00433049">
      <w:pPr>
        <w:pStyle w:val="Heading1"/>
        <w:rPr>
          <w:lang w:val="es-ES"/>
        </w:rPr>
      </w:pPr>
      <w:bookmarkStart w:id="7" w:name="_Toc239069175"/>
      <w:bookmarkStart w:id="8" w:name="_Toc242882953"/>
      <w:r w:rsidRPr="005E3D50">
        <w:rPr>
          <w:lang w:val="es-ES"/>
        </w:rPr>
        <w:t>Lista de abreviaciones</w:t>
      </w:r>
      <w:bookmarkEnd w:id="6"/>
      <w:r w:rsidRPr="005E3D50">
        <w:rPr>
          <w:lang w:val="es-ES"/>
        </w:rPr>
        <w:t xml:space="preserve"> y siglas</w:t>
      </w:r>
      <w:bookmarkEnd w:id="7"/>
      <w:bookmarkEnd w:id="8"/>
    </w:p>
    <w:p w14:paraId="75F952AF" w14:textId="3AE60162" w:rsidR="00804D48" w:rsidRPr="005E3D50" w:rsidRDefault="00804D48" w:rsidP="00804D4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C85101" w:rsidRPr="005E3D50" w14:paraId="174A9A06" w14:textId="77777777" w:rsidTr="009A5927">
        <w:tc>
          <w:tcPr>
            <w:tcW w:w="2977" w:type="dxa"/>
          </w:tcPr>
          <w:p w14:paraId="361CEF8A" w14:textId="77777777" w:rsidR="00C85101" w:rsidRPr="005E3D50" w:rsidRDefault="00C85101">
            <w:pPr>
              <w:rPr>
                <w:b/>
                <w:bCs/>
                <w:lang w:val="es-ES"/>
              </w:rPr>
            </w:pPr>
            <w:r w:rsidRPr="005E3D50">
              <w:rPr>
                <w:b/>
                <w:bCs/>
                <w:lang w:val="es-ES"/>
              </w:rPr>
              <w:t>Abreviación</w:t>
            </w:r>
          </w:p>
        </w:tc>
        <w:tc>
          <w:tcPr>
            <w:tcW w:w="6039" w:type="dxa"/>
          </w:tcPr>
          <w:p w14:paraId="0F1E4505" w14:textId="77777777" w:rsidR="00C85101" w:rsidRPr="005E3D50" w:rsidRDefault="00C85101">
            <w:pPr>
              <w:rPr>
                <w:b/>
                <w:bCs/>
                <w:lang w:val="es-ES"/>
              </w:rPr>
            </w:pPr>
            <w:r w:rsidRPr="005E3D50">
              <w:rPr>
                <w:b/>
                <w:bCs/>
                <w:lang w:val="es-ES"/>
              </w:rPr>
              <w:t>Denominación completa</w:t>
            </w:r>
          </w:p>
        </w:tc>
      </w:tr>
      <w:tr w:rsidR="00174CFE" w:rsidRPr="005E3D50" w14:paraId="56DBEA76" w14:textId="77777777" w:rsidTr="009A5927">
        <w:tc>
          <w:tcPr>
            <w:tcW w:w="2977" w:type="dxa"/>
          </w:tcPr>
          <w:p w14:paraId="4CEE0C6B" w14:textId="77777777" w:rsidR="00174CFE" w:rsidRPr="005E3D50" w:rsidRDefault="00174CFE">
            <w:pPr>
              <w:rPr>
                <w:lang w:val="es-ES"/>
              </w:rPr>
            </w:pPr>
            <w:r w:rsidRPr="005E3D50">
              <w:rPr>
                <w:lang w:val="es-ES"/>
              </w:rPr>
              <w:t>AHSTAG</w:t>
            </w:r>
          </w:p>
        </w:tc>
        <w:tc>
          <w:tcPr>
            <w:tcW w:w="6039" w:type="dxa"/>
          </w:tcPr>
          <w:p w14:paraId="635F375E" w14:textId="77777777" w:rsidR="00174CFE" w:rsidRPr="005E3D50" w:rsidRDefault="00174CFE">
            <w:pPr>
              <w:rPr>
                <w:lang w:val="es-ES"/>
              </w:rPr>
            </w:pPr>
            <w:r w:rsidRPr="005E3D50">
              <w:rPr>
                <w:lang w:val="es-ES"/>
              </w:rPr>
              <w:t>Grupo Especial de Asesoramiento Científico y Técnico para la Preparación del Informe Mundial sobre los Progresos Colectivos en la Implementación del Marco Mundial de Biodiversidad de Kunming-Montreal</w:t>
            </w:r>
          </w:p>
        </w:tc>
      </w:tr>
      <w:tr w:rsidR="00174CFE" w:rsidRPr="005E3D50" w14:paraId="4B7F491F" w14:textId="77777777" w:rsidTr="009A5927">
        <w:tc>
          <w:tcPr>
            <w:tcW w:w="2977" w:type="dxa"/>
          </w:tcPr>
          <w:p w14:paraId="4DBE9E7D" w14:textId="77777777" w:rsidR="00174CFE" w:rsidRPr="005E3D50" w:rsidRDefault="00174CFE">
            <w:pPr>
              <w:rPr>
                <w:lang w:val="es-ES"/>
              </w:rPr>
            </w:pPr>
            <w:r w:rsidRPr="005E3D50">
              <w:rPr>
                <w:lang w:val="es-ES"/>
              </w:rPr>
              <w:t>AOD</w:t>
            </w:r>
          </w:p>
        </w:tc>
        <w:tc>
          <w:tcPr>
            <w:tcW w:w="6039" w:type="dxa"/>
          </w:tcPr>
          <w:p w14:paraId="24D2F149" w14:textId="77777777" w:rsidR="00174CFE" w:rsidRPr="005E3D50" w:rsidRDefault="00174CFE">
            <w:pPr>
              <w:rPr>
                <w:lang w:val="es-ES"/>
              </w:rPr>
            </w:pPr>
            <w:r w:rsidRPr="005E3D50">
              <w:rPr>
                <w:lang w:val="es-ES"/>
              </w:rPr>
              <w:t>asistencia oficial para el desarrollo</w:t>
            </w:r>
          </w:p>
        </w:tc>
      </w:tr>
      <w:tr w:rsidR="00174CFE" w:rsidRPr="005E3D50" w14:paraId="2A1A49F3" w14:textId="77777777" w:rsidTr="009A5927">
        <w:tc>
          <w:tcPr>
            <w:tcW w:w="2977" w:type="dxa"/>
          </w:tcPr>
          <w:p w14:paraId="6D250EAA" w14:textId="77777777" w:rsidR="00174CFE" w:rsidRPr="005E3D50" w:rsidRDefault="00174CFE">
            <w:pPr>
              <w:rPr>
                <w:lang w:val="es-ES"/>
              </w:rPr>
            </w:pPr>
            <w:r w:rsidRPr="005E3D50">
              <w:rPr>
                <w:lang w:val="es-ES"/>
              </w:rPr>
              <w:t>APB</w:t>
            </w:r>
          </w:p>
        </w:tc>
        <w:tc>
          <w:tcPr>
            <w:tcW w:w="6039" w:type="dxa"/>
          </w:tcPr>
          <w:p w14:paraId="41B078E2" w14:textId="77777777" w:rsidR="00174CFE" w:rsidRPr="005E3D50" w:rsidRDefault="00174CFE">
            <w:pPr>
              <w:rPr>
                <w:lang w:val="es-ES"/>
              </w:rPr>
            </w:pPr>
            <w:r w:rsidRPr="005E3D50">
              <w:rPr>
                <w:lang w:val="es-ES"/>
              </w:rPr>
              <w:t>acceso y participación en los beneficios</w:t>
            </w:r>
          </w:p>
        </w:tc>
      </w:tr>
      <w:tr w:rsidR="00174CFE" w:rsidRPr="005E3D50" w14:paraId="5EEF0316" w14:textId="77777777" w:rsidTr="009A5927">
        <w:tc>
          <w:tcPr>
            <w:tcW w:w="2977" w:type="dxa"/>
          </w:tcPr>
          <w:p w14:paraId="4D93AC91" w14:textId="77777777" w:rsidR="00174CFE" w:rsidRPr="005E3D50" w:rsidRDefault="00174CFE">
            <w:pPr>
              <w:rPr>
                <w:lang w:val="es-ES"/>
              </w:rPr>
            </w:pPr>
            <w:r w:rsidRPr="005E3D50">
              <w:rPr>
                <w:lang w:val="es-ES"/>
              </w:rPr>
              <w:t>ASG</w:t>
            </w:r>
          </w:p>
        </w:tc>
        <w:tc>
          <w:tcPr>
            <w:tcW w:w="6039" w:type="dxa"/>
          </w:tcPr>
          <w:p w14:paraId="355026D8" w14:textId="77777777" w:rsidR="00174CFE" w:rsidRPr="005E3D50" w:rsidRDefault="00174CFE">
            <w:pPr>
              <w:rPr>
                <w:lang w:val="es-ES"/>
              </w:rPr>
            </w:pPr>
            <w:r w:rsidRPr="005E3D50">
              <w:rPr>
                <w:rFonts w:ascii="Aptos" w:hAnsi="Aptos"/>
                <w:color w:val="212121"/>
                <w:lang w:val="es-ES"/>
              </w:rPr>
              <w:t>ambientales, sociales y de gobernanza</w:t>
            </w:r>
          </w:p>
        </w:tc>
      </w:tr>
      <w:tr w:rsidR="00174CFE" w:rsidRPr="005E3D50" w14:paraId="47119A6D" w14:textId="77777777" w:rsidTr="009A5927">
        <w:tc>
          <w:tcPr>
            <w:tcW w:w="2977" w:type="dxa"/>
          </w:tcPr>
          <w:p w14:paraId="12563BEF" w14:textId="77777777" w:rsidR="00174CFE" w:rsidRPr="005E3D50" w:rsidRDefault="00174CFE" w:rsidP="00F10C40">
            <w:pPr>
              <w:rPr>
                <w:lang w:val="es-ES"/>
              </w:rPr>
            </w:pPr>
            <w:r w:rsidRPr="005E3D50">
              <w:rPr>
                <w:lang w:val="es-ES"/>
              </w:rPr>
              <w:t>BIOFIN</w:t>
            </w:r>
          </w:p>
        </w:tc>
        <w:tc>
          <w:tcPr>
            <w:tcW w:w="6039" w:type="dxa"/>
          </w:tcPr>
          <w:p w14:paraId="11460A9B" w14:textId="77777777" w:rsidR="00174CFE" w:rsidRPr="005E3D50" w:rsidRDefault="00174CFE" w:rsidP="00F10C40">
            <w:pPr>
              <w:rPr>
                <w:lang w:val="es-ES"/>
              </w:rPr>
            </w:pPr>
            <w:r w:rsidRPr="005E3D50">
              <w:rPr>
                <w:lang w:val="es-ES"/>
              </w:rPr>
              <w:t>Iniciativa de Financiación de la Biodiversidad</w:t>
            </w:r>
          </w:p>
        </w:tc>
      </w:tr>
      <w:tr w:rsidR="00174CFE" w:rsidRPr="005E3D50" w14:paraId="34D98F52" w14:textId="77777777" w:rsidTr="009A5927">
        <w:tc>
          <w:tcPr>
            <w:tcW w:w="2977" w:type="dxa"/>
          </w:tcPr>
          <w:p w14:paraId="095E1155" w14:textId="77777777" w:rsidR="00174CFE" w:rsidRPr="005E3D50" w:rsidRDefault="00174CFE">
            <w:pPr>
              <w:rPr>
                <w:lang w:val="es-ES"/>
              </w:rPr>
            </w:pPr>
            <w:r w:rsidRPr="005E3D50">
              <w:rPr>
                <w:lang w:val="es-ES"/>
              </w:rPr>
              <w:t>CARE</w:t>
            </w:r>
          </w:p>
        </w:tc>
        <w:tc>
          <w:tcPr>
            <w:tcW w:w="6039" w:type="dxa"/>
          </w:tcPr>
          <w:p w14:paraId="78CB9329" w14:textId="1E5688AB" w:rsidR="00174CFE" w:rsidRPr="005E3D50" w:rsidRDefault="00174CFE" w:rsidP="002F7559">
            <w:pPr>
              <w:rPr>
                <w:lang w:val="es-ES"/>
              </w:rPr>
            </w:pPr>
            <w:r w:rsidRPr="005E3D50">
              <w:rPr>
                <w:lang w:val="es-ES"/>
              </w:rPr>
              <w:t xml:space="preserve">beneficio </w:t>
            </w:r>
            <w:r w:rsidR="002F7559" w:rsidRPr="005E3D50">
              <w:rPr>
                <w:lang w:val="es-ES"/>
              </w:rPr>
              <w:t>C</w:t>
            </w:r>
            <w:r w:rsidRPr="005E3D50">
              <w:rPr>
                <w:lang w:val="es-ES"/>
              </w:rPr>
              <w:t xml:space="preserve">olectivo, </w:t>
            </w:r>
            <w:r w:rsidR="002F7559" w:rsidRPr="005E3D50">
              <w:rPr>
                <w:lang w:val="es-ES"/>
              </w:rPr>
              <w:t>A</w:t>
            </w:r>
            <w:r w:rsidRPr="005E3D50">
              <w:rPr>
                <w:lang w:val="es-ES"/>
              </w:rPr>
              <w:t xml:space="preserve">utoridad para controlar, </w:t>
            </w:r>
            <w:r w:rsidR="002F7559" w:rsidRPr="005E3D50">
              <w:rPr>
                <w:lang w:val="es-ES"/>
              </w:rPr>
              <w:t>R</w:t>
            </w:r>
            <w:r w:rsidRPr="005E3D50">
              <w:rPr>
                <w:lang w:val="es-ES"/>
              </w:rPr>
              <w:t xml:space="preserve">esponsabilidad y </w:t>
            </w:r>
            <w:r w:rsidR="002F7559" w:rsidRPr="005E3D50">
              <w:rPr>
                <w:lang w:val="es-ES"/>
              </w:rPr>
              <w:t>É</w:t>
            </w:r>
            <w:r w:rsidRPr="005E3D50">
              <w:rPr>
                <w:lang w:val="es-ES"/>
              </w:rPr>
              <w:t>tica</w:t>
            </w:r>
          </w:p>
        </w:tc>
      </w:tr>
      <w:tr w:rsidR="00174CFE" w:rsidRPr="005E3D50" w14:paraId="62D9CC96" w14:textId="77777777" w:rsidTr="009A5927">
        <w:tc>
          <w:tcPr>
            <w:tcW w:w="2977" w:type="dxa"/>
          </w:tcPr>
          <w:p w14:paraId="195C0758" w14:textId="77777777" w:rsidR="00174CFE" w:rsidRPr="005E3D50" w:rsidRDefault="00174CFE">
            <w:pPr>
              <w:rPr>
                <w:lang w:val="es-ES"/>
              </w:rPr>
            </w:pPr>
            <w:r w:rsidRPr="005E3D50">
              <w:rPr>
                <w:lang w:val="es-ES"/>
              </w:rPr>
              <w:t>CBI</w:t>
            </w:r>
          </w:p>
        </w:tc>
        <w:tc>
          <w:tcPr>
            <w:tcW w:w="6039" w:type="dxa"/>
          </w:tcPr>
          <w:p w14:paraId="7A928A8A" w14:textId="77777777" w:rsidR="00174CFE" w:rsidRPr="005E3D50" w:rsidRDefault="00174CFE">
            <w:pPr>
              <w:rPr>
                <w:lang w:val="es-ES"/>
              </w:rPr>
            </w:pPr>
            <w:r w:rsidRPr="005E3D50">
              <w:rPr>
                <w:lang w:val="es-ES"/>
              </w:rPr>
              <w:t>Comisión Ballenera Internacional</w:t>
            </w:r>
          </w:p>
        </w:tc>
      </w:tr>
      <w:tr w:rsidR="00174CFE" w:rsidRPr="005E3D50" w14:paraId="77723D07" w14:textId="77777777" w:rsidTr="009A5927">
        <w:tc>
          <w:tcPr>
            <w:tcW w:w="2977" w:type="dxa"/>
          </w:tcPr>
          <w:p w14:paraId="588A8B74" w14:textId="77777777" w:rsidR="00174CFE" w:rsidRPr="005E3D50" w:rsidRDefault="00174CFE">
            <w:pPr>
              <w:rPr>
                <w:lang w:val="es-ES"/>
              </w:rPr>
            </w:pPr>
            <w:r w:rsidRPr="005E3D50">
              <w:rPr>
                <w:lang w:val="es-ES"/>
              </w:rPr>
              <w:t>CDB (“el Convenio”)</w:t>
            </w:r>
          </w:p>
        </w:tc>
        <w:tc>
          <w:tcPr>
            <w:tcW w:w="6039" w:type="dxa"/>
          </w:tcPr>
          <w:p w14:paraId="5614CFBC" w14:textId="77777777" w:rsidR="00174CFE" w:rsidRPr="005E3D50" w:rsidRDefault="00174CFE">
            <w:pPr>
              <w:rPr>
                <w:lang w:val="es-ES"/>
              </w:rPr>
            </w:pPr>
            <w:r w:rsidRPr="005E3D50">
              <w:rPr>
                <w:lang w:val="es-ES"/>
              </w:rPr>
              <w:t>Convenio sobre la Diversidad Biológica</w:t>
            </w:r>
          </w:p>
        </w:tc>
      </w:tr>
      <w:tr w:rsidR="00174CFE" w:rsidRPr="005E3D50" w14:paraId="4F6ABBA5" w14:textId="77777777" w:rsidTr="009A5927">
        <w:tc>
          <w:tcPr>
            <w:tcW w:w="2977" w:type="dxa"/>
          </w:tcPr>
          <w:p w14:paraId="749C3EA9" w14:textId="77777777" w:rsidR="00174CFE" w:rsidRPr="005E3D50" w:rsidRDefault="00174CFE">
            <w:pPr>
              <w:rPr>
                <w:lang w:val="es-ES"/>
              </w:rPr>
            </w:pPr>
            <w:r w:rsidRPr="005E3D50">
              <w:rPr>
                <w:lang w:val="es-ES"/>
              </w:rPr>
              <w:t>CDP</w:t>
            </w:r>
          </w:p>
        </w:tc>
        <w:tc>
          <w:tcPr>
            <w:tcW w:w="6039" w:type="dxa"/>
          </w:tcPr>
          <w:p w14:paraId="291CC2D2" w14:textId="77777777" w:rsidR="00174CFE" w:rsidRPr="005E3D50" w:rsidRDefault="00174CFE">
            <w:pPr>
              <w:rPr>
                <w:lang w:val="es-ES"/>
              </w:rPr>
            </w:pPr>
            <w:proofErr w:type="spellStart"/>
            <w:r w:rsidRPr="005E3D50">
              <w:rPr>
                <w:lang w:val="es-ES"/>
              </w:rPr>
              <w:t>Climate</w:t>
            </w:r>
            <w:proofErr w:type="spellEnd"/>
            <w:r w:rsidRPr="005E3D50">
              <w:rPr>
                <w:lang w:val="es-ES"/>
              </w:rPr>
              <w:t xml:space="preserve"> </w:t>
            </w:r>
            <w:proofErr w:type="spellStart"/>
            <w:r w:rsidRPr="005E3D50">
              <w:rPr>
                <w:lang w:val="es-ES"/>
              </w:rPr>
              <w:t>Disclosure</w:t>
            </w:r>
            <w:proofErr w:type="spellEnd"/>
            <w:r w:rsidRPr="005E3D50">
              <w:rPr>
                <w:lang w:val="es-ES"/>
              </w:rPr>
              <w:t xml:space="preserve"> Project</w:t>
            </w:r>
          </w:p>
        </w:tc>
      </w:tr>
      <w:tr w:rsidR="00174CFE" w:rsidRPr="005E3D50" w14:paraId="485B13A3" w14:textId="77777777" w:rsidTr="009A5927">
        <w:tc>
          <w:tcPr>
            <w:tcW w:w="2977" w:type="dxa"/>
          </w:tcPr>
          <w:p w14:paraId="4CAD7C1D" w14:textId="77777777" w:rsidR="00174CFE" w:rsidRPr="005E3D50" w:rsidRDefault="00174CFE">
            <w:pPr>
              <w:rPr>
                <w:lang w:val="es-ES"/>
              </w:rPr>
            </w:pPr>
            <w:r w:rsidRPr="005E3D50">
              <w:rPr>
                <w:lang w:val="es-ES"/>
              </w:rPr>
              <w:t>CGIAR</w:t>
            </w:r>
          </w:p>
        </w:tc>
        <w:tc>
          <w:tcPr>
            <w:tcW w:w="6039" w:type="dxa"/>
          </w:tcPr>
          <w:p w14:paraId="367F2FD7" w14:textId="77777777" w:rsidR="00174CFE" w:rsidRPr="005E3D50" w:rsidRDefault="00174CFE">
            <w:pPr>
              <w:rPr>
                <w:lang w:val="es-ES"/>
              </w:rPr>
            </w:pPr>
            <w:r w:rsidRPr="005E3D50">
              <w:rPr>
                <w:lang w:val="es-ES"/>
              </w:rPr>
              <w:t>alianza mundial de investigación agrícola (anteriormente Grupo Consultivo sobre Investigaciones Agrícolas Internacionales)</w:t>
            </w:r>
          </w:p>
        </w:tc>
      </w:tr>
      <w:tr w:rsidR="00174CFE" w:rsidRPr="005E3D50" w14:paraId="466BA57D" w14:textId="77777777" w:rsidTr="009A5927">
        <w:tc>
          <w:tcPr>
            <w:tcW w:w="2977" w:type="dxa"/>
          </w:tcPr>
          <w:p w14:paraId="690D2775" w14:textId="77777777" w:rsidR="00174CFE" w:rsidRPr="005E3D50" w:rsidRDefault="00174CFE">
            <w:pPr>
              <w:rPr>
                <w:lang w:val="es-ES"/>
              </w:rPr>
            </w:pPr>
            <w:r w:rsidRPr="005E3D50">
              <w:rPr>
                <w:lang w:val="es-ES"/>
              </w:rPr>
              <w:t>CIPF</w:t>
            </w:r>
          </w:p>
        </w:tc>
        <w:tc>
          <w:tcPr>
            <w:tcW w:w="6039" w:type="dxa"/>
          </w:tcPr>
          <w:p w14:paraId="38AFAC24" w14:textId="77777777" w:rsidR="00174CFE" w:rsidRPr="005E3D50" w:rsidRDefault="00174CFE">
            <w:pPr>
              <w:rPr>
                <w:lang w:val="es-ES"/>
              </w:rPr>
            </w:pPr>
            <w:r w:rsidRPr="005E3D50">
              <w:rPr>
                <w:lang w:val="es-ES"/>
              </w:rPr>
              <w:t>Convención Internacional de Protección Fitosanitaria</w:t>
            </w:r>
          </w:p>
        </w:tc>
      </w:tr>
      <w:tr w:rsidR="00174CFE" w:rsidRPr="005E3D50" w14:paraId="44BEE033" w14:textId="77777777" w:rsidTr="009A5927">
        <w:tc>
          <w:tcPr>
            <w:tcW w:w="2977" w:type="dxa"/>
          </w:tcPr>
          <w:p w14:paraId="2AB88008" w14:textId="77777777" w:rsidR="00174CFE" w:rsidRPr="005E3D50" w:rsidRDefault="00174CFE">
            <w:pPr>
              <w:rPr>
                <w:lang w:val="es-ES"/>
              </w:rPr>
            </w:pPr>
            <w:r w:rsidRPr="005E3D50">
              <w:rPr>
                <w:lang w:val="es-ES"/>
              </w:rPr>
              <w:t>CITES</w:t>
            </w:r>
          </w:p>
        </w:tc>
        <w:tc>
          <w:tcPr>
            <w:tcW w:w="6039" w:type="dxa"/>
          </w:tcPr>
          <w:p w14:paraId="031481A9" w14:textId="77777777" w:rsidR="00174CFE" w:rsidRPr="005E3D50" w:rsidRDefault="00174CFE">
            <w:pPr>
              <w:rPr>
                <w:lang w:val="es-ES"/>
              </w:rPr>
            </w:pPr>
            <w:r w:rsidRPr="005E3D50">
              <w:rPr>
                <w:lang w:val="es-ES"/>
              </w:rPr>
              <w:t>Convención sobre el Comercio Internacional de Especies Amenazadas de Fauna y Flora Silvestres</w:t>
            </w:r>
          </w:p>
        </w:tc>
      </w:tr>
      <w:tr w:rsidR="00174CFE" w:rsidRPr="005E3D50" w14:paraId="76920550" w14:textId="77777777" w:rsidTr="009A5927">
        <w:tc>
          <w:tcPr>
            <w:tcW w:w="2977" w:type="dxa"/>
          </w:tcPr>
          <w:p w14:paraId="69ABDA05" w14:textId="77777777" w:rsidR="00174CFE" w:rsidRPr="005E3D50" w:rsidRDefault="00174CFE">
            <w:pPr>
              <w:rPr>
                <w:lang w:val="es-ES"/>
              </w:rPr>
            </w:pPr>
            <w:r w:rsidRPr="005E3D50">
              <w:rPr>
                <w:lang w:val="es-ES"/>
              </w:rPr>
              <w:t>CLD</w:t>
            </w:r>
          </w:p>
        </w:tc>
        <w:tc>
          <w:tcPr>
            <w:tcW w:w="6039" w:type="dxa"/>
          </w:tcPr>
          <w:p w14:paraId="00D7EC54" w14:textId="77777777" w:rsidR="00174CFE" w:rsidRPr="005E3D50" w:rsidRDefault="00174CFE">
            <w:pPr>
              <w:rPr>
                <w:lang w:val="es-ES"/>
              </w:rPr>
            </w:pPr>
            <w:r w:rsidRPr="005E3D50">
              <w:rPr>
                <w:lang w:val="es-ES"/>
              </w:rPr>
              <w:t>Convención de las Naciones Unidas de Lucha contra la Desertificación en los Países Afectados por Sequía Grave o Desertificación, en Particular en África</w:t>
            </w:r>
          </w:p>
        </w:tc>
      </w:tr>
      <w:tr w:rsidR="00174CFE" w:rsidRPr="005E3D50" w14:paraId="781E83B0" w14:textId="77777777" w:rsidTr="009A5927">
        <w:tc>
          <w:tcPr>
            <w:tcW w:w="2977" w:type="dxa"/>
          </w:tcPr>
          <w:p w14:paraId="5AE2D41C" w14:textId="77777777" w:rsidR="00174CFE" w:rsidRPr="005E3D50" w:rsidRDefault="00174CFE">
            <w:pPr>
              <w:rPr>
                <w:lang w:val="es-ES"/>
              </w:rPr>
            </w:pPr>
            <w:r w:rsidRPr="005E3D50">
              <w:rPr>
                <w:lang w:val="es-ES"/>
              </w:rPr>
              <w:t>CMNUCC</w:t>
            </w:r>
          </w:p>
        </w:tc>
        <w:tc>
          <w:tcPr>
            <w:tcW w:w="6039" w:type="dxa"/>
          </w:tcPr>
          <w:p w14:paraId="4AF019E7" w14:textId="77777777" w:rsidR="00174CFE" w:rsidRPr="005E3D50" w:rsidRDefault="00174CFE">
            <w:pPr>
              <w:rPr>
                <w:lang w:val="es-ES"/>
              </w:rPr>
            </w:pPr>
            <w:r w:rsidRPr="005E3D50">
              <w:rPr>
                <w:lang w:val="es-ES"/>
              </w:rPr>
              <w:t>Convención Marco de las Naciones Unidas sobre el Cambio Climático</w:t>
            </w:r>
          </w:p>
        </w:tc>
      </w:tr>
      <w:tr w:rsidR="00174CFE" w:rsidRPr="005E3D50" w14:paraId="199482BA" w14:textId="77777777" w:rsidTr="009A5927">
        <w:tc>
          <w:tcPr>
            <w:tcW w:w="2977" w:type="dxa"/>
          </w:tcPr>
          <w:p w14:paraId="45AEEFCC" w14:textId="77777777" w:rsidR="00174CFE" w:rsidRPr="005E3D50" w:rsidRDefault="00174CFE">
            <w:pPr>
              <w:rPr>
                <w:lang w:val="es-ES"/>
              </w:rPr>
            </w:pPr>
            <w:r w:rsidRPr="005E3D50">
              <w:rPr>
                <w:lang w:val="es-ES"/>
              </w:rPr>
              <w:t>COI-UNESCO</w:t>
            </w:r>
          </w:p>
        </w:tc>
        <w:tc>
          <w:tcPr>
            <w:tcW w:w="6039" w:type="dxa"/>
          </w:tcPr>
          <w:p w14:paraId="63323E7F" w14:textId="77777777" w:rsidR="00174CFE" w:rsidRPr="005E3D50" w:rsidRDefault="00174CFE">
            <w:pPr>
              <w:rPr>
                <w:lang w:val="es-ES"/>
              </w:rPr>
            </w:pPr>
            <w:r w:rsidRPr="005E3D50">
              <w:rPr>
                <w:lang w:val="es-ES"/>
              </w:rPr>
              <w:t>Comisión Oceanográfica Intergubernamental de la Organización de las Naciones Unidas para la Educación, la Ciencia y la Cultura</w:t>
            </w:r>
          </w:p>
        </w:tc>
      </w:tr>
      <w:tr w:rsidR="00174CFE" w:rsidRPr="005E3D50" w14:paraId="4BC86C05" w14:textId="77777777" w:rsidTr="009A5927">
        <w:tc>
          <w:tcPr>
            <w:tcW w:w="2977" w:type="dxa"/>
          </w:tcPr>
          <w:p w14:paraId="7167E552" w14:textId="77777777" w:rsidR="00174CFE" w:rsidRPr="005E3D50" w:rsidRDefault="00174CFE">
            <w:pPr>
              <w:rPr>
                <w:lang w:val="es-ES"/>
              </w:rPr>
            </w:pPr>
            <w:r w:rsidRPr="005E3D50">
              <w:rPr>
                <w:lang w:val="es-ES"/>
              </w:rPr>
              <w:t>COMDEKS</w:t>
            </w:r>
          </w:p>
        </w:tc>
        <w:tc>
          <w:tcPr>
            <w:tcW w:w="6039" w:type="dxa"/>
          </w:tcPr>
          <w:p w14:paraId="39D56D21" w14:textId="77777777" w:rsidR="00174CFE" w:rsidRPr="005E3D50" w:rsidRDefault="00174CFE">
            <w:pPr>
              <w:rPr>
                <w:lang w:val="es-ES"/>
              </w:rPr>
            </w:pPr>
            <w:r w:rsidRPr="005E3D50">
              <w:rPr>
                <w:lang w:val="es-ES"/>
              </w:rPr>
              <w:t xml:space="preserve">Desarrollo Comunitario y Gestión del Conocimiento para la Iniciativa </w:t>
            </w:r>
            <w:proofErr w:type="spellStart"/>
            <w:r w:rsidRPr="005E3D50">
              <w:rPr>
                <w:lang w:val="es-ES"/>
              </w:rPr>
              <w:t>Satoyama</w:t>
            </w:r>
            <w:proofErr w:type="spellEnd"/>
          </w:p>
        </w:tc>
      </w:tr>
      <w:tr w:rsidR="00174CFE" w:rsidRPr="005E3D50" w14:paraId="2736E735" w14:textId="77777777" w:rsidTr="009A5927">
        <w:tc>
          <w:tcPr>
            <w:tcW w:w="2977" w:type="dxa"/>
          </w:tcPr>
          <w:p w14:paraId="62E4DE45" w14:textId="77777777" w:rsidR="00174CFE" w:rsidRPr="005E3D50" w:rsidRDefault="00174CFE">
            <w:pPr>
              <w:rPr>
                <w:lang w:val="es-ES"/>
              </w:rPr>
            </w:pPr>
            <w:r w:rsidRPr="005E3D50">
              <w:rPr>
                <w:lang w:val="es-ES"/>
              </w:rPr>
              <w:t>CONABIO</w:t>
            </w:r>
          </w:p>
        </w:tc>
        <w:tc>
          <w:tcPr>
            <w:tcW w:w="6039" w:type="dxa"/>
          </w:tcPr>
          <w:p w14:paraId="012FF0D6" w14:textId="77777777" w:rsidR="00174CFE" w:rsidRPr="005E3D50" w:rsidRDefault="00174CFE">
            <w:pPr>
              <w:rPr>
                <w:lang w:val="es-ES"/>
              </w:rPr>
            </w:pPr>
            <w:r w:rsidRPr="005E3D50">
              <w:rPr>
                <w:lang w:val="es-ES"/>
              </w:rPr>
              <w:t>Comisión Nacional para el Conocimiento y Uso de la Biodiversidad en México</w:t>
            </w:r>
          </w:p>
        </w:tc>
      </w:tr>
      <w:tr w:rsidR="00174CFE" w:rsidRPr="005E3D50" w14:paraId="5FF66BED" w14:textId="77777777" w:rsidTr="009A5927">
        <w:tc>
          <w:tcPr>
            <w:tcW w:w="2977" w:type="dxa"/>
          </w:tcPr>
          <w:p w14:paraId="0050AF34" w14:textId="77777777" w:rsidR="00174CFE" w:rsidRPr="005E3D50" w:rsidRDefault="00174CFE">
            <w:pPr>
              <w:rPr>
                <w:lang w:val="es-ES"/>
              </w:rPr>
            </w:pPr>
            <w:r w:rsidRPr="005E3D50">
              <w:rPr>
                <w:lang w:val="es-ES"/>
              </w:rPr>
              <w:t>Convención sobre los Humedales</w:t>
            </w:r>
          </w:p>
        </w:tc>
        <w:tc>
          <w:tcPr>
            <w:tcW w:w="6039" w:type="dxa"/>
          </w:tcPr>
          <w:p w14:paraId="325E1FCB" w14:textId="77777777" w:rsidR="00174CFE" w:rsidRPr="005E3D50" w:rsidRDefault="00174CFE">
            <w:pPr>
              <w:rPr>
                <w:lang w:val="es-ES"/>
              </w:rPr>
            </w:pPr>
            <w:r w:rsidRPr="005E3D50">
              <w:rPr>
                <w:color w:val="000000" w:themeColor="text1"/>
                <w:shd w:val="clear" w:color="auto" w:fill="FFFFFF"/>
                <w:lang w:val="es-ES"/>
              </w:rPr>
              <w:t xml:space="preserve">Convención relativa a los Humedales de Importancia Internacional especialmente como Hábitat de Aves Acuáticas </w:t>
            </w:r>
          </w:p>
        </w:tc>
      </w:tr>
      <w:tr w:rsidR="00174CFE" w:rsidRPr="005E3D50" w14:paraId="739D3C0A" w14:textId="77777777" w:rsidTr="009A5927">
        <w:tc>
          <w:tcPr>
            <w:tcW w:w="2977" w:type="dxa"/>
          </w:tcPr>
          <w:p w14:paraId="0B974405" w14:textId="77777777" w:rsidR="00174CFE" w:rsidRPr="005E3D50" w:rsidRDefault="00174CFE" w:rsidP="00F10C40">
            <w:pPr>
              <w:rPr>
                <w:lang w:val="es-ES"/>
              </w:rPr>
            </w:pPr>
            <w:r w:rsidRPr="005E3D50">
              <w:rPr>
                <w:lang w:val="es-ES"/>
              </w:rPr>
              <w:lastRenderedPageBreak/>
              <w:t>Convenio BWM</w:t>
            </w:r>
          </w:p>
        </w:tc>
        <w:tc>
          <w:tcPr>
            <w:tcW w:w="6039" w:type="dxa"/>
          </w:tcPr>
          <w:p w14:paraId="4519389A" w14:textId="77777777" w:rsidR="00174CFE" w:rsidRPr="005E3D50" w:rsidRDefault="00174CFE" w:rsidP="00F10C40">
            <w:pPr>
              <w:rPr>
                <w:lang w:val="es-ES"/>
              </w:rPr>
            </w:pPr>
            <w:r w:rsidRPr="005E3D50">
              <w:rPr>
                <w:lang w:val="es-ES"/>
              </w:rPr>
              <w:t>Convenio internacional para el control y la gestión del agua de lastre y los sedimentos de los buques, 2004</w:t>
            </w:r>
          </w:p>
        </w:tc>
      </w:tr>
      <w:tr w:rsidR="00174CFE" w:rsidRPr="005E3D50" w14:paraId="3AAEE63E" w14:textId="77777777" w:rsidTr="009A5927">
        <w:tc>
          <w:tcPr>
            <w:tcW w:w="2977" w:type="dxa"/>
          </w:tcPr>
          <w:p w14:paraId="72155280" w14:textId="77777777" w:rsidR="00174CFE" w:rsidRPr="005E3D50" w:rsidRDefault="00174CFE">
            <w:pPr>
              <w:rPr>
                <w:lang w:val="es-ES"/>
              </w:rPr>
            </w:pPr>
            <w:proofErr w:type="spellStart"/>
            <w:r w:rsidRPr="005E3D50">
              <w:rPr>
                <w:lang w:val="es-ES"/>
              </w:rPr>
              <w:t>eDNA</w:t>
            </w:r>
            <w:proofErr w:type="spellEnd"/>
          </w:p>
        </w:tc>
        <w:tc>
          <w:tcPr>
            <w:tcW w:w="6039" w:type="dxa"/>
          </w:tcPr>
          <w:p w14:paraId="370AF6E8" w14:textId="77777777" w:rsidR="00174CFE" w:rsidRPr="005E3D50" w:rsidRDefault="00174CFE">
            <w:pPr>
              <w:rPr>
                <w:lang w:val="es-ES"/>
              </w:rPr>
            </w:pPr>
            <w:r w:rsidRPr="005E3D50">
              <w:rPr>
                <w:rFonts w:ascii="Aptos" w:hAnsi="Aptos"/>
                <w:color w:val="212121"/>
                <w:lang w:val="es-ES"/>
              </w:rPr>
              <w:t>ADN ambiental</w:t>
            </w:r>
          </w:p>
        </w:tc>
      </w:tr>
      <w:tr w:rsidR="00174CFE" w:rsidRPr="005E3D50" w14:paraId="2F11E500" w14:textId="77777777" w:rsidTr="009A5927">
        <w:tc>
          <w:tcPr>
            <w:tcW w:w="2977" w:type="dxa"/>
          </w:tcPr>
          <w:p w14:paraId="62C3A8B2" w14:textId="77777777" w:rsidR="00174CFE" w:rsidRPr="005E3D50" w:rsidRDefault="00174CFE">
            <w:pPr>
              <w:rPr>
                <w:lang w:val="es-ES"/>
              </w:rPr>
            </w:pPr>
            <w:r w:rsidRPr="005E3D50">
              <w:rPr>
                <w:lang w:val="es-ES"/>
              </w:rPr>
              <w:t>ELSA</w:t>
            </w:r>
          </w:p>
        </w:tc>
        <w:tc>
          <w:tcPr>
            <w:tcW w:w="6039" w:type="dxa"/>
          </w:tcPr>
          <w:p w14:paraId="072B9C25" w14:textId="77777777" w:rsidR="00174CFE" w:rsidRPr="005E3D50" w:rsidRDefault="00174CFE" w:rsidP="78D492B2">
            <w:pPr>
              <w:rPr>
                <w:rFonts w:cs="Arial"/>
                <w:color w:val="000000" w:themeColor="text1"/>
                <w:lang w:val="es-ES"/>
              </w:rPr>
            </w:pPr>
            <w:r w:rsidRPr="005E3D50">
              <w:rPr>
                <w:lang w:val="es-ES"/>
              </w:rPr>
              <w:t>Área Esencial para el Soporte de la Vida</w:t>
            </w:r>
          </w:p>
        </w:tc>
      </w:tr>
      <w:tr w:rsidR="00174CFE" w:rsidRPr="005E3D50" w14:paraId="6032AA2B" w14:textId="77777777" w:rsidTr="009A5927">
        <w:tc>
          <w:tcPr>
            <w:tcW w:w="2977" w:type="dxa"/>
          </w:tcPr>
          <w:p w14:paraId="5C8AF542" w14:textId="77777777" w:rsidR="00174CFE" w:rsidRPr="005E3D50" w:rsidRDefault="00174CFE">
            <w:pPr>
              <w:rPr>
                <w:lang w:val="es-ES"/>
              </w:rPr>
            </w:pPr>
            <w:r w:rsidRPr="005E3D50">
              <w:rPr>
                <w:lang w:val="es-ES"/>
              </w:rPr>
              <w:t>EPANB</w:t>
            </w:r>
          </w:p>
        </w:tc>
        <w:tc>
          <w:tcPr>
            <w:tcW w:w="6039" w:type="dxa"/>
          </w:tcPr>
          <w:p w14:paraId="59EFD106" w14:textId="77777777" w:rsidR="00174CFE" w:rsidRPr="005E3D50" w:rsidRDefault="00174CFE">
            <w:pPr>
              <w:rPr>
                <w:lang w:val="es-ES"/>
              </w:rPr>
            </w:pPr>
            <w:r w:rsidRPr="005E3D50">
              <w:rPr>
                <w:lang w:val="es-ES"/>
              </w:rPr>
              <w:t>estrategia y plan de acción nacionales en materia de biodiversidad</w:t>
            </w:r>
          </w:p>
        </w:tc>
      </w:tr>
      <w:tr w:rsidR="00174CFE" w:rsidRPr="005E3D50" w14:paraId="28219CFF" w14:textId="77777777" w:rsidTr="009A5927">
        <w:tc>
          <w:tcPr>
            <w:tcW w:w="2977" w:type="dxa"/>
          </w:tcPr>
          <w:p w14:paraId="12B72F68" w14:textId="77777777" w:rsidR="00174CFE" w:rsidRPr="005E3D50" w:rsidRDefault="00174CFE">
            <w:pPr>
              <w:rPr>
                <w:lang w:val="es-ES"/>
              </w:rPr>
            </w:pPr>
            <w:r w:rsidRPr="005E3D50">
              <w:rPr>
                <w:lang w:val="es-ES"/>
              </w:rPr>
              <w:t>FAIR</w:t>
            </w:r>
          </w:p>
        </w:tc>
        <w:tc>
          <w:tcPr>
            <w:tcW w:w="6039" w:type="dxa"/>
          </w:tcPr>
          <w:p w14:paraId="18A25EF5" w14:textId="62BAB6CC" w:rsidR="00174CFE" w:rsidRPr="005E3D50" w:rsidRDefault="00174CFE" w:rsidP="005C71FF">
            <w:pPr>
              <w:rPr>
                <w:rFonts w:ascii="Aptos" w:hAnsi="Aptos"/>
                <w:color w:val="212121"/>
                <w:lang w:val="es-ES"/>
              </w:rPr>
            </w:pPr>
            <w:r w:rsidRPr="005E3D50">
              <w:rPr>
                <w:lang w:val="es-ES"/>
              </w:rPr>
              <w:t xml:space="preserve">Fáciles de encontrar, </w:t>
            </w:r>
            <w:r w:rsidR="005C71FF" w:rsidRPr="005E3D50">
              <w:rPr>
                <w:lang w:val="es-ES"/>
              </w:rPr>
              <w:t>A</w:t>
            </w:r>
            <w:r w:rsidRPr="005E3D50">
              <w:rPr>
                <w:lang w:val="es-ES"/>
              </w:rPr>
              <w:t xml:space="preserve">ccesibles, </w:t>
            </w:r>
            <w:r w:rsidR="005C71FF" w:rsidRPr="005E3D50">
              <w:rPr>
                <w:lang w:val="es-ES"/>
              </w:rPr>
              <w:t>I</w:t>
            </w:r>
            <w:r w:rsidRPr="005E3D50">
              <w:rPr>
                <w:lang w:val="es-ES"/>
              </w:rPr>
              <w:t xml:space="preserve">nteroperables y </w:t>
            </w:r>
            <w:r w:rsidR="005C71FF" w:rsidRPr="005E3D50">
              <w:rPr>
                <w:lang w:val="es-ES"/>
              </w:rPr>
              <w:t>R</w:t>
            </w:r>
            <w:r w:rsidRPr="005E3D50">
              <w:rPr>
                <w:lang w:val="es-ES"/>
              </w:rPr>
              <w:t>eutilizables</w:t>
            </w:r>
          </w:p>
        </w:tc>
      </w:tr>
      <w:tr w:rsidR="00174CFE" w:rsidRPr="005E3D50" w14:paraId="57DE77DD" w14:textId="77777777" w:rsidTr="009A5927">
        <w:tc>
          <w:tcPr>
            <w:tcW w:w="2977" w:type="dxa"/>
          </w:tcPr>
          <w:p w14:paraId="2C909AC2" w14:textId="77777777" w:rsidR="00174CFE" w:rsidRPr="005E3D50" w:rsidRDefault="00174CFE">
            <w:pPr>
              <w:rPr>
                <w:lang w:val="es-ES"/>
              </w:rPr>
            </w:pPr>
            <w:r w:rsidRPr="005E3D50">
              <w:rPr>
                <w:lang w:val="es-ES"/>
              </w:rPr>
              <w:t>FAO</w:t>
            </w:r>
          </w:p>
        </w:tc>
        <w:tc>
          <w:tcPr>
            <w:tcW w:w="6039" w:type="dxa"/>
          </w:tcPr>
          <w:p w14:paraId="428DE030" w14:textId="77777777" w:rsidR="00174CFE" w:rsidRPr="005E3D50" w:rsidRDefault="00174CFE">
            <w:pPr>
              <w:rPr>
                <w:lang w:val="es-ES"/>
              </w:rPr>
            </w:pPr>
            <w:r w:rsidRPr="005E3D50">
              <w:rPr>
                <w:lang w:val="es-ES"/>
              </w:rPr>
              <w:t>Organización de las Naciones Unidas para la Alimentación y la Agricultura</w:t>
            </w:r>
          </w:p>
        </w:tc>
      </w:tr>
      <w:tr w:rsidR="00174CFE" w:rsidRPr="005E3D50" w14:paraId="3AEE6E0D" w14:textId="77777777" w:rsidTr="009A5927">
        <w:tc>
          <w:tcPr>
            <w:tcW w:w="2977" w:type="dxa"/>
          </w:tcPr>
          <w:p w14:paraId="0CA93EBE" w14:textId="77777777" w:rsidR="00174CFE" w:rsidRPr="005E3D50" w:rsidRDefault="00174CFE">
            <w:pPr>
              <w:rPr>
                <w:lang w:val="es-ES"/>
              </w:rPr>
            </w:pPr>
            <w:r w:rsidRPr="005E3D50">
              <w:rPr>
                <w:lang w:val="es-ES"/>
              </w:rPr>
              <w:t>FERM</w:t>
            </w:r>
          </w:p>
        </w:tc>
        <w:tc>
          <w:tcPr>
            <w:tcW w:w="6039" w:type="dxa"/>
          </w:tcPr>
          <w:p w14:paraId="53D8B040" w14:textId="77777777" w:rsidR="00174CFE" w:rsidRPr="005E3D50" w:rsidRDefault="00174CFE">
            <w:pPr>
              <w:rPr>
                <w:lang w:val="es-ES"/>
              </w:rPr>
            </w:pPr>
            <w:r w:rsidRPr="005E3D50">
              <w:rPr>
                <w:lang w:val="es-ES"/>
              </w:rPr>
              <w:t>Marco para el Seguimiento de la Restauración de Ecosistemas</w:t>
            </w:r>
          </w:p>
        </w:tc>
      </w:tr>
      <w:tr w:rsidR="00174CFE" w:rsidRPr="005E3D50" w14:paraId="0D364C22" w14:textId="77777777" w:rsidTr="009A5927">
        <w:tc>
          <w:tcPr>
            <w:tcW w:w="2977" w:type="dxa"/>
          </w:tcPr>
          <w:p w14:paraId="6800CAA7" w14:textId="77777777" w:rsidR="00174CFE" w:rsidRPr="005E3D50" w:rsidRDefault="00174CFE">
            <w:pPr>
              <w:rPr>
                <w:lang w:val="es-ES"/>
              </w:rPr>
            </w:pPr>
            <w:r w:rsidRPr="005E3D50">
              <w:rPr>
                <w:lang w:val="es-ES"/>
              </w:rPr>
              <w:t>FMAM</w:t>
            </w:r>
          </w:p>
        </w:tc>
        <w:tc>
          <w:tcPr>
            <w:tcW w:w="6039" w:type="dxa"/>
          </w:tcPr>
          <w:p w14:paraId="016B5205" w14:textId="77777777" w:rsidR="00174CFE" w:rsidRPr="005E3D50" w:rsidRDefault="00174CFE">
            <w:pPr>
              <w:rPr>
                <w:rFonts w:ascii="Aptos" w:hAnsi="Aptos"/>
                <w:color w:val="212121"/>
                <w:lang w:val="es-ES"/>
              </w:rPr>
            </w:pPr>
            <w:r w:rsidRPr="005E3D50">
              <w:rPr>
                <w:lang w:val="es-ES"/>
              </w:rPr>
              <w:t>Fondo para el Medio Ambiente Mundial</w:t>
            </w:r>
          </w:p>
        </w:tc>
      </w:tr>
      <w:tr w:rsidR="00174CFE" w:rsidRPr="005E3D50" w14:paraId="0FAF4A7A" w14:textId="77777777" w:rsidTr="009A5927">
        <w:tc>
          <w:tcPr>
            <w:tcW w:w="2977" w:type="dxa"/>
          </w:tcPr>
          <w:p w14:paraId="77135E4F" w14:textId="77777777" w:rsidR="00174CFE" w:rsidRPr="005E3D50" w:rsidRDefault="00174CFE">
            <w:pPr>
              <w:rPr>
                <w:lang w:val="es-ES"/>
              </w:rPr>
            </w:pPr>
            <w:r w:rsidRPr="005E3D50">
              <w:rPr>
                <w:lang w:val="es-ES"/>
              </w:rPr>
              <w:t>FVC</w:t>
            </w:r>
          </w:p>
        </w:tc>
        <w:tc>
          <w:tcPr>
            <w:tcW w:w="6039" w:type="dxa"/>
          </w:tcPr>
          <w:p w14:paraId="3D15FD9D" w14:textId="77777777" w:rsidR="00174CFE" w:rsidRPr="005E3D50" w:rsidRDefault="00174CFE">
            <w:pPr>
              <w:rPr>
                <w:lang w:val="es-ES"/>
              </w:rPr>
            </w:pPr>
            <w:r w:rsidRPr="005E3D50">
              <w:rPr>
                <w:lang w:val="es-ES"/>
              </w:rPr>
              <w:t>Fondo Verde para el Clima</w:t>
            </w:r>
          </w:p>
        </w:tc>
      </w:tr>
      <w:tr w:rsidR="00174CFE" w:rsidRPr="005E3D50" w14:paraId="14532E9A" w14:textId="77777777" w:rsidTr="009A5927">
        <w:tc>
          <w:tcPr>
            <w:tcW w:w="2977" w:type="dxa"/>
          </w:tcPr>
          <w:p w14:paraId="52C8E703" w14:textId="77777777" w:rsidR="00174CFE" w:rsidRPr="005E3D50" w:rsidRDefault="00174CFE">
            <w:pPr>
              <w:rPr>
                <w:lang w:val="es-ES"/>
              </w:rPr>
            </w:pPr>
            <w:r w:rsidRPr="005E3D50">
              <w:rPr>
                <w:lang w:val="es-ES"/>
              </w:rPr>
              <w:t xml:space="preserve">GBIF </w:t>
            </w:r>
          </w:p>
        </w:tc>
        <w:tc>
          <w:tcPr>
            <w:tcW w:w="6039" w:type="dxa"/>
          </w:tcPr>
          <w:p w14:paraId="00533CE1" w14:textId="77777777" w:rsidR="00174CFE" w:rsidRPr="005E3D50" w:rsidRDefault="00174CFE">
            <w:pPr>
              <w:rPr>
                <w:lang w:val="es-ES"/>
              </w:rPr>
            </w:pPr>
            <w:r w:rsidRPr="005E3D50">
              <w:rPr>
                <w:lang w:val="es-ES"/>
              </w:rPr>
              <w:t>Sistema Global de Información sobre Biodiversidad</w:t>
            </w:r>
          </w:p>
        </w:tc>
      </w:tr>
      <w:tr w:rsidR="00174CFE" w:rsidRPr="005E3D50" w14:paraId="5C246F93" w14:textId="77777777" w:rsidTr="009A5927">
        <w:tc>
          <w:tcPr>
            <w:tcW w:w="2977" w:type="dxa"/>
          </w:tcPr>
          <w:p w14:paraId="562F7986" w14:textId="77777777" w:rsidR="00174CFE" w:rsidRPr="005E3D50" w:rsidRDefault="00174CFE">
            <w:pPr>
              <w:rPr>
                <w:lang w:val="es-ES"/>
              </w:rPr>
            </w:pPr>
            <w:r w:rsidRPr="005E3D50">
              <w:rPr>
                <w:lang w:val="es-ES"/>
              </w:rPr>
              <w:t>GEO BON</w:t>
            </w:r>
          </w:p>
        </w:tc>
        <w:tc>
          <w:tcPr>
            <w:tcW w:w="6039" w:type="dxa"/>
          </w:tcPr>
          <w:p w14:paraId="7655FEFF" w14:textId="77777777" w:rsidR="00174CFE" w:rsidRPr="005E3D50" w:rsidRDefault="00174CFE">
            <w:pPr>
              <w:rPr>
                <w:lang w:val="es-ES"/>
              </w:rPr>
            </w:pPr>
            <w:r w:rsidRPr="005E3D50">
              <w:rPr>
                <w:lang w:val="es-ES"/>
              </w:rPr>
              <w:t>Red de Observación de la Biodiversidad del Grupo sobre Observaciones de la Tierra</w:t>
            </w:r>
          </w:p>
        </w:tc>
      </w:tr>
      <w:tr w:rsidR="00174CFE" w:rsidRPr="005E3D50" w14:paraId="326A03D8" w14:textId="77777777" w:rsidTr="009A5927">
        <w:tc>
          <w:tcPr>
            <w:tcW w:w="2977" w:type="dxa"/>
          </w:tcPr>
          <w:p w14:paraId="7CD94CD1" w14:textId="77777777" w:rsidR="00174CFE" w:rsidRPr="005E3D50" w:rsidRDefault="00174CFE">
            <w:pPr>
              <w:rPr>
                <w:lang w:val="es-ES"/>
              </w:rPr>
            </w:pPr>
            <w:r w:rsidRPr="005E3D50">
              <w:rPr>
                <w:lang w:val="es-ES"/>
              </w:rPr>
              <w:t>GFC</w:t>
            </w:r>
          </w:p>
        </w:tc>
        <w:tc>
          <w:tcPr>
            <w:tcW w:w="6039" w:type="dxa"/>
          </w:tcPr>
          <w:p w14:paraId="3764D5C7" w14:textId="77777777" w:rsidR="00174CFE" w:rsidRPr="005E3D50" w:rsidRDefault="00174CFE">
            <w:pPr>
              <w:rPr>
                <w:lang w:val="es-ES"/>
              </w:rPr>
            </w:pPr>
            <w:r w:rsidRPr="005E3D50">
              <w:rPr>
                <w:lang w:val="es-ES"/>
              </w:rPr>
              <w:t>Marco Mundial sobre los Productos Químicos: por un Planeta Libre de los Daños derivados de los Productos Químicos y los Desechos</w:t>
            </w:r>
          </w:p>
        </w:tc>
      </w:tr>
      <w:tr w:rsidR="00174CFE" w:rsidRPr="005E3D50" w14:paraId="7E91341E" w14:textId="77777777" w:rsidTr="009A5927">
        <w:tc>
          <w:tcPr>
            <w:tcW w:w="2977" w:type="dxa"/>
          </w:tcPr>
          <w:p w14:paraId="28223310" w14:textId="77777777" w:rsidR="00174CFE" w:rsidRPr="005E3D50" w:rsidRDefault="00174CFE">
            <w:pPr>
              <w:rPr>
                <w:lang w:val="es-ES"/>
              </w:rPr>
            </w:pPr>
            <w:r w:rsidRPr="005E3D50">
              <w:rPr>
                <w:lang w:val="es-ES"/>
              </w:rPr>
              <w:t>GIS</w:t>
            </w:r>
          </w:p>
        </w:tc>
        <w:tc>
          <w:tcPr>
            <w:tcW w:w="6039" w:type="dxa"/>
          </w:tcPr>
          <w:p w14:paraId="430DAC21" w14:textId="77777777" w:rsidR="00174CFE" w:rsidRPr="005E3D50" w:rsidRDefault="00174CFE">
            <w:pPr>
              <w:rPr>
                <w:lang w:val="es-ES"/>
              </w:rPr>
            </w:pPr>
            <w:r w:rsidRPr="005E3D50">
              <w:rPr>
                <w:lang w:val="es-ES"/>
              </w:rPr>
              <w:t>sistema de información geográfica</w:t>
            </w:r>
          </w:p>
        </w:tc>
      </w:tr>
      <w:tr w:rsidR="00174CFE" w:rsidRPr="005E3D50" w14:paraId="0F79BD4A" w14:textId="77777777" w:rsidTr="009A5927">
        <w:tc>
          <w:tcPr>
            <w:tcW w:w="2977" w:type="dxa"/>
          </w:tcPr>
          <w:p w14:paraId="238963B4" w14:textId="77777777" w:rsidR="00174CFE" w:rsidRPr="005E3D50" w:rsidRDefault="00174CFE">
            <w:pPr>
              <w:rPr>
                <w:lang w:val="es-ES"/>
              </w:rPr>
            </w:pPr>
            <w:r w:rsidRPr="005E3D50">
              <w:rPr>
                <w:lang w:val="es-ES"/>
              </w:rPr>
              <w:t>GRI</w:t>
            </w:r>
          </w:p>
        </w:tc>
        <w:tc>
          <w:tcPr>
            <w:tcW w:w="6039" w:type="dxa"/>
          </w:tcPr>
          <w:p w14:paraId="68C2AD28" w14:textId="77777777" w:rsidR="00174CFE" w:rsidRPr="005E3D50" w:rsidRDefault="00174CFE">
            <w:pPr>
              <w:rPr>
                <w:lang w:val="es-ES"/>
              </w:rPr>
            </w:pPr>
            <w:r w:rsidRPr="005E3D50">
              <w:rPr>
                <w:lang w:val="es-ES"/>
              </w:rPr>
              <w:t>Iniciativa Mundial de Presentación de Informes</w:t>
            </w:r>
          </w:p>
        </w:tc>
      </w:tr>
      <w:tr w:rsidR="00174CFE" w:rsidRPr="005E3D50" w14:paraId="67D2BAB2" w14:textId="77777777" w:rsidTr="009A5927">
        <w:tc>
          <w:tcPr>
            <w:tcW w:w="2977" w:type="dxa"/>
          </w:tcPr>
          <w:p w14:paraId="4C5F669F" w14:textId="77777777" w:rsidR="00174CFE" w:rsidRPr="005E3D50" w:rsidRDefault="00174CFE" w:rsidP="0091162C">
            <w:pPr>
              <w:rPr>
                <w:lang w:val="es-ES"/>
              </w:rPr>
            </w:pPr>
            <w:r w:rsidRPr="005E3D50">
              <w:rPr>
                <w:lang w:val="es-ES"/>
              </w:rPr>
              <w:t>GYBN</w:t>
            </w:r>
          </w:p>
        </w:tc>
        <w:tc>
          <w:tcPr>
            <w:tcW w:w="6039" w:type="dxa"/>
          </w:tcPr>
          <w:p w14:paraId="02F0B815" w14:textId="77777777" w:rsidR="00174CFE" w:rsidRPr="005E3D50" w:rsidRDefault="00174CFE" w:rsidP="0091162C">
            <w:pPr>
              <w:rPr>
                <w:lang w:val="es-ES"/>
              </w:rPr>
            </w:pPr>
            <w:r w:rsidRPr="005E3D50">
              <w:rPr>
                <w:lang w:val="es-ES"/>
              </w:rPr>
              <w:t>Red Mundial de Jóvenes por la Biodiversidad</w:t>
            </w:r>
          </w:p>
        </w:tc>
      </w:tr>
      <w:tr w:rsidR="00174CFE" w:rsidRPr="005E3D50" w14:paraId="5E835B61" w14:textId="77777777" w:rsidTr="009A5927">
        <w:tc>
          <w:tcPr>
            <w:tcW w:w="2977" w:type="dxa"/>
          </w:tcPr>
          <w:p w14:paraId="1A5119EF" w14:textId="77777777" w:rsidR="00174CFE" w:rsidRPr="005E3D50" w:rsidRDefault="00174CFE">
            <w:pPr>
              <w:rPr>
                <w:lang w:val="es-ES"/>
              </w:rPr>
            </w:pPr>
            <w:proofErr w:type="spellStart"/>
            <w:r w:rsidRPr="005E3D50">
              <w:rPr>
                <w:lang w:val="es-ES"/>
              </w:rPr>
              <w:t>iCRAFT</w:t>
            </w:r>
            <w:proofErr w:type="spellEnd"/>
          </w:p>
        </w:tc>
        <w:tc>
          <w:tcPr>
            <w:tcW w:w="6039" w:type="dxa"/>
          </w:tcPr>
          <w:p w14:paraId="345C9315" w14:textId="77777777" w:rsidR="00174CFE" w:rsidRPr="005E3D50" w:rsidRDefault="00174CFE">
            <w:pPr>
              <w:rPr>
                <w:lang w:val="es-ES"/>
              </w:rPr>
            </w:pPr>
            <w:r w:rsidRPr="005E3D50">
              <w:rPr>
                <w:lang w:val="es-ES"/>
              </w:rPr>
              <w:t>Aplicación Innovadora de Recursos de Carbono para la Transición Energética</w:t>
            </w:r>
          </w:p>
        </w:tc>
      </w:tr>
      <w:tr w:rsidR="00174CFE" w:rsidRPr="005E3D50" w14:paraId="03959E03" w14:textId="77777777" w:rsidTr="009A5927">
        <w:tc>
          <w:tcPr>
            <w:tcW w:w="2977" w:type="dxa"/>
          </w:tcPr>
          <w:p w14:paraId="70556E67" w14:textId="77777777" w:rsidR="00174CFE" w:rsidRPr="005E3D50" w:rsidRDefault="00174CFE">
            <w:pPr>
              <w:rPr>
                <w:lang w:val="es-ES"/>
              </w:rPr>
            </w:pPr>
            <w:r w:rsidRPr="005E3D50">
              <w:rPr>
                <w:lang w:val="es-ES"/>
              </w:rPr>
              <w:t>informe mundial</w:t>
            </w:r>
          </w:p>
        </w:tc>
        <w:tc>
          <w:tcPr>
            <w:tcW w:w="6039" w:type="dxa"/>
          </w:tcPr>
          <w:p w14:paraId="18796147" w14:textId="77777777" w:rsidR="00174CFE" w:rsidRPr="005E3D50" w:rsidRDefault="00174CFE">
            <w:pPr>
              <w:rPr>
                <w:lang w:val="es-ES"/>
              </w:rPr>
            </w:pPr>
            <w:r w:rsidRPr="005E3D50">
              <w:rPr>
                <w:lang w:val="es-ES"/>
              </w:rPr>
              <w:t>Informe mundial sobre los progresos colectivos en la implementación del Marco Mundial de Biodiversidad de Kunming-Montreal</w:t>
            </w:r>
          </w:p>
        </w:tc>
      </w:tr>
      <w:tr w:rsidR="00174CFE" w:rsidRPr="005E3D50" w14:paraId="618EC34E" w14:textId="77777777" w:rsidTr="009A5927">
        <w:tc>
          <w:tcPr>
            <w:tcW w:w="2977" w:type="dxa"/>
          </w:tcPr>
          <w:p w14:paraId="1DDB9BEE" w14:textId="77777777" w:rsidR="00174CFE" w:rsidRPr="005E3D50" w:rsidRDefault="00174CFE">
            <w:pPr>
              <w:rPr>
                <w:lang w:val="es-ES"/>
              </w:rPr>
            </w:pPr>
            <w:r w:rsidRPr="005E3D50">
              <w:rPr>
                <w:lang w:val="es-ES"/>
              </w:rPr>
              <w:t>IPBES</w:t>
            </w:r>
          </w:p>
        </w:tc>
        <w:tc>
          <w:tcPr>
            <w:tcW w:w="6039" w:type="dxa"/>
          </w:tcPr>
          <w:p w14:paraId="0CF9ADD7" w14:textId="77777777" w:rsidR="00174CFE" w:rsidRPr="005E3D50" w:rsidRDefault="00174CFE">
            <w:pPr>
              <w:rPr>
                <w:lang w:val="es-ES"/>
              </w:rPr>
            </w:pPr>
            <w:r w:rsidRPr="005E3D50">
              <w:rPr>
                <w:lang w:val="es-ES"/>
              </w:rPr>
              <w:t>Plataforma Intergubernamental Científico-Normativa sobre Diversidad Biológica y Servicios de los Ecosistemas</w:t>
            </w:r>
          </w:p>
        </w:tc>
      </w:tr>
      <w:tr w:rsidR="00174CFE" w:rsidRPr="005E3D50" w14:paraId="12492711" w14:textId="77777777" w:rsidTr="009A5927">
        <w:tc>
          <w:tcPr>
            <w:tcW w:w="2977" w:type="dxa"/>
          </w:tcPr>
          <w:p w14:paraId="3CE77C00" w14:textId="77777777" w:rsidR="00174CFE" w:rsidRPr="005E3D50" w:rsidRDefault="00174CFE">
            <w:pPr>
              <w:rPr>
                <w:lang w:val="es-ES"/>
              </w:rPr>
            </w:pPr>
            <w:r w:rsidRPr="005E3D50">
              <w:rPr>
                <w:lang w:val="es-ES"/>
              </w:rPr>
              <w:t>LRE</w:t>
            </w:r>
          </w:p>
        </w:tc>
        <w:tc>
          <w:tcPr>
            <w:tcW w:w="6039" w:type="dxa"/>
          </w:tcPr>
          <w:p w14:paraId="178CDEB9" w14:textId="77777777" w:rsidR="00174CFE" w:rsidRPr="005E3D50" w:rsidRDefault="00174CFE" w:rsidP="007D003C">
            <w:pPr>
              <w:rPr>
                <w:lang w:val="es-ES"/>
              </w:rPr>
            </w:pPr>
            <w:r w:rsidRPr="005E3D50">
              <w:rPr>
                <w:lang w:val="es-ES"/>
              </w:rPr>
              <w:t>Lista Roja de Ecosistemas</w:t>
            </w:r>
          </w:p>
        </w:tc>
      </w:tr>
      <w:tr w:rsidR="00174CFE" w:rsidRPr="005E3D50" w14:paraId="6385882B" w14:textId="77777777" w:rsidTr="009A5927">
        <w:tc>
          <w:tcPr>
            <w:tcW w:w="2977" w:type="dxa"/>
          </w:tcPr>
          <w:p w14:paraId="1B6C7212" w14:textId="77777777" w:rsidR="00174CFE" w:rsidRPr="005E3D50" w:rsidRDefault="00174CFE">
            <w:pPr>
              <w:rPr>
                <w:lang w:val="es-ES"/>
              </w:rPr>
            </w:pPr>
            <w:r w:rsidRPr="005E3D50">
              <w:rPr>
                <w:lang w:val="es-ES"/>
              </w:rPr>
              <w:t>MAB</w:t>
            </w:r>
          </w:p>
        </w:tc>
        <w:tc>
          <w:tcPr>
            <w:tcW w:w="6039" w:type="dxa"/>
          </w:tcPr>
          <w:p w14:paraId="2A60ED8A" w14:textId="77777777" w:rsidR="00174CFE" w:rsidRPr="005E3D50" w:rsidRDefault="00174CFE">
            <w:pPr>
              <w:rPr>
                <w:lang w:val="es-ES"/>
              </w:rPr>
            </w:pPr>
            <w:r w:rsidRPr="005E3D50">
              <w:rPr>
                <w:lang w:val="es-ES"/>
              </w:rPr>
              <w:t>Programa sobre el Hombre y la Biosfera</w:t>
            </w:r>
          </w:p>
        </w:tc>
      </w:tr>
      <w:tr w:rsidR="00174CFE" w:rsidRPr="005E3D50" w14:paraId="431B3559" w14:textId="77777777" w:rsidTr="009A5927">
        <w:tc>
          <w:tcPr>
            <w:tcW w:w="2977" w:type="dxa"/>
          </w:tcPr>
          <w:p w14:paraId="14C5CCF0" w14:textId="77777777" w:rsidR="00174CFE" w:rsidRPr="005E3D50" w:rsidRDefault="00174CFE">
            <w:pPr>
              <w:rPr>
                <w:lang w:val="es-ES"/>
              </w:rPr>
            </w:pPr>
            <w:r w:rsidRPr="005E3D50">
              <w:rPr>
                <w:lang w:val="es-ES"/>
              </w:rPr>
              <w:t>Marco</w:t>
            </w:r>
          </w:p>
        </w:tc>
        <w:tc>
          <w:tcPr>
            <w:tcW w:w="6039" w:type="dxa"/>
          </w:tcPr>
          <w:p w14:paraId="0353DB92" w14:textId="77777777" w:rsidR="00174CFE" w:rsidRPr="005E3D50" w:rsidRDefault="00174CFE">
            <w:pPr>
              <w:rPr>
                <w:lang w:val="es-ES"/>
              </w:rPr>
            </w:pPr>
            <w:r w:rsidRPr="005E3D50">
              <w:rPr>
                <w:lang w:val="es-ES"/>
              </w:rPr>
              <w:t>Marco Mundial de Biodiversidad de Kunming-Montreal</w:t>
            </w:r>
          </w:p>
        </w:tc>
      </w:tr>
      <w:tr w:rsidR="00174CFE" w:rsidRPr="005E3D50" w14:paraId="63A515BB" w14:textId="77777777" w:rsidTr="009A5927">
        <w:tc>
          <w:tcPr>
            <w:tcW w:w="2977" w:type="dxa"/>
          </w:tcPr>
          <w:p w14:paraId="05DA71DA" w14:textId="77777777" w:rsidR="00174CFE" w:rsidRPr="005E3D50" w:rsidRDefault="00174CFE">
            <w:pPr>
              <w:rPr>
                <w:lang w:val="es-ES"/>
              </w:rPr>
            </w:pPr>
            <w:r w:rsidRPr="005E3D50">
              <w:rPr>
                <w:lang w:val="es-ES"/>
              </w:rPr>
              <w:t>MEA</w:t>
            </w:r>
          </w:p>
        </w:tc>
        <w:tc>
          <w:tcPr>
            <w:tcW w:w="6039" w:type="dxa"/>
          </w:tcPr>
          <w:p w14:paraId="284E6C7F" w14:textId="77777777" w:rsidR="00174CFE" w:rsidRPr="005E3D50" w:rsidRDefault="00174CFE">
            <w:pPr>
              <w:rPr>
                <w:lang w:val="es-ES"/>
              </w:rPr>
            </w:pPr>
            <w:r w:rsidRPr="005E3D50">
              <w:rPr>
                <w:lang w:val="es-ES"/>
              </w:rPr>
              <w:t>acuerdos ambientales multilaterales</w:t>
            </w:r>
          </w:p>
        </w:tc>
      </w:tr>
      <w:tr w:rsidR="00174CFE" w:rsidRPr="005E3D50" w14:paraId="4A15AB2E" w14:textId="77777777" w:rsidTr="009A5927">
        <w:tc>
          <w:tcPr>
            <w:tcW w:w="2977" w:type="dxa"/>
          </w:tcPr>
          <w:p w14:paraId="4F3F9FB8" w14:textId="77777777" w:rsidR="00174CFE" w:rsidRPr="005E3D50" w:rsidRDefault="00174CFE">
            <w:pPr>
              <w:rPr>
                <w:lang w:val="es-ES"/>
              </w:rPr>
            </w:pPr>
            <w:r w:rsidRPr="005E3D50">
              <w:rPr>
                <w:lang w:val="es-ES"/>
              </w:rPr>
              <w:t>OBIS</w:t>
            </w:r>
          </w:p>
        </w:tc>
        <w:tc>
          <w:tcPr>
            <w:tcW w:w="6039" w:type="dxa"/>
          </w:tcPr>
          <w:p w14:paraId="56DF2830" w14:textId="77777777" w:rsidR="00174CFE" w:rsidRPr="005E3D50" w:rsidRDefault="00174CFE">
            <w:pPr>
              <w:rPr>
                <w:lang w:val="es-ES"/>
              </w:rPr>
            </w:pPr>
            <w:r w:rsidRPr="005E3D50">
              <w:rPr>
                <w:lang w:val="es-ES"/>
              </w:rPr>
              <w:t>Sistema de Información sobre la Biodiversidad del Océano</w:t>
            </w:r>
          </w:p>
        </w:tc>
      </w:tr>
      <w:tr w:rsidR="00174CFE" w:rsidRPr="005E3D50" w14:paraId="774584AB" w14:textId="77777777" w:rsidTr="009A5927">
        <w:tc>
          <w:tcPr>
            <w:tcW w:w="2977" w:type="dxa"/>
          </w:tcPr>
          <w:p w14:paraId="3C54D336" w14:textId="77777777" w:rsidR="00174CFE" w:rsidRPr="005E3D50" w:rsidRDefault="00174CFE">
            <w:pPr>
              <w:rPr>
                <w:lang w:val="es-ES"/>
              </w:rPr>
            </w:pPr>
            <w:r w:rsidRPr="005E3D50">
              <w:rPr>
                <w:lang w:val="es-ES"/>
              </w:rPr>
              <w:t>OCDE</w:t>
            </w:r>
          </w:p>
        </w:tc>
        <w:tc>
          <w:tcPr>
            <w:tcW w:w="6039" w:type="dxa"/>
          </w:tcPr>
          <w:p w14:paraId="1D378DBE" w14:textId="77777777" w:rsidR="00174CFE" w:rsidRPr="005E3D50" w:rsidRDefault="00174CFE">
            <w:pPr>
              <w:rPr>
                <w:lang w:val="es-ES"/>
              </w:rPr>
            </w:pPr>
            <w:r w:rsidRPr="005E3D50">
              <w:rPr>
                <w:lang w:val="es-ES"/>
              </w:rPr>
              <w:t>Organización de Cooperación y Desarrollo Económicos</w:t>
            </w:r>
          </w:p>
        </w:tc>
      </w:tr>
      <w:tr w:rsidR="00174CFE" w:rsidRPr="005E3D50" w14:paraId="665C4B31" w14:textId="77777777" w:rsidTr="009A5927">
        <w:tc>
          <w:tcPr>
            <w:tcW w:w="2977" w:type="dxa"/>
          </w:tcPr>
          <w:p w14:paraId="40FF7B5F" w14:textId="77777777" w:rsidR="00174CFE" w:rsidRPr="005E3D50" w:rsidRDefault="00174CFE">
            <w:pPr>
              <w:rPr>
                <w:lang w:val="es-ES"/>
              </w:rPr>
            </w:pPr>
            <w:r w:rsidRPr="005E3D50">
              <w:rPr>
                <w:lang w:val="es-ES"/>
              </w:rPr>
              <w:t>ODS</w:t>
            </w:r>
          </w:p>
        </w:tc>
        <w:tc>
          <w:tcPr>
            <w:tcW w:w="6039" w:type="dxa"/>
          </w:tcPr>
          <w:p w14:paraId="242CD10B" w14:textId="77777777" w:rsidR="00174CFE" w:rsidRPr="005E3D50" w:rsidRDefault="00174CFE">
            <w:pPr>
              <w:rPr>
                <w:lang w:val="es-ES"/>
              </w:rPr>
            </w:pPr>
            <w:r w:rsidRPr="005E3D50">
              <w:rPr>
                <w:lang w:val="es-ES"/>
              </w:rPr>
              <w:t>Objetivo de Desarrollo Sostenible</w:t>
            </w:r>
          </w:p>
        </w:tc>
      </w:tr>
      <w:tr w:rsidR="00174CFE" w:rsidRPr="005E3D50" w14:paraId="7E8BE0BC" w14:textId="77777777" w:rsidTr="009A5927">
        <w:tc>
          <w:tcPr>
            <w:tcW w:w="2977" w:type="dxa"/>
          </w:tcPr>
          <w:p w14:paraId="7DBD797A" w14:textId="77777777" w:rsidR="00174CFE" w:rsidRPr="005E3D50" w:rsidRDefault="00174CFE">
            <w:pPr>
              <w:rPr>
                <w:lang w:val="es-ES"/>
              </w:rPr>
            </w:pPr>
            <w:r w:rsidRPr="005E3D50">
              <w:rPr>
                <w:lang w:val="es-ES"/>
              </w:rPr>
              <w:t>OECO</w:t>
            </w:r>
          </w:p>
        </w:tc>
        <w:tc>
          <w:tcPr>
            <w:tcW w:w="6039" w:type="dxa"/>
          </w:tcPr>
          <w:p w14:paraId="68EA45FD" w14:textId="77777777" w:rsidR="00174CFE" w:rsidRPr="005E3D50" w:rsidRDefault="00174CFE">
            <w:pPr>
              <w:rPr>
                <w:lang w:val="es-ES"/>
              </w:rPr>
            </w:pPr>
            <w:r w:rsidRPr="005E3D50">
              <w:rPr>
                <w:lang w:val="es-ES"/>
              </w:rPr>
              <w:t>Organización de Estados del Caribe Oriental</w:t>
            </w:r>
          </w:p>
        </w:tc>
      </w:tr>
      <w:tr w:rsidR="00174CFE" w:rsidRPr="005E3D50" w14:paraId="77164388" w14:textId="77777777" w:rsidTr="009A5927">
        <w:tc>
          <w:tcPr>
            <w:tcW w:w="2977" w:type="dxa"/>
          </w:tcPr>
          <w:p w14:paraId="573986BB" w14:textId="77777777" w:rsidR="00174CFE" w:rsidRPr="005E3D50" w:rsidRDefault="00174CFE">
            <w:pPr>
              <w:rPr>
                <w:lang w:val="es-ES"/>
              </w:rPr>
            </w:pPr>
            <w:r w:rsidRPr="005E3D50">
              <w:rPr>
                <w:lang w:val="es-ES"/>
              </w:rPr>
              <w:t>OIEA</w:t>
            </w:r>
          </w:p>
        </w:tc>
        <w:tc>
          <w:tcPr>
            <w:tcW w:w="6039" w:type="dxa"/>
          </w:tcPr>
          <w:p w14:paraId="54F28647" w14:textId="77777777" w:rsidR="00174CFE" w:rsidRPr="005E3D50" w:rsidRDefault="00174CFE">
            <w:pPr>
              <w:rPr>
                <w:lang w:val="es-ES"/>
              </w:rPr>
            </w:pPr>
            <w:r w:rsidRPr="005E3D50">
              <w:rPr>
                <w:lang w:val="es-ES"/>
              </w:rPr>
              <w:t>Organismo Internacional de Energía Atómica</w:t>
            </w:r>
          </w:p>
        </w:tc>
      </w:tr>
      <w:tr w:rsidR="00174CFE" w:rsidRPr="005E3D50" w14:paraId="26537652" w14:textId="77777777" w:rsidTr="009A5927">
        <w:tc>
          <w:tcPr>
            <w:tcW w:w="2977" w:type="dxa"/>
          </w:tcPr>
          <w:p w14:paraId="2C29AE45" w14:textId="77777777" w:rsidR="00174CFE" w:rsidRPr="005E3D50" w:rsidRDefault="00174CFE">
            <w:pPr>
              <w:rPr>
                <w:lang w:val="es-ES"/>
              </w:rPr>
            </w:pPr>
            <w:r w:rsidRPr="005E3D50">
              <w:rPr>
                <w:lang w:val="es-ES"/>
              </w:rPr>
              <w:t>OMEC</w:t>
            </w:r>
          </w:p>
        </w:tc>
        <w:tc>
          <w:tcPr>
            <w:tcW w:w="6039" w:type="dxa"/>
          </w:tcPr>
          <w:p w14:paraId="560F5C44" w14:textId="77777777" w:rsidR="00174CFE" w:rsidRPr="005E3D50" w:rsidRDefault="00174CFE">
            <w:pPr>
              <w:rPr>
                <w:lang w:val="es-ES"/>
              </w:rPr>
            </w:pPr>
            <w:r w:rsidRPr="005E3D50">
              <w:rPr>
                <w:lang w:val="es-ES"/>
              </w:rPr>
              <w:t>otras medidas eficaces de conservación basadas en áreas</w:t>
            </w:r>
          </w:p>
        </w:tc>
      </w:tr>
      <w:tr w:rsidR="00174CFE" w:rsidRPr="005E3D50" w14:paraId="791733DA" w14:textId="77777777" w:rsidTr="009A5927">
        <w:tc>
          <w:tcPr>
            <w:tcW w:w="2977" w:type="dxa"/>
          </w:tcPr>
          <w:p w14:paraId="6AEEE48E" w14:textId="77777777" w:rsidR="00174CFE" w:rsidRPr="005E3D50" w:rsidRDefault="00174CFE">
            <w:pPr>
              <w:rPr>
                <w:lang w:val="es-ES"/>
              </w:rPr>
            </w:pPr>
            <w:r w:rsidRPr="005E3D50">
              <w:rPr>
                <w:lang w:val="es-ES"/>
              </w:rPr>
              <w:t>OMI</w:t>
            </w:r>
          </w:p>
        </w:tc>
        <w:tc>
          <w:tcPr>
            <w:tcW w:w="6039" w:type="dxa"/>
          </w:tcPr>
          <w:p w14:paraId="69C30156" w14:textId="77777777" w:rsidR="00174CFE" w:rsidRPr="005E3D50" w:rsidRDefault="00174CFE">
            <w:pPr>
              <w:rPr>
                <w:lang w:val="es-ES"/>
              </w:rPr>
            </w:pPr>
            <w:r w:rsidRPr="005E3D50">
              <w:rPr>
                <w:lang w:val="es-ES"/>
              </w:rPr>
              <w:t>Organización Marítima Internacional</w:t>
            </w:r>
          </w:p>
        </w:tc>
      </w:tr>
      <w:tr w:rsidR="00174CFE" w:rsidRPr="005E3D50" w14:paraId="29E1AB81" w14:textId="77777777" w:rsidTr="009A5927">
        <w:tc>
          <w:tcPr>
            <w:tcW w:w="2977" w:type="dxa"/>
          </w:tcPr>
          <w:p w14:paraId="0A2D3CD1" w14:textId="77777777" w:rsidR="00174CFE" w:rsidRPr="005E3D50" w:rsidRDefault="00174CFE">
            <w:pPr>
              <w:rPr>
                <w:lang w:val="es-ES"/>
              </w:rPr>
            </w:pPr>
            <w:r w:rsidRPr="005E3D50">
              <w:rPr>
                <w:lang w:val="es-ES"/>
              </w:rPr>
              <w:lastRenderedPageBreak/>
              <w:t>OMPI</w:t>
            </w:r>
          </w:p>
        </w:tc>
        <w:tc>
          <w:tcPr>
            <w:tcW w:w="6039" w:type="dxa"/>
          </w:tcPr>
          <w:p w14:paraId="0482D2E7" w14:textId="77777777" w:rsidR="00174CFE" w:rsidRPr="005E3D50" w:rsidRDefault="00174CFE">
            <w:pPr>
              <w:rPr>
                <w:lang w:val="es-ES"/>
              </w:rPr>
            </w:pPr>
            <w:r w:rsidRPr="005E3D50">
              <w:rPr>
                <w:lang w:val="es-ES"/>
              </w:rPr>
              <w:t>Organización Mundial de la Propiedad Intelectual</w:t>
            </w:r>
          </w:p>
        </w:tc>
      </w:tr>
      <w:tr w:rsidR="00174CFE" w:rsidRPr="005E3D50" w14:paraId="7E52882A" w14:textId="77777777" w:rsidTr="009A5927">
        <w:tc>
          <w:tcPr>
            <w:tcW w:w="2977" w:type="dxa"/>
          </w:tcPr>
          <w:p w14:paraId="517D478F" w14:textId="77777777" w:rsidR="00174CFE" w:rsidRPr="005E3D50" w:rsidRDefault="00174CFE">
            <w:pPr>
              <w:rPr>
                <w:lang w:val="es-ES"/>
              </w:rPr>
            </w:pPr>
            <w:r w:rsidRPr="005E3D50">
              <w:rPr>
                <w:lang w:val="es-ES"/>
              </w:rPr>
              <w:t>ONG</w:t>
            </w:r>
          </w:p>
        </w:tc>
        <w:tc>
          <w:tcPr>
            <w:tcW w:w="6039" w:type="dxa"/>
          </w:tcPr>
          <w:p w14:paraId="4E2F0EAB" w14:textId="77777777" w:rsidR="00174CFE" w:rsidRPr="005E3D50" w:rsidRDefault="00174CFE">
            <w:pPr>
              <w:rPr>
                <w:lang w:val="es-ES"/>
              </w:rPr>
            </w:pPr>
            <w:r w:rsidRPr="005E3D50">
              <w:rPr>
                <w:lang w:val="es-ES"/>
              </w:rPr>
              <w:t>organización no gubernamental</w:t>
            </w:r>
          </w:p>
        </w:tc>
      </w:tr>
      <w:tr w:rsidR="00174CFE" w:rsidRPr="005E3D50" w14:paraId="2709660F" w14:textId="77777777" w:rsidTr="009A5927">
        <w:tc>
          <w:tcPr>
            <w:tcW w:w="2977" w:type="dxa"/>
          </w:tcPr>
          <w:p w14:paraId="3F3EAF7D" w14:textId="77777777" w:rsidR="00174CFE" w:rsidRPr="005E3D50" w:rsidRDefault="00174CFE">
            <w:pPr>
              <w:rPr>
                <w:lang w:val="es-ES"/>
              </w:rPr>
            </w:pPr>
            <w:r w:rsidRPr="005E3D50">
              <w:rPr>
                <w:lang w:val="es-ES"/>
              </w:rPr>
              <w:t>OS8j</w:t>
            </w:r>
          </w:p>
        </w:tc>
        <w:tc>
          <w:tcPr>
            <w:tcW w:w="6039" w:type="dxa"/>
          </w:tcPr>
          <w:p w14:paraId="62DF2E8B" w14:textId="77777777" w:rsidR="00174CFE" w:rsidRPr="005E3D50" w:rsidRDefault="00174CFE">
            <w:pPr>
              <w:rPr>
                <w:lang w:val="es-ES"/>
              </w:rPr>
            </w:pPr>
            <w:r w:rsidRPr="005E3D50">
              <w:rPr>
                <w:lang w:val="es-ES"/>
              </w:rPr>
              <w:t>Órgano Subsidiario sobre el Artículo 8 j) y Otras Disposiciones del Convenio sobre la Diversidad Biológica Relativas a los Pueblos Indígenas y las Comunidades Locales</w:t>
            </w:r>
          </w:p>
        </w:tc>
      </w:tr>
      <w:tr w:rsidR="00174CFE" w:rsidRPr="005E3D50" w14:paraId="767C95F1" w14:textId="77777777" w:rsidTr="009A5927">
        <w:tc>
          <w:tcPr>
            <w:tcW w:w="2977" w:type="dxa"/>
          </w:tcPr>
          <w:p w14:paraId="2E9D25F1" w14:textId="77777777" w:rsidR="00174CFE" w:rsidRPr="005E3D50" w:rsidRDefault="00174CFE">
            <w:pPr>
              <w:rPr>
                <w:lang w:val="es-ES"/>
              </w:rPr>
            </w:pPr>
            <w:r w:rsidRPr="005E3D50">
              <w:rPr>
                <w:lang w:val="es-ES"/>
              </w:rPr>
              <w:t>OSA</w:t>
            </w:r>
          </w:p>
        </w:tc>
        <w:tc>
          <w:tcPr>
            <w:tcW w:w="6039" w:type="dxa"/>
          </w:tcPr>
          <w:p w14:paraId="5DC555E2" w14:textId="77777777" w:rsidR="00174CFE" w:rsidRPr="005E3D50" w:rsidRDefault="00174CFE">
            <w:pPr>
              <w:rPr>
                <w:lang w:val="es-ES"/>
              </w:rPr>
            </w:pPr>
            <w:r w:rsidRPr="005E3D50">
              <w:rPr>
                <w:lang w:val="es-ES"/>
              </w:rPr>
              <w:t>Órgano Subsidiario sobre la Aplicación</w:t>
            </w:r>
          </w:p>
        </w:tc>
      </w:tr>
      <w:tr w:rsidR="00174CFE" w:rsidRPr="005E3D50" w14:paraId="54D4B7F0" w14:textId="77777777" w:rsidTr="009A5927">
        <w:tc>
          <w:tcPr>
            <w:tcW w:w="2977" w:type="dxa"/>
          </w:tcPr>
          <w:p w14:paraId="24912C66" w14:textId="77777777" w:rsidR="00174CFE" w:rsidRPr="005E3D50" w:rsidRDefault="00174CFE" w:rsidP="00F10C40">
            <w:pPr>
              <w:rPr>
                <w:lang w:val="es-ES"/>
              </w:rPr>
            </w:pPr>
            <w:r w:rsidRPr="005E3D50">
              <w:rPr>
                <w:lang w:val="es-ES"/>
              </w:rPr>
              <w:t>OSACTT</w:t>
            </w:r>
          </w:p>
        </w:tc>
        <w:tc>
          <w:tcPr>
            <w:tcW w:w="6039" w:type="dxa"/>
          </w:tcPr>
          <w:p w14:paraId="7061039E" w14:textId="77777777" w:rsidR="00174CFE" w:rsidRPr="005E3D50" w:rsidRDefault="00174CFE" w:rsidP="00F10C40">
            <w:pPr>
              <w:rPr>
                <w:lang w:val="es-ES"/>
              </w:rPr>
            </w:pPr>
            <w:r w:rsidRPr="005E3D50">
              <w:rPr>
                <w:lang w:val="es-ES"/>
              </w:rPr>
              <w:t>Órgano Subsidiario de Asesoramiento Científico, Técnico y Tecnológico</w:t>
            </w:r>
          </w:p>
        </w:tc>
      </w:tr>
      <w:tr w:rsidR="00174CFE" w:rsidRPr="005E3D50" w14:paraId="2A074446" w14:textId="77777777" w:rsidTr="009A5927">
        <w:tc>
          <w:tcPr>
            <w:tcW w:w="2977" w:type="dxa"/>
          </w:tcPr>
          <w:p w14:paraId="7FA14F9F" w14:textId="77777777" w:rsidR="00174CFE" w:rsidRPr="005E3D50" w:rsidRDefault="00174CFE">
            <w:pPr>
              <w:rPr>
                <w:lang w:val="es-ES"/>
              </w:rPr>
            </w:pPr>
            <w:r w:rsidRPr="005E3D50">
              <w:rPr>
                <w:lang w:val="es-ES"/>
              </w:rPr>
              <w:t>PIB</w:t>
            </w:r>
          </w:p>
        </w:tc>
        <w:tc>
          <w:tcPr>
            <w:tcW w:w="6039" w:type="dxa"/>
          </w:tcPr>
          <w:p w14:paraId="6A787401" w14:textId="77777777" w:rsidR="00174CFE" w:rsidRPr="005E3D50" w:rsidRDefault="00174CFE">
            <w:pPr>
              <w:rPr>
                <w:lang w:val="es-ES"/>
              </w:rPr>
            </w:pPr>
            <w:r w:rsidRPr="005E3D50">
              <w:rPr>
                <w:lang w:val="es-ES"/>
              </w:rPr>
              <w:t>producto interno bruto</w:t>
            </w:r>
          </w:p>
        </w:tc>
      </w:tr>
      <w:tr w:rsidR="00174CFE" w:rsidRPr="005E3D50" w14:paraId="070BA77B" w14:textId="77777777" w:rsidTr="009A5927">
        <w:tc>
          <w:tcPr>
            <w:tcW w:w="2977" w:type="dxa"/>
          </w:tcPr>
          <w:p w14:paraId="73D2F935" w14:textId="77777777" w:rsidR="00174CFE" w:rsidRPr="005E3D50" w:rsidRDefault="00174CFE">
            <w:pPr>
              <w:rPr>
                <w:lang w:val="es-ES"/>
              </w:rPr>
            </w:pPr>
            <w:r w:rsidRPr="005E3D50">
              <w:rPr>
                <w:lang w:val="es-ES"/>
              </w:rPr>
              <w:t>PMDB</w:t>
            </w:r>
          </w:p>
        </w:tc>
        <w:tc>
          <w:tcPr>
            <w:tcW w:w="6039" w:type="dxa"/>
          </w:tcPr>
          <w:p w14:paraId="7FAF66E7" w14:textId="77777777" w:rsidR="00174CFE" w:rsidRPr="005E3D50" w:rsidRDefault="00174CFE">
            <w:pPr>
              <w:rPr>
                <w:lang w:val="es-ES"/>
              </w:rPr>
            </w:pPr>
            <w:r w:rsidRPr="005E3D50">
              <w:rPr>
                <w:lang w:val="es-ES"/>
              </w:rPr>
              <w:t>Perspectiva Mundial sobre la Diversidad Biológica</w:t>
            </w:r>
          </w:p>
        </w:tc>
      </w:tr>
      <w:tr w:rsidR="00174CFE" w:rsidRPr="005E3D50" w14:paraId="0B37CD87" w14:textId="77777777" w:rsidTr="009A5927">
        <w:tc>
          <w:tcPr>
            <w:tcW w:w="2977" w:type="dxa"/>
          </w:tcPr>
          <w:p w14:paraId="6524BB06" w14:textId="77777777" w:rsidR="00174CFE" w:rsidRPr="005E3D50" w:rsidRDefault="00174CFE">
            <w:pPr>
              <w:rPr>
                <w:lang w:val="es-ES"/>
              </w:rPr>
            </w:pPr>
            <w:r w:rsidRPr="005E3D50">
              <w:rPr>
                <w:lang w:val="es-ES"/>
              </w:rPr>
              <w:t>PNUD</w:t>
            </w:r>
          </w:p>
        </w:tc>
        <w:tc>
          <w:tcPr>
            <w:tcW w:w="6039" w:type="dxa"/>
          </w:tcPr>
          <w:p w14:paraId="4D27CEDD" w14:textId="77777777" w:rsidR="00174CFE" w:rsidRPr="005E3D50" w:rsidRDefault="00174CFE">
            <w:pPr>
              <w:rPr>
                <w:lang w:val="es-ES"/>
              </w:rPr>
            </w:pPr>
            <w:r w:rsidRPr="005E3D50">
              <w:rPr>
                <w:lang w:val="es-ES"/>
              </w:rPr>
              <w:t>Programa de las Naciones Unidas para el Desarrollo</w:t>
            </w:r>
          </w:p>
        </w:tc>
      </w:tr>
      <w:tr w:rsidR="00174CFE" w:rsidRPr="005E3D50" w14:paraId="714AC0AD" w14:textId="77777777" w:rsidTr="009A5927">
        <w:tc>
          <w:tcPr>
            <w:tcW w:w="2977" w:type="dxa"/>
          </w:tcPr>
          <w:p w14:paraId="76D47454" w14:textId="77777777" w:rsidR="00174CFE" w:rsidRPr="005E3D50" w:rsidRDefault="00174CFE">
            <w:pPr>
              <w:rPr>
                <w:lang w:val="es-ES"/>
              </w:rPr>
            </w:pPr>
            <w:r w:rsidRPr="005E3D50">
              <w:rPr>
                <w:lang w:val="es-ES"/>
              </w:rPr>
              <w:t>PNUMA</w:t>
            </w:r>
          </w:p>
        </w:tc>
        <w:tc>
          <w:tcPr>
            <w:tcW w:w="6039" w:type="dxa"/>
          </w:tcPr>
          <w:p w14:paraId="4F7FB4DF" w14:textId="77777777" w:rsidR="00174CFE" w:rsidRPr="005E3D50" w:rsidRDefault="00174CFE">
            <w:pPr>
              <w:rPr>
                <w:lang w:val="es-ES"/>
              </w:rPr>
            </w:pPr>
            <w:r w:rsidRPr="005E3D50">
              <w:rPr>
                <w:lang w:val="es-ES"/>
              </w:rPr>
              <w:t>Programa de las Naciones Unidas para el Medio Ambiente</w:t>
            </w:r>
          </w:p>
        </w:tc>
      </w:tr>
      <w:tr w:rsidR="00174CFE" w:rsidRPr="005E3D50" w14:paraId="5D067856" w14:textId="77777777" w:rsidTr="009A5927">
        <w:tc>
          <w:tcPr>
            <w:tcW w:w="2977" w:type="dxa"/>
          </w:tcPr>
          <w:p w14:paraId="5BCE9BBD" w14:textId="77777777" w:rsidR="00174CFE" w:rsidRPr="005E3D50" w:rsidRDefault="00174CFE">
            <w:pPr>
              <w:rPr>
                <w:lang w:val="es-ES"/>
              </w:rPr>
            </w:pPr>
            <w:r w:rsidRPr="005E3D50">
              <w:rPr>
                <w:lang w:val="es-ES"/>
              </w:rPr>
              <w:t>Protocolo de Nagoya</w:t>
            </w:r>
          </w:p>
        </w:tc>
        <w:tc>
          <w:tcPr>
            <w:tcW w:w="6039" w:type="dxa"/>
          </w:tcPr>
          <w:p w14:paraId="20399B45" w14:textId="77777777" w:rsidR="00174CFE" w:rsidRPr="005E3D50" w:rsidRDefault="00174CFE">
            <w:pPr>
              <w:rPr>
                <w:lang w:val="es-ES"/>
              </w:rPr>
            </w:pPr>
            <w:r w:rsidRPr="005E3D50">
              <w:rPr>
                <w:lang w:val="es-ES"/>
              </w:rPr>
              <w:t>Protocolo de Nagoya sobre Acceso a los Recursos Genéticos y Participación Justa y Equitativa en los Beneficios que se Deriven de su Utilización</w:t>
            </w:r>
          </w:p>
        </w:tc>
      </w:tr>
      <w:tr w:rsidR="00174CFE" w:rsidRPr="005E3D50" w14:paraId="3A5756A7" w14:textId="77777777" w:rsidTr="009A5927">
        <w:tc>
          <w:tcPr>
            <w:tcW w:w="2977" w:type="dxa"/>
          </w:tcPr>
          <w:p w14:paraId="5C436603" w14:textId="77777777" w:rsidR="00174CFE" w:rsidRPr="005E3D50" w:rsidRDefault="00174CFE">
            <w:pPr>
              <w:rPr>
                <w:lang w:val="es-ES"/>
              </w:rPr>
            </w:pPr>
            <w:r w:rsidRPr="005E3D50">
              <w:rPr>
                <w:lang w:val="es-ES"/>
              </w:rPr>
              <w:t>REDD+</w:t>
            </w:r>
          </w:p>
        </w:tc>
        <w:tc>
          <w:tcPr>
            <w:tcW w:w="6039" w:type="dxa"/>
          </w:tcPr>
          <w:p w14:paraId="20AD7B13" w14:textId="77777777" w:rsidR="00174CFE" w:rsidRPr="005E3D50" w:rsidRDefault="00174CFE">
            <w:pPr>
              <w:rPr>
                <w:lang w:val="es-ES"/>
              </w:rPr>
            </w:pPr>
            <w:r w:rsidRPr="005E3D50">
              <w:rPr>
                <w:lang w:val="es-ES"/>
              </w:rPr>
              <w:t>reducción de las emisiones debidas a la deforestación y la degradación forestal en los países en desarrollo</w:t>
            </w:r>
          </w:p>
        </w:tc>
      </w:tr>
      <w:tr w:rsidR="00174CFE" w:rsidRPr="005E3D50" w14:paraId="4DBA364D" w14:textId="77777777" w:rsidTr="009A5927">
        <w:tc>
          <w:tcPr>
            <w:tcW w:w="2977" w:type="dxa"/>
          </w:tcPr>
          <w:p w14:paraId="43A41AD6" w14:textId="77777777" w:rsidR="00174CFE" w:rsidRPr="005E3D50" w:rsidRDefault="00174CFE">
            <w:pPr>
              <w:rPr>
                <w:lang w:val="es-ES"/>
              </w:rPr>
            </w:pPr>
            <w:r w:rsidRPr="005E3D50">
              <w:rPr>
                <w:lang w:val="es-ES"/>
              </w:rPr>
              <w:t>SANBI</w:t>
            </w:r>
          </w:p>
        </w:tc>
        <w:tc>
          <w:tcPr>
            <w:tcW w:w="6039" w:type="dxa"/>
          </w:tcPr>
          <w:p w14:paraId="09A6593D" w14:textId="77777777" w:rsidR="00174CFE" w:rsidRPr="005E3D50" w:rsidRDefault="00174CFE">
            <w:pPr>
              <w:rPr>
                <w:lang w:val="es-ES"/>
              </w:rPr>
            </w:pPr>
            <w:r w:rsidRPr="005E3D50">
              <w:rPr>
                <w:lang w:val="es-ES"/>
              </w:rPr>
              <w:t>Instituto Nacional de Biodiversidad de Sudáfrica</w:t>
            </w:r>
          </w:p>
        </w:tc>
      </w:tr>
      <w:tr w:rsidR="00174CFE" w:rsidRPr="005E3D50" w14:paraId="657CDD17" w14:textId="77777777" w:rsidTr="009A5927">
        <w:tc>
          <w:tcPr>
            <w:tcW w:w="2977" w:type="dxa"/>
          </w:tcPr>
          <w:p w14:paraId="7BC20A33" w14:textId="77777777" w:rsidR="00174CFE" w:rsidRPr="005E3D50" w:rsidRDefault="00174CFE" w:rsidP="00022CF6">
            <w:pPr>
              <w:rPr>
                <w:lang w:val="es-ES"/>
              </w:rPr>
            </w:pPr>
            <w:r w:rsidRPr="005E3D50">
              <w:rPr>
                <w:lang w:val="es-ES"/>
              </w:rPr>
              <w:t>SCAE CE</w:t>
            </w:r>
          </w:p>
        </w:tc>
        <w:tc>
          <w:tcPr>
            <w:tcW w:w="6039" w:type="dxa"/>
          </w:tcPr>
          <w:p w14:paraId="5E0E4BC0" w14:textId="77777777" w:rsidR="00174CFE" w:rsidRPr="005E3D50" w:rsidRDefault="00174CFE" w:rsidP="00661971">
            <w:pPr>
              <w:rPr>
                <w:lang w:val="es-ES"/>
              </w:rPr>
            </w:pPr>
            <w:r w:rsidRPr="005E3D50">
              <w:rPr>
                <w:lang w:val="es-ES"/>
              </w:rPr>
              <w:t>Sistema de Contabilidad Ambiental y Económica - Contabilidad de los Ecosistemas</w:t>
            </w:r>
          </w:p>
        </w:tc>
      </w:tr>
      <w:tr w:rsidR="00174CFE" w:rsidRPr="005E3D50" w14:paraId="28024880" w14:textId="77777777" w:rsidTr="009A5927">
        <w:tc>
          <w:tcPr>
            <w:tcW w:w="2977" w:type="dxa"/>
          </w:tcPr>
          <w:p w14:paraId="023A9B1E" w14:textId="77777777" w:rsidR="00174CFE" w:rsidRPr="005E3D50" w:rsidRDefault="00174CFE">
            <w:pPr>
              <w:rPr>
                <w:lang w:val="es-ES"/>
              </w:rPr>
            </w:pPr>
            <w:r w:rsidRPr="005E3D50">
              <w:rPr>
                <w:lang w:val="es-ES"/>
              </w:rPr>
              <w:t>SGC</w:t>
            </w:r>
          </w:p>
        </w:tc>
        <w:tc>
          <w:tcPr>
            <w:tcW w:w="6039" w:type="dxa"/>
          </w:tcPr>
          <w:p w14:paraId="1D5D869F" w14:textId="77777777" w:rsidR="00174CFE" w:rsidRPr="005E3D50" w:rsidRDefault="00174CFE">
            <w:pPr>
              <w:rPr>
                <w:lang w:val="es-ES"/>
              </w:rPr>
            </w:pPr>
            <w:r w:rsidRPr="005E3D50">
              <w:rPr>
                <w:lang w:val="es-ES"/>
              </w:rPr>
              <w:t>Convención sobre la Conservación de las Especies Migratorias de Animales Silvestres</w:t>
            </w:r>
          </w:p>
        </w:tc>
      </w:tr>
      <w:tr w:rsidR="00174CFE" w:rsidRPr="005E3D50" w14:paraId="23246E6A" w14:textId="77777777" w:rsidTr="009A5927">
        <w:tc>
          <w:tcPr>
            <w:tcW w:w="2977" w:type="dxa"/>
          </w:tcPr>
          <w:p w14:paraId="7AA40C98" w14:textId="77777777" w:rsidR="00174CFE" w:rsidRPr="005E3D50" w:rsidRDefault="00174CFE">
            <w:pPr>
              <w:rPr>
                <w:lang w:val="es-ES"/>
              </w:rPr>
            </w:pPr>
            <w:r w:rsidRPr="005E3D50">
              <w:rPr>
                <w:lang w:val="es-ES"/>
              </w:rPr>
              <w:t>TIRFAA</w:t>
            </w:r>
          </w:p>
        </w:tc>
        <w:tc>
          <w:tcPr>
            <w:tcW w:w="6039" w:type="dxa"/>
          </w:tcPr>
          <w:p w14:paraId="028428F8" w14:textId="77777777" w:rsidR="00174CFE" w:rsidRPr="005E3D50" w:rsidRDefault="00174CFE">
            <w:pPr>
              <w:rPr>
                <w:lang w:val="es-ES"/>
              </w:rPr>
            </w:pPr>
            <w:r w:rsidRPr="005E3D50">
              <w:rPr>
                <w:lang w:val="es-ES"/>
              </w:rPr>
              <w:t>Tratado Internacional sobre los Recursos Fitogenéticos para la Alimentación y la Agricultura</w:t>
            </w:r>
          </w:p>
        </w:tc>
      </w:tr>
      <w:tr w:rsidR="00174CFE" w:rsidRPr="005E3D50" w14:paraId="0D32B7AE" w14:textId="77777777" w:rsidTr="009A5927">
        <w:tc>
          <w:tcPr>
            <w:tcW w:w="2977" w:type="dxa"/>
          </w:tcPr>
          <w:p w14:paraId="47AC9474" w14:textId="77777777" w:rsidR="00174CFE" w:rsidRPr="005E3D50" w:rsidRDefault="00174CFE">
            <w:pPr>
              <w:rPr>
                <w:lang w:val="es-ES"/>
              </w:rPr>
            </w:pPr>
            <w:r w:rsidRPr="005E3D50">
              <w:rPr>
                <w:lang w:val="es-ES"/>
              </w:rPr>
              <w:t>TNFD</w:t>
            </w:r>
          </w:p>
        </w:tc>
        <w:tc>
          <w:tcPr>
            <w:tcW w:w="6039" w:type="dxa"/>
          </w:tcPr>
          <w:p w14:paraId="42C7FC9C" w14:textId="77777777" w:rsidR="00174CFE" w:rsidRPr="005E3D50" w:rsidRDefault="00174CFE">
            <w:pPr>
              <w:rPr>
                <w:lang w:val="es-ES"/>
              </w:rPr>
            </w:pPr>
            <w:r w:rsidRPr="005E3D50">
              <w:rPr>
                <w:lang w:val="es-ES"/>
              </w:rPr>
              <w:t>Grupo de Trabajo sobre Divulgaciones Financieras Relacionadas con la Naturaleza</w:t>
            </w:r>
          </w:p>
        </w:tc>
      </w:tr>
      <w:tr w:rsidR="00174CFE" w:rsidRPr="005E3D50" w14:paraId="78346C15" w14:textId="77777777" w:rsidTr="009A5927">
        <w:tc>
          <w:tcPr>
            <w:tcW w:w="2977" w:type="dxa"/>
          </w:tcPr>
          <w:p w14:paraId="6DBD3ADE" w14:textId="77777777" w:rsidR="00174CFE" w:rsidRPr="005E3D50" w:rsidRDefault="00174CFE">
            <w:pPr>
              <w:rPr>
                <w:lang w:val="es-ES"/>
              </w:rPr>
            </w:pPr>
            <w:r w:rsidRPr="005E3D50">
              <w:rPr>
                <w:lang w:val="es-ES"/>
              </w:rPr>
              <w:t>UICN</w:t>
            </w:r>
          </w:p>
        </w:tc>
        <w:tc>
          <w:tcPr>
            <w:tcW w:w="6039" w:type="dxa"/>
          </w:tcPr>
          <w:p w14:paraId="0F883A62" w14:textId="77777777" w:rsidR="00174CFE" w:rsidRPr="005E3D50" w:rsidRDefault="00174CFE">
            <w:pPr>
              <w:rPr>
                <w:lang w:val="es-ES"/>
              </w:rPr>
            </w:pPr>
            <w:r w:rsidRPr="005E3D50">
              <w:rPr>
                <w:lang w:val="es-ES"/>
              </w:rPr>
              <w:t>Unión Internacional para la Conservación de la Naturaleza</w:t>
            </w:r>
          </w:p>
        </w:tc>
      </w:tr>
      <w:tr w:rsidR="00174CFE" w:rsidRPr="005E3D50" w14:paraId="0E674C67" w14:textId="77777777" w:rsidTr="009A5927">
        <w:tc>
          <w:tcPr>
            <w:tcW w:w="2977" w:type="dxa"/>
          </w:tcPr>
          <w:p w14:paraId="0E236176" w14:textId="77777777" w:rsidR="00174CFE" w:rsidRPr="005E3D50" w:rsidRDefault="00174CFE">
            <w:pPr>
              <w:rPr>
                <w:lang w:val="es-ES"/>
              </w:rPr>
            </w:pPr>
            <w:r w:rsidRPr="005E3D50">
              <w:rPr>
                <w:lang w:val="es-ES"/>
              </w:rPr>
              <w:t>UNDRR</w:t>
            </w:r>
          </w:p>
        </w:tc>
        <w:tc>
          <w:tcPr>
            <w:tcW w:w="6039" w:type="dxa"/>
          </w:tcPr>
          <w:p w14:paraId="7E5E9AD8" w14:textId="77777777" w:rsidR="00174CFE" w:rsidRPr="005E3D50" w:rsidRDefault="00174CFE">
            <w:pPr>
              <w:rPr>
                <w:lang w:val="es-ES"/>
              </w:rPr>
            </w:pPr>
            <w:r w:rsidRPr="005E3D50">
              <w:rPr>
                <w:lang w:val="es-ES"/>
              </w:rPr>
              <w:t>Oficina de las Naciones Unidas para la Reducción del Riesgo de Desastres</w:t>
            </w:r>
          </w:p>
        </w:tc>
      </w:tr>
      <w:tr w:rsidR="00174CFE" w:rsidRPr="005E3D50" w14:paraId="038B2730" w14:textId="77777777" w:rsidTr="009A5927">
        <w:tc>
          <w:tcPr>
            <w:tcW w:w="2977" w:type="dxa"/>
          </w:tcPr>
          <w:p w14:paraId="2BEACFAE" w14:textId="77777777" w:rsidR="00174CFE" w:rsidRPr="005E3D50" w:rsidRDefault="00174CFE">
            <w:pPr>
              <w:rPr>
                <w:lang w:val="es-ES"/>
              </w:rPr>
            </w:pPr>
            <w:r w:rsidRPr="005E3D50">
              <w:rPr>
                <w:lang w:val="es-ES"/>
              </w:rPr>
              <w:t>UNESCO</w:t>
            </w:r>
          </w:p>
        </w:tc>
        <w:tc>
          <w:tcPr>
            <w:tcW w:w="6039" w:type="dxa"/>
          </w:tcPr>
          <w:p w14:paraId="6A2E0BE4" w14:textId="77777777" w:rsidR="00174CFE" w:rsidRPr="005E3D50" w:rsidRDefault="00174CFE">
            <w:pPr>
              <w:rPr>
                <w:lang w:val="es-ES"/>
              </w:rPr>
            </w:pPr>
            <w:r w:rsidRPr="005E3D50">
              <w:rPr>
                <w:lang w:val="es-ES"/>
              </w:rPr>
              <w:t>Organización de las Naciones Unidas para la Educación, la Ciencia y la Cultura</w:t>
            </w:r>
          </w:p>
        </w:tc>
      </w:tr>
      <w:tr w:rsidR="00174CFE" w:rsidRPr="005E3D50" w14:paraId="27FF660E" w14:textId="77777777" w:rsidTr="009A5927">
        <w:tc>
          <w:tcPr>
            <w:tcW w:w="2977" w:type="dxa"/>
          </w:tcPr>
          <w:p w14:paraId="0C6B0B7F" w14:textId="77777777" w:rsidR="00174CFE" w:rsidRPr="005E3D50" w:rsidRDefault="00174CFE">
            <w:pPr>
              <w:rPr>
                <w:lang w:val="es-ES"/>
              </w:rPr>
            </w:pPr>
            <w:r w:rsidRPr="005E3D50">
              <w:rPr>
                <w:lang w:val="es-ES"/>
              </w:rPr>
              <w:t>VPR</w:t>
            </w:r>
          </w:p>
        </w:tc>
        <w:tc>
          <w:tcPr>
            <w:tcW w:w="6039" w:type="dxa"/>
          </w:tcPr>
          <w:p w14:paraId="01A4BD50" w14:textId="77777777" w:rsidR="00174CFE" w:rsidRPr="005E3D50" w:rsidRDefault="00174CFE">
            <w:pPr>
              <w:rPr>
                <w:lang w:val="es-ES"/>
              </w:rPr>
            </w:pPr>
            <w:r w:rsidRPr="005E3D50">
              <w:rPr>
                <w:lang w:val="es-ES"/>
              </w:rPr>
              <w:t>revisión voluntaria entre pares de la revisión e implementación de las estrategias y planes de acción nacionales en materia de biodiversidad</w:t>
            </w:r>
          </w:p>
        </w:tc>
      </w:tr>
      <w:tr w:rsidR="00174CFE" w:rsidRPr="005E3D50" w14:paraId="095D594F" w14:textId="77777777" w:rsidTr="009A5927">
        <w:tc>
          <w:tcPr>
            <w:tcW w:w="2977" w:type="dxa"/>
          </w:tcPr>
          <w:p w14:paraId="0BFADF36" w14:textId="77777777" w:rsidR="00174CFE" w:rsidRPr="005E3D50" w:rsidRDefault="00174CFE">
            <w:pPr>
              <w:rPr>
                <w:lang w:val="es-ES"/>
              </w:rPr>
            </w:pPr>
            <w:r w:rsidRPr="005E3D50">
              <w:rPr>
                <w:lang w:val="es-ES"/>
              </w:rPr>
              <w:t>WDPCA</w:t>
            </w:r>
          </w:p>
        </w:tc>
        <w:tc>
          <w:tcPr>
            <w:tcW w:w="6039" w:type="dxa"/>
          </w:tcPr>
          <w:p w14:paraId="3251DB78" w14:textId="77777777" w:rsidR="00174CFE" w:rsidRPr="005E3D50" w:rsidRDefault="00174CFE">
            <w:pPr>
              <w:rPr>
                <w:lang w:val="es-ES"/>
              </w:rPr>
            </w:pPr>
            <w:r w:rsidRPr="005E3D50">
              <w:rPr>
                <w:lang w:val="es-ES"/>
              </w:rPr>
              <w:t>Base de Datos Mundial sobre Áreas Protegidas y Conservadas</w:t>
            </w:r>
          </w:p>
        </w:tc>
      </w:tr>
      <w:tr w:rsidR="00174CFE" w:rsidRPr="005E3D50" w14:paraId="4D2F63B2" w14:textId="77777777" w:rsidTr="009A5927">
        <w:tc>
          <w:tcPr>
            <w:tcW w:w="2977" w:type="dxa"/>
          </w:tcPr>
          <w:p w14:paraId="5D37EB33" w14:textId="77777777" w:rsidR="00174CFE" w:rsidRPr="005E3D50" w:rsidRDefault="00174CFE" w:rsidP="00022CF6">
            <w:pPr>
              <w:rPr>
                <w:lang w:val="es-ES"/>
              </w:rPr>
            </w:pPr>
            <w:r w:rsidRPr="005E3D50">
              <w:rPr>
                <w:lang w:val="es-ES"/>
              </w:rPr>
              <w:t>WWF</w:t>
            </w:r>
          </w:p>
        </w:tc>
        <w:tc>
          <w:tcPr>
            <w:tcW w:w="6039" w:type="dxa"/>
          </w:tcPr>
          <w:p w14:paraId="4546EE43" w14:textId="77777777" w:rsidR="00174CFE" w:rsidRPr="005E3D50" w:rsidRDefault="00174CFE" w:rsidP="00022CF6">
            <w:pPr>
              <w:rPr>
                <w:lang w:val="es-ES"/>
              </w:rPr>
            </w:pPr>
            <w:r w:rsidRPr="005E3D50">
              <w:rPr>
                <w:lang w:val="es-ES"/>
              </w:rPr>
              <w:t>Fondo Mundial para la Naturaleza</w:t>
            </w:r>
          </w:p>
        </w:tc>
      </w:tr>
      <w:tr w:rsidR="009A5927" w:rsidRPr="005E3D50" w14:paraId="2454F7CC" w14:textId="77777777" w:rsidTr="009A5927">
        <w:tc>
          <w:tcPr>
            <w:tcW w:w="2977" w:type="dxa"/>
          </w:tcPr>
          <w:p w14:paraId="0F2E4A5A" w14:textId="558707B5" w:rsidR="009A5927" w:rsidRPr="005E3D50" w:rsidRDefault="009A5927" w:rsidP="00022CF6">
            <w:pPr>
              <w:rPr>
                <w:lang w:val="es-ES"/>
              </w:rPr>
            </w:pPr>
          </w:p>
        </w:tc>
        <w:tc>
          <w:tcPr>
            <w:tcW w:w="6039" w:type="dxa"/>
          </w:tcPr>
          <w:p w14:paraId="7DE70FC5" w14:textId="3BD0D4F8" w:rsidR="009A5927" w:rsidRPr="005E3D50" w:rsidRDefault="009A5927" w:rsidP="00022CF6">
            <w:pPr>
              <w:rPr>
                <w:lang w:val="es-ES"/>
              </w:rPr>
            </w:pPr>
          </w:p>
        </w:tc>
      </w:tr>
      <w:tr w:rsidR="009A5927" w:rsidRPr="005E3D50" w14:paraId="663BC097" w14:textId="77777777" w:rsidTr="009A5927">
        <w:tc>
          <w:tcPr>
            <w:tcW w:w="2977" w:type="dxa"/>
          </w:tcPr>
          <w:p w14:paraId="6AB31111" w14:textId="7932FCDA" w:rsidR="009A5927" w:rsidRPr="005E3D50" w:rsidRDefault="009A5927" w:rsidP="00F10C40">
            <w:pPr>
              <w:rPr>
                <w:lang w:val="es-ES"/>
              </w:rPr>
            </w:pPr>
          </w:p>
        </w:tc>
        <w:tc>
          <w:tcPr>
            <w:tcW w:w="6039" w:type="dxa"/>
          </w:tcPr>
          <w:p w14:paraId="72A2AFB6" w14:textId="383F8DE3" w:rsidR="009A5927" w:rsidRPr="005E3D50" w:rsidRDefault="009A5927" w:rsidP="00F10C40">
            <w:pPr>
              <w:rPr>
                <w:lang w:val="es-ES"/>
              </w:rPr>
            </w:pPr>
          </w:p>
        </w:tc>
      </w:tr>
      <w:tr w:rsidR="009A5927" w:rsidRPr="005E3D50" w14:paraId="3B9D912E" w14:textId="77777777" w:rsidTr="009A5927">
        <w:tc>
          <w:tcPr>
            <w:tcW w:w="2977" w:type="dxa"/>
          </w:tcPr>
          <w:p w14:paraId="1D585B37" w14:textId="11406BCA" w:rsidR="009A5927" w:rsidRPr="005E3D50" w:rsidRDefault="009A5927" w:rsidP="00F10C40">
            <w:pPr>
              <w:rPr>
                <w:lang w:val="es-ES"/>
              </w:rPr>
            </w:pPr>
          </w:p>
        </w:tc>
        <w:tc>
          <w:tcPr>
            <w:tcW w:w="6039" w:type="dxa"/>
          </w:tcPr>
          <w:p w14:paraId="61B01835" w14:textId="341B2AA9" w:rsidR="009A5927" w:rsidRPr="005E3D50" w:rsidRDefault="009A5927" w:rsidP="00F10C40">
            <w:pPr>
              <w:rPr>
                <w:lang w:val="es-ES"/>
              </w:rPr>
            </w:pPr>
          </w:p>
        </w:tc>
      </w:tr>
      <w:tr w:rsidR="009A5927" w:rsidRPr="005E3D50" w14:paraId="277E7131" w14:textId="77777777" w:rsidTr="009A5927">
        <w:tc>
          <w:tcPr>
            <w:tcW w:w="2977" w:type="dxa"/>
          </w:tcPr>
          <w:p w14:paraId="26D76914" w14:textId="4CA82803" w:rsidR="009A5927" w:rsidRPr="005E3D50" w:rsidRDefault="009A5927" w:rsidP="00F10C40">
            <w:pPr>
              <w:rPr>
                <w:lang w:val="es-ES"/>
              </w:rPr>
            </w:pPr>
          </w:p>
        </w:tc>
        <w:tc>
          <w:tcPr>
            <w:tcW w:w="6039" w:type="dxa"/>
          </w:tcPr>
          <w:p w14:paraId="30E6F62A" w14:textId="6F73E86A" w:rsidR="009A5927" w:rsidRPr="005E3D50" w:rsidRDefault="009A5927" w:rsidP="00F10C40">
            <w:pPr>
              <w:rPr>
                <w:lang w:val="es-ES"/>
              </w:rPr>
            </w:pPr>
          </w:p>
        </w:tc>
      </w:tr>
    </w:tbl>
    <w:p w14:paraId="6EAFBD3F" w14:textId="77777777" w:rsidR="00951D07" w:rsidRPr="005E3D50" w:rsidRDefault="00951D07">
      <w:pPr>
        <w:rPr>
          <w:rFonts w:asciiTheme="majorHAnsi" w:eastAsiaTheme="majorEastAsia" w:hAnsiTheme="majorHAnsi" w:cstheme="majorBidi"/>
          <w:color w:val="0F4761" w:themeColor="accent1" w:themeShade="BF"/>
          <w:sz w:val="40"/>
          <w:szCs w:val="40"/>
          <w:lang w:val="es-ES"/>
        </w:rPr>
      </w:pPr>
      <w:r w:rsidRPr="005E3D50">
        <w:rPr>
          <w:lang w:val="es-ES"/>
        </w:rPr>
        <w:lastRenderedPageBreak/>
        <w:br w:type="page"/>
      </w:r>
    </w:p>
    <w:p w14:paraId="44BED1FD" w14:textId="73196CFD" w:rsidR="002F495C" w:rsidRPr="005E3D50" w:rsidRDefault="00F473DB" w:rsidP="00F473DB">
      <w:pPr>
        <w:pStyle w:val="Heading1"/>
        <w:rPr>
          <w:lang w:val="es-ES"/>
        </w:rPr>
      </w:pPr>
      <w:bookmarkStart w:id="9" w:name="_Toc235821031"/>
      <w:bookmarkStart w:id="10" w:name="_Toc239069176"/>
      <w:bookmarkStart w:id="11" w:name="_Toc242882954"/>
      <w:r w:rsidRPr="005E3D50">
        <w:rPr>
          <w:lang w:val="es-ES"/>
        </w:rPr>
        <w:lastRenderedPageBreak/>
        <w:t>Resumen de las conclusiones y mensajes principales del informe mundial</w:t>
      </w:r>
      <w:bookmarkEnd w:id="9"/>
      <w:bookmarkEnd w:id="10"/>
      <w:bookmarkEnd w:id="11"/>
    </w:p>
    <w:p w14:paraId="39E2CAC1" w14:textId="77777777" w:rsidR="00A604A6" w:rsidRPr="005E3D50" w:rsidRDefault="00A604A6" w:rsidP="00230AA3">
      <w:pPr>
        <w:spacing w:before="120" w:after="120"/>
        <w:ind w:left="567"/>
        <w:rPr>
          <w:rFonts w:ascii="Aptos" w:eastAsia="Times New Roman" w:hAnsi="Aptos"/>
          <w:b/>
          <w:bCs/>
          <w:u w:val="single"/>
          <w:lang w:val="es-ES"/>
        </w:rPr>
      </w:pPr>
    </w:p>
    <w:p w14:paraId="32276EC1" w14:textId="77777777" w:rsidR="00DF4680" w:rsidRPr="005E3D50" w:rsidRDefault="00DF4680" w:rsidP="00DF4680">
      <w:pPr>
        <w:spacing w:before="120" w:after="120"/>
        <w:ind w:left="567"/>
        <w:rPr>
          <w:rFonts w:ascii="Aptos" w:hAnsi="Aptos"/>
          <w:lang w:val="es-ES"/>
        </w:rPr>
      </w:pPr>
      <w:r w:rsidRPr="005E3D50">
        <w:rPr>
          <w:rFonts w:ascii="Aptos" w:hAnsi="Aptos"/>
          <w:b/>
          <w:u w:val="single"/>
          <w:lang w:val="es-ES"/>
        </w:rPr>
        <w:t>Mensaje general</w:t>
      </w:r>
      <w:r w:rsidRPr="005E3D50">
        <w:rPr>
          <w:rFonts w:ascii="Aptos" w:hAnsi="Aptos"/>
          <w:b/>
          <w:lang w:val="es-ES"/>
        </w:rPr>
        <w:t>. El Marco Mundial de Biodiversidad de Kunming-Montreal ha generado una participación mundial sin precedentes y ha impulsado la acción, la innovación, la colaboración y experiencias de aprendizaje en relación con todas sus 23 metas. Sin embargo, a menos que la implementación colectiva se acelere rápidamente, no se cumplirán las metas y la misión para 2030. Aunque aún es demasiado pronto para detectar cambios en los resultados en materia de biodiversidad, el lento ritmo de los progresos actuales supone un riesgo a largo plazo, ya que la consecución de las metas y la misión para 2030 constituye la base para encauzar al mundo hacia los objetivos y la visión para 2050.</w:t>
      </w:r>
    </w:p>
    <w:p w14:paraId="2DD0A147" w14:textId="77777777" w:rsidR="00DF4680" w:rsidRPr="005E3D50" w:rsidRDefault="00DF4680" w:rsidP="00DF4680">
      <w:pPr>
        <w:tabs>
          <w:tab w:val="left" w:pos="567"/>
          <w:tab w:val="left" w:pos="1134"/>
          <w:tab w:val="left" w:pos="1701"/>
          <w:tab w:val="left" w:pos="2268"/>
          <w:tab w:val="left" w:pos="2835"/>
          <w:tab w:val="left" w:pos="3402"/>
        </w:tabs>
        <w:spacing w:after="120" w:line="240" w:lineRule="auto"/>
        <w:ind w:left="567"/>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 xml:space="preserve">Desde que se adoptó el Marco en 2022, muchas Partes se han comprometido a establecer y han adoptado metas nacionales, además de elaborar estrategias y planes, y muchas continúan trabajando en relación con esos instrumentos. En general, las Partes han dado pasos sustanciales en </w:t>
      </w:r>
      <w:proofErr w:type="spellStart"/>
      <w:r w:rsidRPr="005E3D50">
        <w:rPr>
          <w:rFonts w:ascii="Aptos" w:eastAsia="SimSun" w:hAnsi="Aptos" w:cs="Times New Roman"/>
          <w:kern w:val="0"/>
          <w:szCs w:val="22"/>
          <w:lang w:val="es-ES"/>
          <w14:ligatures w14:val="none"/>
        </w:rPr>
        <w:t>pos</w:t>
      </w:r>
      <w:proofErr w:type="spellEnd"/>
      <w:r w:rsidRPr="005E3D50">
        <w:rPr>
          <w:rFonts w:ascii="Aptos" w:eastAsia="SimSun" w:hAnsi="Aptos" w:cs="Times New Roman"/>
          <w:kern w:val="0"/>
          <w:szCs w:val="22"/>
          <w:lang w:val="es-ES"/>
          <w14:ligatures w14:val="none"/>
        </w:rPr>
        <w:t xml:space="preserve"> de la implementación. Asimismo, muchos actores distintos de los Gobiernos nacionales —entre ellos los pueblos indígenas y las comunidades locales, las mujeres, la juventud, los gobiernos subnacionales, las ciudades y otras autoridades locales, organizaciones intergubernamentales, las secretarías de otros acuerdos ambientales multilaterales, organizaciones no gubernamentales, organismos de investigación, el sector empresarial y financiero y representantes de sectores relacionados con la biodiversidad o que dependen de ella— han asumido compromisos y han adoptado medidas en apoyo de la implementación del Marco.</w:t>
      </w:r>
    </w:p>
    <w:p w14:paraId="37C7FF5A" w14:textId="77777777" w:rsidR="00DF4680" w:rsidRPr="005E3D50" w:rsidRDefault="00DF4680" w:rsidP="00DF4680">
      <w:pPr>
        <w:tabs>
          <w:tab w:val="left" w:pos="567"/>
          <w:tab w:val="left" w:pos="1134"/>
          <w:tab w:val="left" w:pos="1701"/>
          <w:tab w:val="left" w:pos="2268"/>
          <w:tab w:val="left" w:pos="2835"/>
          <w:tab w:val="left" w:pos="3402"/>
        </w:tabs>
        <w:spacing w:after="120" w:line="259" w:lineRule="auto"/>
        <w:ind w:left="567"/>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Aunque las Partes y otros actores han adoptado medidas para abordar todas las 23 metas del Marco, ninguna de las metas presenta un panorama totalmente positivo. Los datos disponibles indican que existen deficiencias en los progresos colectivos realizados y que hay obstáculos que dificultan el progreso (véase la figura 1). Si no se abordan con urgencia estas deficiencias y obstáculos, no será posible cumplir las metas y la misión para 2030, lo que, por ende, pone en peligro la consecución de los objetivos y la visión para 2050.</w:t>
      </w:r>
    </w:p>
    <w:p w14:paraId="0E9C0261" w14:textId="77777777" w:rsidR="00DF4680" w:rsidRPr="005E3D50" w:rsidRDefault="00DF4680" w:rsidP="00DF4680">
      <w:pPr>
        <w:tabs>
          <w:tab w:val="left" w:pos="567"/>
          <w:tab w:val="left" w:pos="1134"/>
          <w:tab w:val="left" w:pos="1701"/>
          <w:tab w:val="left" w:pos="2268"/>
          <w:tab w:val="left" w:pos="2835"/>
          <w:tab w:val="left" w:pos="3402"/>
        </w:tabs>
        <w:spacing w:after="120" w:line="259" w:lineRule="auto"/>
        <w:ind w:left="567"/>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 xml:space="preserve">Se observan dos deficiencias claras en los progresos. En primer lugar, el alcance colectivo y las medidas previstas relacionadas con las metas nacionales establecidas por las Partes aún no reflejan plenamente el alcance y el nivel de ambición de las metas mundiales del Marco (mensaje principal 1); específicamente, no todos los elementos de las 23 metas se abordan adecuadamente, mientras que </w:t>
      </w:r>
      <w:r w:rsidRPr="005E3D50">
        <w:rPr>
          <w:rFonts w:ascii="Aptos" w:eastAsia="SimSun" w:hAnsi="Aptos" w:cs="Times New Roman"/>
          <w:kern w:val="0"/>
          <w:szCs w:val="22"/>
          <w:lang w:val="es-ES"/>
          <w14:ligatures w14:val="none"/>
        </w:rPr>
        <w:lastRenderedPageBreak/>
        <w:t>los niveles de los compromisos cuantitativos son inferiores a aquellos de las metas mundiales.</w:t>
      </w:r>
    </w:p>
    <w:p w14:paraId="1213FF2F" w14:textId="77777777" w:rsidR="00DF4680" w:rsidRPr="005E3D50" w:rsidRDefault="00DF4680" w:rsidP="00DF4680">
      <w:pPr>
        <w:tabs>
          <w:tab w:val="left" w:pos="567"/>
          <w:tab w:val="left" w:pos="1134"/>
          <w:tab w:val="left" w:pos="1701"/>
          <w:tab w:val="left" w:pos="2268"/>
          <w:tab w:val="left" w:pos="2835"/>
          <w:tab w:val="left" w:pos="3402"/>
        </w:tabs>
        <w:spacing w:after="120" w:line="259" w:lineRule="auto"/>
        <w:ind w:left="567"/>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En segundo lugar, el ritmo de los avances en la aplicación de medidas tendientes a alcanzar las metas para 2030 no es suficiente en el conjunto del Marco. En concreto, los progresos son desiguales entre las distintas metas, quedando especialmente rezagadas aquellas que abordan los impulsores de la pérdida de diversidad biológica; son desiguales entre los distintos ecosistemas, ya que los ecosistemas marinos, costeros y de aguas continentales presentan carencias sistemáticas en cuanto a la cobertura; y son débiles en lo que respecta a las cuestiones transversales y las consideraciones para la implementación del Marco (esas consideraciones se detallan en la sección C del Marco).</w:t>
      </w:r>
    </w:p>
    <w:p w14:paraId="24316D8A" w14:textId="77777777" w:rsidR="00DF4680" w:rsidRPr="005E3D50" w:rsidRDefault="00DF4680" w:rsidP="00DF4680">
      <w:pPr>
        <w:tabs>
          <w:tab w:val="left" w:pos="567"/>
          <w:tab w:val="left" w:pos="1134"/>
          <w:tab w:val="left" w:pos="1701"/>
          <w:tab w:val="left" w:pos="2268"/>
          <w:tab w:val="left" w:pos="2835"/>
          <w:tab w:val="left" w:pos="3402"/>
        </w:tabs>
        <w:spacing w:after="120" w:line="259" w:lineRule="auto"/>
        <w:ind w:left="567"/>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En lo que respecta a los obstáculos que dificultan el progreso, las Partes han señalado deficiencias en cuanto a la escala y la provisión oportuna de los medios de implementación del Marco, entre ellos recursos financieros, creación y desarrollo de capacidad, cooperación científica y técnica, acceso a la tecnología y su transferencia e intercambio de conocimientos. Además, las Partes también señalaron con frecuencia obstáculos relacionados con la coherencia entre las políticas y la coordinación entre sectores y niveles de gobierno; la participación e implicación de los titulares de derechos y otros actores distintos de los Gobiernos nacionales, incluidos los sectores y actores con repercusiones importantes en la biodiversidad, y las carencias de datos y conocimientos. Esos obstáculos pueden dar lugar a capacidades desiguales y crear limitaciones técnicas y financieras específicas para todas las Partes, en particular las Partes que son países en desarrollo. Es probable que esas limitaciones sean aún más apremiantes para los países menos adelantados y los pequeños Estados insulares en desarrollo; no obstante, un porcentaje menor de Partes que son pequeños Estados insulares en desarrollo presentaron sus informes nacionales a tiempo para que fueran incluidos en el informe mundial y, por lo tanto, sus experiencias están infrarrepresentadas en el análisis.</w:t>
      </w:r>
    </w:p>
    <w:p w14:paraId="17441B35" w14:textId="77777777" w:rsidR="00DF4680" w:rsidRPr="005E3D50" w:rsidRDefault="00DF4680" w:rsidP="00DF4680">
      <w:pPr>
        <w:keepNext/>
        <w:spacing w:after="200" w:line="240" w:lineRule="auto"/>
        <w:rPr>
          <w:rFonts w:eastAsiaTheme="minorEastAsia"/>
          <w:iCs/>
          <w:color w:val="0E2841" w:themeColor="text2"/>
          <w:kern w:val="0"/>
          <w:sz w:val="20"/>
          <w:szCs w:val="20"/>
          <w:lang w:val="es-ES" w:eastAsia="ja-JP"/>
          <w14:ligatures w14:val="none"/>
        </w:rPr>
      </w:pPr>
      <w:bookmarkStart w:id="12" w:name="_Ref238130593"/>
      <w:r w:rsidRPr="005E3D50">
        <w:rPr>
          <w:rFonts w:eastAsiaTheme="minorEastAsia"/>
          <w:iCs/>
          <w:color w:val="0E2841" w:themeColor="text2"/>
          <w:kern w:val="0"/>
          <w:sz w:val="20"/>
          <w:szCs w:val="18"/>
          <w:lang w:val="es-ES" w:eastAsia="ja-JP"/>
          <w14:ligatures w14:val="none"/>
        </w:rPr>
        <w:lastRenderedPageBreak/>
        <w:t>Figura 1</w:t>
      </w:r>
      <w:bookmarkEnd w:id="12"/>
    </w:p>
    <w:p w14:paraId="2AD46C17" w14:textId="77777777" w:rsidR="00DF4680" w:rsidRPr="005E3D50" w:rsidRDefault="00DF4680" w:rsidP="00DF4680">
      <w:pPr>
        <w:keepNext/>
        <w:spacing w:after="200" w:line="240" w:lineRule="auto"/>
        <w:rPr>
          <w:rFonts w:eastAsiaTheme="minorEastAsia"/>
          <w:b/>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de los progresos colectivos en la consecución de cada una de las metas del Marco</w:t>
      </w:r>
    </w:p>
    <w:tbl>
      <w:tblPr>
        <w:tblStyle w:val="TableGrid2"/>
        <w:tblpPr w:leftFromText="180" w:rightFromText="180" w:vertAnchor="text" w:horzAnchor="page" w:tblpX="5791" w:tblpY="-31"/>
        <w:tblW w:w="0" w:type="auto"/>
        <w:tblLook w:val="04A0" w:firstRow="1" w:lastRow="0" w:firstColumn="1" w:lastColumn="0" w:noHBand="0" w:noVBand="1"/>
      </w:tblPr>
      <w:tblGrid>
        <w:gridCol w:w="1205"/>
        <w:gridCol w:w="1389"/>
      </w:tblGrid>
      <w:tr w:rsidR="00204503" w:rsidRPr="00D40F66" w14:paraId="177BB252" w14:textId="77777777" w:rsidTr="00204503">
        <w:tc>
          <w:tcPr>
            <w:tcW w:w="2594" w:type="dxa"/>
            <w:gridSpan w:val="2"/>
          </w:tcPr>
          <w:p w14:paraId="0702F4F3" w14:textId="2EDCA1EA" w:rsidR="00204503" w:rsidRPr="00C05F0F" w:rsidRDefault="007533CC" w:rsidP="00C05F0F">
            <w:pPr>
              <w:rPr>
                <w:rFonts w:ascii="Aptos" w:hAnsi="Aptos"/>
                <w:sz w:val="20"/>
                <w:szCs w:val="20"/>
                <w:lang w:val="es-ES"/>
              </w:rPr>
            </w:pPr>
            <w:r w:rsidRPr="00C05F0F">
              <w:rPr>
                <w:rFonts w:ascii="Aptos" w:hAnsi="Aptos"/>
                <w:sz w:val="20"/>
                <w:szCs w:val="20"/>
                <w:lang w:val="es-ES"/>
              </w:rPr>
              <w:t>Figura</w:t>
            </w:r>
            <w:r w:rsidR="00C05F0F">
              <w:rPr>
                <w:rFonts w:ascii="Aptos" w:hAnsi="Aptos"/>
                <w:sz w:val="20"/>
                <w:szCs w:val="20"/>
                <w:lang w:val="es-ES"/>
              </w:rPr>
              <w:t xml:space="preserve"> 1</w:t>
            </w:r>
          </w:p>
        </w:tc>
      </w:tr>
      <w:tr w:rsidR="00204503" w:rsidRPr="00D40F66" w14:paraId="11A142AE" w14:textId="77777777" w:rsidTr="00204503">
        <w:tc>
          <w:tcPr>
            <w:tcW w:w="1205" w:type="dxa"/>
          </w:tcPr>
          <w:p w14:paraId="7F74B56C" w14:textId="77777777" w:rsidR="00204503" w:rsidRPr="00C05F0F" w:rsidRDefault="00204503" w:rsidP="00C05F0F">
            <w:pPr>
              <w:rPr>
                <w:rFonts w:ascii="Aptos" w:hAnsi="Aptos"/>
                <w:sz w:val="20"/>
                <w:szCs w:val="20"/>
                <w:lang w:val="es-ES"/>
              </w:rPr>
            </w:pPr>
            <w:r w:rsidRPr="00C05F0F">
              <w:rPr>
                <w:rFonts w:ascii="Aptos" w:hAnsi="Aptos"/>
                <w:sz w:val="20"/>
                <w:szCs w:val="20"/>
                <w:lang w:val="es-ES"/>
              </w:rPr>
              <w:t xml:space="preserve">English </w:t>
            </w:r>
          </w:p>
        </w:tc>
        <w:tc>
          <w:tcPr>
            <w:tcW w:w="1389" w:type="dxa"/>
          </w:tcPr>
          <w:p w14:paraId="3B60F4EF" w14:textId="492A74E0" w:rsidR="00204503" w:rsidRPr="00C05F0F" w:rsidRDefault="007371B4" w:rsidP="00C05F0F">
            <w:pPr>
              <w:rPr>
                <w:rFonts w:ascii="Aptos" w:hAnsi="Aptos"/>
                <w:sz w:val="20"/>
                <w:szCs w:val="20"/>
                <w:lang w:val="es-ES"/>
              </w:rPr>
            </w:pPr>
            <w:r w:rsidRPr="00C05F0F">
              <w:rPr>
                <w:rFonts w:ascii="Aptos" w:hAnsi="Aptos"/>
                <w:sz w:val="20"/>
                <w:szCs w:val="20"/>
                <w:lang w:val="es-ES"/>
              </w:rPr>
              <w:t>Español</w:t>
            </w:r>
          </w:p>
        </w:tc>
      </w:tr>
      <w:tr w:rsidR="00204503" w:rsidRPr="00D40F66" w14:paraId="7234748D" w14:textId="77777777" w:rsidTr="00204503">
        <w:tc>
          <w:tcPr>
            <w:tcW w:w="1205" w:type="dxa"/>
          </w:tcPr>
          <w:p w14:paraId="7287B61E"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w:t>
            </w:r>
          </w:p>
        </w:tc>
        <w:tc>
          <w:tcPr>
            <w:tcW w:w="1389" w:type="dxa"/>
          </w:tcPr>
          <w:p w14:paraId="5B62A3D8" w14:textId="77777777" w:rsidR="00204503" w:rsidRPr="00D40F66" w:rsidRDefault="00204503" w:rsidP="00204503">
            <w:pPr>
              <w:rPr>
                <w:rFonts w:ascii="Aptos" w:hAnsi="Aptos"/>
                <w:sz w:val="20"/>
                <w:szCs w:val="20"/>
                <w:lang w:val="es-ES"/>
              </w:rPr>
            </w:pPr>
            <w:r w:rsidRPr="00D40F66">
              <w:rPr>
                <w:sz w:val="20"/>
                <w:szCs w:val="20"/>
                <w:lang w:val="es-ES"/>
              </w:rPr>
              <w:t>Meta</w:t>
            </w:r>
          </w:p>
        </w:tc>
      </w:tr>
      <w:tr w:rsidR="00204503" w:rsidRPr="00D40F66" w14:paraId="61240E56" w14:textId="77777777" w:rsidTr="00204503">
        <w:tc>
          <w:tcPr>
            <w:tcW w:w="1205" w:type="dxa"/>
          </w:tcPr>
          <w:p w14:paraId="61683251"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Overall score</w:t>
            </w:r>
          </w:p>
        </w:tc>
        <w:tc>
          <w:tcPr>
            <w:tcW w:w="1389" w:type="dxa"/>
          </w:tcPr>
          <w:p w14:paraId="755F393F" w14:textId="77777777" w:rsidR="00204503" w:rsidRPr="00D40F66" w:rsidRDefault="00204503" w:rsidP="00204503">
            <w:pPr>
              <w:rPr>
                <w:rFonts w:ascii="Aptos" w:hAnsi="Aptos"/>
                <w:sz w:val="20"/>
                <w:szCs w:val="20"/>
                <w:lang w:val="es-ES"/>
              </w:rPr>
            </w:pPr>
            <w:r w:rsidRPr="00D40F66">
              <w:rPr>
                <w:sz w:val="20"/>
                <w:szCs w:val="20"/>
                <w:lang w:val="es-ES"/>
              </w:rPr>
              <w:t>Puntuación general</w:t>
            </w:r>
          </w:p>
        </w:tc>
      </w:tr>
      <w:tr w:rsidR="00204503" w:rsidRPr="00D40F66" w14:paraId="39A6758E" w14:textId="77777777" w:rsidTr="00204503">
        <w:tc>
          <w:tcPr>
            <w:tcW w:w="1205" w:type="dxa"/>
          </w:tcPr>
          <w:p w14:paraId="3F46DB2D"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w:t>
            </w:r>
          </w:p>
        </w:tc>
        <w:tc>
          <w:tcPr>
            <w:tcW w:w="1389" w:type="dxa"/>
          </w:tcPr>
          <w:p w14:paraId="1C531056" w14:textId="77777777" w:rsidR="00204503" w:rsidRPr="00D40F66" w:rsidRDefault="00204503" w:rsidP="00204503">
            <w:pPr>
              <w:rPr>
                <w:rFonts w:ascii="Aptos" w:hAnsi="Aptos"/>
                <w:sz w:val="20"/>
                <w:szCs w:val="20"/>
                <w:lang w:val="es-ES"/>
              </w:rPr>
            </w:pPr>
            <w:r w:rsidRPr="00D40F66">
              <w:rPr>
                <w:sz w:val="20"/>
                <w:szCs w:val="20"/>
                <w:lang w:val="es-ES"/>
              </w:rPr>
              <w:t>Meta 1</w:t>
            </w:r>
          </w:p>
        </w:tc>
      </w:tr>
      <w:tr w:rsidR="00204503" w:rsidRPr="00D40F66" w14:paraId="4D5B0557" w14:textId="77777777" w:rsidTr="00204503">
        <w:tc>
          <w:tcPr>
            <w:tcW w:w="1205" w:type="dxa"/>
          </w:tcPr>
          <w:p w14:paraId="41F898E9"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2</w:t>
            </w:r>
          </w:p>
        </w:tc>
        <w:tc>
          <w:tcPr>
            <w:tcW w:w="1389" w:type="dxa"/>
          </w:tcPr>
          <w:p w14:paraId="790EF1B1" w14:textId="77777777" w:rsidR="00204503" w:rsidRPr="00D40F66" w:rsidRDefault="00204503" w:rsidP="00204503">
            <w:pPr>
              <w:rPr>
                <w:rFonts w:ascii="Aptos" w:hAnsi="Aptos"/>
                <w:sz w:val="20"/>
                <w:szCs w:val="20"/>
                <w:lang w:val="es-ES"/>
              </w:rPr>
            </w:pPr>
            <w:r w:rsidRPr="00D40F66">
              <w:rPr>
                <w:sz w:val="20"/>
                <w:szCs w:val="20"/>
                <w:lang w:val="es-ES"/>
              </w:rPr>
              <w:t>Meta 2</w:t>
            </w:r>
          </w:p>
        </w:tc>
      </w:tr>
      <w:tr w:rsidR="00204503" w:rsidRPr="00D40F66" w14:paraId="0CBA0295" w14:textId="77777777" w:rsidTr="00204503">
        <w:tc>
          <w:tcPr>
            <w:tcW w:w="1205" w:type="dxa"/>
          </w:tcPr>
          <w:p w14:paraId="37E8C621"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3</w:t>
            </w:r>
          </w:p>
        </w:tc>
        <w:tc>
          <w:tcPr>
            <w:tcW w:w="1389" w:type="dxa"/>
          </w:tcPr>
          <w:p w14:paraId="7805AC90" w14:textId="77777777" w:rsidR="00204503" w:rsidRPr="00D40F66" w:rsidRDefault="00204503" w:rsidP="00204503">
            <w:pPr>
              <w:rPr>
                <w:rFonts w:ascii="Aptos" w:hAnsi="Aptos"/>
                <w:sz w:val="20"/>
                <w:szCs w:val="20"/>
                <w:lang w:val="es-ES"/>
              </w:rPr>
            </w:pPr>
            <w:r w:rsidRPr="00D40F66">
              <w:rPr>
                <w:sz w:val="20"/>
                <w:szCs w:val="20"/>
                <w:lang w:val="es-ES"/>
              </w:rPr>
              <w:t>Meta 3</w:t>
            </w:r>
          </w:p>
        </w:tc>
      </w:tr>
      <w:tr w:rsidR="00204503" w:rsidRPr="00D40F66" w14:paraId="4856D25B" w14:textId="77777777" w:rsidTr="00204503">
        <w:tc>
          <w:tcPr>
            <w:tcW w:w="1205" w:type="dxa"/>
          </w:tcPr>
          <w:p w14:paraId="5701C1C1"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4</w:t>
            </w:r>
          </w:p>
        </w:tc>
        <w:tc>
          <w:tcPr>
            <w:tcW w:w="1389" w:type="dxa"/>
          </w:tcPr>
          <w:p w14:paraId="7972E8B8" w14:textId="77777777" w:rsidR="00204503" w:rsidRPr="00D40F66" w:rsidRDefault="00204503" w:rsidP="00204503">
            <w:pPr>
              <w:rPr>
                <w:rFonts w:ascii="Aptos" w:hAnsi="Aptos"/>
                <w:sz w:val="20"/>
                <w:szCs w:val="20"/>
                <w:lang w:val="es-ES"/>
              </w:rPr>
            </w:pPr>
            <w:r w:rsidRPr="00D40F66">
              <w:rPr>
                <w:sz w:val="20"/>
                <w:szCs w:val="20"/>
                <w:lang w:val="es-ES"/>
              </w:rPr>
              <w:t>Meta 4</w:t>
            </w:r>
          </w:p>
        </w:tc>
      </w:tr>
      <w:tr w:rsidR="00204503" w:rsidRPr="00D40F66" w14:paraId="2596F535" w14:textId="77777777" w:rsidTr="00204503">
        <w:tc>
          <w:tcPr>
            <w:tcW w:w="1205" w:type="dxa"/>
          </w:tcPr>
          <w:p w14:paraId="45D0BC1C"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5</w:t>
            </w:r>
          </w:p>
        </w:tc>
        <w:tc>
          <w:tcPr>
            <w:tcW w:w="1389" w:type="dxa"/>
          </w:tcPr>
          <w:p w14:paraId="73CD49D9" w14:textId="77777777" w:rsidR="00204503" w:rsidRPr="00D40F66" w:rsidRDefault="00204503" w:rsidP="00204503">
            <w:pPr>
              <w:rPr>
                <w:rFonts w:ascii="Aptos" w:hAnsi="Aptos"/>
                <w:sz w:val="20"/>
                <w:szCs w:val="20"/>
                <w:lang w:val="es-ES"/>
              </w:rPr>
            </w:pPr>
            <w:r w:rsidRPr="00D40F66">
              <w:rPr>
                <w:sz w:val="20"/>
                <w:szCs w:val="20"/>
                <w:lang w:val="es-ES"/>
              </w:rPr>
              <w:t>Meta 5</w:t>
            </w:r>
          </w:p>
        </w:tc>
      </w:tr>
      <w:tr w:rsidR="00204503" w:rsidRPr="00D40F66" w14:paraId="1CC9C74D" w14:textId="77777777" w:rsidTr="00204503">
        <w:tc>
          <w:tcPr>
            <w:tcW w:w="1205" w:type="dxa"/>
          </w:tcPr>
          <w:p w14:paraId="2B49B0F8"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6</w:t>
            </w:r>
          </w:p>
        </w:tc>
        <w:tc>
          <w:tcPr>
            <w:tcW w:w="1389" w:type="dxa"/>
          </w:tcPr>
          <w:p w14:paraId="4516F535" w14:textId="77777777" w:rsidR="00204503" w:rsidRPr="00D40F66" w:rsidRDefault="00204503" w:rsidP="00204503">
            <w:pPr>
              <w:rPr>
                <w:rFonts w:ascii="Aptos" w:hAnsi="Aptos"/>
                <w:sz w:val="20"/>
                <w:szCs w:val="20"/>
                <w:lang w:val="es-ES"/>
              </w:rPr>
            </w:pPr>
            <w:r w:rsidRPr="00D40F66">
              <w:rPr>
                <w:sz w:val="20"/>
                <w:szCs w:val="20"/>
                <w:lang w:val="es-ES"/>
              </w:rPr>
              <w:t>Meta 6</w:t>
            </w:r>
          </w:p>
        </w:tc>
      </w:tr>
      <w:tr w:rsidR="00204503" w:rsidRPr="00D40F66" w14:paraId="1244EB18" w14:textId="77777777" w:rsidTr="00204503">
        <w:tc>
          <w:tcPr>
            <w:tcW w:w="1205" w:type="dxa"/>
          </w:tcPr>
          <w:p w14:paraId="03EF8EAC"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7</w:t>
            </w:r>
          </w:p>
        </w:tc>
        <w:tc>
          <w:tcPr>
            <w:tcW w:w="1389" w:type="dxa"/>
          </w:tcPr>
          <w:p w14:paraId="18410AB8" w14:textId="77777777" w:rsidR="00204503" w:rsidRPr="00D40F66" w:rsidRDefault="00204503" w:rsidP="00204503">
            <w:pPr>
              <w:rPr>
                <w:rFonts w:ascii="Aptos" w:hAnsi="Aptos"/>
                <w:sz w:val="20"/>
                <w:szCs w:val="20"/>
                <w:lang w:val="es-ES"/>
              </w:rPr>
            </w:pPr>
            <w:r w:rsidRPr="00D40F66">
              <w:rPr>
                <w:sz w:val="20"/>
                <w:szCs w:val="20"/>
                <w:lang w:val="es-ES"/>
              </w:rPr>
              <w:t>Meta 7</w:t>
            </w:r>
          </w:p>
        </w:tc>
      </w:tr>
      <w:tr w:rsidR="00204503" w:rsidRPr="00D40F66" w14:paraId="54A36CDA" w14:textId="77777777" w:rsidTr="00204503">
        <w:tc>
          <w:tcPr>
            <w:tcW w:w="1205" w:type="dxa"/>
          </w:tcPr>
          <w:p w14:paraId="78FBBEAC"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8</w:t>
            </w:r>
          </w:p>
        </w:tc>
        <w:tc>
          <w:tcPr>
            <w:tcW w:w="1389" w:type="dxa"/>
          </w:tcPr>
          <w:p w14:paraId="6CCECD35" w14:textId="77777777" w:rsidR="00204503" w:rsidRPr="00D40F66" w:rsidRDefault="00204503" w:rsidP="00204503">
            <w:pPr>
              <w:rPr>
                <w:rFonts w:ascii="Aptos" w:hAnsi="Aptos"/>
                <w:sz w:val="20"/>
                <w:szCs w:val="20"/>
                <w:lang w:val="es-ES"/>
              </w:rPr>
            </w:pPr>
            <w:r w:rsidRPr="00D40F66">
              <w:rPr>
                <w:sz w:val="20"/>
                <w:szCs w:val="20"/>
                <w:lang w:val="es-ES"/>
              </w:rPr>
              <w:t>Meta 8</w:t>
            </w:r>
          </w:p>
        </w:tc>
      </w:tr>
      <w:tr w:rsidR="00204503" w:rsidRPr="00D40F66" w14:paraId="3AC92844" w14:textId="77777777" w:rsidTr="00204503">
        <w:tc>
          <w:tcPr>
            <w:tcW w:w="1205" w:type="dxa"/>
          </w:tcPr>
          <w:p w14:paraId="1C93D81D"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9</w:t>
            </w:r>
          </w:p>
        </w:tc>
        <w:tc>
          <w:tcPr>
            <w:tcW w:w="1389" w:type="dxa"/>
          </w:tcPr>
          <w:p w14:paraId="6ED6A01B" w14:textId="77777777" w:rsidR="00204503" w:rsidRPr="00D40F66" w:rsidRDefault="00204503" w:rsidP="00204503">
            <w:pPr>
              <w:rPr>
                <w:rFonts w:ascii="Aptos" w:hAnsi="Aptos"/>
                <w:sz w:val="20"/>
                <w:szCs w:val="20"/>
                <w:lang w:val="es-ES"/>
              </w:rPr>
            </w:pPr>
            <w:r w:rsidRPr="00D40F66">
              <w:rPr>
                <w:sz w:val="20"/>
                <w:szCs w:val="20"/>
                <w:lang w:val="es-ES"/>
              </w:rPr>
              <w:t>Meta 9</w:t>
            </w:r>
          </w:p>
        </w:tc>
      </w:tr>
      <w:tr w:rsidR="00204503" w:rsidRPr="00D40F66" w14:paraId="5A552F69" w14:textId="77777777" w:rsidTr="00204503">
        <w:tc>
          <w:tcPr>
            <w:tcW w:w="1205" w:type="dxa"/>
          </w:tcPr>
          <w:p w14:paraId="521A874D"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10</w:t>
            </w:r>
          </w:p>
        </w:tc>
        <w:tc>
          <w:tcPr>
            <w:tcW w:w="1389" w:type="dxa"/>
          </w:tcPr>
          <w:p w14:paraId="5EC58391" w14:textId="77777777" w:rsidR="00204503" w:rsidRPr="00D40F66" w:rsidRDefault="00204503" w:rsidP="00204503">
            <w:pPr>
              <w:rPr>
                <w:rFonts w:ascii="Aptos" w:hAnsi="Aptos"/>
                <w:sz w:val="20"/>
                <w:szCs w:val="20"/>
                <w:lang w:val="es-ES"/>
              </w:rPr>
            </w:pPr>
            <w:r w:rsidRPr="00D40F66">
              <w:rPr>
                <w:sz w:val="20"/>
                <w:szCs w:val="20"/>
                <w:lang w:val="es-ES"/>
              </w:rPr>
              <w:t>Meta 10</w:t>
            </w:r>
          </w:p>
        </w:tc>
      </w:tr>
      <w:tr w:rsidR="00204503" w:rsidRPr="00D40F66" w14:paraId="5D227FB8" w14:textId="77777777" w:rsidTr="00204503">
        <w:tc>
          <w:tcPr>
            <w:tcW w:w="1205" w:type="dxa"/>
          </w:tcPr>
          <w:p w14:paraId="1108B1E7"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11</w:t>
            </w:r>
          </w:p>
        </w:tc>
        <w:tc>
          <w:tcPr>
            <w:tcW w:w="1389" w:type="dxa"/>
          </w:tcPr>
          <w:p w14:paraId="159DADD5" w14:textId="77777777" w:rsidR="00204503" w:rsidRPr="00D40F66" w:rsidRDefault="00204503" w:rsidP="00204503">
            <w:pPr>
              <w:rPr>
                <w:rFonts w:ascii="Aptos" w:hAnsi="Aptos"/>
                <w:sz w:val="20"/>
                <w:szCs w:val="20"/>
                <w:lang w:val="es-ES"/>
              </w:rPr>
            </w:pPr>
            <w:r w:rsidRPr="00D40F66">
              <w:rPr>
                <w:sz w:val="20"/>
                <w:szCs w:val="20"/>
                <w:lang w:val="es-ES"/>
              </w:rPr>
              <w:t>Meta 11</w:t>
            </w:r>
          </w:p>
        </w:tc>
      </w:tr>
      <w:tr w:rsidR="00204503" w:rsidRPr="00D40F66" w14:paraId="7D4A902A" w14:textId="77777777" w:rsidTr="00204503">
        <w:tc>
          <w:tcPr>
            <w:tcW w:w="1205" w:type="dxa"/>
          </w:tcPr>
          <w:p w14:paraId="0F8AB0A8"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12</w:t>
            </w:r>
          </w:p>
        </w:tc>
        <w:tc>
          <w:tcPr>
            <w:tcW w:w="1389" w:type="dxa"/>
          </w:tcPr>
          <w:p w14:paraId="56A7C557" w14:textId="77777777" w:rsidR="00204503" w:rsidRPr="00D40F66" w:rsidRDefault="00204503" w:rsidP="00204503">
            <w:pPr>
              <w:rPr>
                <w:rFonts w:ascii="Aptos" w:hAnsi="Aptos"/>
                <w:sz w:val="20"/>
                <w:szCs w:val="20"/>
                <w:lang w:val="es-ES"/>
              </w:rPr>
            </w:pPr>
            <w:r w:rsidRPr="00D40F66">
              <w:rPr>
                <w:sz w:val="20"/>
                <w:szCs w:val="20"/>
                <w:lang w:val="es-ES"/>
              </w:rPr>
              <w:t>Meta 12</w:t>
            </w:r>
          </w:p>
        </w:tc>
      </w:tr>
      <w:tr w:rsidR="00204503" w:rsidRPr="00D40F66" w14:paraId="09DC7CDB" w14:textId="77777777" w:rsidTr="00204503">
        <w:tc>
          <w:tcPr>
            <w:tcW w:w="1205" w:type="dxa"/>
          </w:tcPr>
          <w:p w14:paraId="30899B3D"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13</w:t>
            </w:r>
          </w:p>
        </w:tc>
        <w:tc>
          <w:tcPr>
            <w:tcW w:w="1389" w:type="dxa"/>
          </w:tcPr>
          <w:p w14:paraId="2A152FEE" w14:textId="77777777" w:rsidR="00204503" w:rsidRPr="00D40F66" w:rsidRDefault="00204503" w:rsidP="00204503">
            <w:pPr>
              <w:rPr>
                <w:rFonts w:ascii="Aptos" w:hAnsi="Aptos"/>
                <w:sz w:val="20"/>
                <w:szCs w:val="20"/>
                <w:lang w:val="es-ES"/>
              </w:rPr>
            </w:pPr>
            <w:r w:rsidRPr="00D40F66">
              <w:rPr>
                <w:sz w:val="20"/>
                <w:szCs w:val="20"/>
                <w:lang w:val="es-ES"/>
              </w:rPr>
              <w:t>Meta 13</w:t>
            </w:r>
          </w:p>
        </w:tc>
      </w:tr>
      <w:tr w:rsidR="00204503" w:rsidRPr="00D40F66" w14:paraId="21ECC088" w14:textId="77777777" w:rsidTr="00204503">
        <w:tc>
          <w:tcPr>
            <w:tcW w:w="1205" w:type="dxa"/>
          </w:tcPr>
          <w:p w14:paraId="6AAE844B"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14</w:t>
            </w:r>
          </w:p>
        </w:tc>
        <w:tc>
          <w:tcPr>
            <w:tcW w:w="1389" w:type="dxa"/>
          </w:tcPr>
          <w:p w14:paraId="44162DED" w14:textId="77777777" w:rsidR="00204503" w:rsidRPr="00D40F66" w:rsidRDefault="00204503" w:rsidP="00204503">
            <w:pPr>
              <w:rPr>
                <w:rFonts w:ascii="Aptos" w:hAnsi="Aptos"/>
                <w:sz w:val="20"/>
                <w:szCs w:val="20"/>
                <w:lang w:val="es-ES"/>
              </w:rPr>
            </w:pPr>
            <w:r w:rsidRPr="00D40F66">
              <w:rPr>
                <w:sz w:val="20"/>
                <w:szCs w:val="20"/>
                <w:lang w:val="es-ES"/>
              </w:rPr>
              <w:t>Meta 14</w:t>
            </w:r>
          </w:p>
        </w:tc>
      </w:tr>
      <w:tr w:rsidR="00204503" w:rsidRPr="00D40F66" w14:paraId="1CB0683F" w14:textId="77777777" w:rsidTr="00204503">
        <w:tc>
          <w:tcPr>
            <w:tcW w:w="1205" w:type="dxa"/>
          </w:tcPr>
          <w:p w14:paraId="12A2D64F"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15</w:t>
            </w:r>
          </w:p>
        </w:tc>
        <w:tc>
          <w:tcPr>
            <w:tcW w:w="1389" w:type="dxa"/>
          </w:tcPr>
          <w:p w14:paraId="0C045152" w14:textId="77777777" w:rsidR="00204503" w:rsidRPr="00D40F66" w:rsidRDefault="00204503" w:rsidP="00204503">
            <w:pPr>
              <w:rPr>
                <w:rFonts w:ascii="Aptos" w:hAnsi="Aptos"/>
                <w:sz w:val="20"/>
                <w:szCs w:val="20"/>
                <w:lang w:val="es-ES"/>
              </w:rPr>
            </w:pPr>
            <w:r w:rsidRPr="00D40F66">
              <w:rPr>
                <w:sz w:val="20"/>
                <w:szCs w:val="20"/>
                <w:lang w:val="es-ES"/>
              </w:rPr>
              <w:t>Meta 15</w:t>
            </w:r>
          </w:p>
        </w:tc>
      </w:tr>
      <w:tr w:rsidR="00204503" w:rsidRPr="00D40F66" w14:paraId="25A3F975" w14:textId="77777777" w:rsidTr="00204503">
        <w:tc>
          <w:tcPr>
            <w:tcW w:w="1205" w:type="dxa"/>
          </w:tcPr>
          <w:p w14:paraId="369BE7DE"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16</w:t>
            </w:r>
          </w:p>
        </w:tc>
        <w:tc>
          <w:tcPr>
            <w:tcW w:w="1389" w:type="dxa"/>
          </w:tcPr>
          <w:p w14:paraId="161B0538" w14:textId="77777777" w:rsidR="00204503" w:rsidRPr="00D40F66" w:rsidRDefault="00204503" w:rsidP="00204503">
            <w:pPr>
              <w:rPr>
                <w:rFonts w:ascii="Aptos" w:hAnsi="Aptos"/>
                <w:sz w:val="20"/>
                <w:szCs w:val="20"/>
                <w:lang w:val="es-ES"/>
              </w:rPr>
            </w:pPr>
            <w:r w:rsidRPr="00D40F66">
              <w:rPr>
                <w:sz w:val="20"/>
                <w:szCs w:val="20"/>
                <w:lang w:val="es-ES"/>
              </w:rPr>
              <w:t>Meta 16</w:t>
            </w:r>
          </w:p>
        </w:tc>
      </w:tr>
      <w:tr w:rsidR="00204503" w:rsidRPr="00D40F66" w14:paraId="398864B7" w14:textId="77777777" w:rsidTr="00204503">
        <w:tc>
          <w:tcPr>
            <w:tcW w:w="1205" w:type="dxa"/>
          </w:tcPr>
          <w:p w14:paraId="1EA5B541"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17</w:t>
            </w:r>
          </w:p>
        </w:tc>
        <w:tc>
          <w:tcPr>
            <w:tcW w:w="1389" w:type="dxa"/>
          </w:tcPr>
          <w:p w14:paraId="5627377C" w14:textId="77777777" w:rsidR="00204503" w:rsidRPr="00D40F66" w:rsidRDefault="00204503" w:rsidP="00204503">
            <w:pPr>
              <w:rPr>
                <w:rFonts w:ascii="Aptos" w:hAnsi="Aptos"/>
                <w:sz w:val="20"/>
                <w:szCs w:val="20"/>
                <w:lang w:val="es-ES"/>
              </w:rPr>
            </w:pPr>
            <w:r w:rsidRPr="00D40F66">
              <w:rPr>
                <w:sz w:val="20"/>
                <w:szCs w:val="20"/>
                <w:lang w:val="es-ES"/>
              </w:rPr>
              <w:t>Meta 17</w:t>
            </w:r>
          </w:p>
        </w:tc>
      </w:tr>
      <w:tr w:rsidR="00204503" w:rsidRPr="00D40F66" w14:paraId="0F18070C" w14:textId="77777777" w:rsidTr="00204503">
        <w:tc>
          <w:tcPr>
            <w:tcW w:w="1205" w:type="dxa"/>
          </w:tcPr>
          <w:p w14:paraId="408CA40F"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18</w:t>
            </w:r>
          </w:p>
        </w:tc>
        <w:tc>
          <w:tcPr>
            <w:tcW w:w="1389" w:type="dxa"/>
          </w:tcPr>
          <w:p w14:paraId="6E7EBCA5" w14:textId="77777777" w:rsidR="00204503" w:rsidRPr="00D40F66" w:rsidRDefault="00204503" w:rsidP="00204503">
            <w:pPr>
              <w:rPr>
                <w:rFonts w:ascii="Aptos" w:hAnsi="Aptos"/>
                <w:sz w:val="20"/>
                <w:szCs w:val="20"/>
                <w:lang w:val="es-ES"/>
              </w:rPr>
            </w:pPr>
            <w:r w:rsidRPr="00D40F66">
              <w:rPr>
                <w:sz w:val="20"/>
                <w:szCs w:val="20"/>
                <w:lang w:val="es-ES"/>
              </w:rPr>
              <w:t>Meta 18</w:t>
            </w:r>
          </w:p>
        </w:tc>
      </w:tr>
      <w:tr w:rsidR="00204503" w:rsidRPr="00D40F66" w14:paraId="48CB6EA5" w14:textId="77777777" w:rsidTr="00204503">
        <w:tc>
          <w:tcPr>
            <w:tcW w:w="1205" w:type="dxa"/>
          </w:tcPr>
          <w:p w14:paraId="27D309A3"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19</w:t>
            </w:r>
          </w:p>
        </w:tc>
        <w:tc>
          <w:tcPr>
            <w:tcW w:w="1389" w:type="dxa"/>
          </w:tcPr>
          <w:p w14:paraId="6625877B" w14:textId="77777777" w:rsidR="00204503" w:rsidRPr="00D40F66" w:rsidRDefault="00204503" w:rsidP="00204503">
            <w:pPr>
              <w:rPr>
                <w:rFonts w:ascii="Aptos" w:hAnsi="Aptos"/>
                <w:sz w:val="20"/>
                <w:szCs w:val="20"/>
                <w:lang w:val="es-ES"/>
              </w:rPr>
            </w:pPr>
            <w:r w:rsidRPr="00D40F66">
              <w:rPr>
                <w:sz w:val="20"/>
                <w:szCs w:val="20"/>
                <w:lang w:val="es-ES"/>
              </w:rPr>
              <w:t>Meta 19</w:t>
            </w:r>
          </w:p>
        </w:tc>
      </w:tr>
      <w:tr w:rsidR="00204503" w:rsidRPr="00D40F66" w14:paraId="64C1F69E" w14:textId="77777777" w:rsidTr="00204503">
        <w:tc>
          <w:tcPr>
            <w:tcW w:w="1205" w:type="dxa"/>
          </w:tcPr>
          <w:p w14:paraId="3F609E89"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20</w:t>
            </w:r>
          </w:p>
        </w:tc>
        <w:tc>
          <w:tcPr>
            <w:tcW w:w="1389" w:type="dxa"/>
          </w:tcPr>
          <w:p w14:paraId="78AECB80" w14:textId="77777777" w:rsidR="00204503" w:rsidRPr="00D40F66" w:rsidRDefault="00204503" w:rsidP="00204503">
            <w:pPr>
              <w:rPr>
                <w:rFonts w:ascii="Aptos" w:hAnsi="Aptos"/>
                <w:sz w:val="20"/>
                <w:szCs w:val="20"/>
                <w:lang w:val="es-ES"/>
              </w:rPr>
            </w:pPr>
            <w:r w:rsidRPr="00D40F66">
              <w:rPr>
                <w:sz w:val="20"/>
                <w:szCs w:val="20"/>
                <w:lang w:val="es-ES"/>
              </w:rPr>
              <w:t>Meta 20</w:t>
            </w:r>
          </w:p>
        </w:tc>
      </w:tr>
      <w:tr w:rsidR="00204503" w:rsidRPr="00D40F66" w14:paraId="100D9C08" w14:textId="77777777" w:rsidTr="00204503">
        <w:tc>
          <w:tcPr>
            <w:tcW w:w="1205" w:type="dxa"/>
          </w:tcPr>
          <w:p w14:paraId="001EF4D4"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21</w:t>
            </w:r>
          </w:p>
        </w:tc>
        <w:tc>
          <w:tcPr>
            <w:tcW w:w="1389" w:type="dxa"/>
          </w:tcPr>
          <w:p w14:paraId="3EA30BEF" w14:textId="77777777" w:rsidR="00204503" w:rsidRPr="00D40F66" w:rsidRDefault="00204503" w:rsidP="00204503">
            <w:pPr>
              <w:rPr>
                <w:rFonts w:ascii="Aptos" w:hAnsi="Aptos"/>
                <w:sz w:val="20"/>
                <w:szCs w:val="20"/>
                <w:lang w:val="es-ES"/>
              </w:rPr>
            </w:pPr>
            <w:r w:rsidRPr="00D40F66">
              <w:rPr>
                <w:sz w:val="20"/>
                <w:szCs w:val="20"/>
                <w:lang w:val="es-ES"/>
              </w:rPr>
              <w:t>Meta 21</w:t>
            </w:r>
          </w:p>
        </w:tc>
      </w:tr>
      <w:tr w:rsidR="00204503" w:rsidRPr="00D40F66" w14:paraId="7EAAC219" w14:textId="77777777" w:rsidTr="00204503">
        <w:tc>
          <w:tcPr>
            <w:tcW w:w="1205" w:type="dxa"/>
          </w:tcPr>
          <w:p w14:paraId="7527965A"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22</w:t>
            </w:r>
          </w:p>
        </w:tc>
        <w:tc>
          <w:tcPr>
            <w:tcW w:w="1389" w:type="dxa"/>
          </w:tcPr>
          <w:p w14:paraId="0ABFE46C" w14:textId="77777777" w:rsidR="00204503" w:rsidRPr="00D40F66" w:rsidRDefault="00204503" w:rsidP="00204503">
            <w:pPr>
              <w:rPr>
                <w:rFonts w:ascii="Aptos" w:hAnsi="Aptos"/>
                <w:sz w:val="20"/>
                <w:szCs w:val="20"/>
                <w:lang w:val="es-ES"/>
              </w:rPr>
            </w:pPr>
            <w:r w:rsidRPr="00D40F66">
              <w:rPr>
                <w:sz w:val="20"/>
                <w:szCs w:val="20"/>
                <w:lang w:val="es-ES"/>
              </w:rPr>
              <w:t>Meta 22</w:t>
            </w:r>
          </w:p>
        </w:tc>
      </w:tr>
      <w:tr w:rsidR="00204503" w:rsidRPr="00D40F66" w14:paraId="43985BCB" w14:textId="77777777" w:rsidTr="00204503">
        <w:tc>
          <w:tcPr>
            <w:tcW w:w="1205" w:type="dxa"/>
          </w:tcPr>
          <w:p w14:paraId="77E52221" w14:textId="77777777" w:rsidR="00204503" w:rsidRPr="00D40F66" w:rsidRDefault="00204503" w:rsidP="00204503">
            <w:pPr>
              <w:rPr>
                <w:rFonts w:ascii="Aptos" w:hAnsi="Aptos"/>
                <w:sz w:val="20"/>
                <w:szCs w:val="20"/>
                <w:lang w:val="es-ES"/>
              </w:rPr>
            </w:pPr>
            <w:r w:rsidRPr="00D40F66">
              <w:rPr>
                <w:rFonts w:ascii="Aptos" w:hAnsi="Aptos"/>
                <w:sz w:val="20"/>
                <w:szCs w:val="20"/>
                <w:lang w:val="es-ES"/>
              </w:rPr>
              <w:t>Target 23</w:t>
            </w:r>
          </w:p>
        </w:tc>
        <w:tc>
          <w:tcPr>
            <w:tcW w:w="1389" w:type="dxa"/>
          </w:tcPr>
          <w:p w14:paraId="2C5B3F4E" w14:textId="77777777" w:rsidR="00204503" w:rsidRPr="00D40F66" w:rsidRDefault="00204503" w:rsidP="00204503">
            <w:pPr>
              <w:rPr>
                <w:rFonts w:ascii="Aptos" w:hAnsi="Aptos"/>
                <w:sz w:val="20"/>
                <w:szCs w:val="20"/>
                <w:lang w:val="es-ES"/>
              </w:rPr>
            </w:pPr>
            <w:r w:rsidRPr="00D40F66">
              <w:rPr>
                <w:sz w:val="20"/>
                <w:szCs w:val="20"/>
                <w:lang w:val="es-ES"/>
              </w:rPr>
              <w:t>Meta 23</w:t>
            </w:r>
          </w:p>
        </w:tc>
      </w:tr>
    </w:tbl>
    <w:p w14:paraId="0277D0AD" w14:textId="77777777" w:rsidR="001E128C" w:rsidRPr="005E3D50" w:rsidRDefault="00DF4680" w:rsidP="00DF4680">
      <w:pPr>
        <w:rPr>
          <w:lang w:val="es-ES"/>
        </w:rPr>
      </w:pPr>
      <w:r w:rsidRPr="005E3D50">
        <w:rPr>
          <w:noProof/>
          <w:lang w:val="en-US"/>
        </w:rPr>
        <w:drawing>
          <wp:inline distT="0" distB="0" distL="0" distR="0" wp14:anchorId="7D76A191" wp14:editId="4B2137BA">
            <wp:extent cx="1653712" cy="4537817"/>
            <wp:effectExtent l="0" t="0" r="0" b="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16"/>
                    <a:stretch>
                      <a:fillRect/>
                    </a:stretch>
                  </pic:blipFill>
                  <pic:spPr>
                    <a:xfrm>
                      <a:off x="0" y="0"/>
                      <a:ext cx="1653712" cy="4537817"/>
                    </a:xfrm>
                    <a:prstGeom prst="rect">
                      <a:avLst/>
                    </a:prstGeom>
                  </pic:spPr>
                </pic:pic>
              </a:graphicData>
            </a:graphic>
          </wp:inline>
        </w:drawing>
      </w:r>
    </w:p>
    <w:p w14:paraId="511C0D87" w14:textId="2302E731" w:rsidR="00DF4680" w:rsidRPr="005E3D50" w:rsidRDefault="00DF4680" w:rsidP="00A91A63">
      <w:pPr>
        <w:rPr>
          <w:lang w:val="es-ES"/>
        </w:rPr>
      </w:pPr>
      <w:bookmarkStart w:id="13" w:name="_Ref236316901"/>
      <w:r w:rsidRPr="005E3D50">
        <w:rPr>
          <w:i/>
          <w:color w:val="0E2841" w:themeColor="text2"/>
          <w:sz w:val="18"/>
          <w:lang w:val="es-ES"/>
        </w:rPr>
        <w:t>Nota</w:t>
      </w:r>
      <w:r w:rsidRPr="005E3D50">
        <w:rPr>
          <w:color w:val="0E2841" w:themeColor="text2"/>
          <w:sz w:val="18"/>
          <w:lang w:val="es-ES"/>
        </w:rPr>
        <w:t xml:space="preserve">: Las entradas de las columnas para cada meta, con los valores porcentuales relacionados, ilustran las siguientes medidas importantes de los progresos en la implementación del Marco: columna 1, cobertura de los elementos de la meta del Marco en las metas nacionales de las Partes (porcentaje de Partes que cubren, en cierta medida, al menos la mitad de los elementos de la meta); columna 2, </w:t>
      </w:r>
      <w:r w:rsidRPr="005E3D50">
        <w:rPr>
          <w:sz w:val="18"/>
          <w:lang w:val="es-ES"/>
        </w:rPr>
        <w:t>autoevaluación de las Partes de los progresos realizados en la consecución de sus metas nacionales (porcentaje de metas nacionales para las que se indicó “En vías de alcanzar la meta” o “Alcanzada”); columna 3, evaluación de los progresos realizados en la consecución de la meta del Marco en función de todos los indicadores pertinentes (porcentaje basado en la puntuación media de todos los tipos de indicadores relacionados; los detalles están disponibles en el cuadro 3); y columna 4, disponibilidad de datos en los informes nacionales (porcentaje de Partes que informaron algún dato cuantitativo sobre indicadores de cabecera, de componentes, complementarios o nacionales).</w:t>
      </w:r>
      <w:r w:rsidRPr="005E3D50">
        <w:rPr>
          <w:color w:val="0E2841" w:themeColor="text2"/>
          <w:sz w:val="18"/>
          <w:lang w:val="es-ES"/>
        </w:rPr>
        <w:t xml:space="preserve"> Los tres colores de las columnas 1 a 4 reflejan la posición que ocupa un valor en cada meta en relación con las puntuaciones </w:t>
      </w:r>
      <w:proofErr w:type="gramStart"/>
      <w:r w:rsidRPr="005E3D50">
        <w:rPr>
          <w:color w:val="0E2841" w:themeColor="text2"/>
          <w:sz w:val="18"/>
          <w:lang w:val="es-ES"/>
        </w:rPr>
        <w:t>más altas y más bajas</w:t>
      </w:r>
      <w:proofErr w:type="gramEnd"/>
      <w:r w:rsidRPr="005E3D50">
        <w:rPr>
          <w:color w:val="0E2841" w:themeColor="text2"/>
          <w:sz w:val="18"/>
          <w:lang w:val="es-ES"/>
        </w:rPr>
        <w:t xml:space="preserve"> alcanzadas en el conjunto de todas las metas (se asigna el color verde a los valores situados en el tercio superior de todo el intervalo, el amarillo a los valores situados en el tercio medio y el rojo a los valores situados en el tercio inferior). La puntuación general de la evaluación se basa en una fórmula que asigna una ponderación del 50 % a la autoevaluación de los progresos en relación con la cobertura en las metas nacionales y una ponderación del 50 % a la evaluación de los progresos basada en los indicadores. Los resultados derivados de este cálculo se dividen en cuatro categorías: 0-0,25 (rojo), 0,25-0,5 (naranja), 0,5-0,75 (amarillo) y 0,75-1 (verde). Esto se basa en un tablero de puntuación más detallado que se incluye como </w:t>
      </w:r>
      <w:r w:rsidRPr="005E3D50">
        <w:rPr>
          <w:color w:val="0E2841" w:themeColor="text2"/>
          <w:sz w:val="18"/>
          <w:lang w:val="es-ES"/>
        </w:rPr>
        <w:lastRenderedPageBreak/>
        <w:t>cuadro 3 en la sección II del presente informe. La justificación de la compilación de estas puntuaciones se explica brevemente en el recuadro 4 a continuación y los métodos se detallan en una nota de la Secretaría</w:t>
      </w:r>
      <w:r w:rsidRPr="005E3D50">
        <w:rPr>
          <w:sz w:val="18"/>
          <w:lang w:val="es-ES"/>
        </w:rPr>
        <w:t xml:space="preserve"> (</w:t>
      </w:r>
      <w:hyperlink r:id="rId17" w:history="1">
        <w:r w:rsidRPr="005E3D50">
          <w:rPr>
            <w:color w:val="000000" w:themeColor="text1"/>
            <w:sz w:val="18"/>
            <w:lang w:val="es-ES"/>
          </w:rPr>
          <w:t>CBD/SBSTTA/28/INF/9</w:t>
        </w:r>
      </w:hyperlink>
      <w:r w:rsidRPr="005E3D50">
        <w:rPr>
          <w:sz w:val="18"/>
          <w:lang w:val="es-ES"/>
        </w:rPr>
        <w:t>)</w:t>
      </w:r>
      <w:r w:rsidRPr="005E3D50">
        <w:rPr>
          <w:color w:val="0E2841" w:themeColor="text2"/>
          <w:sz w:val="18"/>
          <w:lang w:val="es-ES"/>
        </w:rPr>
        <w:t>.</w:t>
      </w:r>
      <w:bookmarkStart w:id="14" w:name="_Toc235821032"/>
      <w:bookmarkStart w:id="15" w:name="_Toc239069177"/>
      <w:bookmarkEnd w:id="13"/>
    </w:p>
    <w:p w14:paraId="2FAB115A" w14:textId="3AF12B6F" w:rsidR="00BC4A74" w:rsidRPr="005E3D50" w:rsidRDefault="00BC4A74" w:rsidP="00BC4A74">
      <w:pPr>
        <w:pStyle w:val="Heading1"/>
        <w:rPr>
          <w:lang w:val="es-ES"/>
        </w:rPr>
      </w:pPr>
      <w:bookmarkStart w:id="16" w:name="_Toc242882955"/>
      <w:r w:rsidRPr="005E3D50">
        <w:rPr>
          <w:lang w:val="es-ES"/>
        </w:rPr>
        <w:t>Parte I: Introducción</w:t>
      </w:r>
      <w:bookmarkEnd w:id="14"/>
      <w:bookmarkEnd w:id="15"/>
      <w:bookmarkEnd w:id="16"/>
    </w:p>
    <w:p w14:paraId="72D31580" w14:textId="384D54D1" w:rsidR="00D1575F" w:rsidRPr="005E3D50" w:rsidRDefault="00BC4A74" w:rsidP="00D1575F">
      <w:pPr>
        <w:pStyle w:val="Heading2"/>
        <w:rPr>
          <w:lang w:val="es-ES"/>
        </w:rPr>
      </w:pPr>
      <w:bookmarkStart w:id="17" w:name="_Toc235821033"/>
      <w:bookmarkStart w:id="18" w:name="_Toc239069178"/>
      <w:bookmarkStart w:id="19" w:name="_Toc242882956"/>
      <w:r w:rsidRPr="005E3D50">
        <w:rPr>
          <w:lang w:val="es-ES"/>
        </w:rPr>
        <w:t>I.A Introducción al Marco Mundial de Biodiversidad de Kunming-Montreal y al informe mundial</w:t>
      </w:r>
      <w:bookmarkStart w:id="20" w:name="_Toc227315891"/>
      <w:bookmarkStart w:id="21" w:name="_Toc230133151"/>
      <w:bookmarkEnd w:id="17"/>
      <w:bookmarkEnd w:id="18"/>
      <w:bookmarkEnd w:id="19"/>
    </w:p>
    <w:p w14:paraId="24E96E97" w14:textId="2436D840" w:rsidR="00550E7A" w:rsidRPr="005E3D50" w:rsidRDefault="00550E7A" w:rsidP="00550E7A">
      <w:pPr>
        <w:pStyle w:val="Heading3"/>
        <w:rPr>
          <w:lang w:val="es-ES"/>
        </w:rPr>
      </w:pPr>
      <w:bookmarkStart w:id="22" w:name="_Toc235821034"/>
      <w:bookmarkStart w:id="23" w:name="_Toc239069179"/>
      <w:bookmarkStart w:id="24" w:name="_Toc242882957"/>
      <w:r w:rsidRPr="005E3D50">
        <w:rPr>
          <w:lang w:val="es-ES"/>
        </w:rPr>
        <w:t>El Marco</w:t>
      </w:r>
      <w:bookmarkEnd w:id="20"/>
      <w:bookmarkEnd w:id="21"/>
      <w:bookmarkEnd w:id="22"/>
      <w:bookmarkEnd w:id="23"/>
      <w:bookmarkEnd w:id="24"/>
    </w:p>
    <w:p w14:paraId="4A4DFFFF" w14:textId="4675CB51" w:rsidR="00F775CD" w:rsidRPr="005E3D50" w:rsidRDefault="00F775CD" w:rsidP="00F775CD">
      <w:pPr>
        <w:rPr>
          <w:lang w:val="es-ES"/>
        </w:rPr>
      </w:pPr>
      <w:r w:rsidRPr="005E3D50">
        <w:rPr>
          <w:lang w:val="es-ES"/>
        </w:rPr>
        <w:t>En diciembre de 2022, las 196 Partes en el Convenio sobre la Diversidad Biológica adoptaron el Marco Mundial de Biodiversidad de Kunming-Montreal</w:t>
      </w:r>
      <w:r w:rsidRPr="005E3D50">
        <w:rPr>
          <w:rStyle w:val="FootnoteReference"/>
          <w:lang w:val="es-ES"/>
        </w:rPr>
        <w:footnoteReference w:id="2"/>
      </w:r>
      <w:r w:rsidRPr="005E3D50">
        <w:rPr>
          <w:lang w:val="es-ES"/>
        </w:rPr>
        <w:t xml:space="preserve"> (</w:t>
      </w:r>
      <w:proofErr w:type="spellStart"/>
      <w:r w:rsidRPr="005E3D50">
        <w:rPr>
          <w:lang w:val="es-ES"/>
        </w:rPr>
        <w:t>dec</w:t>
      </w:r>
      <w:proofErr w:type="spellEnd"/>
      <w:r w:rsidRPr="005E3D50">
        <w:rPr>
          <w:lang w:val="es-ES"/>
        </w:rPr>
        <w:t>. 15/4 en CDB, 2023)</w:t>
      </w:r>
      <w:r w:rsidR="00F43EC8" w:rsidRPr="005E3D50">
        <w:rPr>
          <w:lang w:val="es-ES"/>
        </w:rPr>
        <w:t xml:space="preserve">, que </w:t>
      </w:r>
      <w:r w:rsidRPr="005E3D50">
        <w:rPr>
          <w:lang w:val="es-ES"/>
        </w:rPr>
        <w:t xml:space="preserve">constituye una estrategia multilateral integral para alcanzar los objetivos del Convenio en consonancia con la Agenda 2030 para el Desarrollo Sostenible y sus Objetivos de Desarrollo Sostenible (ODS) (Naciones Unidas, 2015). Cuando se adoptó el Marco, la Conferencia de las Partes en el Convenio decidió que este se utilizaría como plan estratégico para la aplicación del Convenio y sus Protocolos, sus órganos y su Secretaría durante el período 2022-2030. </w:t>
      </w:r>
    </w:p>
    <w:p w14:paraId="09F3FAC7" w14:textId="20F6B582" w:rsidR="009B09D6" w:rsidRPr="005E3D50" w:rsidRDefault="009B09D6" w:rsidP="009B09D6">
      <w:pPr>
        <w:rPr>
          <w:lang w:val="es-ES"/>
        </w:rPr>
      </w:pPr>
      <w:r w:rsidRPr="005E3D50">
        <w:rPr>
          <w:lang w:val="es-ES"/>
        </w:rPr>
        <w:t>Por lo tanto, el Marco se basa en el Plan Estratégico para la Diversidad Biológica 2011-2020, incluidas las Metas de Aichi para la Diversidad Biológica (</w:t>
      </w:r>
      <w:proofErr w:type="spellStart"/>
      <w:r w:rsidRPr="005E3D50">
        <w:rPr>
          <w:lang w:val="es-ES"/>
        </w:rPr>
        <w:t>dec</w:t>
      </w:r>
      <w:proofErr w:type="spellEnd"/>
      <w:r w:rsidRPr="005E3D50">
        <w:rPr>
          <w:lang w:val="es-ES"/>
        </w:rPr>
        <w:t xml:space="preserve">. X/2 en CDB, 2011), y establece una ambiciosa trayectoria hacia la consecución de una visión mundial de vivir en armonía con la naturaleza para 2050 (la Visión 2050). El Marco proporciona un enfoque general para las medidas urgentes y transformadoras necesarias para detener e invertir la pérdida de diversidad biológica. El éxito de ese enfoque requiere el compromiso y la adopción de medidas por todos los niveles de gobierno y todos los actores de la sociedad. </w:t>
      </w:r>
    </w:p>
    <w:p w14:paraId="371F1B66" w14:textId="74EBDE13" w:rsidR="00C77A0D" w:rsidRPr="005E3D50" w:rsidRDefault="00C77A0D" w:rsidP="00C77A0D">
      <w:pPr>
        <w:rPr>
          <w:lang w:val="es-ES"/>
        </w:rPr>
      </w:pPr>
      <w:r w:rsidRPr="005E3D50">
        <w:rPr>
          <w:lang w:val="es-ES"/>
        </w:rPr>
        <w:t xml:space="preserve">En este sentido, el Marco procura abordar los impulsores de la pérdida de diversidad biológica identificados en el informe </w:t>
      </w:r>
      <w:r w:rsidRPr="005E3D50">
        <w:rPr>
          <w:i/>
          <w:iCs/>
          <w:lang w:val="es-ES"/>
        </w:rPr>
        <w:t xml:space="preserve">Global </w:t>
      </w:r>
      <w:proofErr w:type="spellStart"/>
      <w:r w:rsidRPr="005E3D50">
        <w:rPr>
          <w:i/>
          <w:iCs/>
          <w:lang w:val="es-ES"/>
        </w:rPr>
        <w:t>Assessment</w:t>
      </w:r>
      <w:proofErr w:type="spellEnd"/>
      <w:r w:rsidRPr="005E3D50">
        <w:rPr>
          <w:i/>
          <w:iCs/>
          <w:lang w:val="es-ES"/>
        </w:rPr>
        <w:t xml:space="preserve"> </w:t>
      </w:r>
      <w:proofErr w:type="spellStart"/>
      <w:r w:rsidRPr="005E3D50">
        <w:rPr>
          <w:i/>
          <w:iCs/>
          <w:lang w:val="es-ES"/>
        </w:rPr>
        <w:t>Report</w:t>
      </w:r>
      <w:proofErr w:type="spellEnd"/>
      <w:r w:rsidRPr="005E3D50">
        <w:rPr>
          <w:i/>
          <w:iCs/>
          <w:lang w:val="es-ES"/>
        </w:rPr>
        <w:t xml:space="preserve"> </w:t>
      </w:r>
      <w:proofErr w:type="spellStart"/>
      <w:r w:rsidRPr="005E3D50">
        <w:rPr>
          <w:i/>
          <w:iCs/>
          <w:lang w:val="es-ES"/>
        </w:rPr>
        <w:t>on</w:t>
      </w:r>
      <w:proofErr w:type="spellEnd"/>
      <w:r w:rsidRPr="005E3D50">
        <w:rPr>
          <w:i/>
          <w:iCs/>
          <w:lang w:val="es-ES"/>
        </w:rPr>
        <w:t xml:space="preserve"> Biodiversity and </w:t>
      </w:r>
      <w:proofErr w:type="spellStart"/>
      <w:r w:rsidRPr="005E3D50">
        <w:rPr>
          <w:i/>
          <w:iCs/>
          <w:lang w:val="es-ES"/>
        </w:rPr>
        <w:t>Ecosystem</w:t>
      </w:r>
      <w:proofErr w:type="spellEnd"/>
      <w:r w:rsidRPr="005E3D50">
        <w:rPr>
          <w:i/>
          <w:iCs/>
          <w:lang w:val="es-ES"/>
        </w:rPr>
        <w:t xml:space="preserve"> </w:t>
      </w:r>
      <w:proofErr w:type="spellStart"/>
      <w:r w:rsidRPr="005E3D50">
        <w:rPr>
          <w:i/>
          <w:iCs/>
          <w:lang w:val="es-ES"/>
        </w:rPr>
        <w:t>Services</w:t>
      </w:r>
      <w:proofErr w:type="spellEnd"/>
      <w:r w:rsidRPr="005E3D50">
        <w:rPr>
          <w:lang w:val="es-ES"/>
        </w:rPr>
        <w:t xml:space="preserve"> (Evaluación mundial sobre la diversidad biológica y los servicios de los ecosistemas) publicado por la Plataforma Intergubernamental Científico-Normativa sobre Diversidad Biológica y Servicios de los Ecosistemas (IPBES, 2019), la quinta edición de la Perspectiva Mundial sobre la Diversidad Biológica (CDB, 2020) y muchos otros documentos científicos que proporcionan amplias pruebas de que, a pesar de los </w:t>
      </w:r>
      <w:r w:rsidRPr="005E3D50">
        <w:rPr>
          <w:lang w:val="es-ES"/>
        </w:rPr>
        <w:lastRenderedPageBreak/>
        <w:t>esfuerzos en curso, la biodiversidad se está deteriorando en todo el mundo a un ritmo sin precedentes en la historia de la humanidad.</w:t>
      </w:r>
    </w:p>
    <w:p w14:paraId="456A8269" w14:textId="6E71345C" w:rsidR="008E3956" w:rsidRPr="005E3D50" w:rsidRDefault="008E3956" w:rsidP="008E3956">
      <w:pPr>
        <w:rPr>
          <w:lang w:val="es-ES"/>
        </w:rPr>
      </w:pPr>
      <w:r w:rsidRPr="005E3D50">
        <w:rPr>
          <w:lang w:val="es-ES"/>
        </w:rPr>
        <w:t>El Marco incluye la Visión 2050 y cuatro objetivos orientados a resultados para 2050, una misión (la Misión 2030) y 23 metas orientadas a la acción para 2030 a fin de alcanzar esos objetivos (secciones F, G y H del Marco). La implementación del Marco se sustenta en 18 consideraciones transversales (sección C del Marco) y en una base que consiste en: mecanismos de implementación y apoyo y condiciones propicias; responsabilidad y transparencia; y comunicación, educación, sensibilización y adopción (secciones I, J y K del Marco) (véase la figura 2).</w:t>
      </w:r>
    </w:p>
    <w:p w14:paraId="5E29B69E" w14:textId="35C95836" w:rsidR="002A0259" w:rsidRPr="005E3D50" w:rsidRDefault="00063366" w:rsidP="00550E7A">
      <w:pPr>
        <w:rPr>
          <w:lang w:val="es-ES"/>
        </w:rPr>
      </w:pPr>
      <w:r w:rsidRPr="005E3D50">
        <w:rPr>
          <w:lang w:val="es-ES"/>
        </w:rPr>
        <w:t>El componente de responsabilidad y transparencia del Marco (sección J) se sustenta en mecanismos eficaces de planificación, seguimiento, presentación de informes y revisión. Esos mecanismos conforman un sistema acordado, sincronizado y cíclico que proporciona el contexto para el presente informe mundial. Este sistema se resume en la sección siguiente (véase la figura 3).</w:t>
      </w:r>
    </w:p>
    <w:p w14:paraId="32E1EF95" w14:textId="1EAA8272" w:rsidR="00334B8D" w:rsidRPr="005E3D50" w:rsidRDefault="00334B8D" w:rsidP="00334B8D">
      <w:pPr>
        <w:rPr>
          <w:lang w:val="es-ES"/>
        </w:rPr>
      </w:pPr>
      <w:r w:rsidRPr="005E3D50">
        <w:rPr>
          <w:lang w:val="es-ES"/>
        </w:rPr>
        <w:t xml:space="preserve">El Marco promueve la complementariedad y la cooperación entre el Convenio y sus Protocolos, los órganos rectores de otros convenios relacionados con la diversidad biológica y otros acuerdos ambientales multilaterales e instituciones internacionales pertinentes, respetando sus mandatos, y crea oportunidades de cooperación y asociación. </w:t>
      </w:r>
      <w:r w:rsidR="00BE7A82" w:rsidRPr="005E3D50">
        <w:rPr>
          <w:lang w:val="es-ES"/>
        </w:rPr>
        <w:t>Se proporcionan ejemplos de esa complementariedad e</w:t>
      </w:r>
      <w:r w:rsidRPr="005E3D50">
        <w:rPr>
          <w:lang w:val="es-ES"/>
        </w:rPr>
        <w:t xml:space="preserve">n los resúmenes de los progresos colectivos hacia cada una de las metas (sección II.B más abajo), y en la sección II.E sobre las contribuciones de los acuerdos ambientales multilaterales y organizaciones y procesos pertinentes. </w:t>
      </w:r>
    </w:p>
    <w:p w14:paraId="6FEAD5BE" w14:textId="51981DD9" w:rsidR="00754361" w:rsidRPr="005E3D50" w:rsidRDefault="00883DE2" w:rsidP="00883DE2">
      <w:pPr>
        <w:pStyle w:val="Caption"/>
        <w:keepNext/>
        <w:rPr>
          <w:i w:val="0"/>
          <w:sz w:val="20"/>
          <w:szCs w:val="20"/>
          <w:lang w:val="es-ES"/>
        </w:rPr>
      </w:pPr>
      <w:bookmarkStart w:id="25" w:name="_Ref238130929"/>
      <w:r w:rsidRPr="005E3D50">
        <w:rPr>
          <w:i w:val="0"/>
          <w:sz w:val="20"/>
          <w:szCs w:val="20"/>
          <w:lang w:val="es-ES"/>
        </w:rPr>
        <w:lastRenderedPageBreak/>
        <w:t>Figura 2</w:t>
      </w:r>
      <w:bookmarkEnd w:id="25"/>
    </w:p>
    <w:p w14:paraId="31D48FF0" w14:textId="50DE0175" w:rsidR="00883DE2" w:rsidRPr="005E3D50" w:rsidRDefault="00883DE2" w:rsidP="00883DE2">
      <w:pPr>
        <w:pStyle w:val="Caption"/>
        <w:keepNext/>
        <w:rPr>
          <w:b/>
          <w:i w:val="0"/>
          <w:sz w:val="20"/>
          <w:szCs w:val="20"/>
          <w:lang w:val="es-ES"/>
        </w:rPr>
      </w:pPr>
      <w:r w:rsidRPr="005E3D50">
        <w:rPr>
          <w:b/>
          <w:i w:val="0"/>
          <w:sz w:val="20"/>
          <w:szCs w:val="20"/>
          <w:lang w:val="es-ES"/>
        </w:rPr>
        <w:t>Representación gráfica del Marco Mundial de Biodiversidad de Kunming-Montreal</w:t>
      </w:r>
    </w:p>
    <w:p w14:paraId="1525DF4F" w14:textId="12A20910" w:rsidR="00F80C93" w:rsidRPr="005E3D50" w:rsidRDefault="00631CFB" w:rsidP="00141505">
      <w:pPr>
        <w:rPr>
          <w:lang w:val="es-ES"/>
        </w:rPr>
      </w:pPr>
      <w:r w:rsidRPr="005E3D50">
        <w:rPr>
          <w:noProof/>
          <w:lang w:val="en-US"/>
        </w:rPr>
        <w:drawing>
          <wp:inline distT="0" distB="0" distL="0" distR="0" wp14:anchorId="0C854874" wp14:editId="1EBE4497">
            <wp:extent cx="5731510" cy="3588385"/>
            <wp:effectExtent l="0" t="0" r="0" b="5715"/>
            <wp:docPr id="184444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0403" name="Picture 18444404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588385"/>
                    </a:xfrm>
                    <a:prstGeom prst="rect">
                      <a:avLst/>
                    </a:prstGeom>
                  </pic:spPr>
                </pic:pic>
              </a:graphicData>
            </a:graphic>
          </wp:inline>
        </w:drawing>
      </w:r>
    </w:p>
    <w:tbl>
      <w:tblPr>
        <w:tblStyle w:val="TableGrid"/>
        <w:tblW w:w="9347" w:type="dxa"/>
        <w:tblLook w:val="04A0" w:firstRow="1" w:lastRow="0" w:firstColumn="1" w:lastColumn="0" w:noHBand="0" w:noVBand="1"/>
      </w:tblPr>
      <w:tblGrid>
        <w:gridCol w:w="4563"/>
        <w:gridCol w:w="4784"/>
      </w:tblGrid>
      <w:tr w:rsidR="000C74EF" w:rsidRPr="000C74EF" w14:paraId="2EF0D04F" w14:textId="77777777" w:rsidTr="000C74EF">
        <w:tc>
          <w:tcPr>
            <w:tcW w:w="9347" w:type="dxa"/>
            <w:gridSpan w:val="2"/>
          </w:tcPr>
          <w:p w14:paraId="4D2210F1" w14:textId="63D6539C" w:rsidR="000C74EF" w:rsidRPr="00C05F0F" w:rsidRDefault="007533CC" w:rsidP="00C05F0F">
            <w:pPr>
              <w:rPr>
                <w:rFonts w:ascii="Aptos" w:hAnsi="Aptos"/>
                <w:sz w:val="18"/>
                <w:szCs w:val="18"/>
                <w:lang w:val="es-ES"/>
              </w:rPr>
            </w:pPr>
            <w:r w:rsidRPr="00C05F0F">
              <w:rPr>
                <w:rFonts w:ascii="Aptos" w:hAnsi="Aptos"/>
                <w:sz w:val="18"/>
                <w:szCs w:val="18"/>
                <w:lang w:val="es-ES"/>
              </w:rPr>
              <w:t>Figura</w:t>
            </w:r>
            <w:r w:rsidR="00C05F0F">
              <w:rPr>
                <w:rFonts w:ascii="Aptos" w:hAnsi="Aptos"/>
                <w:sz w:val="18"/>
                <w:szCs w:val="18"/>
                <w:lang w:val="es-ES"/>
              </w:rPr>
              <w:t xml:space="preserve"> 2</w:t>
            </w:r>
          </w:p>
        </w:tc>
      </w:tr>
      <w:tr w:rsidR="000C74EF" w:rsidRPr="000C74EF" w14:paraId="213956A6" w14:textId="77777777" w:rsidTr="000C74EF">
        <w:tc>
          <w:tcPr>
            <w:tcW w:w="4563" w:type="dxa"/>
          </w:tcPr>
          <w:p w14:paraId="2D0F3936" w14:textId="77777777" w:rsidR="000C74EF" w:rsidRPr="00C05F0F" w:rsidRDefault="000C74EF" w:rsidP="00C05F0F">
            <w:pPr>
              <w:rPr>
                <w:rFonts w:ascii="Aptos" w:hAnsi="Aptos"/>
                <w:sz w:val="18"/>
                <w:szCs w:val="18"/>
                <w:lang w:val="es-ES"/>
              </w:rPr>
            </w:pPr>
            <w:r w:rsidRPr="00C05F0F">
              <w:rPr>
                <w:rFonts w:ascii="Aptos" w:hAnsi="Aptos"/>
                <w:sz w:val="18"/>
                <w:szCs w:val="18"/>
                <w:lang w:val="es-ES"/>
              </w:rPr>
              <w:t xml:space="preserve">English </w:t>
            </w:r>
          </w:p>
        </w:tc>
        <w:tc>
          <w:tcPr>
            <w:tcW w:w="4783" w:type="dxa"/>
          </w:tcPr>
          <w:p w14:paraId="3C12862A" w14:textId="36F4E9D3" w:rsidR="000C74EF" w:rsidRPr="00C05F0F" w:rsidRDefault="007371B4" w:rsidP="00C05F0F">
            <w:pPr>
              <w:rPr>
                <w:rFonts w:ascii="Aptos" w:hAnsi="Aptos"/>
                <w:sz w:val="18"/>
                <w:szCs w:val="18"/>
                <w:lang w:val="es-ES"/>
              </w:rPr>
            </w:pPr>
            <w:r w:rsidRPr="00C05F0F">
              <w:rPr>
                <w:rFonts w:ascii="Aptos" w:hAnsi="Aptos"/>
                <w:sz w:val="18"/>
                <w:szCs w:val="18"/>
                <w:lang w:val="es-ES"/>
              </w:rPr>
              <w:t>Español</w:t>
            </w:r>
          </w:p>
        </w:tc>
      </w:tr>
      <w:tr w:rsidR="000C74EF" w:rsidRPr="000C74EF" w14:paraId="7DBEB9A1" w14:textId="77777777" w:rsidTr="000C74EF">
        <w:tc>
          <w:tcPr>
            <w:tcW w:w="4563" w:type="dxa"/>
          </w:tcPr>
          <w:p w14:paraId="2FBDD71A"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Vision: A world living in harmony with nature by 2050</w:t>
            </w:r>
          </w:p>
        </w:tc>
        <w:tc>
          <w:tcPr>
            <w:tcW w:w="4783" w:type="dxa"/>
          </w:tcPr>
          <w:p w14:paraId="20F1CE26" w14:textId="31C3617B" w:rsidR="000C74EF" w:rsidRPr="000C74EF" w:rsidRDefault="000C74EF" w:rsidP="000C74EF">
            <w:pPr>
              <w:rPr>
                <w:rFonts w:ascii="Aptos" w:hAnsi="Aptos"/>
                <w:sz w:val="18"/>
                <w:szCs w:val="18"/>
                <w:lang w:val="es-ES"/>
              </w:rPr>
            </w:pPr>
            <w:r w:rsidRPr="000C74EF">
              <w:rPr>
                <w:sz w:val="18"/>
                <w:szCs w:val="18"/>
                <w:lang w:val="es-ES"/>
              </w:rPr>
              <w:t>Visión: Un mundo en el que se viva en armonía con la naturaleza para 2050</w:t>
            </w:r>
          </w:p>
        </w:tc>
      </w:tr>
      <w:tr w:rsidR="000C74EF" w:rsidRPr="000C74EF" w14:paraId="67751864" w14:textId="77777777" w:rsidTr="000C74EF">
        <w:tc>
          <w:tcPr>
            <w:tcW w:w="4563" w:type="dxa"/>
          </w:tcPr>
          <w:p w14:paraId="18E4608F"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Goal A Protect and restore</w:t>
            </w:r>
          </w:p>
        </w:tc>
        <w:tc>
          <w:tcPr>
            <w:tcW w:w="4783" w:type="dxa"/>
          </w:tcPr>
          <w:p w14:paraId="0C590639" w14:textId="2F7F79D6" w:rsidR="000C74EF" w:rsidRPr="000C74EF" w:rsidRDefault="000C74EF" w:rsidP="000C74EF">
            <w:pPr>
              <w:rPr>
                <w:rFonts w:ascii="Aptos" w:hAnsi="Aptos"/>
                <w:sz w:val="18"/>
                <w:szCs w:val="18"/>
                <w:lang w:val="es-ES"/>
              </w:rPr>
            </w:pPr>
            <w:proofErr w:type="gramStart"/>
            <w:r w:rsidRPr="000C74EF">
              <w:rPr>
                <w:sz w:val="18"/>
                <w:szCs w:val="18"/>
                <w:lang w:val="es-ES"/>
              </w:rPr>
              <w:t>Objetivo A Proteger</w:t>
            </w:r>
            <w:proofErr w:type="gramEnd"/>
            <w:r w:rsidRPr="000C74EF">
              <w:rPr>
                <w:sz w:val="18"/>
                <w:szCs w:val="18"/>
                <w:lang w:val="es-ES"/>
              </w:rPr>
              <w:t xml:space="preserve"> y restaurar</w:t>
            </w:r>
          </w:p>
        </w:tc>
      </w:tr>
      <w:tr w:rsidR="000C74EF" w:rsidRPr="000C74EF" w14:paraId="4BD38F03" w14:textId="77777777" w:rsidTr="000C74EF">
        <w:tc>
          <w:tcPr>
            <w:tcW w:w="4563" w:type="dxa"/>
          </w:tcPr>
          <w:p w14:paraId="123591FE"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Goal B</w:t>
            </w:r>
          </w:p>
          <w:p w14:paraId="2C2E72B3"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Prosper with nature</w:t>
            </w:r>
          </w:p>
        </w:tc>
        <w:tc>
          <w:tcPr>
            <w:tcW w:w="4783" w:type="dxa"/>
          </w:tcPr>
          <w:p w14:paraId="0CF30410" w14:textId="4871CB87" w:rsidR="000C74EF" w:rsidRPr="000C74EF" w:rsidRDefault="000C74EF" w:rsidP="000C74EF">
            <w:pPr>
              <w:rPr>
                <w:rFonts w:ascii="Aptos" w:hAnsi="Aptos"/>
                <w:sz w:val="18"/>
                <w:szCs w:val="18"/>
                <w:lang w:val="es-ES"/>
              </w:rPr>
            </w:pPr>
            <w:r w:rsidRPr="000C74EF">
              <w:rPr>
                <w:sz w:val="18"/>
                <w:szCs w:val="18"/>
                <w:lang w:val="es-ES"/>
              </w:rPr>
              <w:t>Objetivo B Prosperar con la naturaleza</w:t>
            </w:r>
          </w:p>
        </w:tc>
      </w:tr>
      <w:tr w:rsidR="000C74EF" w:rsidRPr="000C74EF" w14:paraId="5035DFC6" w14:textId="77777777" w:rsidTr="000C74EF">
        <w:tc>
          <w:tcPr>
            <w:tcW w:w="4563" w:type="dxa"/>
          </w:tcPr>
          <w:p w14:paraId="0E223D29"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Goal C</w:t>
            </w:r>
          </w:p>
          <w:p w14:paraId="529103EB"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Share benefits from genetic resources fairly</w:t>
            </w:r>
          </w:p>
        </w:tc>
        <w:tc>
          <w:tcPr>
            <w:tcW w:w="4783" w:type="dxa"/>
          </w:tcPr>
          <w:p w14:paraId="205026CA" w14:textId="5099CA24" w:rsidR="000C74EF" w:rsidRPr="000C74EF" w:rsidRDefault="000C74EF" w:rsidP="000C74EF">
            <w:pPr>
              <w:rPr>
                <w:rFonts w:ascii="Aptos" w:hAnsi="Aptos"/>
                <w:sz w:val="18"/>
                <w:szCs w:val="18"/>
                <w:lang w:val="es-ES"/>
              </w:rPr>
            </w:pPr>
            <w:r w:rsidRPr="000C74EF">
              <w:rPr>
                <w:sz w:val="18"/>
                <w:szCs w:val="18"/>
                <w:lang w:val="es-ES"/>
              </w:rPr>
              <w:t>Objetivo C Compartir los beneficios de manera justa</w:t>
            </w:r>
          </w:p>
        </w:tc>
      </w:tr>
      <w:tr w:rsidR="000C74EF" w:rsidRPr="000C74EF" w14:paraId="4AF431C9" w14:textId="77777777" w:rsidTr="000C74EF">
        <w:tc>
          <w:tcPr>
            <w:tcW w:w="4563" w:type="dxa"/>
          </w:tcPr>
          <w:p w14:paraId="3DD692A9"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Goal D</w:t>
            </w:r>
          </w:p>
          <w:p w14:paraId="6BC52E2A"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Invest and collaborate</w:t>
            </w:r>
          </w:p>
        </w:tc>
        <w:tc>
          <w:tcPr>
            <w:tcW w:w="4783" w:type="dxa"/>
          </w:tcPr>
          <w:p w14:paraId="0688FA1F" w14:textId="36ECA796" w:rsidR="000C74EF" w:rsidRPr="000C74EF" w:rsidRDefault="000C74EF" w:rsidP="000C74EF">
            <w:pPr>
              <w:rPr>
                <w:rFonts w:ascii="Aptos" w:hAnsi="Aptos"/>
                <w:sz w:val="18"/>
                <w:szCs w:val="18"/>
                <w:lang w:val="es-ES"/>
              </w:rPr>
            </w:pPr>
            <w:r w:rsidRPr="000C74EF">
              <w:rPr>
                <w:sz w:val="18"/>
                <w:szCs w:val="18"/>
                <w:lang w:val="es-ES"/>
              </w:rPr>
              <w:t>Objetivo D Invertir y colaborar</w:t>
            </w:r>
          </w:p>
        </w:tc>
      </w:tr>
      <w:tr w:rsidR="000C74EF" w:rsidRPr="000C74EF" w14:paraId="35E9CFD7" w14:textId="77777777" w:rsidTr="000C74EF">
        <w:tc>
          <w:tcPr>
            <w:tcW w:w="4563" w:type="dxa"/>
          </w:tcPr>
          <w:p w14:paraId="1526C08B"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2030 mission: To take urgent action to halt and reverse biodiversity loss to put nature on a path to recovery</w:t>
            </w:r>
          </w:p>
        </w:tc>
        <w:tc>
          <w:tcPr>
            <w:tcW w:w="4783" w:type="dxa"/>
          </w:tcPr>
          <w:p w14:paraId="0AB543C8" w14:textId="2FE5FD89" w:rsidR="000C74EF" w:rsidRPr="000C74EF" w:rsidRDefault="000C74EF" w:rsidP="000C74EF">
            <w:pPr>
              <w:rPr>
                <w:rFonts w:ascii="Aptos" w:hAnsi="Aptos"/>
                <w:sz w:val="18"/>
                <w:szCs w:val="18"/>
                <w:lang w:val="es-ES"/>
              </w:rPr>
            </w:pPr>
            <w:r w:rsidRPr="000C74EF">
              <w:rPr>
                <w:sz w:val="18"/>
                <w:szCs w:val="18"/>
                <w:lang w:val="es-ES"/>
              </w:rPr>
              <w:t>Misión para 2030: Adoptar medidas urgentes para detener e invertir la pérdida de diversidad biológica a fin de encauzar a la naturaleza en el camino hacia la recuperación</w:t>
            </w:r>
          </w:p>
        </w:tc>
      </w:tr>
      <w:tr w:rsidR="000C74EF" w:rsidRPr="000C74EF" w14:paraId="3F8BF094" w14:textId="77777777" w:rsidTr="000C74EF">
        <w:tc>
          <w:tcPr>
            <w:tcW w:w="4563" w:type="dxa"/>
          </w:tcPr>
          <w:p w14:paraId="65D736C8"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23 targets</w:t>
            </w:r>
          </w:p>
        </w:tc>
        <w:tc>
          <w:tcPr>
            <w:tcW w:w="4783" w:type="dxa"/>
          </w:tcPr>
          <w:p w14:paraId="0C5D8208" w14:textId="253C34A8" w:rsidR="000C74EF" w:rsidRPr="000C74EF" w:rsidRDefault="000C74EF" w:rsidP="000C74EF">
            <w:pPr>
              <w:rPr>
                <w:rFonts w:ascii="Aptos" w:hAnsi="Aptos"/>
                <w:sz w:val="18"/>
                <w:szCs w:val="18"/>
                <w:lang w:val="es-ES"/>
              </w:rPr>
            </w:pPr>
            <w:r w:rsidRPr="000C74EF">
              <w:rPr>
                <w:sz w:val="18"/>
                <w:szCs w:val="18"/>
                <w:lang w:val="es-ES"/>
              </w:rPr>
              <w:t>23 metas</w:t>
            </w:r>
          </w:p>
        </w:tc>
      </w:tr>
      <w:tr w:rsidR="000C74EF" w:rsidRPr="000C74EF" w14:paraId="6EA2EF93" w14:textId="77777777" w:rsidTr="000C74EF">
        <w:tc>
          <w:tcPr>
            <w:tcW w:w="4563" w:type="dxa"/>
          </w:tcPr>
          <w:p w14:paraId="769928FE" w14:textId="77777777" w:rsidR="000C74EF" w:rsidRPr="000C74EF" w:rsidRDefault="000C74EF" w:rsidP="000C74EF">
            <w:pPr>
              <w:rPr>
                <w:rFonts w:ascii="Aptos" w:hAnsi="Aptos"/>
                <w:sz w:val="18"/>
                <w:szCs w:val="18"/>
                <w:lang w:val="es-ES"/>
              </w:rPr>
            </w:pPr>
            <w:proofErr w:type="spellStart"/>
            <w:r w:rsidRPr="000C74EF">
              <w:rPr>
                <w:rFonts w:ascii="Aptos" w:hAnsi="Aptos"/>
                <w:sz w:val="18"/>
                <w:szCs w:val="18"/>
                <w:lang w:val="es-ES"/>
              </w:rPr>
              <w:t>Reducing</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threats</w:t>
            </w:r>
            <w:proofErr w:type="spellEnd"/>
          </w:p>
        </w:tc>
        <w:tc>
          <w:tcPr>
            <w:tcW w:w="4783" w:type="dxa"/>
          </w:tcPr>
          <w:p w14:paraId="6CC68032" w14:textId="11BCDA3D" w:rsidR="000C74EF" w:rsidRPr="000C74EF" w:rsidRDefault="000C74EF" w:rsidP="000C74EF">
            <w:pPr>
              <w:rPr>
                <w:rFonts w:ascii="Aptos" w:hAnsi="Aptos"/>
                <w:sz w:val="18"/>
                <w:szCs w:val="18"/>
                <w:lang w:val="es-ES"/>
              </w:rPr>
            </w:pPr>
            <w:r w:rsidRPr="000C74EF">
              <w:rPr>
                <w:sz w:val="18"/>
                <w:szCs w:val="18"/>
                <w:lang w:val="es-ES"/>
              </w:rPr>
              <w:t>Reducir las amenazas</w:t>
            </w:r>
          </w:p>
        </w:tc>
      </w:tr>
      <w:tr w:rsidR="000C74EF" w:rsidRPr="000C74EF" w14:paraId="2428C5AA" w14:textId="77777777" w:rsidTr="000C74EF">
        <w:tc>
          <w:tcPr>
            <w:tcW w:w="4563" w:type="dxa"/>
          </w:tcPr>
          <w:p w14:paraId="7BCDC82B" w14:textId="77777777" w:rsidR="000C74EF" w:rsidRPr="000C74EF" w:rsidRDefault="000C74EF" w:rsidP="000C74EF">
            <w:pPr>
              <w:rPr>
                <w:rFonts w:ascii="Aptos" w:hAnsi="Aptos"/>
                <w:sz w:val="18"/>
                <w:szCs w:val="18"/>
                <w:lang w:val="es-ES"/>
              </w:rPr>
            </w:pPr>
            <w:proofErr w:type="gramStart"/>
            <w:r w:rsidRPr="000C74EF">
              <w:rPr>
                <w:rFonts w:ascii="Aptos" w:hAnsi="Aptos"/>
                <w:sz w:val="18"/>
                <w:szCs w:val="18"/>
                <w:lang w:val="es-ES"/>
              </w:rPr>
              <w:t>Meeting</w:t>
            </w:r>
            <w:proofErr w:type="gramEnd"/>
            <w:r w:rsidRPr="000C74EF">
              <w:rPr>
                <w:rFonts w:ascii="Aptos" w:hAnsi="Aptos"/>
                <w:sz w:val="18"/>
                <w:szCs w:val="18"/>
                <w:lang w:val="es-ES"/>
              </w:rPr>
              <w:t xml:space="preserve"> </w:t>
            </w:r>
            <w:proofErr w:type="spellStart"/>
            <w:r w:rsidRPr="000C74EF">
              <w:rPr>
                <w:rFonts w:ascii="Aptos" w:hAnsi="Aptos"/>
                <w:sz w:val="18"/>
                <w:szCs w:val="18"/>
                <w:lang w:val="es-ES"/>
              </w:rPr>
              <w:t>people’s</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needs</w:t>
            </w:r>
            <w:proofErr w:type="spellEnd"/>
          </w:p>
        </w:tc>
        <w:tc>
          <w:tcPr>
            <w:tcW w:w="4783" w:type="dxa"/>
          </w:tcPr>
          <w:p w14:paraId="20851DDF" w14:textId="150D1B66" w:rsidR="000C74EF" w:rsidRPr="000C74EF" w:rsidRDefault="000C74EF" w:rsidP="000C74EF">
            <w:pPr>
              <w:rPr>
                <w:rFonts w:ascii="Aptos" w:hAnsi="Aptos"/>
                <w:sz w:val="18"/>
                <w:szCs w:val="18"/>
                <w:lang w:val="es-ES"/>
              </w:rPr>
            </w:pPr>
            <w:r w:rsidRPr="000C74EF">
              <w:rPr>
                <w:sz w:val="18"/>
                <w:szCs w:val="18"/>
                <w:lang w:val="es-ES"/>
              </w:rPr>
              <w:t>Satisfacer las necesidades de las personas</w:t>
            </w:r>
          </w:p>
        </w:tc>
      </w:tr>
      <w:tr w:rsidR="000C74EF" w:rsidRPr="000C74EF" w14:paraId="6A5E3280" w14:textId="77777777" w:rsidTr="000C74EF">
        <w:tc>
          <w:tcPr>
            <w:tcW w:w="4563" w:type="dxa"/>
          </w:tcPr>
          <w:p w14:paraId="4B33C919"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Tools and </w:t>
            </w:r>
            <w:proofErr w:type="spellStart"/>
            <w:r w:rsidRPr="000C74EF">
              <w:rPr>
                <w:rFonts w:ascii="Aptos" w:hAnsi="Aptos"/>
                <w:sz w:val="18"/>
                <w:szCs w:val="18"/>
                <w:lang w:val="es-ES"/>
              </w:rPr>
              <w:t>solutions</w:t>
            </w:r>
            <w:proofErr w:type="spellEnd"/>
          </w:p>
        </w:tc>
        <w:tc>
          <w:tcPr>
            <w:tcW w:w="4783" w:type="dxa"/>
          </w:tcPr>
          <w:p w14:paraId="1CB6A2B8" w14:textId="32E0C53D" w:rsidR="000C74EF" w:rsidRPr="000C74EF" w:rsidRDefault="000C74EF" w:rsidP="000C74EF">
            <w:pPr>
              <w:rPr>
                <w:rFonts w:ascii="Aptos" w:hAnsi="Aptos"/>
                <w:sz w:val="18"/>
                <w:szCs w:val="18"/>
                <w:lang w:val="es-ES"/>
              </w:rPr>
            </w:pPr>
            <w:r w:rsidRPr="000C74EF">
              <w:rPr>
                <w:sz w:val="18"/>
                <w:szCs w:val="18"/>
                <w:lang w:val="es-ES"/>
              </w:rPr>
              <w:t>Herramientas y soluciones</w:t>
            </w:r>
          </w:p>
        </w:tc>
      </w:tr>
      <w:tr w:rsidR="000C74EF" w:rsidRPr="000C74EF" w14:paraId="43E43B25" w14:textId="77777777" w:rsidTr="000C74EF">
        <w:tc>
          <w:tcPr>
            <w:tcW w:w="4563" w:type="dxa"/>
          </w:tcPr>
          <w:p w14:paraId="3AC43E2E"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Cross-</w:t>
            </w:r>
            <w:proofErr w:type="spellStart"/>
            <w:r w:rsidRPr="000C74EF">
              <w:rPr>
                <w:rFonts w:ascii="Aptos" w:hAnsi="Aptos"/>
                <w:sz w:val="18"/>
                <w:szCs w:val="18"/>
                <w:lang w:val="es-ES"/>
              </w:rPr>
              <w:t>cutting</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considerations</w:t>
            </w:r>
            <w:proofErr w:type="spellEnd"/>
            <w:r w:rsidRPr="000C74EF">
              <w:rPr>
                <w:rFonts w:ascii="Aptos" w:hAnsi="Aptos"/>
                <w:sz w:val="18"/>
                <w:szCs w:val="18"/>
                <w:lang w:val="es-ES"/>
              </w:rPr>
              <w:t>:</w:t>
            </w:r>
          </w:p>
        </w:tc>
        <w:tc>
          <w:tcPr>
            <w:tcW w:w="4783" w:type="dxa"/>
          </w:tcPr>
          <w:p w14:paraId="159230D9" w14:textId="73FB7CF0" w:rsidR="000C74EF" w:rsidRPr="000C74EF" w:rsidRDefault="000C74EF" w:rsidP="000C74EF">
            <w:pPr>
              <w:rPr>
                <w:rFonts w:ascii="Aptos" w:hAnsi="Aptos"/>
                <w:sz w:val="18"/>
                <w:szCs w:val="18"/>
                <w:lang w:val="es-ES"/>
              </w:rPr>
            </w:pPr>
            <w:r w:rsidRPr="000C74EF">
              <w:rPr>
                <w:rFonts w:ascii="Aptos" w:hAnsi="Aptos"/>
                <w:sz w:val="18"/>
                <w:szCs w:val="18"/>
                <w:lang w:val="es-ES"/>
              </w:rPr>
              <w:t>Consideraciones transversales:</w:t>
            </w:r>
          </w:p>
        </w:tc>
      </w:tr>
      <w:tr w:rsidR="000C74EF" w:rsidRPr="000C74EF" w14:paraId="4C86C773" w14:textId="77777777" w:rsidTr="000C74EF">
        <w:tc>
          <w:tcPr>
            <w:tcW w:w="4563" w:type="dxa"/>
          </w:tcPr>
          <w:p w14:paraId="25BDE165"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(a) Contribution and rights of indigenous peoples and local communities;</w:t>
            </w:r>
          </w:p>
        </w:tc>
        <w:tc>
          <w:tcPr>
            <w:tcW w:w="4783" w:type="dxa"/>
          </w:tcPr>
          <w:p w14:paraId="007CA933" w14:textId="11F503D8" w:rsidR="000C74EF" w:rsidRPr="000C74EF" w:rsidRDefault="000C74EF" w:rsidP="000C74EF">
            <w:pPr>
              <w:rPr>
                <w:rFonts w:ascii="Aptos" w:hAnsi="Aptos"/>
                <w:sz w:val="18"/>
                <w:szCs w:val="18"/>
                <w:lang w:val="es-ES"/>
              </w:rPr>
            </w:pPr>
            <w:r w:rsidRPr="000C74EF">
              <w:rPr>
                <w:rFonts w:ascii="Aptos" w:hAnsi="Aptos"/>
                <w:sz w:val="18"/>
                <w:szCs w:val="18"/>
                <w:lang w:val="es-ES"/>
              </w:rPr>
              <w:t>a) Contribución y derechos de los pueblos indígenas y las comunidades locales;</w:t>
            </w:r>
          </w:p>
        </w:tc>
      </w:tr>
      <w:tr w:rsidR="000C74EF" w:rsidRPr="000C74EF" w14:paraId="715F0BE6" w14:textId="77777777" w:rsidTr="000C74EF">
        <w:tc>
          <w:tcPr>
            <w:tcW w:w="4563" w:type="dxa"/>
          </w:tcPr>
          <w:p w14:paraId="699E5DC4"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(b) </w:t>
            </w:r>
            <w:proofErr w:type="spellStart"/>
            <w:r w:rsidRPr="000C74EF">
              <w:rPr>
                <w:rFonts w:ascii="Aptos" w:hAnsi="Aptos"/>
                <w:sz w:val="18"/>
                <w:szCs w:val="18"/>
                <w:lang w:val="es-ES"/>
              </w:rPr>
              <w:t>Different</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value</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systems</w:t>
            </w:r>
            <w:proofErr w:type="spellEnd"/>
            <w:r w:rsidRPr="000C74EF">
              <w:rPr>
                <w:rFonts w:ascii="Aptos" w:hAnsi="Aptos"/>
                <w:sz w:val="18"/>
                <w:szCs w:val="18"/>
                <w:lang w:val="es-ES"/>
              </w:rPr>
              <w:t>;</w:t>
            </w:r>
          </w:p>
        </w:tc>
        <w:tc>
          <w:tcPr>
            <w:tcW w:w="4783" w:type="dxa"/>
          </w:tcPr>
          <w:p w14:paraId="7B8023FB" w14:textId="7FA1244C" w:rsidR="000C74EF" w:rsidRPr="000C74EF" w:rsidRDefault="000C74EF" w:rsidP="000C74EF">
            <w:pPr>
              <w:rPr>
                <w:rFonts w:ascii="Aptos" w:hAnsi="Aptos"/>
                <w:sz w:val="18"/>
                <w:szCs w:val="18"/>
                <w:lang w:val="es-ES"/>
              </w:rPr>
            </w:pPr>
            <w:r w:rsidRPr="000C74EF">
              <w:rPr>
                <w:rFonts w:ascii="Aptos" w:hAnsi="Aptos"/>
                <w:sz w:val="18"/>
                <w:szCs w:val="18"/>
                <w:lang w:val="es-ES"/>
              </w:rPr>
              <w:t>b) Diferentes sistemas de valores;</w:t>
            </w:r>
          </w:p>
        </w:tc>
      </w:tr>
      <w:tr w:rsidR="000C74EF" w:rsidRPr="000C74EF" w14:paraId="32283084" w14:textId="77777777" w:rsidTr="000C74EF">
        <w:tc>
          <w:tcPr>
            <w:tcW w:w="4563" w:type="dxa"/>
          </w:tcPr>
          <w:p w14:paraId="665858EF"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(c) Whole-of-government and whole-of-society approach;</w:t>
            </w:r>
          </w:p>
        </w:tc>
        <w:tc>
          <w:tcPr>
            <w:tcW w:w="4783" w:type="dxa"/>
          </w:tcPr>
          <w:p w14:paraId="6658B5B1" w14:textId="63FA659A" w:rsidR="000C74EF" w:rsidRPr="000C74EF" w:rsidRDefault="000C74EF" w:rsidP="000C74EF">
            <w:pPr>
              <w:rPr>
                <w:rFonts w:ascii="Aptos" w:hAnsi="Aptos"/>
                <w:sz w:val="18"/>
                <w:szCs w:val="18"/>
                <w:lang w:val="es-ES"/>
              </w:rPr>
            </w:pPr>
            <w:r w:rsidRPr="000C74EF">
              <w:rPr>
                <w:rFonts w:ascii="Aptos" w:hAnsi="Aptos"/>
                <w:sz w:val="18"/>
                <w:szCs w:val="18"/>
                <w:lang w:val="es-ES"/>
              </w:rPr>
              <w:t>c) Enfoque de todo el gobierno y toda la sociedad;</w:t>
            </w:r>
          </w:p>
        </w:tc>
      </w:tr>
      <w:tr w:rsidR="000C74EF" w:rsidRPr="000C74EF" w14:paraId="26435519" w14:textId="77777777" w:rsidTr="000C74EF">
        <w:tc>
          <w:tcPr>
            <w:tcW w:w="4563" w:type="dxa"/>
          </w:tcPr>
          <w:p w14:paraId="4ADA0248"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(d) National circumstances, priorities and capabilities;</w:t>
            </w:r>
          </w:p>
        </w:tc>
        <w:tc>
          <w:tcPr>
            <w:tcW w:w="4783" w:type="dxa"/>
          </w:tcPr>
          <w:p w14:paraId="28966531" w14:textId="1818B7AA" w:rsidR="000C74EF" w:rsidRPr="000C74EF" w:rsidRDefault="000C74EF" w:rsidP="000C74EF">
            <w:pPr>
              <w:rPr>
                <w:rFonts w:ascii="Aptos" w:hAnsi="Aptos"/>
                <w:sz w:val="18"/>
                <w:szCs w:val="18"/>
                <w:lang w:val="es-ES"/>
              </w:rPr>
            </w:pPr>
            <w:r w:rsidRPr="000C74EF">
              <w:rPr>
                <w:sz w:val="18"/>
                <w:szCs w:val="18"/>
                <w:lang w:val="es-ES"/>
              </w:rPr>
              <w:t>d) Circunstancias, prioridades y capacidades nacionales;</w:t>
            </w:r>
          </w:p>
        </w:tc>
      </w:tr>
      <w:tr w:rsidR="000C74EF" w:rsidRPr="000C74EF" w14:paraId="571E38FA" w14:textId="77777777" w:rsidTr="000C74EF">
        <w:tc>
          <w:tcPr>
            <w:tcW w:w="4563" w:type="dxa"/>
          </w:tcPr>
          <w:p w14:paraId="002474FB"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(e) Collective effort towards the targets;</w:t>
            </w:r>
          </w:p>
        </w:tc>
        <w:tc>
          <w:tcPr>
            <w:tcW w:w="4783" w:type="dxa"/>
          </w:tcPr>
          <w:p w14:paraId="11A86CF2" w14:textId="074AABC2" w:rsidR="000C74EF" w:rsidRPr="000C74EF" w:rsidRDefault="000C74EF" w:rsidP="000C74EF">
            <w:pPr>
              <w:rPr>
                <w:rFonts w:ascii="Aptos" w:hAnsi="Aptos"/>
                <w:sz w:val="18"/>
                <w:szCs w:val="18"/>
                <w:lang w:val="es-ES"/>
              </w:rPr>
            </w:pPr>
            <w:r w:rsidRPr="000C74EF">
              <w:rPr>
                <w:sz w:val="18"/>
                <w:szCs w:val="18"/>
                <w:lang w:val="es-ES"/>
              </w:rPr>
              <w:t>e) Esfuerzo colectivo para la consecución de las metas;</w:t>
            </w:r>
          </w:p>
        </w:tc>
      </w:tr>
      <w:tr w:rsidR="000C74EF" w:rsidRPr="000C74EF" w14:paraId="57BCD96D" w14:textId="77777777" w:rsidTr="000C74EF">
        <w:tc>
          <w:tcPr>
            <w:tcW w:w="4563" w:type="dxa"/>
          </w:tcPr>
          <w:p w14:paraId="3D7CBDD9"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lastRenderedPageBreak/>
              <w:t xml:space="preserve">(f) Right to </w:t>
            </w:r>
            <w:proofErr w:type="spellStart"/>
            <w:r w:rsidRPr="000C74EF">
              <w:rPr>
                <w:rFonts w:ascii="Aptos" w:hAnsi="Aptos"/>
                <w:sz w:val="18"/>
                <w:szCs w:val="18"/>
                <w:lang w:val="es-ES"/>
              </w:rPr>
              <w:t>development</w:t>
            </w:r>
            <w:proofErr w:type="spellEnd"/>
            <w:r w:rsidRPr="000C74EF">
              <w:rPr>
                <w:rFonts w:ascii="Aptos" w:hAnsi="Aptos"/>
                <w:sz w:val="18"/>
                <w:szCs w:val="18"/>
                <w:lang w:val="es-ES"/>
              </w:rPr>
              <w:t>;</w:t>
            </w:r>
          </w:p>
        </w:tc>
        <w:tc>
          <w:tcPr>
            <w:tcW w:w="4783" w:type="dxa"/>
          </w:tcPr>
          <w:p w14:paraId="758C0785" w14:textId="56ABF164" w:rsidR="000C74EF" w:rsidRPr="000C74EF" w:rsidRDefault="000C74EF" w:rsidP="000C74EF">
            <w:pPr>
              <w:rPr>
                <w:rFonts w:ascii="Aptos" w:hAnsi="Aptos"/>
                <w:sz w:val="18"/>
                <w:szCs w:val="18"/>
                <w:lang w:val="es-ES"/>
              </w:rPr>
            </w:pPr>
            <w:r w:rsidRPr="000C74EF">
              <w:rPr>
                <w:sz w:val="18"/>
                <w:szCs w:val="18"/>
                <w:lang w:val="es-ES"/>
              </w:rPr>
              <w:t>f) Derecho al desarrollo;</w:t>
            </w:r>
          </w:p>
        </w:tc>
      </w:tr>
      <w:tr w:rsidR="000C74EF" w:rsidRPr="000C74EF" w14:paraId="1DFA6A18" w14:textId="77777777" w:rsidTr="000C74EF">
        <w:tc>
          <w:tcPr>
            <w:tcW w:w="4563" w:type="dxa"/>
          </w:tcPr>
          <w:p w14:paraId="02EE07BD"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(g) Human rights-based approach;</w:t>
            </w:r>
          </w:p>
        </w:tc>
        <w:tc>
          <w:tcPr>
            <w:tcW w:w="4783" w:type="dxa"/>
          </w:tcPr>
          <w:p w14:paraId="00AB88AC" w14:textId="1D5860D9" w:rsidR="000C74EF" w:rsidRPr="000C74EF" w:rsidRDefault="000C74EF" w:rsidP="000C74EF">
            <w:pPr>
              <w:rPr>
                <w:rFonts w:ascii="Aptos" w:hAnsi="Aptos"/>
                <w:sz w:val="18"/>
                <w:szCs w:val="18"/>
                <w:lang w:val="es-ES"/>
              </w:rPr>
            </w:pPr>
            <w:r w:rsidRPr="000C74EF">
              <w:rPr>
                <w:rFonts w:ascii="Aptos" w:hAnsi="Aptos"/>
                <w:sz w:val="18"/>
                <w:szCs w:val="18"/>
                <w:lang w:val="es-ES"/>
              </w:rPr>
              <w:t>g) Enfoque basado en los derechos humanos;</w:t>
            </w:r>
          </w:p>
        </w:tc>
      </w:tr>
      <w:tr w:rsidR="000C74EF" w:rsidRPr="000C74EF" w14:paraId="42644AD2" w14:textId="77777777" w:rsidTr="000C74EF">
        <w:tc>
          <w:tcPr>
            <w:tcW w:w="4563" w:type="dxa"/>
          </w:tcPr>
          <w:p w14:paraId="2AC4CE0C"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(h) Gender;</w:t>
            </w:r>
          </w:p>
        </w:tc>
        <w:tc>
          <w:tcPr>
            <w:tcW w:w="4783" w:type="dxa"/>
          </w:tcPr>
          <w:p w14:paraId="5B216618" w14:textId="62881E4D" w:rsidR="000C74EF" w:rsidRPr="000C74EF" w:rsidRDefault="000C74EF" w:rsidP="000C74EF">
            <w:pPr>
              <w:rPr>
                <w:rFonts w:ascii="Aptos" w:hAnsi="Aptos"/>
                <w:sz w:val="18"/>
                <w:szCs w:val="18"/>
                <w:lang w:val="es-ES"/>
              </w:rPr>
            </w:pPr>
            <w:r w:rsidRPr="000C74EF">
              <w:rPr>
                <w:sz w:val="18"/>
                <w:szCs w:val="18"/>
                <w:lang w:val="es-ES"/>
              </w:rPr>
              <w:t>h) Género;</w:t>
            </w:r>
          </w:p>
        </w:tc>
      </w:tr>
      <w:tr w:rsidR="000C74EF" w:rsidRPr="000C74EF" w14:paraId="5DEE1E03" w14:textId="77777777" w:rsidTr="000C74EF">
        <w:tc>
          <w:tcPr>
            <w:tcW w:w="4563" w:type="dxa"/>
          </w:tcPr>
          <w:p w14:paraId="1C972BAA"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(i) Fulfilment of the three objectives of the Convention and its Protocols and their balanced implementation;</w:t>
            </w:r>
          </w:p>
        </w:tc>
        <w:tc>
          <w:tcPr>
            <w:tcW w:w="4783" w:type="dxa"/>
          </w:tcPr>
          <w:p w14:paraId="6E72D645" w14:textId="1AFF5607" w:rsidR="000C74EF" w:rsidRPr="000C74EF" w:rsidRDefault="000C74EF" w:rsidP="000C74EF">
            <w:pPr>
              <w:rPr>
                <w:rFonts w:ascii="Aptos" w:hAnsi="Aptos"/>
                <w:sz w:val="18"/>
                <w:szCs w:val="18"/>
                <w:lang w:val="es-ES"/>
              </w:rPr>
            </w:pPr>
            <w:r w:rsidRPr="000C74EF">
              <w:rPr>
                <w:sz w:val="18"/>
                <w:szCs w:val="18"/>
                <w:lang w:val="es-ES"/>
              </w:rPr>
              <w:t>i) Cumplimiento de los tres objetivos del Convenio y sus Protocolos y su aplicación equilibrada;</w:t>
            </w:r>
          </w:p>
        </w:tc>
      </w:tr>
      <w:tr w:rsidR="000C74EF" w:rsidRPr="000C74EF" w14:paraId="48389AF2" w14:textId="77777777" w:rsidTr="000C74EF">
        <w:tc>
          <w:tcPr>
            <w:tcW w:w="4563" w:type="dxa"/>
          </w:tcPr>
          <w:p w14:paraId="13024ECE"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(j) Consistency with international agreements or instruments;</w:t>
            </w:r>
          </w:p>
        </w:tc>
        <w:tc>
          <w:tcPr>
            <w:tcW w:w="4783" w:type="dxa"/>
          </w:tcPr>
          <w:p w14:paraId="5A95F606" w14:textId="50940D27" w:rsidR="000C74EF" w:rsidRPr="000C74EF" w:rsidRDefault="000C74EF" w:rsidP="000C74EF">
            <w:pPr>
              <w:rPr>
                <w:rFonts w:ascii="Aptos" w:hAnsi="Aptos"/>
                <w:sz w:val="18"/>
                <w:szCs w:val="18"/>
                <w:lang w:val="es-ES"/>
              </w:rPr>
            </w:pPr>
            <w:r w:rsidRPr="000C74EF">
              <w:rPr>
                <w:rFonts w:ascii="Aptos" w:hAnsi="Aptos"/>
                <w:sz w:val="18"/>
                <w:szCs w:val="18"/>
                <w:lang w:val="es-ES"/>
              </w:rPr>
              <w:t>j) Coherencia con acuerdos o instrumentos internacionales;</w:t>
            </w:r>
          </w:p>
        </w:tc>
      </w:tr>
      <w:tr w:rsidR="000C74EF" w:rsidRPr="000C74EF" w14:paraId="352D2B97" w14:textId="77777777" w:rsidTr="000C74EF">
        <w:tc>
          <w:tcPr>
            <w:tcW w:w="4563" w:type="dxa"/>
          </w:tcPr>
          <w:p w14:paraId="3E9D1453"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(k) Principles of the Rio Declaration on Environment and Development;</w:t>
            </w:r>
          </w:p>
        </w:tc>
        <w:tc>
          <w:tcPr>
            <w:tcW w:w="4783" w:type="dxa"/>
          </w:tcPr>
          <w:p w14:paraId="2B2188E6" w14:textId="5AC97D5D" w:rsidR="000C74EF" w:rsidRPr="000C74EF" w:rsidRDefault="000C74EF" w:rsidP="000C74EF">
            <w:pPr>
              <w:rPr>
                <w:rFonts w:ascii="Aptos" w:hAnsi="Aptos"/>
                <w:sz w:val="18"/>
                <w:szCs w:val="18"/>
                <w:lang w:val="es-ES"/>
              </w:rPr>
            </w:pPr>
            <w:r w:rsidRPr="000C74EF">
              <w:rPr>
                <w:rFonts w:ascii="Aptos" w:hAnsi="Aptos"/>
                <w:sz w:val="18"/>
                <w:szCs w:val="18"/>
                <w:lang w:val="es-ES"/>
              </w:rPr>
              <w:t>k) Principios de la Declaración de Río sobre el Medio Ambiente y el Desarrollo;</w:t>
            </w:r>
          </w:p>
        </w:tc>
      </w:tr>
      <w:tr w:rsidR="000C74EF" w:rsidRPr="000C74EF" w14:paraId="184B6E2F" w14:textId="77777777" w:rsidTr="000C74EF">
        <w:tc>
          <w:tcPr>
            <w:tcW w:w="4563" w:type="dxa"/>
          </w:tcPr>
          <w:p w14:paraId="20EE1B6C"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(l) </w:t>
            </w:r>
            <w:proofErr w:type="spellStart"/>
            <w:r w:rsidRPr="000C74EF">
              <w:rPr>
                <w:rFonts w:ascii="Aptos" w:hAnsi="Aptos"/>
                <w:sz w:val="18"/>
                <w:szCs w:val="18"/>
                <w:lang w:val="es-ES"/>
              </w:rPr>
              <w:t>Science</w:t>
            </w:r>
            <w:proofErr w:type="spellEnd"/>
            <w:r w:rsidRPr="000C74EF">
              <w:rPr>
                <w:rFonts w:ascii="Aptos" w:hAnsi="Aptos"/>
                <w:sz w:val="18"/>
                <w:szCs w:val="18"/>
                <w:lang w:val="es-ES"/>
              </w:rPr>
              <w:t xml:space="preserve"> and </w:t>
            </w:r>
            <w:proofErr w:type="spellStart"/>
            <w:r w:rsidRPr="000C74EF">
              <w:rPr>
                <w:rFonts w:ascii="Aptos" w:hAnsi="Aptos"/>
                <w:sz w:val="18"/>
                <w:szCs w:val="18"/>
                <w:lang w:val="es-ES"/>
              </w:rPr>
              <w:t>innovation</w:t>
            </w:r>
            <w:proofErr w:type="spellEnd"/>
          </w:p>
        </w:tc>
        <w:tc>
          <w:tcPr>
            <w:tcW w:w="4783" w:type="dxa"/>
          </w:tcPr>
          <w:p w14:paraId="699EB05C" w14:textId="7EDB3DB6" w:rsidR="000C74EF" w:rsidRPr="000C74EF" w:rsidRDefault="000C74EF" w:rsidP="000C74EF">
            <w:pPr>
              <w:rPr>
                <w:rFonts w:ascii="Aptos" w:hAnsi="Aptos"/>
                <w:sz w:val="18"/>
                <w:szCs w:val="18"/>
                <w:lang w:val="es-ES"/>
              </w:rPr>
            </w:pPr>
            <w:r w:rsidRPr="000C74EF">
              <w:rPr>
                <w:rFonts w:ascii="Aptos" w:hAnsi="Aptos"/>
                <w:sz w:val="18"/>
                <w:szCs w:val="18"/>
                <w:lang w:val="es-ES"/>
              </w:rPr>
              <w:t>l) Ciencia e innovación;</w:t>
            </w:r>
          </w:p>
        </w:tc>
      </w:tr>
      <w:tr w:rsidR="000C74EF" w:rsidRPr="000C74EF" w14:paraId="7C9B521B" w14:textId="77777777" w:rsidTr="000C74EF">
        <w:tc>
          <w:tcPr>
            <w:tcW w:w="4563" w:type="dxa"/>
          </w:tcPr>
          <w:p w14:paraId="20CEC03E"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(m) </w:t>
            </w:r>
            <w:proofErr w:type="spellStart"/>
            <w:r w:rsidRPr="000C74EF">
              <w:rPr>
                <w:rFonts w:ascii="Aptos" w:hAnsi="Aptos"/>
                <w:sz w:val="18"/>
                <w:szCs w:val="18"/>
                <w:lang w:val="es-ES"/>
              </w:rPr>
              <w:t>Ecosystem</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approach</w:t>
            </w:r>
            <w:proofErr w:type="spellEnd"/>
            <w:r w:rsidRPr="000C74EF">
              <w:rPr>
                <w:rFonts w:ascii="Aptos" w:hAnsi="Aptos"/>
                <w:sz w:val="18"/>
                <w:szCs w:val="18"/>
                <w:lang w:val="es-ES"/>
              </w:rPr>
              <w:t>;</w:t>
            </w:r>
          </w:p>
        </w:tc>
        <w:tc>
          <w:tcPr>
            <w:tcW w:w="4783" w:type="dxa"/>
          </w:tcPr>
          <w:p w14:paraId="36B1C2B8" w14:textId="3BDB62A8" w:rsidR="000C74EF" w:rsidRPr="000C74EF" w:rsidRDefault="000C74EF" w:rsidP="000C74EF">
            <w:pPr>
              <w:rPr>
                <w:rFonts w:ascii="Aptos" w:hAnsi="Aptos"/>
                <w:sz w:val="18"/>
                <w:szCs w:val="18"/>
                <w:lang w:val="es-ES"/>
              </w:rPr>
            </w:pPr>
            <w:r w:rsidRPr="000C74EF">
              <w:rPr>
                <w:rFonts w:ascii="Aptos" w:hAnsi="Aptos"/>
                <w:sz w:val="18"/>
                <w:szCs w:val="18"/>
                <w:lang w:val="es-ES"/>
              </w:rPr>
              <w:t>m) Enfoque por ecosistemas;</w:t>
            </w:r>
          </w:p>
        </w:tc>
      </w:tr>
      <w:tr w:rsidR="000C74EF" w:rsidRPr="000C74EF" w14:paraId="6B430A73" w14:textId="77777777" w:rsidTr="000C74EF">
        <w:tc>
          <w:tcPr>
            <w:tcW w:w="4563" w:type="dxa"/>
          </w:tcPr>
          <w:p w14:paraId="6DA9DFF9"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(n) </w:t>
            </w:r>
            <w:proofErr w:type="spellStart"/>
            <w:r w:rsidRPr="000C74EF">
              <w:rPr>
                <w:rFonts w:ascii="Aptos" w:hAnsi="Aptos"/>
                <w:sz w:val="18"/>
                <w:szCs w:val="18"/>
                <w:lang w:val="es-ES"/>
              </w:rPr>
              <w:t>Intergenerational</w:t>
            </w:r>
            <w:proofErr w:type="spellEnd"/>
            <w:r w:rsidRPr="000C74EF">
              <w:rPr>
                <w:rFonts w:ascii="Aptos" w:hAnsi="Aptos"/>
                <w:sz w:val="18"/>
                <w:szCs w:val="18"/>
                <w:lang w:val="es-ES"/>
              </w:rPr>
              <w:t xml:space="preserve"> </w:t>
            </w:r>
            <w:proofErr w:type="spellStart"/>
            <w:r w:rsidRPr="000C74EF">
              <w:rPr>
                <w:rFonts w:ascii="Aptos" w:hAnsi="Aptos"/>
                <w:sz w:val="18"/>
                <w:szCs w:val="18"/>
                <w:lang w:val="es-ES"/>
              </w:rPr>
              <w:t>equity</w:t>
            </w:r>
            <w:proofErr w:type="spellEnd"/>
            <w:r w:rsidRPr="000C74EF">
              <w:rPr>
                <w:rFonts w:ascii="Aptos" w:hAnsi="Aptos"/>
                <w:sz w:val="18"/>
                <w:szCs w:val="18"/>
                <w:lang w:val="es-ES"/>
              </w:rPr>
              <w:t>;</w:t>
            </w:r>
          </w:p>
        </w:tc>
        <w:tc>
          <w:tcPr>
            <w:tcW w:w="4783" w:type="dxa"/>
          </w:tcPr>
          <w:p w14:paraId="29025190" w14:textId="6A64A477" w:rsidR="000C74EF" w:rsidRPr="000C74EF" w:rsidRDefault="000C74EF" w:rsidP="000C74EF">
            <w:pPr>
              <w:rPr>
                <w:rFonts w:ascii="Aptos" w:hAnsi="Aptos"/>
                <w:sz w:val="18"/>
                <w:szCs w:val="18"/>
                <w:lang w:val="es-ES"/>
              </w:rPr>
            </w:pPr>
            <w:r w:rsidRPr="000C74EF">
              <w:rPr>
                <w:rFonts w:ascii="Aptos" w:hAnsi="Aptos"/>
                <w:sz w:val="18"/>
                <w:szCs w:val="18"/>
                <w:lang w:val="es-ES"/>
              </w:rPr>
              <w:t>n) Equidad intergeneracional;</w:t>
            </w:r>
          </w:p>
        </w:tc>
      </w:tr>
      <w:tr w:rsidR="000C74EF" w:rsidRPr="000C74EF" w14:paraId="6711AFD2" w14:textId="77777777" w:rsidTr="000C74EF">
        <w:tc>
          <w:tcPr>
            <w:tcW w:w="4563" w:type="dxa"/>
          </w:tcPr>
          <w:p w14:paraId="05F4C269"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(o) Formal and informal education;</w:t>
            </w:r>
          </w:p>
        </w:tc>
        <w:tc>
          <w:tcPr>
            <w:tcW w:w="4783" w:type="dxa"/>
          </w:tcPr>
          <w:p w14:paraId="19D2E786" w14:textId="3206567A" w:rsidR="000C74EF" w:rsidRPr="000C74EF" w:rsidRDefault="000C74EF" w:rsidP="000C74EF">
            <w:pPr>
              <w:rPr>
                <w:rFonts w:ascii="Aptos" w:hAnsi="Aptos"/>
                <w:sz w:val="18"/>
                <w:szCs w:val="18"/>
                <w:lang w:val="es-ES"/>
              </w:rPr>
            </w:pPr>
            <w:r w:rsidRPr="000C74EF">
              <w:rPr>
                <w:sz w:val="18"/>
                <w:szCs w:val="18"/>
                <w:lang w:val="es-ES"/>
              </w:rPr>
              <w:t>o) Educación formal e informal;</w:t>
            </w:r>
          </w:p>
        </w:tc>
      </w:tr>
      <w:tr w:rsidR="000C74EF" w:rsidRPr="000C74EF" w14:paraId="0AE9CCD1" w14:textId="77777777" w:rsidTr="000C74EF">
        <w:tc>
          <w:tcPr>
            <w:tcW w:w="4563" w:type="dxa"/>
          </w:tcPr>
          <w:p w14:paraId="2C930473"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(p) Access to financial resources;</w:t>
            </w:r>
          </w:p>
        </w:tc>
        <w:tc>
          <w:tcPr>
            <w:tcW w:w="4783" w:type="dxa"/>
          </w:tcPr>
          <w:p w14:paraId="1F1E7E9B" w14:textId="383059B7" w:rsidR="000C74EF" w:rsidRPr="000C74EF" w:rsidRDefault="000C74EF" w:rsidP="000C74EF">
            <w:pPr>
              <w:rPr>
                <w:rFonts w:ascii="Aptos" w:hAnsi="Aptos"/>
                <w:sz w:val="18"/>
                <w:szCs w:val="18"/>
                <w:lang w:val="es-ES"/>
              </w:rPr>
            </w:pPr>
            <w:r w:rsidRPr="000C74EF">
              <w:rPr>
                <w:sz w:val="18"/>
                <w:szCs w:val="18"/>
                <w:lang w:val="es-ES"/>
              </w:rPr>
              <w:t>p) Acceso a recursos financieros;</w:t>
            </w:r>
          </w:p>
        </w:tc>
      </w:tr>
      <w:tr w:rsidR="000C74EF" w:rsidRPr="000C74EF" w14:paraId="4535BD50" w14:textId="77777777" w:rsidTr="000C74EF">
        <w:tc>
          <w:tcPr>
            <w:tcW w:w="4563" w:type="dxa"/>
          </w:tcPr>
          <w:p w14:paraId="46632260"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(q) </w:t>
            </w:r>
            <w:proofErr w:type="spellStart"/>
            <w:r w:rsidRPr="000C74EF">
              <w:rPr>
                <w:rFonts w:ascii="Aptos" w:hAnsi="Aptos"/>
                <w:sz w:val="18"/>
                <w:szCs w:val="18"/>
                <w:lang w:val="es-ES"/>
              </w:rPr>
              <w:t>Cooperation</w:t>
            </w:r>
            <w:proofErr w:type="spellEnd"/>
            <w:r w:rsidRPr="000C74EF">
              <w:rPr>
                <w:rFonts w:ascii="Aptos" w:hAnsi="Aptos"/>
                <w:sz w:val="18"/>
                <w:szCs w:val="18"/>
                <w:lang w:val="es-ES"/>
              </w:rPr>
              <w:t xml:space="preserve"> and </w:t>
            </w:r>
            <w:proofErr w:type="spellStart"/>
            <w:r w:rsidRPr="000C74EF">
              <w:rPr>
                <w:rFonts w:ascii="Aptos" w:hAnsi="Aptos"/>
                <w:sz w:val="18"/>
                <w:szCs w:val="18"/>
                <w:lang w:val="es-ES"/>
              </w:rPr>
              <w:t>synergies</w:t>
            </w:r>
            <w:proofErr w:type="spellEnd"/>
            <w:r w:rsidRPr="000C74EF">
              <w:rPr>
                <w:rFonts w:ascii="Aptos" w:hAnsi="Aptos"/>
                <w:sz w:val="18"/>
                <w:szCs w:val="18"/>
                <w:lang w:val="es-ES"/>
              </w:rPr>
              <w:t>;</w:t>
            </w:r>
          </w:p>
        </w:tc>
        <w:tc>
          <w:tcPr>
            <w:tcW w:w="4783" w:type="dxa"/>
          </w:tcPr>
          <w:p w14:paraId="642A9C68" w14:textId="31EEA1B1"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q) Cooperación y sinergias; </w:t>
            </w:r>
          </w:p>
        </w:tc>
      </w:tr>
      <w:tr w:rsidR="000C74EF" w:rsidRPr="000C74EF" w14:paraId="0639AD78" w14:textId="77777777" w:rsidTr="000C74EF">
        <w:tc>
          <w:tcPr>
            <w:tcW w:w="4563" w:type="dxa"/>
          </w:tcPr>
          <w:p w14:paraId="39AC7BDB" w14:textId="77777777" w:rsidR="000C74EF" w:rsidRPr="000C74EF" w:rsidRDefault="000C74EF" w:rsidP="000C74EF">
            <w:pPr>
              <w:rPr>
                <w:rFonts w:ascii="Aptos" w:hAnsi="Aptos"/>
                <w:sz w:val="18"/>
                <w:szCs w:val="18"/>
                <w:lang w:val="es-ES"/>
              </w:rPr>
            </w:pPr>
            <w:r w:rsidRPr="000C74EF">
              <w:rPr>
                <w:rFonts w:ascii="Aptos" w:hAnsi="Aptos"/>
                <w:sz w:val="18"/>
                <w:szCs w:val="18"/>
                <w:lang w:val="es-ES"/>
              </w:rPr>
              <w:t xml:space="preserve">(r) Biodiversity and </w:t>
            </w:r>
            <w:proofErr w:type="spellStart"/>
            <w:r w:rsidRPr="000C74EF">
              <w:rPr>
                <w:rFonts w:ascii="Aptos" w:hAnsi="Aptos"/>
                <w:sz w:val="18"/>
                <w:szCs w:val="18"/>
                <w:lang w:val="es-ES"/>
              </w:rPr>
              <w:t>health</w:t>
            </w:r>
            <w:proofErr w:type="spellEnd"/>
          </w:p>
        </w:tc>
        <w:tc>
          <w:tcPr>
            <w:tcW w:w="4783" w:type="dxa"/>
          </w:tcPr>
          <w:p w14:paraId="29185993" w14:textId="2ABDBF78" w:rsidR="000C74EF" w:rsidRPr="000C74EF" w:rsidRDefault="000C74EF" w:rsidP="000C74EF">
            <w:pPr>
              <w:rPr>
                <w:rFonts w:ascii="Aptos" w:hAnsi="Aptos"/>
                <w:sz w:val="18"/>
                <w:szCs w:val="18"/>
                <w:lang w:val="es-ES"/>
              </w:rPr>
            </w:pPr>
            <w:r w:rsidRPr="000C74EF">
              <w:rPr>
                <w:rFonts w:ascii="Aptos" w:hAnsi="Aptos"/>
                <w:sz w:val="18"/>
                <w:szCs w:val="18"/>
                <w:lang w:val="es-ES"/>
              </w:rPr>
              <w:t>r) Diversidad biológica y salud</w:t>
            </w:r>
          </w:p>
        </w:tc>
      </w:tr>
      <w:tr w:rsidR="000C74EF" w:rsidRPr="000C74EF" w14:paraId="5C7DED6A" w14:textId="77777777" w:rsidTr="000C74EF">
        <w:tc>
          <w:tcPr>
            <w:tcW w:w="4563" w:type="dxa"/>
          </w:tcPr>
          <w:p w14:paraId="6DC07A81"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Implementation and support mechanisms and enabling conditions</w:t>
            </w:r>
          </w:p>
        </w:tc>
        <w:tc>
          <w:tcPr>
            <w:tcW w:w="4783" w:type="dxa"/>
          </w:tcPr>
          <w:p w14:paraId="0C28A39F" w14:textId="4C6732F6" w:rsidR="000C74EF" w:rsidRPr="000C74EF" w:rsidRDefault="000C74EF" w:rsidP="000C74EF">
            <w:pPr>
              <w:rPr>
                <w:rFonts w:ascii="Aptos" w:hAnsi="Aptos"/>
                <w:sz w:val="18"/>
                <w:szCs w:val="18"/>
                <w:lang w:val="es-ES"/>
              </w:rPr>
            </w:pPr>
            <w:r w:rsidRPr="000C74EF">
              <w:rPr>
                <w:rFonts w:ascii="Aptos" w:hAnsi="Aptos"/>
                <w:sz w:val="18"/>
                <w:szCs w:val="18"/>
                <w:lang w:val="es-ES"/>
              </w:rPr>
              <w:t>Mecanismos de implementación y apoyo, condiciones propicias</w:t>
            </w:r>
          </w:p>
        </w:tc>
      </w:tr>
      <w:tr w:rsidR="000C74EF" w:rsidRPr="000C74EF" w14:paraId="6142777D" w14:textId="77777777" w:rsidTr="000C74EF">
        <w:tc>
          <w:tcPr>
            <w:tcW w:w="4563" w:type="dxa"/>
          </w:tcPr>
          <w:p w14:paraId="6609E4B5" w14:textId="77777777" w:rsidR="000C74EF" w:rsidRPr="000C74EF" w:rsidRDefault="000C74EF" w:rsidP="000C74EF">
            <w:pPr>
              <w:rPr>
                <w:rFonts w:ascii="Aptos" w:hAnsi="Aptos"/>
                <w:sz w:val="18"/>
                <w:szCs w:val="18"/>
                <w:lang w:val="es-ES"/>
              </w:rPr>
            </w:pPr>
            <w:proofErr w:type="spellStart"/>
            <w:r w:rsidRPr="000C74EF">
              <w:rPr>
                <w:rFonts w:ascii="Aptos" w:hAnsi="Aptos"/>
                <w:sz w:val="18"/>
                <w:szCs w:val="18"/>
                <w:lang w:val="es-ES"/>
              </w:rPr>
              <w:t>Responsibility</w:t>
            </w:r>
            <w:proofErr w:type="spellEnd"/>
            <w:r w:rsidRPr="000C74EF">
              <w:rPr>
                <w:rFonts w:ascii="Aptos" w:hAnsi="Aptos"/>
                <w:sz w:val="18"/>
                <w:szCs w:val="18"/>
                <w:lang w:val="es-ES"/>
              </w:rPr>
              <w:t xml:space="preserve"> and </w:t>
            </w:r>
            <w:proofErr w:type="spellStart"/>
            <w:r w:rsidRPr="000C74EF">
              <w:rPr>
                <w:rFonts w:ascii="Aptos" w:hAnsi="Aptos"/>
                <w:sz w:val="18"/>
                <w:szCs w:val="18"/>
                <w:lang w:val="es-ES"/>
              </w:rPr>
              <w:t>transparency</w:t>
            </w:r>
            <w:proofErr w:type="spellEnd"/>
          </w:p>
        </w:tc>
        <w:tc>
          <w:tcPr>
            <w:tcW w:w="4783" w:type="dxa"/>
          </w:tcPr>
          <w:p w14:paraId="2497CE7E" w14:textId="2E1AF570" w:rsidR="000C74EF" w:rsidRPr="000C74EF" w:rsidRDefault="000C74EF" w:rsidP="000C74EF">
            <w:pPr>
              <w:rPr>
                <w:rFonts w:ascii="Aptos" w:hAnsi="Aptos"/>
                <w:sz w:val="18"/>
                <w:szCs w:val="18"/>
                <w:lang w:val="es-ES"/>
              </w:rPr>
            </w:pPr>
            <w:r w:rsidRPr="000C74EF">
              <w:rPr>
                <w:rFonts w:ascii="Aptos" w:hAnsi="Aptos"/>
                <w:sz w:val="18"/>
                <w:szCs w:val="18"/>
                <w:lang w:val="es-ES"/>
              </w:rPr>
              <w:t>Responsabilidad y transparencia</w:t>
            </w:r>
          </w:p>
        </w:tc>
      </w:tr>
      <w:tr w:rsidR="000C74EF" w:rsidRPr="000C74EF" w14:paraId="57F0DC1F" w14:textId="77777777" w:rsidTr="000C74EF">
        <w:tc>
          <w:tcPr>
            <w:tcW w:w="4563" w:type="dxa"/>
          </w:tcPr>
          <w:p w14:paraId="4DEEEE25" w14:textId="77777777" w:rsidR="000C74EF" w:rsidRPr="000C74EF" w:rsidRDefault="000C74EF" w:rsidP="000C74EF">
            <w:pPr>
              <w:rPr>
                <w:rFonts w:ascii="Aptos" w:hAnsi="Aptos"/>
                <w:sz w:val="18"/>
                <w:szCs w:val="18"/>
                <w:lang w:val="en-US"/>
              </w:rPr>
            </w:pPr>
            <w:r w:rsidRPr="000C74EF">
              <w:rPr>
                <w:rFonts w:ascii="Aptos" w:hAnsi="Aptos"/>
                <w:sz w:val="18"/>
                <w:szCs w:val="18"/>
                <w:lang w:val="en-US"/>
              </w:rPr>
              <w:t>Communication, education, awareness and uptake</w:t>
            </w:r>
          </w:p>
        </w:tc>
        <w:tc>
          <w:tcPr>
            <w:tcW w:w="4783" w:type="dxa"/>
          </w:tcPr>
          <w:p w14:paraId="6232E552" w14:textId="5B469D02" w:rsidR="000C74EF" w:rsidRPr="000C74EF" w:rsidRDefault="000C74EF" w:rsidP="000C74EF">
            <w:pPr>
              <w:rPr>
                <w:rFonts w:ascii="Aptos" w:hAnsi="Aptos"/>
                <w:sz w:val="18"/>
                <w:szCs w:val="18"/>
                <w:lang w:val="es-ES"/>
              </w:rPr>
            </w:pPr>
            <w:r w:rsidRPr="000C74EF">
              <w:rPr>
                <w:rFonts w:ascii="Aptos" w:hAnsi="Aptos"/>
                <w:sz w:val="18"/>
                <w:szCs w:val="18"/>
                <w:lang w:val="es-ES"/>
              </w:rPr>
              <w:t>Comunicación, educación, sensibilización y adopción</w:t>
            </w:r>
          </w:p>
        </w:tc>
      </w:tr>
    </w:tbl>
    <w:p w14:paraId="5500550F" w14:textId="4278157E" w:rsidR="00550E7A" w:rsidRPr="005E3D50" w:rsidRDefault="00550E7A" w:rsidP="00217008">
      <w:pPr>
        <w:pStyle w:val="Caption"/>
        <w:rPr>
          <w:lang w:val="es-ES"/>
        </w:rPr>
      </w:pPr>
    </w:p>
    <w:p w14:paraId="2F4B19FF" w14:textId="4929D746" w:rsidR="00FB3C79" w:rsidRPr="005E3D50" w:rsidRDefault="00AF5257" w:rsidP="00D22D6F">
      <w:pPr>
        <w:pStyle w:val="Heading3"/>
        <w:rPr>
          <w:lang w:val="es-ES"/>
        </w:rPr>
      </w:pPr>
      <w:bookmarkStart w:id="26" w:name="_Toc235821035"/>
      <w:bookmarkStart w:id="27" w:name="_Toc239069180"/>
      <w:bookmarkStart w:id="28" w:name="_Toc242882958"/>
      <w:r w:rsidRPr="005E3D50">
        <w:rPr>
          <w:lang w:val="es-ES"/>
        </w:rPr>
        <w:t>Planificación, seguimiento, presentación de informes y revisión</w:t>
      </w:r>
      <w:bookmarkEnd w:id="26"/>
      <w:bookmarkEnd w:id="27"/>
      <w:bookmarkEnd w:id="28"/>
    </w:p>
    <w:p w14:paraId="43441249" w14:textId="576C3B4A" w:rsidR="005954BA" w:rsidRPr="005E3D50" w:rsidRDefault="005954BA" w:rsidP="00D22D6F">
      <w:pPr>
        <w:rPr>
          <w:lang w:val="es-ES"/>
        </w:rPr>
      </w:pPr>
      <w:r w:rsidRPr="005E3D50">
        <w:rPr>
          <w:lang w:val="es-ES"/>
        </w:rPr>
        <w:t>El mecanismo establecido por el Marco para garantizar la responsabilidad y la transparencia consta de los siguientes componentes principales, que se ilustran en la figura 3.</w:t>
      </w:r>
    </w:p>
    <w:p w14:paraId="5E4ACD5E" w14:textId="76B1F583" w:rsidR="007E54F2" w:rsidRPr="005E3D50" w:rsidRDefault="00A41373" w:rsidP="00306E04">
      <w:pPr>
        <w:pStyle w:val="ListParagraph"/>
        <w:numPr>
          <w:ilvl w:val="0"/>
          <w:numId w:val="6"/>
        </w:numPr>
        <w:rPr>
          <w:lang w:val="es-ES"/>
        </w:rPr>
      </w:pPr>
      <w:r w:rsidRPr="005E3D50">
        <w:rPr>
          <w:lang w:val="es-ES"/>
        </w:rPr>
        <w:t>Planificación: a nivel nacional, consistente en estrategias y planes de acción nacionales en materia de biodiversidad (EPANB) revisados o actualizados y metas nacionales en consonancia con el Marco, que definen la contribución de cada Parte a las metas y los objetivos del Marc</w:t>
      </w:r>
      <w:r w:rsidR="000F711A" w:rsidRPr="005E3D50">
        <w:rPr>
          <w:lang w:val="es-ES"/>
        </w:rPr>
        <w:t>o (</w:t>
      </w:r>
      <w:proofErr w:type="spellStart"/>
      <w:r w:rsidR="000F711A" w:rsidRPr="005E3D50">
        <w:rPr>
          <w:lang w:val="es-ES"/>
        </w:rPr>
        <w:t>dec</w:t>
      </w:r>
      <w:proofErr w:type="spellEnd"/>
      <w:r w:rsidR="000F711A" w:rsidRPr="005E3D50">
        <w:rPr>
          <w:lang w:val="es-ES"/>
        </w:rPr>
        <w:t>. 15/6 en CDB, 2023)</w:t>
      </w:r>
    </w:p>
    <w:p w14:paraId="6C990FDB" w14:textId="571EC480" w:rsidR="00B0220A" w:rsidRPr="005E3D50" w:rsidRDefault="00F8127D" w:rsidP="00306E04">
      <w:pPr>
        <w:pStyle w:val="ListParagraph"/>
        <w:numPr>
          <w:ilvl w:val="0"/>
          <w:numId w:val="6"/>
        </w:numPr>
        <w:rPr>
          <w:lang w:val="es-ES"/>
        </w:rPr>
      </w:pPr>
      <w:r w:rsidRPr="005E3D50">
        <w:rPr>
          <w:lang w:val="es-ES"/>
        </w:rPr>
        <w:t xml:space="preserve">Seguimiento: utilización de indicadores de cabecera y binarios, así como, de forma opcional, indicadores de componentes y complementarios e indicadores nacionales o subnacionales adicionales para hacer un seguimiento de los progresos, según se dispone en el marco de seguimiento establecido junto con el propio Marco (véase el anexo I de la </w:t>
      </w:r>
      <w:proofErr w:type="spellStart"/>
      <w:r w:rsidRPr="005E3D50">
        <w:rPr>
          <w:lang w:val="es-ES"/>
        </w:rPr>
        <w:t>dec</w:t>
      </w:r>
      <w:proofErr w:type="spellEnd"/>
      <w:r w:rsidRPr="005E3D50">
        <w:rPr>
          <w:lang w:val="es-ES"/>
        </w:rPr>
        <w:t>. 15/5 en CDB, 2023</w:t>
      </w:r>
      <w:r w:rsidR="00D8343F" w:rsidRPr="005E3D50">
        <w:rPr>
          <w:lang w:val="es-ES"/>
        </w:rPr>
        <w:t>;</w:t>
      </w:r>
      <w:r w:rsidRPr="005E3D50">
        <w:rPr>
          <w:lang w:val="es-ES"/>
        </w:rPr>
        <w:t xml:space="preserve"> y el anexo I</w:t>
      </w:r>
      <w:r w:rsidR="000F711A" w:rsidRPr="005E3D50">
        <w:rPr>
          <w:lang w:val="es-ES"/>
        </w:rPr>
        <w:t xml:space="preserve"> de la </w:t>
      </w:r>
      <w:proofErr w:type="spellStart"/>
      <w:r w:rsidR="000F711A" w:rsidRPr="005E3D50">
        <w:rPr>
          <w:lang w:val="es-ES"/>
        </w:rPr>
        <w:t>dec</w:t>
      </w:r>
      <w:proofErr w:type="spellEnd"/>
      <w:r w:rsidR="000F711A" w:rsidRPr="005E3D50">
        <w:rPr>
          <w:lang w:val="es-ES"/>
        </w:rPr>
        <w:t>. 16/31 en CDB, 2026)</w:t>
      </w:r>
    </w:p>
    <w:p w14:paraId="698D1446" w14:textId="7DC0C17D" w:rsidR="00382E1C" w:rsidRPr="005E3D50" w:rsidRDefault="00B0220A" w:rsidP="00306E04">
      <w:pPr>
        <w:pStyle w:val="ListParagraph"/>
        <w:numPr>
          <w:ilvl w:val="0"/>
          <w:numId w:val="6"/>
        </w:numPr>
        <w:rPr>
          <w:lang w:val="es-ES"/>
        </w:rPr>
      </w:pPr>
      <w:r w:rsidRPr="005E3D50">
        <w:rPr>
          <w:lang w:val="es-ES"/>
        </w:rPr>
        <w:t>Presentación de informes: preparación y comunicación de informes nacionales utilizando una plantilla acordada por la Conferencia de las Partes, que permite a cada Parte informar sobre los progresos en la implementación de sus metas nacionales, incluida la comunicación de datos sobre los indicadores de cabecera, binarios y opcionales (</w:t>
      </w:r>
      <w:proofErr w:type="spellStart"/>
      <w:r w:rsidRPr="005E3D50">
        <w:rPr>
          <w:lang w:val="es-ES"/>
        </w:rPr>
        <w:t>dec</w:t>
      </w:r>
      <w:proofErr w:type="spellEnd"/>
      <w:r w:rsidRPr="005E3D50">
        <w:rPr>
          <w:lang w:val="es-ES"/>
        </w:rPr>
        <w:t>. 15/6 en CDB, 2</w:t>
      </w:r>
      <w:r w:rsidR="00B8375C" w:rsidRPr="005E3D50">
        <w:rPr>
          <w:lang w:val="es-ES"/>
        </w:rPr>
        <w:t>023</w:t>
      </w:r>
      <w:r w:rsidR="0049608D" w:rsidRPr="005E3D50">
        <w:rPr>
          <w:lang w:val="es-ES"/>
        </w:rPr>
        <w:t>;</w:t>
      </w:r>
      <w:r w:rsidR="00B8375C" w:rsidRPr="005E3D50">
        <w:rPr>
          <w:lang w:val="es-ES"/>
        </w:rPr>
        <w:t xml:space="preserve"> y </w:t>
      </w:r>
      <w:proofErr w:type="spellStart"/>
      <w:r w:rsidR="00B8375C" w:rsidRPr="005E3D50">
        <w:rPr>
          <w:lang w:val="es-ES"/>
        </w:rPr>
        <w:t>dec</w:t>
      </w:r>
      <w:proofErr w:type="spellEnd"/>
      <w:r w:rsidR="00B8375C" w:rsidRPr="005E3D50">
        <w:rPr>
          <w:lang w:val="es-ES"/>
        </w:rPr>
        <w:t>. 16/32 en CDB, 2026)</w:t>
      </w:r>
      <w:r w:rsidRPr="005E3D50">
        <w:rPr>
          <w:lang w:val="es-ES"/>
        </w:rPr>
        <w:t xml:space="preserve"> </w:t>
      </w:r>
    </w:p>
    <w:p w14:paraId="39FA91A7" w14:textId="190E139A" w:rsidR="008248EC" w:rsidRPr="005E3D50" w:rsidRDefault="005F349B" w:rsidP="00306E04">
      <w:pPr>
        <w:pStyle w:val="ListParagraph"/>
        <w:numPr>
          <w:ilvl w:val="0"/>
          <w:numId w:val="6"/>
        </w:numPr>
        <w:rPr>
          <w:lang w:val="es-ES"/>
        </w:rPr>
      </w:pPr>
      <w:r w:rsidRPr="005E3D50">
        <w:rPr>
          <w:lang w:val="es-ES"/>
        </w:rPr>
        <w:t xml:space="preserve">Revisión: revisiones mundiales de los progresos colectivos en la implementación del Marco, que se llevarán a cabo en las reuniones 17ª y 19ª de la Conferencia de las Partes, en 2026 y 2030, respectivamente, y que culminarán con </w:t>
      </w:r>
      <w:r w:rsidRPr="005E3D50">
        <w:rPr>
          <w:lang w:val="es-ES"/>
        </w:rPr>
        <w:lastRenderedPageBreak/>
        <w:t>recomendaciones, según sea necesario, destinadas a mejorar las medidas y los esfuerzos para alcanzar las metas para 2030 y los objetivos para 2050. Cada revisión se basa en un informe mundial sobre los progresos colectivos en la implementación del Marco, para el cual los informes nacionales constituyen la principal fuente de información (</w:t>
      </w:r>
      <w:proofErr w:type="spellStart"/>
      <w:r w:rsidRPr="005E3D50">
        <w:rPr>
          <w:lang w:val="es-ES"/>
        </w:rPr>
        <w:t>dec</w:t>
      </w:r>
      <w:proofErr w:type="spellEnd"/>
      <w:r w:rsidRPr="005E3D50">
        <w:rPr>
          <w:lang w:val="es-ES"/>
        </w:rPr>
        <w:t>. 15/6 en CDB, 2</w:t>
      </w:r>
      <w:r w:rsidR="00B8375C" w:rsidRPr="005E3D50">
        <w:rPr>
          <w:lang w:val="es-ES"/>
        </w:rPr>
        <w:t>023</w:t>
      </w:r>
      <w:r w:rsidR="0049608D" w:rsidRPr="005E3D50">
        <w:rPr>
          <w:lang w:val="es-ES"/>
        </w:rPr>
        <w:t>;</w:t>
      </w:r>
      <w:r w:rsidR="00B8375C" w:rsidRPr="005E3D50">
        <w:rPr>
          <w:lang w:val="es-ES"/>
        </w:rPr>
        <w:t xml:space="preserve"> y </w:t>
      </w:r>
      <w:proofErr w:type="spellStart"/>
      <w:r w:rsidR="00B8375C" w:rsidRPr="005E3D50">
        <w:rPr>
          <w:lang w:val="es-ES"/>
        </w:rPr>
        <w:t>dec</w:t>
      </w:r>
      <w:proofErr w:type="spellEnd"/>
      <w:r w:rsidR="00B8375C" w:rsidRPr="005E3D50">
        <w:rPr>
          <w:lang w:val="es-ES"/>
        </w:rPr>
        <w:t>. 16/32 en CDB, 2026)</w:t>
      </w:r>
    </w:p>
    <w:p w14:paraId="51CA37FC" w14:textId="77777777" w:rsidR="00751F56" w:rsidRPr="005E3D50" w:rsidRDefault="00751F56" w:rsidP="00751F56">
      <w:pPr>
        <w:pStyle w:val="ListParagraph"/>
        <w:rPr>
          <w:lang w:val="es-ES"/>
        </w:rPr>
      </w:pPr>
      <w:bookmarkStart w:id="29" w:name="_Ref230343694"/>
    </w:p>
    <w:p w14:paraId="4056DC74" w14:textId="77777777" w:rsidR="00751F56" w:rsidRPr="005E3D50" w:rsidRDefault="00751F56" w:rsidP="008A53F3">
      <w:pPr>
        <w:pStyle w:val="Caption"/>
        <w:rPr>
          <w:b/>
          <w:bCs/>
          <w:i w:val="0"/>
          <w:iCs w:val="0"/>
          <w:lang w:val="es-ES"/>
        </w:rPr>
      </w:pPr>
    </w:p>
    <w:p w14:paraId="071A6E23" w14:textId="70F00B63" w:rsidR="008A53F3" w:rsidRPr="005E3D50" w:rsidRDefault="008A53F3" w:rsidP="008A53F3">
      <w:pPr>
        <w:pStyle w:val="Caption"/>
        <w:rPr>
          <w:sz w:val="20"/>
          <w:szCs w:val="20"/>
          <w:lang w:val="es-ES"/>
        </w:rPr>
      </w:pPr>
      <w:r w:rsidRPr="005E3D50">
        <w:rPr>
          <w:i w:val="0"/>
          <w:sz w:val="20"/>
          <w:szCs w:val="20"/>
          <w:lang w:val="es-ES"/>
        </w:rPr>
        <w:t xml:space="preserve">Figura </w:t>
      </w:r>
      <w:bookmarkEnd w:id="29"/>
      <w:r w:rsidRPr="005E3D50">
        <w:rPr>
          <w:i w:val="0"/>
          <w:sz w:val="20"/>
          <w:szCs w:val="20"/>
          <w:lang w:val="es-ES"/>
        </w:rPr>
        <w:t>3</w:t>
      </w:r>
      <w:r w:rsidRPr="005E3D50">
        <w:rPr>
          <w:i w:val="0"/>
          <w:iCs w:val="0"/>
          <w:sz w:val="20"/>
          <w:szCs w:val="20"/>
          <w:lang w:val="es-ES"/>
        </w:rPr>
        <w:t>:</w:t>
      </w:r>
      <w:r w:rsidRPr="005E3D50">
        <w:rPr>
          <w:b/>
          <w:bCs/>
          <w:i w:val="0"/>
          <w:iCs w:val="0"/>
          <w:sz w:val="20"/>
          <w:szCs w:val="20"/>
          <w:lang w:val="es-ES"/>
        </w:rPr>
        <w:t xml:space="preserve"> Representación visual del componente de responsabilidad y transparencia del Marco, que incorpora el mecanismo de planificación, seguimiento, presentación de informes y revisión (decisión 15/6 en CDB, 2023)</w:t>
      </w:r>
    </w:p>
    <w:p w14:paraId="4C427487" w14:textId="49937BA0" w:rsidR="00F255BC" w:rsidRPr="005E3D50" w:rsidRDefault="005B17B0" w:rsidP="008248EC">
      <w:pPr>
        <w:pStyle w:val="ListParagraph"/>
        <w:rPr>
          <w:sz w:val="20"/>
          <w:szCs w:val="20"/>
          <w:lang w:val="es-ES"/>
        </w:rPr>
      </w:pPr>
      <w:r w:rsidRPr="005E3D50">
        <w:rPr>
          <w:sz w:val="20"/>
          <w:szCs w:val="20"/>
          <w:lang w:val="es-ES"/>
        </w:rPr>
        <w:t xml:space="preserve"> </w:t>
      </w:r>
    </w:p>
    <w:p w14:paraId="79E44383" w14:textId="215B5E72" w:rsidR="00F80C93" w:rsidRDefault="000E27F9" w:rsidP="004B016A">
      <w:pPr>
        <w:rPr>
          <w:lang w:val="es-ES"/>
        </w:rPr>
      </w:pPr>
      <w:r w:rsidRPr="005E3D50">
        <w:rPr>
          <w:noProof/>
          <w:lang w:val="en-US"/>
        </w:rPr>
        <w:drawing>
          <wp:inline distT="0" distB="0" distL="0" distR="0" wp14:anchorId="5F0DDA8D" wp14:editId="1539F4D9">
            <wp:extent cx="5731510" cy="3800475"/>
            <wp:effectExtent l="0" t="0" r="0" b="0"/>
            <wp:docPr id="21066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368" name=""/>
                    <pic:cNvPicPr/>
                  </pic:nvPicPr>
                  <pic:blipFill>
                    <a:blip r:embed="rId19"/>
                    <a:stretch>
                      <a:fillRect/>
                    </a:stretch>
                  </pic:blipFill>
                  <pic:spPr>
                    <a:xfrm>
                      <a:off x="0" y="0"/>
                      <a:ext cx="5731510" cy="3800475"/>
                    </a:xfrm>
                    <a:prstGeom prst="rect">
                      <a:avLst/>
                    </a:prstGeom>
                  </pic:spPr>
                </pic:pic>
              </a:graphicData>
            </a:graphic>
          </wp:inline>
        </w:drawing>
      </w:r>
    </w:p>
    <w:tbl>
      <w:tblPr>
        <w:tblStyle w:val="TableGrid"/>
        <w:tblW w:w="8902" w:type="dxa"/>
        <w:tblLook w:val="06A0" w:firstRow="1" w:lastRow="0" w:firstColumn="1" w:lastColumn="0" w:noHBand="1" w:noVBand="1"/>
      </w:tblPr>
      <w:tblGrid>
        <w:gridCol w:w="4356"/>
        <w:gridCol w:w="4546"/>
      </w:tblGrid>
      <w:tr w:rsidR="00C05F0F" w:rsidRPr="00E944B1" w14:paraId="355A31D7" w14:textId="77777777" w:rsidTr="00C05F0F">
        <w:tc>
          <w:tcPr>
            <w:tcW w:w="4356" w:type="dxa"/>
          </w:tcPr>
          <w:p w14:paraId="2E2A2D6C" w14:textId="2D885B74" w:rsidR="00C05F0F" w:rsidRPr="00C05F0F" w:rsidRDefault="00C05F0F" w:rsidP="00B93410">
            <w:pPr>
              <w:rPr>
                <w:rFonts w:ascii="Aptos" w:eastAsia="Segoe UI" w:hAnsi="Aptos" w:cs="Segoe UI"/>
                <w:color w:val="000000" w:themeColor="text1"/>
                <w:sz w:val="18"/>
                <w:szCs w:val="18"/>
                <w:lang w:val="es-ES"/>
              </w:rPr>
            </w:pPr>
            <w:r w:rsidRPr="00C05F0F">
              <w:rPr>
                <w:rFonts w:ascii="Aptos" w:eastAsia="Segoe UI" w:hAnsi="Aptos" w:cs="Segoe UI"/>
                <w:color w:val="000000" w:themeColor="text1"/>
                <w:sz w:val="18"/>
                <w:szCs w:val="18"/>
                <w:lang w:val="es-ES"/>
              </w:rPr>
              <w:t>Figura 3</w:t>
            </w:r>
          </w:p>
        </w:tc>
        <w:tc>
          <w:tcPr>
            <w:tcW w:w="4546" w:type="dxa"/>
          </w:tcPr>
          <w:p w14:paraId="231D47DA" w14:textId="77777777" w:rsidR="00C05F0F" w:rsidRPr="00C05F0F" w:rsidRDefault="00C05F0F" w:rsidP="00B93410">
            <w:pPr>
              <w:rPr>
                <w:rFonts w:ascii="Aptos" w:eastAsia="Segoe UI" w:hAnsi="Aptos" w:cs="Segoe UI"/>
                <w:color w:val="000000" w:themeColor="text1"/>
                <w:sz w:val="18"/>
                <w:szCs w:val="18"/>
                <w:lang w:val="es-ES"/>
              </w:rPr>
            </w:pPr>
          </w:p>
        </w:tc>
      </w:tr>
      <w:tr w:rsidR="00C05F0F" w:rsidRPr="00E944B1" w14:paraId="62C6ED29" w14:textId="77777777" w:rsidTr="00C05F0F">
        <w:tc>
          <w:tcPr>
            <w:tcW w:w="4356" w:type="dxa"/>
          </w:tcPr>
          <w:p w14:paraId="7F0A7F8C" w14:textId="77777777" w:rsidR="00C05F0F" w:rsidRPr="00C05F0F" w:rsidRDefault="00C05F0F" w:rsidP="00B93410">
            <w:pPr>
              <w:rPr>
                <w:rFonts w:ascii="Aptos" w:hAnsi="Aptos"/>
                <w:sz w:val="18"/>
                <w:szCs w:val="18"/>
                <w:lang w:val="es-ES"/>
              </w:rPr>
            </w:pPr>
            <w:r w:rsidRPr="00C05F0F">
              <w:rPr>
                <w:rFonts w:ascii="Aptos" w:eastAsia="Segoe UI" w:hAnsi="Aptos" w:cs="Segoe UI"/>
                <w:color w:val="000000" w:themeColor="text1"/>
                <w:sz w:val="18"/>
                <w:szCs w:val="18"/>
                <w:lang w:val="es-ES"/>
              </w:rPr>
              <w:t xml:space="preserve">English </w:t>
            </w:r>
          </w:p>
        </w:tc>
        <w:tc>
          <w:tcPr>
            <w:tcW w:w="4546" w:type="dxa"/>
          </w:tcPr>
          <w:p w14:paraId="33F1EABC" w14:textId="5DC3E658" w:rsidR="00C05F0F" w:rsidRPr="00C05F0F" w:rsidRDefault="00C05F0F" w:rsidP="00B93410">
            <w:pPr>
              <w:rPr>
                <w:rFonts w:ascii="Aptos" w:hAnsi="Aptos"/>
                <w:sz w:val="18"/>
                <w:szCs w:val="18"/>
                <w:lang w:val="es-ES"/>
              </w:rPr>
            </w:pPr>
            <w:r w:rsidRPr="00C05F0F">
              <w:rPr>
                <w:rFonts w:ascii="Aptos" w:eastAsia="Segoe UI" w:hAnsi="Aptos" w:cs="Segoe UI"/>
                <w:color w:val="000000" w:themeColor="text1"/>
                <w:sz w:val="18"/>
                <w:szCs w:val="18"/>
                <w:lang w:val="es-ES"/>
              </w:rPr>
              <w:t>Español</w:t>
            </w:r>
          </w:p>
        </w:tc>
      </w:tr>
      <w:tr w:rsidR="00C05F0F" w:rsidRPr="00E944B1" w14:paraId="3F207178" w14:textId="77777777" w:rsidTr="00C05F0F">
        <w:tc>
          <w:tcPr>
            <w:tcW w:w="4356" w:type="dxa"/>
          </w:tcPr>
          <w:p w14:paraId="0333DEB8" w14:textId="77777777" w:rsidR="00C05F0F" w:rsidRPr="0028478F" w:rsidRDefault="00C05F0F" w:rsidP="00B93410">
            <w:pPr>
              <w:rPr>
                <w:rFonts w:ascii="Aptos" w:hAnsi="Aptos"/>
                <w:sz w:val="18"/>
                <w:szCs w:val="18"/>
                <w:lang w:val="es-ES"/>
              </w:rPr>
            </w:pPr>
            <w:r w:rsidRPr="0028478F">
              <w:rPr>
                <w:rFonts w:ascii="Aptos" w:eastAsia="Segoe UI" w:hAnsi="Aptos" w:cs="Segoe UI"/>
                <w:color w:val="000000" w:themeColor="text1"/>
                <w:sz w:val="18"/>
                <w:szCs w:val="18"/>
                <w:lang w:val="es-ES"/>
              </w:rPr>
              <w:t xml:space="preserve">National </w:t>
            </w:r>
            <w:proofErr w:type="spellStart"/>
            <w:r w:rsidRPr="0028478F">
              <w:rPr>
                <w:rFonts w:ascii="Aptos" w:eastAsia="Segoe UI" w:hAnsi="Aptos" w:cs="Segoe UI"/>
                <w:color w:val="000000" w:themeColor="text1"/>
                <w:sz w:val="18"/>
                <w:szCs w:val="18"/>
                <w:lang w:val="es-ES"/>
              </w:rPr>
              <w:t>level</w:t>
            </w:r>
            <w:proofErr w:type="spellEnd"/>
          </w:p>
        </w:tc>
        <w:tc>
          <w:tcPr>
            <w:tcW w:w="4546" w:type="dxa"/>
          </w:tcPr>
          <w:p w14:paraId="3CAC7565"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Nivel nacional</w:t>
            </w:r>
          </w:p>
        </w:tc>
      </w:tr>
      <w:tr w:rsidR="00C05F0F" w:rsidRPr="00E944B1" w14:paraId="553FF194" w14:textId="77777777" w:rsidTr="00C05F0F">
        <w:tc>
          <w:tcPr>
            <w:tcW w:w="4356" w:type="dxa"/>
          </w:tcPr>
          <w:p w14:paraId="5933EC42"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Planning NBSAPs and national targets</w:t>
            </w:r>
          </w:p>
        </w:tc>
        <w:tc>
          <w:tcPr>
            <w:tcW w:w="4546" w:type="dxa"/>
          </w:tcPr>
          <w:p w14:paraId="657BB0F1"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Planificación de las EPANB y metas nacionales</w:t>
            </w:r>
          </w:p>
        </w:tc>
      </w:tr>
      <w:tr w:rsidR="00C05F0F" w:rsidRPr="00E944B1" w14:paraId="5222929A" w14:textId="77777777" w:rsidTr="00C05F0F">
        <w:tc>
          <w:tcPr>
            <w:tcW w:w="4356" w:type="dxa"/>
          </w:tcPr>
          <w:p w14:paraId="1FDA4F86"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At the nineteenth meeting of the Conference of the Parties, this will include negotiation of the post-2030 strategic plan</w:t>
            </w:r>
          </w:p>
        </w:tc>
        <w:tc>
          <w:tcPr>
            <w:tcW w:w="4546" w:type="dxa"/>
          </w:tcPr>
          <w:p w14:paraId="26EFA1E5"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En la 19ª reunión de la Conferencia de las Partes, esto incluirá la negociación del plan estratégico posterior a 2030</w:t>
            </w:r>
          </w:p>
        </w:tc>
      </w:tr>
      <w:tr w:rsidR="00C05F0F" w:rsidRPr="00E944B1" w14:paraId="7E9C7746" w14:textId="77777777" w:rsidTr="00C05F0F">
        <w:tc>
          <w:tcPr>
            <w:tcW w:w="4356" w:type="dxa"/>
          </w:tcPr>
          <w:p w14:paraId="3C66166D"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Advice from the Subsidiary Body on Implementation</w:t>
            </w:r>
          </w:p>
        </w:tc>
        <w:tc>
          <w:tcPr>
            <w:tcW w:w="4546" w:type="dxa"/>
          </w:tcPr>
          <w:p w14:paraId="391F3E0E"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Asesoramiento del Órgano Subsidiario sobre la Aplicación</w:t>
            </w:r>
          </w:p>
        </w:tc>
      </w:tr>
      <w:tr w:rsidR="00C05F0F" w:rsidRPr="00E944B1" w14:paraId="39E409EC" w14:textId="77777777" w:rsidTr="00C05F0F">
        <w:tc>
          <w:tcPr>
            <w:tcW w:w="4356" w:type="dxa"/>
          </w:tcPr>
          <w:p w14:paraId="23BC5E5D"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lastRenderedPageBreak/>
              <w:t>Monitoring (elaborated the monitoring framework and its indicators)</w:t>
            </w:r>
          </w:p>
        </w:tc>
        <w:tc>
          <w:tcPr>
            <w:tcW w:w="4546" w:type="dxa"/>
          </w:tcPr>
          <w:p w14:paraId="7E3E5F89"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Seguimiento (elaboración del marco de seguimiento y sus indicadores)</w:t>
            </w:r>
          </w:p>
        </w:tc>
      </w:tr>
      <w:tr w:rsidR="00C05F0F" w:rsidRPr="00E944B1" w14:paraId="1B8A48AB" w14:textId="77777777" w:rsidTr="00C05F0F">
        <w:tc>
          <w:tcPr>
            <w:tcW w:w="4356" w:type="dxa"/>
          </w:tcPr>
          <w:p w14:paraId="2AEB14C8"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 xml:space="preserve">National consideration of the global review and </w:t>
            </w:r>
            <w:proofErr w:type="gramStart"/>
            <w:r w:rsidRPr="0028478F">
              <w:rPr>
                <w:rFonts w:ascii="Aptos" w:eastAsia="Segoe UI" w:hAnsi="Aptos" w:cs="Segoe UI"/>
                <w:color w:val="000000" w:themeColor="text1"/>
                <w:sz w:val="18"/>
                <w:szCs w:val="18"/>
                <w:lang w:val="en-US"/>
              </w:rPr>
              <w:t>related  decisions</w:t>
            </w:r>
            <w:proofErr w:type="gramEnd"/>
            <w:r w:rsidRPr="0028478F">
              <w:rPr>
                <w:rFonts w:ascii="Aptos" w:eastAsia="Segoe UI" w:hAnsi="Aptos" w:cs="Segoe UI"/>
                <w:color w:val="000000" w:themeColor="text1"/>
                <w:sz w:val="18"/>
                <w:szCs w:val="18"/>
                <w:lang w:val="en-US"/>
              </w:rPr>
              <w:t xml:space="preserve"> of the Conference of the Parties</w:t>
            </w:r>
          </w:p>
        </w:tc>
        <w:tc>
          <w:tcPr>
            <w:tcW w:w="4546" w:type="dxa"/>
          </w:tcPr>
          <w:p w14:paraId="36C415EF"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Consideración a nivel nacional de la revisión mundial y las decisiones conexas de la Conferencia de las Partes</w:t>
            </w:r>
          </w:p>
        </w:tc>
      </w:tr>
      <w:tr w:rsidR="00C05F0F" w:rsidRPr="00E944B1" w14:paraId="61FEB634" w14:textId="77777777" w:rsidTr="00C05F0F">
        <w:tc>
          <w:tcPr>
            <w:tcW w:w="4356" w:type="dxa"/>
          </w:tcPr>
          <w:p w14:paraId="1A1BEBBA"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Global review at the seventeenth and nineteenth meetings of Conference of the Parties: including related decisions of the Conference of the Parties</w:t>
            </w:r>
          </w:p>
        </w:tc>
        <w:tc>
          <w:tcPr>
            <w:tcW w:w="4546" w:type="dxa"/>
          </w:tcPr>
          <w:p w14:paraId="1E34932C"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Revisión mundial en las reuniones 17ª y 19ª de la Conferencia de las Partes: incluidas las decisiones conexas de la Conferencia de las Partes</w:t>
            </w:r>
          </w:p>
        </w:tc>
      </w:tr>
      <w:tr w:rsidR="00C05F0F" w:rsidRPr="00E944B1" w14:paraId="126B4DF7" w14:textId="77777777" w:rsidTr="00C05F0F">
        <w:tc>
          <w:tcPr>
            <w:tcW w:w="4356" w:type="dxa"/>
          </w:tcPr>
          <w:p w14:paraId="4E5A780E" w14:textId="77777777" w:rsidR="00C05F0F" w:rsidRPr="0028478F" w:rsidRDefault="00C05F0F" w:rsidP="00B93410">
            <w:pPr>
              <w:rPr>
                <w:rFonts w:ascii="Aptos" w:hAnsi="Aptos"/>
                <w:sz w:val="18"/>
                <w:szCs w:val="18"/>
                <w:lang w:val="es-ES"/>
              </w:rPr>
            </w:pPr>
            <w:r w:rsidRPr="0028478F">
              <w:rPr>
                <w:rFonts w:ascii="Aptos" w:eastAsia="Segoe UI" w:hAnsi="Aptos" w:cs="Segoe UI"/>
                <w:color w:val="000000" w:themeColor="text1"/>
                <w:sz w:val="18"/>
                <w:szCs w:val="18"/>
                <w:lang w:val="es-ES"/>
              </w:rPr>
              <w:t xml:space="preserve">Global </w:t>
            </w:r>
            <w:proofErr w:type="spellStart"/>
            <w:r w:rsidRPr="0028478F">
              <w:rPr>
                <w:rFonts w:ascii="Aptos" w:eastAsia="Segoe UI" w:hAnsi="Aptos" w:cs="Segoe UI"/>
                <w:color w:val="000000" w:themeColor="text1"/>
                <w:sz w:val="18"/>
                <w:szCs w:val="18"/>
                <w:lang w:val="es-ES"/>
              </w:rPr>
              <w:t>level</w:t>
            </w:r>
            <w:proofErr w:type="spellEnd"/>
          </w:p>
        </w:tc>
        <w:tc>
          <w:tcPr>
            <w:tcW w:w="4546" w:type="dxa"/>
          </w:tcPr>
          <w:p w14:paraId="353D7982"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Nivel mundial</w:t>
            </w:r>
          </w:p>
        </w:tc>
      </w:tr>
      <w:tr w:rsidR="00C05F0F" w:rsidRPr="00E944B1" w14:paraId="4BCA5E9A" w14:textId="77777777" w:rsidTr="00C05F0F">
        <w:tc>
          <w:tcPr>
            <w:tcW w:w="4356" w:type="dxa"/>
          </w:tcPr>
          <w:p w14:paraId="7FBCC388"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Advice from the Subsidiary Body on Scientific, Technical and Technological Advice</w:t>
            </w:r>
          </w:p>
        </w:tc>
        <w:tc>
          <w:tcPr>
            <w:tcW w:w="4546" w:type="dxa"/>
          </w:tcPr>
          <w:p w14:paraId="79479FCC"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Asesoramiento del Órgano Subsidiario de Asesoramiento Científico, Técnico y Tecnológico</w:t>
            </w:r>
          </w:p>
        </w:tc>
      </w:tr>
      <w:tr w:rsidR="00C05F0F" w:rsidRPr="00E944B1" w14:paraId="2F6B6890" w14:textId="77777777" w:rsidTr="00C05F0F">
        <w:tc>
          <w:tcPr>
            <w:tcW w:w="4356" w:type="dxa"/>
          </w:tcPr>
          <w:p w14:paraId="597BC2FF" w14:textId="77777777" w:rsidR="00C05F0F" w:rsidRPr="0028478F" w:rsidRDefault="00C05F0F" w:rsidP="00B93410">
            <w:pPr>
              <w:rPr>
                <w:rFonts w:ascii="Aptos" w:hAnsi="Aptos"/>
                <w:sz w:val="18"/>
                <w:szCs w:val="18"/>
                <w:lang w:val="en-US"/>
              </w:rPr>
            </w:pPr>
            <w:r w:rsidRPr="0028478F">
              <w:rPr>
                <w:rFonts w:ascii="Aptos" w:eastAsia="Segoe UI" w:hAnsi="Aptos" w:cs="Segoe UI"/>
                <w:color w:val="000000" w:themeColor="text1"/>
                <w:sz w:val="18"/>
                <w:szCs w:val="18"/>
                <w:lang w:val="en-US"/>
              </w:rPr>
              <w:t>Reporting national reports: February 2026 and June 2029</w:t>
            </w:r>
          </w:p>
        </w:tc>
        <w:tc>
          <w:tcPr>
            <w:tcW w:w="4546" w:type="dxa"/>
          </w:tcPr>
          <w:p w14:paraId="508C3F76"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Presentación de informes nacionales: febrero de 2026 y junio de 2029</w:t>
            </w:r>
          </w:p>
        </w:tc>
      </w:tr>
      <w:tr w:rsidR="00C05F0F" w:rsidRPr="00E944B1" w14:paraId="412C659E" w14:textId="77777777" w:rsidTr="00C05F0F">
        <w:tc>
          <w:tcPr>
            <w:tcW w:w="4356" w:type="dxa"/>
          </w:tcPr>
          <w:p w14:paraId="2D2E5F95" w14:textId="77777777" w:rsidR="00C05F0F" w:rsidRPr="0028478F" w:rsidRDefault="00C05F0F" w:rsidP="00B93410">
            <w:pPr>
              <w:rPr>
                <w:rFonts w:ascii="Aptos" w:hAnsi="Aptos"/>
                <w:sz w:val="18"/>
                <w:szCs w:val="18"/>
                <w:lang w:val="es-ES"/>
              </w:rPr>
            </w:pPr>
            <w:proofErr w:type="spellStart"/>
            <w:r w:rsidRPr="0028478F">
              <w:rPr>
                <w:rFonts w:ascii="Aptos" w:eastAsia="Segoe UI" w:hAnsi="Aptos" w:cs="Segoe UI"/>
                <w:color w:val="000000" w:themeColor="text1"/>
                <w:sz w:val="18"/>
                <w:szCs w:val="18"/>
                <w:lang w:val="es-ES"/>
              </w:rPr>
              <w:t>Primary</w:t>
            </w:r>
            <w:proofErr w:type="spellEnd"/>
            <w:r w:rsidRPr="0028478F">
              <w:rPr>
                <w:rFonts w:ascii="Aptos" w:eastAsia="Segoe UI" w:hAnsi="Aptos" w:cs="Segoe UI"/>
                <w:color w:val="000000" w:themeColor="text1"/>
                <w:sz w:val="18"/>
                <w:szCs w:val="18"/>
                <w:lang w:val="es-ES"/>
              </w:rPr>
              <w:t xml:space="preserve"> </w:t>
            </w:r>
            <w:proofErr w:type="spellStart"/>
            <w:r w:rsidRPr="0028478F">
              <w:rPr>
                <w:rFonts w:ascii="Aptos" w:eastAsia="Segoe UI" w:hAnsi="Aptos" w:cs="Segoe UI"/>
                <w:color w:val="000000" w:themeColor="text1"/>
                <w:sz w:val="18"/>
                <w:szCs w:val="18"/>
                <w:lang w:val="es-ES"/>
              </w:rPr>
              <w:t>source</w:t>
            </w:r>
            <w:proofErr w:type="spellEnd"/>
            <w:r w:rsidRPr="0028478F">
              <w:rPr>
                <w:rFonts w:ascii="Aptos" w:eastAsia="Segoe UI" w:hAnsi="Aptos" w:cs="Segoe UI"/>
                <w:color w:val="000000" w:themeColor="text1"/>
                <w:sz w:val="18"/>
                <w:szCs w:val="18"/>
                <w:lang w:val="es-ES"/>
              </w:rPr>
              <w:t xml:space="preserve"> of </w:t>
            </w:r>
            <w:proofErr w:type="spellStart"/>
            <w:r w:rsidRPr="0028478F">
              <w:rPr>
                <w:rFonts w:ascii="Aptos" w:eastAsia="Segoe UI" w:hAnsi="Aptos" w:cs="Segoe UI"/>
                <w:color w:val="000000" w:themeColor="text1"/>
                <w:sz w:val="18"/>
                <w:szCs w:val="18"/>
                <w:lang w:val="es-ES"/>
              </w:rPr>
              <w:t>information</w:t>
            </w:r>
            <w:proofErr w:type="spellEnd"/>
          </w:p>
        </w:tc>
        <w:tc>
          <w:tcPr>
            <w:tcW w:w="4546" w:type="dxa"/>
          </w:tcPr>
          <w:p w14:paraId="6AEA7F8E"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Fuente principal de información</w:t>
            </w:r>
          </w:p>
        </w:tc>
      </w:tr>
      <w:tr w:rsidR="00C05F0F" w:rsidRPr="00E944B1" w14:paraId="0063C757" w14:textId="77777777" w:rsidTr="00C05F0F">
        <w:tc>
          <w:tcPr>
            <w:tcW w:w="4356" w:type="dxa"/>
          </w:tcPr>
          <w:p w14:paraId="324CBCC3" w14:textId="77777777" w:rsidR="00C05F0F" w:rsidRPr="0028478F" w:rsidRDefault="00C05F0F" w:rsidP="00B93410">
            <w:pPr>
              <w:rPr>
                <w:rFonts w:ascii="Aptos" w:hAnsi="Aptos"/>
                <w:sz w:val="18"/>
                <w:szCs w:val="18"/>
                <w:lang w:val="es-ES"/>
              </w:rPr>
            </w:pPr>
            <w:proofErr w:type="spellStart"/>
            <w:r w:rsidRPr="0028478F">
              <w:rPr>
                <w:rFonts w:ascii="Aptos" w:eastAsia="Segoe UI" w:hAnsi="Aptos" w:cs="Segoe UI"/>
                <w:color w:val="000000" w:themeColor="text1"/>
                <w:sz w:val="18"/>
                <w:szCs w:val="18"/>
                <w:lang w:val="es-ES"/>
              </w:rPr>
              <w:t>Secondary</w:t>
            </w:r>
            <w:proofErr w:type="spellEnd"/>
            <w:r w:rsidRPr="0028478F">
              <w:rPr>
                <w:rFonts w:ascii="Aptos" w:eastAsia="Segoe UI" w:hAnsi="Aptos" w:cs="Segoe UI"/>
                <w:color w:val="000000" w:themeColor="text1"/>
                <w:sz w:val="18"/>
                <w:szCs w:val="18"/>
                <w:lang w:val="es-ES"/>
              </w:rPr>
              <w:t xml:space="preserve"> </w:t>
            </w:r>
            <w:proofErr w:type="spellStart"/>
            <w:r w:rsidRPr="0028478F">
              <w:rPr>
                <w:rFonts w:ascii="Aptos" w:eastAsia="Segoe UI" w:hAnsi="Aptos" w:cs="Segoe UI"/>
                <w:color w:val="000000" w:themeColor="text1"/>
                <w:sz w:val="18"/>
                <w:szCs w:val="18"/>
                <w:lang w:val="es-ES"/>
              </w:rPr>
              <w:t>source</w:t>
            </w:r>
            <w:proofErr w:type="spellEnd"/>
            <w:r w:rsidRPr="0028478F">
              <w:rPr>
                <w:rFonts w:ascii="Aptos" w:eastAsia="Segoe UI" w:hAnsi="Aptos" w:cs="Segoe UI"/>
                <w:color w:val="000000" w:themeColor="text1"/>
                <w:sz w:val="18"/>
                <w:szCs w:val="18"/>
                <w:lang w:val="es-ES"/>
              </w:rPr>
              <w:t xml:space="preserve"> of </w:t>
            </w:r>
            <w:proofErr w:type="spellStart"/>
            <w:r w:rsidRPr="0028478F">
              <w:rPr>
                <w:rFonts w:ascii="Aptos" w:eastAsia="Segoe UI" w:hAnsi="Aptos" w:cs="Segoe UI"/>
                <w:color w:val="000000" w:themeColor="text1"/>
                <w:sz w:val="18"/>
                <w:szCs w:val="18"/>
                <w:lang w:val="es-ES"/>
              </w:rPr>
              <w:t>information</w:t>
            </w:r>
            <w:proofErr w:type="spellEnd"/>
          </w:p>
        </w:tc>
        <w:tc>
          <w:tcPr>
            <w:tcW w:w="4546" w:type="dxa"/>
          </w:tcPr>
          <w:p w14:paraId="61792A97"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Fuente secundaria de información</w:t>
            </w:r>
          </w:p>
        </w:tc>
      </w:tr>
      <w:tr w:rsidR="00C05F0F" w:rsidRPr="00E944B1" w14:paraId="423D8B38" w14:textId="77777777" w:rsidTr="00C05F0F">
        <w:tc>
          <w:tcPr>
            <w:tcW w:w="4356" w:type="dxa"/>
          </w:tcPr>
          <w:p w14:paraId="344FDB1C" w14:textId="77777777" w:rsidR="00C05F0F" w:rsidRPr="0028478F" w:rsidRDefault="00C05F0F" w:rsidP="00B93410">
            <w:pPr>
              <w:rPr>
                <w:rFonts w:ascii="Aptos" w:hAnsi="Aptos"/>
                <w:sz w:val="18"/>
                <w:szCs w:val="18"/>
                <w:lang w:val="es-ES"/>
              </w:rPr>
            </w:pPr>
            <w:r w:rsidRPr="0028478F">
              <w:rPr>
                <w:rFonts w:ascii="Aptos" w:eastAsia="Segoe UI" w:hAnsi="Aptos" w:cs="Segoe UI"/>
                <w:color w:val="000000" w:themeColor="text1"/>
                <w:sz w:val="18"/>
                <w:szCs w:val="18"/>
                <w:lang w:val="es-ES"/>
              </w:rPr>
              <w:t xml:space="preserve">Global </w:t>
            </w:r>
            <w:proofErr w:type="spellStart"/>
            <w:r w:rsidRPr="0028478F">
              <w:rPr>
                <w:rFonts w:ascii="Aptos" w:eastAsia="Segoe UI" w:hAnsi="Aptos" w:cs="Segoe UI"/>
                <w:color w:val="000000" w:themeColor="text1"/>
                <w:sz w:val="18"/>
                <w:szCs w:val="18"/>
                <w:lang w:val="es-ES"/>
              </w:rPr>
              <w:t>report</w:t>
            </w:r>
            <w:proofErr w:type="spellEnd"/>
            <w:r w:rsidRPr="0028478F">
              <w:rPr>
                <w:rFonts w:ascii="Aptos" w:eastAsia="Segoe UI" w:hAnsi="Aptos" w:cs="Segoe UI"/>
                <w:color w:val="000000" w:themeColor="text1"/>
                <w:sz w:val="18"/>
                <w:szCs w:val="18"/>
                <w:lang w:val="es-ES"/>
              </w:rPr>
              <w:t xml:space="preserve"> (2026 and 2030)</w:t>
            </w:r>
          </w:p>
        </w:tc>
        <w:tc>
          <w:tcPr>
            <w:tcW w:w="4546" w:type="dxa"/>
          </w:tcPr>
          <w:p w14:paraId="5B64B9EC"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Informe mundial (2026 y 2030)</w:t>
            </w:r>
          </w:p>
        </w:tc>
      </w:tr>
      <w:tr w:rsidR="00C05F0F" w:rsidRPr="00E944B1" w14:paraId="62CE382F" w14:textId="77777777" w:rsidTr="00C05F0F">
        <w:tc>
          <w:tcPr>
            <w:tcW w:w="4356" w:type="dxa"/>
          </w:tcPr>
          <w:p w14:paraId="40638093" w14:textId="77777777" w:rsidR="00C05F0F" w:rsidRPr="0028478F" w:rsidRDefault="00C05F0F" w:rsidP="00B93410">
            <w:pPr>
              <w:rPr>
                <w:rFonts w:ascii="Aptos" w:hAnsi="Aptos"/>
                <w:sz w:val="18"/>
                <w:szCs w:val="18"/>
                <w:lang w:val="es-ES"/>
              </w:rPr>
            </w:pPr>
            <w:r w:rsidRPr="0028478F">
              <w:rPr>
                <w:rFonts w:ascii="Aptos" w:eastAsia="Segoe UI" w:hAnsi="Aptos" w:cs="Segoe UI"/>
                <w:color w:val="000000" w:themeColor="text1"/>
                <w:sz w:val="18"/>
                <w:szCs w:val="18"/>
                <w:lang w:val="es-ES"/>
              </w:rPr>
              <w:t xml:space="preserve">Other </w:t>
            </w:r>
            <w:proofErr w:type="spellStart"/>
            <w:r w:rsidRPr="0028478F">
              <w:rPr>
                <w:rFonts w:ascii="Aptos" w:eastAsia="Segoe UI" w:hAnsi="Aptos" w:cs="Segoe UI"/>
                <w:color w:val="000000" w:themeColor="text1"/>
                <w:sz w:val="18"/>
                <w:szCs w:val="18"/>
                <w:lang w:val="es-ES"/>
              </w:rPr>
              <w:t>sources</w:t>
            </w:r>
            <w:proofErr w:type="spellEnd"/>
            <w:r w:rsidRPr="0028478F">
              <w:rPr>
                <w:rFonts w:ascii="Aptos" w:eastAsia="Segoe UI" w:hAnsi="Aptos" w:cs="Segoe UI"/>
                <w:color w:val="000000" w:themeColor="text1"/>
                <w:sz w:val="18"/>
                <w:szCs w:val="18"/>
                <w:lang w:val="es-ES"/>
              </w:rPr>
              <w:t xml:space="preserve"> of </w:t>
            </w:r>
            <w:proofErr w:type="spellStart"/>
            <w:r w:rsidRPr="0028478F">
              <w:rPr>
                <w:rFonts w:ascii="Aptos" w:eastAsia="Segoe UI" w:hAnsi="Aptos" w:cs="Segoe UI"/>
                <w:color w:val="000000" w:themeColor="text1"/>
                <w:sz w:val="18"/>
                <w:szCs w:val="18"/>
                <w:lang w:val="es-ES"/>
              </w:rPr>
              <w:t>information</w:t>
            </w:r>
            <w:proofErr w:type="spellEnd"/>
          </w:p>
        </w:tc>
        <w:tc>
          <w:tcPr>
            <w:tcW w:w="4546" w:type="dxa"/>
          </w:tcPr>
          <w:p w14:paraId="7E06B803" w14:textId="77777777" w:rsidR="00C05F0F" w:rsidRPr="0028478F" w:rsidRDefault="00C05F0F" w:rsidP="00B93410">
            <w:pPr>
              <w:rPr>
                <w:rFonts w:ascii="Aptos" w:hAnsi="Aptos"/>
                <w:sz w:val="18"/>
                <w:szCs w:val="18"/>
                <w:lang w:val="es-ES"/>
              </w:rPr>
            </w:pPr>
            <w:r w:rsidRPr="0028478F">
              <w:rPr>
                <w:rFonts w:ascii="Aptos" w:hAnsi="Aptos"/>
                <w:color w:val="000000" w:themeColor="text1"/>
                <w:sz w:val="18"/>
                <w:szCs w:val="18"/>
                <w:lang w:val="es-ES"/>
              </w:rPr>
              <w:t>Otras fuentes de información</w:t>
            </w:r>
          </w:p>
        </w:tc>
      </w:tr>
      <w:tr w:rsidR="00C05F0F" w:rsidRPr="00516A94" w14:paraId="4DC4C841" w14:textId="77777777" w:rsidTr="00C05F0F">
        <w:tc>
          <w:tcPr>
            <w:tcW w:w="4356" w:type="dxa"/>
          </w:tcPr>
          <w:p w14:paraId="6CEA0EE7" w14:textId="79F2324F" w:rsidR="00C05F0F" w:rsidRPr="00C05F0F" w:rsidRDefault="00C05F0F" w:rsidP="00B04F0F">
            <w:pPr>
              <w:rPr>
                <w:rFonts w:ascii="Aptos" w:eastAsia="Segoe UI" w:hAnsi="Aptos" w:cs="Segoe UI"/>
                <w:color w:val="000000" w:themeColor="text1"/>
                <w:sz w:val="18"/>
                <w:szCs w:val="18"/>
                <w:lang w:val="en-US"/>
              </w:rPr>
            </w:pPr>
            <w:r w:rsidRPr="00C05F0F">
              <w:rPr>
                <w:rFonts w:ascii="Aptos" w:eastAsia="Segoe UI" w:hAnsi="Aptos" w:cs="Segoe UI"/>
                <w:color w:val="000000" w:themeColor="text1"/>
                <w:sz w:val="18"/>
                <w:szCs w:val="18"/>
                <w:lang w:val="en-US"/>
              </w:rPr>
              <w:t xml:space="preserve">Other sources of information </w:t>
            </w:r>
            <w:proofErr w:type="gramStart"/>
            <w:r w:rsidRPr="00C05F0F">
              <w:rPr>
                <w:rFonts w:ascii="Aptos" w:eastAsia="Segoe UI" w:hAnsi="Aptos" w:cs="Segoe UI"/>
                <w:color w:val="000000" w:themeColor="text1"/>
                <w:sz w:val="18"/>
                <w:szCs w:val="18"/>
                <w:lang w:val="en-US"/>
              </w:rPr>
              <w:t>include:</w:t>
            </w:r>
            <w:proofErr w:type="gramEnd"/>
            <w:r w:rsidRPr="00C05F0F">
              <w:rPr>
                <w:rFonts w:ascii="Aptos" w:eastAsia="Segoe UI" w:hAnsi="Aptos" w:cs="Segoe UI"/>
                <w:color w:val="000000" w:themeColor="text1"/>
                <w:sz w:val="18"/>
                <w:szCs w:val="18"/>
                <w:lang w:val="en-US"/>
              </w:rPr>
              <w:t xml:space="preserve"> commitments by actors other than national Governments; scientific assessments, publications and literature; and relevant information from the Sustainable Development Goals process, multilateral environmental agreements, international organizations and processes and relevant traditional knowledge.</w:t>
            </w:r>
          </w:p>
        </w:tc>
        <w:tc>
          <w:tcPr>
            <w:tcW w:w="4546" w:type="dxa"/>
          </w:tcPr>
          <w:p w14:paraId="6A4AAC67" w14:textId="71C9BFAF" w:rsidR="00C05F0F" w:rsidRPr="00516A94" w:rsidRDefault="00C05F0F" w:rsidP="00B04F0F">
            <w:pPr>
              <w:rPr>
                <w:rFonts w:ascii="Aptos" w:eastAsia="Segoe UI" w:hAnsi="Aptos" w:cs="Segoe UI"/>
                <w:color w:val="000000" w:themeColor="text1"/>
                <w:sz w:val="18"/>
                <w:szCs w:val="18"/>
                <w:lang w:val="es-ES"/>
              </w:rPr>
            </w:pPr>
            <w:r w:rsidRPr="00516A94">
              <w:rPr>
                <w:rFonts w:ascii="Aptos" w:eastAsia="Segoe UI" w:hAnsi="Aptos" w:cs="Segoe UI"/>
                <w:color w:val="000000" w:themeColor="text1"/>
                <w:sz w:val="18"/>
                <w:szCs w:val="18"/>
                <w:lang w:val="es-ES"/>
              </w:rPr>
              <w:t>Otras fuentes de información incluyen: compromisos de actores distintos de los Gobiernos nacionales; evaluaciones, publicaciones y literatura científicas, e información pertinente del proceso de los Objetivos de Desarrollo Sostenible, acuerdos ambientales multilaterales, organizaciones y procesos internacionales y conocimientos tradicionales pertinentes.</w:t>
            </w:r>
          </w:p>
        </w:tc>
      </w:tr>
    </w:tbl>
    <w:p w14:paraId="38820051" w14:textId="77777777" w:rsidR="0028478F" w:rsidRPr="00516A94" w:rsidRDefault="0028478F" w:rsidP="004B016A">
      <w:pPr>
        <w:rPr>
          <w:lang w:val="es-ES"/>
        </w:rPr>
      </w:pPr>
    </w:p>
    <w:p w14:paraId="20CFD0D2" w14:textId="77777777" w:rsidR="00FB3C79" w:rsidRPr="00516A94" w:rsidRDefault="00FB3C79" w:rsidP="00C700E9">
      <w:pPr>
        <w:pStyle w:val="Heading3"/>
        <w:rPr>
          <w:b/>
          <w:lang w:val="es-ES"/>
        </w:rPr>
      </w:pPr>
    </w:p>
    <w:p w14:paraId="22043651" w14:textId="42AEE051" w:rsidR="003B2E38" w:rsidRPr="00516A94" w:rsidRDefault="003B2E38" w:rsidP="003B2E38">
      <w:pPr>
        <w:pStyle w:val="Caption"/>
        <w:keepNext/>
        <w:rPr>
          <w:b/>
          <w:i w:val="0"/>
          <w:sz w:val="20"/>
          <w:szCs w:val="20"/>
          <w:lang w:val="es-ES"/>
        </w:rPr>
      </w:pPr>
    </w:p>
    <w:tbl>
      <w:tblPr>
        <w:tblStyle w:val="TableGrid"/>
        <w:tblW w:w="0" w:type="auto"/>
        <w:tblLook w:val="04A0" w:firstRow="1" w:lastRow="0" w:firstColumn="1" w:lastColumn="0" w:noHBand="0" w:noVBand="1"/>
      </w:tblPr>
      <w:tblGrid>
        <w:gridCol w:w="9016"/>
      </w:tblGrid>
      <w:tr w:rsidR="008A144B" w:rsidRPr="005E3D50" w14:paraId="4FC40646" w14:textId="77777777" w:rsidTr="008A144B">
        <w:tc>
          <w:tcPr>
            <w:tcW w:w="9016" w:type="dxa"/>
            <w:shd w:val="clear" w:color="auto" w:fill="E8E8E8" w:themeFill="background2"/>
          </w:tcPr>
          <w:p w14:paraId="49E05998" w14:textId="0B150C79" w:rsidR="001043E2" w:rsidRPr="005E3D50" w:rsidRDefault="001043E2" w:rsidP="001043E2">
            <w:pPr>
              <w:pStyle w:val="Caption"/>
              <w:keepNext/>
              <w:rPr>
                <w:b/>
                <w:bCs/>
                <w:i w:val="0"/>
                <w:iCs w:val="0"/>
                <w:sz w:val="20"/>
                <w:szCs w:val="20"/>
                <w:lang w:val="es-ES"/>
              </w:rPr>
            </w:pPr>
            <w:bookmarkStart w:id="30" w:name="_Ref235521226"/>
            <w:r w:rsidRPr="005E3D50">
              <w:rPr>
                <w:i w:val="0"/>
                <w:sz w:val="20"/>
                <w:szCs w:val="20"/>
                <w:lang w:val="es-ES"/>
              </w:rPr>
              <w:t>Recuadro 1</w:t>
            </w:r>
            <w:bookmarkEnd w:id="30"/>
          </w:p>
          <w:p w14:paraId="7B5FEF15" w14:textId="3ED9F1B6" w:rsidR="002D2FD7" w:rsidRPr="005E3D50" w:rsidRDefault="001043E2" w:rsidP="0043686A">
            <w:pPr>
              <w:rPr>
                <w:b/>
                <w:sz w:val="20"/>
                <w:szCs w:val="20"/>
                <w:lang w:val="es-ES"/>
              </w:rPr>
            </w:pPr>
            <w:r w:rsidRPr="005E3D50">
              <w:rPr>
                <w:b/>
                <w:sz w:val="20"/>
                <w:szCs w:val="20"/>
                <w:lang w:val="es-ES"/>
              </w:rPr>
              <w:t>Marco de seguimiento para el Marco Mundial de Biodiversidad de Kunming-Montreal</w:t>
            </w:r>
          </w:p>
          <w:p w14:paraId="7DDCD3FD" w14:textId="77777777" w:rsidR="001043E2" w:rsidRPr="005E3D50" w:rsidRDefault="001043E2" w:rsidP="001043E2">
            <w:pPr>
              <w:rPr>
                <w:sz w:val="20"/>
                <w:szCs w:val="20"/>
                <w:lang w:val="es-ES"/>
              </w:rPr>
            </w:pPr>
          </w:p>
          <w:p w14:paraId="4AE43C16" w14:textId="2422A04E" w:rsidR="009E1728" w:rsidRPr="005E3D50" w:rsidRDefault="00AC2392" w:rsidP="009E1728">
            <w:pPr>
              <w:rPr>
                <w:sz w:val="20"/>
                <w:szCs w:val="20"/>
                <w:lang w:val="es-ES"/>
              </w:rPr>
            </w:pPr>
            <w:r w:rsidRPr="005E3D50">
              <w:rPr>
                <w:sz w:val="20"/>
                <w:szCs w:val="20"/>
                <w:lang w:val="es-ES"/>
              </w:rPr>
              <w:t>Una innovación importante relacionada con el Marco, que lo distingue del Plan Estratégico para la Diversidad Biológica 2011-2020, fue la adopción simultánea de un marco de seguimiento acordado para medir los progresos colectivos hacia las metas y los objetivos (</w:t>
            </w:r>
            <w:proofErr w:type="spellStart"/>
            <w:r w:rsidRPr="005E3D50">
              <w:rPr>
                <w:sz w:val="20"/>
                <w:szCs w:val="20"/>
                <w:lang w:val="es-ES"/>
              </w:rPr>
              <w:t>dec</w:t>
            </w:r>
            <w:proofErr w:type="spellEnd"/>
            <w:r w:rsidRPr="005E3D50">
              <w:rPr>
                <w:sz w:val="20"/>
                <w:szCs w:val="20"/>
                <w:lang w:val="es-ES"/>
              </w:rPr>
              <w:t>. 15/5 en CDB, 2023</w:t>
            </w:r>
            <w:r w:rsidR="00AE3B50" w:rsidRPr="005E3D50">
              <w:rPr>
                <w:sz w:val="20"/>
                <w:szCs w:val="20"/>
                <w:lang w:val="es-ES"/>
              </w:rPr>
              <w:t>;</w:t>
            </w:r>
            <w:r w:rsidRPr="005E3D50">
              <w:rPr>
                <w:sz w:val="20"/>
                <w:szCs w:val="20"/>
                <w:lang w:val="es-ES"/>
              </w:rPr>
              <w:t xml:space="preserve"> y </w:t>
            </w:r>
            <w:proofErr w:type="spellStart"/>
            <w:r w:rsidRPr="005E3D50">
              <w:rPr>
                <w:sz w:val="20"/>
                <w:szCs w:val="20"/>
                <w:lang w:val="es-ES"/>
              </w:rPr>
              <w:t>dec</w:t>
            </w:r>
            <w:proofErr w:type="spellEnd"/>
            <w:r w:rsidRPr="005E3D50">
              <w:rPr>
                <w:sz w:val="20"/>
                <w:szCs w:val="20"/>
                <w:lang w:val="es-ES"/>
              </w:rPr>
              <w:t xml:space="preserve">. 16/31 en CDB, 2026). El marco de seguimiento, elaborado por consenso junto con el propio Marco y sujeto a nuevos ajustes, incluye un conjunto acordado de indicadores de cabecera y binarios que deberían utilizar todas las Partes para permitir una presentación de informes coherente y el análisis de los progresos colectivos. </w:t>
            </w:r>
          </w:p>
          <w:p w14:paraId="30E1F2F5" w14:textId="77777777" w:rsidR="0043686A" w:rsidRPr="005E3D50" w:rsidRDefault="0043686A" w:rsidP="0043686A">
            <w:pPr>
              <w:rPr>
                <w:sz w:val="20"/>
                <w:szCs w:val="20"/>
                <w:lang w:val="es-ES"/>
              </w:rPr>
            </w:pPr>
            <w:r w:rsidRPr="005E3D50">
              <w:rPr>
                <w:sz w:val="20"/>
                <w:szCs w:val="20"/>
                <w:lang w:val="es-ES"/>
              </w:rPr>
              <w:t>El marco de seguimiento incluye cinco tipos de indicadores:</w:t>
            </w:r>
          </w:p>
          <w:p w14:paraId="6732681C" w14:textId="77777777" w:rsidR="009E1728" w:rsidRPr="005E3D50" w:rsidRDefault="009E1728" w:rsidP="009E1728">
            <w:pPr>
              <w:pStyle w:val="ListParagraph"/>
              <w:numPr>
                <w:ilvl w:val="0"/>
                <w:numId w:val="2"/>
              </w:numPr>
              <w:spacing w:line="279" w:lineRule="auto"/>
              <w:rPr>
                <w:sz w:val="20"/>
                <w:szCs w:val="20"/>
                <w:lang w:val="es-ES"/>
              </w:rPr>
            </w:pPr>
            <w:r w:rsidRPr="005E3D50">
              <w:rPr>
                <w:sz w:val="20"/>
                <w:szCs w:val="20"/>
                <w:lang w:val="es-ES"/>
              </w:rPr>
              <w:t>Indicadores de cabecera, representados por un conjunto de 27 indicadores de alto nivel que reflejan el alcance general de los objetivos y metas del Marco. Estos indicadores pueden calcularse utilizando datos nacionales o fuentes de datos mundiales validadas por las Partes (que, a su vez, suelen incluir datos nacionales presentados a través de otros procesos mundiales) y son pertinentes en los planos nacional, regional y mundial</w:t>
            </w:r>
          </w:p>
          <w:p w14:paraId="13D0E27A" w14:textId="77777777" w:rsidR="009E1728" w:rsidRPr="005E3D50" w:rsidRDefault="009E1728" w:rsidP="009E1728">
            <w:pPr>
              <w:pStyle w:val="ListParagraph"/>
              <w:numPr>
                <w:ilvl w:val="0"/>
                <w:numId w:val="2"/>
              </w:numPr>
              <w:spacing w:line="279" w:lineRule="auto"/>
              <w:rPr>
                <w:sz w:val="20"/>
                <w:szCs w:val="20"/>
                <w:lang w:val="es-ES"/>
              </w:rPr>
            </w:pPr>
            <w:r w:rsidRPr="005E3D50">
              <w:rPr>
                <w:sz w:val="20"/>
                <w:szCs w:val="20"/>
                <w:lang w:val="es-ES"/>
              </w:rPr>
              <w:t>Indicadores binarios, representados por un conjunto de 15 indicadores de nivel mundial recopilados a partir de respuestas binarias y categóricas a preguntas incluidas en la plantilla para la presentación de informes nacionales, que proporcionan el número de Partes que han emprendido determinadas actividades pertinentes para una meta concreta</w:t>
            </w:r>
          </w:p>
          <w:p w14:paraId="4F8D0FCD" w14:textId="47726BDC" w:rsidR="009E1728" w:rsidRPr="005E3D50" w:rsidRDefault="009E1728" w:rsidP="009E1728">
            <w:pPr>
              <w:pStyle w:val="ListParagraph"/>
              <w:numPr>
                <w:ilvl w:val="0"/>
                <w:numId w:val="2"/>
              </w:numPr>
              <w:spacing w:line="279" w:lineRule="auto"/>
              <w:rPr>
                <w:sz w:val="20"/>
                <w:szCs w:val="20"/>
                <w:lang w:val="es-ES"/>
              </w:rPr>
            </w:pPr>
            <w:r w:rsidRPr="005E3D50">
              <w:rPr>
                <w:sz w:val="20"/>
                <w:szCs w:val="20"/>
                <w:lang w:val="es-ES"/>
              </w:rPr>
              <w:t>Indicadores de componentes opcionales (una lista de 54) que, junto con los indicadores de cabecera, abarcan los componentes de los objetivos y metas del Marco y podrían aplicarse a nivel mundial, regional, nacional y subnacional</w:t>
            </w:r>
          </w:p>
          <w:p w14:paraId="71A40F20" w14:textId="77777777" w:rsidR="009E1728" w:rsidRPr="005E3D50" w:rsidRDefault="009E1728" w:rsidP="009E1728">
            <w:pPr>
              <w:pStyle w:val="ListParagraph"/>
              <w:numPr>
                <w:ilvl w:val="0"/>
                <w:numId w:val="2"/>
              </w:numPr>
              <w:spacing w:line="279" w:lineRule="auto"/>
              <w:rPr>
                <w:sz w:val="20"/>
                <w:szCs w:val="20"/>
                <w:lang w:val="es-ES"/>
              </w:rPr>
            </w:pPr>
            <w:r w:rsidRPr="005E3D50">
              <w:rPr>
                <w:sz w:val="20"/>
                <w:szCs w:val="20"/>
                <w:lang w:val="es-ES"/>
              </w:rPr>
              <w:t xml:space="preserve">Indicadores complementarios opcionales (una lista de 120) para el análisis temático o en profundidad de cada objetivo y meta, que podrían aplicarse a nivel mundial, regional, nacional y subnacional </w:t>
            </w:r>
          </w:p>
          <w:p w14:paraId="3DE52ECB" w14:textId="77777777" w:rsidR="0043686A" w:rsidRPr="005E3D50" w:rsidRDefault="009E1728" w:rsidP="008E548F">
            <w:pPr>
              <w:pStyle w:val="ListParagraph"/>
              <w:numPr>
                <w:ilvl w:val="0"/>
                <w:numId w:val="2"/>
              </w:numPr>
              <w:spacing w:line="279" w:lineRule="auto"/>
              <w:rPr>
                <w:sz w:val="20"/>
                <w:szCs w:val="20"/>
                <w:lang w:val="es-ES"/>
              </w:rPr>
            </w:pPr>
            <w:r w:rsidRPr="005E3D50">
              <w:rPr>
                <w:sz w:val="20"/>
                <w:szCs w:val="20"/>
                <w:lang w:val="es-ES"/>
              </w:rPr>
              <w:t xml:space="preserve">Indicadores nacionales o subnacionales adicionales que las Partes pueden utilizar para complementar el marco de seguimiento </w:t>
            </w:r>
          </w:p>
          <w:p w14:paraId="0B843667" w14:textId="07642053" w:rsidR="008A144B" w:rsidRPr="005E3D50" w:rsidRDefault="0043686A" w:rsidP="00243BFA">
            <w:pPr>
              <w:spacing w:line="279" w:lineRule="auto"/>
              <w:rPr>
                <w:sz w:val="20"/>
                <w:szCs w:val="20"/>
                <w:lang w:val="es-ES"/>
              </w:rPr>
            </w:pPr>
            <w:r w:rsidRPr="005E3D50">
              <w:rPr>
                <w:sz w:val="20"/>
                <w:szCs w:val="20"/>
                <w:lang w:val="es-ES"/>
              </w:rPr>
              <w:t xml:space="preserve">El marco de seguimiento proporciona una estructura normalizada para informar sobre los progresos hacia </w:t>
            </w:r>
            <w:r w:rsidR="00A36517">
              <w:rPr>
                <w:sz w:val="20"/>
                <w:szCs w:val="20"/>
                <w:lang w:val="es-ES"/>
              </w:rPr>
              <w:t xml:space="preserve">la consecución de </w:t>
            </w:r>
            <w:r w:rsidRPr="005E3D50">
              <w:rPr>
                <w:sz w:val="20"/>
                <w:szCs w:val="20"/>
                <w:lang w:val="es-ES"/>
              </w:rPr>
              <w:t xml:space="preserve">las metas nacionales, utilizando el período de referencia 2011-2020 cuando se dispone de datos, lo que permite evaluar las tendencias, agregar la información nacional y establecer una base empírica coherente para la presentación de informes nacionales, además de contribuir a un análisis mundial de los progresos colectivos (Affinito y otros, 2024). </w:t>
            </w:r>
          </w:p>
          <w:p w14:paraId="626174A0" w14:textId="06F34DE2" w:rsidR="004E2AEA" w:rsidRPr="005E3D50" w:rsidRDefault="004E2AEA" w:rsidP="00243BFA">
            <w:pPr>
              <w:spacing w:line="279" w:lineRule="auto"/>
              <w:rPr>
                <w:sz w:val="20"/>
                <w:szCs w:val="20"/>
                <w:lang w:val="es-ES"/>
              </w:rPr>
            </w:pPr>
          </w:p>
        </w:tc>
      </w:tr>
    </w:tbl>
    <w:p w14:paraId="37C0C913" w14:textId="7AE0EE5F" w:rsidR="00FB3C79" w:rsidRPr="005E3D50" w:rsidRDefault="00FB3C79" w:rsidP="002B521F">
      <w:pPr>
        <w:pStyle w:val="Caption"/>
        <w:rPr>
          <w:sz w:val="20"/>
          <w:szCs w:val="20"/>
          <w:lang w:val="es-ES"/>
        </w:rPr>
      </w:pPr>
    </w:p>
    <w:p w14:paraId="4B844AD9" w14:textId="34BE36A0" w:rsidR="00C700E9" w:rsidRPr="005E3D50" w:rsidRDefault="00C700E9" w:rsidP="00C700E9">
      <w:pPr>
        <w:pStyle w:val="Heading3"/>
        <w:rPr>
          <w:lang w:val="es-ES"/>
        </w:rPr>
      </w:pPr>
      <w:bookmarkStart w:id="31" w:name="_Toc235821036"/>
      <w:bookmarkStart w:id="32" w:name="_Toc239069181"/>
      <w:bookmarkStart w:id="33" w:name="_Toc242882959"/>
      <w:r w:rsidRPr="005E3D50">
        <w:rPr>
          <w:lang w:val="es-ES"/>
        </w:rPr>
        <w:t>Finalidad del informe mundial</w:t>
      </w:r>
      <w:bookmarkEnd w:id="31"/>
      <w:bookmarkEnd w:id="32"/>
      <w:bookmarkEnd w:id="33"/>
      <w:r w:rsidRPr="005E3D50">
        <w:rPr>
          <w:lang w:val="es-ES"/>
        </w:rPr>
        <w:t xml:space="preserve"> </w:t>
      </w:r>
    </w:p>
    <w:p w14:paraId="4652095C" w14:textId="770EB7FA" w:rsidR="004172DC" w:rsidRPr="005E3D50" w:rsidRDefault="008F2DDD" w:rsidP="004172DC">
      <w:pPr>
        <w:rPr>
          <w:lang w:val="es-ES"/>
        </w:rPr>
      </w:pPr>
      <w:r w:rsidRPr="005E3D50">
        <w:rPr>
          <w:lang w:val="es-ES"/>
        </w:rPr>
        <w:t xml:space="preserve">El informe mundial tiene por objeto proporcionar una visión general de los progresos colectivos en la implementación del Marco desde su adopción, mediante el análisis de: </w:t>
      </w:r>
    </w:p>
    <w:p w14:paraId="5F2F19D9" w14:textId="77777777" w:rsidR="008F2DDD" w:rsidRPr="005E3D50" w:rsidRDefault="008F2DDD" w:rsidP="008F2DDD">
      <w:pPr>
        <w:pStyle w:val="ListParagraph"/>
        <w:numPr>
          <w:ilvl w:val="0"/>
          <w:numId w:val="5"/>
        </w:numPr>
        <w:rPr>
          <w:lang w:val="es-ES"/>
        </w:rPr>
      </w:pPr>
      <w:r w:rsidRPr="005E3D50">
        <w:rPr>
          <w:lang w:val="es-ES"/>
        </w:rPr>
        <w:t xml:space="preserve">Ambición colectiva: recopilación de las medidas previstas por las Partes y otros actores, comunicadas mediante la presentación de estrategias y planes de acción </w:t>
      </w:r>
      <w:r w:rsidRPr="005E3D50">
        <w:rPr>
          <w:lang w:val="es-ES"/>
        </w:rPr>
        <w:lastRenderedPageBreak/>
        <w:t>nacionales en materia de biodiversidad (EPANB), las metas nacionales relacionadas y los compromisos de actores distintos de los Gobiernos nacionales</w:t>
      </w:r>
    </w:p>
    <w:p w14:paraId="2CFF8E0C" w14:textId="34BBB40F" w:rsidR="008F2DDD" w:rsidRPr="005E3D50" w:rsidRDefault="008F2DDD" w:rsidP="008F2DDD">
      <w:pPr>
        <w:pStyle w:val="ListParagraph"/>
        <w:numPr>
          <w:ilvl w:val="0"/>
          <w:numId w:val="5"/>
        </w:numPr>
        <w:rPr>
          <w:lang w:val="es-ES"/>
        </w:rPr>
      </w:pPr>
      <w:r w:rsidRPr="005E3D50">
        <w:rPr>
          <w:lang w:val="es-ES"/>
        </w:rPr>
        <w:t xml:space="preserve">Implementación colectiva: progresos </w:t>
      </w:r>
      <w:r w:rsidR="00F61AE2">
        <w:rPr>
          <w:lang w:val="es-ES"/>
        </w:rPr>
        <w:t>alcanzados</w:t>
      </w:r>
      <w:r w:rsidRPr="005E3D50">
        <w:rPr>
          <w:lang w:val="es-ES"/>
        </w:rPr>
        <w:t xml:space="preserve"> en la implementación del Marco sobre la base de los informes nacionales como principal fuente de información, complementados con fuentes adicionales según lo acordado por las Partes (véase la figura 4)</w:t>
      </w:r>
    </w:p>
    <w:p w14:paraId="62F94005" w14:textId="77777777" w:rsidR="008F2DDD" w:rsidRPr="005E3D50" w:rsidRDefault="008F2DDD" w:rsidP="008F2DDD">
      <w:pPr>
        <w:pStyle w:val="ListParagraph"/>
        <w:numPr>
          <w:ilvl w:val="0"/>
          <w:numId w:val="5"/>
        </w:numPr>
        <w:rPr>
          <w:lang w:val="es-ES"/>
        </w:rPr>
      </w:pPr>
      <w:r w:rsidRPr="005E3D50">
        <w:rPr>
          <w:lang w:val="es-ES"/>
        </w:rPr>
        <w:t>Desafíos, carencias y oportunidades relacionados con la implementación del Marco</w:t>
      </w:r>
    </w:p>
    <w:p w14:paraId="0F19DB9B" w14:textId="77777777" w:rsidR="008F2DDD" w:rsidRPr="005E3D50" w:rsidRDefault="008F2DDD" w:rsidP="008F2DDD">
      <w:pPr>
        <w:pStyle w:val="ListParagraph"/>
        <w:numPr>
          <w:ilvl w:val="0"/>
          <w:numId w:val="5"/>
        </w:numPr>
        <w:rPr>
          <w:lang w:val="es-ES"/>
        </w:rPr>
      </w:pPr>
      <w:r w:rsidRPr="005E3D50">
        <w:rPr>
          <w:lang w:val="es-ES"/>
        </w:rPr>
        <w:t>Enfoques no prescriptivos: opciones para abordar los desafíos, las carencias y las oportunidades, con miras a lograr progresos colectivos en la implementación del Marco</w:t>
      </w:r>
    </w:p>
    <w:p w14:paraId="3C15F026" w14:textId="77777777" w:rsidR="007F0E9C" w:rsidRPr="005E3D50" w:rsidRDefault="007F0E9C" w:rsidP="007F0E9C">
      <w:pPr>
        <w:pStyle w:val="Caption"/>
        <w:rPr>
          <w:sz w:val="20"/>
          <w:szCs w:val="20"/>
          <w:lang w:val="es-ES"/>
        </w:rPr>
      </w:pPr>
      <w:bookmarkStart w:id="34" w:name="_Ref238299913"/>
    </w:p>
    <w:bookmarkEnd w:id="34"/>
    <w:p w14:paraId="1EF8A7EA" w14:textId="7E19AE54" w:rsidR="00DF6000" w:rsidRPr="005E3D50" w:rsidRDefault="007F0E9C" w:rsidP="007F0E9C">
      <w:pPr>
        <w:pStyle w:val="Caption"/>
        <w:rPr>
          <w:i w:val="0"/>
          <w:iCs w:val="0"/>
          <w:sz w:val="20"/>
          <w:szCs w:val="20"/>
          <w:lang w:val="es-ES"/>
        </w:rPr>
      </w:pPr>
      <w:r w:rsidRPr="005E3D50">
        <w:rPr>
          <w:i w:val="0"/>
          <w:sz w:val="20"/>
          <w:szCs w:val="20"/>
          <w:lang w:val="es-ES"/>
        </w:rPr>
        <w:t>Figura 4</w:t>
      </w:r>
    </w:p>
    <w:p w14:paraId="1653C287" w14:textId="126C27E2" w:rsidR="007F0E9C" w:rsidRPr="005E3D50" w:rsidRDefault="007F0E9C" w:rsidP="007F0E9C">
      <w:pPr>
        <w:pStyle w:val="Caption"/>
        <w:rPr>
          <w:b/>
          <w:i w:val="0"/>
          <w:sz w:val="20"/>
          <w:szCs w:val="20"/>
          <w:lang w:val="es-ES"/>
        </w:rPr>
      </w:pPr>
      <w:r w:rsidRPr="005E3D50">
        <w:rPr>
          <w:b/>
          <w:i w:val="0"/>
          <w:sz w:val="20"/>
          <w:szCs w:val="20"/>
          <w:lang w:val="es-ES"/>
        </w:rPr>
        <w:t xml:space="preserve">Representación visual de la forma en que la ambición de las Partes, según se establece en las metas nacionales, y la implementación, según se describe en los informes nacionales, contribuyen a los progresos colectivos en la implementación del Marco </w:t>
      </w:r>
    </w:p>
    <w:p w14:paraId="21B3BD23" w14:textId="190F416B" w:rsidR="00DD4102" w:rsidRPr="005E3D50" w:rsidRDefault="005450D7" w:rsidP="00C700E9">
      <w:pPr>
        <w:rPr>
          <w:lang w:val="es-ES"/>
        </w:rPr>
      </w:pPr>
      <w:r w:rsidRPr="005E3D50">
        <w:rPr>
          <w:noProof/>
          <w:lang w:val="en-US"/>
        </w:rPr>
        <w:drawing>
          <wp:inline distT="0" distB="0" distL="0" distR="0" wp14:anchorId="141C6ECD" wp14:editId="7FC1786A">
            <wp:extent cx="5943600" cy="3275330"/>
            <wp:effectExtent l="0" t="0" r="0" b="1270"/>
            <wp:docPr id="1908762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2108" name="Picture 190876210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3BD482CC" w14:textId="77777777" w:rsidR="008D0117" w:rsidRPr="005E3D50" w:rsidRDefault="00F62E95" w:rsidP="00C700E9">
      <w:pPr>
        <w:pStyle w:val="Caption"/>
        <w:rPr>
          <w:lang w:val="es-ES"/>
        </w:rPr>
      </w:pPr>
      <w:r w:rsidRPr="005E3D50">
        <w:rPr>
          <w:lang w:val="es-ES"/>
        </w:rPr>
        <w:t xml:space="preserve"> </w:t>
      </w:r>
    </w:p>
    <w:tbl>
      <w:tblPr>
        <w:tblStyle w:val="TableGrid"/>
        <w:tblW w:w="8173" w:type="dxa"/>
        <w:tblLook w:val="04A0" w:firstRow="1" w:lastRow="0" w:firstColumn="1" w:lastColumn="0" w:noHBand="0" w:noVBand="1"/>
      </w:tblPr>
      <w:tblGrid>
        <w:gridCol w:w="4034"/>
        <w:gridCol w:w="4139"/>
      </w:tblGrid>
      <w:tr w:rsidR="00C05F0F" w:rsidRPr="008D0117" w14:paraId="71259927" w14:textId="77777777" w:rsidTr="00C05F0F">
        <w:trPr>
          <w:trHeight w:val="44"/>
        </w:trPr>
        <w:tc>
          <w:tcPr>
            <w:tcW w:w="817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5B58E6D" w14:textId="24124354" w:rsidR="00C05F0F" w:rsidRDefault="00C05F0F"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4</w:t>
            </w:r>
          </w:p>
        </w:tc>
      </w:tr>
      <w:tr w:rsidR="00C05F0F" w:rsidRPr="008D0117" w14:paraId="26765BA5" w14:textId="77777777" w:rsidTr="00C05F0F">
        <w:trPr>
          <w:trHeight w:val="44"/>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457126AF" w14:textId="77777777" w:rsidR="00C05F0F" w:rsidRPr="008D0117" w:rsidRDefault="00C05F0F" w:rsidP="00B93410">
            <w:pPr>
              <w:rPr>
                <w:rFonts w:ascii="Aptos" w:eastAsia="Segoe UI" w:hAnsi="Aptos" w:cs="Segoe UI"/>
                <w:color w:val="0F1115"/>
                <w:sz w:val="18"/>
                <w:szCs w:val="18"/>
                <w:lang w:val="es-ES"/>
              </w:rPr>
            </w:pPr>
            <w:r w:rsidRPr="008D0117">
              <w:rPr>
                <w:rFonts w:ascii="Aptos" w:eastAsia="Segoe UI" w:hAnsi="Aptos" w:cs="Segoe UI"/>
                <w:color w:val="0F1115"/>
                <w:sz w:val="18"/>
                <w:szCs w:val="18"/>
                <w:lang w:val="es-ES"/>
              </w:rPr>
              <w:t xml:space="preserve">English  </w:t>
            </w:r>
          </w:p>
        </w:tc>
        <w:tc>
          <w:tcPr>
            <w:tcW w:w="4139" w:type="dxa"/>
            <w:tcBorders>
              <w:top w:val="single" w:sz="8" w:space="0" w:color="auto"/>
              <w:left w:val="single" w:sz="8" w:space="0" w:color="auto"/>
              <w:bottom w:val="single" w:sz="8" w:space="0" w:color="auto"/>
              <w:right w:val="single" w:sz="8" w:space="0" w:color="auto"/>
            </w:tcBorders>
          </w:tcPr>
          <w:p w14:paraId="23704E3E" w14:textId="2F297D1C" w:rsidR="00C05F0F" w:rsidRPr="008D0117" w:rsidRDefault="00C05F0F"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Español</w:t>
            </w:r>
          </w:p>
        </w:tc>
      </w:tr>
      <w:tr w:rsidR="00C05F0F" w:rsidRPr="008D0117" w14:paraId="617809FB" w14:textId="77777777" w:rsidTr="00C05F0F">
        <w:trPr>
          <w:trHeight w:val="41"/>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00CEB1BA" w14:textId="77777777" w:rsidR="00C05F0F" w:rsidRPr="008D0117" w:rsidRDefault="00C05F0F" w:rsidP="00B93410">
            <w:pPr>
              <w:rPr>
                <w:rFonts w:ascii="Aptos" w:eastAsia="Segoe UI" w:hAnsi="Aptos" w:cs="Segoe UI"/>
                <w:color w:val="0F1115"/>
                <w:sz w:val="18"/>
                <w:szCs w:val="18"/>
                <w:lang w:val="es-ES"/>
              </w:rPr>
            </w:pPr>
            <w:r w:rsidRPr="008D0117">
              <w:rPr>
                <w:rFonts w:ascii="Aptos" w:eastAsia="Segoe UI" w:hAnsi="Aptos" w:cs="Segoe UI"/>
                <w:color w:val="0F1115"/>
                <w:sz w:val="18"/>
                <w:szCs w:val="18"/>
                <w:lang w:val="es-ES"/>
              </w:rPr>
              <w:t>MORE THRIVING NATURE</w:t>
            </w:r>
          </w:p>
        </w:tc>
        <w:tc>
          <w:tcPr>
            <w:tcW w:w="4139" w:type="dxa"/>
            <w:tcBorders>
              <w:top w:val="single" w:sz="8" w:space="0" w:color="auto"/>
              <w:left w:val="single" w:sz="8" w:space="0" w:color="auto"/>
              <w:bottom w:val="single" w:sz="8" w:space="0" w:color="auto"/>
              <w:right w:val="single" w:sz="8" w:space="0" w:color="auto"/>
            </w:tcBorders>
          </w:tcPr>
          <w:p w14:paraId="0D0705D9"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NATURALEZA EN MEJOR ESTADO</w:t>
            </w:r>
          </w:p>
        </w:tc>
      </w:tr>
      <w:tr w:rsidR="00C05F0F" w:rsidRPr="008D0117" w14:paraId="698F57B8" w14:textId="77777777" w:rsidTr="00C05F0F">
        <w:trPr>
          <w:trHeight w:val="88"/>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595DE7EA" w14:textId="77777777" w:rsidR="00C05F0F" w:rsidRPr="008D0117" w:rsidRDefault="00C05F0F" w:rsidP="00B93410">
            <w:pPr>
              <w:rPr>
                <w:rFonts w:ascii="Aptos" w:eastAsia="Segoe UI" w:hAnsi="Aptos" w:cs="Segoe UI"/>
                <w:color w:val="0F1115"/>
                <w:sz w:val="18"/>
                <w:szCs w:val="18"/>
                <w:lang w:val="en-US"/>
              </w:rPr>
            </w:pPr>
            <w:r w:rsidRPr="008D0117">
              <w:rPr>
                <w:rFonts w:ascii="Aptos" w:eastAsia="Segoe UI" w:hAnsi="Aptos" w:cs="Segoe UI"/>
                <w:color w:val="0F1115"/>
                <w:sz w:val="18"/>
                <w:szCs w:val="18"/>
                <w:lang w:val="en-US"/>
              </w:rPr>
              <w:t>LIVING IN HARMONY with nature: the vision of the Framework</w:t>
            </w:r>
          </w:p>
        </w:tc>
        <w:tc>
          <w:tcPr>
            <w:tcW w:w="4139" w:type="dxa"/>
            <w:tcBorders>
              <w:top w:val="single" w:sz="8" w:space="0" w:color="auto"/>
              <w:left w:val="single" w:sz="8" w:space="0" w:color="auto"/>
              <w:bottom w:val="single" w:sz="8" w:space="0" w:color="auto"/>
              <w:right w:val="single" w:sz="8" w:space="0" w:color="auto"/>
            </w:tcBorders>
          </w:tcPr>
          <w:p w14:paraId="5927DE7D"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VIVIR EN ARMONÍA con la naturaleza: la visión del Marco</w:t>
            </w:r>
          </w:p>
        </w:tc>
      </w:tr>
      <w:tr w:rsidR="00C05F0F" w:rsidRPr="008D0117" w14:paraId="2E4222DA" w14:textId="77777777" w:rsidTr="00C05F0F">
        <w:trPr>
          <w:trHeight w:val="171"/>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1B4D8094" w14:textId="77777777" w:rsidR="00C05F0F" w:rsidRPr="008D0117" w:rsidRDefault="00C05F0F" w:rsidP="00B93410">
            <w:pPr>
              <w:rPr>
                <w:rFonts w:ascii="Aptos" w:eastAsia="Segoe UI" w:hAnsi="Aptos" w:cs="Segoe UI"/>
                <w:color w:val="0F1115"/>
                <w:sz w:val="18"/>
                <w:szCs w:val="18"/>
                <w:lang w:val="en-US"/>
              </w:rPr>
            </w:pPr>
            <w:r w:rsidRPr="008D0117">
              <w:rPr>
                <w:rFonts w:ascii="Aptos" w:eastAsia="Segoe UI" w:hAnsi="Aptos" w:cs="Segoe UI"/>
                <w:color w:val="0F1115"/>
                <w:sz w:val="18"/>
                <w:szCs w:val="18"/>
                <w:lang w:val="en-US"/>
              </w:rPr>
              <w:lastRenderedPageBreak/>
              <w:t>LOW AMBITION: full implementation of national targets, but the collective ambition of those targets is lower than the ambition of the Framework</w:t>
            </w:r>
          </w:p>
        </w:tc>
        <w:tc>
          <w:tcPr>
            <w:tcW w:w="4139" w:type="dxa"/>
            <w:tcBorders>
              <w:top w:val="single" w:sz="8" w:space="0" w:color="auto"/>
              <w:left w:val="single" w:sz="8" w:space="0" w:color="auto"/>
              <w:bottom w:val="single" w:sz="8" w:space="0" w:color="auto"/>
              <w:right w:val="single" w:sz="8" w:space="0" w:color="auto"/>
            </w:tcBorders>
          </w:tcPr>
          <w:p w14:paraId="013D7870"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BAJA AMBICIÓN: implementación plena de las metas nacionales, pero la ambición colectiva de esas metas es inferior a la ambición del Marco</w:t>
            </w:r>
          </w:p>
        </w:tc>
      </w:tr>
      <w:tr w:rsidR="00C05F0F" w:rsidRPr="008D0117" w14:paraId="7ACD3C51" w14:textId="77777777" w:rsidTr="00C05F0F">
        <w:trPr>
          <w:trHeight w:val="171"/>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3BD881EC" w14:textId="77777777" w:rsidR="00C05F0F" w:rsidRPr="008D0117" w:rsidRDefault="00C05F0F" w:rsidP="00B93410">
            <w:pPr>
              <w:rPr>
                <w:rFonts w:ascii="Aptos" w:eastAsia="Segoe UI" w:hAnsi="Aptos" w:cs="Segoe UI"/>
                <w:color w:val="0F1115"/>
                <w:sz w:val="18"/>
                <w:szCs w:val="18"/>
                <w:lang w:val="en-US"/>
              </w:rPr>
            </w:pPr>
            <w:r w:rsidRPr="008D0117">
              <w:rPr>
                <w:rFonts w:ascii="Aptos" w:eastAsia="Segoe UI" w:hAnsi="Aptos" w:cs="Segoe UI"/>
                <w:color w:val="0F1115"/>
                <w:sz w:val="18"/>
                <w:szCs w:val="18"/>
                <w:lang w:val="en-US"/>
              </w:rPr>
              <w:t>LOW AMBITION and low implementation: low collective ambition coupled with low collective implementation of the national targets</w:t>
            </w:r>
          </w:p>
        </w:tc>
        <w:tc>
          <w:tcPr>
            <w:tcW w:w="4139" w:type="dxa"/>
            <w:tcBorders>
              <w:top w:val="single" w:sz="8" w:space="0" w:color="auto"/>
              <w:left w:val="single" w:sz="8" w:space="0" w:color="auto"/>
              <w:bottom w:val="single" w:sz="8" w:space="0" w:color="auto"/>
              <w:right w:val="single" w:sz="8" w:space="0" w:color="auto"/>
            </w:tcBorders>
          </w:tcPr>
          <w:p w14:paraId="2B7D23A5"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BAJA AMBICIÓN e implementación: baja ambición colectiva junto con una baja implementación colectiva de las metas nacionales</w:t>
            </w:r>
          </w:p>
        </w:tc>
      </w:tr>
      <w:tr w:rsidR="00C05F0F" w:rsidRPr="008D0117" w14:paraId="34D30D61" w14:textId="77777777" w:rsidTr="00C05F0F">
        <w:trPr>
          <w:trHeight w:val="44"/>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615C1715" w14:textId="77777777" w:rsidR="00C05F0F" w:rsidRPr="008D0117" w:rsidRDefault="00C05F0F" w:rsidP="00B93410">
            <w:pPr>
              <w:rPr>
                <w:rFonts w:ascii="Aptos" w:eastAsia="Segoe UI" w:hAnsi="Aptos" w:cs="Segoe UI"/>
                <w:color w:val="0F1115"/>
                <w:sz w:val="18"/>
                <w:szCs w:val="18"/>
                <w:lang w:val="es-ES"/>
              </w:rPr>
            </w:pPr>
            <w:r w:rsidRPr="008D0117">
              <w:rPr>
                <w:rFonts w:ascii="Aptos" w:eastAsia="Segoe UI" w:hAnsi="Aptos" w:cs="Segoe UI"/>
                <w:color w:val="0F1115"/>
                <w:sz w:val="18"/>
                <w:szCs w:val="18"/>
                <w:lang w:val="es-ES"/>
              </w:rPr>
              <w:t>LESS THRIVING NATURE</w:t>
            </w:r>
          </w:p>
        </w:tc>
        <w:tc>
          <w:tcPr>
            <w:tcW w:w="4139" w:type="dxa"/>
            <w:tcBorders>
              <w:top w:val="single" w:sz="8" w:space="0" w:color="auto"/>
              <w:left w:val="single" w:sz="8" w:space="0" w:color="auto"/>
              <w:bottom w:val="single" w:sz="8" w:space="0" w:color="auto"/>
              <w:right w:val="single" w:sz="8" w:space="0" w:color="auto"/>
            </w:tcBorders>
          </w:tcPr>
          <w:p w14:paraId="646FEC8F"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NATURALEZA EN PEOR ESTADO</w:t>
            </w:r>
          </w:p>
        </w:tc>
      </w:tr>
      <w:tr w:rsidR="00C05F0F" w:rsidRPr="008D0117" w14:paraId="1C23AAD6" w14:textId="77777777" w:rsidTr="00C05F0F">
        <w:trPr>
          <w:trHeight w:val="44"/>
        </w:trPr>
        <w:tc>
          <w:tcPr>
            <w:tcW w:w="4034" w:type="dxa"/>
            <w:tcBorders>
              <w:top w:val="single" w:sz="8" w:space="0" w:color="auto"/>
              <w:left w:val="single" w:sz="8" w:space="0" w:color="auto"/>
              <w:bottom w:val="single" w:sz="8" w:space="0" w:color="auto"/>
              <w:right w:val="single" w:sz="8" w:space="0" w:color="auto"/>
            </w:tcBorders>
            <w:tcMar>
              <w:left w:w="108" w:type="dxa"/>
              <w:right w:w="108" w:type="dxa"/>
            </w:tcMar>
          </w:tcPr>
          <w:p w14:paraId="02399A7C" w14:textId="77777777" w:rsidR="00C05F0F" w:rsidRPr="008D0117" w:rsidRDefault="00C05F0F" w:rsidP="00B93410">
            <w:pPr>
              <w:rPr>
                <w:rFonts w:ascii="Aptos" w:eastAsia="Segoe UI" w:hAnsi="Aptos" w:cs="Segoe UI"/>
                <w:color w:val="0F1115"/>
                <w:sz w:val="18"/>
                <w:szCs w:val="18"/>
                <w:lang w:val="es-ES"/>
              </w:rPr>
            </w:pPr>
            <w:r w:rsidRPr="008D0117">
              <w:rPr>
                <w:rFonts w:ascii="Aptos" w:eastAsia="Segoe UI" w:hAnsi="Aptos" w:cs="Segoe UI"/>
                <w:color w:val="0F1115"/>
                <w:sz w:val="18"/>
                <w:szCs w:val="18"/>
                <w:lang w:val="es-ES"/>
              </w:rPr>
              <w:t>TIME</w:t>
            </w:r>
          </w:p>
        </w:tc>
        <w:tc>
          <w:tcPr>
            <w:tcW w:w="4139" w:type="dxa"/>
            <w:tcBorders>
              <w:top w:val="single" w:sz="8" w:space="0" w:color="auto"/>
              <w:left w:val="single" w:sz="8" w:space="0" w:color="auto"/>
              <w:bottom w:val="single" w:sz="8" w:space="0" w:color="auto"/>
              <w:right w:val="single" w:sz="8" w:space="0" w:color="auto"/>
            </w:tcBorders>
          </w:tcPr>
          <w:p w14:paraId="52B24591" w14:textId="77777777" w:rsidR="00C05F0F" w:rsidRPr="008D0117" w:rsidRDefault="00C05F0F" w:rsidP="00B93410">
            <w:pPr>
              <w:rPr>
                <w:rFonts w:ascii="Aptos" w:eastAsia="Segoe UI" w:hAnsi="Aptos" w:cs="Segoe UI"/>
                <w:color w:val="0F1115"/>
                <w:sz w:val="18"/>
                <w:szCs w:val="18"/>
                <w:lang w:val="es-ES"/>
              </w:rPr>
            </w:pPr>
            <w:r w:rsidRPr="008D0117">
              <w:rPr>
                <w:rFonts w:ascii="Aptos" w:hAnsi="Aptos"/>
                <w:color w:val="0F1115"/>
                <w:sz w:val="18"/>
                <w:szCs w:val="18"/>
                <w:lang w:val="es-ES"/>
              </w:rPr>
              <w:t>TIEMPO</w:t>
            </w:r>
          </w:p>
        </w:tc>
      </w:tr>
    </w:tbl>
    <w:p w14:paraId="4EB8D937" w14:textId="4D867F75" w:rsidR="00C700E9" w:rsidRPr="005E3D50" w:rsidRDefault="00C700E9" w:rsidP="00C700E9">
      <w:pPr>
        <w:pStyle w:val="Caption"/>
        <w:rPr>
          <w:lang w:val="es-ES"/>
        </w:rPr>
      </w:pPr>
    </w:p>
    <w:p w14:paraId="18FD94D0" w14:textId="60079A40" w:rsidR="00951D07" w:rsidRPr="005E3D50" w:rsidRDefault="00FE4DFE" w:rsidP="00AE32F3">
      <w:pPr>
        <w:rPr>
          <w:lang w:val="es-ES"/>
        </w:rPr>
      </w:pPr>
      <w:r w:rsidRPr="005E3D50">
        <w:rPr>
          <w:lang w:val="es-ES"/>
        </w:rPr>
        <w:t>El informe mundial se basa en la experiencia adquirida en la preparación de las cinco ediciones de la Perspectiva Mundial sobre la Diversidad Biológica y sirve para complementar, en lugar de duplicar, la labor de otros órganos como la IPBES (véase el recuadro 2). Si bien el informe no proporciona una evaluación exhaustiva del estado y las tendencias de la diversidad biológica basada en la literatura científica, en la sección I.B se presenta un breve resumen del estado y las tendencias. De conformidad con su mandato (</w:t>
      </w:r>
      <w:proofErr w:type="spellStart"/>
      <w:r w:rsidRPr="005E3D50">
        <w:rPr>
          <w:lang w:val="es-ES"/>
        </w:rPr>
        <w:t>dec</w:t>
      </w:r>
      <w:proofErr w:type="spellEnd"/>
      <w:r w:rsidRPr="005E3D50">
        <w:rPr>
          <w:lang w:val="es-ES"/>
        </w:rPr>
        <w:t>.</w:t>
      </w:r>
      <w:r w:rsidRPr="005E3D50">
        <w:rPr>
          <w:color w:val="000000" w:themeColor="text1"/>
          <w:lang w:val="es-ES"/>
        </w:rPr>
        <w:t xml:space="preserve"> 15/6 en CDB, 2023; </w:t>
      </w:r>
      <w:proofErr w:type="spellStart"/>
      <w:r w:rsidRPr="005E3D50">
        <w:rPr>
          <w:color w:val="000000" w:themeColor="text1"/>
          <w:lang w:val="es-ES"/>
        </w:rPr>
        <w:t>dec</w:t>
      </w:r>
      <w:proofErr w:type="spellEnd"/>
      <w:r w:rsidRPr="005E3D50">
        <w:rPr>
          <w:color w:val="000000" w:themeColor="text1"/>
          <w:lang w:val="es-ES"/>
        </w:rPr>
        <w:t xml:space="preserve">. 16/32 </w:t>
      </w:r>
      <w:bookmarkStart w:id="35" w:name="_Hlk238213806"/>
      <w:r w:rsidRPr="005E3D50">
        <w:rPr>
          <w:color w:val="000000" w:themeColor="text1"/>
          <w:lang w:val="es-ES"/>
        </w:rPr>
        <w:t>en CDB, 2026</w:t>
      </w:r>
      <w:bookmarkEnd w:id="35"/>
      <w:r w:rsidRPr="005E3D50">
        <w:rPr>
          <w:color w:val="000000" w:themeColor="text1"/>
          <w:lang w:val="es-ES"/>
        </w:rPr>
        <w:t xml:space="preserve">; y </w:t>
      </w:r>
      <w:proofErr w:type="spellStart"/>
      <w:r w:rsidRPr="005E3D50">
        <w:rPr>
          <w:color w:val="000000" w:themeColor="text1"/>
          <w:lang w:val="es-ES"/>
        </w:rPr>
        <w:t>rec.</w:t>
      </w:r>
      <w:proofErr w:type="spellEnd"/>
      <w:r w:rsidRPr="005E3D50">
        <w:rPr>
          <w:color w:val="000000" w:themeColor="text1"/>
          <w:lang w:val="es-ES"/>
        </w:rPr>
        <w:t xml:space="preserve"> </w:t>
      </w:r>
      <w:r w:rsidRPr="005E3D50">
        <w:rPr>
          <w:lang w:val="es-ES"/>
        </w:rPr>
        <w:t xml:space="preserve">27/1 en CDB, 2025a), el informe no se centra en países o regiones concretos para evaluar sus progresos relativos con respecto a los objetivos y metas del Marco, ni ofrece comparaciones o clasificaciones de Partes o actores concretos. Sin embargo, el informe destaca a determinadas Partes y actores con el fin de ilustrar ejemplos de </w:t>
      </w:r>
      <w:r w:rsidR="00B973D0" w:rsidRPr="005E3D50">
        <w:rPr>
          <w:lang w:val="es-ES"/>
        </w:rPr>
        <w:t>logros</w:t>
      </w:r>
      <w:r w:rsidRPr="005E3D50">
        <w:rPr>
          <w:lang w:val="es-ES"/>
        </w:rPr>
        <w:t xml:space="preserve"> o de progresos en la implementación del Marco, utilizando para ello breves estudios de casos. Si bien el informe mundial no formula recomendaciones, </w:t>
      </w:r>
      <w:r w:rsidR="00DC23E6" w:rsidRPr="005E3D50">
        <w:rPr>
          <w:lang w:val="es-ES"/>
        </w:rPr>
        <w:t xml:space="preserve">lo que hace es </w:t>
      </w:r>
      <w:r w:rsidRPr="005E3D50">
        <w:rPr>
          <w:lang w:val="es-ES"/>
        </w:rPr>
        <w:t>proporciona</w:t>
      </w:r>
      <w:r w:rsidR="00DC23E6" w:rsidRPr="005E3D50">
        <w:rPr>
          <w:lang w:val="es-ES"/>
        </w:rPr>
        <w:t>r</w:t>
      </w:r>
      <w:r w:rsidRPr="005E3D50">
        <w:rPr>
          <w:lang w:val="es-ES"/>
        </w:rPr>
        <w:t xml:space="preserve"> una base empírica, incluidos enfoques no prescriptivos, para apoyar la toma de decisiones en el marco del Convenio. </w:t>
      </w:r>
    </w:p>
    <w:p w14:paraId="36C9BBA4" w14:textId="77777777" w:rsidR="00337FAB" w:rsidRPr="005E3D50" w:rsidRDefault="00337FAB" w:rsidP="00337FAB">
      <w:pPr>
        <w:pStyle w:val="Caption"/>
        <w:rPr>
          <w:lang w:val="es-ES"/>
        </w:rPr>
      </w:pPr>
      <w:bookmarkStart w:id="36" w:name="_Ref231035969"/>
      <w:bookmarkStart w:id="37" w:name="_Ref231035959"/>
    </w:p>
    <w:bookmarkEnd w:id="36"/>
    <w:bookmarkEnd w:id="37"/>
    <w:p w14:paraId="0015FF2F" w14:textId="4A3D1EC5" w:rsidR="00F27310" w:rsidRPr="005E3D50" w:rsidRDefault="00F27310" w:rsidP="00337FAB">
      <w:pPr>
        <w:pStyle w:val="Caption"/>
        <w:rPr>
          <w:sz w:val="20"/>
          <w:szCs w:val="20"/>
          <w:lang w:val="es-ES"/>
        </w:rPr>
      </w:pPr>
    </w:p>
    <w:tbl>
      <w:tblPr>
        <w:tblStyle w:val="TableGrid"/>
        <w:tblW w:w="0" w:type="auto"/>
        <w:tblLook w:val="04A0" w:firstRow="1" w:lastRow="0" w:firstColumn="1" w:lastColumn="0" w:noHBand="0" w:noVBand="1"/>
      </w:tblPr>
      <w:tblGrid>
        <w:gridCol w:w="9016"/>
      </w:tblGrid>
      <w:tr w:rsidR="00F27310" w:rsidRPr="005E3D50" w14:paraId="5F62059E" w14:textId="77777777" w:rsidTr="004C3603">
        <w:tc>
          <w:tcPr>
            <w:tcW w:w="9016" w:type="dxa"/>
            <w:shd w:val="clear" w:color="auto" w:fill="E8E8E8" w:themeFill="background2"/>
          </w:tcPr>
          <w:p w14:paraId="25D2415C" w14:textId="02391F23" w:rsidR="00F11B4F" w:rsidRPr="005E3D50" w:rsidRDefault="00F11B4F" w:rsidP="00F11B4F">
            <w:pPr>
              <w:pStyle w:val="Caption"/>
              <w:rPr>
                <w:i w:val="0"/>
                <w:iCs w:val="0"/>
                <w:sz w:val="20"/>
                <w:szCs w:val="20"/>
                <w:lang w:val="es-ES"/>
              </w:rPr>
            </w:pPr>
            <w:bookmarkStart w:id="38" w:name="_Ref235850724"/>
            <w:r w:rsidRPr="005E3D50">
              <w:rPr>
                <w:i w:val="0"/>
                <w:sz w:val="20"/>
                <w:szCs w:val="20"/>
                <w:lang w:val="es-ES"/>
              </w:rPr>
              <w:t>Recuadro 2</w:t>
            </w:r>
            <w:bookmarkEnd w:id="38"/>
          </w:p>
          <w:p w14:paraId="78073465" w14:textId="0E223F71" w:rsidR="00CB10CF" w:rsidRPr="005E3D50" w:rsidRDefault="00F11B4F" w:rsidP="00E326D9">
            <w:pPr>
              <w:spacing w:line="276" w:lineRule="auto"/>
              <w:rPr>
                <w:b/>
                <w:sz w:val="20"/>
                <w:szCs w:val="20"/>
                <w:lang w:val="es-ES"/>
              </w:rPr>
            </w:pPr>
            <w:r w:rsidRPr="005E3D50">
              <w:rPr>
                <w:b/>
                <w:sz w:val="20"/>
                <w:szCs w:val="20"/>
                <w:lang w:val="es-ES"/>
              </w:rPr>
              <w:t>Historia de los informes mundiales en el marco del Convenio y vínculos con las evaluaciones de la Plataforma Intergubernamental Científico-Normativa sobre Diversidad Biológica y Servicios de los Ecosistemas</w:t>
            </w:r>
          </w:p>
          <w:p w14:paraId="290B6699" w14:textId="77777777" w:rsidR="00F11B4F" w:rsidRPr="005E3D50" w:rsidRDefault="00F11B4F" w:rsidP="00F11B4F">
            <w:pPr>
              <w:spacing w:line="276" w:lineRule="auto"/>
              <w:rPr>
                <w:color w:val="000000" w:themeColor="text1"/>
                <w:sz w:val="20"/>
                <w:szCs w:val="20"/>
                <w:lang w:val="es-ES"/>
              </w:rPr>
            </w:pPr>
          </w:p>
          <w:p w14:paraId="675F7B60" w14:textId="148ACCB3" w:rsidR="00CD4874" w:rsidRPr="005E3D50" w:rsidRDefault="00CD4874" w:rsidP="00CD4874">
            <w:pPr>
              <w:spacing w:line="276" w:lineRule="auto"/>
              <w:rPr>
                <w:color w:val="000000" w:themeColor="text1"/>
                <w:sz w:val="20"/>
                <w:szCs w:val="20"/>
                <w:lang w:val="es-ES"/>
              </w:rPr>
            </w:pPr>
            <w:r w:rsidRPr="005E3D50">
              <w:rPr>
                <w:color w:val="000000" w:themeColor="text1"/>
                <w:sz w:val="20"/>
                <w:szCs w:val="20"/>
                <w:lang w:val="es-ES"/>
              </w:rPr>
              <w:t xml:space="preserve">La Perspectiva Mundial sobre la Diversidad Biológica (PMDB) se creó antes del establecimiento de la Plataforma Intergubernamental Científico-Normativa sobre Diversidad Biológica y Servicios de los Ecosistemas (IPBES). </w:t>
            </w:r>
            <w:r w:rsidR="00346A58" w:rsidRPr="005E3D50">
              <w:rPr>
                <w:color w:val="000000" w:themeColor="text1"/>
                <w:sz w:val="20"/>
                <w:szCs w:val="20"/>
                <w:lang w:val="es-ES"/>
              </w:rPr>
              <w:t>Hay</w:t>
            </w:r>
            <w:r w:rsidRPr="005E3D50">
              <w:rPr>
                <w:color w:val="000000" w:themeColor="text1"/>
                <w:sz w:val="20"/>
                <w:szCs w:val="20"/>
                <w:lang w:val="es-ES"/>
              </w:rPr>
              <w:t xml:space="preserve"> cinco ediciones </w:t>
            </w:r>
            <w:r w:rsidR="00346A58" w:rsidRPr="005E3D50">
              <w:rPr>
                <w:color w:val="000000" w:themeColor="text1"/>
                <w:sz w:val="20"/>
                <w:szCs w:val="20"/>
                <w:lang w:val="es-ES"/>
              </w:rPr>
              <w:t>de la publicación</w:t>
            </w:r>
            <w:r w:rsidRPr="005E3D50">
              <w:rPr>
                <w:color w:val="000000" w:themeColor="text1"/>
                <w:sz w:val="20"/>
                <w:szCs w:val="20"/>
                <w:lang w:val="es-ES"/>
              </w:rPr>
              <w:t xml:space="preserve"> (CDB, 2001, 2006a, 2010, 2014a y 2020), que ofrece una evaluación de los progresos en la aplicación del Convenio. Si bien los informes nacionales se utilizaron en el proceso de preparación de la publicación, la evaluación de los progresos mundiales se basó en gran medida en la literatura científica y en análisis independientes. Esto obedeció a las dificultades para agregar la información procedente de los informes nacionales debido a la falta de un mecanismo normalizado de presentación de informes, la falta de claridad en cuanto a la relación entre las metas nacionales y las metas mundiales y la ausencia de un marco de seguimiento común. La edición más reciente de la Perspectiva (CDB, 2020), publicada un año después del primer informe </w:t>
            </w:r>
            <w:r w:rsidRPr="005E3D50">
              <w:rPr>
                <w:i/>
                <w:iCs/>
                <w:color w:val="000000" w:themeColor="text1"/>
                <w:sz w:val="20"/>
                <w:szCs w:val="20"/>
                <w:lang w:val="es-ES"/>
              </w:rPr>
              <w:t xml:space="preserve">Global </w:t>
            </w:r>
            <w:proofErr w:type="spellStart"/>
            <w:r w:rsidRPr="005E3D50">
              <w:rPr>
                <w:i/>
                <w:iCs/>
                <w:color w:val="000000" w:themeColor="text1"/>
                <w:sz w:val="20"/>
                <w:szCs w:val="20"/>
                <w:lang w:val="es-ES"/>
              </w:rPr>
              <w:t>Assessment</w:t>
            </w:r>
            <w:proofErr w:type="spellEnd"/>
            <w:r w:rsidRPr="005E3D50">
              <w:rPr>
                <w:i/>
                <w:iCs/>
                <w:color w:val="000000" w:themeColor="text1"/>
                <w:sz w:val="20"/>
                <w:szCs w:val="20"/>
                <w:lang w:val="es-ES"/>
              </w:rPr>
              <w:t xml:space="preserve"> </w:t>
            </w:r>
            <w:proofErr w:type="spellStart"/>
            <w:r w:rsidRPr="005E3D50">
              <w:rPr>
                <w:i/>
                <w:iCs/>
                <w:color w:val="000000" w:themeColor="text1"/>
                <w:sz w:val="20"/>
                <w:szCs w:val="20"/>
                <w:lang w:val="es-ES"/>
              </w:rPr>
              <w:t>Report</w:t>
            </w:r>
            <w:proofErr w:type="spellEnd"/>
            <w:r w:rsidRPr="005E3D50">
              <w:rPr>
                <w:i/>
                <w:iCs/>
                <w:color w:val="000000" w:themeColor="text1"/>
                <w:sz w:val="20"/>
                <w:szCs w:val="20"/>
                <w:lang w:val="es-ES"/>
              </w:rPr>
              <w:t xml:space="preserve"> </w:t>
            </w:r>
            <w:proofErr w:type="spellStart"/>
            <w:r w:rsidRPr="005E3D50">
              <w:rPr>
                <w:i/>
                <w:iCs/>
                <w:color w:val="000000" w:themeColor="text1"/>
                <w:sz w:val="20"/>
                <w:szCs w:val="20"/>
                <w:lang w:val="es-ES"/>
              </w:rPr>
              <w:t>on</w:t>
            </w:r>
            <w:proofErr w:type="spellEnd"/>
            <w:r w:rsidRPr="005E3D50">
              <w:rPr>
                <w:i/>
                <w:iCs/>
                <w:color w:val="000000" w:themeColor="text1"/>
                <w:sz w:val="20"/>
                <w:szCs w:val="20"/>
                <w:lang w:val="es-ES"/>
              </w:rPr>
              <w:t xml:space="preserve"> Biodiversity and </w:t>
            </w:r>
            <w:proofErr w:type="spellStart"/>
            <w:r w:rsidRPr="005E3D50">
              <w:rPr>
                <w:i/>
                <w:iCs/>
                <w:color w:val="000000" w:themeColor="text1"/>
                <w:sz w:val="20"/>
                <w:szCs w:val="20"/>
                <w:lang w:val="es-ES"/>
              </w:rPr>
              <w:t>Ecosystem</w:t>
            </w:r>
            <w:proofErr w:type="spellEnd"/>
            <w:r w:rsidRPr="005E3D50">
              <w:rPr>
                <w:i/>
                <w:iCs/>
                <w:color w:val="000000" w:themeColor="text1"/>
                <w:sz w:val="20"/>
                <w:szCs w:val="20"/>
                <w:lang w:val="es-ES"/>
              </w:rPr>
              <w:t xml:space="preserve"> </w:t>
            </w:r>
            <w:proofErr w:type="spellStart"/>
            <w:r w:rsidRPr="005E3D50">
              <w:rPr>
                <w:i/>
                <w:iCs/>
                <w:color w:val="000000" w:themeColor="text1"/>
                <w:sz w:val="20"/>
                <w:szCs w:val="20"/>
                <w:lang w:val="es-ES"/>
              </w:rPr>
              <w:t>Services</w:t>
            </w:r>
            <w:proofErr w:type="spellEnd"/>
            <w:r w:rsidRPr="005E3D50">
              <w:rPr>
                <w:color w:val="000000" w:themeColor="text1"/>
                <w:sz w:val="20"/>
                <w:szCs w:val="20"/>
                <w:lang w:val="es-ES"/>
              </w:rPr>
              <w:t xml:space="preserve"> de la </w:t>
            </w:r>
            <w:r w:rsidRPr="005E3D50">
              <w:rPr>
                <w:color w:val="000000" w:themeColor="text1"/>
                <w:sz w:val="20"/>
                <w:szCs w:val="20"/>
                <w:lang w:val="es-ES"/>
              </w:rPr>
              <w:lastRenderedPageBreak/>
              <w:t>IPBES (IPBES, 2019), proporcionó una evaluación final del grado de cumplimiento de las Metas de Aichi para la Diversidad Biológica y presentó opciones futuras para invertir la pérdida de diversidad biológica.</w:t>
            </w:r>
          </w:p>
          <w:p w14:paraId="550CF468" w14:textId="77777777" w:rsidR="00CD4874" w:rsidRPr="005E3D50" w:rsidRDefault="00CD4874" w:rsidP="00CD4874">
            <w:pPr>
              <w:spacing w:line="276" w:lineRule="auto"/>
              <w:rPr>
                <w:color w:val="000000" w:themeColor="text1"/>
                <w:sz w:val="20"/>
                <w:szCs w:val="20"/>
                <w:lang w:val="es-ES"/>
              </w:rPr>
            </w:pPr>
          </w:p>
          <w:p w14:paraId="6D090E26" w14:textId="03C43FC8" w:rsidR="00CD4874" w:rsidRPr="005E3D50" w:rsidRDefault="00CD4874" w:rsidP="00CD4874">
            <w:pPr>
              <w:spacing w:line="276" w:lineRule="auto"/>
              <w:rPr>
                <w:color w:val="000000" w:themeColor="text1"/>
                <w:sz w:val="20"/>
                <w:szCs w:val="20"/>
                <w:lang w:val="es-ES"/>
              </w:rPr>
            </w:pPr>
            <w:r w:rsidRPr="005E3D50">
              <w:rPr>
                <w:color w:val="000000" w:themeColor="text1"/>
                <w:sz w:val="20"/>
                <w:szCs w:val="20"/>
                <w:lang w:val="es-ES"/>
              </w:rPr>
              <w:t xml:space="preserve">El informe mundial sobre los progresos colectivos en la implementación del Marco se basa en la experiencia adquirida en la elaboración de las cinco ediciones de la Perspectiva y no duplica la labor de la IPBES. </w:t>
            </w:r>
            <w:r w:rsidRPr="005E3D50">
              <w:rPr>
                <w:sz w:val="20"/>
                <w:szCs w:val="20"/>
                <w:lang w:val="es-ES"/>
              </w:rPr>
              <w:t>Si bien la IPBES realiza evaluaciones científicas, el informe mundial incluye únicamente una síntesis concisa del estado y las tendencias de la diversidad biológica a nivel mundial (véase la sección I.B), que, a su vez, se basa en gran medida en las conclusiones de la IPBES.</w:t>
            </w:r>
            <w:r w:rsidRPr="005E3D50">
              <w:rPr>
                <w:color w:val="000000" w:themeColor="text1"/>
                <w:sz w:val="20"/>
                <w:szCs w:val="20"/>
                <w:lang w:val="es-ES"/>
              </w:rPr>
              <w:t xml:space="preserve"> El informe mundial centra su análisis en la información presentada por las Partes en relación con la implementación del Marco, complementada con aportaciones de otros actores e información procedente de fuentes pertinentes. </w:t>
            </w:r>
          </w:p>
          <w:p w14:paraId="0F70B5E1" w14:textId="77777777" w:rsidR="00CD4874" w:rsidRPr="005E3D50" w:rsidRDefault="00CD4874" w:rsidP="00CD4874">
            <w:pPr>
              <w:spacing w:line="276" w:lineRule="auto"/>
              <w:rPr>
                <w:color w:val="000000" w:themeColor="text1"/>
                <w:sz w:val="20"/>
                <w:szCs w:val="20"/>
                <w:lang w:val="es-ES"/>
              </w:rPr>
            </w:pPr>
          </w:p>
          <w:p w14:paraId="71FE25C4" w14:textId="780C35EB" w:rsidR="00CD4874" w:rsidRPr="005E3D50" w:rsidRDefault="00CD4874" w:rsidP="00CD4874">
            <w:pPr>
              <w:spacing w:line="276" w:lineRule="auto"/>
              <w:rPr>
                <w:color w:val="000000" w:themeColor="text1"/>
                <w:sz w:val="20"/>
                <w:szCs w:val="20"/>
                <w:lang w:val="es-ES"/>
              </w:rPr>
            </w:pPr>
            <w:r w:rsidRPr="005E3D50">
              <w:rPr>
                <w:color w:val="000000" w:themeColor="text1"/>
                <w:sz w:val="20"/>
                <w:szCs w:val="20"/>
                <w:lang w:val="es-ES"/>
              </w:rPr>
              <w:t xml:space="preserve">Para la segunda revisión mundial del Marco en 2030, la Conferencia de las Partes dispondrá, en su 19ª reunión, tanto del segundo informe mundial sobre los progresos colectivos en la implementación del Marco como de la segunda evaluación mundial de la diversidad biológica y los servicios de los ecosistemas de la IPBES. De este modo, durante la revisión final del Marco, la Conferencia de las Partes tendrá ante sí un análisis actualizado de los progresos en la implementación (en el segundo informe mundial sobre los progresos colectivos en la implementación del Marco) y una evaluación científica sólida del estado de la diversidad biológica y los servicios de los ecosistemas (en la segunda evaluación mundial de la IPBES). </w:t>
            </w:r>
          </w:p>
          <w:p w14:paraId="4F0073A9" w14:textId="0E8CCE59" w:rsidR="00CB10CF" w:rsidRPr="005E3D50" w:rsidRDefault="00CB10CF" w:rsidP="00243BFA">
            <w:pPr>
              <w:spacing w:line="276" w:lineRule="auto"/>
              <w:rPr>
                <w:lang w:val="es-ES" w:eastAsia="ja-JP"/>
              </w:rPr>
            </w:pPr>
          </w:p>
        </w:tc>
      </w:tr>
    </w:tbl>
    <w:p w14:paraId="1C18D7A8" w14:textId="395C7D75" w:rsidR="00F27310" w:rsidRPr="005E3D50" w:rsidRDefault="00F27310" w:rsidP="00C700E9">
      <w:pPr>
        <w:rPr>
          <w:lang w:val="es-ES" w:eastAsia="ja-JP"/>
        </w:rPr>
      </w:pPr>
    </w:p>
    <w:p w14:paraId="226A6EB7" w14:textId="651C3A84" w:rsidR="00F95C73" w:rsidRPr="005E3D50" w:rsidRDefault="007A526F" w:rsidP="00F95C73">
      <w:pPr>
        <w:rPr>
          <w:lang w:val="es-ES"/>
        </w:rPr>
      </w:pPr>
      <w:r w:rsidRPr="005E3D50">
        <w:rPr>
          <w:lang w:val="es-ES"/>
        </w:rPr>
        <w:t xml:space="preserve">El informe mundial es la principal fuente de información, junto con los séptimos informes nacionales en el marco del Convenio, para la primera revisión mundial de los progresos en la implementación del Marco, que se llevará a cabo en la 17ª reunión de la Conferencia de las Partes, en Ereván (Armenia), en octubre de 2026. Durante el proceso de revisión, la Conferencia de las Partes formulará recomendaciones, según sea necesario, sobre la base del informe mundial y de los informes nacionales, en relación con el logro de los objetivos y las metas del Marco. Asimismo, las Partes podrán tener en cuenta el resultado de la revisión mundial en futuras revisiones y en la implementación de sus estrategias y planes de acción nacionales en materia de biodiversidad (EPANB), también en lo que respecta a la provisión de medios de implementación, con miras a mejorar las medidas y los esfuerzos, según proceda. Se ha prestado especial atención a los desafíos específicos que enfrentan las Partes que son países en desarrollo, en particular los países menos adelantados y los pequeños Estados insulares en desarrollo. Este primer informe mundial constituye un hito importante en la puesta en funcionamiento del mecanismo de planificación, seguimiento, presentación de informes y revisión del Marco, al tiempo que aporta valiosas enseñanzas para fortalecer los futuros informes y revisiones mundiales. </w:t>
      </w:r>
    </w:p>
    <w:p w14:paraId="1C825067" w14:textId="77777777" w:rsidR="00043653" w:rsidRPr="005E3D50" w:rsidRDefault="00043653" w:rsidP="00C700E9">
      <w:pPr>
        <w:pStyle w:val="Heading4"/>
        <w:rPr>
          <w:lang w:val="es-ES"/>
        </w:rPr>
      </w:pPr>
    </w:p>
    <w:p w14:paraId="35038549" w14:textId="3BBD8E63" w:rsidR="00C700E9" w:rsidRPr="005E3D50" w:rsidRDefault="00C700E9" w:rsidP="008628F3">
      <w:pPr>
        <w:pStyle w:val="Heading3"/>
        <w:rPr>
          <w:lang w:val="es-ES"/>
        </w:rPr>
      </w:pPr>
      <w:bookmarkStart w:id="39" w:name="_Toc235821037"/>
      <w:bookmarkStart w:id="40" w:name="_Toc239069182"/>
      <w:bookmarkStart w:id="41" w:name="_Toc242882960"/>
      <w:r w:rsidRPr="005E3D50">
        <w:rPr>
          <w:lang w:val="es-ES"/>
        </w:rPr>
        <w:t>Fuentes y metodología del informe mundial</w:t>
      </w:r>
      <w:bookmarkEnd w:id="39"/>
      <w:bookmarkEnd w:id="40"/>
      <w:bookmarkEnd w:id="41"/>
      <w:r w:rsidRPr="005E3D50">
        <w:rPr>
          <w:lang w:val="es-ES"/>
        </w:rPr>
        <w:t xml:space="preserve"> </w:t>
      </w:r>
    </w:p>
    <w:p w14:paraId="4A1CEA98" w14:textId="37DD196C" w:rsidR="00566DB6" w:rsidRPr="005E3D50" w:rsidRDefault="008143E8" w:rsidP="00566DB6">
      <w:pPr>
        <w:rPr>
          <w:lang w:val="es-ES"/>
        </w:rPr>
      </w:pPr>
      <w:r w:rsidRPr="005E3D50">
        <w:rPr>
          <w:lang w:val="es-ES"/>
        </w:rPr>
        <w:t xml:space="preserve">Si bien los informes nacionales son la principal fuente de información para el informe mundial, en su preparación se utilizaron varias fuentes de información complementarias. Las fuentes de información para el informe mundial se especificaron en el párrafo 18 de la decisión 16/32 (CDB, 2026), en la que la Conferencia de las Partes estableció los detalles del proceso de revisión mundial. En el recuadro 3 se presenta una lista de esas fuentes de información, junto con referencias a los lugares donde puede consultarse la información original. </w:t>
      </w:r>
    </w:p>
    <w:p w14:paraId="631D1B35" w14:textId="233B3840" w:rsidR="00C700E9" w:rsidRPr="005E3D50" w:rsidRDefault="00C700E9" w:rsidP="004E23CB">
      <w:pPr>
        <w:rPr>
          <w:lang w:val="es-ES"/>
        </w:rPr>
      </w:pPr>
    </w:p>
    <w:tbl>
      <w:tblPr>
        <w:tblStyle w:val="TableGrid"/>
        <w:tblW w:w="0" w:type="auto"/>
        <w:tblLook w:val="04A0" w:firstRow="1" w:lastRow="0" w:firstColumn="1" w:lastColumn="0" w:noHBand="0" w:noVBand="1"/>
      </w:tblPr>
      <w:tblGrid>
        <w:gridCol w:w="9016"/>
      </w:tblGrid>
      <w:tr w:rsidR="00C700E9" w:rsidRPr="005E3D50" w14:paraId="4B3C5F18" w14:textId="77777777" w:rsidTr="6A186FBE">
        <w:tc>
          <w:tcPr>
            <w:tcW w:w="9016" w:type="dxa"/>
            <w:shd w:val="clear" w:color="auto" w:fill="E8E8E8" w:themeFill="background2"/>
          </w:tcPr>
          <w:p w14:paraId="4A4F3B6E" w14:textId="41AEF6B0" w:rsidR="00050637" w:rsidRPr="005E3D50" w:rsidRDefault="00050637" w:rsidP="00050637">
            <w:pPr>
              <w:pStyle w:val="Caption"/>
              <w:keepNext/>
              <w:rPr>
                <w:i w:val="0"/>
                <w:iCs w:val="0"/>
                <w:sz w:val="20"/>
                <w:szCs w:val="20"/>
                <w:lang w:val="es-ES"/>
              </w:rPr>
            </w:pPr>
            <w:bookmarkStart w:id="42" w:name="_Ref235104155"/>
            <w:r w:rsidRPr="005E3D50">
              <w:rPr>
                <w:i w:val="0"/>
                <w:sz w:val="20"/>
                <w:szCs w:val="20"/>
                <w:lang w:val="es-ES"/>
              </w:rPr>
              <w:lastRenderedPageBreak/>
              <w:t>Recuadro 3</w:t>
            </w:r>
            <w:bookmarkEnd w:id="42"/>
          </w:p>
          <w:p w14:paraId="414054BF" w14:textId="1076A402" w:rsidR="00897F6D" w:rsidRPr="005E3D50" w:rsidRDefault="00050637" w:rsidP="00E326D9">
            <w:pPr>
              <w:rPr>
                <w:b/>
                <w:i/>
                <w:sz w:val="20"/>
                <w:szCs w:val="20"/>
                <w:lang w:val="es-ES"/>
              </w:rPr>
            </w:pPr>
            <w:r w:rsidRPr="005E3D50">
              <w:rPr>
                <w:b/>
                <w:bCs/>
                <w:sz w:val="20"/>
                <w:szCs w:val="20"/>
                <w:lang w:val="es-ES"/>
              </w:rPr>
              <w:t>Fuentes de información utilizadas en el informe mundial, según lo especificado por la Conferencia de las Partes en el párrafo 18 de la decisión 16/32 (CDB, 2026)</w:t>
            </w:r>
          </w:p>
          <w:p w14:paraId="27D656BA" w14:textId="77777777" w:rsidR="00050637" w:rsidRPr="005E3D50" w:rsidRDefault="00050637" w:rsidP="00050637">
            <w:pPr>
              <w:rPr>
                <w:color w:val="000000" w:themeColor="text1"/>
                <w:sz w:val="20"/>
                <w:szCs w:val="20"/>
                <w:lang w:val="es-ES"/>
              </w:rPr>
            </w:pPr>
          </w:p>
          <w:p w14:paraId="588846EA" w14:textId="77777777" w:rsidR="00333B9E" w:rsidRPr="005E3D50" w:rsidRDefault="00333B9E" w:rsidP="00333B9E">
            <w:pPr>
              <w:rPr>
                <w:color w:val="000000" w:themeColor="text1"/>
                <w:sz w:val="20"/>
                <w:szCs w:val="20"/>
                <w:lang w:val="es-ES"/>
              </w:rPr>
            </w:pPr>
            <w:r w:rsidRPr="005E3D50">
              <w:rPr>
                <w:color w:val="000000" w:themeColor="text1"/>
                <w:sz w:val="20"/>
                <w:szCs w:val="20"/>
                <w:lang w:val="es-ES"/>
              </w:rPr>
              <w:t>En su 16ª reunión, la Conferencia de las Partes acordó una lista de fuentes de información pertinentes a las que se debería recurrir para preparar el informe mundial. Esas fuentes, junto con su ubicación, se enumeran a continuación.</w:t>
            </w:r>
          </w:p>
          <w:p w14:paraId="595A0411" w14:textId="77777777" w:rsidR="00C700E9" w:rsidRPr="005E3D50" w:rsidRDefault="00C700E9" w:rsidP="00E326D9">
            <w:pPr>
              <w:rPr>
                <w:color w:val="000000" w:themeColor="text1"/>
                <w:sz w:val="20"/>
                <w:szCs w:val="20"/>
                <w:lang w:val="es-ES"/>
              </w:rPr>
            </w:pPr>
          </w:p>
          <w:p w14:paraId="0B8A430F" w14:textId="1363A6F0" w:rsidR="00264060" w:rsidRPr="005E3D50" w:rsidRDefault="00611AD0" w:rsidP="00611AD0">
            <w:pPr>
              <w:jc w:val="both"/>
              <w:rPr>
                <w:i/>
                <w:iCs/>
                <w:color w:val="000000" w:themeColor="text1"/>
                <w:sz w:val="20"/>
                <w:szCs w:val="20"/>
                <w:lang w:val="es-ES"/>
              </w:rPr>
            </w:pPr>
            <w:r w:rsidRPr="005E3D50">
              <w:rPr>
                <w:i/>
                <w:iCs/>
                <w:color w:val="000000" w:themeColor="text1"/>
                <w:sz w:val="20"/>
                <w:szCs w:val="20"/>
                <w:lang w:val="es-ES"/>
              </w:rPr>
              <w:t xml:space="preserve">Fuentes                                                                                                       Ubicación </w:t>
            </w:r>
          </w:p>
          <w:tbl>
            <w:tblPr>
              <w:tblStyle w:val="TableGrid"/>
              <w:tblW w:w="0" w:type="auto"/>
              <w:tblLook w:val="04A0" w:firstRow="1" w:lastRow="0" w:firstColumn="1" w:lastColumn="0" w:noHBand="0" w:noVBand="1"/>
            </w:tblPr>
            <w:tblGrid>
              <w:gridCol w:w="6230"/>
              <w:gridCol w:w="2560"/>
            </w:tblGrid>
            <w:tr w:rsidR="00C700E9" w:rsidRPr="005E3D50" w14:paraId="021AAE05" w14:textId="77777777">
              <w:tc>
                <w:tcPr>
                  <w:tcW w:w="6232" w:type="dxa"/>
                </w:tcPr>
                <w:p w14:paraId="6D5ADA03" w14:textId="0BDB6262" w:rsidR="00C700E9" w:rsidRPr="005E3D50" w:rsidRDefault="00C700E9" w:rsidP="00E326D9">
                  <w:pPr>
                    <w:spacing w:line="278" w:lineRule="auto"/>
                    <w:rPr>
                      <w:color w:val="000000" w:themeColor="text1"/>
                      <w:sz w:val="20"/>
                      <w:szCs w:val="20"/>
                      <w:lang w:val="es-ES"/>
                    </w:rPr>
                  </w:pPr>
                  <w:r w:rsidRPr="005E3D50">
                    <w:rPr>
                      <w:color w:val="000000" w:themeColor="text1"/>
                      <w:sz w:val="20"/>
                      <w:szCs w:val="20"/>
                      <w:lang w:val="es-ES"/>
                    </w:rPr>
                    <w:t xml:space="preserve">a) Como fuente principal, los informes nacionales presentados en cumplimento del artículo 26 del Convenio y en consonancia con la decisión 15/6 de la Conferencia de las Partes (CDB, 2023); </w:t>
                  </w:r>
                </w:p>
              </w:tc>
              <w:tc>
                <w:tcPr>
                  <w:tcW w:w="2560" w:type="dxa"/>
                </w:tcPr>
                <w:p w14:paraId="516A9D20" w14:textId="1A6D98CF" w:rsidR="00C700E9" w:rsidRPr="005E3D50" w:rsidRDefault="60B3D286" w:rsidP="00E326D9">
                  <w:pPr>
                    <w:spacing w:line="278" w:lineRule="auto"/>
                    <w:rPr>
                      <w:color w:val="000000" w:themeColor="text1"/>
                      <w:sz w:val="20"/>
                      <w:szCs w:val="20"/>
                      <w:lang w:val="es-ES"/>
                    </w:rPr>
                  </w:pPr>
                  <w:r w:rsidRPr="005E3D50">
                    <w:rPr>
                      <w:color w:val="000000" w:themeColor="text1"/>
                      <w:sz w:val="20"/>
                      <w:szCs w:val="20"/>
                      <w:lang w:val="es-ES"/>
                    </w:rPr>
                    <w:t xml:space="preserve">Herramienta de presentación de informes en línea del </w:t>
                  </w:r>
                  <w:proofErr w:type="spellStart"/>
                  <w:r w:rsidRPr="005E3D50">
                    <w:rPr>
                      <w:color w:val="000000" w:themeColor="text1"/>
                      <w:sz w:val="20"/>
                      <w:szCs w:val="20"/>
                      <w:lang w:val="es-ES"/>
                    </w:rPr>
                    <w:t>Convenio</w:t>
                  </w:r>
                  <w:r w:rsidRPr="005E3D50">
                    <w:rPr>
                      <w:color w:val="000000" w:themeColor="text1"/>
                      <w:sz w:val="20"/>
                      <w:szCs w:val="20"/>
                      <w:vertAlign w:val="superscript"/>
                      <w:lang w:val="es-ES"/>
                    </w:rPr>
                    <w:t>a</w:t>
                  </w:r>
                  <w:proofErr w:type="spellEnd"/>
                </w:p>
              </w:tc>
            </w:tr>
            <w:tr w:rsidR="00C700E9" w:rsidRPr="005E3D50" w14:paraId="054AD1B7" w14:textId="77777777">
              <w:tc>
                <w:tcPr>
                  <w:tcW w:w="6232" w:type="dxa"/>
                </w:tcPr>
                <w:p w14:paraId="54929DAD" w14:textId="1B4DD3D8" w:rsidR="00C700E9" w:rsidRPr="005E3D50" w:rsidRDefault="00C700E9" w:rsidP="00E326D9">
                  <w:pPr>
                    <w:spacing w:line="278" w:lineRule="auto"/>
                    <w:rPr>
                      <w:color w:val="000000" w:themeColor="text1"/>
                      <w:sz w:val="20"/>
                      <w:szCs w:val="20"/>
                      <w:lang w:val="es-ES"/>
                    </w:rPr>
                  </w:pPr>
                  <w:r w:rsidRPr="005E3D50">
                    <w:rPr>
                      <w:color w:val="000000" w:themeColor="text1"/>
                      <w:sz w:val="20"/>
                      <w:szCs w:val="20"/>
                      <w:lang w:val="es-ES"/>
                    </w:rPr>
                    <w:t xml:space="preserve">b) El análisis de la utilización de los indicadores de cabecera, binarios, de componentes y complementarios y de indicadores nacionales en los informes nacionales; </w:t>
                  </w:r>
                </w:p>
              </w:tc>
              <w:tc>
                <w:tcPr>
                  <w:tcW w:w="2560" w:type="dxa"/>
                </w:tcPr>
                <w:p w14:paraId="17B7E7F8" w14:textId="5D7D641E" w:rsidR="00D07A2B" w:rsidRPr="005E3D50" w:rsidRDefault="000847C3" w:rsidP="00E326D9">
                  <w:pPr>
                    <w:spacing w:line="278" w:lineRule="auto"/>
                    <w:rPr>
                      <w:color w:val="000000" w:themeColor="text1"/>
                      <w:sz w:val="20"/>
                      <w:szCs w:val="20"/>
                      <w:u w:val="single"/>
                      <w:lang w:val="es-ES"/>
                    </w:rPr>
                  </w:pPr>
                  <w:hyperlink r:id="rId21" w:history="1">
                    <w:r w:rsidRPr="005E3D50">
                      <w:rPr>
                        <w:rStyle w:val="Hyperlink"/>
                        <w:sz w:val="20"/>
                        <w:szCs w:val="20"/>
                        <w:lang w:val="es-ES"/>
                      </w:rPr>
                      <w:t>CBD/SBSTTA/28/INF/11</w:t>
                    </w:r>
                  </w:hyperlink>
                </w:p>
              </w:tc>
            </w:tr>
            <w:tr w:rsidR="00C700E9" w:rsidRPr="005E3D50" w14:paraId="18096F31" w14:textId="77777777">
              <w:tc>
                <w:tcPr>
                  <w:tcW w:w="6232" w:type="dxa"/>
                </w:tcPr>
                <w:p w14:paraId="225C0AEF" w14:textId="6CBEC954" w:rsidR="00C700E9" w:rsidRPr="005E3D50" w:rsidRDefault="00C700E9" w:rsidP="00D1022F">
                  <w:pPr>
                    <w:spacing w:line="278" w:lineRule="auto"/>
                    <w:rPr>
                      <w:color w:val="000000" w:themeColor="text1"/>
                      <w:sz w:val="20"/>
                      <w:szCs w:val="20"/>
                      <w:lang w:val="es-ES"/>
                    </w:rPr>
                  </w:pPr>
                  <w:r w:rsidRPr="005E3D50">
                    <w:rPr>
                      <w:color w:val="000000" w:themeColor="text1"/>
                      <w:sz w:val="20"/>
                      <w:szCs w:val="20"/>
                      <w:lang w:val="es-ES"/>
                    </w:rPr>
                    <w:t>c)</w:t>
                  </w:r>
                  <w:r w:rsidR="00D1022F" w:rsidRPr="005E3D50">
                    <w:rPr>
                      <w:color w:val="000000" w:themeColor="text1"/>
                      <w:sz w:val="20"/>
                      <w:szCs w:val="20"/>
                      <w:lang w:val="es-ES"/>
                    </w:rPr>
                    <w:t xml:space="preserve"> </w:t>
                  </w:r>
                  <w:r w:rsidRPr="005E3D50">
                    <w:rPr>
                      <w:color w:val="000000" w:themeColor="text1"/>
                      <w:sz w:val="20"/>
                      <w:szCs w:val="20"/>
                      <w:lang w:val="es-ES"/>
                    </w:rPr>
                    <w:t xml:space="preserve">El análisis mundial de la información presentada en las estrategias y planes de acción nacionales en materia de biodiversidad y las metas nacionales presentadas de conformidad con el párrafo 15 de la decisión 15/6 (CDB, 2023); </w:t>
                  </w:r>
                </w:p>
              </w:tc>
              <w:tc>
                <w:tcPr>
                  <w:tcW w:w="2560" w:type="dxa"/>
                </w:tcPr>
                <w:p w14:paraId="401C482B" w14:textId="2E76CAA3" w:rsidR="00C700E9" w:rsidRPr="005E3D50" w:rsidRDefault="000847C3" w:rsidP="00E326D9">
                  <w:pPr>
                    <w:spacing w:line="278" w:lineRule="auto"/>
                    <w:rPr>
                      <w:color w:val="000000" w:themeColor="text1"/>
                      <w:sz w:val="20"/>
                      <w:szCs w:val="20"/>
                      <w:u w:val="single"/>
                      <w:lang w:val="es-ES"/>
                    </w:rPr>
                  </w:pPr>
                  <w:hyperlink r:id="rId22" w:history="1">
                    <w:r w:rsidRPr="005E3D50">
                      <w:rPr>
                        <w:rStyle w:val="Hyperlink"/>
                        <w:sz w:val="20"/>
                        <w:szCs w:val="20"/>
                        <w:lang w:val="es-ES"/>
                      </w:rPr>
                      <w:t>CBD/SBI/6/INF/5</w:t>
                    </w:r>
                  </w:hyperlink>
                </w:p>
              </w:tc>
            </w:tr>
            <w:tr w:rsidR="00C700E9" w:rsidRPr="00B65C23" w14:paraId="26D4D159" w14:textId="77777777">
              <w:tc>
                <w:tcPr>
                  <w:tcW w:w="6232" w:type="dxa"/>
                </w:tcPr>
                <w:p w14:paraId="3CFB6EE9" w14:textId="642BA3F5" w:rsidR="00C700E9" w:rsidRPr="005E3D50" w:rsidRDefault="00D1022F" w:rsidP="00E326D9">
                  <w:pPr>
                    <w:spacing w:line="278" w:lineRule="auto"/>
                    <w:rPr>
                      <w:color w:val="000000" w:themeColor="text1"/>
                      <w:sz w:val="20"/>
                      <w:szCs w:val="20"/>
                      <w:lang w:val="es-ES"/>
                    </w:rPr>
                  </w:pPr>
                  <w:r w:rsidRPr="005E3D50">
                    <w:rPr>
                      <w:color w:val="000000" w:themeColor="text1"/>
                      <w:sz w:val="20"/>
                      <w:szCs w:val="20"/>
                      <w:lang w:val="es-ES"/>
                    </w:rPr>
                    <w:t xml:space="preserve">d) </w:t>
                  </w:r>
                  <w:r w:rsidR="00C700E9" w:rsidRPr="005E3D50">
                    <w:rPr>
                      <w:color w:val="000000" w:themeColor="text1"/>
                      <w:sz w:val="20"/>
                      <w:szCs w:val="20"/>
                      <w:lang w:val="es-ES"/>
                    </w:rPr>
                    <w:t xml:space="preserve">Las cinco ediciones del informe Perspectiva Mundial sobre la Diversidad Biológica y las dos ediciones del informe Perspectivas Locales sobre la Diversidad Biológica publicadas hasta la fecha; </w:t>
                  </w:r>
                </w:p>
              </w:tc>
              <w:tc>
                <w:tcPr>
                  <w:tcW w:w="2560" w:type="dxa"/>
                </w:tcPr>
                <w:p w14:paraId="14DABEC2" w14:textId="321EE822" w:rsidR="00C700E9" w:rsidRPr="0059394F" w:rsidRDefault="003B6A34" w:rsidP="00E326D9">
                  <w:pPr>
                    <w:spacing w:line="278" w:lineRule="auto"/>
                    <w:rPr>
                      <w:color w:val="000000" w:themeColor="text1"/>
                      <w:sz w:val="20"/>
                      <w:szCs w:val="20"/>
                      <w:lang w:val="en-US"/>
                    </w:rPr>
                  </w:pPr>
                  <w:r w:rsidRPr="0059394F">
                    <w:rPr>
                      <w:color w:val="000000" w:themeColor="text1"/>
                      <w:sz w:val="20"/>
                      <w:szCs w:val="20"/>
                      <w:lang w:val="en-US"/>
                    </w:rPr>
                    <w:t xml:space="preserve">(CDB, 2001, 2006a, 2010, 2014a, 2020; y Forest Peoples Programme y </w:t>
                  </w:r>
                  <w:proofErr w:type="spellStart"/>
                  <w:r w:rsidRPr="0059394F">
                    <w:rPr>
                      <w:color w:val="000000" w:themeColor="text1"/>
                      <w:sz w:val="20"/>
                      <w:szCs w:val="20"/>
                      <w:lang w:val="en-US"/>
                    </w:rPr>
                    <w:t>otros</w:t>
                  </w:r>
                  <w:proofErr w:type="spellEnd"/>
                  <w:r w:rsidRPr="0059394F">
                    <w:rPr>
                      <w:color w:val="000000" w:themeColor="text1"/>
                      <w:sz w:val="20"/>
                      <w:szCs w:val="20"/>
                      <w:lang w:val="en-US"/>
                    </w:rPr>
                    <w:t>, 2016, 2020)</w:t>
                  </w:r>
                </w:p>
              </w:tc>
            </w:tr>
            <w:tr w:rsidR="00C700E9" w:rsidRPr="005E3D50" w14:paraId="4F3E65F7" w14:textId="77777777" w:rsidTr="006C5B71">
              <w:tc>
                <w:tcPr>
                  <w:tcW w:w="6232" w:type="dxa"/>
                  <w:shd w:val="clear" w:color="auto" w:fill="E8E8E8" w:themeFill="background2"/>
                </w:tcPr>
                <w:p w14:paraId="4D701800" w14:textId="65EE020A" w:rsidR="00C700E9" w:rsidRPr="005E3D50" w:rsidRDefault="00C700E9" w:rsidP="00D1022F">
                  <w:pPr>
                    <w:spacing w:line="278" w:lineRule="auto"/>
                    <w:rPr>
                      <w:color w:val="000000" w:themeColor="text1"/>
                      <w:sz w:val="20"/>
                      <w:szCs w:val="20"/>
                      <w:lang w:val="es-ES"/>
                    </w:rPr>
                  </w:pPr>
                  <w:r w:rsidRPr="005E3D50">
                    <w:rPr>
                      <w:color w:val="000000" w:themeColor="text1"/>
                      <w:sz w:val="20"/>
                      <w:szCs w:val="20"/>
                      <w:lang w:val="es-ES"/>
                    </w:rPr>
                    <w:t xml:space="preserve">e) Evaluaciones, informes y productos de la Plataforma Intergubernamental Científico-Normativa sobre Diversidad Biológica y Servicios de los Ecosistemas y otras evaluaciones e informes científicos pertinentes revisados a nivel intergubernamental, incluidos los del Grupo Intergubernamental de Expertos sobre el Cambio Climático y otras plataformas científico-normativas de las Naciones Unidas; </w:t>
                  </w:r>
                </w:p>
              </w:tc>
              <w:tc>
                <w:tcPr>
                  <w:tcW w:w="2560" w:type="dxa"/>
                </w:tcPr>
                <w:p w14:paraId="60559B94" w14:textId="71C4C491" w:rsidR="00C700E9" w:rsidRPr="005E3D50" w:rsidRDefault="00072200" w:rsidP="00E326D9">
                  <w:pPr>
                    <w:spacing w:line="278" w:lineRule="auto"/>
                    <w:rPr>
                      <w:color w:val="000000" w:themeColor="text1"/>
                      <w:sz w:val="20"/>
                      <w:szCs w:val="20"/>
                      <w:lang w:val="es-ES"/>
                    </w:rPr>
                  </w:pPr>
                  <w:r w:rsidRPr="005E3D50">
                    <w:rPr>
                      <w:color w:val="000000" w:themeColor="text1"/>
                      <w:sz w:val="20"/>
                      <w:szCs w:val="20"/>
                      <w:lang w:val="es-ES"/>
                    </w:rPr>
                    <w:t>En el presente informe se hace referencia a ellos de manera individual</w:t>
                  </w:r>
                </w:p>
              </w:tc>
            </w:tr>
            <w:tr w:rsidR="00C700E9" w:rsidRPr="005E3D50" w14:paraId="5FEB3E31" w14:textId="77777777">
              <w:tc>
                <w:tcPr>
                  <w:tcW w:w="6232" w:type="dxa"/>
                </w:tcPr>
                <w:p w14:paraId="27DA8F78" w14:textId="600BE8B5" w:rsidR="00C700E9" w:rsidRPr="005E3D50" w:rsidRDefault="00C700E9" w:rsidP="00D1022F">
                  <w:pPr>
                    <w:spacing w:line="278" w:lineRule="auto"/>
                    <w:rPr>
                      <w:color w:val="000000" w:themeColor="text1"/>
                      <w:sz w:val="20"/>
                      <w:szCs w:val="20"/>
                      <w:lang w:val="es-ES"/>
                    </w:rPr>
                  </w:pPr>
                  <w:r w:rsidRPr="005E3D50">
                    <w:rPr>
                      <w:color w:val="000000" w:themeColor="text1"/>
                      <w:sz w:val="20"/>
                      <w:szCs w:val="20"/>
                      <w:lang w:val="es-ES"/>
                    </w:rPr>
                    <w:t>f)</w:t>
                  </w:r>
                  <w:r w:rsidR="00D1022F" w:rsidRPr="005E3D50">
                    <w:rPr>
                      <w:color w:val="000000" w:themeColor="text1"/>
                      <w:sz w:val="20"/>
                      <w:szCs w:val="20"/>
                      <w:lang w:val="es-ES"/>
                    </w:rPr>
                    <w:t xml:space="preserve"> </w:t>
                  </w:r>
                  <w:r w:rsidRPr="005E3D50">
                    <w:rPr>
                      <w:color w:val="000000" w:themeColor="text1"/>
                      <w:sz w:val="20"/>
                      <w:szCs w:val="20"/>
                      <w:lang w:val="es-ES"/>
                    </w:rPr>
                    <w:t xml:space="preserve">Evaluaciones científicas y técnicas nacionales, regionales e internacionales pertinentes, incluidas evaluaciones subregionales y regionales; </w:t>
                  </w:r>
                </w:p>
              </w:tc>
              <w:tc>
                <w:tcPr>
                  <w:tcW w:w="2560" w:type="dxa"/>
                </w:tcPr>
                <w:p w14:paraId="06BEC72A" w14:textId="3B6F6EB8" w:rsidR="00C700E9" w:rsidRPr="005E3D50" w:rsidRDefault="00072200" w:rsidP="00E326D9">
                  <w:pPr>
                    <w:spacing w:line="278" w:lineRule="auto"/>
                    <w:rPr>
                      <w:color w:val="000000" w:themeColor="text1"/>
                      <w:sz w:val="20"/>
                      <w:szCs w:val="20"/>
                      <w:lang w:val="es-ES"/>
                    </w:rPr>
                  </w:pPr>
                  <w:r w:rsidRPr="005E3D50">
                    <w:rPr>
                      <w:color w:val="000000" w:themeColor="text1"/>
                      <w:sz w:val="20"/>
                      <w:szCs w:val="20"/>
                      <w:lang w:val="es-ES"/>
                    </w:rPr>
                    <w:t>En el presente informe se hace referencia a ellas de manera individual</w:t>
                  </w:r>
                </w:p>
              </w:tc>
            </w:tr>
            <w:tr w:rsidR="00C700E9" w:rsidRPr="005E3D50" w14:paraId="216C4D0C" w14:textId="77777777">
              <w:tc>
                <w:tcPr>
                  <w:tcW w:w="6232" w:type="dxa"/>
                </w:tcPr>
                <w:p w14:paraId="5EBDD6E2" w14:textId="142E4C9D" w:rsidR="00C700E9" w:rsidRPr="005E3D50" w:rsidRDefault="00C700E9" w:rsidP="002B03F6">
                  <w:pPr>
                    <w:spacing w:line="278" w:lineRule="auto"/>
                    <w:rPr>
                      <w:color w:val="000000" w:themeColor="text1"/>
                      <w:sz w:val="20"/>
                      <w:szCs w:val="20"/>
                      <w:lang w:val="es-ES"/>
                    </w:rPr>
                  </w:pPr>
                  <w:r w:rsidRPr="005E3D50">
                    <w:rPr>
                      <w:color w:val="000000" w:themeColor="text1"/>
                      <w:sz w:val="20"/>
                      <w:szCs w:val="20"/>
                      <w:lang w:val="es-ES"/>
                    </w:rPr>
                    <w:t>g)</w:t>
                  </w:r>
                  <w:r w:rsidR="00BC0EE3" w:rsidRPr="005E3D50">
                    <w:rPr>
                      <w:color w:val="000000" w:themeColor="text1"/>
                      <w:sz w:val="20"/>
                      <w:szCs w:val="20"/>
                      <w:lang w:val="es-ES"/>
                    </w:rPr>
                    <w:t xml:space="preserve"> </w:t>
                  </w:r>
                  <w:r w:rsidRPr="005E3D50">
                    <w:rPr>
                      <w:color w:val="000000" w:themeColor="text1"/>
                      <w:sz w:val="20"/>
                      <w:szCs w:val="20"/>
                      <w:lang w:val="es-ES"/>
                    </w:rPr>
                    <w:t xml:space="preserve">Informes sobre los medios de implementación, incluidos los del Consejo del Fondo para el Medio Ambiente Mundial sobre los progresos </w:t>
                  </w:r>
                  <w:r w:rsidR="006B38FC" w:rsidRPr="005E3D50">
                    <w:rPr>
                      <w:color w:val="000000" w:themeColor="text1"/>
                      <w:sz w:val="20"/>
                      <w:szCs w:val="20"/>
                      <w:lang w:val="es-ES"/>
                    </w:rPr>
                    <w:t>relativos a</w:t>
                  </w:r>
                  <w:r w:rsidR="00B960A2" w:rsidRPr="005E3D50">
                    <w:rPr>
                      <w:color w:val="000000" w:themeColor="text1"/>
                      <w:sz w:val="20"/>
                      <w:szCs w:val="20"/>
                      <w:lang w:val="es-ES"/>
                    </w:rPr>
                    <w:t>l</w:t>
                  </w:r>
                  <w:r w:rsidRPr="005E3D50">
                    <w:rPr>
                      <w:color w:val="000000" w:themeColor="text1"/>
                      <w:sz w:val="20"/>
                      <w:szCs w:val="20"/>
                      <w:lang w:val="es-ES"/>
                    </w:rPr>
                    <w:t xml:space="preserve"> Fondo Fiduciario del Fondo para el Medio Ambiente Mundial y el Fondo para el Marco Mundial de Biodiversidad; </w:t>
                  </w:r>
                </w:p>
              </w:tc>
              <w:tc>
                <w:tcPr>
                  <w:tcW w:w="2560" w:type="dxa"/>
                </w:tcPr>
                <w:p w14:paraId="33E98A52" w14:textId="322AA12F" w:rsidR="00C700E9" w:rsidRPr="005E3D50" w:rsidRDefault="000847C3" w:rsidP="00D557C9">
                  <w:pPr>
                    <w:spacing w:line="278" w:lineRule="auto"/>
                    <w:rPr>
                      <w:color w:val="000000" w:themeColor="text1"/>
                      <w:sz w:val="20"/>
                      <w:szCs w:val="20"/>
                      <w:lang w:val="es-ES"/>
                    </w:rPr>
                  </w:pPr>
                  <w:hyperlink r:id="rId23" w:history="1">
                    <w:r w:rsidRPr="005E3D50">
                      <w:rPr>
                        <w:rStyle w:val="Hyperlink"/>
                        <w:sz w:val="20"/>
                        <w:szCs w:val="20"/>
                        <w:lang w:val="es-ES"/>
                      </w:rPr>
                      <w:t>CBD/SBI/7/INF/13</w:t>
                    </w:r>
                  </w:hyperlink>
                  <w:r w:rsidRPr="005E3D50">
                    <w:rPr>
                      <w:color w:val="000000" w:themeColor="text1"/>
                      <w:sz w:val="20"/>
                      <w:szCs w:val="20"/>
                      <w:lang w:val="es-ES"/>
                    </w:rPr>
                    <w:t>; en el presente informe se hace referencia a ellos de manera individual</w:t>
                  </w:r>
                  <w:r w:rsidRPr="005E3D50">
                    <w:rPr>
                      <w:color w:val="000000" w:themeColor="text1"/>
                      <w:sz w:val="20"/>
                      <w:szCs w:val="20"/>
                      <w:lang w:val="es-ES"/>
                    </w:rPr>
                    <w:br/>
                  </w:r>
                </w:p>
              </w:tc>
            </w:tr>
            <w:tr w:rsidR="00C700E9" w:rsidRPr="005E3D50" w14:paraId="49E663D1" w14:textId="77777777">
              <w:tc>
                <w:tcPr>
                  <w:tcW w:w="6232" w:type="dxa"/>
                </w:tcPr>
                <w:p w14:paraId="52D4965B" w14:textId="4CEE4C53" w:rsidR="00C700E9" w:rsidRPr="005E3D50" w:rsidRDefault="00C700E9" w:rsidP="00D1022F">
                  <w:pPr>
                    <w:spacing w:line="278" w:lineRule="auto"/>
                    <w:rPr>
                      <w:color w:val="000000" w:themeColor="text1"/>
                      <w:sz w:val="20"/>
                      <w:szCs w:val="20"/>
                      <w:lang w:val="es-ES"/>
                    </w:rPr>
                  </w:pPr>
                  <w:r w:rsidRPr="005E3D50">
                    <w:rPr>
                      <w:color w:val="000000" w:themeColor="text1"/>
                      <w:sz w:val="20"/>
                      <w:szCs w:val="20"/>
                      <w:lang w:val="es-ES"/>
                    </w:rPr>
                    <w:t>h)</w:t>
                  </w:r>
                  <w:r w:rsidR="00D1022F" w:rsidRPr="005E3D50">
                    <w:rPr>
                      <w:color w:val="000000" w:themeColor="text1"/>
                      <w:sz w:val="20"/>
                      <w:szCs w:val="20"/>
                      <w:lang w:val="es-ES"/>
                    </w:rPr>
                    <w:t xml:space="preserve"> </w:t>
                  </w:r>
                  <w:r w:rsidRPr="005E3D50">
                    <w:rPr>
                      <w:color w:val="000000" w:themeColor="text1"/>
                      <w:sz w:val="20"/>
                      <w:szCs w:val="20"/>
                      <w:lang w:val="es-ES"/>
                    </w:rPr>
                    <w:t>Otros estudios científicos y técnicos pertinentes revisados por pares</w:t>
                  </w:r>
                  <w:r w:rsidR="00D1022F" w:rsidRPr="005E3D50">
                    <w:rPr>
                      <w:color w:val="000000" w:themeColor="text1"/>
                      <w:sz w:val="20"/>
                      <w:szCs w:val="20"/>
                      <w:lang w:val="es-ES"/>
                    </w:rPr>
                    <w:t xml:space="preserve"> disponibles en la literatura</w:t>
                  </w:r>
                  <w:r w:rsidRPr="005E3D50">
                    <w:rPr>
                      <w:color w:val="000000" w:themeColor="text1"/>
                      <w:sz w:val="20"/>
                      <w:szCs w:val="20"/>
                      <w:lang w:val="es-ES"/>
                    </w:rPr>
                    <w:t xml:space="preserve">; </w:t>
                  </w:r>
                </w:p>
              </w:tc>
              <w:tc>
                <w:tcPr>
                  <w:tcW w:w="2560" w:type="dxa"/>
                </w:tcPr>
                <w:p w14:paraId="40990876" w14:textId="304493C9" w:rsidR="00C700E9" w:rsidRPr="005E3D50" w:rsidRDefault="00FF43BC" w:rsidP="00E326D9">
                  <w:pPr>
                    <w:spacing w:line="278" w:lineRule="auto"/>
                    <w:rPr>
                      <w:color w:val="000000" w:themeColor="text1"/>
                      <w:sz w:val="20"/>
                      <w:szCs w:val="20"/>
                      <w:lang w:val="es-ES"/>
                    </w:rPr>
                  </w:pPr>
                  <w:r w:rsidRPr="005E3D50">
                    <w:rPr>
                      <w:color w:val="000000" w:themeColor="text1"/>
                      <w:sz w:val="20"/>
                      <w:szCs w:val="20"/>
                      <w:lang w:val="es-ES"/>
                    </w:rPr>
                    <w:t>En el presente informe se hace referencia a ellos de manera individual</w:t>
                  </w:r>
                </w:p>
              </w:tc>
            </w:tr>
            <w:tr w:rsidR="00C700E9" w:rsidRPr="005E3D50" w14:paraId="79A3F442" w14:textId="77777777">
              <w:tc>
                <w:tcPr>
                  <w:tcW w:w="6232" w:type="dxa"/>
                </w:tcPr>
                <w:p w14:paraId="269037AC" w14:textId="77777777" w:rsidR="00C700E9" w:rsidRPr="005E3D50" w:rsidRDefault="00C700E9" w:rsidP="00E326D9">
                  <w:pPr>
                    <w:spacing w:line="278" w:lineRule="auto"/>
                    <w:rPr>
                      <w:color w:val="000000" w:themeColor="text1"/>
                      <w:sz w:val="20"/>
                      <w:szCs w:val="20"/>
                      <w:lang w:val="es-ES"/>
                    </w:rPr>
                  </w:pPr>
                  <w:r w:rsidRPr="005E3D50">
                    <w:rPr>
                      <w:color w:val="000000" w:themeColor="text1"/>
                      <w:sz w:val="20"/>
                      <w:szCs w:val="20"/>
                      <w:lang w:val="es-ES"/>
                    </w:rPr>
                    <w:t xml:space="preserve">i) Informes de los diálogos regionales y subregionales; </w:t>
                  </w:r>
                </w:p>
              </w:tc>
              <w:tc>
                <w:tcPr>
                  <w:tcW w:w="2560" w:type="dxa"/>
                </w:tcPr>
                <w:p w14:paraId="05B486CC" w14:textId="604BC0A4" w:rsidR="00C700E9" w:rsidRPr="005E3D50" w:rsidRDefault="000847C3" w:rsidP="00E326D9">
                  <w:pPr>
                    <w:spacing w:line="278" w:lineRule="auto"/>
                    <w:rPr>
                      <w:color w:val="000000" w:themeColor="text1"/>
                      <w:sz w:val="20"/>
                      <w:szCs w:val="20"/>
                      <w:lang w:val="es-ES"/>
                    </w:rPr>
                  </w:pPr>
                  <w:hyperlink r:id="rId24" w:history="1">
                    <w:r w:rsidRPr="005E3D50">
                      <w:rPr>
                        <w:rStyle w:val="Hyperlink"/>
                        <w:sz w:val="20"/>
                        <w:szCs w:val="20"/>
                        <w:lang w:val="es-ES"/>
                      </w:rPr>
                      <w:t>CBD/SBI/6/INF/6</w:t>
                    </w:r>
                  </w:hyperlink>
                </w:p>
              </w:tc>
            </w:tr>
            <w:tr w:rsidR="00C700E9" w:rsidRPr="005E3D50" w14:paraId="3701DF3A" w14:textId="77777777">
              <w:tc>
                <w:tcPr>
                  <w:tcW w:w="6232" w:type="dxa"/>
                </w:tcPr>
                <w:p w14:paraId="21DE7201" w14:textId="37D126A6" w:rsidR="00C700E9" w:rsidRPr="005E3D50" w:rsidRDefault="00C700E9" w:rsidP="00E326D9">
                  <w:pPr>
                    <w:spacing w:line="278" w:lineRule="auto"/>
                    <w:rPr>
                      <w:color w:val="000000" w:themeColor="text1"/>
                      <w:sz w:val="20"/>
                      <w:szCs w:val="20"/>
                      <w:lang w:val="es-ES"/>
                    </w:rPr>
                  </w:pPr>
                  <w:r w:rsidRPr="005E3D50">
                    <w:rPr>
                      <w:color w:val="000000" w:themeColor="text1"/>
                      <w:sz w:val="20"/>
                      <w:szCs w:val="20"/>
                      <w:lang w:val="es-ES"/>
                    </w:rPr>
                    <w:t xml:space="preserve">j) Información sobre los compromisos de actores distintos de los Gobiernos nacionales con respecto al Marco, incluida información </w:t>
                  </w:r>
                  <w:r w:rsidRPr="005E3D50">
                    <w:rPr>
                      <w:color w:val="000000" w:themeColor="text1"/>
                      <w:sz w:val="20"/>
                      <w:szCs w:val="20"/>
                      <w:lang w:val="es-ES"/>
                    </w:rPr>
                    <w:lastRenderedPageBreak/>
                    <w:t xml:space="preserve">desglosada sobre las contribuciones de los pueblos indígenas y las comunidades locales, las mujeres y la juventud; </w:t>
                  </w:r>
                </w:p>
              </w:tc>
              <w:tc>
                <w:tcPr>
                  <w:tcW w:w="2560" w:type="dxa"/>
                </w:tcPr>
                <w:p w14:paraId="6DC844BC" w14:textId="798C056D" w:rsidR="00C700E9" w:rsidRPr="005E3D50" w:rsidRDefault="00980DC4" w:rsidP="00E326D9">
                  <w:pPr>
                    <w:spacing w:line="278" w:lineRule="auto"/>
                    <w:rPr>
                      <w:color w:val="000000" w:themeColor="text1"/>
                      <w:sz w:val="20"/>
                      <w:szCs w:val="20"/>
                      <w:lang w:val="es-ES"/>
                    </w:rPr>
                  </w:pPr>
                  <w:r w:rsidRPr="005E3D50">
                    <w:rPr>
                      <w:color w:val="000000" w:themeColor="text1"/>
                      <w:sz w:val="20"/>
                      <w:szCs w:val="20"/>
                      <w:lang w:val="es-ES"/>
                    </w:rPr>
                    <w:lastRenderedPageBreak/>
                    <w:t xml:space="preserve">Herramienta de presentación de informes en línea del </w:t>
                  </w:r>
                  <w:proofErr w:type="spellStart"/>
                  <w:r w:rsidRPr="005E3D50">
                    <w:rPr>
                      <w:color w:val="000000" w:themeColor="text1"/>
                      <w:sz w:val="20"/>
                      <w:szCs w:val="20"/>
                      <w:lang w:val="es-ES"/>
                    </w:rPr>
                    <w:t>Convenio</w:t>
                  </w:r>
                  <w:r w:rsidRPr="005E3D50">
                    <w:rPr>
                      <w:color w:val="000000" w:themeColor="text1"/>
                      <w:sz w:val="20"/>
                      <w:szCs w:val="20"/>
                      <w:vertAlign w:val="superscript"/>
                      <w:lang w:val="es-ES"/>
                    </w:rPr>
                    <w:t>a</w:t>
                  </w:r>
                  <w:proofErr w:type="spellEnd"/>
                </w:p>
              </w:tc>
            </w:tr>
            <w:tr w:rsidR="00C700E9" w:rsidRPr="005E3D50" w14:paraId="32094AA7" w14:textId="77777777">
              <w:tc>
                <w:tcPr>
                  <w:tcW w:w="6232" w:type="dxa"/>
                </w:tcPr>
                <w:p w14:paraId="5DDD825E" w14:textId="24F3BF5C" w:rsidR="00C700E9" w:rsidRPr="005E3D50" w:rsidRDefault="00C700E9" w:rsidP="00D4488A">
                  <w:pPr>
                    <w:spacing w:line="278" w:lineRule="auto"/>
                    <w:rPr>
                      <w:color w:val="000000" w:themeColor="text1"/>
                      <w:sz w:val="20"/>
                      <w:szCs w:val="20"/>
                      <w:lang w:val="es-ES"/>
                    </w:rPr>
                  </w:pPr>
                  <w:r w:rsidRPr="005E3D50">
                    <w:rPr>
                      <w:color w:val="000000" w:themeColor="text1"/>
                      <w:sz w:val="20"/>
                      <w:szCs w:val="20"/>
                      <w:lang w:val="es-ES"/>
                    </w:rPr>
                    <w:t>k)</w:t>
                  </w:r>
                  <w:r w:rsidR="00D4488A" w:rsidRPr="005E3D50">
                    <w:rPr>
                      <w:color w:val="000000" w:themeColor="text1"/>
                      <w:sz w:val="20"/>
                      <w:szCs w:val="20"/>
                      <w:lang w:val="es-ES"/>
                    </w:rPr>
                    <w:t xml:space="preserve"> </w:t>
                  </w:r>
                  <w:r w:rsidRPr="005E3D50">
                    <w:rPr>
                      <w:color w:val="000000" w:themeColor="text1"/>
                      <w:sz w:val="20"/>
                      <w:szCs w:val="20"/>
                      <w:lang w:val="es-ES"/>
                    </w:rPr>
                    <w:t xml:space="preserve">Información pertinente de las secretarías de los convenios relacionados con la diversidad biológica y otros acuerdos ambientales multilaterales, organizaciones internacionales y procesos pertinentes, incluidos informes presentados en virtud de los convenios relacionados y sobre los Objetivos de Desarrollo Sostenible; </w:t>
                  </w:r>
                </w:p>
              </w:tc>
              <w:tc>
                <w:tcPr>
                  <w:tcW w:w="2560" w:type="dxa"/>
                </w:tcPr>
                <w:p w14:paraId="15DF493C" w14:textId="161CBF05" w:rsidR="00C700E9" w:rsidRPr="005E3D50" w:rsidRDefault="00F15D6C" w:rsidP="00E326D9">
                  <w:pPr>
                    <w:spacing w:line="278" w:lineRule="auto"/>
                    <w:rPr>
                      <w:color w:val="000000" w:themeColor="text1"/>
                      <w:sz w:val="20"/>
                      <w:szCs w:val="20"/>
                      <w:lang w:val="es-ES"/>
                    </w:rPr>
                  </w:pPr>
                  <w:r w:rsidRPr="005E3D50">
                    <w:rPr>
                      <w:color w:val="000000" w:themeColor="text1"/>
                      <w:sz w:val="20"/>
                      <w:szCs w:val="20"/>
                      <w:lang w:val="es-ES"/>
                    </w:rPr>
                    <w:t>Respuestas a la notificación núm. 2025-099</w:t>
                  </w:r>
                  <w:r w:rsidRPr="005E3D50">
                    <w:rPr>
                      <w:color w:val="000000" w:themeColor="text1"/>
                      <w:sz w:val="20"/>
                      <w:szCs w:val="20"/>
                      <w:vertAlign w:val="superscript"/>
                      <w:lang w:val="es-ES"/>
                    </w:rPr>
                    <w:t>b</w:t>
                  </w:r>
                </w:p>
              </w:tc>
            </w:tr>
            <w:tr w:rsidR="00C700E9" w:rsidRPr="005E3D50" w14:paraId="07893220" w14:textId="77777777">
              <w:tc>
                <w:tcPr>
                  <w:tcW w:w="6232" w:type="dxa"/>
                </w:tcPr>
                <w:p w14:paraId="2981C9ED" w14:textId="6C724C3C" w:rsidR="00C700E9" w:rsidRPr="005E3D50" w:rsidRDefault="00C700E9" w:rsidP="00D4488A">
                  <w:pPr>
                    <w:spacing w:line="278" w:lineRule="auto"/>
                    <w:rPr>
                      <w:sz w:val="20"/>
                      <w:szCs w:val="20"/>
                      <w:lang w:val="es-ES"/>
                    </w:rPr>
                  </w:pPr>
                  <w:r w:rsidRPr="005E3D50">
                    <w:rPr>
                      <w:color w:val="000000" w:themeColor="text1"/>
                      <w:sz w:val="20"/>
                      <w:szCs w:val="20"/>
                      <w:lang w:val="es-ES"/>
                    </w:rPr>
                    <w:t>l)</w:t>
                  </w:r>
                  <w:r w:rsidR="00D4488A" w:rsidRPr="005E3D50">
                    <w:rPr>
                      <w:color w:val="000000" w:themeColor="text1"/>
                      <w:sz w:val="20"/>
                      <w:szCs w:val="20"/>
                      <w:lang w:val="es-ES"/>
                    </w:rPr>
                    <w:t xml:space="preserve"> </w:t>
                  </w:r>
                  <w:r w:rsidRPr="005E3D50">
                    <w:rPr>
                      <w:color w:val="000000" w:themeColor="text1"/>
                      <w:sz w:val="20"/>
                      <w:szCs w:val="20"/>
                      <w:lang w:val="es-ES"/>
                    </w:rPr>
                    <w:t>Conocimientos tradicionales, innovaciones, prácticas y tecnologías pertinentes de los pueblos indígenas y las comunidades locales a los que se concede acceso con su consentimiento libre, previo e informado.</w:t>
                  </w:r>
                </w:p>
              </w:tc>
              <w:tc>
                <w:tcPr>
                  <w:tcW w:w="2560" w:type="dxa"/>
                </w:tcPr>
                <w:p w14:paraId="732C5A18" w14:textId="57FFDB4B" w:rsidR="00C700E9" w:rsidRPr="005E3D50" w:rsidRDefault="00F15D6C" w:rsidP="00E326D9">
                  <w:pPr>
                    <w:spacing w:line="278" w:lineRule="auto"/>
                    <w:rPr>
                      <w:color w:val="000000" w:themeColor="text1"/>
                      <w:sz w:val="20"/>
                      <w:szCs w:val="20"/>
                      <w:lang w:val="es-ES"/>
                    </w:rPr>
                  </w:pPr>
                  <w:r w:rsidRPr="005E3D50">
                    <w:rPr>
                      <w:color w:val="000000" w:themeColor="text1"/>
                      <w:sz w:val="20"/>
                      <w:szCs w:val="20"/>
                      <w:lang w:val="es-ES"/>
                    </w:rPr>
                    <w:t>Respuestas a la notificación núm. 2025-100</w:t>
                  </w:r>
                  <w:r w:rsidRPr="005E3D50">
                    <w:rPr>
                      <w:color w:val="000000" w:themeColor="text1"/>
                      <w:sz w:val="20"/>
                      <w:szCs w:val="20"/>
                      <w:vertAlign w:val="superscript"/>
                      <w:lang w:val="es-ES"/>
                    </w:rPr>
                    <w:t>c</w:t>
                  </w:r>
                </w:p>
              </w:tc>
            </w:tr>
          </w:tbl>
          <w:p w14:paraId="09F9B25D" w14:textId="77777777" w:rsidR="00C700E9" w:rsidRPr="005E3D50" w:rsidRDefault="00C700E9" w:rsidP="00E326D9">
            <w:pPr>
              <w:keepNext/>
              <w:rPr>
                <w:lang w:val="es-ES"/>
              </w:rPr>
            </w:pPr>
          </w:p>
        </w:tc>
      </w:tr>
      <w:tr w:rsidR="007032FB" w:rsidRPr="005E3D50" w14:paraId="382F0546" w14:textId="77777777" w:rsidTr="6A186FBE">
        <w:tc>
          <w:tcPr>
            <w:tcW w:w="9016" w:type="dxa"/>
            <w:shd w:val="clear" w:color="auto" w:fill="E8E8E8" w:themeFill="background2"/>
          </w:tcPr>
          <w:p w14:paraId="1F39BB04" w14:textId="77777777" w:rsidR="00A54FFE" w:rsidRPr="005E3D50" w:rsidRDefault="00A54FFE" w:rsidP="00A54FFE">
            <w:pPr>
              <w:rPr>
                <w:vertAlign w:val="superscript"/>
                <w:lang w:val="es-ES"/>
              </w:rPr>
            </w:pPr>
          </w:p>
          <w:p w14:paraId="5FC58B20" w14:textId="2AE1407A" w:rsidR="00E830CD" w:rsidRPr="005E3D50" w:rsidRDefault="70AB99C5" w:rsidP="6A186FBE">
            <w:pPr>
              <w:rPr>
                <w:color w:val="000000" w:themeColor="text1"/>
                <w:sz w:val="18"/>
                <w:szCs w:val="18"/>
                <w:lang w:val="es-ES"/>
              </w:rPr>
            </w:pPr>
            <w:r w:rsidRPr="005E3D50">
              <w:rPr>
                <w:sz w:val="18"/>
                <w:szCs w:val="18"/>
                <w:vertAlign w:val="superscript"/>
                <w:lang w:val="es-ES"/>
              </w:rPr>
              <w:t xml:space="preserve">a </w:t>
            </w:r>
            <w:r w:rsidRPr="005E3D50">
              <w:rPr>
                <w:sz w:val="18"/>
                <w:szCs w:val="18"/>
                <w:lang w:val="es-ES"/>
              </w:rPr>
              <w:t xml:space="preserve">Disponible en: </w:t>
            </w:r>
            <w:hyperlink r:id="rId25">
              <w:r w:rsidRPr="005E3D50">
                <w:rPr>
                  <w:rStyle w:val="Hyperlink"/>
                  <w:sz w:val="18"/>
                  <w:szCs w:val="18"/>
                  <w:lang w:val="es-ES"/>
                </w:rPr>
                <w:t>https://ort.cbd.int/</w:t>
              </w:r>
            </w:hyperlink>
            <w:r w:rsidRPr="005E3D50">
              <w:rPr>
                <w:sz w:val="18"/>
                <w:szCs w:val="18"/>
                <w:lang w:val="es-ES"/>
              </w:rPr>
              <w:t xml:space="preserve">. </w:t>
            </w:r>
          </w:p>
          <w:p w14:paraId="0D475F92" w14:textId="51870C3A" w:rsidR="00A62572" w:rsidRPr="005E3D50" w:rsidRDefault="09107552" w:rsidP="6A186FBE">
            <w:pPr>
              <w:pStyle w:val="FootnoteText"/>
              <w:rPr>
                <w:sz w:val="18"/>
                <w:szCs w:val="18"/>
                <w:lang w:val="es-ES"/>
              </w:rPr>
            </w:pPr>
            <w:r w:rsidRPr="005E3D50">
              <w:rPr>
                <w:sz w:val="18"/>
                <w:szCs w:val="18"/>
                <w:vertAlign w:val="superscript"/>
                <w:lang w:val="es-ES"/>
              </w:rPr>
              <w:t>b</w:t>
            </w:r>
            <w:r w:rsidRPr="005E3D50">
              <w:rPr>
                <w:sz w:val="18"/>
                <w:szCs w:val="18"/>
                <w:lang w:val="es-ES"/>
              </w:rPr>
              <w:t xml:space="preserve"> Disponible en: </w:t>
            </w:r>
            <w:hyperlink r:id="rId26">
              <w:r w:rsidRPr="005E3D50">
                <w:rPr>
                  <w:rStyle w:val="Hyperlink"/>
                  <w:sz w:val="18"/>
                  <w:szCs w:val="18"/>
                  <w:lang w:val="es-ES"/>
                </w:rPr>
                <w:t>www.cbd.int/notifications/2025-099</w:t>
              </w:r>
            </w:hyperlink>
            <w:r w:rsidRPr="005E3D50">
              <w:rPr>
                <w:sz w:val="18"/>
                <w:szCs w:val="18"/>
                <w:lang w:val="es-ES"/>
              </w:rPr>
              <w:t>.</w:t>
            </w:r>
          </w:p>
          <w:p w14:paraId="599AE80E" w14:textId="44ECF3A6" w:rsidR="00E830CD" w:rsidRPr="005E3D50" w:rsidRDefault="767AF59F" w:rsidP="6A186FBE">
            <w:pPr>
              <w:pStyle w:val="FootnoteText"/>
              <w:rPr>
                <w:sz w:val="18"/>
                <w:szCs w:val="18"/>
                <w:lang w:val="es-ES"/>
              </w:rPr>
            </w:pPr>
            <w:r w:rsidRPr="005E3D50">
              <w:rPr>
                <w:sz w:val="18"/>
                <w:szCs w:val="18"/>
                <w:vertAlign w:val="superscript"/>
                <w:lang w:val="es-ES"/>
              </w:rPr>
              <w:t>c</w:t>
            </w:r>
            <w:r w:rsidRPr="005E3D50">
              <w:rPr>
                <w:sz w:val="18"/>
                <w:szCs w:val="18"/>
                <w:lang w:val="es-ES"/>
              </w:rPr>
              <w:t xml:space="preserve"> Disponible en: </w:t>
            </w:r>
            <w:hyperlink r:id="rId27">
              <w:r w:rsidRPr="005E3D50">
                <w:rPr>
                  <w:rStyle w:val="Hyperlink"/>
                  <w:sz w:val="18"/>
                  <w:szCs w:val="18"/>
                  <w:lang w:val="es-ES"/>
                </w:rPr>
                <w:t>www.cbd.int/notifications/2025-100</w:t>
              </w:r>
            </w:hyperlink>
            <w:r w:rsidRPr="005E3D50">
              <w:rPr>
                <w:sz w:val="18"/>
                <w:szCs w:val="18"/>
                <w:lang w:val="es-ES"/>
              </w:rPr>
              <w:t xml:space="preserve">.    </w:t>
            </w:r>
          </w:p>
          <w:p w14:paraId="7582DB96" w14:textId="167DA6FA" w:rsidR="007032FB" w:rsidRPr="005E3D50" w:rsidRDefault="007032FB" w:rsidP="00E830CD">
            <w:pPr>
              <w:pStyle w:val="ListParagraph"/>
              <w:ind w:left="0"/>
              <w:rPr>
                <w:color w:val="000000" w:themeColor="text1"/>
                <w:sz w:val="18"/>
                <w:szCs w:val="18"/>
                <w:lang w:val="es-ES"/>
              </w:rPr>
            </w:pPr>
          </w:p>
        </w:tc>
      </w:tr>
    </w:tbl>
    <w:p w14:paraId="6618F63B" w14:textId="50409DAA" w:rsidR="00C700E9" w:rsidRPr="005E3D50" w:rsidRDefault="00C700E9" w:rsidP="18C3F015">
      <w:pPr>
        <w:rPr>
          <w:lang w:val="es-ES"/>
        </w:rPr>
      </w:pPr>
    </w:p>
    <w:p w14:paraId="09637E68" w14:textId="724E7809" w:rsidR="005D3F01" w:rsidRPr="005E3D50" w:rsidRDefault="005D3F01" w:rsidP="005D3F01">
      <w:pPr>
        <w:rPr>
          <w:lang w:val="es-ES"/>
        </w:rPr>
      </w:pPr>
      <w:r w:rsidRPr="005E3D50">
        <w:rPr>
          <w:lang w:val="es-ES"/>
        </w:rPr>
        <w:t>El informe mundial posee una sólida base empírica, ya que tiene en cuenta las comunicaciones proporcionadas a tiempo para ser consideradas en el análisis del informe mundial, a saber: EPANB del 43 % de las Partes en el Convenio; casi 3.700 metas nacionales del 83 % de las Partes; e informes nacionales del 66 % de las Partes</w:t>
      </w:r>
      <w:r w:rsidRPr="005E3D50">
        <w:rPr>
          <w:rStyle w:val="FootnoteReference"/>
          <w:lang w:val="es-ES"/>
        </w:rPr>
        <w:footnoteReference w:id="3"/>
      </w:r>
      <w:r w:rsidRPr="005E3D50">
        <w:rPr>
          <w:lang w:val="es-ES"/>
        </w:rPr>
        <w:t>. En la sección II.A se proporcionan detalles sobre el estado de las comunicaciones de las Partes. Además, el informe considera más de 180 compromisos de actores distintos de los Gobiernos nacionales; 28 comunicaciones de las secretarías de acuerdos ambientales multilaterales, órganos de las Naciones Unidas, otras organizaciones intergubernamentales, organizaciones no gubernamentales y redes de investigación; y 52 presentaciones (de 14 Partes y 38 observadores) de estudios de casos sobre conocimientos tradicionales, innovaciones, prácticas y tecnologías pertinentes de los pueblos indígenas y las comunidades locales.</w:t>
      </w:r>
    </w:p>
    <w:p w14:paraId="6E38E2CE" w14:textId="69E9303A" w:rsidR="00B50240" w:rsidRPr="005E3D50" w:rsidRDefault="00B50240" w:rsidP="00B87C75">
      <w:pPr>
        <w:rPr>
          <w:lang w:val="es-ES"/>
        </w:rPr>
      </w:pPr>
      <w:r w:rsidRPr="005E3D50">
        <w:rPr>
          <w:lang w:val="es-ES"/>
        </w:rPr>
        <w:t xml:space="preserve">En documentos separados se presentan detalles completos de las metodologías utilizadas en la preparación de las distintas secciones del informe mundial y un análisis de la forma en que las Partes utilizaron los indicadores en sus informes nacionales: </w:t>
      </w:r>
      <w:hyperlink r:id="rId28" w:history="1">
        <w:r w:rsidRPr="005E3D50">
          <w:rPr>
            <w:rStyle w:val="Hyperlink"/>
            <w:lang w:val="es-ES"/>
          </w:rPr>
          <w:t>CBD/SBSTTA/28/INF/9</w:t>
        </w:r>
      </w:hyperlink>
      <w:r w:rsidRPr="005E3D50">
        <w:rPr>
          <w:lang w:val="es-ES"/>
        </w:rPr>
        <w:t xml:space="preserve"> y </w:t>
      </w:r>
      <w:hyperlink r:id="rId29" w:history="1">
        <w:r w:rsidRPr="005E3D50">
          <w:rPr>
            <w:rStyle w:val="Hyperlink"/>
            <w:lang w:val="es-ES"/>
          </w:rPr>
          <w:t>CBD/SBSTTA/28/INF/11</w:t>
        </w:r>
      </w:hyperlink>
      <w:r w:rsidRPr="005E3D50">
        <w:rPr>
          <w:lang w:val="es-ES"/>
        </w:rPr>
        <w:t>, respectivamente.</w:t>
      </w:r>
      <w:r w:rsidRPr="005E3D50">
        <w:rPr>
          <w:color w:val="000000" w:themeColor="text1"/>
          <w:lang w:val="es-ES"/>
        </w:rPr>
        <w:t xml:space="preserve"> </w:t>
      </w:r>
      <w:r w:rsidRPr="005E3D50">
        <w:rPr>
          <w:lang w:val="es-ES"/>
        </w:rPr>
        <w:t xml:space="preserve">La figura 5 presenta el flujo de trabajo vinculado a las distintas fuentes de datos y metodologías utilizadas e ilustra cómo se relacionan con cada sección del informe. Siempre que se han utilizado </w:t>
      </w:r>
      <w:r w:rsidRPr="005E3D50">
        <w:rPr>
          <w:lang w:val="es-ES"/>
        </w:rPr>
        <w:lastRenderedPageBreak/>
        <w:t xml:space="preserve">otras fuentes de información (es decir, fuentes que no proceden de las comunicaciones de las Partes a través de la herramienta de presentación de informes en línea), las referencias correspondientes se incluyen en el informe. Cuando en el análisis de los indicadores de cabecera se utilizaron datos procedentes de otras fuentes, incluidos datos nacionales informados a otros procesos mundiales, esos datos se presentan en forma separada de los datos nacionales. </w:t>
      </w:r>
    </w:p>
    <w:p w14:paraId="100BC926" w14:textId="61AF4067" w:rsidR="000F7CAD" w:rsidRPr="005E3D50" w:rsidRDefault="000F7CAD" w:rsidP="000F7CAD">
      <w:pPr>
        <w:rPr>
          <w:lang w:val="es-ES"/>
        </w:rPr>
      </w:pPr>
      <w:r w:rsidRPr="005E3D50">
        <w:rPr>
          <w:lang w:val="es-ES"/>
        </w:rPr>
        <w:t>La parte II del informe mundial contiene la mayor parte del análisis, realizado sobre la base de las comunicaciones de las Partes con el fin de sintetizar los progresos colectivos en la implementación. La sección II.A del informe se basa en un análisis cualitativo de textos que se describe en detalle en la sección A del anexo del documento metodológico, mientras que en la sección II.B se sigue una metodología sistemática para analizar cada una de las metas del Marco. Todas las metodologías se elaboraron en consulta con el Grupo Especial de Asesoramiento Científico y Técnico para la Preparación del Informe Mundial (AHSTAG). Para cada meta, el informe contiene:</w:t>
      </w:r>
    </w:p>
    <w:p w14:paraId="15F7BD87" w14:textId="277F0548" w:rsidR="00B50240" w:rsidRPr="005E3D50" w:rsidRDefault="00B50240" w:rsidP="00B50240">
      <w:pPr>
        <w:pStyle w:val="ListParagraph"/>
        <w:numPr>
          <w:ilvl w:val="0"/>
          <w:numId w:val="7"/>
        </w:numPr>
        <w:rPr>
          <w:lang w:val="es-ES"/>
        </w:rPr>
      </w:pPr>
      <w:r w:rsidRPr="005E3D50">
        <w:rPr>
          <w:lang w:val="es-ES"/>
        </w:rPr>
        <w:t>Un análisis textual de las metas nacionales presentadas por las Partes para determinar en qué medida cubrían colectivamente el alcance general y el nivel de ambición de las metas del Marco. En ese análisis, el texto de cada meta nacional se comparó con todos los elementos contenidos en la meta correspondiente del Marco para determinar en qué medida esos elementos estaban reflejados en el texto de la meta nacional. A continuación, se calculó el porcentaje de Partes con metas nacionales que abordaban cada elemento al menos en cierta medida. Los criterios exactos utilizados para determinar la cobertura figuran en la sección C del anexo del documento metodológico</w:t>
      </w:r>
    </w:p>
    <w:p w14:paraId="5C2E9F16" w14:textId="6F8ED792" w:rsidR="00B50240" w:rsidRPr="005E3D50" w:rsidRDefault="00B50240" w:rsidP="00B50240">
      <w:pPr>
        <w:pStyle w:val="ListParagraph"/>
        <w:numPr>
          <w:ilvl w:val="0"/>
          <w:numId w:val="7"/>
        </w:numPr>
        <w:rPr>
          <w:lang w:val="es-ES"/>
        </w:rPr>
      </w:pPr>
      <w:r w:rsidRPr="005E3D50">
        <w:rPr>
          <w:lang w:val="es-ES"/>
        </w:rPr>
        <w:t>Un análisis del uso de los indicadores por las Partes. De las 129 Partes para las que se disponía de datos, se calculó el porcentaje de Partes que presentaron datos para cada indicador de cabecera, y se determinó el número de Partes para las cuales se utilizaron datos correspondientes al indicador en cada análisis posterior del indicador. Además, se analizó información adicional sobre el uso de los indicadores y se publicó en un documento separado</w:t>
      </w:r>
      <w:r w:rsidR="000955CC">
        <w:rPr>
          <w:lang w:val="es-ES"/>
        </w:rPr>
        <w:t xml:space="preserve"> </w:t>
      </w:r>
      <w:r w:rsidRPr="005E3D50">
        <w:rPr>
          <w:lang w:val="es-ES"/>
        </w:rPr>
        <w:t>(</w:t>
      </w:r>
      <w:hyperlink r:id="rId30" w:history="1">
        <w:r w:rsidRPr="005E3D50">
          <w:rPr>
            <w:rStyle w:val="Hyperlink"/>
            <w:lang w:val="es-ES"/>
          </w:rPr>
          <w:t>CBD/SBSTTA/28/INF/11</w:t>
        </w:r>
      </w:hyperlink>
      <w:r w:rsidRPr="005E3D50">
        <w:rPr>
          <w:lang w:val="es-ES"/>
        </w:rPr>
        <w:t>)</w:t>
      </w:r>
    </w:p>
    <w:p w14:paraId="0399EDEE" w14:textId="471396A6" w:rsidR="00B50240" w:rsidRPr="005E3D50" w:rsidRDefault="00B50240" w:rsidP="00B50240">
      <w:pPr>
        <w:pStyle w:val="ListParagraph"/>
        <w:numPr>
          <w:ilvl w:val="0"/>
          <w:numId w:val="7"/>
        </w:numPr>
        <w:rPr>
          <w:lang w:val="es-ES"/>
        </w:rPr>
      </w:pPr>
      <w:r w:rsidRPr="005E3D50">
        <w:rPr>
          <w:lang w:val="es-ES"/>
        </w:rPr>
        <w:t xml:space="preserve">Un análisis de los progresos colectivos basado en la agregación de las comunicaciones comparables de indicadores de cabecera. Para cada indicador de cabecera, el Grupo Especial de Asesoramiento Científico y Técnico proporcionó orientación sobre los enfoques de agregación que se utilizaron para medir los progresos colectivos. Esta metodología dependía de los metadatos de cada indicador y se veía afectada por las diferencias entre las comunicaciones de las Partes. Los métodos completos de agregación figuran en las secciones C y D del anexo del documento metodológico, y en el examen antes mencionado sobre el uso </w:t>
      </w:r>
      <w:r w:rsidRPr="005E3D50">
        <w:rPr>
          <w:lang w:val="es-ES"/>
        </w:rPr>
        <w:lastRenderedPageBreak/>
        <w:t>de los indicadores en los séptimos informes nacionales se describen las dificultades metodológicas encontradas (</w:t>
      </w:r>
      <w:hyperlink r:id="rId31" w:history="1">
        <w:r w:rsidRPr="005E3D50">
          <w:rPr>
            <w:rStyle w:val="Hyperlink"/>
            <w:lang w:val="es-ES"/>
          </w:rPr>
          <w:t>CBD/SBSTTA/28/INF/11</w:t>
        </w:r>
      </w:hyperlink>
      <w:r w:rsidRPr="005E3D50">
        <w:rPr>
          <w:lang w:val="es-ES"/>
        </w:rPr>
        <w:t>)</w:t>
      </w:r>
    </w:p>
    <w:p w14:paraId="08A6D5FC" w14:textId="558744CE" w:rsidR="008C0167" w:rsidRPr="005E3D50" w:rsidRDefault="00A765A6" w:rsidP="008C0167">
      <w:pPr>
        <w:pStyle w:val="ListParagraph"/>
        <w:numPr>
          <w:ilvl w:val="0"/>
          <w:numId w:val="7"/>
        </w:numPr>
        <w:rPr>
          <w:lang w:val="es-ES"/>
        </w:rPr>
      </w:pPr>
      <w:r w:rsidRPr="005E3D50">
        <w:rPr>
          <w:lang w:val="es-ES"/>
        </w:rPr>
        <w:t>Un análisis de las respuestas correspondientes a los indicadores binarios presentadas por las Partes en sus informes nacionales, utilizando la metodología establecida por el Grupo Especial de Expertos Técnicos sobre los Indicadores para el Marco Mundial de Biodiversidad de Kunming-Montreal para obtener una puntuación general de los progresos (</w:t>
      </w:r>
      <w:hyperlink r:id="rId32" w:history="1">
        <w:r w:rsidRPr="005E3D50">
          <w:rPr>
            <w:rStyle w:val="Hyperlink"/>
            <w:lang w:val="es-ES"/>
          </w:rPr>
          <w:t>CBD/COP/16/INF/3/Rev.1</w:t>
        </w:r>
      </w:hyperlink>
      <w:r w:rsidRPr="005E3D50">
        <w:rPr>
          <w:lang w:val="es-ES"/>
        </w:rPr>
        <w:t>). La puntuación de los progresos se basa en la combinación de las respuestas a las distintas preguntas y va de 0 (que significa que no se ha adoptado ninguna medida) a 5 (que significa que se han adoptado plenamente todas las medidas)</w:t>
      </w:r>
    </w:p>
    <w:p w14:paraId="0A5F8696" w14:textId="4DEE9D0D" w:rsidR="00325015" w:rsidRPr="005E3D50" w:rsidRDefault="00325015" w:rsidP="00325015">
      <w:pPr>
        <w:pStyle w:val="ListParagraph"/>
        <w:numPr>
          <w:ilvl w:val="0"/>
          <w:numId w:val="7"/>
        </w:numPr>
        <w:rPr>
          <w:lang w:val="es-ES"/>
        </w:rPr>
      </w:pPr>
      <w:r w:rsidRPr="005E3D50">
        <w:rPr>
          <w:lang w:val="es-ES"/>
        </w:rPr>
        <w:t xml:space="preserve">Un análisis de las tendencias de todos los indicadores cuantitativos del marco de seguimiento presentados por las Partes (indicadores de cabecera, de componentes, complementarios y nacionales), a fin de determinar si esos indicadores evolucionaban en una dirección favorable o desfavorable para </w:t>
      </w:r>
      <w:r w:rsidR="00312344" w:rsidRPr="005E3D50">
        <w:rPr>
          <w:lang w:val="es-ES"/>
        </w:rPr>
        <w:t>la consecución</w:t>
      </w:r>
      <w:r w:rsidRPr="005E3D50">
        <w:rPr>
          <w:lang w:val="es-ES"/>
        </w:rPr>
        <w:t xml:space="preserve"> de cada meta. En ese análisis se utilizó una metodología (descrita en la sección D del anexo del documento metodológico) que combinaba series temporales de múltiples indicadores para obtener un porcentaje general de indicadores que mostraban mejoras. Ese porcentaje se ponderó </w:t>
      </w:r>
      <w:r w:rsidR="00B40C70">
        <w:rPr>
          <w:lang w:val="es-ES"/>
        </w:rPr>
        <w:t xml:space="preserve">según </w:t>
      </w:r>
      <w:r w:rsidRPr="005E3D50">
        <w:rPr>
          <w:lang w:val="es-ES"/>
        </w:rPr>
        <w:t xml:space="preserve">el número de indicadores presentados por cada Parte para una meta del Marco, a fin de garantizar que todas las Partes que habían presentado indicadores </w:t>
      </w:r>
      <w:r w:rsidR="000955CC">
        <w:rPr>
          <w:lang w:val="es-ES"/>
        </w:rPr>
        <w:t>tuvieran el mismo peso en</w:t>
      </w:r>
      <w:r w:rsidRPr="005E3D50">
        <w:rPr>
          <w:lang w:val="es-ES"/>
        </w:rPr>
        <w:t xml:space="preserve"> la evaluación de los progresos</w:t>
      </w:r>
    </w:p>
    <w:p w14:paraId="61C9F62F" w14:textId="25F4A53D" w:rsidR="00B44A82" w:rsidRPr="005E3D50" w:rsidRDefault="00B44A82" w:rsidP="00B44A82">
      <w:pPr>
        <w:pStyle w:val="ListParagraph"/>
        <w:numPr>
          <w:ilvl w:val="0"/>
          <w:numId w:val="7"/>
        </w:numPr>
        <w:rPr>
          <w:lang w:val="es-ES"/>
        </w:rPr>
      </w:pPr>
      <w:r w:rsidRPr="005E3D50">
        <w:rPr>
          <w:lang w:val="es-ES"/>
        </w:rPr>
        <w:t>Una evaluación del nivel general de progresos autoevaluados en la consecución de todas las metas nacionales estrechamente armonizadas. En sus comunicaciones de metas nacionales, se pidió a las Partes que indicaran con qué meta o metas del Marco estaba armonizada cada meta nacional y, en cada caso, si el grado de armonización era bajo, medio o alto. Esa información se utilizó para incluir únicamente las metas estrechamente armonizadas (la sección E del anexo del documento metodológico contiene más información al respecto). En sus informes nacionales, las Partes utilizaron una escala de Likert, con categorías que iban desde “sin cambios” hasta “alcanzada”, para clasificar sus propias estimaciones de los progresos en la consecución de las metas nacionales. Sobre esa base, se calculó el porcentaje de metas nacionales en cada categoría de progreso</w:t>
      </w:r>
      <w:r w:rsidR="00A130BF">
        <w:rPr>
          <w:lang w:val="es-ES"/>
        </w:rPr>
        <w:t>s</w:t>
      </w:r>
      <w:r w:rsidRPr="005E3D50">
        <w:rPr>
          <w:lang w:val="es-ES"/>
        </w:rPr>
        <w:t>, ponderado</w:t>
      </w:r>
      <w:r w:rsidR="00A130BF">
        <w:rPr>
          <w:lang w:val="es-ES"/>
        </w:rPr>
        <w:t>s</w:t>
      </w:r>
      <w:r w:rsidRPr="005E3D50">
        <w:rPr>
          <w:lang w:val="es-ES"/>
        </w:rPr>
        <w:t xml:space="preserve"> por Parte a fin de equiparar las contribuciones de las Partes con muchas metas y las de las Partes con pocas metas</w:t>
      </w:r>
    </w:p>
    <w:p w14:paraId="34C076F3" w14:textId="21F20252" w:rsidR="005D4AA9" w:rsidRPr="005E3D50" w:rsidRDefault="005D4AA9" w:rsidP="005D4AA9">
      <w:pPr>
        <w:pStyle w:val="ListParagraph"/>
        <w:numPr>
          <w:ilvl w:val="0"/>
          <w:numId w:val="7"/>
        </w:numPr>
        <w:rPr>
          <w:lang w:val="es-ES"/>
        </w:rPr>
      </w:pPr>
      <w:r w:rsidRPr="005E3D50">
        <w:rPr>
          <w:lang w:val="es-ES"/>
        </w:rPr>
        <w:t>Un análisis de los componentes textuales de los informes nacionales, realizado mediante un análisis semántico de las secciones pertinentes de dichos informes. El análisis se basó en la extracción</w:t>
      </w:r>
      <w:r w:rsidR="00611D38" w:rsidRPr="005E3D50">
        <w:rPr>
          <w:lang w:val="es-ES"/>
        </w:rPr>
        <w:t xml:space="preserve"> de datos</w:t>
      </w:r>
      <w:r w:rsidRPr="005E3D50">
        <w:rPr>
          <w:lang w:val="es-ES"/>
        </w:rPr>
        <w:t xml:space="preserve"> estructurad</w:t>
      </w:r>
      <w:r w:rsidR="00611D38" w:rsidRPr="005E3D50">
        <w:rPr>
          <w:lang w:val="es-ES"/>
        </w:rPr>
        <w:t>os</w:t>
      </w:r>
      <w:r w:rsidRPr="005E3D50">
        <w:rPr>
          <w:lang w:val="es-ES"/>
        </w:rPr>
        <w:t xml:space="preserve">, el procesamiento semántico, la recuperación de pruebas con apoyo de ontologías y el análisis </w:t>
      </w:r>
      <w:r w:rsidRPr="005E3D50">
        <w:rPr>
          <w:lang w:val="es-ES"/>
        </w:rPr>
        <w:lastRenderedPageBreak/>
        <w:t xml:space="preserve">asistido por modelos de lenguaje de gran tamaño, seguidos de procesos de verificación y validación. La metodología detallada para ese enfoque figura en la sección F del anexo del documento metodológico. Además, se identificaron estudios de casos con ejemplos de </w:t>
      </w:r>
      <w:r w:rsidR="00552155" w:rsidRPr="005E3D50">
        <w:rPr>
          <w:lang w:val="es-ES"/>
        </w:rPr>
        <w:t>logros</w:t>
      </w:r>
      <w:r w:rsidRPr="005E3D50">
        <w:rPr>
          <w:lang w:val="es-ES"/>
        </w:rPr>
        <w:t xml:space="preserve"> y de progresos en la implementación (véase la sección G del anexo del documento metodológico), los cuales se elaboraron </w:t>
      </w:r>
      <w:proofErr w:type="gramStart"/>
      <w:r w:rsidRPr="005E3D50">
        <w:rPr>
          <w:lang w:val="es-ES"/>
        </w:rPr>
        <w:t>conjuntamente con</w:t>
      </w:r>
      <w:proofErr w:type="gramEnd"/>
      <w:r w:rsidRPr="005E3D50">
        <w:rPr>
          <w:lang w:val="es-ES"/>
        </w:rPr>
        <w:t xml:space="preserve"> los puntos focales de las Partes y las organizaciones pertinentes</w:t>
      </w:r>
    </w:p>
    <w:p w14:paraId="66E03FDA" w14:textId="1998C8F4" w:rsidR="00A514DB" w:rsidRPr="005E3D50" w:rsidRDefault="00A514DB" w:rsidP="00A514DB">
      <w:pPr>
        <w:pStyle w:val="ListParagraph"/>
        <w:numPr>
          <w:ilvl w:val="0"/>
          <w:numId w:val="7"/>
        </w:numPr>
        <w:rPr>
          <w:lang w:val="es-ES"/>
        </w:rPr>
      </w:pPr>
      <w:r w:rsidRPr="005E3D50">
        <w:rPr>
          <w:lang w:val="es-ES"/>
        </w:rPr>
        <w:t>Una síntesis de las contribuciones de actores distintos de los Gobiernos nacionales, que incluye: a) un análisis de textos mediante inteligencia artificial guiado por instrucciones de los compromisos asumidos directamente a través de la herramienta de presentación de informes en línea del Convenio (véase la sección B del anexo del documento metodológico); y b) un resumen cualitativo de las contribuciones de esos actores, según lo descrito por las Partes en sus informes nacionales</w:t>
      </w:r>
    </w:p>
    <w:p w14:paraId="7E3062E7" w14:textId="37B10ABE" w:rsidR="00085BD3" w:rsidRPr="005E3D50" w:rsidRDefault="00085BD3" w:rsidP="00085BD3">
      <w:pPr>
        <w:pStyle w:val="ListParagraph"/>
        <w:numPr>
          <w:ilvl w:val="0"/>
          <w:numId w:val="7"/>
        </w:numPr>
        <w:rPr>
          <w:lang w:val="es-ES"/>
        </w:rPr>
      </w:pPr>
      <w:r w:rsidRPr="005E3D50">
        <w:rPr>
          <w:lang w:val="es-ES"/>
        </w:rPr>
        <w:t>Una síntesis de otras presentaciones realizadas en respuesta a solicitudes de información sobre estudios de casos relativos a conocimientos tradicionales, innovaciones, prácticas y tecnología</w:t>
      </w:r>
      <w:r w:rsidR="00B9655E" w:rsidRPr="005E3D50">
        <w:rPr>
          <w:lang w:val="es-ES"/>
        </w:rPr>
        <w:t>s</w:t>
      </w:r>
      <w:r w:rsidRPr="005E3D50">
        <w:rPr>
          <w:lang w:val="es-ES"/>
        </w:rPr>
        <w:t xml:space="preserve"> pertinentes de los pueblos indígenas y las comunidades locales, así como otra información sobre actividades destinadas a </w:t>
      </w:r>
      <w:r w:rsidR="00C20461">
        <w:rPr>
          <w:lang w:val="es-ES"/>
        </w:rPr>
        <w:t>implicar</w:t>
      </w:r>
      <w:r w:rsidRPr="005E3D50">
        <w:rPr>
          <w:lang w:val="es-ES"/>
        </w:rPr>
        <w:t xml:space="preserve"> y apoyar a los pueblos indígenas y las comunidades locales en la implementación del Marco; y sobre las contribuciones de las secretarías de otros acuerdos ambientales multilaterales pertinentes y de otras organizaciones y procesos pertinentes</w:t>
      </w:r>
    </w:p>
    <w:p w14:paraId="62DFE0AC" w14:textId="7E09AB7E" w:rsidR="00B50240" w:rsidRPr="005E3D50" w:rsidRDefault="006F0B7F" w:rsidP="006F0B7F">
      <w:pPr>
        <w:ind w:left="360"/>
        <w:rPr>
          <w:lang w:val="es-ES"/>
        </w:rPr>
      </w:pPr>
      <w:r w:rsidRPr="005E3D50">
        <w:rPr>
          <w:lang w:val="es-ES"/>
        </w:rPr>
        <w:t>Al igual que en la sección II.B del informe mundial, en la sección II.C se emplea una metodología sistemática elaborada en consulta con el Grupo Especial de Asesoramiento Científico y Técnico para la Preparación del Informe Mundial (AHSTAG) para todos los objetivos del Marco. Para cada objetivo, el informe contiene:</w:t>
      </w:r>
    </w:p>
    <w:p w14:paraId="411D5594" w14:textId="291C5E50" w:rsidR="00B50240" w:rsidRPr="005E3D50" w:rsidRDefault="00B50240" w:rsidP="00B50240">
      <w:pPr>
        <w:pStyle w:val="ListParagraph"/>
        <w:numPr>
          <w:ilvl w:val="0"/>
          <w:numId w:val="7"/>
        </w:numPr>
        <w:rPr>
          <w:lang w:val="es-ES"/>
        </w:rPr>
      </w:pPr>
      <w:r w:rsidRPr="005E3D50">
        <w:rPr>
          <w:lang w:val="es-ES"/>
        </w:rPr>
        <w:t xml:space="preserve">Un análisis de la forma en que las Partes </w:t>
      </w:r>
      <w:r w:rsidR="002A07D9">
        <w:rPr>
          <w:lang w:val="es-ES"/>
        </w:rPr>
        <w:t>relacionan</w:t>
      </w:r>
      <w:r w:rsidRPr="005E3D50">
        <w:rPr>
          <w:lang w:val="es-ES"/>
        </w:rPr>
        <w:t xml:space="preserve"> las metas </w:t>
      </w:r>
      <w:r w:rsidR="002A07D9" w:rsidRPr="005E3D50">
        <w:rPr>
          <w:lang w:val="es-ES"/>
        </w:rPr>
        <w:t xml:space="preserve">del Marco </w:t>
      </w:r>
      <w:r w:rsidRPr="005E3D50">
        <w:rPr>
          <w:lang w:val="es-ES"/>
        </w:rPr>
        <w:t>con los objetivos en su implementación del Marco a nivel nacional. El análisis se realizó sobre la base de las metas nacionales presentadas por las Partes que</w:t>
      </w:r>
      <w:r w:rsidR="002A07D9">
        <w:rPr>
          <w:lang w:val="es-ES"/>
        </w:rPr>
        <w:t xml:space="preserve"> </w:t>
      </w:r>
      <w:r w:rsidRPr="005E3D50">
        <w:rPr>
          <w:lang w:val="es-ES"/>
        </w:rPr>
        <w:t>relacionaban los objetivos del Marco con dichas metas. El porcentaje</w:t>
      </w:r>
      <w:r w:rsidR="00D15C33" w:rsidRPr="005E3D50">
        <w:rPr>
          <w:lang w:val="es-ES"/>
        </w:rPr>
        <w:t xml:space="preserve"> ponderado por Parte</w:t>
      </w:r>
      <w:r w:rsidRPr="005E3D50">
        <w:rPr>
          <w:lang w:val="es-ES"/>
        </w:rPr>
        <w:t xml:space="preserve"> de metas nacionales que </w:t>
      </w:r>
      <w:r w:rsidR="002A07D9">
        <w:rPr>
          <w:lang w:val="es-ES"/>
        </w:rPr>
        <w:t>relacionaban</w:t>
      </w:r>
      <w:r w:rsidRPr="005E3D50">
        <w:rPr>
          <w:lang w:val="es-ES"/>
        </w:rPr>
        <w:t xml:space="preserve"> una meta del Marco con un objetivo se utilizó para determinar las metas del Marco </w:t>
      </w:r>
      <w:r w:rsidR="00976916" w:rsidRPr="005E3D50">
        <w:rPr>
          <w:lang w:val="es-ES"/>
        </w:rPr>
        <w:t xml:space="preserve">que </w:t>
      </w:r>
      <w:r w:rsidRPr="005E3D50">
        <w:rPr>
          <w:lang w:val="es-ES"/>
        </w:rPr>
        <w:t xml:space="preserve">más </w:t>
      </w:r>
      <w:r w:rsidR="00A130BF">
        <w:rPr>
          <w:lang w:val="es-ES"/>
        </w:rPr>
        <w:t xml:space="preserve">se </w:t>
      </w:r>
      <w:r w:rsidR="002A07D9">
        <w:rPr>
          <w:lang w:val="es-ES"/>
        </w:rPr>
        <w:t>relacionaban</w:t>
      </w:r>
      <w:r w:rsidRPr="005E3D50">
        <w:rPr>
          <w:lang w:val="es-ES"/>
        </w:rPr>
        <w:t xml:space="preserve"> con cada objetivo. La metodología detallada correspondiente a ese enfoque figura en la sección H del anexo del documento metodológico</w:t>
      </w:r>
    </w:p>
    <w:p w14:paraId="556DBD1A" w14:textId="72FB0EB2" w:rsidR="00482C7D" w:rsidRPr="005E3D50" w:rsidRDefault="00482C7D" w:rsidP="00482C7D">
      <w:pPr>
        <w:pStyle w:val="ListParagraph"/>
        <w:numPr>
          <w:ilvl w:val="0"/>
          <w:numId w:val="7"/>
        </w:numPr>
        <w:rPr>
          <w:lang w:val="es-ES"/>
        </w:rPr>
      </w:pPr>
      <w:r w:rsidRPr="005E3D50">
        <w:rPr>
          <w:lang w:val="es-ES"/>
        </w:rPr>
        <w:t>El mismo análisis de los indicadores (uso, estado y tendencias) que en la sección II.B</w:t>
      </w:r>
    </w:p>
    <w:p w14:paraId="014C999A" w14:textId="1D5FDECD" w:rsidR="00A67B1D" w:rsidRPr="005E3D50" w:rsidRDefault="00A67B1D" w:rsidP="00A67B1D">
      <w:pPr>
        <w:pStyle w:val="ListParagraph"/>
        <w:numPr>
          <w:ilvl w:val="0"/>
          <w:numId w:val="7"/>
        </w:numPr>
        <w:rPr>
          <w:lang w:val="es-ES"/>
        </w:rPr>
      </w:pPr>
      <w:r w:rsidRPr="005E3D50">
        <w:rPr>
          <w:lang w:val="es-ES"/>
        </w:rPr>
        <w:lastRenderedPageBreak/>
        <w:t xml:space="preserve">Un análisis de los tipos de medidas para avanzar </w:t>
      </w:r>
      <w:r w:rsidR="00907FDF">
        <w:rPr>
          <w:lang w:val="es-ES"/>
        </w:rPr>
        <w:t>en la consecución de</w:t>
      </w:r>
      <w:r w:rsidRPr="005E3D50">
        <w:rPr>
          <w:lang w:val="es-ES"/>
        </w:rPr>
        <w:t xml:space="preserve"> los objetivos del Marco, según lo informado por las Partes. Esto se llevó a cabo mediante un análisis semántico de las secciones pertinentes de los informes nacionales, basado en la extracción de datos estructurados, el procesamiento semántico, la recuperación de pruebas con apoyo de ontologías y un análisis asistido por modelos de lenguaje de gran tamaño, con una posterior verificación y validación. La metodología detallada correspondiente a ese enfoque figura en la sección F del anexo del documento metodológico</w:t>
      </w:r>
    </w:p>
    <w:p w14:paraId="53DADDF9" w14:textId="41677F42" w:rsidR="00B04839" w:rsidRPr="005E3D50" w:rsidRDefault="00B50240" w:rsidP="00B04839">
      <w:pPr>
        <w:rPr>
          <w:lang w:val="es-ES"/>
        </w:rPr>
      </w:pPr>
      <w:r w:rsidRPr="005E3D50">
        <w:rPr>
          <w:lang w:val="es-ES"/>
        </w:rPr>
        <w:t>La parte II.D del informe utiliza una búsqueda estructurada por palabras clave basada en una tipología preexistente de términos relacionados con los medios de implementación (</w:t>
      </w:r>
      <w:hyperlink r:id="rId33" w:history="1">
        <w:r w:rsidRPr="005E3D50">
          <w:rPr>
            <w:rStyle w:val="Hyperlink"/>
            <w:lang w:val="es-ES"/>
          </w:rPr>
          <w:t>CBD/SBI/6/INF/5</w:t>
        </w:r>
      </w:hyperlink>
      <w:r w:rsidRPr="005E3D50">
        <w:rPr>
          <w:lang w:val="es-ES"/>
        </w:rPr>
        <w:t>). Ese enfoque de procesamiento del lenguaje natural se aplicó al texto de todos los informes nacionales incluidos en el informe mundial; a continuación, se resumieron los resultados y se validaron mediante un análisis semántico y comprobaciones manuales. La metodología detallada correspondiente a ese enfoque figura en la sección I del anexo del documento metodológico.</w:t>
      </w:r>
    </w:p>
    <w:p w14:paraId="29D12191" w14:textId="28BBEBA6" w:rsidR="00B50240" w:rsidRPr="005E3D50" w:rsidRDefault="002C3C96" w:rsidP="00B50240">
      <w:pPr>
        <w:rPr>
          <w:rStyle w:val="agcmg"/>
          <w:lang w:val="es-ES"/>
        </w:rPr>
      </w:pPr>
      <w:r w:rsidRPr="005E3D50">
        <w:rPr>
          <w:lang w:val="es-ES"/>
        </w:rPr>
        <w:t xml:space="preserve">La parte II.E del informe se basa en un examen y una síntesis de </w:t>
      </w:r>
      <w:r w:rsidRPr="005E3D50">
        <w:rPr>
          <w:rStyle w:val="agcmg"/>
          <w:lang w:val="es-ES"/>
        </w:rPr>
        <w:t>la</w:t>
      </w:r>
      <w:r w:rsidR="004F634A" w:rsidRPr="005E3D50">
        <w:rPr>
          <w:rStyle w:val="agcmg"/>
          <w:lang w:val="es-ES"/>
        </w:rPr>
        <w:t>s</w:t>
      </w:r>
      <w:r w:rsidRPr="005E3D50">
        <w:rPr>
          <w:rStyle w:val="agcmg"/>
          <w:lang w:val="es-ES"/>
        </w:rPr>
        <w:t xml:space="preserve"> </w:t>
      </w:r>
      <w:r w:rsidR="004F634A" w:rsidRPr="005E3D50">
        <w:rPr>
          <w:rStyle w:val="agcmg"/>
          <w:lang w:val="es-ES"/>
        </w:rPr>
        <w:t>comunicaciones</w:t>
      </w:r>
      <w:r w:rsidRPr="005E3D50">
        <w:rPr>
          <w:rStyle w:val="agcmg"/>
          <w:lang w:val="es-ES"/>
        </w:rPr>
        <w:t xml:space="preserve"> presentada</w:t>
      </w:r>
      <w:r w:rsidR="004F634A" w:rsidRPr="005E3D50">
        <w:rPr>
          <w:rStyle w:val="agcmg"/>
          <w:lang w:val="es-ES"/>
        </w:rPr>
        <w:t>s</w:t>
      </w:r>
      <w:r w:rsidRPr="005E3D50">
        <w:rPr>
          <w:rStyle w:val="agcmg"/>
          <w:lang w:val="es-ES"/>
        </w:rPr>
        <w:t xml:space="preserve"> en respuesta a la notificación núm. 2025-099, mediante la cual se solicitaba información a las secretarías de los convenios relacionados con la diversidad biológica y otros acuerdos ambientales multilaterales pertinentes y a organizaciones y procesos internacionales</w:t>
      </w:r>
      <w:r w:rsidRPr="005E3D50">
        <w:rPr>
          <w:rStyle w:val="FootnoteReference"/>
          <w:lang w:val="es-ES"/>
        </w:rPr>
        <w:footnoteReference w:id="4"/>
      </w:r>
      <w:r w:rsidRPr="005E3D50">
        <w:rPr>
          <w:rStyle w:val="agcmg"/>
          <w:lang w:val="es-ES"/>
        </w:rPr>
        <w:t>, así como en otras fuentes acordes con el mandato para el informe mundial establecido por la Conferencia de las Partes (</w:t>
      </w:r>
      <w:proofErr w:type="spellStart"/>
      <w:r w:rsidRPr="005E3D50">
        <w:rPr>
          <w:rStyle w:val="agcmg"/>
          <w:lang w:val="es-ES"/>
        </w:rPr>
        <w:t>dec</w:t>
      </w:r>
      <w:proofErr w:type="spellEnd"/>
      <w:r w:rsidRPr="005E3D50">
        <w:rPr>
          <w:rStyle w:val="agcmg"/>
          <w:lang w:val="es-ES"/>
        </w:rPr>
        <w:t>. 16/32 en CDB, 2026).</w:t>
      </w:r>
    </w:p>
    <w:p w14:paraId="78CF11F4" w14:textId="745DDAA3" w:rsidR="000266DE" w:rsidRPr="005E3D50" w:rsidRDefault="000266DE" w:rsidP="000266DE">
      <w:pPr>
        <w:rPr>
          <w:lang w:val="es-ES"/>
        </w:rPr>
      </w:pPr>
      <w:r w:rsidRPr="005E3D50">
        <w:rPr>
          <w:rStyle w:val="agcmg"/>
          <w:lang w:val="es-ES"/>
        </w:rPr>
        <w:t xml:space="preserve">La parte III del informe resume y sintetiza las conclusiones de la parte II. A ese respecto, se elaboró una metodología de puntuación relativa para permitir una evaluación y comparación sistemáticas de los progresos en la implementación </w:t>
      </w:r>
      <w:r w:rsidR="00350490">
        <w:rPr>
          <w:rStyle w:val="agcmg"/>
          <w:lang w:val="es-ES"/>
        </w:rPr>
        <w:t>de</w:t>
      </w:r>
      <w:r w:rsidRPr="005E3D50">
        <w:rPr>
          <w:rStyle w:val="agcmg"/>
          <w:lang w:val="es-ES"/>
        </w:rPr>
        <w:t xml:space="preserve"> </w:t>
      </w:r>
      <w:r w:rsidR="004F634A" w:rsidRPr="005E3D50">
        <w:rPr>
          <w:rStyle w:val="agcmg"/>
          <w:lang w:val="es-ES"/>
        </w:rPr>
        <w:t xml:space="preserve">todas </w:t>
      </w:r>
      <w:r w:rsidRPr="005E3D50">
        <w:rPr>
          <w:rStyle w:val="agcmg"/>
          <w:lang w:val="es-ES"/>
        </w:rPr>
        <w:t>las metas del Marco. Mediante la aplicación de esa metodología, los resultados de los análisis descritos anteriormente pueden utilizarse para resaltar las diferencias en la implementación sobre la base de la cobertura de las metas nacionales, los progresos autoevaluados, el uso de datos y los resultados de los indicadores. En concreto, puede calcularse una puntuación general para cada componente a fin de clasificar</w:t>
      </w:r>
      <w:r w:rsidRPr="005E3D50">
        <w:rPr>
          <w:lang w:val="es-ES"/>
        </w:rPr>
        <w:t xml:space="preserve"> las metas del Marco en relación con las puntuaciones </w:t>
      </w:r>
      <w:proofErr w:type="gramStart"/>
      <w:r w:rsidRPr="005E3D50">
        <w:rPr>
          <w:lang w:val="es-ES"/>
        </w:rPr>
        <w:t>más altas y más bajas</w:t>
      </w:r>
      <w:proofErr w:type="gramEnd"/>
      <w:r w:rsidRPr="005E3D50">
        <w:rPr>
          <w:lang w:val="es-ES"/>
        </w:rPr>
        <w:t xml:space="preserve"> alcanzadas en el conjunto de las metas (</w:t>
      </w:r>
      <w:r w:rsidRPr="005E3D50">
        <w:rPr>
          <w:rStyle w:val="agcmg"/>
          <w:lang w:val="es-ES"/>
        </w:rPr>
        <w:t xml:space="preserve">véanse </w:t>
      </w:r>
      <w:r w:rsidRPr="005E3D50">
        <w:rPr>
          <w:lang w:val="es-ES"/>
        </w:rPr>
        <w:t>la figura 1</w:t>
      </w:r>
      <w:r w:rsidRPr="005E3D50">
        <w:rPr>
          <w:rStyle w:val="agcmg"/>
          <w:lang w:val="es-ES"/>
        </w:rPr>
        <w:t xml:space="preserve">, </w:t>
      </w:r>
      <w:r w:rsidRPr="005E3D50">
        <w:rPr>
          <w:color w:val="0E2841" w:themeColor="text2"/>
          <w:lang w:val="es-ES"/>
        </w:rPr>
        <w:t>el recuadro 4</w:t>
      </w:r>
      <w:r w:rsidRPr="005E3D50">
        <w:rPr>
          <w:rStyle w:val="agcmg"/>
          <w:lang w:val="es-ES"/>
        </w:rPr>
        <w:t xml:space="preserve">, </w:t>
      </w:r>
      <w:r w:rsidRPr="005E3D50">
        <w:rPr>
          <w:lang w:val="es-ES"/>
        </w:rPr>
        <w:t>los cuadros 3</w:t>
      </w:r>
      <w:r w:rsidRPr="005E3D50">
        <w:rPr>
          <w:rStyle w:val="agcmg"/>
          <w:lang w:val="es-ES"/>
        </w:rPr>
        <w:t xml:space="preserve"> </w:t>
      </w:r>
      <w:r w:rsidRPr="005E3D50">
        <w:rPr>
          <w:color w:val="0E2841" w:themeColor="text2"/>
          <w:lang w:val="es-ES"/>
        </w:rPr>
        <w:t>y 56</w:t>
      </w:r>
      <w:r w:rsidRPr="005E3D50">
        <w:rPr>
          <w:rStyle w:val="agcmg"/>
          <w:lang w:val="es-ES"/>
        </w:rPr>
        <w:t xml:space="preserve"> y la sección J del anexo del documento metodológico </w:t>
      </w:r>
      <w:r w:rsidRPr="005E3D50">
        <w:rPr>
          <w:rFonts w:ascii="Aptos" w:hAnsi="Aptos"/>
          <w:lang w:val="es-ES"/>
        </w:rPr>
        <w:t>SBSTTA/28/INF/09</w:t>
      </w:r>
      <w:r w:rsidRPr="005E3D50">
        <w:rPr>
          <w:rStyle w:val="agcmg"/>
          <w:lang w:val="es-ES"/>
        </w:rPr>
        <w:t>)</w:t>
      </w:r>
      <w:r w:rsidRPr="005E3D50">
        <w:rPr>
          <w:lang w:val="es-ES"/>
        </w:rPr>
        <w:t xml:space="preserve">. A continuación, esas puntuaciones se utilizan para determinar una puntuación general para cada meta, que se calcula como el promedio, con igual ponderación, de dos medidas: una puntuación combinada de cobertura y progresos autoevaluados, y una puntuación combinada de resultados de los indicadores que </w:t>
      </w:r>
      <w:r w:rsidRPr="005E3D50">
        <w:rPr>
          <w:lang w:val="es-ES"/>
        </w:rPr>
        <w:lastRenderedPageBreak/>
        <w:t xml:space="preserve">posteriormente se divide en cuatro categorías de puntuación. Los mensajes principales y las conclusiones generales del informe se elaboraron </w:t>
      </w:r>
      <w:proofErr w:type="gramStart"/>
      <w:r w:rsidRPr="005E3D50">
        <w:rPr>
          <w:lang w:val="es-ES"/>
        </w:rPr>
        <w:t>conjuntamente con</w:t>
      </w:r>
      <w:proofErr w:type="gramEnd"/>
      <w:r w:rsidRPr="005E3D50">
        <w:rPr>
          <w:lang w:val="es-ES"/>
        </w:rPr>
        <w:t xml:space="preserve"> el Grupo Especial de Asesoramiento Científico y Técnico para la Preparación del Informe Mundial (AHSTAG) y están basados en las conclusiones expuestas en las secciones anteriores.</w:t>
      </w:r>
    </w:p>
    <w:p w14:paraId="014B4DB3" w14:textId="77777777" w:rsidR="00B05885" w:rsidRPr="005E3D50" w:rsidRDefault="00B05885" w:rsidP="000266DE">
      <w:pPr>
        <w:rPr>
          <w:sz w:val="20"/>
          <w:szCs w:val="20"/>
          <w:lang w:val="es-ES"/>
        </w:rPr>
      </w:pPr>
    </w:p>
    <w:p w14:paraId="60D6E5EB" w14:textId="5BC71B54" w:rsidR="00103332" w:rsidRPr="005E3D50" w:rsidRDefault="00B05885" w:rsidP="00B50240">
      <w:pPr>
        <w:rPr>
          <w:iCs/>
          <w:sz w:val="20"/>
          <w:szCs w:val="20"/>
          <w:lang w:val="es-ES"/>
        </w:rPr>
      </w:pPr>
      <w:bookmarkStart w:id="43" w:name="_Ref238304854"/>
      <w:bookmarkStart w:id="44" w:name="_Ref235529982"/>
      <w:r w:rsidRPr="005E3D50">
        <w:rPr>
          <w:sz w:val="20"/>
          <w:szCs w:val="20"/>
          <w:lang w:val="es-ES"/>
        </w:rPr>
        <w:t>Figura 5</w:t>
      </w:r>
      <w:bookmarkEnd w:id="43"/>
    </w:p>
    <w:p w14:paraId="461FC7D8" w14:textId="2F3F6428" w:rsidR="00B215EF" w:rsidRPr="005E3D50" w:rsidRDefault="00B05885" w:rsidP="00B50240">
      <w:pPr>
        <w:rPr>
          <w:b/>
          <w:sz w:val="20"/>
          <w:szCs w:val="20"/>
          <w:lang w:val="es-ES"/>
        </w:rPr>
      </w:pPr>
      <w:r w:rsidRPr="005E3D50">
        <w:rPr>
          <w:b/>
          <w:sz w:val="20"/>
          <w:szCs w:val="20"/>
          <w:lang w:val="es-ES"/>
        </w:rPr>
        <w:t>Diagrama de flujo metodológico para la preparación del informe mundial</w:t>
      </w:r>
    </w:p>
    <w:bookmarkEnd w:id="44"/>
    <w:p w14:paraId="4F2E4368" w14:textId="77777777" w:rsidR="00837508" w:rsidRPr="005E3D50" w:rsidRDefault="006C0B9B" w:rsidP="00272CBD">
      <w:pPr>
        <w:rPr>
          <w:rFonts w:cs="Times New Roman"/>
          <w:i/>
          <w:color w:val="0E2841" w:themeColor="text2"/>
          <w:sz w:val="18"/>
          <w:szCs w:val="18"/>
          <w:lang w:val="es-ES"/>
        </w:rPr>
      </w:pPr>
      <w:r w:rsidRPr="005E3D50">
        <w:rPr>
          <w:i/>
          <w:noProof/>
          <w:color w:val="0E2841" w:themeColor="text2"/>
          <w:sz w:val="18"/>
          <w:szCs w:val="18"/>
          <w:lang w:val="en-US"/>
        </w:rPr>
        <w:drawing>
          <wp:inline distT="0" distB="0" distL="0" distR="0" wp14:anchorId="147A7B59" wp14:editId="4040AC00">
            <wp:extent cx="5943600" cy="4272280"/>
            <wp:effectExtent l="0" t="0" r="0" b="0"/>
            <wp:docPr id="14620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105" name="Picture 14620410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272280"/>
                    </a:xfrm>
                    <a:prstGeom prst="rect">
                      <a:avLst/>
                    </a:prstGeom>
                  </pic:spPr>
                </pic:pic>
              </a:graphicData>
            </a:graphic>
          </wp:inline>
        </w:drawing>
      </w:r>
    </w:p>
    <w:p w14:paraId="73133F86" w14:textId="6BD91912" w:rsidR="00272CBD" w:rsidRPr="005E3D50" w:rsidRDefault="00272CBD" w:rsidP="00272CBD">
      <w:pPr>
        <w:rPr>
          <w:rFonts w:cs="Times New Roman"/>
          <w:color w:val="0E2841" w:themeColor="text2"/>
          <w:sz w:val="16"/>
          <w:szCs w:val="16"/>
          <w:lang w:val="es-ES"/>
        </w:rPr>
      </w:pPr>
      <w:r w:rsidRPr="005E3D50">
        <w:rPr>
          <w:i/>
          <w:color w:val="0E2841" w:themeColor="text2"/>
          <w:sz w:val="16"/>
          <w:szCs w:val="16"/>
          <w:lang w:val="es-ES"/>
        </w:rPr>
        <w:t>Nota</w:t>
      </w:r>
      <w:r w:rsidRPr="005E3D50">
        <w:rPr>
          <w:color w:val="0E2841" w:themeColor="text2"/>
          <w:sz w:val="16"/>
          <w:szCs w:val="16"/>
          <w:lang w:val="es-ES"/>
        </w:rPr>
        <w:t xml:space="preserve">: La figura destaca, para cada sección del informe mundial, la información y los datos que se utilizaron, cómo se utilizaron y cómo se relacionan con el contenido del informe. </w:t>
      </w:r>
      <w:r w:rsidRPr="005E3D50">
        <w:rPr>
          <w:i/>
          <w:color w:val="0E2841" w:themeColor="text2"/>
          <w:sz w:val="16"/>
          <w:szCs w:val="16"/>
          <w:lang w:val="es-ES"/>
        </w:rPr>
        <w:t>Abreviaciones</w:t>
      </w:r>
      <w:r w:rsidRPr="005E3D50">
        <w:rPr>
          <w:color w:val="0E2841" w:themeColor="text2"/>
          <w:sz w:val="16"/>
          <w:szCs w:val="16"/>
          <w:lang w:val="es-ES"/>
        </w:rPr>
        <w:t xml:space="preserve">: </w:t>
      </w:r>
      <w:r w:rsidRPr="005E3D50">
        <w:rPr>
          <w:sz w:val="16"/>
          <w:szCs w:val="16"/>
          <w:lang w:val="es-ES"/>
        </w:rPr>
        <w:t>PMDB 5, quinta edición de la Perspectiva Mundial sobre la Diversidad Biológica; IM, informe mundial; IPBES, Plataforma Intergubernamental Científico-Normativa sobre Diversidad Biológica y Servicios de los Ecosistemas; EPANB, estrategias y planes de acción nacionales en materia de biodiversidad; ADGN, actor distinto de los Gobiernos nacionales; MN, metas nacionales; 7IN, séptimos informes nacionales.</w:t>
      </w:r>
    </w:p>
    <w:tbl>
      <w:tblPr>
        <w:tblStyle w:val="TableGrid"/>
        <w:tblW w:w="8874" w:type="dxa"/>
        <w:tblLook w:val="06A0" w:firstRow="1" w:lastRow="0" w:firstColumn="1" w:lastColumn="0" w:noHBand="1" w:noVBand="1"/>
      </w:tblPr>
      <w:tblGrid>
        <w:gridCol w:w="4104"/>
        <w:gridCol w:w="4770"/>
      </w:tblGrid>
      <w:tr w:rsidR="00C05F0F" w:rsidRPr="00D27067" w14:paraId="239A8A76" w14:textId="77777777" w:rsidTr="00D674CC">
        <w:tc>
          <w:tcPr>
            <w:tcW w:w="8874" w:type="dxa"/>
            <w:gridSpan w:val="2"/>
            <w:tcMar>
              <w:top w:w="15" w:type="dxa"/>
              <w:left w:w="180" w:type="dxa"/>
              <w:right w:w="15" w:type="dxa"/>
            </w:tcMar>
            <w:vAlign w:val="center"/>
          </w:tcPr>
          <w:p w14:paraId="13399875" w14:textId="53CA934D" w:rsidR="00C05F0F" w:rsidRPr="00C05F0F" w:rsidRDefault="00C05F0F"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4</w:t>
            </w:r>
          </w:p>
        </w:tc>
      </w:tr>
      <w:tr w:rsidR="00C05F0F" w:rsidRPr="00D27067" w14:paraId="51D0CE95" w14:textId="77777777" w:rsidTr="00C05F0F">
        <w:tc>
          <w:tcPr>
            <w:tcW w:w="4104" w:type="dxa"/>
            <w:tcMar>
              <w:top w:w="15" w:type="dxa"/>
              <w:left w:w="180" w:type="dxa"/>
              <w:right w:w="15" w:type="dxa"/>
            </w:tcMar>
            <w:vAlign w:val="center"/>
          </w:tcPr>
          <w:p w14:paraId="769707CF" w14:textId="77777777" w:rsidR="00C05F0F" w:rsidRPr="00C05F0F" w:rsidRDefault="00C05F0F" w:rsidP="00B93410">
            <w:pPr>
              <w:rPr>
                <w:rFonts w:ascii="Aptos" w:hAnsi="Aptos"/>
                <w:sz w:val="18"/>
                <w:szCs w:val="18"/>
                <w:lang w:val="es-ES"/>
              </w:rPr>
            </w:pPr>
            <w:r w:rsidRPr="00C05F0F">
              <w:rPr>
                <w:rFonts w:ascii="Aptos" w:eastAsia="Segoe UI" w:hAnsi="Aptos" w:cs="Segoe UI"/>
                <w:color w:val="0F1115"/>
                <w:sz w:val="18"/>
                <w:szCs w:val="18"/>
                <w:lang w:val="es-ES"/>
              </w:rPr>
              <w:t xml:space="preserve">English </w:t>
            </w:r>
          </w:p>
        </w:tc>
        <w:tc>
          <w:tcPr>
            <w:tcW w:w="4770" w:type="dxa"/>
            <w:tcMar>
              <w:top w:w="15" w:type="dxa"/>
              <w:left w:w="180" w:type="dxa"/>
              <w:right w:w="15" w:type="dxa"/>
            </w:tcMar>
            <w:vAlign w:val="center"/>
          </w:tcPr>
          <w:p w14:paraId="05315D31" w14:textId="5F0EBD5F" w:rsidR="00C05F0F" w:rsidRPr="00C05F0F" w:rsidRDefault="00C05F0F" w:rsidP="00B93410">
            <w:pPr>
              <w:rPr>
                <w:rFonts w:ascii="Aptos" w:hAnsi="Aptos"/>
                <w:sz w:val="18"/>
                <w:szCs w:val="18"/>
                <w:lang w:val="es-ES"/>
              </w:rPr>
            </w:pPr>
            <w:r w:rsidRPr="00C05F0F">
              <w:rPr>
                <w:rFonts w:ascii="Aptos" w:eastAsia="Segoe UI" w:hAnsi="Aptos" w:cs="Segoe UI"/>
                <w:color w:val="0F1115"/>
                <w:sz w:val="18"/>
                <w:szCs w:val="18"/>
                <w:lang w:val="es-ES"/>
              </w:rPr>
              <w:t>Español</w:t>
            </w:r>
          </w:p>
        </w:tc>
      </w:tr>
      <w:tr w:rsidR="00C05F0F" w:rsidRPr="00D27067" w14:paraId="3F96F471" w14:textId="77777777" w:rsidTr="00C05F0F">
        <w:tc>
          <w:tcPr>
            <w:tcW w:w="4104" w:type="dxa"/>
            <w:tcMar>
              <w:top w:w="15" w:type="dxa"/>
              <w:left w:w="180" w:type="dxa"/>
              <w:right w:w="15" w:type="dxa"/>
            </w:tcMar>
            <w:vAlign w:val="center"/>
          </w:tcPr>
          <w:p w14:paraId="469533EE"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METHODOLOGICAL SUMMARY FOR THE PREPARATION OF THE GLOBAL REPORT</w:t>
            </w:r>
          </w:p>
        </w:tc>
        <w:tc>
          <w:tcPr>
            <w:tcW w:w="4770" w:type="dxa"/>
            <w:tcMar>
              <w:top w:w="15" w:type="dxa"/>
              <w:left w:w="180" w:type="dxa"/>
              <w:right w:w="15" w:type="dxa"/>
            </w:tcMar>
            <w:vAlign w:val="center"/>
          </w:tcPr>
          <w:p w14:paraId="3B6C2A13"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METODOLÓGICO PARA LA PREPARACIÓN DEL INFORME MUNDIAL</w:t>
            </w:r>
          </w:p>
        </w:tc>
      </w:tr>
      <w:tr w:rsidR="00C05F0F" w:rsidRPr="00D27067" w14:paraId="5DA23C81" w14:textId="77777777" w:rsidTr="00C05F0F">
        <w:tc>
          <w:tcPr>
            <w:tcW w:w="4104" w:type="dxa"/>
            <w:tcMar>
              <w:top w:w="15" w:type="dxa"/>
              <w:left w:w="180" w:type="dxa"/>
              <w:right w:w="15" w:type="dxa"/>
            </w:tcMar>
            <w:vAlign w:val="center"/>
          </w:tcPr>
          <w:p w14:paraId="4CB3547E"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Details on the methodologies used are found in the annex to CBD/SBSTTA/28/INF/9</w:t>
            </w:r>
          </w:p>
        </w:tc>
        <w:tc>
          <w:tcPr>
            <w:tcW w:w="4770" w:type="dxa"/>
            <w:tcMar>
              <w:top w:w="15" w:type="dxa"/>
              <w:left w:w="180" w:type="dxa"/>
              <w:right w:w="15" w:type="dxa"/>
            </w:tcMar>
            <w:vAlign w:val="center"/>
          </w:tcPr>
          <w:p w14:paraId="479FEF0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Las metodologías empleadas figuran en detalle en el anexo del documento CBD/SBSTTA/28/INF/9</w:t>
            </w:r>
          </w:p>
        </w:tc>
      </w:tr>
      <w:tr w:rsidR="00C05F0F" w:rsidRPr="00D27067" w14:paraId="12DAA75B" w14:textId="77777777" w:rsidTr="00C05F0F">
        <w:tc>
          <w:tcPr>
            <w:tcW w:w="4104" w:type="dxa"/>
            <w:tcMar>
              <w:top w:w="15" w:type="dxa"/>
              <w:left w:w="180" w:type="dxa"/>
              <w:right w:w="15" w:type="dxa"/>
            </w:tcMar>
            <w:vAlign w:val="center"/>
          </w:tcPr>
          <w:p w14:paraId="4F22517B"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lastRenderedPageBreak/>
              <w:t>Long forms for all acronyms are contained in the abbreviations note below the body of the figure</w:t>
            </w:r>
          </w:p>
        </w:tc>
        <w:tc>
          <w:tcPr>
            <w:tcW w:w="4770" w:type="dxa"/>
            <w:tcMar>
              <w:top w:w="15" w:type="dxa"/>
              <w:left w:w="180" w:type="dxa"/>
              <w:right w:w="15" w:type="dxa"/>
            </w:tcMar>
            <w:vAlign w:val="center"/>
          </w:tcPr>
          <w:p w14:paraId="5EDB01A3"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Las denominaciones completas de todas las siglas se incluyen en la nota sobre abreviaturas que aparece debajo de la figura</w:t>
            </w:r>
          </w:p>
        </w:tc>
      </w:tr>
      <w:tr w:rsidR="00C05F0F" w:rsidRPr="00D27067" w14:paraId="205FFA6E" w14:textId="77777777" w:rsidTr="00C05F0F">
        <w:tc>
          <w:tcPr>
            <w:tcW w:w="4104" w:type="dxa"/>
            <w:tcMar>
              <w:top w:w="15" w:type="dxa"/>
              <w:left w:w="180" w:type="dxa"/>
              <w:right w:w="15" w:type="dxa"/>
            </w:tcMar>
            <w:vAlign w:val="center"/>
          </w:tcPr>
          <w:p w14:paraId="2F29E50E"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CONCISE SUMMARY</w:t>
            </w:r>
          </w:p>
        </w:tc>
        <w:tc>
          <w:tcPr>
            <w:tcW w:w="4770" w:type="dxa"/>
            <w:tcMar>
              <w:top w:w="15" w:type="dxa"/>
              <w:left w:w="180" w:type="dxa"/>
              <w:right w:w="15" w:type="dxa"/>
            </w:tcMar>
            <w:vAlign w:val="center"/>
          </w:tcPr>
          <w:p w14:paraId="787AF6E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CONCISO</w:t>
            </w:r>
          </w:p>
        </w:tc>
      </w:tr>
      <w:tr w:rsidR="00C05F0F" w:rsidRPr="00D27067" w14:paraId="20F6C6AD" w14:textId="77777777" w:rsidTr="00C05F0F">
        <w:tc>
          <w:tcPr>
            <w:tcW w:w="4104" w:type="dxa"/>
            <w:tcMar>
              <w:top w:w="15" w:type="dxa"/>
              <w:left w:w="180" w:type="dxa"/>
              <w:right w:w="15" w:type="dxa"/>
            </w:tcMar>
            <w:vAlign w:val="center"/>
          </w:tcPr>
          <w:p w14:paraId="183724FF"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IA. </w:t>
            </w:r>
            <w:proofErr w:type="spellStart"/>
            <w:r w:rsidRPr="00D27067">
              <w:rPr>
                <w:rFonts w:ascii="Aptos" w:eastAsia="Segoe UI" w:hAnsi="Aptos" w:cs="Segoe UI"/>
                <w:color w:val="0F1115"/>
                <w:sz w:val="18"/>
                <w:szCs w:val="18"/>
                <w:lang w:val="es-ES"/>
              </w:rPr>
              <w:t>Introduction</w:t>
            </w:r>
            <w:proofErr w:type="spellEnd"/>
          </w:p>
        </w:tc>
        <w:tc>
          <w:tcPr>
            <w:tcW w:w="4770" w:type="dxa"/>
            <w:tcMar>
              <w:top w:w="15" w:type="dxa"/>
              <w:left w:w="180" w:type="dxa"/>
              <w:right w:w="15" w:type="dxa"/>
            </w:tcMar>
            <w:vAlign w:val="center"/>
          </w:tcPr>
          <w:p w14:paraId="78EFC21D"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IA. Introducción</w:t>
            </w:r>
          </w:p>
        </w:tc>
      </w:tr>
      <w:tr w:rsidR="00C05F0F" w:rsidRPr="00D27067" w14:paraId="4A00C7EF" w14:textId="77777777" w:rsidTr="00C05F0F">
        <w:tc>
          <w:tcPr>
            <w:tcW w:w="4104" w:type="dxa"/>
            <w:tcMar>
              <w:top w:w="15" w:type="dxa"/>
              <w:left w:w="180" w:type="dxa"/>
              <w:right w:w="15" w:type="dxa"/>
            </w:tcMar>
            <w:vAlign w:val="center"/>
          </w:tcPr>
          <w:p w14:paraId="02F5B39E"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IB. </w:t>
            </w:r>
            <w:proofErr w:type="gramStart"/>
            <w:r w:rsidRPr="00D27067">
              <w:rPr>
                <w:rFonts w:ascii="Aptos" w:eastAsia="Segoe UI" w:hAnsi="Aptos" w:cs="Segoe UI"/>
                <w:color w:val="0F1115"/>
                <w:sz w:val="18"/>
                <w:szCs w:val="18"/>
                <w:lang w:val="es-ES"/>
              </w:rPr>
              <w:t>Status</w:t>
            </w:r>
            <w:proofErr w:type="gram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trends</w:t>
            </w:r>
            <w:proofErr w:type="spellEnd"/>
          </w:p>
        </w:tc>
        <w:tc>
          <w:tcPr>
            <w:tcW w:w="4770" w:type="dxa"/>
            <w:tcMar>
              <w:top w:w="15" w:type="dxa"/>
              <w:left w:w="180" w:type="dxa"/>
              <w:right w:w="15" w:type="dxa"/>
            </w:tcMar>
            <w:vAlign w:val="center"/>
          </w:tcPr>
          <w:p w14:paraId="5C768608"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IB. Estado y tendencias</w:t>
            </w:r>
          </w:p>
        </w:tc>
      </w:tr>
      <w:tr w:rsidR="00C05F0F" w:rsidRPr="00D27067" w14:paraId="66A2AB2A" w14:textId="77777777" w:rsidTr="00C05F0F">
        <w:tc>
          <w:tcPr>
            <w:tcW w:w="4104" w:type="dxa"/>
            <w:tcMar>
              <w:top w:w="15" w:type="dxa"/>
              <w:left w:w="180" w:type="dxa"/>
              <w:right w:w="15" w:type="dxa"/>
            </w:tcMar>
            <w:vAlign w:val="center"/>
          </w:tcPr>
          <w:p w14:paraId="5A2FFC98"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IIA. </w:t>
            </w:r>
            <w:proofErr w:type="gramStart"/>
            <w:r w:rsidRPr="00D27067">
              <w:rPr>
                <w:rFonts w:ascii="Aptos" w:eastAsia="Segoe UI" w:hAnsi="Aptos" w:cs="Segoe UI"/>
                <w:color w:val="0F1115"/>
                <w:sz w:val="18"/>
                <w:szCs w:val="18"/>
                <w:lang w:val="es-ES"/>
              </w:rPr>
              <w:t>Status</w:t>
            </w:r>
            <w:proofErr w:type="gram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252DBC6F"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IIA. Resumen del estado</w:t>
            </w:r>
          </w:p>
        </w:tc>
      </w:tr>
      <w:tr w:rsidR="00C05F0F" w:rsidRPr="00D27067" w14:paraId="19BF1CF9" w14:textId="77777777" w:rsidTr="00C05F0F">
        <w:tc>
          <w:tcPr>
            <w:tcW w:w="4104" w:type="dxa"/>
            <w:tcMar>
              <w:top w:w="15" w:type="dxa"/>
              <w:left w:w="180" w:type="dxa"/>
              <w:right w:w="15" w:type="dxa"/>
            </w:tcMar>
            <w:vAlign w:val="center"/>
          </w:tcPr>
          <w:p w14:paraId="0E4EA42B"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Conclusions of the global report (Part III)</w:t>
            </w:r>
          </w:p>
        </w:tc>
        <w:tc>
          <w:tcPr>
            <w:tcW w:w="4770" w:type="dxa"/>
            <w:tcMar>
              <w:top w:w="15" w:type="dxa"/>
              <w:left w:w="180" w:type="dxa"/>
              <w:right w:w="15" w:type="dxa"/>
            </w:tcMar>
            <w:vAlign w:val="center"/>
          </w:tcPr>
          <w:p w14:paraId="5760057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Conclusiones del informe mundial (Parte III)</w:t>
            </w:r>
          </w:p>
        </w:tc>
      </w:tr>
      <w:tr w:rsidR="00C05F0F" w:rsidRPr="00D27067" w14:paraId="570D0C44" w14:textId="77777777" w:rsidTr="00C05F0F">
        <w:tc>
          <w:tcPr>
            <w:tcW w:w="4104" w:type="dxa"/>
            <w:tcMar>
              <w:top w:w="15" w:type="dxa"/>
              <w:left w:w="180" w:type="dxa"/>
              <w:right w:w="15" w:type="dxa"/>
            </w:tcMar>
            <w:vAlign w:val="center"/>
          </w:tcPr>
          <w:p w14:paraId="1C588C0F"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Convention</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decisions</w:t>
            </w:r>
            <w:proofErr w:type="spell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documents</w:t>
            </w:r>
            <w:proofErr w:type="spellEnd"/>
          </w:p>
        </w:tc>
        <w:tc>
          <w:tcPr>
            <w:tcW w:w="4770" w:type="dxa"/>
            <w:tcMar>
              <w:top w:w="15" w:type="dxa"/>
              <w:left w:w="180" w:type="dxa"/>
              <w:right w:w="15" w:type="dxa"/>
            </w:tcMar>
            <w:vAlign w:val="center"/>
          </w:tcPr>
          <w:p w14:paraId="254EB1F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Decisiones y documentos del Convenio</w:t>
            </w:r>
          </w:p>
        </w:tc>
      </w:tr>
      <w:tr w:rsidR="00C05F0F" w:rsidRPr="00D27067" w14:paraId="7A0ED0BD" w14:textId="77777777" w:rsidTr="00C05F0F">
        <w:tc>
          <w:tcPr>
            <w:tcW w:w="4104" w:type="dxa"/>
            <w:tcMar>
              <w:top w:w="15" w:type="dxa"/>
              <w:left w:w="180" w:type="dxa"/>
              <w:right w:w="15" w:type="dxa"/>
            </w:tcMar>
            <w:vAlign w:val="center"/>
          </w:tcPr>
          <w:p w14:paraId="51554348"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GBO5, IPBES, peer- reviewed literature</w:t>
            </w:r>
          </w:p>
        </w:tc>
        <w:tc>
          <w:tcPr>
            <w:tcW w:w="4770" w:type="dxa"/>
            <w:tcMar>
              <w:top w:w="15" w:type="dxa"/>
              <w:left w:w="180" w:type="dxa"/>
              <w:right w:w="15" w:type="dxa"/>
            </w:tcMar>
            <w:vAlign w:val="center"/>
          </w:tcPr>
          <w:p w14:paraId="2F44B63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PMDB 5, IPBES, bibliografía revisada por pares</w:t>
            </w:r>
          </w:p>
        </w:tc>
      </w:tr>
      <w:tr w:rsidR="00C05F0F" w:rsidRPr="00D27067" w14:paraId="47E6B052" w14:textId="77777777" w:rsidTr="00C05F0F">
        <w:tc>
          <w:tcPr>
            <w:tcW w:w="4104" w:type="dxa"/>
            <w:tcMar>
              <w:top w:w="15" w:type="dxa"/>
              <w:left w:w="180" w:type="dxa"/>
              <w:right w:w="15" w:type="dxa"/>
            </w:tcMar>
            <w:vAlign w:val="center"/>
          </w:tcPr>
          <w:p w14:paraId="0F23DA55"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key</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messages</w:t>
            </w:r>
            <w:proofErr w:type="spellEnd"/>
          </w:p>
        </w:tc>
        <w:tc>
          <w:tcPr>
            <w:tcW w:w="4770" w:type="dxa"/>
            <w:tcMar>
              <w:top w:w="15" w:type="dxa"/>
              <w:left w:w="180" w:type="dxa"/>
              <w:right w:w="15" w:type="dxa"/>
            </w:tcMar>
            <w:vAlign w:val="center"/>
          </w:tcPr>
          <w:p w14:paraId="46DDD95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Síntesis de los mensajes principales</w:t>
            </w:r>
          </w:p>
        </w:tc>
      </w:tr>
      <w:tr w:rsidR="00C05F0F" w:rsidRPr="00D27067" w14:paraId="20DFD5C7" w14:textId="77777777" w:rsidTr="00C05F0F">
        <w:tc>
          <w:tcPr>
            <w:tcW w:w="4104" w:type="dxa"/>
            <w:tcMar>
              <w:top w:w="15" w:type="dxa"/>
              <w:left w:w="180" w:type="dxa"/>
              <w:right w:w="15" w:type="dxa"/>
            </w:tcMar>
            <w:vAlign w:val="center"/>
          </w:tcPr>
          <w:p w14:paraId="456E77CB"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Narrative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2E056AD2"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descriptivo</w:t>
            </w:r>
          </w:p>
        </w:tc>
      </w:tr>
      <w:tr w:rsidR="00C05F0F" w:rsidRPr="00D27067" w14:paraId="4C42A49A" w14:textId="77777777" w:rsidTr="00C05F0F">
        <w:tc>
          <w:tcPr>
            <w:tcW w:w="4104" w:type="dxa"/>
            <w:tcMar>
              <w:top w:w="15" w:type="dxa"/>
              <w:left w:w="180" w:type="dxa"/>
              <w:right w:w="15" w:type="dxa"/>
            </w:tcMar>
            <w:vAlign w:val="center"/>
          </w:tcPr>
          <w:p w14:paraId="48DA9161"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Review of documents, synthesis and summary</w:t>
            </w:r>
          </w:p>
        </w:tc>
        <w:tc>
          <w:tcPr>
            <w:tcW w:w="4770" w:type="dxa"/>
            <w:tcMar>
              <w:top w:w="15" w:type="dxa"/>
              <w:left w:w="180" w:type="dxa"/>
              <w:right w:w="15" w:type="dxa"/>
            </w:tcMar>
            <w:vAlign w:val="center"/>
          </w:tcPr>
          <w:p w14:paraId="6B9B9F7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Revisión de documentos, síntesis y resumen</w:t>
            </w:r>
          </w:p>
        </w:tc>
      </w:tr>
      <w:tr w:rsidR="00C05F0F" w:rsidRPr="00D27067" w14:paraId="5C605282" w14:textId="77777777" w:rsidTr="00C05F0F">
        <w:tc>
          <w:tcPr>
            <w:tcW w:w="4104" w:type="dxa"/>
            <w:tcMar>
              <w:top w:w="15" w:type="dxa"/>
              <w:left w:w="180" w:type="dxa"/>
              <w:right w:w="15" w:type="dxa"/>
            </w:tcMar>
            <w:vAlign w:val="center"/>
          </w:tcPr>
          <w:p w14:paraId="3B205574"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Context and background of the GR</w:t>
            </w:r>
          </w:p>
        </w:tc>
        <w:tc>
          <w:tcPr>
            <w:tcW w:w="4770" w:type="dxa"/>
            <w:tcMar>
              <w:top w:w="15" w:type="dxa"/>
              <w:left w:w="180" w:type="dxa"/>
              <w:right w:w="15" w:type="dxa"/>
            </w:tcMar>
            <w:vAlign w:val="center"/>
          </w:tcPr>
          <w:p w14:paraId="322BFB9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Contexto y antecedentes del IM</w:t>
            </w:r>
          </w:p>
        </w:tc>
      </w:tr>
      <w:tr w:rsidR="00C05F0F" w:rsidRPr="00D27067" w14:paraId="44A399B1" w14:textId="77777777" w:rsidTr="00C05F0F">
        <w:tc>
          <w:tcPr>
            <w:tcW w:w="4104" w:type="dxa"/>
            <w:tcMar>
              <w:top w:w="15" w:type="dxa"/>
              <w:left w:w="180" w:type="dxa"/>
              <w:right w:w="15" w:type="dxa"/>
            </w:tcMar>
            <w:vAlign w:val="center"/>
          </w:tcPr>
          <w:p w14:paraId="14B91F4C"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Overall status and trends summary</w:t>
            </w:r>
          </w:p>
        </w:tc>
        <w:tc>
          <w:tcPr>
            <w:tcW w:w="4770" w:type="dxa"/>
            <w:tcMar>
              <w:top w:w="15" w:type="dxa"/>
              <w:left w:w="180" w:type="dxa"/>
              <w:right w:w="15" w:type="dxa"/>
            </w:tcMar>
            <w:vAlign w:val="center"/>
          </w:tcPr>
          <w:p w14:paraId="745D917F"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general del estado y las tendencias</w:t>
            </w:r>
          </w:p>
        </w:tc>
      </w:tr>
      <w:tr w:rsidR="00C05F0F" w:rsidRPr="00D27067" w14:paraId="34BEC07A" w14:textId="77777777" w:rsidTr="00C05F0F">
        <w:tc>
          <w:tcPr>
            <w:tcW w:w="4104" w:type="dxa"/>
            <w:tcMar>
              <w:top w:w="15" w:type="dxa"/>
              <w:left w:w="180" w:type="dxa"/>
              <w:right w:w="15" w:type="dxa"/>
            </w:tcMar>
            <w:vAlign w:val="center"/>
          </w:tcPr>
          <w:p w14:paraId="22AF4745"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Summary of status of NBSAPs, NTs, 7NRs and AONG commitments</w:t>
            </w:r>
          </w:p>
        </w:tc>
        <w:tc>
          <w:tcPr>
            <w:tcW w:w="4770" w:type="dxa"/>
            <w:tcMar>
              <w:top w:w="15" w:type="dxa"/>
              <w:left w:w="180" w:type="dxa"/>
              <w:right w:w="15" w:type="dxa"/>
            </w:tcMar>
            <w:vAlign w:val="center"/>
          </w:tcPr>
          <w:p w14:paraId="5F680618"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del estado de las EPANB, MN, 7IN y compromisos de ADGN</w:t>
            </w:r>
          </w:p>
        </w:tc>
      </w:tr>
      <w:tr w:rsidR="00C05F0F" w:rsidRPr="00D27067" w14:paraId="1EB3CC3C" w14:textId="77777777" w:rsidTr="00C05F0F">
        <w:tc>
          <w:tcPr>
            <w:tcW w:w="4104" w:type="dxa"/>
            <w:tcMar>
              <w:top w:w="15" w:type="dxa"/>
              <w:left w:w="180" w:type="dxa"/>
              <w:right w:w="15" w:type="dxa"/>
            </w:tcMar>
            <w:vAlign w:val="center"/>
          </w:tcPr>
          <w:p w14:paraId="12E76594"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IIB. </w:t>
            </w:r>
            <w:proofErr w:type="spellStart"/>
            <w:r w:rsidRPr="00D27067">
              <w:rPr>
                <w:rFonts w:ascii="Aptos" w:eastAsia="Segoe UI" w:hAnsi="Aptos" w:cs="Segoe UI"/>
                <w:color w:val="0F1115"/>
                <w:sz w:val="18"/>
                <w:szCs w:val="18"/>
                <w:lang w:val="es-ES"/>
              </w:rPr>
              <w:t>Progress</w:t>
            </w:r>
            <w:proofErr w:type="spellEnd"/>
            <w:r w:rsidRPr="00D27067">
              <w:rPr>
                <w:rFonts w:ascii="Aptos" w:eastAsia="Segoe UI" w:hAnsi="Aptos" w:cs="Segoe UI"/>
                <w:color w:val="0F1115"/>
                <w:sz w:val="18"/>
                <w:szCs w:val="18"/>
                <w:lang w:val="es-ES"/>
              </w:rPr>
              <w:t xml:space="preserve"> to targets</w:t>
            </w:r>
          </w:p>
        </w:tc>
        <w:tc>
          <w:tcPr>
            <w:tcW w:w="4770" w:type="dxa"/>
            <w:tcMar>
              <w:top w:w="15" w:type="dxa"/>
              <w:left w:w="180" w:type="dxa"/>
              <w:right w:w="15" w:type="dxa"/>
            </w:tcMar>
            <w:vAlign w:val="center"/>
          </w:tcPr>
          <w:p w14:paraId="17B53B62"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IIB. Progresos hacia las metas</w:t>
            </w:r>
          </w:p>
        </w:tc>
      </w:tr>
      <w:tr w:rsidR="00C05F0F" w:rsidRPr="00D27067" w14:paraId="66A77FEE" w14:textId="77777777" w:rsidTr="00C05F0F">
        <w:tc>
          <w:tcPr>
            <w:tcW w:w="4104" w:type="dxa"/>
            <w:tcMar>
              <w:top w:w="15" w:type="dxa"/>
              <w:left w:w="180" w:type="dxa"/>
              <w:right w:w="15" w:type="dxa"/>
            </w:tcMar>
            <w:vAlign w:val="center"/>
          </w:tcPr>
          <w:p w14:paraId="3A94FF1B"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NBSAPs</w:t>
            </w:r>
            <w:proofErr w:type="spellEnd"/>
          </w:p>
        </w:tc>
        <w:tc>
          <w:tcPr>
            <w:tcW w:w="4770" w:type="dxa"/>
            <w:tcMar>
              <w:top w:w="15" w:type="dxa"/>
              <w:left w:w="180" w:type="dxa"/>
              <w:right w:w="15" w:type="dxa"/>
            </w:tcMar>
            <w:vAlign w:val="center"/>
          </w:tcPr>
          <w:p w14:paraId="4417F89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EPANB</w:t>
            </w:r>
          </w:p>
        </w:tc>
      </w:tr>
      <w:tr w:rsidR="00C05F0F" w:rsidRPr="00D27067" w14:paraId="4D0789BB" w14:textId="77777777" w:rsidTr="00C05F0F">
        <w:tc>
          <w:tcPr>
            <w:tcW w:w="4104" w:type="dxa"/>
            <w:tcMar>
              <w:top w:w="15" w:type="dxa"/>
              <w:left w:w="180" w:type="dxa"/>
              <w:right w:w="15" w:type="dxa"/>
            </w:tcMar>
            <w:vAlign w:val="center"/>
          </w:tcPr>
          <w:p w14:paraId="36AC579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NTs</w:t>
            </w:r>
            <w:proofErr w:type="spellEnd"/>
            <w:r w:rsidRPr="00D27067">
              <w:rPr>
                <w:rFonts w:ascii="Aptos" w:eastAsia="Segoe UI" w:hAnsi="Aptos" w:cs="Segoe UI"/>
                <w:color w:val="0F1115"/>
                <w:sz w:val="18"/>
                <w:szCs w:val="18"/>
                <w:lang w:val="es-ES"/>
              </w:rPr>
              <w:t xml:space="preserve">, 7NRs, AONG </w:t>
            </w:r>
            <w:proofErr w:type="spellStart"/>
            <w:r w:rsidRPr="00D27067">
              <w:rPr>
                <w:rFonts w:ascii="Aptos" w:eastAsia="Segoe UI" w:hAnsi="Aptos" w:cs="Segoe UI"/>
                <w:color w:val="0F1115"/>
                <w:sz w:val="18"/>
                <w:szCs w:val="18"/>
                <w:lang w:val="es-ES"/>
              </w:rPr>
              <w:t>commitments</w:t>
            </w:r>
            <w:proofErr w:type="spellEnd"/>
          </w:p>
        </w:tc>
        <w:tc>
          <w:tcPr>
            <w:tcW w:w="4770" w:type="dxa"/>
            <w:tcMar>
              <w:top w:w="15" w:type="dxa"/>
              <w:left w:w="180" w:type="dxa"/>
              <w:right w:w="15" w:type="dxa"/>
            </w:tcMar>
            <w:vAlign w:val="center"/>
          </w:tcPr>
          <w:p w14:paraId="747F26F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MN, 7IN, compromisos de ADGN</w:t>
            </w:r>
          </w:p>
        </w:tc>
      </w:tr>
      <w:tr w:rsidR="00C05F0F" w:rsidRPr="00D27067" w14:paraId="67C8AB13" w14:textId="77777777" w:rsidTr="00C05F0F">
        <w:tc>
          <w:tcPr>
            <w:tcW w:w="4104" w:type="dxa"/>
            <w:tcMar>
              <w:top w:w="15" w:type="dxa"/>
              <w:left w:w="180" w:type="dxa"/>
              <w:right w:w="15" w:type="dxa"/>
            </w:tcMar>
            <w:vAlign w:val="center"/>
          </w:tcPr>
          <w:p w14:paraId="4E327A53"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National targets</w:t>
            </w:r>
          </w:p>
        </w:tc>
        <w:tc>
          <w:tcPr>
            <w:tcW w:w="4770" w:type="dxa"/>
            <w:tcMar>
              <w:top w:w="15" w:type="dxa"/>
              <w:left w:w="180" w:type="dxa"/>
              <w:right w:w="15" w:type="dxa"/>
            </w:tcMar>
            <w:vAlign w:val="center"/>
          </w:tcPr>
          <w:p w14:paraId="43B3E799"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Metas nacionales</w:t>
            </w:r>
          </w:p>
        </w:tc>
      </w:tr>
      <w:tr w:rsidR="00C05F0F" w:rsidRPr="00D27067" w14:paraId="03AF038F" w14:textId="77777777" w:rsidTr="00C05F0F">
        <w:tc>
          <w:tcPr>
            <w:tcW w:w="4104" w:type="dxa"/>
            <w:tcMar>
              <w:top w:w="15" w:type="dxa"/>
              <w:left w:w="180" w:type="dxa"/>
              <w:right w:w="15" w:type="dxa"/>
            </w:tcMar>
            <w:vAlign w:val="center"/>
          </w:tcPr>
          <w:p w14:paraId="01C1D664"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Indicator data (headline, binary, component, complementary and national)</w:t>
            </w:r>
          </w:p>
        </w:tc>
        <w:tc>
          <w:tcPr>
            <w:tcW w:w="4770" w:type="dxa"/>
            <w:tcMar>
              <w:top w:w="15" w:type="dxa"/>
              <w:left w:w="180" w:type="dxa"/>
              <w:right w:w="15" w:type="dxa"/>
            </w:tcMar>
            <w:vAlign w:val="center"/>
          </w:tcPr>
          <w:p w14:paraId="431E7D0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Datos de los indicadores (de cabecera, binarios, de componentes, complementarios y nacionales)</w:t>
            </w:r>
          </w:p>
        </w:tc>
      </w:tr>
      <w:tr w:rsidR="00C05F0F" w:rsidRPr="00D27067" w14:paraId="1A823890" w14:textId="77777777" w:rsidTr="00C05F0F">
        <w:tc>
          <w:tcPr>
            <w:tcW w:w="4104" w:type="dxa"/>
            <w:tcMar>
              <w:top w:w="15" w:type="dxa"/>
              <w:left w:w="180" w:type="dxa"/>
              <w:right w:w="15" w:type="dxa"/>
            </w:tcMar>
            <w:vAlign w:val="center"/>
          </w:tcPr>
          <w:p w14:paraId="5DD8A177"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Self-</w:t>
            </w:r>
            <w:proofErr w:type="spellStart"/>
            <w:r w:rsidRPr="00D27067">
              <w:rPr>
                <w:rFonts w:ascii="Aptos" w:eastAsia="Segoe UI" w:hAnsi="Aptos" w:cs="Segoe UI"/>
                <w:color w:val="0F1115"/>
                <w:sz w:val="18"/>
                <w:szCs w:val="18"/>
                <w:lang w:val="es-ES"/>
              </w:rPr>
              <w:t>assessment</w:t>
            </w:r>
            <w:proofErr w:type="spellEnd"/>
            <w:r w:rsidRPr="00D27067">
              <w:rPr>
                <w:rFonts w:ascii="Aptos" w:eastAsia="Segoe UI" w:hAnsi="Aptos" w:cs="Segoe UI"/>
                <w:color w:val="0F1115"/>
                <w:sz w:val="18"/>
                <w:szCs w:val="18"/>
                <w:lang w:val="es-ES"/>
              </w:rPr>
              <w:t xml:space="preserve"> data</w:t>
            </w:r>
          </w:p>
        </w:tc>
        <w:tc>
          <w:tcPr>
            <w:tcW w:w="4770" w:type="dxa"/>
            <w:tcMar>
              <w:top w:w="15" w:type="dxa"/>
              <w:left w:w="180" w:type="dxa"/>
              <w:right w:w="15" w:type="dxa"/>
            </w:tcMar>
            <w:vAlign w:val="center"/>
          </w:tcPr>
          <w:p w14:paraId="707A2FA1"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Datos de autoevaluación</w:t>
            </w:r>
          </w:p>
        </w:tc>
      </w:tr>
      <w:tr w:rsidR="00C05F0F" w:rsidRPr="00D27067" w14:paraId="0CAFB758" w14:textId="77777777" w:rsidTr="00C05F0F">
        <w:tc>
          <w:tcPr>
            <w:tcW w:w="4104" w:type="dxa"/>
            <w:tcMar>
              <w:top w:w="15" w:type="dxa"/>
              <w:left w:w="180" w:type="dxa"/>
              <w:right w:w="15" w:type="dxa"/>
            </w:tcMar>
            <w:vAlign w:val="center"/>
          </w:tcPr>
          <w:p w14:paraId="4C28B2BD"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Text-based sections of 7NR</w:t>
            </w:r>
          </w:p>
        </w:tc>
        <w:tc>
          <w:tcPr>
            <w:tcW w:w="4770" w:type="dxa"/>
            <w:tcMar>
              <w:top w:w="15" w:type="dxa"/>
              <w:left w:w="180" w:type="dxa"/>
              <w:right w:w="15" w:type="dxa"/>
            </w:tcMar>
            <w:vAlign w:val="center"/>
          </w:tcPr>
          <w:p w14:paraId="750CF213"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Secciones de texto de los 7IN</w:t>
            </w:r>
          </w:p>
        </w:tc>
      </w:tr>
      <w:tr w:rsidR="00C05F0F" w:rsidRPr="00D27067" w14:paraId="73BCABFD" w14:textId="77777777" w:rsidTr="00C05F0F">
        <w:tc>
          <w:tcPr>
            <w:tcW w:w="4104" w:type="dxa"/>
            <w:tcMar>
              <w:top w:w="15" w:type="dxa"/>
              <w:left w:w="180" w:type="dxa"/>
              <w:right w:w="15" w:type="dxa"/>
            </w:tcMar>
            <w:vAlign w:val="center"/>
          </w:tcPr>
          <w:p w14:paraId="05DB7AFC"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IIC. </w:t>
            </w:r>
            <w:proofErr w:type="spellStart"/>
            <w:r w:rsidRPr="00D27067">
              <w:rPr>
                <w:rFonts w:ascii="Aptos" w:eastAsia="Segoe UI" w:hAnsi="Aptos" w:cs="Segoe UI"/>
                <w:color w:val="0F1115"/>
                <w:sz w:val="18"/>
                <w:szCs w:val="18"/>
                <w:lang w:val="es-ES"/>
              </w:rPr>
              <w:t>Progress</w:t>
            </w:r>
            <w:proofErr w:type="spellEnd"/>
            <w:r w:rsidRPr="00D27067">
              <w:rPr>
                <w:rFonts w:ascii="Aptos" w:eastAsia="Segoe UI" w:hAnsi="Aptos" w:cs="Segoe UI"/>
                <w:color w:val="0F1115"/>
                <w:sz w:val="18"/>
                <w:szCs w:val="18"/>
                <w:lang w:val="es-ES"/>
              </w:rPr>
              <w:t xml:space="preserve"> to </w:t>
            </w:r>
            <w:proofErr w:type="spellStart"/>
            <w:r w:rsidRPr="00D27067">
              <w:rPr>
                <w:rFonts w:ascii="Aptos" w:eastAsia="Segoe UI" w:hAnsi="Aptos" w:cs="Segoe UI"/>
                <w:color w:val="0F1115"/>
                <w:sz w:val="18"/>
                <w:szCs w:val="18"/>
                <w:lang w:val="es-ES"/>
              </w:rPr>
              <w:t>goals</w:t>
            </w:r>
            <w:proofErr w:type="spellEnd"/>
          </w:p>
        </w:tc>
        <w:tc>
          <w:tcPr>
            <w:tcW w:w="4770" w:type="dxa"/>
            <w:tcMar>
              <w:top w:w="15" w:type="dxa"/>
              <w:left w:w="180" w:type="dxa"/>
              <w:right w:w="15" w:type="dxa"/>
            </w:tcMar>
            <w:vAlign w:val="center"/>
          </w:tcPr>
          <w:p w14:paraId="6F9CF70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IIC. Progresos hacia los objetivos</w:t>
            </w:r>
          </w:p>
        </w:tc>
      </w:tr>
      <w:tr w:rsidR="00C05F0F" w:rsidRPr="00D27067" w14:paraId="002EE77A" w14:textId="77777777" w:rsidTr="00C05F0F">
        <w:tc>
          <w:tcPr>
            <w:tcW w:w="4104" w:type="dxa"/>
            <w:tcMar>
              <w:top w:w="15" w:type="dxa"/>
              <w:left w:w="180" w:type="dxa"/>
              <w:right w:w="15" w:type="dxa"/>
            </w:tcMar>
            <w:vAlign w:val="center"/>
          </w:tcPr>
          <w:p w14:paraId="492EF4F9"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AONG </w:t>
            </w:r>
            <w:proofErr w:type="spellStart"/>
            <w:r w:rsidRPr="00D27067">
              <w:rPr>
                <w:rFonts w:ascii="Aptos" w:eastAsia="Segoe UI" w:hAnsi="Aptos" w:cs="Segoe UI"/>
                <w:color w:val="0F1115"/>
                <w:sz w:val="18"/>
                <w:szCs w:val="18"/>
                <w:lang w:val="es-ES"/>
              </w:rPr>
              <w:t>commitments</w:t>
            </w:r>
            <w:proofErr w:type="spellEnd"/>
          </w:p>
        </w:tc>
        <w:tc>
          <w:tcPr>
            <w:tcW w:w="4770" w:type="dxa"/>
            <w:tcMar>
              <w:top w:w="15" w:type="dxa"/>
              <w:left w:w="180" w:type="dxa"/>
              <w:right w:w="15" w:type="dxa"/>
            </w:tcMar>
            <w:vAlign w:val="center"/>
          </w:tcPr>
          <w:p w14:paraId="4728B83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Compromisos de ADGN</w:t>
            </w:r>
          </w:p>
        </w:tc>
      </w:tr>
      <w:tr w:rsidR="00C05F0F" w:rsidRPr="00D27067" w14:paraId="58FF0ECA" w14:textId="77777777" w:rsidTr="00C05F0F">
        <w:tc>
          <w:tcPr>
            <w:tcW w:w="4104" w:type="dxa"/>
            <w:tcMar>
              <w:top w:w="15" w:type="dxa"/>
              <w:left w:w="180" w:type="dxa"/>
              <w:right w:w="15" w:type="dxa"/>
            </w:tcMar>
            <w:vAlign w:val="center"/>
          </w:tcPr>
          <w:p w14:paraId="2CD09480"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Submissions provided in response to notification No. 2025-099 and other sources listed in decision 16/32</w:t>
            </w:r>
          </w:p>
        </w:tc>
        <w:tc>
          <w:tcPr>
            <w:tcW w:w="4770" w:type="dxa"/>
            <w:tcMar>
              <w:top w:w="15" w:type="dxa"/>
              <w:left w:w="180" w:type="dxa"/>
              <w:right w:w="15" w:type="dxa"/>
            </w:tcMar>
            <w:vAlign w:val="center"/>
          </w:tcPr>
          <w:p w14:paraId="3C7B15C6"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Presentaciones realizadas en respuesta a la notificación núm. 2025-099 y otras fuentes enumeradas en la decisión 16/32</w:t>
            </w:r>
          </w:p>
        </w:tc>
      </w:tr>
      <w:tr w:rsidR="00C05F0F" w:rsidRPr="00D27067" w14:paraId="13E27AD5" w14:textId="77777777" w:rsidTr="00C05F0F">
        <w:tc>
          <w:tcPr>
            <w:tcW w:w="4104" w:type="dxa"/>
            <w:tcMar>
              <w:top w:w="15" w:type="dxa"/>
              <w:left w:w="180" w:type="dxa"/>
              <w:right w:w="15" w:type="dxa"/>
            </w:tcMar>
            <w:vAlign w:val="center"/>
          </w:tcPr>
          <w:p w14:paraId="03C0118B"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National targets</w:t>
            </w:r>
          </w:p>
        </w:tc>
        <w:tc>
          <w:tcPr>
            <w:tcW w:w="4770" w:type="dxa"/>
            <w:tcMar>
              <w:top w:w="15" w:type="dxa"/>
              <w:left w:w="180" w:type="dxa"/>
              <w:right w:w="15" w:type="dxa"/>
            </w:tcMar>
            <w:vAlign w:val="center"/>
          </w:tcPr>
          <w:p w14:paraId="6E03691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Metas nacionales</w:t>
            </w:r>
          </w:p>
        </w:tc>
      </w:tr>
      <w:tr w:rsidR="00C05F0F" w:rsidRPr="00D27067" w14:paraId="395197A9" w14:textId="77777777" w:rsidTr="00C05F0F">
        <w:tc>
          <w:tcPr>
            <w:tcW w:w="4104" w:type="dxa"/>
            <w:tcMar>
              <w:top w:w="15" w:type="dxa"/>
              <w:left w:w="180" w:type="dxa"/>
              <w:right w:w="15" w:type="dxa"/>
            </w:tcMar>
            <w:vAlign w:val="center"/>
          </w:tcPr>
          <w:p w14:paraId="73EB2E80"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Qualitative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analysis</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annex</w:t>
            </w:r>
            <w:proofErr w:type="spellEnd"/>
            <w:r w:rsidRPr="00D27067">
              <w:rPr>
                <w:rFonts w:ascii="Aptos" w:eastAsia="Segoe UI" w:hAnsi="Aptos" w:cs="Segoe UI"/>
                <w:color w:val="0F1115"/>
                <w:sz w:val="18"/>
                <w:szCs w:val="18"/>
                <w:lang w:val="es-ES"/>
              </w:rPr>
              <w:t xml:space="preserve"> A)</w:t>
            </w:r>
          </w:p>
        </w:tc>
        <w:tc>
          <w:tcPr>
            <w:tcW w:w="4770" w:type="dxa"/>
            <w:tcMar>
              <w:top w:w="15" w:type="dxa"/>
              <w:left w:w="180" w:type="dxa"/>
              <w:right w:w="15" w:type="dxa"/>
            </w:tcMar>
            <w:vAlign w:val="center"/>
          </w:tcPr>
          <w:p w14:paraId="40D4A884"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cualitativo (anexo A)</w:t>
            </w:r>
          </w:p>
        </w:tc>
      </w:tr>
      <w:tr w:rsidR="00C05F0F" w:rsidRPr="00D27067" w14:paraId="766B9A04" w14:textId="77777777" w:rsidTr="00C05F0F">
        <w:tc>
          <w:tcPr>
            <w:tcW w:w="4104" w:type="dxa"/>
            <w:tcMar>
              <w:top w:w="15" w:type="dxa"/>
              <w:left w:w="180" w:type="dxa"/>
              <w:right w:w="15" w:type="dxa"/>
            </w:tcMar>
            <w:vAlign w:val="center"/>
          </w:tcPr>
          <w:p w14:paraId="0832A2B9"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overall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counts</w:t>
            </w:r>
            <w:proofErr w:type="spellEnd"/>
          </w:p>
        </w:tc>
        <w:tc>
          <w:tcPr>
            <w:tcW w:w="4770" w:type="dxa"/>
            <w:tcMar>
              <w:top w:w="15" w:type="dxa"/>
              <w:left w:w="180" w:type="dxa"/>
              <w:right w:w="15" w:type="dxa"/>
            </w:tcMar>
            <w:vAlign w:val="center"/>
          </w:tcPr>
          <w:p w14:paraId="34B748A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Síntesis y cifras generales</w:t>
            </w:r>
          </w:p>
        </w:tc>
      </w:tr>
      <w:tr w:rsidR="00C05F0F" w:rsidRPr="00D27067" w14:paraId="3A720991" w14:textId="77777777" w:rsidTr="00C05F0F">
        <w:tc>
          <w:tcPr>
            <w:tcW w:w="4104" w:type="dxa"/>
            <w:tcMar>
              <w:top w:w="15" w:type="dxa"/>
              <w:left w:w="180" w:type="dxa"/>
              <w:right w:w="15" w:type="dxa"/>
            </w:tcMar>
            <w:vAlign w:val="center"/>
          </w:tcPr>
          <w:p w14:paraId="424B7C9D"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NT coverage analysis (annex C)</w:t>
            </w:r>
          </w:p>
        </w:tc>
        <w:tc>
          <w:tcPr>
            <w:tcW w:w="4770" w:type="dxa"/>
            <w:tcMar>
              <w:top w:w="15" w:type="dxa"/>
              <w:left w:w="180" w:type="dxa"/>
              <w:right w:w="15" w:type="dxa"/>
            </w:tcMar>
            <w:vAlign w:val="center"/>
          </w:tcPr>
          <w:p w14:paraId="1441C6BD"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de la cobertura de las MN (anexo C)</w:t>
            </w:r>
          </w:p>
        </w:tc>
      </w:tr>
      <w:tr w:rsidR="00C05F0F" w:rsidRPr="00D27067" w14:paraId="2AA6909E" w14:textId="77777777" w:rsidTr="00C05F0F">
        <w:tc>
          <w:tcPr>
            <w:tcW w:w="4104" w:type="dxa"/>
            <w:tcMar>
              <w:top w:w="15" w:type="dxa"/>
              <w:left w:w="180" w:type="dxa"/>
              <w:right w:w="15" w:type="dxa"/>
            </w:tcMar>
            <w:vAlign w:val="center"/>
          </w:tcPr>
          <w:p w14:paraId="62526015"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Analysis of indicators (annex D)</w:t>
            </w:r>
          </w:p>
        </w:tc>
        <w:tc>
          <w:tcPr>
            <w:tcW w:w="4770" w:type="dxa"/>
            <w:tcMar>
              <w:top w:w="15" w:type="dxa"/>
              <w:left w:w="180" w:type="dxa"/>
              <w:right w:w="15" w:type="dxa"/>
            </w:tcMar>
            <w:vAlign w:val="center"/>
          </w:tcPr>
          <w:p w14:paraId="57A33149"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de los indicadores (anexo D)</w:t>
            </w:r>
          </w:p>
        </w:tc>
      </w:tr>
      <w:tr w:rsidR="00C05F0F" w:rsidRPr="00D27067" w14:paraId="02DBAB5B" w14:textId="77777777" w:rsidTr="00C05F0F">
        <w:tc>
          <w:tcPr>
            <w:tcW w:w="4104" w:type="dxa"/>
            <w:tcMar>
              <w:top w:w="15" w:type="dxa"/>
              <w:left w:w="180" w:type="dxa"/>
              <w:right w:w="15" w:type="dxa"/>
            </w:tcMar>
            <w:vAlign w:val="center"/>
          </w:tcPr>
          <w:p w14:paraId="454315F3"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Headline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48CD30F3"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Indicadores de cabecera</w:t>
            </w:r>
          </w:p>
        </w:tc>
      </w:tr>
      <w:tr w:rsidR="00C05F0F" w:rsidRPr="00D27067" w14:paraId="0ACB913A" w14:textId="77777777" w:rsidTr="00C05F0F">
        <w:tc>
          <w:tcPr>
            <w:tcW w:w="4104" w:type="dxa"/>
            <w:tcMar>
              <w:top w:w="15" w:type="dxa"/>
              <w:left w:w="180" w:type="dxa"/>
              <w:right w:w="15" w:type="dxa"/>
            </w:tcMar>
            <w:vAlign w:val="center"/>
          </w:tcPr>
          <w:p w14:paraId="5A82B939"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Binary</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6443742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Indicadores binarios</w:t>
            </w:r>
          </w:p>
        </w:tc>
      </w:tr>
      <w:tr w:rsidR="00C05F0F" w:rsidRPr="00D27067" w14:paraId="7FAC5179" w14:textId="77777777" w:rsidTr="00C05F0F">
        <w:tc>
          <w:tcPr>
            <w:tcW w:w="4104" w:type="dxa"/>
            <w:tcMar>
              <w:top w:w="15" w:type="dxa"/>
              <w:left w:w="180" w:type="dxa"/>
              <w:right w:w="15" w:type="dxa"/>
            </w:tcMar>
            <w:vAlign w:val="center"/>
          </w:tcPr>
          <w:p w14:paraId="11DD56D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All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quantitative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3AC3AC0D"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Todos los indicadores cuantitativos</w:t>
            </w:r>
          </w:p>
        </w:tc>
      </w:tr>
      <w:tr w:rsidR="00C05F0F" w:rsidRPr="00D27067" w14:paraId="0EF17916" w14:textId="77777777" w:rsidTr="00C05F0F">
        <w:tc>
          <w:tcPr>
            <w:tcW w:w="4104" w:type="dxa"/>
            <w:tcMar>
              <w:top w:w="15" w:type="dxa"/>
              <w:left w:w="180" w:type="dxa"/>
              <w:right w:w="15" w:type="dxa"/>
            </w:tcMar>
            <w:vAlign w:val="center"/>
          </w:tcPr>
          <w:p w14:paraId="7BD70EFF"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Self-assessment analysis (annex E)</w:t>
            </w:r>
          </w:p>
        </w:tc>
        <w:tc>
          <w:tcPr>
            <w:tcW w:w="4770" w:type="dxa"/>
            <w:tcMar>
              <w:top w:w="15" w:type="dxa"/>
              <w:left w:w="180" w:type="dxa"/>
              <w:right w:w="15" w:type="dxa"/>
            </w:tcMar>
            <w:vAlign w:val="center"/>
          </w:tcPr>
          <w:p w14:paraId="022635F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de autoevaluación (anexo E)</w:t>
            </w:r>
          </w:p>
        </w:tc>
      </w:tr>
      <w:tr w:rsidR="00C05F0F" w:rsidRPr="00D27067" w14:paraId="247AF971" w14:textId="77777777" w:rsidTr="00C05F0F">
        <w:tc>
          <w:tcPr>
            <w:tcW w:w="4104" w:type="dxa"/>
            <w:tcMar>
              <w:top w:w="15" w:type="dxa"/>
              <w:left w:w="180" w:type="dxa"/>
              <w:right w:w="15" w:type="dxa"/>
            </w:tcMar>
            <w:vAlign w:val="center"/>
          </w:tcPr>
          <w:p w14:paraId="19E91A6F"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Semantic analysis and synthesis (annex F)</w:t>
            </w:r>
          </w:p>
        </w:tc>
        <w:tc>
          <w:tcPr>
            <w:tcW w:w="4770" w:type="dxa"/>
            <w:tcMar>
              <w:top w:w="15" w:type="dxa"/>
              <w:left w:w="180" w:type="dxa"/>
              <w:right w:w="15" w:type="dxa"/>
            </w:tcMar>
            <w:vAlign w:val="center"/>
          </w:tcPr>
          <w:p w14:paraId="2BC0F4C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semántico y síntesis (anexo F)</w:t>
            </w:r>
          </w:p>
        </w:tc>
      </w:tr>
      <w:tr w:rsidR="00C05F0F" w:rsidRPr="00D27067" w14:paraId="496C4D50" w14:textId="77777777" w:rsidTr="00C05F0F">
        <w:tc>
          <w:tcPr>
            <w:tcW w:w="4104" w:type="dxa"/>
            <w:tcMar>
              <w:top w:w="15" w:type="dxa"/>
              <w:left w:w="180" w:type="dxa"/>
              <w:right w:w="15" w:type="dxa"/>
            </w:tcMar>
            <w:vAlign w:val="center"/>
          </w:tcPr>
          <w:p w14:paraId="15AA3A39"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Case study co-development (annex G)</w:t>
            </w:r>
          </w:p>
        </w:tc>
        <w:tc>
          <w:tcPr>
            <w:tcW w:w="4770" w:type="dxa"/>
            <w:tcMar>
              <w:top w:w="15" w:type="dxa"/>
              <w:left w:w="180" w:type="dxa"/>
              <w:right w:w="15" w:type="dxa"/>
            </w:tcMar>
            <w:vAlign w:val="center"/>
          </w:tcPr>
          <w:p w14:paraId="40BDB8E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Elaboración conjunta de estudio de caso (anexo G)</w:t>
            </w:r>
          </w:p>
        </w:tc>
      </w:tr>
      <w:tr w:rsidR="00C05F0F" w:rsidRPr="00D27067" w14:paraId="6A434148" w14:textId="77777777" w:rsidTr="00C05F0F">
        <w:tc>
          <w:tcPr>
            <w:tcW w:w="4104" w:type="dxa"/>
            <w:tcMar>
              <w:top w:w="15" w:type="dxa"/>
              <w:left w:w="180" w:type="dxa"/>
              <w:right w:w="15" w:type="dxa"/>
            </w:tcMar>
            <w:vAlign w:val="center"/>
          </w:tcPr>
          <w:p w14:paraId="337E2433"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Semantic analysis and synthesis (annex B)</w:t>
            </w:r>
          </w:p>
        </w:tc>
        <w:tc>
          <w:tcPr>
            <w:tcW w:w="4770" w:type="dxa"/>
            <w:tcMar>
              <w:top w:w="15" w:type="dxa"/>
              <w:left w:w="180" w:type="dxa"/>
              <w:right w:w="15" w:type="dxa"/>
            </w:tcMar>
            <w:vAlign w:val="center"/>
          </w:tcPr>
          <w:p w14:paraId="27906A1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semántico y síntesis (anexo B)</w:t>
            </w:r>
          </w:p>
        </w:tc>
      </w:tr>
      <w:tr w:rsidR="00C05F0F" w:rsidRPr="00D27067" w14:paraId="0ACD6B57" w14:textId="77777777" w:rsidTr="00C05F0F">
        <w:tc>
          <w:tcPr>
            <w:tcW w:w="4104" w:type="dxa"/>
            <w:tcMar>
              <w:top w:w="15" w:type="dxa"/>
              <w:left w:w="180" w:type="dxa"/>
              <w:right w:w="15" w:type="dxa"/>
            </w:tcMar>
            <w:vAlign w:val="center"/>
          </w:tcPr>
          <w:p w14:paraId="0E4CB43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Review</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281A0F6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Revisión, síntesis y resumen</w:t>
            </w:r>
          </w:p>
        </w:tc>
      </w:tr>
      <w:tr w:rsidR="00C05F0F" w:rsidRPr="00D27067" w14:paraId="794E6446" w14:textId="77777777" w:rsidTr="00C05F0F">
        <w:tc>
          <w:tcPr>
            <w:tcW w:w="4104" w:type="dxa"/>
            <w:tcMar>
              <w:top w:w="15" w:type="dxa"/>
              <w:left w:w="180" w:type="dxa"/>
              <w:right w:w="15" w:type="dxa"/>
            </w:tcMar>
            <w:vAlign w:val="center"/>
          </w:tcPr>
          <w:p w14:paraId="3B895CC7"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Element </w:t>
            </w:r>
            <w:proofErr w:type="spellStart"/>
            <w:r w:rsidRPr="00D27067">
              <w:rPr>
                <w:rFonts w:ascii="Aptos" w:eastAsia="Segoe UI" w:hAnsi="Aptos" w:cs="Segoe UI"/>
                <w:color w:val="0F1115"/>
                <w:sz w:val="18"/>
                <w:szCs w:val="18"/>
                <w:lang w:val="es-ES"/>
              </w:rPr>
              <w:t>coverage</w:t>
            </w:r>
            <w:proofErr w:type="spellEnd"/>
            <w:r w:rsidRPr="00D27067">
              <w:rPr>
                <w:rFonts w:ascii="Aptos" w:eastAsia="Segoe UI" w:hAnsi="Aptos" w:cs="Segoe UI"/>
                <w:color w:val="0F1115"/>
                <w:sz w:val="18"/>
                <w:szCs w:val="18"/>
                <w:lang w:val="es-ES"/>
              </w:rPr>
              <w:t xml:space="preserve"> table</w:t>
            </w:r>
          </w:p>
        </w:tc>
        <w:tc>
          <w:tcPr>
            <w:tcW w:w="4770" w:type="dxa"/>
            <w:tcMar>
              <w:top w:w="15" w:type="dxa"/>
              <w:left w:w="180" w:type="dxa"/>
              <w:right w:w="15" w:type="dxa"/>
            </w:tcMar>
            <w:vAlign w:val="center"/>
          </w:tcPr>
          <w:p w14:paraId="42C777D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Cuadro de cobertura de los elementos</w:t>
            </w:r>
          </w:p>
        </w:tc>
      </w:tr>
      <w:tr w:rsidR="00C05F0F" w:rsidRPr="00D27067" w14:paraId="3DB2473C" w14:textId="77777777" w:rsidTr="00C05F0F">
        <w:tc>
          <w:tcPr>
            <w:tcW w:w="4104" w:type="dxa"/>
            <w:tcMar>
              <w:top w:w="15" w:type="dxa"/>
              <w:left w:w="180" w:type="dxa"/>
              <w:right w:w="15" w:type="dxa"/>
            </w:tcMar>
            <w:vAlign w:val="center"/>
          </w:tcPr>
          <w:p w14:paraId="2948A96D"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Headline</w:t>
            </w:r>
            <w:proofErr w:type="spellEnd"/>
            <w:r w:rsidRPr="00D27067">
              <w:rPr>
                <w:rFonts w:ascii="Aptos" w:eastAsia="Segoe UI" w:hAnsi="Aptos" w:cs="Segoe UI"/>
                <w:color w:val="0F1115"/>
                <w:sz w:val="18"/>
                <w:szCs w:val="18"/>
                <w:lang w:val="es-ES"/>
              </w:rPr>
              <w:t xml:space="preserve"> </w:t>
            </w:r>
            <w:proofErr w:type="gramStart"/>
            <w:r w:rsidRPr="00D27067">
              <w:rPr>
                <w:rFonts w:ascii="Aptos" w:eastAsia="Segoe UI" w:hAnsi="Aptos" w:cs="Segoe UI"/>
                <w:color w:val="0F1115"/>
                <w:sz w:val="18"/>
                <w:szCs w:val="18"/>
                <w:lang w:val="es-ES"/>
              </w:rPr>
              <w:t>status</w:t>
            </w:r>
            <w:proofErr w:type="gram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trends</w:t>
            </w:r>
            <w:proofErr w:type="spellEnd"/>
          </w:p>
        </w:tc>
        <w:tc>
          <w:tcPr>
            <w:tcW w:w="4770" w:type="dxa"/>
            <w:tcMar>
              <w:top w:w="15" w:type="dxa"/>
              <w:left w:w="180" w:type="dxa"/>
              <w:right w:w="15" w:type="dxa"/>
            </w:tcMar>
            <w:vAlign w:val="center"/>
          </w:tcPr>
          <w:p w14:paraId="0818E267"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Estado y tendencias de los indicadores de cabecera</w:t>
            </w:r>
          </w:p>
        </w:tc>
      </w:tr>
      <w:tr w:rsidR="00C05F0F" w:rsidRPr="00D27067" w14:paraId="76340BEE" w14:textId="77777777" w:rsidTr="00C05F0F">
        <w:tc>
          <w:tcPr>
            <w:tcW w:w="4104" w:type="dxa"/>
            <w:tcMar>
              <w:top w:w="15" w:type="dxa"/>
              <w:left w:w="180" w:type="dxa"/>
              <w:right w:w="15" w:type="dxa"/>
            </w:tcMar>
            <w:vAlign w:val="center"/>
          </w:tcPr>
          <w:p w14:paraId="378B8296"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Binary</w:t>
            </w:r>
            <w:proofErr w:type="spellEnd"/>
            <w:r w:rsidRPr="00D27067">
              <w:rPr>
                <w:rFonts w:ascii="Aptos" w:eastAsia="Segoe UI" w:hAnsi="Aptos" w:cs="Segoe UI"/>
                <w:color w:val="0F1115"/>
                <w:sz w:val="18"/>
                <w:szCs w:val="18"/>
                <w:lang w:val="es-ES"/>
              </w:rPr>
              <w:t xml:space="preserve"> scores</w:t>
            </w:r>
          </w:p>
        </w:tc>
        <w:tc>
          <w:tcPr>
            <w:tcW w:w="4770" w:type="dxa"/>
            <w:tcMar>
              <w:top w:w="15" w:type="dxa"/>
              <w:left w:w="180" w:type="dxa"/>
              <w:right w:w="15" w:type="dxa"/>
            </w:tcMar>
            <w:vAlign w:val="center"/>
          </w:tcPr>
          <w:p w14:paraId="637AB9B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Puntuaciones de los indicadores binarios</w:t>
            </w:r>
          </w:p>
        </w:tc>
      </w:tr>
      <w:tr w:rsidR="00C05F0F" w:rsidRPr="00D27067" w14:paraId="2E56F8CE" w14:textId="77777777" w:rsidTr="00C05F0F">
        <w:tc>
          <w:tcPr>
            <w:tcW w:w="4104" w:type="dxa"/>
            <w:tcMar>
              <w:top w:w="15" w:type="dxa"/>
              <w:left w:w="180" w:type="dxa"/>
              <w:right w:w="15" w:type="dxa"/>
            </w:tcMar>
            <w:vAlign w:val="center"/>
          </w:tcPr>
          <w:p w14:paraId="21543B3D"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Trends</w:t>
            </w:r>
            <w:proofErr w:type="spellEnd"/>
            <w:r w:rsidRPr="00D27067">
              <w:rPr>
                <w:rFonts w:ascii="Aptos" w:eastAsia="Segoe UI" w:hAnsi="Aptos" w:cs="Segoe UI"/>
                <w:color w:val="0F1115"/>
                <w:sz w:val="18"/>
                <w:szCs w:val="18"/>
                <w:lang w:val="es-ES"/>
              </w:rPr>
              <w:t xml:space="preserve"> in </w:t>
            </w:r>
            <w:proofErr w:type="spellStart"/>
            <w:r w:rsidRPr="00D27067">
              <w:rPr>
                <w:rFonts w:ascii="Aptos" w:eastAsia="Segoe UI" w:hAnsi="Aptos" w:cs="Segoe UI"/>
                <w:color w:val="0F1115"/>
                <w:sz w:val="18"/>
                <w:szCs w:val="18"/>
                <w:lang w:val="es-ES"/>
              </w:rPr>
              <w:t>quantitative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1E6546B9"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Tendencias de los indicadores cuantitativos</w:t>
            </w:r>
          </w:p>
        </w:tc>
      </w:tr>
      <w:tr w:rsidR="00C05F0F" w:rsidRPr="00D27067" w14:paraId="54E5CF36" w14:textId="77777777" w:rsidTr="00C05F0F">
        <w:tc>
          <w:tcPr>
            <w:tcW w:w="4104" w:type="dxa"/>
            <w:tcMar>
              <w:top w:w="15" w:type="dxa"/>
              <w:left w:w="180" w:type="dxa"/>
              <w:right w:w="15" w:type="dxa"/>
            </w:tcMar>
            <w:vAlign w:val="center"/>
          </w:tcPr>
          <w:p w14:paraId="159CBB53"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NT </w:t>
            </w:r>
            <w:proofErr w:type="spellStart"/>
            <w:r w:rsidRPr="00D27067">
              <w:rPr>
                <w:rFonts w:ascii="Aptos" w:eastAsia="Segoe UI" w:hAnsi="Aptos" w:cs="Segoe UI"/>
                <w:color w:val="0F1115"/>
                <w:sz w:val="18"/>
                <w:szCs w:val="18"/>
                <w:lang w:val="es-ES"/>
              </w:rPr>
              <w:t>progress</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31A9A9D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 los progresos hacia las MN</w:t>
            </w:r>
          </w:p>
        </w:tc>
      </w:tr>
      <w:tr w:rsidR="00C05F0F" w:rsidRPr="00D27067" w14:paraId="32523077" w14:textId="77777777" w:rsidTr="00C05F0F">
        <w:tc>
          <w:tcPr>
            <w:tcW w:w="4104" w:type="dxa"/>
            <w:tcMar>
              <w:top w:w="15" w:type="dxa"/>
              <w:left w:w="180" w:type="dxa"/>
              <w:right w:w="15" w:type="dxa"/>
            </w:tcMar>
            <w:vAlign w:val="center"/>
          </w:tcPr>
          <w:p w14:paraId="4F60DE15"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Summaries of (a) actions, successes and challenges and (b) AONG contributions</w:t>
            </w:r>
          </w:p>
        </w:tc>
        <w:tc>
          <w:tcPr>
            <w:tcW w:w="4770" w:type="dxa"/>
            <w:tcMar>
              <w:top w:w="15" w:type="dxa"/>
              <w:left w:w="180" w:type="dxa"/>
              <w:right w:w="15" w:type="dxa"/>
            </w:tcMar>
            <w:vAlign w:val="center"/>
          </w:tcPr>
          <w:p w14:paraId="419954A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Resúmenes de a) medidas, logros y desafíos y b) contribuciones de ADGN</w:t>
            </w:r>
          </w:p>
        </w:tc>
      </w:tr>
      <w:tr w:rsidR="00C05F0F" w:rsidRPr="00D27067" w14:paraId="64CC9264" w14:textId="77777777" w:rsidTr="00C05F0F">
        <w:tc>
          <w:tcPr>
            <w:tcW w:w="4104" w:type="dxa"/>
            <w:tcMar>
              <w:top w:w="15" w:type="dxa"/>
              <w:left w:w="180" w:type="dxa"/>
              <w:right w:w="15" w:type="dxa"/>
            </w:tcMar>
            <w:vAlign w:val="center"/>
          </w:tcPr>
          <w:p w14:paraId="7EA05B53"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 xml:space="preserve">Case studies and boxed examples </w:t>
            </w:r>
          </w:p>
        </w:tc>
        <w:tc>
          <w:tcPr>
            <w:tcW w:w="4770" w:type="dxa"/>
            <w:tcMar>
              <w:top w:w="15" w:type="dxa"/>
              <w:left w:w="180" w:type="dxa"/>
              <w:right w:w="15" w:type="dxa"/>
            </w:tcMar>
            <w:vAlign w:val="center"/>
          </w:tcPr>
          <w:p w14:paraId="4EEC92E7"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Estudios de casos y ejemplos en recuadros</w:t>
            </w:r>
          </w:p>
        </w:tc>
      </w:tr>
      <w:tr w:rsidR="00C05F0F" w:rsidRPr="00D27067" w14:paraId="1E71A6D5" w14:textId="77777777" w:rsidTr="00C05F0F">
        <w:tc>
          <w:tcPr>
            <w:tcW w:w="4104" w:type="dxa"/>
            <w:tcMar>
              <w:top w:w="15" w:type="dxa"/>
              <w:left w:w="180" w:type="dxa"/>
              <w:right w:w="15" w:type="dxa"/>
            </w:tcMar>
            <w:vAlign w:val="center"/>
          </w:tcPr>
          <w:p w14:paraId="31007BEC"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Summary</w:t>
            </w:r>
            <w:proofErr w:type="spellEnd"/>
            <w:r w:rsidRPr="00D27067">
              <w:rPr>
                <w:rFonts w:ascii="Aptos" w:eastAsia="Segoe UI" w:hAnsi="Aptos" w:cs="Segoe UI"/>
                <w:color w:val="0F1115"/>
                <w:sz w:val="18"/>
                <w:szCs w:val="18"/>
                <w:lang w:val="es-ES"/>
              </w:rPr>
              <w:t xml:space="preserve"> of AONG </w:t>
            </w:r>
            <w:proofErr w:type="spellStart"/>
            <w:r w:rsidRPr="00D27067">
              <w:rPr>
                <w:rFonts w:ascii="Aptos" w:eastAsia="Segoe UI" w:hAnsi="Aptos" w:cs="Segoe UI"/>
                <w:color w:val="0F1115"/>
                <w:sz w:val="18"/>
                <w:szCs w:val="18"/>
                <w:lang w:val="es-ES"/>
              </w:rPr>
              <w:t>contributions</w:t>
            </w:r>
            <w:proofErr w:type="spellEnd"/>
          </w:p>
        </w:tc>
        <w:tc>
          <w:tcPr>
            <w:tcW w:w="4770" w:type="dxa"/>
            <w:tcMar>
              <w:top w:w="15" w:type="dxa"/>
              <w:left w:w="180" w:type="dxa"/>
              <w:right w:w="15" w:type="dxa"/>
            </w:tcMar>
            <w:vAlign w:val="center"/>
          </w:tcPr>
          <w:p w14:paraId="33A00F24"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 las contribuciones de ADGN</w:t>
            </w:r>
          </w:p>
        </w:tc>
      </w:tr>
      <w:tr w:rsidR="00C05F0F" w:rsidRPr="00D27067" w14:paraId="7A191392" w14:textId="77777777" w:rsidTr="00C05F0F">
        <w:tc>
          <w:tcPr>
            <w:tcW w:w="4104" w:type="dxa"/>
            <w:tcMar>
              <w:top w:w="15" w:type="dxa"/>
              <w:left w:w="180" w:type="dxa"/>
              <w:right w:w="15" w:type="dxa"/>
            </w:tcMar>
            <w:vAlign w:val="center"/>
          </w:tcPr>
          <w:p w14:paraId="42138591"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Examples of linkages per target</w:t>
            </w:r>
          </w:p>
        </w:tc>
        <w:tc>
          <w:tcPr>
            <w:tcW w:w="4770" w:type="dxa"/>
            <w:tcMar>
              <w:top w:w="15" w:type="dxa"/>
              <w:left w:w="180" w:type="dxa"/>
              <w:right w:w="15" w:type="dxa"/>
            </w:tcMar>
            <w:vAlign w:val="center"/>
          </w:tcPr>
          <w:p w14:paraId="260DCA5D"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Ejemplos de vínculos por meta</w:t>
            </w:r>
          </w:p>
        </w:tc>
      </w:tr>
      <w:tr w:rsidR="00C05F0F" w:rsidRPr="00D27067" w14:paraId="6DE6CF19" w14:textId="77777777" w:rsidTr="00C05F0F">
        <w:tc>
          <w:tcPr>
            <w:tcW w:w="4104" w:type="dxa"/>
            <w:tcMar>
              <w:top w:w="15" w:type="dxa"/>
              <w:left w:w="180" w:type="dxa"/>
              <w:right w:w="15" w:type="dxa"/>
            </w:tcMar>
            <w:vAlign w:val="center"/>
          </w:tcPr>
          <w:p w14:paraId="2EE226AC"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lastRenderedPageBreak/>
              <w:t>Indicator data (headline, binary, component, complementary and national)</w:t>
            </w:r>
          </w:p>
        </w:tc>
        <w:tc>
          <w:tcPr>
            <w:tcW w:w="4770" w:type="dxa"/>
            <w:tcMar>
              <w:top w:w="15" w:type="dxa"/>
              <w:left w:w="180" w:type="dxa"/>
              <w:right w:w="15" w:type="dxa"/>
            </w:tcMar>
            <w:vAlign w:val="center"/>
          </w:tcPr>
          <w:p w14:paraId="3C35901F"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Datos de los indicadores (de cabecera, binarios, de componentes, complementarios y nacionales)</w:t>
            </w:r>
          </w:p>
        </w:tc>
      </w:tr>
      <w:tr w:rsidR="00C05F0F" w:rsidRPr="00D27067" w14:paraId="67248278" w14:textId="77777777" w:rsidTr="00C05F0F">
        <w:tc>
          <w:tcPr>
            <w:tcW w:w="4104" w:type="dxa"/>
            <w:tcMar>
              <w:top w:w="15" w:type="dxa"/>
              <w:left w:w="180" w:type="dxa"/>
              <w:right w:w="15" w:type="dxa"/>
            </w:tcMar>
            <w:vAlign w:val="center"/>
          </w:tcPr>
          <w:p w14:paraId="0D595A71"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Text-based sections of 7NR</w:t>
            </w:r>
          </w:p>
        </w:tc>
        <w:tc>
          <w:tcPr>
            <w:tcW w:w="4770" w:type="dxa"/>
            <w:tcMar>
              <w:top w:w="15" w:type="dxa"/>
              <w:left w:w="180" w:type="dxa"/>
              <w:right w:w="15" w:type="dxa"/>
            </w:tcMar>
            <w:vAlign w:val="center"/>
          </w:tcPr>
          <w:p w14:paraId="5F94B65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Secciones de texto de los 7IN</w:t>
            </w:r>
          </w:p>
        </w:tc>
      </w:tr>
      <w:tr w:rsidR="00C05F0F" w:rsidRPr="00D27067" w14:paraId="07FF8B31" w14:textId="77777777" w:rsidTr="00C05F0F">
        <w:tc>
          <w:tcPr>
            <w:tcW w:w="4104" w:type="dxa"/>
            <w:tcMar>
              <w:top w:w="15" w:type="dxa"/>
              <w:left w:w="180" w:type="dxa"/>
              <w:right w:w="15" w:type="dxa"/>
            </w:tcMar>
            <w:vAlign w:val="center"/>
          </w:tcPr>
          <w:p w14:paraId="79DD211A"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Legend</w:t>
            </w:r>
          </w:p>
        </w:tc>
        <w:tc>
          <w:tcPr>
            <w:tcW w:w="4770" w:type="dxa"/>
            <w:tcMar>
              <w:top w:w="15" w:type="dxa"/>
              <w:left w:w="180" w:type="dxa"/>
              <w:right w:w="15" w:type="dxa"/>
            </w:tcMar>
            <w:vAlign w:val="center"/>
          </w:tcPr>
          <w:p w14:paraId="58BA8EA7"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Leyenda</w:t>
            </w:r>
          </w:p>
        </w:tc>
      </w:tr>
      <w:tr w:rsidR="00C05F0F" w:rsidRPr="00D27067" w14:paraId="7F77BF07" w14:textId="77777777" w:rsidTr="00C05F0F">
        <w:tc>
          <w:tcPr>
            <w:tcW w:w="4104" w:type="dxa"/>
            <w:tcMar>
              <w:top w:w="15" w:type="dxa"/>
              <w:left w:w="180" w:type="dxa"/>
              <w:right w:w="15" w:type="dxa"/>
            </w:tcMar>
            <w:vAlign w:val="center"/>
          </w:tcPr>
          <w:p w14:paraId="10CEBCC5"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Data </w:t>
            </w:r>
            <w:proofErr w:type="spellStart"/>
            <w:r w:rsidRPr="00D27067">
              <w:rPr>
                <w:rFonts w:ascii="Aptos" w:eastAsia="Segoe UI" w:hAnsi="Aptos" w:cs="Segoe UI"/>
                <w:color w:val="0F1115"/>
                <w:sz w:val="18"/>
                <w:szCs w:val="18"/>
                <w:lang w:val="es-ES"/>
              </w:rPr>
              <w:t>source</w:t>
            </w:r>
            <w:proofErr w:type="spellEnd"/>
          </w:p>
        </w:tc>
        <w:tc>
          <w:tcPr>
            <w:tcW w:w="4770" w:type="dxa"/>
            <w:tcMar>
              <w:top w:w="15" w:type="dxa"/>
              <w:left w:w="180" w:type="dxa"/>
              <w:right w:w="15" w:type="dxa"/>
            </w:tcMar>
            <w:vAlign w:val="center"/>
          </w:tcPr>
          <w:p w14:paraId="5DFE4A5D"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Fuente de datos</w:t>
            </w:r>
          </w:p>
        </w:tc>
      </w:tr>
      <w:tr w:rsidR="00C05F0F" w:rsidRPr="00D27067" w14:paraId="31522018" w14:textId="77777777" w:rsidTr="00C05F0F">
        <w:tc>
          <w:tcPr>
            <w:tcW w:w="4104" w:type="dxa"/>
            <w:tcMar>
              <w:top w:w="15" w:type="dxa"/>
              <w:left w:w="180" w:type="dxa"/>
              <w:right w:w="15" w:type="dxa"/>
            </w:tcMar>
            <w:vAlign w:val="center"/>
          </w:tcPr>
          <w:p w14:paraId="021C8F4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Analytical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method</w:t>
            </w:r>
            <w:proofErr w:type="spellEnd"/>
          </w:p>
        </w:tc>
        <w:tc>
          <w:tcPr>
            <w:tcW w:w="4770" w:type="dxa"/>
            <w:tcMar>
              <w:top w:w="15" w:type="dxa"/>
              <w:left w:w="180" w:type="dxa"/>
              <w:right w:w="15" w:type="dxa"/>
            </w:tcMar>
            <w:vAlign w:val="center"/>
          </w:tcPr>
          <w:p w14:paraId="246AD3F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Método analítico</w:t>
            </w:r>
          </w:p>
        </w:tc>
      </w:tr>
      <w:tr w:rsidR="00C05F0F" w:rsidRPr="00D27067" w14:paraId="38ED955B" w14:textId="77777777" w:rsidTr="00C05F0F">
        <w:tc>
          <w:tcPr>
            <w:tcW w:w="4104" w:type="dxa"/>
            <w:tcMar>
              <w:top w:w="15" w:type="dxa"/>
              <w:left w:w="180" w:type="dxa"/>
              <w:right w:w="15" w:type="dxa"/>
            </w:tcMar>
            <w:vAlign w:val="center"/>
          </w:tcPr>
          <w:p w14:paraId="1793BE21"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Output</w:t>
            </w:r>
          </w:p>
        </w:tc>
        <w:tc>
          <w:tcPr>
            <w:tcW w:w="4770" w:type="dxa"/>
            <w:tcMar>
              <w:top w:w="15" w:type="dxa"/>
              <w:left w:w="180" w:type="dxa"/>
              <w:right w:w="15" w:type="dxa"/>
            </w:tcMar>
            <w:vAlign w:val="center"/>
          </w:tcPr>
          <w:p w14:paraId="5681498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Resultado</w:t>
            </w:r>
          </w:p>
        </w:tc>
      </w:tr>
      <w:tr w:rsidR="00C05F0F" w:rsidRPr="00D27067" w14:paraId="7AA706BF" w14:textId="77777777" w:rsidTr="00C05F0F">
        <w:tc>
          <w:tcPr>
            <w:tcW w:w="4104" w:type="dxa"/>
            <w:tcMar>
              <w:top w:w="15" w:type="dxa"/>
              <w:left w:w="180" w:type="dxa"/>
              <w:right w:w="15" w:type="dxa"/>
            </w:tcMar>
            <w:vAlign w:val="center"/>
          </w:tcPr>
          <w:p w14:paraId="2809037C"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Uses </w:t>
            </w:r>
            <w:proofErr w:type="spellStart"/>
            <w:r w:rsidRPr="00D27067">
              <w:rPr>
                <w:rFonts w:ascii="Aptos" w:eastAsia="Segoe UI" w:hAnsi="Aptos" w:cs="Segoe UI"/>
                <w:color w:val="0F1115"/>
                <w:sz w:val="18"/>
                <w:szCs w:val="18"/>
                <w:lang w:val="es-ES"/>
              </w:rPr>
              <w:t>only</w:t>
            </w:r>
            <w:proofErr w:type="spellEnd"/>
            <w:r w:rsidRPr="00D27067">
              <w:rPr>
                <w:rFonts w:ascii="Aptos" w:eastAsia="Segoe UI" w:hAnsi="Aptos" w:cs="Segoe UI"/>
                <w:color w:val="0F1115"/>
                <w:sz w:val="18"/>
                <w:szCs w:val="18"/>
                <w:lang w:val="es-ES"/>
              </w:rPr>
              <w:t xml:space="preserve"> 7NR data</w:t>
            </w:r>
          </w:p>
        </w:tc>
        <w:tc>
          <w:tcPr>
            <w:tcW w:w="4770" w:type="dxa"/>
            <w:tcMar>
              <w:top w:w="15" w:type="dxa"/>
              <w:left w:w="180" w:type="dxa"/>
              <w:right w:w="15" w:type="dxa"/>
            </w:tcMar>
            <w:vAlign w:val="center"/>
          </w:tcPr>
          <w:p w14:paraId="2AA7990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Utiliza únicamente datos de los 7IN</w:t>
            </w:r>
          </w:p>
        </w:tc>
      </w:tr>
      <w:tr w:rsidR="00C05F0F" w:rsidRPr="00D27067" w14:paraId="0D707050" w14:textId="77777777" w:rsidTr="00C05F0F">
        <w:tc>
          <w:tcPr>
            <w:tcW w:w="4104" w:type="dxa"/>
            <w:tcMar>
              <w:top w:w="15" w:type="dxa"/>
              <w:left w:w="180" w:type="dxa"/>
              <w:right w:w="15" w:type="dxa"/>
            </w:tcMar>
            <w:vAlign w:val="center"/>
          </w:tcPr>
          <w:p w14:paraId="3B5A239A"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IID. Means of </w:t>
            </w:r>
            <w:proofErr w:type="spellStart"/>
            <w:r w:rsidRPr="00D27067">
              <w:rPr>
                <w:rFonts w:ascii="Aptos" w:eastAsia="Segoe UI" w:hAnsi="Aptos" w:cs="Segoe UI"/>
                <w:color w:val="0F1115"/>
                <w:sz w:val="18"/>
                <w:szCs w:val="18"/>
                <w:lang w:val="es-ES"/>
              </w:rPr>
              <w:t>Implementation</w:t>
            </w:r>
            <w:proofErr w:type="spellEnd"/>
          </w:p>
        </w:tc>
        <w:tc>
          <w:tcPr>
            <w:tcW w:w="4770" w:type="dxa"/>
            <w:tcMar>
              <w:top w:w="15" w:type="dxa"/>
              <w:left w:w="180" w:type="dxa"/>
              <w:right w:w="15" w:type="dxa"/>
            </w:tcMar>
            <w:vAlign w:val="center"/>
          </w:tcPr>
          <w:p w14:paraId="21FD4C9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IID. Medios de implementación</w:t>
            </w:r>
          </w:p>
        </w:tc>
      </w:tr>
      <w:tr w:rsidR="00C05F0F" w:rsidRPr="00D27067" w14:paraId="3895B072" w14:textId="77777777" w:rsidTr="00C05F0F">
        <w:tc>
          <w:tcPr>
            <w:tcW w:w="4104" w:type="dxa"/>
            <w:tcMar>
              <w:top w:w="15" w:type="dxa"/>
              <w:left w:w="180" w:type="dxa"/>
              <w:right w:w="15" w:type="dxa"/>
            </w:tcMar>
            <w:vAlign w:val="center"/>
          </w:tcPr>
          <w:p w14:paraId="3D5C7DDE"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IIE. Contributions from MEAs and other organizations</w:t>
            </w:r>
          </w:p>
        </w:tc>
        <w:tc>
          <w:tcPr>
            <w:tcW w:w="4770" w:type="dxa"/>
            <w:tcMar>
              <w:top w:w="15" w:type="dxa"/>
              <w:left w:w="180" w:type="dxa"/>
              <w:right w:w="15" w:type="dxa"/>
            </w:tcMar>
            <w:vAlign w:val="center"/>
          </w:tcPr>
          <w:p w14:paraId="135ED81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IIE. Contribuciones de los acuerdos ambientales multilaterales y otras organizaciones</w:t>
            </w:r>
          </w:p>
        </w:tc>
      </w:tr>
      <w:tr w:rsidR="00C05F0F" w:rsidRPr="00D27067" w14:paraId="5CB0A06C" w14:textId="77777777" w:rsidTr="00C05F0F">
        <w:tc>
          <w:tcPr>
            <w:tcW w:w="4104" w:type="dxa"/>
            <w:tcMar>
              <w:top w:w="15" w:type="dxa"/>
              <w:left w:w="180" w:type="dxa"/>
              <w:right w:w="15" w:type="dxa"/>
            </w:tcMar>
            <w:vAlign w:val="center"/>
          </w:tcPr>
          <w:p w14:paraId="2407B365"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IIIA. </w:t>
            </w:r>
            <w:proofErr w:type="spellStart"/>
            <w:r w:rsidRPr="00D27067">
              <w:rPr>
                <w:rFonts w:ascii="Aptos" w:eastAsia="Segoe UI" w:hAnsi="Aptos" w:cs="Segoe UI"/>
                <w:color w:val="0F1115"/>
                <w:sz w:val="18"/>
                <w:szCs w:val="18"/>
                <w:lang w:val="es-ES"/>
              </w:rPr>
              <w:t>Synthesis</w:t>
            </w:r>
            <w:proofErr w:type="spellEnd"/>
          </w:p>
        </w:tc>
        <w:tc>
          <w:tcPr>
            <w:tcW w:w="4770" w:type="dxa"/>
            <w:tcMar>
              <w:top w:w="15" w:type="dxa"/>
              <w:left w:w="180" w:type="dxa"/>
              <w:right w:w="15" w:type="dxa"/>
            </w:tcMar>
            <w:vAlign w:val="center"/>
          </w:tcPr>
          <w:p w14:paraId="7DC07E0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IIIA. Síntesis</w:t>
            </w:r>
          </w:p>
        </w:tc>
      </w:tr>
      <w:tr w:rsidR="00C05F0F" w:rsidRPr="00D27067" w14:paraId="44BF0766" w14:textId="77777777" w:rsidTr="00C05F0F">
        <w:tc>
          <w:tcPr>
            <w:tcW w:w="4104" w:type="dxa"/>
            <w:tcMar>
              <w:top w:w="15" w:type="dxa"/>
              <w:left w:w="180" w:type="dxa"/>
              <w:right w:w="15" w:type="dxa"/>
            </w:tcMar>
            <w:vAlign w:val="center"/>
          </w:tcPr>
          <w:p w14:paraId="52FE75B5"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IIIB. </w:t>
            </w:r>
            <w:proofErr w:type="spellStart"/>
            <w:r w:rsidRPr="00D27067">
              <w:rPr>
                <w:rFonts w:ascii="Aptos" w:eastAsia="Segoe UI" w:hAnsi="Aptos" w:cs="Segoe UI"/>
                <w:color w:val="0F1115"/>
                <w:sz w:val="18"/>
                <w:szCs w:val="18"/>
                <w:lang w:val="es-ES"/>
              </w:rPr>
              <w:t>Moving</w:t>
            </w:r>
            <w:proofErr w:type="spellEnd"/>
            <w:r w:rsidRPr="00D27067">
              <w:rPr>
                <w:rFonts w:ascii="Aptos" w:eastAsia="Segoe UI" w:hAnsi="Aptos" w:cs="Segoe UI"/>
                <w:color w:val="0F1115"/>
                <w:sz w:val="18"/>
                <w:szCs w:val="18"/>
                <w:lang w:val="es-ES"/>
              </w:rPr>
              <w:t xml:space="preserve"> forward</w:t>
            </w:r>
          </w:p>
        </w:tc>
        <w:tc>
          <w:tcPr>
            <w:tcW w:w="4770" w:type="dxa"/>
            <w:tcMar>
              <w:top w:w="15" w:type="dxa"/>
              <w:left w:w="180" w:type="dxa"/>
              <w:right w:w="15" w:type="dxa"/>
            </w:tcMar>
            <w:vAlign w:val="center"/>
          </w:tcPr>
          <w:p w14:paraId="153C48B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IIIB. De cara al futuro</w:t>
            </w:r>
          </w:p>
        </w:tc>
      </w:tr>
      <w:tr w:rsidR="00C05F0F" w:rsidRPr="00D27067" w14:paraId="0CC33AF7" w14:textId="77777777" w:rsidTr="00C05F0F">
        <w:tc>
          <w:tcPr>
            <w:tcW w:w="4104" w:type="dxa"/>
            <w:tcMar>
              <w:top w:w="15" w:type="dxa"/>
              <w:left w:w="180" w:type="dxa"/>
              <w:right w:w="15" w:type="dxa"/>
            </w:tcMar>
            <w:vAlign w:val="center"/>
          </w:tcPr>
          <w:p w14:paraId="5BE8C3E1"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Text-based sections of 7NR</w:t>
            </w:r>
          </w:p>
        </w:tc>
        <w:tc>
          <w:tcPr>
            <w:tcW w:w="4770" w:type="dxa"/>
            <w:tcMar>
              <w:top w:w="15" w:type="dxa"/>
              <w:left w:w="180" w:type="dxa"/>
              <w:right w:w="15" w:type="dxa"/>
            </w:tcMar>
            <w:vAlign w:val="center"/>
          </w:tcPr>
          <w:p w14:paraId="12B38A09"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Secciones de texto de los 7IN</w:t>
            </w:r>
          </w:p>
        </w:tc>
      </w:tr>
      <w:tr w:rsidR="00C05F0F" w:rsidRPr="00D27067" w14:paraId="0C9602FD" w14:textId="77777777" w:rsidTr="00C05F0F">
        <w:tc>
          <w:tcPr>
            <w:tcW w:w="4104" w:type="dxa"/>
            <w:tcMar>
              <w:top w:w="15" w:type="dxa"/>
              <w:left w:w="180" w:type="dxa"/>
              <w:right w:w="15" w:type="dxa"/>
            </w:tcMar>
            <w:vAlign w:val="center"/>
          </w:tcPr>
          <w:p w14:paraId="4A602850"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Global Environment </w:t>
            </w:r>
            <w:proofErr w:type="spellStart"/>
            <w:r w:rsidRPr="00D27067">
              <w:rPr>
                <w:rFonts w:ascii="Aptos" w:eastAsia="Segoe UI" w:hAnsi="Aptos" w:cs="Segoe UI"/>
                <w:color w:val="0F1115"/>
                <w:sz w:val="18"/>
                <w:szCs w:val="18"/>
                <w:lang w:val="es-ES"/>
              </w:rPr>
              <w:t>Facility</w:t>
            </w:r>
            <w:proofErr w:type="spellEnd"/>
            <w:r w:rsidRPr="00D27067">
              <w:rPr>
                <w:rFonts w:ascii="Aptos" w:eastAsia="Segoe UI" w:hAnsi="Aptos" w:cs="Segoe UI"/>
                <w:color w:val="0F1115"/>
                <w:sz w:val="18"/>
                <w:szCs w:val="18"/>
                <w:lang w:val="es-ES"/>
              </w:rPr>
              <w:t xml:space="preserve"> data</w:t>
            </w:r>
          </w:p>
        </w:tc>
        <w:tc>
          <w:tcPr>
            <w:tcW w:w="4770" w:type="dxa"/>
            <w:tcMar>
              <w:top w:w="15" w:type="dxa"/>
              <w:left w:w="180" w:type="dxa"/>
              <w:right w:w="15" w:type="dxa"/>
            </w:tcMar>
            <w:vAlign w:val="center"/>
          </w:tcPr>
          <w:p w14:paraId="7CBD7DF4"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Datos del Fondo para el Medio Ambiente Mundial</w:t>
            </w:r>
          </w:p>
        </w:tc>
      </w:tr>
      <w:tr w:rsidR="00C05F0F" w:rsidRPr="00D27067" w14:paraId="4E985587" w14:textId="77777777" w:rsidTr="00C05F0F">
        <w:tc>
          <w:tcPr>
            <w:tcW w:w="4104" w:type="dxa"/>
            <w:tcMar>
              <w:top w:w="15" w:type="dxa"/>
              <w:left w:w="180" w:type="dxa"/>
              <w:right w:w="15" w:type="dxa"/>
            </w:tcMar>
            <w:vAlign w:val="center"/>
          </w:tcPr>
          <w:p w14:paraId="1EC38600"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Submissions provided in response to notification No. 2025-099 and other sources listed in decision 16/32</w:t>
            </w:r>
          </w:p>
        </w:tc>
        <w:tc>
          <w:tcPr>
            <w:tcW w:w="4770" w:type="dxa"/>
            <w:tcMar>
              <w:top w:w="15" w:type="dxa"/>
              <w:left w:w="180" w:type="dxa"/>
              <w:right w:w="15" w:type="dxa"/>
            </w:tcMar>
            <w:vAlign w:val="center"/>
          </w:tcPr>
          <w:p w14:paraId="6EE47CE5"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Comunicaciones realizadas en respuesta a la notificación núm. 2025-099 y otras fuentes enumeradas en la decisión 16/32</w:t>
            </w:r>
          </w:p>
        </w:tc>
      </w:tr>
      <w:tr w:rsidR="00C05F0F" w:rsidRPr="00D27067" w14:paraId="3C708942" w14:textId="77777777" w:rsidTr="00C05F0F">
        <w:tc>
          <w:tcPr>
            <w:tcW w:w="4104" w:type="dxa"/>
            <w:tcMar>
              <w:top w:w="15" w:type="dxa"/>
              <w:left w:w="180" w:type="dxa"/>
              <w:right w:w="15" w:type="dxa"/>
            </w:tcMar>
            <w:vAlign w:val="center"/>
          </w:tcPr>
          <w:p w14:paraId="74E8C365"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Goal to target alignment analysis (annex H)</w:t>
            </w:r>
          </w:p>
        </w:tc>
        <w:tc>
          <w:tcPr>
            <w:tcW w:w="4770" w:type="dxa"/>
            <w:tcMar>
              <w:top w:w="15" w:type="dxa"/>
              <w:left w:w="180" w:type="dxa"/>
              <w:right w:w="15" w:type="dxa"/>
            </w:tcMar>
            <w:vAlign w:val="center"/>
          </w:tcPr>
          <w:p w14:paraId="60C9E55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de la armonización entre los objetivos y las metas (anexo H)</w:t>
            </w:r>
          </w:p>
        </w:tc>
      </w:tr>
      <w:tr w:rsidR="00C05F0F" w:rsidRPr="00D27067" w14:paraId="49253EEF" w14:textId="77777777" w:rsidTr="00C05F0F">
        <w:tc>
          <w:tcPr>
            <w:tcW w:w="4104" w:type="dxa"/>
            <w:tcMar>
              <w:top w:w="15" w:type="dxa"/>
              <w:left w:w="180" w:type="dxa"/>
              <w:right w:w="15" w:type="dxa"/>
            </w:tcMar>
            <w:vAlign w:val="center"/>
          </w:tcPr>
          <w:p w14:paraId="12C99FEE"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Analysis of indicators (annex D)</w:t>
            </w:r>
          </w:p>
        </w:tc>
        <w:tc>
          <w:tcPr>
            <w:tcW w:w="4770" w:type="dxa"/>
            <w:tcMar>
              <w:top w:w="15" w:type="dxa"/>
              <w:left w:w="180" w:type="dxa"/>
              <w:right w:w="15" w:type="dxa"/>
            </w:tcMar>
            <w:vAlign w:val="center"/>
          </w:tcPr>
          <w:p w14:paraId="7CE71BDF"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de los indicadores (anexo D)</w:t>
            </w:r>
          </w:p>
        </w:tc>
      </w:tr>
      <w:tr w:rsidR="00C05F0F" w:rsidRPr="00D27067" w14:paraId="52ADB033" w14:textId="77777777" w:rsidTr="00C05F0F">
        <w:tc>
          <w:tcPr>
            <w:tcW w:w="4104" w:type="dxa"/>
            <w:tcMar>
              <w:top w:w="15" w:type="dxa"/>
              <w:left w:w="180" w:type="dxa"/>
              <w:right w:w="15" w:type="dxa"/>
            </w:tcMar>
            <w:vAlign w:val="center"/>
          </w:tcPr>
          <w:p w14:paraId="656CABE9"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Headline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3079FB62"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Indicadores de cabecera</w:t>
            </w:r>
          </w:p>
        </w:tc>
      </w:tr>
      <w:tr w:rsidR="00C05F0F" w:rsidRPr="00D27067" w14:paraId="26507802" w14:textId="77777777" w:rsidTr="00C05F0F">
        <w:tc>
          <w:tcPr>
            <w:tcW w:w="4104" w:type="dxa"/>
            <w:tcMar>
              <w:top w:w="15" w:type="dxa"/>
              <w:left w:w="180" w:type="dxa"/>
              <w:right w:w="15" w:type="dxa"/>
            </w:tcMar>
            <w:vAlign w:val="center"/>
          </w:tcPr>
          <w:p w14:paraId="70734A9F"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Binary</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58CC07B4"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Indicadores binarios</w:t>
            </w:r>
          </w:p>
        </w:tc>
      </w:tr>
      <w:tr w:rsidR="00C05F0F" w:rsidRPr="00D27067" w14:paraId="42D5DCE4" w14:textId="77777777" w:rsidTr="00C05F0F">
        <w:tc>
          <w:tcPr>
            <w:tcW w:w="4104" w:type="dxa"/>
            <w:tcMar>
              <w:top w:w="15" w:type="dxa"/>
              <w:left w:w="180" w:type="dxa"/>
              <w:right w:w="15" w:type="dxa"/>
            </w:tcMar>
            <w:vAlign w:val="center"/>
          </w:tcPr>
          <w:p w14:paraId="64236296"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All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quantitative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3FCD522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Todos los indicadores cuantitativos</w:t>
            </w:r>
          </w:p>
        </w:tc>
      </w:tr>
      <w:tr w:rsidR="00C05F0F" w:rsidRPr="00D27067" w14:paraId="0579D185" w14:textId="77777777" w:rsidTr="00C05F0F">
        <w:tc>
          <w:tcPr>
            <w:tcW w:w="4104" w:type="dxa"/>
            <w:tcMar>
              <w:top w:w="15" w:type="dxa"/>
              <w:left w:w="180" w:type="dxa"/>
              <w:right w:w="15" w:type="dxa"/>
            </w:tcMar>
            <w:vAlign w:val="center"/>
          </w:tcPr>
          <w:p w14:paraId="75233912"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Semantic analysis and synthesis (annex F)</w:t>
            </w:r>
          </w:p>
        </w:tc>
        <w:tc>
          <w:tcPr>
            <w:tcW w:w="4770" w:type="dxa"/>
            <w:tcMar>
              <w:top w:w="15" w:type="dxa"/>
              <w:left w:w="180" w:type="dxa"/>
              <w:right w:w="15" w:type="dxa"/>
            </w:tcMar>
            <w:vAlign w:val="center"/>
          </w:tcPr>
          <w:p w14:paraId="2B30AD6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Análisis semántico y síntesis (anexo F)</w:t>
            </w:r>
          </w:p>
        </w:tc>
      </w:tr>
      <w:tr w:rsidR="00C05F0F" w:rsidRPr="00D27067" w14:paraId="770B2413" w14:textId="77777777" w:rsidTr="00C05F0F">
        <w:tc>
          <w:tcPr>
            <w:tcW w:w="4104" w:type="dxa"/>
            <w:tcMar>
              <w:top w:w="15" w:type="dxa"/>
              <w:left w:w="180" w:type="dxa"/>
              <w:right w:w="15" w:type="dxa"/>
            </w:tcMar>
            <w:vAlign w:val="center"/>
          </w:tcPr>
          <w:p w14:paraId="76D2AAF4"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Natural language processing and semantic analysis (annex I)</w:t>
            </w:r>
          </w:p>
        </w:tc>
        <w:tc>
          <w:tcPr>
            <w:tcW w:w="4770" w:type="dxa"/>
            <w:tcMar>
              <w:top w:w="15" w:type="dxa"/>
              <w:left w:w="180" w:type="dxa"/>
              <w:right w:w="15" w:type="dxa"/>
            </w:tcMar>
            <w:vAlign w:val="center"/>
          </w:tcPr>
          <w:p w14:paraId="34FD5DF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Procesamiento del lenguaje natural y análisis semántico (anexo I)</w:t>
            </w:r>
          </w:p>
        </w:tc>
      </w:tr>
      <w:tr w:rsidR="00C05F0F" w:rsidRPr="00D27067" w14:paraId="37844CFE" w14:textId="77777777" w:rsidTr="00C05F0F">
        <w:tc>
          <w:tcPr>
            <w:tcW w:w="4104" w:type="dxa"/>
            <w:tcMar>
              <w:top w:w="15" w:type="dxa"/>
              <w:left w:w="180" w:type="dxa"/>
              <w:right w:w="15" w:type="dxa"/>
            </w:tcMar>
            <w:vAlign w:val="center"/>
          </w:tcPr>
          <w:p w14:paraId="538932A1"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summary</w:t>
            </w:r>
            <w:proofErr w:type="spellEnd"/>
            <w:r w:rsidRPr="00D27067">
              <w:rPr>
                <w:rFonts w:ascii="Aptos" w:eastAsia="Segoe UI" w:hAnsi="Aptos" w:cs="Segoe UI"/>
                <w:color w:val="0F1115"/>
                <w:sz w:val="18"/>
                <w:szCs w:val="18"/>
                <w:lang w:val="es-ES"/>
              </w:rPr>
              <w:t xml:space="preserve"> figures</w:t>
            </w:r>
          </w:p>
        </w:tc>
        <w:tc>
          <w:tcPr>
            <w:tcW w:w="4770" w:type="dxa"/>
            <w:tcMar>
              <w:top w:w="15" w:type="dxa"/>
              <w:left w:w="180" w:type="dxa"/>
              <w:right w:w="15" w:type="dxa"/>
            </w:tcMar>
            <w:vAlign w:val="center"/>
          </w:tcPr>
          <w:p w14:paraId="63EDDEAC"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Síntesis y cifras resumidas</w:t>
            </w:r>
          </w:p>
        </w:tc>
      </w:tr>
      <w:tr w:rsidR="00C05F0F" w:rsidRPr="00D27067" w14:paraId="481643DD" w14:textId="77777777" w:rsidTr="00C05F0F">
        <w:tc>
          <w:tcPr>
            <w:tcW w:w="4104" w:type="dxa"/>
            <w:tcMar>
              <w:top w:w="15" w:type="dxa"/>
              <w:left w:w="180" w:type="dxa"/>
              <w:right w:w="15" w:type="dxa"/>
            </w:tcMar>
            <w:vAlign w:val="center"/>
          </w:tcPr>
          <w:p w14:paraId="03BAA787"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Target to </w:t>
            </w:r>
            <w:proofErr w:type="spellStart"/>
            <w:r w:rsidRPr="00D27067">
              <w:rPr>
                <w:rFonts w:ascii="Aptos" w:eastAsia="Segoe UI" w:hAnsi="Aptos" w:cs="Segoe UI"/>
                <w:color w:val="0F1115"/>
                <w:sz w:val="18"/>
                <w:szCs w:val="18"/>
                <w:lang w:val="es-ES"/>
              </w:rPr>
              <w:t>goal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relationships</w:t>
            </w:r>
            <w:proofErr w:type="spellEnd"/>
          </w:p>
        </w:tc>
        <w:tc>
          <w:tcPr>
            <w:tcW w:w="4770" w:type="dxa"/>
            <w:tcMar>
              <w:top w:w="15" w:type="dxa"/>
              <w:left w:w="180" w:type="dxa"/>
              <w:right w:w="15" w:type="dxa"/>
            </w:tcMar>
            <w:vAlign w:val="center"/>
          </w:tcPr>
          <w:p w14:paraId="55D78500"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Relaciones entre las metas y los objetivos</w:t>
            </w:r>
          </w:p>
        </w:tc>
      </w:tr>
      <w:tr w:rsidR="00C05F0F" w:rsidRPr="00D27067" w14:paraId="2F13EE1E" w14:textId="77777777" w:rsidTr="00C05F0F">
        <w:tc>
          <w:tcPr>
            <w:tcW w:w="4104" w:type="dxa"/>
            <w:tcMar>
              <w:top w:w="15" w:type="dxa"/>
              <w:left w:w="180" w:type="dxa"/>
              <w:right w:w="15" w:type="dxa"/>
            </w:tcMar>
            <w:vAlign w:val="center"/>
          </w:tcPr>
          <w:p w14:paraId="5624122A"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Headline</w:t>
            </w:r>
            <w:proofErr w:type="spellEnd"/>
            <w:r w:rsidRPr="00D27067">
              <w:rPr>
                <w:rFonts w:ascii="Aptos" w:eastAsia="Segoe UI" w:hAnsi="Aptos" w:cs="Segoe UI"/>
                <w:color w:val="0F1115"/>
                <w:sz w:val="18"/>
                <w:szCs w:val="18"/>
                <w:lang w:val="es-ES"/>
              </w:rPr>
              <w:t xml:space="preserve"> </w:t>
            </w:r>
            <w:proofErr w:type="gramStart"/>
            <w:r w:rsidRPr="00D27067">
              <w:rPr>
                <w:rFonts w:ascii="Aptos" w:eastAsia="Segoe UI" w:hAnsi="Aptos" w:cs="Segoe UI"/>
                <w:color w:val="0F1115"/>
                <w:sz w:val="18"/>
                <w:szCs w:val="18"/>
                <w:lang w:val="es-ES"/>
              </w:rPr>
              <w:t>status</w:t>
            </w:r>
            <w:proofErr w:type="gram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trends</w:t>
            </w:r>
            <w:proofErr w:type="spellEnd"/>
          </w:p>
        </w:tc>
        <w:tc>
          <w:tcPr>
            <w:tcW w:w="4770" w:type="dxa"/>
            <w:tcMar>
              <w:top w:w="15" w:type="dxa"/>
              <w:left w:w="180" w:type="dxa"/>
              <w:right w:w="15" w:type="dxa"/>
            </w:tcMar>
            <w:vAlign w:val="center"/>
          </w:tcPr>
          <w:p w14:paraId="63EDA65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Estado y tendencias de los indicadores de cabecera</w:t>
            </w:r>
          </w:p>
        </w:tc>
      </w:tr>
      <w:tr w:rsidR="00C05F0F" w:rsidRPr="00D27067" w14:paraId="5B33540E" w14:textId="77777777" w:rsidTr="00C05F0F">
        <w:tc>
          <w:tcPr>
            <w:tcW w:w="4104" w:type="dxa"/>
            <w:tcMar>
              <w:top w:w="15" w:type="dxa"/>
              <w:left w:w="180" w:type="dxa"/>
              <w:right w:w="15" w:type="dxa"/>
            </w:tcMar>
            <w:vAlign w:val="center"/>
          </w:tcPr>
          <w:p w14:paraId="3E0B121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Binary</w:t>
            </w:r>
            <w:proofErr w:type="spellEnd"/>
            <w:r w:rsidRPr="00D27067">
              <w:rPr>
                <w:rFonts w:ascii="Aptos" w:eastAsia="Segoe UI" w:hAnsi="Aptos" w:cs="Segoe UI"/>
                <w:color w:val="0F1115"/>
                <w:sz w:val="18"/>
                <w:szCs w:val="18"/>
                <w:lang w:val="es-ES"/>
              </w:rPr>
              <w:t xml:space="preserve"> scores</w:t>
            </w:r>
          </w:p>
        </w:tc>
        <w:tc>
          <w:tcPr>
            <w:tcW w:w="4770" w:type="dxa"/>
            <w:tcMar>
              <w:top w:w="15" w:type="dxa"/>
              <w:left w:w="180" w:type="dxa"/>
              <w:right w:w="15" w:type="dxa"/>
            </w:tcMar>
            <w:vAlign w:val="center"/>
          </w:tcPr>
          <w:p w14:paraId="69F44621"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Puntuaciones de los indicadores binarios</w:t>
            </w:r>
          </w:p>
        </w:tc>
      </w:tr>
      <w:tr w:rsidR="00C05F0F" w:rsidRPr="00D27067" w14:paraId="1B954F21" w14:textId="77777777" w:rsidTr="00C05F0F">
        <w:tc>
          <w:tcPr>
            <w:tcW w:w="4104" w:type="dxa"/>
            <w:tcMar>
              <w:top w:w="15" w:type="dxa"/>
              <w:left w:w="180" w:type="dxa"/>
              <w:right w:w="15" w:type="dxa"/>
            </w:tcMar>
            <w:vAlign w:val="center"/>
          </w:tcPr>
          <w:p w14:paraId="53A1B65B"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Trends</w:t>
            </w:r>
            <w:proofErr w:type="spellEnd"/>
            <w:r w:rsidRPr="00D27067">
              <w:rPr>
                <w:rFonts w:ascii="Aptos" w:eastAsia="Segoe UI" w:hAnsi="Aptos" w:cs="Segoe UI"/>
                <w:color w:val="0F1115"/>
                <w:sz w:val="18"/>
                <w:szCs w:val="18"/>
                <w:lang w:val="es-ES"/>
              </w:rPr>
              <w:t xml:space="preserve"> in </w:t>
            </w:r>
            <w:proofErr w:type="spellStart"/>
            <w:r w:rsidRPr="00D27067">
              <w:rPr>
                <w:rFonts w:ascii="Aptos" w:eastAsia="Segoe UI" w:hAnsi="Aptos" w:cs="Segoe UI"/>
                <w:color w:val="0F1115"/>
                <w:sz w:val="18"/>
                <w:szCs w:val="18"/>
                <w:lang w:val="es-ES"/>
              </w:rPr>
              <w:t>quantitative</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indicators</w:t>
            </w:r>
            <w:proofErr w:type="spellEnd"/>
          </w:p>
        </w:tc>
        <w:tc>
          <w:tcPr>
            <w:tcW w:w="4770" w:type="dxa"/>
            <w:tcMar>
              <w:top w:w="15" w:type="dxa"/>
              <w:left w:w="180" w:type="dxa"/>
              <w:right w:w="15" w:type="dxa"/>
            </w:tcMar>
            <w:vAlign w:val="center"/>
          </w:tcPr>
          <w:p w14:paraId="3B4D3274"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Tendencias de los indicadores cuantitativos</w:t>
            </w:r>
          </w:p>
        </w:tc>
      </w:tr>
      <w:tr w:rsidR="00C05F0F" w:rsidRPr="00D27067" w14:paraId="2E398759" w14:textId="77777777" w:rsidTr="00C05F0F">
        <w:tc>
          <w:tcPr>
            <w:tcW w:w="4104" w:type="dxa"/>
            <w:tcMar>
              <w:top w:w="15" w:type="dxa"/>
              <w:left w:w="180" w:type="dxa"/>
              <w:right w:w="15" w:type="dxa"/>
            </w:tcMar>
            <w:vAlign w:val="center"/>
          </w:tcPr>
          <w:p w14:paraId="65CCC54B"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Summary</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actions</w:t>
            </w:r>
            <w:proofErr w:type="spellEnd"/>
          </w:p>
        </w:tc>
        <w:tc>
          <w:tcPr>
            <w:tcW w:w="4770" w:type="dxa"/>
            <w:tcMar>
              <w:top w:w="15" w:type="dxa"/>
              <w:left w:w="180" w:type="dxa"/>
              <w:right w:w="15" w:type="dxa"/>
            </w:tcMar>
            <w:vAlign w:val="center"/>
          </w:tcPr>
          <w:p w14:paraId="5709CE3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 las medidas</w:t>
            </w:r>
          </w:p>
        </w:tc>
      </w:tr>
      <w:tr w:rsidR="00C05F0F" w:rsidRPr="00D27067" w14:paraId="3B73F38A" w14:textId="77777777" w:rsidTr="00C05F0F">
        <w:tc>
          <w:tcPr>
            <w:tcW w:w="4104" w:type="dxa"/>
            <w:tcMar>
              <w:top w:w="15" w:type="dxa"/>
              <w:left w:w="180" w:type="dxa"/>
              <w:right w:w="15" w:type="dxa"/>
            </w:tcMar>
            <w:vAlign w:val="center"/>
          </w:tcPr>
          <w:p w14:paraId="535EDAB9"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Summaries of the typology of needs and provision of means</w:t>
            </w:r>
          </w:p>
        </w:tc>
        <w:tc>
          <w:tcPr>
            <w:tcW w:w="4770" w:type="dxa"/>
            <w:tcMar>
              <w:top w:w="15" w:type="dxa"/>
              <w:left w:w="180" w:type="dxa"/>
              <w:right w:w="15" w:type="dxa"/>
            </w:tcMar>
            <w:vAlign w:val="center"/>
          </w:tcPr>
          <w:p w14:paraId="73450F96"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Resúmenes de la tipología de necesidades y la provisión de medios</w:t>
            </w:r>
          </w:p>
        </w:tc>
      </w:tr>
      <w:tr w:rsidR="00C05F0F" w:rsidRPr="00D27067" w14:paraId="0AC12287" w14:textId="77777777" w:rsidTr="00C05F0F">
        <w:tc>
          <w:tcPr>
            <w:tcW w:w="4104" w:type="dxa"/>
            <w:tcMar>
              <w:top w:w="15" w:type="dxa"/>
              <w:left w:w="180" w:type="dxa"/>
              <w:right w:w="15" w:type="dxa"/>
            </w:tcMar>
            <w:vAlign w:val="center"/>
          </w:tcPr>
          <w:p w14:paraId="059BBAFA"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Summary</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means</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provided</w:t>
            </w:r>
            <w:proofErr w:type="spellEnd"/>
          </w:p>
        </w:tc>
        <w:tc>
          <w:tcPr>
            <w:tcW w:w="4770" w:type="dxa"/>
            <w:tcMar>
              <w:top w:w="15" w:type="dxa"/>
              <w:left w:w="180" w:type="dxa"/>
              <w:right w:w="15" w:type="dxa"/>
            </w:tcMar>
            <w:vAlign w:val="center"/>
          </w:tcPr>
          <w:p w14:paraId="35A80B2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de los medios proporcionados</w:t>
            </w:r>
          </w:p>
        </w:tc>
      </w:tr>
      <w:tr w:rsidR="00C05F0F" w:rsidRPr="00D27067" w14:paraId="2A502049" w14:textId="77777777" w:rsidTr="00C05F0F">
        <w:tc>
          <w:tcPr>
            <w:tcW w:w="4104" w:type="dxa"/>
            <w:tcMar>
              <w:top w:w="15" w:type="dxa"/>
              <w:left w:w="180" w:type="dxa"/>
              <w:right w:w="15" w:type="dxa"/>
            </w:tcMar>
            <w:vAlign w:val="center"/>
          </w:tcPr>
          <w:p w14:paraId="3F00A9CD"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Review</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and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3B258AF1"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Revisión, síntesis y resumen</w:t>
            </w:r>
          </w:p>
        </w:tc>
      </w:tr>
      <w:tr w:rsidR="00C05F0F" w:rsidRPr="00D27067" w14:paraId="50FDB1B7" w14:textId="77777777" w:rsidTr="00C05F0F">
        <w:tc>
          <w:tcPr>
            <w:tcW w:w="4104" w:type="dxa"/>
            <w:tcMar>
              <w:top w:w="15" w:type="dxa"/>
              <w:left w:w="180" w:type="dxa"/>
              <w:right w:w="15" w:type="dxa"/>
            </w:tcMar>
            <w:vAlign w:val="center"/>
          </w:tcPr>
          <w:p w14:paraId="38615E55"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Overall </w:t>
            </w:r>
            <w:proofErr w:type="spellStart"/>
            <w:r w:rsidRPr="00D27067">
              <w:rPr>
                <w:rFonts w:ascii="Aptos" w:eastAsia="Segoe UI" w:hAnsi="Aptos" w:cs="Segoe UI"/>
                <w:color w:val="0F1115"/>
                <w:sz w:val="18"/>
                <w:szCs w:val="18"/>
                <w:lang w:val="es-ES"/>
              </w:rPr>
              <w:t>summary</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contributions</w:t>
            </w:r>
            <w:proofErr w:type="spellEnd"/>
          </w:p>
        </w:tc>
        <w:tc>
          <w:tcPr>
            <w:tcW w:w="4770" w:type="dxa"/>
            <w:tcMar>
              <w:top w:w="15" w:type="dxa"/>
              <w:left w:w="180" w:type="dxa"/>
              <w:right w:w="15" w:type="dxa"/>
            </w:tcMar>
            <w:vAlign w:val="center"/>
          </w:tcPr>
          <w:p w14:paraId="39FA4389"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Resumen general de las contribuciones</w:t>
            </w:r>
          </w:p>
        </w:tc>
      </w:tr>
      <w:tr w:rsidR="00C05F0F" w:rsidRPr="00D27067" w14:paraId="33CBA33A" w14:textId="77777777" w:rsidTr="00C05F0F">
        <w:tc>
          <w:tcPr>
            <w:tcW w:w="4104" w:type="dxa"/>
            <w:tcMar>
              <w:top w:w="15" w:type="dxa"/>
              <w:left w:w="180" w:type="dxa"/>
              <w:right w:w="15" w:type="dxa"/>
            </w:tcMar>
            <w:vAlign w:val="center"/>
          </w:tcPr>
          <w:p w14:paraId="656B9D6A"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Analyses results of section II</w:t>
            </w:r>
          </w:p>
        </w:tc>
        <w:tc>
          <w:tcPr>
            <w:tcW w:w="4770" w:type="dxa"/>
            <w:tcMar>
              <w:top w:w="15" w:type="dxa"/>
              <w:left w:w="180" w:type="dxa"/>
              <w:right w:w="15" w:type="dxa"/>
            </w:tcMar>
            <w:vAlign w:val="center"/>
          </w:tcPr>
          <w:p w14:paraId="095F9B0B"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Resultados de los análisis de la sección II</w:t>
            </w:r>
          </w:p>
        </w:tc>
      </w:tr>
      <w:tr w:rsidR="00C05F0F" w:rsidRPr="00D27067" w14:paraId="66EFFAD2" w14:textId="77777777" w:rsidTr="00C05F0F">
        <w:tc>
          <w:tcPr>
            <w:tcW w:w="4104" w:type="dxa"/>
            <w:tcMar>
              <w:top w:w="15" w:type="dxa"/>
              <w:left w:w="180" w:type="dxa"/>
              <w:right w:w="15" w:type="dxa"/>
            </w:tcMar>
            <w:vAlign w:val="center"/>
          </w:tcPr>
          <w:p w14:paraId="44233488" w14:textId="77777777" w:rsidR="00C05F0F" w:rsidRPr="00D27067" w:rsidRDefault="00C05F0F" w:rsidP="00B93410">
            <w:pPr>
              <w:rPr>
                <w:rFonts w:ascii="Aptos" w:hAnsi="Aptos"/>
                <w:sz w:val="18"/>
                <w:szCs w:val="18"/>
                <w:lang w:val="en-US"/>
              </w:rPr>
            </w:pPr>
            <w:r w:rsidRPr="00D27067">
              <w:rPr>
                <w:rFonts w:ascii="Aptos" w:eastAsia="Segoe UI" w:hAnsi="Aptos" w:cs="Segoe UI"/>
                <w:color w:val="0F1115"/>
                <w:sz w:val="18"/>
                <w:szCs w:val="18"/>
                <w:lang w:val="en-US"/>
              </w:rPr>
              <w:t>Contents of the global report</w:t>
            </w:r>
          </w:p>
        </w:tc>
        <w:tc>
          <w:tcPr>
            <w:tcW w:w="4770" w:type="dxa"/>
            <w:tcMar>
              <w:top w:w="15" w:type="dxa"/>
              <w:left w:w="180" w:type="dxa"/>
              <w:right w:w="15" w:type="dxa"/>
            </w:tcMar>
            <w:vAlign w:val="center"/>
          </w:tcPr>
          <w:p w14:paraId="09D90DB8"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Contenido del informe mundial</w:t>
            </w:r>
          </w:p>
        </w:tc>
      </w:tr>
      <w:tr w:rsidR="00C05F0F" w:rsidRPr="00D27067" w14:paraId="02B07EE9" w14:textId="77777777" w:rsidTr="00C05F0F">
        <w:tc>
          <w:tcPr>
            <w:tcW w:w="4104" w:type="dxa"/>
            <w:tcMar>
              <w:top w:w="15" w:type="dxa"/>
              <w:left w:w="180" w:type="dxa"/>
              <w:right w:w="15" w:type="dxa"/>
            </w:tcMar>
            <w:vAlign w:val="center"/>
          </w:tcPr>
          <w:p w14:paraId="1770BCD2"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Scorecard</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methodology</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annex</w:t>
            </w:r>
            <w:proofErr w:type="spellEnd"/>
            <w:r w:rsidRPr="00D27067">
              <w:rPr>
                <w:rFonts w:ascii="Aptos" w:eastAsia="Segoe UI" w:hAnsi="Aptos" w:cs="Segoe UI"/>
                <w:color w:val="0F1115"/>
                <w:sz w:val="18"/>
                <w:szCs w:val="18"/>
                <w:lang w:val="es-ES"/>
              </w:rPr>
              <w:t xml:space="preserve"> J)</w:t>
            </w:r>
          </w:p>
        </w:tc>
        <w:tc>
          <w:tcPr>
            <w:tcW w:w="4770" w:type="dxa"/>
            <w:tcMar>
              <w:top w:w="15" w:type="dxa"/>
              <w:left w:w="180" w:type="dxa"/>
              <w:right w:w="15" w:type="dxa"/>
            </w:tcMar>
            <w:vAlign w:val="center"/>
          </w:tcPr>
          <w:p w14:paraId="0EC3A57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Metodología del tablero de puntuación (anexo J)</w:t>
            </w:r>
          </w:p>
        </w:tc>
      </w:tr>
      <w:tr w:rsidR="00C05F0F" w:rsidRPr="00D27067" w14:paraId="02484E23" w14:textId="77777777" w:rsidTr="00C05F0F">
        <w:tc>
          <w:tcPr>
            <w:tcW w:w="4104" w:type="dxa"/>
            <w:tcMar>
              <w:top w:w="15" w:type="dxa"/>
              <w:left w:w="180" w:type="dxa"/>
              <w:right w:w="15" w:type="dxa"/>
            </w:tcMar>
            <w:vAlign w:val="center"/>
          </w:tcPr>
          <w:p w14:paraId="7856ABD7"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Synthesis</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overall</w:t>
            </w:r>
            <w:proofErr w:type="spellEnd"/>
            <w:r w:rsidRPr="00D27067">
              <w:rPr>
                <w:rFonts w:ascii="Aptos" w:eastAsia="Segoe UI" w:hAnsi="Aptos" w:cs="Segoe UI"/>
                <w:color w:val="0F1115"/>
                <w:sz w:val="18"/>
                <w:szCs w:val="18"/>
                <w:lang w:val="es-ES"/>
              </w:rPr>
              <w:t xml:space="preserve"> </w:t>
            </w:r>
            <w:proofErr w:type="spellStart"/>
            <w:r w:rsidRPr="00D27067">
              <w:rPr>
                <w:rFonts w:ascii="Aptos" w:eastAsia="Segoe UI" w:hAnsi="Aptos" w:cs="Segoe UI"/>
                <w:color w:val="0F1115"/>
                <w:sz w:val="18"/>
                <w:szCs w:val="18"/>
                <w:lang w:val="es-ES"/>
              </w:rPr>
              <w:t>messages</w:t>
            </w:r>
            <w:proofErr w:type="spellEnd"/>
          </w:p>
        </w:tc>
        <w:tc>
          <w:tcPr>
            <w:tcW w:w="4770" w:type="dxa"/>
            <w:tcMar>
              <w:top w:w="15" w:type="dxa"/>
              <w:left w:w="180" w:type="dxa"/>
              <w:right w:w="15" w:type="dxa"/>
            </w:tcMar>
            <w:vAlign w:val="center"/>
          </w:tcPr>
          <w:p w14:paraId="260754AE"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Síntesis de los mensajes generales</w:t>
            </w:r>
          </w:p>
        </w:tc>
      </w:tr>
      <w:tr w:rsidR="00C05F0F" w:rsidRPr="00D27067" w14:paraId="5DAA9B75" w14:textId="77777777" w:rsidTr="00C05F0F">
        <w:tc>
          <w:tcPr>
            <w:tcW w:w="4104" w:type="dxa"/>
            <w:tcMar>
              <w:top w:w="15" w:type="dxa"/>
              <w:left w:w="180" w:type="dxa"/>
              <w:right w:w="15" w:type="dxa"/>
            </w:tcMar>
            <w:vAlign w:val="center"/>
          </w:tcPr>
          <w:p w14:paraId="79B22808" w14:textId="77777777" w:rsidR="00C05F0F" w:rsidRPr="00D27067" w:rsidRDefault="00C05F0F" w:rsidP="00B93410">
            <w:pPr>
              <w:rPr>
                <w:rFonts w:ascii="Aptos" w:hAnsi="Aptos"/>
                <w:sz w:val="18"/>
                <w:szCs w:val="18"/>
                <w:lang w:val="es-ES"/>
              </w:rPr>
            </w:pPr>
            <w:proofErr w:type="spellStart"/>
            <w:r w:rsidRPr="00D27067">
              <w:rPr>
                <w:rFonts w:ascii="Aptos" w:eastAsia="Segoe UI" w:hAnsi="Aptos" w:cs="Segoe UI"/>
                <w:color w:val="0F1115"/>
                <w:sz w:val="18"/>
                <w:szCs w:val="18"/>
                <w:lang w:val="es-ES"/>
              </w:rPr>
              <w:t>Scorecard</w:t>
            </w:r>
            <w:proofErr w:type="spellEnd"/>
            <w:r w:rsidRPr="00D27067">
              <w:rPr>
                <w:rFonts w:ascii="Aptos" w:eastAsia="Segoe UI" w:hAnsi="Aptos" w:cs="Segoe UI"/>
                <w:color w:val="0F1115"/>
                <w:sz w:val="18"/>
                <w:szCs w:val="18"/>
                <w:lang w:val="es-ES"/>
              </w:rPr>
              <w:t xml:space="preserve"> of </w:t>
            </w:r>
            <w:proofErr w:type="spellStart"/>
            <w:r w:rsidRPr="00D27067">
              <w:rPr>
                <w:rFonts w:ascii="Aptos" w:eastAsia="Segoe UI" w:hAnsi="Aptos" w:cs="Segoe UI"/>
                <w:color w:val="0F1115"/>
                <w:sz w:val="18"/>
                <w:szCs w:val="18"/>
                <w:lang w:val="es-ES"/>
              </w:rPr>
              <w:t>progress</w:t>
            </w:r>
            <w:proofErr w:type="spellEnd"/>
          </w:p>
        </w:tc>
        <w:tc>
          <w:tcPr>
            <w:tcW w:w="4770" w:type="dxa"/>
            <w:tcMar>
              <w:top w:w="15" w:type="dxa"/>
              <w:left w:w="180" w:type="dxa"/>
              <w:right w:w="15" w:type="dxa"/>
            </w:tcMar>
            <w:vAlign w:val="center"/>
          </w:tcPr>
          <w:p w14:paraId="53EA46CA" w14:textId="77777777" w:rsidR="00C05F0F" w:rsidRPr="00D27067" w:rsidRDefault="00C05F0F" w:rsidP="00B93410">
            <w:pPr>
              <w:rPr>
                <w:rFonts w:ascii="Aptos" w:hAnsi="Aptos"/>
                <w:sz w:val="18"/>
                <w:szCs w:val="18"/>
                <w:lang w:val="es-ES"/>
              </w:rPr>
            </w:pPr>
            <w:r w:rsidRPr="00D27067">
              <w:rPr>
                <w:rFonts w:ascii="Aptos" w:hAnsi="Aptos"/>
                <w:color w:val="0F1115"/>
                <w:sz w:val="18"/>
                <w:szCs w:val="18"/>
                <w:lang w:val="es-ES"/>
              </w:rPr>
              <w:t>Tablero de puntuación de los progresos</w:t>
            </w:r>
          </w:p>
        </w:tc>
      </w:tr>
      <w:tr w:rsidR="00C05F0F" w:rsidRPr="00D27067" w14:paraId="213DDDEA" w14:textId="77777777" w:rsidTr="00C05F0F">
        <w:tc>
          <w:tcPr>
            <w:tcW w:w="4104" w:type="dxa"/>
            <w:tcMar>
              <w:top w:w="15" w:type="dxa"/>
              <w:left w:w="180" w:type="dxa"/>
              <w:right w:w="15" w:type="dxa"/>
            </w:tcMar>
            <w:vAlign w:val="center"/>
          </w:tcPr>
          <w:p w14:paraId="1DCA1ADB" w14:textId="77777777" w:rsidR="00C05F0F" w:rsidRPr="00D27067" w:rsidRDefault="00C05F0F" w:rsidP="00B93410">
            <w:pPr>
              <w:rPr>
                <w:rFonts w:ascii="Aptos" w:hAnsi="Aptos"/>
                <w:sz w:val="18"/>
                <w:szCs w:val="18"/>
                <w:lang w:val="es-ES"/>
              </w:rPr>
            </w:pPr>
            <w:r w:rsidRPr="00D27067">
              <w:rPr>
                <w:rFonts w:ascii="Aptos" w:eastAsia="Segoe UI" w:hAnsi="Aptos" w:cs="Segoe UI"/>
                <w:color w:val="0F1115"/>
                <w:sz w:val="18"/>
                <w:szCs w:val="18"/>
                <w:lang w:val="es-ES"/>
              </w:rPr>
              <w:t xml:space="preserve">Narrative </w:t>
            </w:r>
            <w:proofErr w:type="spellStart"/>
            <w:r w:rsidRPr="00D27067">
              <w:rPr>
                <w:rFonts w:ascii="Aptos" w:eastAsia="Segoe UI" w:hAnsi="Aptos" w:cs="Segoe UI"/>
                <w:color w:val="0F1115"/>
                <w:sz w:val="18"/>
                <w:szCs w:val="18"/>
                <w:lang w:val="es-ES"/>
              </w:rPr>
              <w:t>summary</w:t>
            </w:r>
            <w:proofErr w:type="spellEnd"/>
          </w:p>
        </w:tc>
        <w:tc>
          <w:tcPr>
            <w:tcW w:w="4770" w:type="dxa"/>
            <w:tcMar>
              <w:top w:w="15" w:type="dxa"/>
              <w:left w:w="180" w:type="dxa"/>
              <w:right w:w="15" w:type="dxa"/>
            </w:tcMar>
            <w:vAlign w:val="center"/>
          </w:tcPr>
          <w:p w14:paraId="00D25CC7" w14:textId="77777777" w:rsidR="00C05F0F" w:rsidRPr="00D27067" w:rsidRDefault="00C05F0F" w:rsidP="00B93410">
            <w:pPr>
              <w:rPr>
                <w:rFonts w:ascii="Aptos" w:eastAsia="Segoe UI" w:hAnsi="Aptos" w:cs="Segoe UI"/>
                <w:color w:val="0F1115"/>
                <w:sz w:val="18"/>
                <w:szCs w:val="18"/>
                <w:lang w:val="es-ES"/>
              </w:rPr>
            </w:pPr>
            <w:r w:rsidRPr="00D27067">
              <w:rPr>
                <w:rFonts w:ascii="Aptos" w:hAnsi="Aptos"/>
                <w:color w:val="0F1115"/>
                <w:sz w:val="18"/>
                <w:szCs w:val="18"/>
                <w:lang w:val="es-ES"/>
              </w:rPr>
              <w:t>Resumen descriptivo</w:t>
            </w:r>
          </w:p>
        </w:tc>
      </w:tr>
    </w:tbl>
    <w:p w14:paraId="20B5B245" w14:textId="77777777" w:rsidR="00101697" w:rsidRPr="005E3D50" w:rsidRDefault="00101697" w:rsidP="00B50240">
      <w:pPr>
        <w:rPr>
          <w:i/>
          <w:iCs/>
          <w:color w:val="0E2841" w:themeColor="text2"/>
          <w:sz w:val="18"/>
          <w:szCs w:val="18"/>
          <w:lang w:val="es-ES"/>
        </w:rPr>
      </w:pPr>
    </w:p>
    <w:p w14:paraId="3DDE3A37" w14:textId="009DE804" w:rsidR="00B50240" w:rsidRPr="005E3D50" w:rsidRDefault="00B50240" w:rsidP="00B50240">
      <w:pPr>
        <w:rPr>
          <w:b/>
          <w:color w:val="0E2841" w:themeColor="text2"/>
          <w:sz w:val="20"/>
          <w:szCs w:val="20"/>
          <w:lang w:val="es-ES"/>
        </w:rPr>
      </w:pPr>
    </w:p>
    <w:tbl>
      <w:tblPr>
        <w:tblStyle w:val="TableGrid"/>
        <w:tblW w:w="0" w:type="auto"/>
        <w:tblLook w:val="04A0" w:firstRow="1" w:lastRow="0" w:firstColumn="1" w:lastColumn="0" w:noHBand="0" w:noVBand="1"/>
      </w:tblPr>
      <w:tblGrid>
        <w:gridCol w:w="9016"/>
      </w:tblGrid>
      <w:tr w:rsidR="00B50240" w:rsidRPr="005E3D50" w14:paraId="118DF22F" w14:textId="77777777">
        <w:tc>
          <w:tcPr>
            <w:tcW w:w="9016" w:type="dxa"/>
            <w:shd w:val="clear" w:color="auto" w:fill="D1D1D1" w:themeFill="background2" w:themeFillShade="E6"/>
          </w:tcPr>
          <w:p w14:paraId="13B95407" w14:textId="77777777" w:rsidR="004E07A2" w:rsidRPr="005E3D50" w:rsidRDefault="004E07A2">
            <w:pPr>
              <w:pStyle w:val="p1"/>
              <w:rPr>
                <w:rFonts w:ascii="Aptos" w:hAnsi="Aptos"/>
                <w:sz w:val="20"/>
                <w:szCs w:val="20"/>
                <w:lang w:val="es-ES"/>
              </w:rPr>
            </w:pPr>
          </w:p>
          <w:p w14:paraId="390C7485" w14:textId="223FD07E" w:rsidR="0099050E" w:rsidRPr="005E3D50" w:rsidRDefault="0099050E" w:rsidP="0099050E">
            <w:pPr>
              <w:rPr>
                <w:color w:val="0E2841" w:themeColor="text2"/>
                <w:sz w:val="20"/>
                <w:szCs w:val="20"/>
                <w:lang w:val="es-ES"/>
              </w:rPr>
            </w:pPr>
            <w:bookmarkStart w:id="45" w:name="_Ref238314007"/>
            <w:r w:rsidRPr="005E3D50">
              <w:rPr>
                <w:color w:val="0E2841" w:themeColor="text2"/>
                <w:sz w:val="20"/>
                <w:szCs w:val="20"/>
                <w:lang w:val="es-ES"/>
              </w:rPr>
              <w:t>Recuadro 4</w:t>
            </w:r>
            <w:bookmarkEnd w:id="45"/>
          </w:p>
          <w:p w14:paraId="2A8455D1" w14:textId="77777777" w:rsidR="0099050E" w:rsidRPr="005E3D50" w:rsidRDefault="0099050E" w:rsidP="0099050E">
            <w:pPr>
              <w:rPr>
                <w:rFonts w:ascii="Aptos" w:hAnsi="Aptos"/>
                <w:i/>
                <w:iCs/>
                <w:color w:val="0E2841" w:themeColor="text2"/>
                <w:sz w:val="20"/>
                <w:szCs w:val="20"/>
                <w:lang w:val="es-ES"/>
              </w:rPr>
            </w:pPr>
          </w:p>
          <w:p w14:paraId="657AF4C1" w14:textId="2DDED514" w:rsidR="0099050E" w:rsidRPr="005E3D50" w:rsidRDefault="0099050E" w:rsidP="0099050E">
            <w:pPr>
              <w:pStyle w:val="p1"/>
              <w:rPr>
                <w:rFonts w:ascii="Aptos" w:hAnsi="Aptos"/>
                <w:b/>
                <w:color w:val="0E2841" w:themeColor="text2"/>
                <w:sz w:val="20"/>
                <w:szCs w:val="20"/>
                <w:lang w:val="es-ES"/>
              </w:rPr>
            </w:pPr>
            <w:r w:rsidRPr="005E3D50">
              <w:rPr>
                <w:rFonts w:ascii="Aptos" w:hAnsi="Aptos"/>
                <w:b/>
                <w:color w:val="0E2841" w:themeColor="text2"/>
                <w:sz w:val="20"/>
                <w:szCs w:val="20"/>
                <w:lang w:val="es-ES"/>
              </w:rPr>
              <w:t>Comprender la evaluación de los progresos en la implementación: cómo la evaluación de las metas del Marco se relaciona con la implementación del Marco y los progresos en la consecución de los objetivos para 2050</w:t>
            </w:r>
          </w:p>
          <w:p w14:paraId="603FD4B0" w14:textId="77777777" w:rsidR="0099050E" w:rsidRPr="005E3D50" w:rsidRDefault="0099050E" w:rsidP="0099050E">
            <w:pPr>
              <w:pStyle w:val="p1"/>
              <w:rPr>
                <w:rFonts w:ascii="Aptos" w:hAnsi="Aptos"/>
                <w:sz w:val="20"/>
                <w:szCs w:val="20"/>
                <w:lang w:val="es-ES"/>
              </w:rPr>
            </w:pPr>
          </w:p>
          <w:p w14:paraId="3AD3EE20" w14:textId="1910F5BA" w:rsidR="00BE4A13" w:rsidRPr="005E3D50" w:rsidRDefault="00BE4A13" w:rsidP="00BE4A13">
            <w:pPr>
              <w:pStyle w:val="p1"/>
              <w:rPr>
                <w:rFonts w:ascii="Aptos" w:hAnsi="Aptos"/>
                <w:sz w:val="20"/>
                <w:szCs w:val="20"/>
                <w:lang w:val="es-ES"/>
              </w:rPr>
            </w:pPr>
            <w:r w:rsidRPr="005E3D50">
              <w:rPr>
                <w:rFonts w:ascii="Aptos" w:hAnsi="Aptos"/>
                <w:sz w:val="20"/>
                <w:szCs w:val="20"/>
                <w:lang w:val="es-ES"/>
              </w:rPr>
              <w:t xml:space="preserve">El informe mundial tiene el mandato de proporcionar “un resumen de los progresos colectivos hacia la consecución de las 23 metas, haciendo hincapié en las áreas de fortalezas y debilidades relativas en la implementación del Marco”. La implementación del Marco a nivel nacional se lleva a cabo mediante la </w:t>
            </w:r>
            <w:r w:rsidR="001F4ECB" w:rsidRPr="005E3D50">
              <w:rPr>
                <w:rFonts w:ascii="Aptos" w:hAnsi="Aptos"/>
                <w:sz w:val="20"/>
                <w:szCs w:val="20"/>
                <w:lang w:val="es-ES"/>
              </w:rPr>
              <w:t xml:space="preserve">consecución </w:t>
            </w:r>
            <w:r w:rsidR="00CF23F9" w:rsidRPr="005E3D50">
              <w:rPr>
                <w:rFonts w:ascii="Aptos" w:hAnsi="Aptos"/>
                <w:sz w:val="20"/>
                <w:szCs w:val="20"/>
                <w:lang w:val="es-ES"/>
              </w:rPr>
              <w:t>de las metas nacionales. Por lo tanto, s</w:t>
            </w:r>
            <w:r w:rsidRPr="005E3D50">
              <w:rPr>
                <w:rFonts w:ascii="Aptos" w:hAnsi="Aptos"/>
                <w:sz w:val="20"/>
                <w:szCs w:val="20"/>
                <w:lang w:val="es-ES"/>
              </w:rPr>
              <w:t xml:space="preserve">i las metas nacionales están </w:t>
            </w:r>
            <w:r w:rsidR="001F2399">
              <w:rPr>
                <w:rFonts w:ascii="Aptos" w:hAnsi="Aptos"/>
                <w:sz w:val="20"/>
                <w:szCs w:val="20"/>
                <w:lang w:val="es-ES"/>
              </w:rPr>
              <w:t>correctamente</w:t>
            </w:r>
            <w:r w:rsidRPr="005E3D50">
              <w:rPr>
                <w:rFonts w:ascii="Aptos" w:hAnsi="Aptos"/>
                <w:sz w:val="20"/>
                <w:szCs w:val="20"/>
                <w:lang w:val="es-ES"/>
              </w:rPr>
              <w:t xml:space="preserve"> armonizadas con las metas mundiales del Marco, los progresos en la consecución de las metas nacionales deberían contribuir a los progresos colectivos en la consecución de las metas mundiales. Paralelamente, los indicadores del marco de seguimiento del Marco se diseñaron de modo que pudieran reflejar tanto los progresos en la </w:t>
            </w:r>
            <w:r w:rsidR="001F2399" w:rsidRPr="005E3D50">
              <w:rPr>
                <w:rFonts w:ascii="Aptos" w:hAnsi="Aptos"/>
                <w:sz w:val="20"/>
                <w:szCs w:val="20"/>
                <w:lang w:val="es-ES"/>
              </w:rPr>
              <w:t xml:space="preserve">consecución </w:t>
            </w:r>
            <w:r w:rsidRPr="005E3D50">
              <w:rPr>
                <w:rFonts w:ascii="Aptos" w:hAnsi="Aptos"/>
                <w:sz w:val="20"/>
                <w:szCs w:val="20"/>
                <w:lang w:val="es-ES"/>
              </w:rPr>
              <w:t>de las metas nacionales como los progresos en la consecución de las metas mundiales cuando se agregaran los datos nacionales. Por lo tanto, los siguientes cuatro criterios de medición utilizados en el informe son importantes para evaluar los progresos generales en la implementación del Marco: a) la cobertura del alcance de las metas del Marco por las metas nacionales; b) los progresos autoevaluados por las Partes en la consecución de las metas nacionales; c) los valores y las tendencias de los indicadores que, de forma agregada, muestran los progresos en la consecución de las metas mundiales sobre la base de datos nacionales; y d) la cantidad de datos sobre indicadores informados por las Partes (es decir, el número de indicadores de cabecera, binarios, de componentes y nacionales proporcionados por las Partes para cada meta). Las entradas de las columnas 1 a 4 del tablero de puntuación resumido (cuadro 1) ilustran los valores relativos de estos criterios de medición para las distintas metas del Marco.</w:t>
            </w:r>
          </w:p>
          <w:p w14:paraId="75BC3566" w14:textId="2C8893C8" w:rsidR="00B50240" w:rsidRPr="005E3D50" w:rsidRDefault="00B50240">
            <w:pPr>
              <w:pStyle w:val="p1"/>
              <w:rPr>
                <w:rFonts w:ascii="Aptos" w:hAnsi="Aptos"/>
                <w:sz w:val="20"/>
                <w:szCs w:val="20"/>
                <w:lang w:val="es-ES"/>
              </w:rPr>
            </w:pPr>
            <w:r w:rsidRPr="005E3D50">
              <w:rPr>
                <w:rFonts w:ascii="Aptos" w:hAnsi="Aptos"/>
                <w:lang w:val="es-ES"/>
              </w:rPr>
              <w:br/>
            </w:r>
            <w:r w:rsidRPr="005E3D50">
              <w:rPr>
                <w:rFonts w:ascii="Aptos" w:hAnsi="Aptos"/>
                <w:sz w:val="20"/>
                <w:szCs w:val="20"/>
                <w:lang w:val="es-ES"/>
              </w:rPr>
              <w:t>Estos criterios de medición se relacionan con los progresos de dos maneras diferentes:</w:t>
            </w:r>
          </w:p>
          <w:p w14:paraId="50598516" w14:textId="77777777" w:rsidR="00B50240" w:rsidRPr="005E3D50" w:rsidRDefault="00B50240">
            <w:pPr>
              <w:pStyle w:val="p1"/>
              <w:rPr>
                <w:rFonts w:ascii="Aptos" w:hAnsi="Aptos"/>
                <w:lang w:val="es-ES"/>
              </w:rPr>
            </w:pPr>
          </w:p>
          <w:p w14:paraId="1724D4FF" w14:textId="211818BD" w:rsidR="00913968" w:rsidRPr="005E3D50" w:rsidRDefault="00913968" w:rsidP="00913968">
            <w:pPr>
              <w:rPr>
                <w:rFonts w:ascii="Aptos" w:hAnsi="Aptos"/>
                <w:sz w:val="20"/>
                <w:szCs w:val="20"/>
                <w:lang w:val="es-ES"/>
              </w:rPr>
            </w:pPr>
            <w:r w:rsidRPr="005E3D50">
              <w:rPr>
                <w:rFonts w:ascii="Aptos" w:hAnsi="Aptos"/>
                <w:sz w:val="20"/>
                <w:szCs w:val="20"/>
                <w:lang w:val="es-ES"/>
              </w:rPr>
              <w:t xml:space="preserve">1. Los progresos autoevaluados por las Partes en la consecución de las metas nacionales pueden traducirse en progresos en la consecución de las metas mundiales si las metas nacionales cubren eficazmente las metas mundiales. Cuando la cobertura es </w:t>
            </w:r>
            <w:r w:rsidR="005C5373" w:rsidRPr="005E3D50">
              <w:rPr>
                <w:rFonts w:ascii="Aptos" w:hAnsi="Aptos"/>
                <w:sz w:val="20"/>
                <w:szCs w:val="20"/>
                <w:lang w:val="es-ES"/>
              </w:rPr>
              <w:t>elevada</w:t>
            </w:r>
            <w:r w:rsidRPr="005E3D50">
              <w:rPr>
                <w:rFonts w:ascii="Aptos" w:hAnsi="Aptos"/>
                <w:sz w:val="20"/>
                <w:szCs w:val="20"/>
                <w:lang w:val="es-ES"/>
              </w:rPr>
              <w:t xml:space="preserve"> y los progresos en la consecución de las metas nacionales son buenos, cabe esperar que se produzcan progresos </w:t>
            </w:r>
            <w:r w:rsidR="00E461DB" w:rsidRPr="005E3D50">
              <w:rPr>
                <w:rFonts w:ascii="Aptos" w:hAnsi="Aptos"/>
                <w:sz w:val="20"/>
                <w:szCs w:val="20"/>
                <w:lang w:val="es-ES"/>
              </w:rPr>
              <w:t xml:space="preserve">en la consecución </w:t>
            </w:r>
            <w:r w:rsidR="00E461DB">
              <w:rPr>
                <w:rFonts w:ascii="Aptos" w:hAnsi="Aptos"/>
                <w:sz w:val="20"/>
                <w:szCs w:val="20"/>
                <w:lang w:val="es-ES"/>
              </w:rPr>
              <w:t xml:space="preserve">de </w:t>
            </w:r>
            <w:r w:rsidRPr="005E3D50">
              <w:rPr>
                <w:rFonts w:ascii="Aptos" w:hAnsi="Aptos"/>
                <w:sz w:val="20"/>
                <w:szCs w:val="20"/>
                <w:lang w:val="es-ES"/>
              </w:rPr>
              <w:t xml:space="preserve">las metas mundiales. Sin embargo, si la cobertura por las metas nacionales es baja, los progresos en la consecución de las metas mundiales serán limitados incluso si los progresos autoevaluados son </w:t>
            </w:r>
            <w:r w:rsidR="005C5373" w:rsidRPr="005E3D50">
              <w:rPr>
                <w:rFonts w:ascii="Aptos" w:hAnsi="Aptos"/>
                <w:sz w:val="20"/>
                <w:szCs w:val="20"/>
                <w:lang w:val="es-ES"/>
              </w:rPr>
              <w:t>significativos</w:t>
            </w:r>
            <w:r w:rsidRPr="005E3D50">
              <w:rPr>
                <w:rFonts w:ascii="Aptos" w:hAnsi="Aptos"/>
                <w:sz w:val="20"/>
                <w:szCs w:val="20"/>
                <w:lang w:val="es-ES"/>
              </w:rPr>
              <w:t>. Por consiguiente, la combinación de la cobertura y los progresos autoevaluados proporciona una primera medida resumida de los progresos colectivos esperados.</w:t>
            </w:r>
          </w:p>
          <w:p w14:paraId="3F784A3D" w14:textId="77777777" w:rsidR="00B50240" w:rsidRPr="005E3D50" w:rsidRDefault="00B50240">
            <w:pPr>
              <w:rPr>
                <w:rFonts w:ascii="Aptos" w:hAnsi="Aptos"/>
                <w:sz w:val="20"/>
                <w:szCs w:val="20"/>
                <w:lang w:val="es-ES"/>
              </w:rPr>
            </w:pPr>
          </w:p>
          <w:p w14:paraId="332BFCDF" w14:textId="7DBD0AD0" w:rsidR="00780CA1" w:rsidRPr="005E3D50" w:rsidRDefault="00B50240" w:rsidP="00780CA1">
            <w:pPr>
              <w:rPr>
                <w:rFonts w:ascii="Aptos" w:hAnsi="Aptos"/>
                <w:sz w:val="20"/>
                <w:szCs w:val="20"/>
                <w:lang w:val="es-ES"/>
              </w:rPr>
            </w:pPr>
            <w:r w:rsidRPr="005E3D50">
              <w:rPr>
                <w:rFonts w:ascii="Aptos" w:hAnsi="Aptos"/>
                <w:sz w:val="20"/>
                <w:szCs w:val="20"/>
                <w:lang w:val="es-ES"/>
              </w:rPr>
              <w:t xml:space="preserve">2. </w:t>
            </w:r>
            <w:r w:rsidRPr="005E3D50">
              <w:rPr>
                <w:sz w:val="20"/>
                <w:szCs w:val="20"/>
                <w:lang w:val="es-ES"/>
              </w:rPr>
              <w:t>Si bien los valores y las tendencias de los indicadores pertinentes miden los progresos colectivos logrados en la consecución de cada meta, cabe señalar que se necesitará tiempo para que puedan detectarse los cambios en los resultados en materia de biodiversidad derivados de la implementación del Marco (véase la figura 6). Además, la capacidad para medir los progresos colectivos hacia cualquier meta depende de la representatividad de los datos presentados para los indicadores.</w:t>
            </w:r>
            <w:r w:rsidRPr="005E3D50">
              <w:rPr>
                <w:rFonts w:ascii="Aptos" w:hAnsi="Aptos"/>
                <w:sz w:val="20"/>
                <w:szCs w:val="20"/>
                <w:lang w:val="es-ES"/>
              </w:rPr>
              <w:t xml:space="preserve"> Cuando los datos disponibles son escasos, es poco probable que los valores y las tendencias de los indicadores reflejen los progresos colectivos. Dado que la situación inversa también es verdadera, cualquier medida de los progresos basada en los indicadores debe interpretarse en el contexto de la cantidad de datos disponibles para esos indicadores a fin de garantizar que se tenga en cuenta la representatividad.</w:t>
            </w:r>
          </w:p>
          <w:p w14:paraId="0FF4B020" w14:textId="77777777" w:rsidR="00B50240" w:rsidRPr="005E3D50" w:rsidRDefault="00B50240">
            <w:pPr>
              <w:rPr>
                <w:rFonts w:ascii="Aptos" w:hAnsi="Aptos"/>
                <w:sz w:val="20"/>
                <w:szCs w:val="20"/>
                <w:lang w:val="es-ES"/>
              </w:rPr>
            </w:pPr>
          </w:p>
          <w:p w14:paraId="0FE27F9F" w14:textId="77777777" w:rsidR="008D2CDF" w:rsidRPr="005E3D50" w:rsidRDefault="008D2CDF" w:rsidP="008D2CDF">
            <w:pPr>
              <w:rPr>
                <w:rFonts w:ascii="Aptos" w:hAnsi="Aptos"/>
                <w:sz w:val="20"/>
                <w:szCs w:val="20"/>
                <w:lang w:val="es-ES"/>
              </w:rPr>
            </w:pPr>
            <w:r w:rsidRPr="005E3D50">
              <w:rPr>
                <w:rFonts w:ascii="Aptos" w:hAnsi="Aptos"/>
                <w:sz w:val="20"/>
                <w:szCs w:val="20"/>
                <w:lang w:val="es-ES"/>
              </w:rPr>
              <w:t>Mediante su análisis conjunto de la cobertura de las metas mundiales por las metas nacionales, los progresos autoevaluados, los valores medidos de los indicadores y sus tendencias y la disponibilidad de datos, el informe mundial es capaz de proporcionar una evaluación relativa de los progresos colectivos hacia cada meta mundial del Marco. La evaluación relativa se ha utilizado para elaborar los esquemas de colores para los tableros de puntuación del informe.</w:t>
            </w:r>
          </w:p>
          <w:p w14:paraId="04995E0A" w14:textId="77777777" w:rsidR="00B50240" w:rsidRPr="005E3D50" w:rsidRDefault="00B50240">
            <w:pPr>
              <w:rPr>
                <w:rFonts w:ascii="Aptos" w:hAnsi="Aptos"/>
                <w:sz w:val="20"/>
                <w:szCs w:val="20"/>
                <w:lang w:val="es-ES"/>
              </w:rPr>
            </w:pPr>
            <w:r w:rsidRPr="005E3D50">
              <w:rPr>
                <w:rFonts w:ascii="Aptos" w:hAnsi="Aptos"/>
                <w:sz w:val="20"/>
                <w:szCs w:val="20"/>
                <w:lang w:val="es-ES"/>
              </w:rPr>
              <w:t xml:space="preserve"> </w:t>
            </w:r>
          </w:p>
          <w:p w14:paraId="0AB94721" w14:textId="4A77CB56" w:rsidR="00B50240" w:rsidRPr="005E3D50" w:rsidRDefault="00B50240">
            <w:pPr>
              <w:rPr>
                <w:rFonts w:ascii="Aptos" w:hAnsi="Aptos"/>
                <w:sz w:val="20"/>
                <w:szCs w:val="20"/>
                <w:lang w:val="es-ES"/>
              </w:rPr>
            </w:pPr>
            <w:r w:rsidRPr="005E3D50">
              <w:rPr>
                <w:sz w:val="20"/>
                <w:szCs w:val="20"/>
                <w:lang w:val="es-ES"/>
              </w:rPr>
              <w:t xml:space="preserve">La metodología de este enfoque y los cálculos relacionados con los esquemas de colores se explican brevemente en el tablero de puntuación más detallado (cuadro </w:t>
            </w:r>
            <w:r w:rsidRPr="005E3D50">
              <w:rPr>
                <w:color w:val="0E2841" w:themeColor="text2"/>
                <w:sz w:val="20"/>
                <w:szCs w:val="20"/>
                <w:lang w:val="es-ES"/>
              </w:rPr>
              <w:t>56</w:t>
            </w:r>
            <w:r w:rsidRPr="005E3D50">
              <w:rPr>
                <w:rFonts w:ascii="Aptos" w:hAnsi="Aptos"/>
                <w:sz w:val="20"/>
                <w:szCs w:val="20"/>
                <w:lang w:val="es-ES"/>
              </w:rPr>
              <w:t xml:space="preserve">), mientras que la metodología completa para la puntuación figura en el documento SBSTTA/28/INF/09. Si bien el código general de colores no representa una medida absoluta de los progresos, permite identificar las metas que enfrentan los mayores desafíos de implementación, ya que muestra dónde la falta relativa de </w:t>
            </w:r>
            <w:r w:rsidRPr="005E3D50">
              <w:rPr>
                <w:rFonts w:ascii="Aptos" w:hAnsi="Aptos"/>
                <w:sz w:val="20"/>
                <w:szCs w:val="20"/>
                <w:lang w:val="es-ES"/>
              </w:rPr>
              <w:lastRenderedPageBreak/>
              <w:t xml:space="preserve">progresos es más preocupante. Sin embargo, esta evaluación no implica que no existan desafíos relacionados con la implementación para las metas cuya puntuación es relativamente alta. </w:t>
            </w:r>
          </w:p>
          <w:p w14:paraId="00EA77E3" w14:textId="77777777" w:rsidR="00B50240" w:rsidRPr="005E3D50" w:rsidRDefault="00B50240">
            <w:pPr>
              <w:rPr>
                <w:rFonts w:ascii="Aptos" w:hAnsi="Aptos"/>
                <w:sz w:val="20"/>
                <w:szCs w:val="20"/>
                <w:lang w:val="es-ES"/>
              </w:rPr>
            </w:pPr>
          </w:p>
          <w:p w14:paraId="5CCD65A0" w14:textId="00AAB669" w:rsidR="00E50842" w:rsidRPr="005E3D50" w:rsidRDefault="00E50842">
            <w:pPr>
              <w:rPr>
                <w:rFonts w:ascii="Aptos" w:hAnsi="Aptos"/>
                <w:sz w:val="20"/>
                <w:szCs w:val="20"/>
                <w:lang w:val="es-ES"/>
              </w:rPr>
            </w:pPr>
            <w:r w:rsidRPr="005E3D50">
              <w:rPr>
                <w:rFonts w:ascii="Aptos" w:hAnsi="Aptos"/>
                <w:sz w:val="20"/>
                <w:szCs w:val="20"/>
                <w:lang w:val="es-ES"/>
              </w:rPr>
              <w:t xml:space="preserve">En esta etapa temprana de la implementación, es demasiado pronto para evaluar si los progresos en la consecución de las metas mundiales se traducen en progresos en la consecución de los objetivos mundiales. Las tendencias mundiales de los cambios en la diversidad biológica se producen lentamente y solo pueden detectarse a lo largo de extensos períodos de tiempo. Sin embargo, en sus comunicaciones las Partes han relacionado sus metas nacionales tanto con las metas mundiales como con los objetivos mundiales. Al establecer correspondencias a partir de la forma en que las Partes relacionan las metas con los objetivos, es posible identificar las metas que se consideran más pertinentes para cada objetivo y resumir específicamente los progresos en la consecución de esas metas. Si existen obstáculos importantes para la </w:t>
            </w:r>
            <w:r w:rsidR="0006583B" w:rsidRPr="005E3D50">
              <w:rPr>
                <w:rFonts w:ascii="Aptos" w:hAnsi="Aptos"/>
                <w:sz w:val="20"/>
                <w:szCs w:val="20"/>
                <w:lang w:val="es-ES"/>
              </w:rPr>
              <w:t xml:space="preserve">consecución </w:t>
            </w:r>
            <w:r w:rsidRPr="005E3D50">
              <w:rPr>
                <w:rFonts w:ascii="Aptos" w:hAnsi="Aptos"/>
                <w:sz w:val="20"/>
                <w:szCs w:val="20"/>
                <w:lang w:val="es-ES"/>
              </w:rPr>
              <w:t xml:space="preserve">de las metas relacionadas con un objetivo, se supone que la falta de progresos </w:t>
            </w:r>
            <w:r w:rsidR="00E461DB" w:rsidRPr="005E3D50">
              <w:rPr>
                <w:rFonts w:ascii="Aptos" w:hAnsi="Aptos"/>
                <w:sz w:val="20"/>
                <w:szCs w:val="20"/>
                <w:lang w:val="es-ES"/>
              </w:rPr>
              <w:t xml:space="preserve">en la consecución </w:t>
            </w:r>
            <w:r w:rsidR="00E461DB">
              <w:rPr>
                <w:rFonts w:ascii="Aptos" w:hAnsi="Aptos"/>
                <w:sz w:val="20"/>
                <w:szCs w:val="20"/>
                <w:lang w:val="es-ES"/>
              </w:rPr>
              <w:t xml:space="preserve">de </w:t>
            </w:r>
            <w:r w:rsidRPr="005E3D50">
              <w:rPr>
                <w:rFonts w:ascii="Aptos" w:hAnsi="Aptos"/>
                <w:sz w:val="20"/>
                <w:szCs w:val="20"/>
                <w:lang w:val="es-ES"/>
              </w:rPr>
              <w:t xml:space="preserve">esas metas se corresponderá con una falta de progresos </w:t>
            </w:r>
            <w:r w:rsidR="00E461DB" w:rsidRPr="005E3D50">
              <w:rPr>
                <w:rFonts w:ascii="Aptos" w:hAnsi="Aptos"/>
                <w:sz w:val="20"/>
                <w:szCs w:val="20"/>
                <w:lang w:val="es-ES"/>
              </w:rPr>
              <w:t xml:space="preserve">en la consecución </w:t>
            </w:r>
            <w:r w:rsidR="00E461DB">
              <w:rPr>
                <w:rFonts w:ascii="Aptos" w:hAnsi="Aptos"/>
                <w:sz w:val="20"/>
                <w:szCs w:val="20"/>
                <w:lang w:val="es-ES"/>
              </w:rPr>
              <w:t>d</w:t>
            </w:r>
            <w:r w:rsidRPr="005E3D50">
              <w:rPr>
                <w:rFonts w:ascii="Aptos" w:hAnsi="Aptos"/>
                <w:sz w:val="20"/>
                <w:szCs w:val="20"/>
                <w:lang w:val="es-ES"/>
              </w:rPr>
              <w:t xml:space="preserve">el objetivo relacionado con esas metas. Sin embargo, este método no permite determinar con certeza el nivel específico de progresos </w:t>
            </w:r>
            <w:r w:rsidR="00E461DB" w:rsidRPr="005E3D50">
              <w:rPr>
                <w:rFonts w:ascii="Aptos" w:hAnsi="Aptos"/>
                <w:sz w:val="20"/>
                <w:szCs w:val="20"/>
                <w:lang w:val="es-ES"/>
              </w:rPr>
              <w:t xml:space="preserve">en la consecución </w:t>
            </w:r>
            <w:r w:rsidR="00E461DB">
              <w:rPr>
                <w:rFonts w:ascii="Aptos" w:hAnsi="Aptos"/>
                <w:sz w:val="20"/>
                <w:szCs w:val="20"/>
                <w:lang w:val="es-ES"/>
              </w:rPr>
              <w:t xml:space="preserve">de </w:t>
            </w:r>
            <w:r w:rsidRPr="005E3D50">
              <w:rPr>
                <w:rFonts w:ascii="Aptos" w:hAnsi="Aptos"/>
                <w:sz w:val="20"/>
                <w:szCs w:val="20"/>
                <w:lang w:val="es-ES"/>
              </w:rPr>
              <w:t>un objetivo.</w:t>
            </w:r>
          </w:p>
          <w:p w14:paraId="03F2A87D" w14:textId="77777777" w:rsidR="00B50240" w:rsidRPr="005E3D50" w:rsidRDefault="00B50240">
            <w:pPr>
              <w:rPr>
                <w:rFonts w:ascii="Aptos" w:hAnsi="Aptos"/>
                <w:sz w:val="20"/>
                <w:szCs w:val="20"/>
                <w:lang w:val="es-ES"/>
              </w:rPr>
            </w:pPr>
          </w:p>
          <w:p w14:paraId="092BD7E0" w14:textId="68F0A93C" w:rsidR="007A4C97" w:rsidRPr="005E3D50" w:rsidRDefault="007A4C97" w:rsidP="007A4C97">
            <w:pPr>
              <w:rPr>
                <w:rFonts w:ascii="Aptos" w:hAnsi="Aptos"/>
                <w:sz w:val="20"/>
                <w:szCs w:val="20"/>
                <w:lang w:val="es-ES"/>
              </w:rPr>
            </w:pPr>
            <w:r w:rsidRPr="005E3D50">
              <w:rPr>
                <w:rFonts w:ascii="Aptos" w:hAnsi="Aptos"/>
                <w:sz w:val="20"/>
                <w:szCs w:val="20"/>
                <w:lang w:val="es-ES"/>
              </w:rPr>
              <w:t xml:space="preserve">No obstante, de acuerdo con la lógica del Marco, el cumplimiento de la misión para 2030 mediante </w:t>
            </w:r>
            <w:r w:rsidR="005C5373" w:rsidRPr="005E3D50">
              <w:rPr>
                <w:rFonts w:ascii="Aptos" w:hAnsi="Aptos"/>
                <w:sz w:val="20"/>
                <w:szCs w:val="20"/>
                <w:lang w:val="es-ES"/>
              </w:rPr>
              <w:t>la consecución</w:t>
            </w:r>
            <w:r w:rsidRPr="005E3D50">
              <w:rPr>
                <w:rFonts w:ascii="Aptos" w:hAnsi="Aptos"/>
                <w:sz w:val="20"/>
                <w:szCs w:val="20"/>
                <w:lang w:val="es-ES"/>
              </w:rPr>
              <w:t xml:space="preserve"> de las metas será necesario para hacer realidad la Visión 2050 y alcanzar sus objetivos. De acuerdo con esa lógica, mediante el análisis de los progresos actuales en la consecución de las metas puede obtenerse cierta información sobre los progresos en la consecución de los objetivos. Concretamente, si las metas no están en vías de alcanzarse, es probable que los objetivos tampoco lo estén.</w:t>
            </w:r>
          </w:p>
          <w:p w14:paraId="37451698" w14:textId="77777777" w:rsidR="00B50240" w:rsidRPr="005E3D50" w:rsidRDefault="00B50240">
            <w:pPr>
              <w:rPr>
                <w:rFonts w:ascii="Aptos" w:hAnsi="Aptos"/>
                <w:sz w:val="20"/>
                <w:szCs w:val="20"/>
                <w:lang w:val="es-ES"/>
              </w:rPr>
            </w:pPr>
          </w:p>
          <w:p w14:paraId="0BCEB4FC" w14:textId="14163D80" w:rsidR="00DC6F4F" w:rsidRPr="005E3D50" w:rsidRDefault="00DC6F4F" w:rsidP="00DC6F4F">
            <w:pPr>
              <w:rPr>
                <w:rFonts w:ascii="Aptos" w:hAnsi="Aptos"/>
                <w:sz w:val="20"/>
                <w:szCs w:val="20"/>
                <w:lang w:val="es-ES"/>
              </w:rPr>
            </w:pPr>
            <w:r w:rsidRPr="005E3D50">
              <w:rPr>
                <w:rFonts w:ascii="Aptos" w:hAnsi="Aptos"/>
                <w:sz w:val="20"/>
                <w:szCs w:val="20"/>
                <w:lang w:val="es-ES"/>
              </w:rPr>
              <w:t>Una vez que la implementación del Marco haya alcanzado una etapa más avanzada, debería ser posible mejorar la evaluación de los progresos colectivos en la consecución de los objetivos mundiales mediante la aplicación de métodos mejorados a datos de mejor calidad.</w:t>
            </w:r>
          </w:p>
          <w:p w14:paraId="7080A02E" w14:textId="3DEC5DBD" w:rsidR="00B50240" w:rsidRPr="005E3D50" w:rsidRDefault="00B50240">
            <w:pPr>
              <w:rPr>
                <w:rFonts w:ascii="Aptos" w:hAnsi="Aptos"/>
                <w:sz w:val="20"/>
                <w:szCs w:val="20"/>
                <w:lang w:val="es-ES"/>
              </w:rPr>
            </w:pPr>
          </w:p>
        </w:tc>
      </w:tr>
    </w:tbl>
    <w:p w14:paraId="2D4A01F3" w14:textId="77777777" w:rsidR="003F0968" w:rsidRPr="005E3D50" w:rsidRDefault="003F0968" w:rsidP="00B50240">
      <w:pPr>
        <w:rPr>
          <w:lang w:val="es-ES" w:eastAsia="ja-JP"/>
        </w:rPr>
      </w:pPr>
    </w:p>
    <w:p w14:paraId="368A8E42" w14:textId="30252191" w:rsidR="00550E7A" w:rsidRPr="005E3D50" w:rsidRDefault="00703908" w:rsidP="00703908">
      <w:pPr>
        <w:pStyle w:val="Heading3"/>
        <w:rPr>
          <w:lang w:val="es-ES"/>
        </w:rPr>
      </w:pPr>
      <w:bookmarkStart w:id="46" w:name="_Toc235821038"/>
      <w:bookmarkStart w:id="47" w:name="_Toc239069183"/>
      <w:bookmarkStart w:id="48" w:name="_Toc242882961"/>
      <w:r w:rsidRPr="005E3D50">
        <w:rPr>
          <w:lang w:val="es-ES"/>
        </w:rPr>
        <w:t>Limitaciones y supuestos metodológicos</w:t>
      </w:r>
      <w:bookmarkEnd w:id="46"/>
      <w:bookmarkEnd w:id="47"/>
      <w:bookmarkEnd w:id="48"/>
    </w:p>
    <w:p w14:paraId="7E9DF613" w14:textId="77777777" w:rsidR="00F07254" w:rsidRPr="005E3D50" w:rsidRDefault="00F07254" w:rsidP="00F07254">
      <w:pPr>
        <w:rPr>
          <w:lang w:val="es-ES"/>
        </w:rPr>
      </w:pPr>
    </w:p>
    <w:p w14:paraId="645519A1" w14:textId="6EAD7C17" w:rsidR="0050091F" w:rsidRPr="005E3D50" w:rsidRDefault="0050091F" w:rsidP="0050091F">
      <w:pPr>
        <w:pStyle w:val="Caption"/>
        <w:rPr>
          <w:i w:val="0"/>
          <w:iCs w:val="0"/>
          <w:color w:val="000000" w:themeColor="text1"/>
          <w:sz w:val="24"/>
          <w:szCs w:val="24"/>
          <w:lang w:val="es-ES"/>
        </w:rPr>
      </w:pPr>
      <w:r w:rsidRPr="005E3D50">
        <w:rPr>
          <w:i w:val="0"/>
          <w:iCs w:val="0"/>
          <w:color w:val="000000" w:themeColor="text1"/>
          <w:sz w:val="24"/>
          <w:szCs w:val="24"/>
          <w:lang w:val="es-ES"/>
        </w:rPr>
        <w:t xml:space="preserve">Si bien el número de informes nacionales recibidos antes del plazo de febrero de 2026 fue mayor que en cualquier ciclo anterior de presentación de informes en el marco del Convenio, varias dificultades limitaron tanto la cantidad como la exhaustividad de las comunicaciones nacionales. Como se describe en la sección II.A más adelante, las demoras en el acceso al apoyo financiero y su recepción para la preparación de las EPANB, las </w:t>
      </w:r>
      <w:proofErr w:type="gramStart"/>
      <w:r w:rsidRPr="005E3D50">
        <w:rPr>
          <w:i w:val="0"/>
          <w:iCs w:val="0"/>
          <w:color w:val="000000" w:themeColor="text1"/>
          <w:sz w:val="24"/>
          <w:szCs w:val="24"/>
          <w:lang w:val="es-ES"/>
        </w:rPr>
        <w:t>metas nacionales y los informes nacionales</w:t>
      </w:r>
      <w:proofErr w:type="gramEnd"/>
      <w:r w:rsidRPr="005E3D50">
        <w:rPr>
          <w:i w:val="0"/>
          <w:iCs w:val="0"/>
          <w:color w:val="000000" w:themeColor="text1"/>
          <w:sz w:val="24"/>
          <w:szCs w:val="24"/>
          <w:lang w:val="es-ES"/>
        </w:rPr>
        <w:t xml:space="preserve"> retrasaron el proceso para varias Partes, aunque solo una minoría de las Partes no realizó sus presentaciones dentro de los plazos correspondientes debido a dificultades relacionadas con el apoyo financiero. </w:t>
      </w:r>
    </w:p>
    <w:p w14:paraId="34CB9431" w14:textId="3A89DA73" w:rsidR="00180D09" w:rsidRPr="005E3D50" w:rsidRDefault="00F21FE3" w:rsidP="00180D09">
      <w:pPr>
        <w:rPr>
          <w:lang w:val="es-ES"/>
        </w:rPr>
      </w:pPr>
      <w:r w:rsidRPr="005E3D50">
        <w:rPr>
          <w:lang w:val="es-ES"/>
        </w:rPr>
        <w:t xml:space="preserve">De hecho, durante los diálogos regionales y subregionales sobre el seguimiento y la presentación de informes en materia de biodiversidad, las Partes señalaron otras dificultades relacionadas con la elaboración de sus EPANB, </w:t>
      </w:r>
      <w:proofErr w:type="gramStart"/>
      <w:r w:rsidRPr="005E3D50">
        <w:rPr>
          <w:lang w:val="es-ES"/>
        </w:rPr>
        <w:t>metas nacionales e informes nacionales</w:t>
      </w:r>
      <w:proofErr w:type="gramEnd"/>
      <w:r w:rsidRPr="005E3D50">
        <w:rPr>
          <w:lang w:val="es-ES"/>
        </w:rPr>
        <w:t xml:space="preserve"> (</w:t>
      </w:r>
      <w:hyperlink r:id="rId35" w:history="1">
        <w:r w:rsidRPr="005E3D50">
          <w:rPr>
            <w:rStyle w:val="Hyperlink"/>
            <w:lang w:val="es-ES"/>
          </w:rPr>
          <w:t>CBD/SBI/6/INF/6</w:t>
        </w:r>
      </w:hyperlink>
      <w:r w:rsidRPr="005E3D50">
        <w:rPr>
          <w:lang w:val="es-ES"/>
        </w:rPr>
        <w:t>), en particular:</w:t>
      </w:r>
    </w:p>
    <w:p w14:paraId="0100F711" w14:textId="69548491" w:rsidR="00180D09" w:rsidRPr="005E3D50" w:rsidRDefault="00180D09" w:rsidP="00180D09">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lastRenderedPageBreak/>
        <w:t xml:space="preserve">El tiempo necesario para consultar a todos los interesados, entre otros obstáculos para la inclusión de información procedente de los interesados </w:t>
      </w:r>
    </w:p>
    <w:p w14:paraId="1D1303CC" w14:textId="6A6EABA7" w:rsidR="00180D09" w:rsidRPr="005E3D50" w:rsidRDefault="00180D09" w:rsidP="00180D09">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t xml:space="preserve">El tiempo necesario para completar los procesos burocráticos </w:t>
      </w:r>
    </w:p>
    <w:p w14:paraId="7D855A8F" w14:textId="32BC24F9" w:rsidR="00180D09" w:rsidRPr="005E3D50" w:rsidRDefault="00180D09" w:rsidP="00180D09">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t>La carga que supone tener que presentar informes a numerosos acuerdos ambientales multilaterales y otros procesos, especialmente cuando se ve agravada por la escasez de recursos humanos</w:t>
      </w:r>
    </w:p>
    <w:p w14:paraId="27E0D430" w14:textId="77777777" w:rsidR="00D91AB7" w:rsidRPr="005E3D50" w:rsidRDefault="00D91AB7" w:rsidP="00D91AB7">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t>Otras demoras relacionadas con contextos nacionales específicos</w:t>
      </w:r>
    </w:p>
    <w:p w14:paraId="3B1B0DB6" w14:textId="76E32F3C" w:rsidR="00180D09" w:rsidRPr="005E3D50" w:rsidRDefault="00180D09" w:rsidP="00180D09">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t xml:space="preserve">La índole compleja del Marco y de la información necesaria para describir plenamente las metas nacionales e informar sobre su implementación </w:t>
      </w:r>
    </w:p>
    <w:p w14:paraId="17E9D36A" w14:textId="0497F548" w:rsidR="00180D09" w:rsidRPr="005E3D50" w:rsidRDefault="00180D09" w:rsidP="00180D09">
      <w:pPr>
        <w:pStyle w:val="CBDNormalNumber"/>
        <w:numPr>
          <w:ilvl w:val="0"/>
          <w:numId w:val="8"/>
        </w:numPr>
        <w:jc w:val="left"/>
        <w:rPr>
          <w:rFonts w:asciiTheme="minorHAnsi" w:hAnsiTheme="minorHAnsi"/>
          <w:sz w:val="24"/>
          <w:szCs w:val="24"/>
          <w:lang w:val="es-ES"/>
        </w:rPr>
      </w:pPr>
      <w:r w:rsidRPr="005E3D50">
        <w:rPr>
          <w:rFonts w:asciiTheme="minorHAnsi" w:hAnsiTheme="minorHAnsi"/>
          <w:sz w:val="24"/>
          <w:szCs w:val="24"/>
          <w:lang w:val="es-ES"/>
        </w:rPr>
        <w:t>Carencias en cuanto a la cobertura de los sistemas nacionales de seguimiento o la capacidad técnica para hacer un seguimiento, incluidas las carencias relacionadas con la presentación de informes sobre los indicadores de cabecera</w:t>
      </w:r>
    </w:p>
    <w:p w14:paraId="49D7A9B3" w14:textId="1A1CD5A2" w:rsidR="00E9038A" w:rsidRPr="005E3D50" w:rsidRDefault="00E9038A" w:rsidP="00E9038A">
      <w:pPr>
        <w:rPr>
          <w:lang w:val="es-ES"/>
        </w:rPr>
      </w:pPr>
      <w:r w:rsidRPr="005E3D50">
        <w:rPr>
          <w:lang w:val="es-ES"/>
        </w:rPr>
        <w:t>Como resultado de es</w:t>
      </w:r>
      <w:r w:rsidR="007B2653">
        <w:rPr>
          <w:lang w:val="es-ES"/>
        </w:rPr>
        <w:t>a</w:t>
      </w:r>
      <w:r w:rsidRPr="005E3D50">
        <w:rPr>
          <w:lang w:val="es-ES"/>
        </w:rPr>
        <w:t xml:space="preserve">s </w:t>
      </w:r>
      <w:r w:rsidR="007B2653">
        <w:rPr>
          <w:lang w:val="es-ES"/>
        </w:rPr>
        <w:t>dificultades</w:t>
      </w:r>
      <w:r w:rsidRPr="005E3D50">
        <w:rPr>
          <w:lang w:val="es-ES"/>
        </w:rPr>
        <w:t xml:space="preserve">, si bien la mayoría de las Partes pudieron presentar </w:t>
      </w:r>
      <w:proofErr w:type="gramStart"/>
      <w:r w:rsidRPr="005E3D50">
        <w:rPr>
          <w:lang w:val="es-ES"/>
        </w:rPr>
        <w:t>metas nacionales e informes nacionales</w:t>
      </w:r>
      <w:proofErr w:type="gramEnd"/>
      <w:r w:rsidRPr="005E3D50">
        <w:rPr>
          <w:lang w:val="es-ES"/>
        </w:rPr>
        <w:t xml:space="preserve">, algunas descripciones textuales y datos de los indicadores estaban incompletos. Además, la tasa de presentación de informes nacionales variaba entre las regiones (véase el cuadro 1). Esto creó una serie de </w:t>
      </w:r>
      <w:r w:rsidR="009D3E44">
        <w:rPr>
          <w:lang w:val="es-ES"/>
        </w:rPr>
        <w:t>dificultades</w:t>
      </w:r>
      <w:r w:rsidR="009D3E44" w:rsidRPr="005E3D50">
        <w:rPr>
          <w:lang w:val="es-ES"/>
        </w:rPr>
        <w:t xml:space="preserve"> </w:t>
      </w:r>
      <w:r w:rsidRPr="005E3D50">
        <w:rPr>
          <w:lang w:val="es-ES"/>
        </w:rPr>
        <w:t>y limitaciones con respecto al análisis realizado para el primer informe mundial, que deberían tenerse en cuenta al considerar sus conclusiones. Entre es</w:t>
      </w:r>
      <w:r w:rsidR="009D3E44">
        <w:rPr>
          <w:lang w:val="es-ES"/>
        </w:rPr>
        <w:t>a</w:t>
      </w:r>
      <w:r w:rsidRPr="005E3D50">
        <w:rPr>
          <w:lang w:val="es-ES"/>
        </w:rPr>
        <w:t xml:space="preserve">s </w:t>
      </w:r>
      <w:r w:rsidR="009D3E44">
        <w:rPr>
          <w:lang w:val="es-ES"/>
        </w:rPr>
        <w:t>dificultades</w:t>
      </w:r>
      <w:r w:rsidR="009D3E44" w:rsidRPr="005E3D50">
        <w:rPr>
          <w:lang w:val="es-ES"/>
        </w:rPr>
        <w:t xml:space="preserve"> </w:t>
      </w:r>
      <w:r w:rsidRPr="005E3D50">
        <w:rPr>
          <w:lang w:val="es-ES"/>
        </w:rPr>
        <w:t>figuraban:</w:t>
      </w:r>
    </w:p>
    <w:p w14:paraId="090D2A55" w14:textId="7EA521FC" w:rsidR="00180D09" w:rsidRPr="005E3D50" w:rsidRDefault="00D350EA" w:rsidP="00180D09">
      <w:pPr>
        <w:pStyle w:val="ListParagraph"/>
        <w:numPr>
          <w:ilvl w:val="0"/>
          <w:numId w:val="9"/>
        </w:numPr>
        <w:tabs>
          <w:tab w:val="left" w:pos="567"/>
          <w:tab w:val="left" w:pos="1134"/>
          <w:tab w:val="left" w:pos="2268"/>
        </w:tabs>
        <w:spacing w:after="0" w:line="279" w:lineRule="auto"/>
        <w:rPr>
          <w:lang w:val="es-ES"/>
        </w:rPr>
      </w:pPr>
      <w:r w:rsidRPr="005E3D50">
        <w:rPr>
          <w:i/>
          <w:iCs/>
          <w:lang w:val="es-ES"/>
        </w:rPr>
        <w:t>Disparidad</w:t>
      </w:r>
      <w:r w:rsidR="00180D09" w:rsidRPr="005E3D50">
        <w:rPr>
          <w:i/>
          <w:iCs/>
          <w:lang w:val="es-ES"/>
        </w:rPr>
        <w:t xml:space="preserve"> en la presentación de informes entre las regiones.</w:t>
      </w:r>
      <w:r w:rsidR="00180D09" w:rsidRPr="005E3D50">
        <w:rPr>
          <w:i/>
          <w:lang w:val="es-ES"/>
        </w:rPr>
        <w:t xml:space="preserve"> </w:t>
      </w:r>
      <w:r w:rsidR="00180D09" w:rsidRPr="005E3D50">
        <w:rPr>
          <w:lang w:val="es-ES"/>
        </w:rPr>
        <w:t>Las tasas de presentación de informes nacionales no eran uniformes entre las regiones. En particular, las tasas de presentación fueron bajas en Europa Oriental, el Caribe y los Estados insulares del Pacífico (véase el cuadro 1).</w:t>
      </w:r>
    </w:p>
    <w:p w14:paraId="591DB161" w14:textId="5F5E2DE1" w:rsidR="00180D09" w:rsidRPr="005E3D50" w:rsidRDefault="00180D09" w:rsidP="00180D09">
      <w:pPr>
        <w:pStyle w:val="ListParagraph"/>
        <w:numPr>
          <w:ilvl w:val="0"/>
          <w:numId w:val="9"/>
        </w:numPr>
        <w:tabs>
          <w:tab w:val="left" w:pos="567"/>
          <w:tab w:val="left" w:pos="1134"/>
          <w:tab w:val="left" w:pos="2268"/>
        </w:tabs>
        <w:spacing w:after="0" w:line="279" w:lineRule="auto"/>
        <w:rPr>
          <w:lang w:val="es-ES"/>
        </w:rPr>
      </w:pPr>
      <w:r w:rsidRPr="005E3D50">
        <w:rPr>
          <w:i/>
          <w:iCs/>
          <w:lang w:val="es-ES"/>
        </w:rPr>
        <w:t xml:space="preserve">Falta de contexto para las </w:t>
      </w:r>
      <w:proofErr w:type="gramStart"/>
      <w:r w:rsidRPr="005E3D50">
        <w:rPr>
          <w:i/>
          <w:iCs/>
          <w:lang w:val="es-ES"/>
        </w:rPr>
        <w:t>metas nacionales y los informes nacionales</w:t>
      </w:r>
      <w:proofErr w:type="gramEnd"/>
      <w:r w:rsidRPr="005E3D50">
        <w:rPr>
          <w:i/>
          <w:iCs/>
          <w:lang w:val="es-ES"/>
        </w:rPr>
        <w:t>, en particular en el caso de las Partes que no contaban con EPANB revisadas.</w:t>
      </w:r>
      <w:r w:rsidRPr="005E3D50">
        <w:rPr>
          <w:i/>
          <w:lang w:val="es-ES"/>
        </w:rPr>
        <w:t xml:space="preserve"> </w:t>
      </w:r>
      <w:r w:rsidRPr="005E3D50">
        <w:rPr>
          <w:lang w:val="es-ES"/>
        </w:rPr>
        <w:t xml:space="preserve">Menos de la mitad de las Partes presentaron EPANB revisadas </w:t>
      </w:r>
      <w:r w:rsidR="004F76BF">
        <w:rPr>
          <w:lang w:val="es-ES"/>
        </w:rPr>
        <w:t>armonizadas</w:t>
      </w:r>
      <w:r w:rsidRPr="005E3D50">
        <w:rPr>
          <w:lang w:val="es-ES"/>
        </w:rPr>
        <w:t xml:space="preserve"> con el Marco. </w:t>
      </w:r>
    </w:p>
    <w:p w14:paraId="632ACEC9" w14:textId="558E2E97" w:rsidR="00180D09" w:rsidRPr="005E3D50" w:rsidRDefault="00180D09" w:rsidP="00180D09">
      <w:pPr>
        <w:pStyle w:val="ListParagraph"/>
        <w:numPr>
          <w:ilvl w:val="0"/>
          <w:numId w:val="9"/>
        </w:numPr>
        <w:tabs>
          <w:tab w:val="left" w:pos="567"/>
          <w:tab w:val="left" w:pos="1134"/>
          <w:tab w:val="left" w:pos="2268"/>
        </w:tabs>
        <w:spacing w:after="0" w:line="279" w:lineRule="auto"/>
        <w:rPr>
          <w:i/>
          <w:lang w:val="es-ES"/>
        </w:rPr>
      </w:pPr>
      <w:r w:rsidRPr="005E3D50">
        <w:rPr>
          <w:i/>
          <w:iCs/>
          <w:lang w:val="es-ES"/>
        </w:rPr>
        <w:t xml:space="preserve">Nivel de detalle limitado en algunas </w:t>
      </w:r>
      <w:proofErr w:type="gramStart"/>
      <w:r w:rsidRPr="005E3D50">
        <w:rPr>
          <w:i/>
          <w:iCs/>
          <w:lang w:val="es-ES"/>
        </w:rPr>
        <w:t>metas nacionales e informes nacionales</w:t>
      </w:r>
      <w:proofErr w:type="gramEnd"/>
      <w:r w:rsidRPr="005E3D50">
        <w:rPr>
          <w:i/>
          <w:iCs/>
          <w:lang w:val="es-ES"/>
        </w:rPr>
        <w:t>.</w:t>
      </w:r>
      <w:r w:rsidRPr="005E3D50">
        <w:rPr>
          <w:i/>
          <w:lang w:val="es-ES"/>
        </w:rPr>
        <w:t xml:space="preserve"> </w:t>
      </w:r>
      <w:r w:rsidRPr="005E3D50">
        <w:rPr>
          <w:lang w:val="es-ES"/>
        </w:rPr>
        <w:t>Si bien parte de la información presentada por las Partes era muy detallada, varias Partes proporcionaron información con un nivel de detalle muy limitado. Entre el 5 % y el 10 % de las metas nacionales presentadas no incluían información detallada (</w:t>
      </w:r>
      <w:hyperlink r:id="rId36" w:history="1">
        <w:r w:rsidRPr="005E3D50">
          <w:rPr>
            <w:rStyle w:val="Hyperlink"/>
            <w:lang w:val="es-ES"/>
          </w:rPr>
          <w:t>CBD/SBI/6/INF/5</w:t>
        </w:r>
      </w:hyperlink>
      <w:r w:rsidRPr="005E3D50">
        <w:rPr>
          <w:lang w:val="es-ES"/>
        </w:rPr>
        <w:t>).</w:t>
      </w:r>
      <w:r w:rsidRPr="005E3D50">
        <w:rPr>
          <w:i/>
          <w:lang w:val="es-ES"/>
        </w:rPr>
        <w:t xml:space="preserve"> </w:t>
      </w:r>
    </w:p>
    <w:p w14:paraId="7C4BEFE6" w14:textId="4A9E3544" w:rsidR="00180D09" w:rsidRPr="005E3D50" w:rsidRDefault="00180D09" w:rsidP="00180D09">
      <w:pPr>
        <w:pStyle w:val="ListParagraph"/>
        <w:numPr>
          <w:ilvl w:val="0"/>
          <w:numId w:val="9"/>
        </w:numPr>
        <w:tabs>
          <w:tab w:val="left" w:pos="567"/>
          <w:tab w:val="left" w:pos="1134"/>
          <w:tab w:val="left" w:pos="2268"/>
        </w:tabs>
        <w:spacing w:after="0" w:line="279" w:lineRule="auto"/>
        <w:rPr>
          <w:lang w:val="es-ES"/>
        </w:rPr>
      </w:pPr>
      <w:r w:rsidRPr="005E3D50">
        <w:rPr>
          <w:i/>
          <w:iCs/>
          <w:lang w:val="es-ES"/>
        </w:rPr>
        <w:t>Uso variable de los indicadores y carencias en materia de seguimiento.</w:t>
      </w:r>
      <w:r w:rsidRPr="005E3D50">
        <w:rPr>
          <w:lang w:val="es-ES"/>
        </w:rPr>
        <w:t xml:space="preserve"> Los datos presentados en los informes nacionales variaban considerablemente, al igual que el número de años para los que se presentaban datos, y la mayoría de las presentaciones incluían datos únicamente para el período comprendido entre </w:t>
      </w:r>
      <w:r w:rsidRPr="005E3D50">
        <w:rPr>
          <w:lang w:val="es-ES"/>
        </w:rPr>
        <w:lastRenderedPageBreak/>
        <w:t>2020 y 2024. En la mayoría de los casos, no se disponía de datos para el período comprendido entre 2011 y 2020, el período de referencia establecido en el marco de seguimiento. Además, muchas Partes utilizaron diferentes metodologías y enfoques para la presentación de datos. En el estudio realizado por la Secretaría del Convenio sobre el uso de los indicadores (</w:t>
      </w:r>
      <w:hyperlink r:id="rId37" w:history="1">
        <w:r w:rsidRPr="005E3D50">
          <w:rPr>
            <w:rStyle w:val="Hyperlink"/>
            <w:lang w:val="es-ES"/>
          </w:rPr>
          <w:t>CBD/SBSTTA/28/INF/11</w:t>
        </w:r>
      </w:hyperlink>
      <w:r w:rsidRPr="005E3D50">
        <w:rPr>
          <w:lang w:val="es-ES"/>
        </w:rPr>
        <w:t>) se incluye más información al respecto.</w:t>
      </w:r>
    </w:p>
    <w:p w14:paraId="4AFDD5D8" w14:textId="2414A599" w:rsidR="007D1195" w:rsidRPr="005E3D50" w:rsidRDefault="001232A4" w:rsidP="007D1195">
      <w:pPr>
        <w:pStyle w:val="ListParagraph"/>
        <w:numPr>
          <w:ilvl w:val="0"/>
          <w:numId w:val="9"/>
        </w:numPr>
        <w:tabs>
          <w:tab w:val="left" w:pos="567"/>
          <w:tab w:val="left" w:pos="1134"/>
          <w:tab w:val="left" w:pos="2268"/>
        </w:tabs>
        <w:spacing w:after="0" w:line="279" w:lineRule="auto"/>
        <w:rPr>
          <w:lang w:val="es-ES"/>
        </w:rPr>
      </w:pPr>
      <w:r>
        <w:rPr>
          <w:i/>
          <w:lang w:val="es-ES"/>
        </w:rPr>
        <w:t>Escasez</w:t>
      </w:r>
      <w:r w:rsidR="00BA7C36" w:rsidRPr="005E3D50">
        <w:rPr>
          <w:i/>
          <w:lang w:val="es-ES"/>
        </w:rPr>
        <w:t xml:space="preserve"> de p</w:t>
      </w:r>
      <w:r w:rsidR="007D1195" w:rsidRPr="005E3D50">
        <w:rPr>
          <w:i/>
          <w:lang w:val="es-ES"/>
        </w:rPr>
        <w:t xml:space="preserve">resentaciones e información recibidas de actores distintos de los Gobiernos nacionales. </w:t>
      </w:r>
      <w:r w:rsidR="007D1195" w:rsidRPr="005E3D50">
        <w:rPr>
          <w:lang w:val="es-ES"/>
        </w:rPr>
        <w:t xml:space="preserve">El portal para esos compromisos fue una nueva iniciativa </w:t>
      </w:r>
      <w:r w:rsidR="00BA7C36" w:rsidRPr="005E3D50">
        <w:rPr>
          <w:lang w:val="es-ES"/>
        </w:rPr>
        <w:t>que se puso en marcha</w:t>
      </w:r>
      <w:r w:rsidR="007D1195" w:rsidRPr="005E3D50">
        <w:rPr>
          <w:lang w:val="es-ES"/>
        </w:rPr>
        <w:t xml:space="preserve"> a principios de 2026, poco antes de la preparación del presente informe. Si bien ha habido un gran nivel de interés, el número de presentaciones con una cantidad suficiente de información para el análisis continúa siendo limitado, y </w:t>
      </w:r>
      <w:r w:rsidR="00BA7C36" w:rsidRPr="005E3D50">
        <w:rPr>
          <w:lang w:val="es-ES"/>
        </w:rPr>
        <w:t>la puesta en marcha</w:t>
      </w:r>
      <w:r w:rsidR="007D1195" w:rsidRPr="005E3D50">
        <w:rPr>
          <w:lang w:val="es-ES"/>
        </w:rPr>
        <w:t xml:space="preserve"> de la plataforma ha conllevado una curva de aprendizaje</w:t>
      </w:r>
      <w:r w:rsidR="007D1195" w:rsidRPr="005E3D50">
        <w:rPr>
          <w:rStyle w:val="FootnoteReference"/>
          <w:lang w:val="es-ES"/>
        </w:rPr>
        <w:footnoteReference w:id="5"/>
      </w:r>
      <w:r w:rsidR="00E203B6" w:rsidRPr="005E3D50">
        <w:rPr>
          <w:lang w:val="es-ES"/>
        </w:rPr>
        <w:t>.</w:t>
      </w:r>
      <w:r w:rsidR="007D1195" w:rsidRPr="005E3D50">
        <w:rPr>
          <w:i/>
          <w:lang w:val="es-ES"/>
        </w:rPr>
        <w:t xml:space="preserve"> </w:t>
      </w:r>
    </w:p>
    <w:p w14:paraId="7E82CD76" w14:textId="77777777" w:rsidR="00180D09" w:rsidRPr="005E3D50" w:rsidRDefault="00180D09" w:rsidP="00180D09">
      <w:pPr>
        <w:pStyle w:val="ListParagraph"/>
        <w:tabs>
          <w:tab w:val="left" w:pos="567"/>
          <w:tab w:val="left" w:pos="1134"/>
          <w:tab w:val="left" w:pos="2268"/>
        </w:tabs>
        <w:spacing w:after="0" w:line="279" w:lineRule="auto"/>
        <w:ind w:left="927"/>
        <w:rPr>
          <w:lang w:val="es-ES"/>
        </w:rPr>
      </w:pPr>
    </w:p>
    <w:p w14:paraId="7B112F2F" w14:textId="4843B36F" w:rsidR="00180D09" w:rsidRPr="005E3D50" w:rsidRDefault="006757C6" w:rsidP="00F80A54">
      <w:pPr>
        <w:pStyle w:val="Caption"/>
        <w:rPr>
          <w:color w:val="000000" w:themeColor="text1"/>
          <w:lang w:val="es-ES"/>
        </w:rPr>
      </w:pPr>
      <w:r w:rsidRPr="005E3D50">
        <w:rPr>
          <w:i w:val="0"/>
          <w:color w:val="000000" w:themeColor="text1"/>
          <w:sz w:val="24"/>
          <w:szCs w:val="24"/>
          <w:lang w:val="es-ES"/>
        </w:rPr>
        <w:t>Además, a través del informe mundial no es posible detectar cambios en el estado y las tendencias de la biodiversidad desde la adopción del Marco al menos por dos razones principales.</w:t>
      </w:r>
      <w:r w:rsidRPr="005E3D50">
        <w:rPr>
          <w:i w:val="0"/>
          <w:iCs w:val="0"/>
          <w:color w:val="000000" w:themeColor="text1"/>
          <w:sz w:val="24"/>
          <w:szCs w:val="24"/>
          <w:lang w:val="es-ES"/>
        </w:rPr>
        <w:t xml:space="preserve"> </w:t>
      </w:r>
      <w:r w:rsidRPr="005E3D50">
        <w:rPr>
          <w:i w:val="0"/>
          <w:color w:val="000000" w:themeColor="text1"/>
          <w:sz w:val="24"/>
          <w:szCs w:val="24"/>
          <w:lang w:val="es-ES"/>
        </w:rPr>
        <w:t xml:space="preserve">En primer lugar, solo han transcurrido cuatro años desde la adopción del Marco, y la respuesta de la biodiversidad y las funciones y servicios de los ecosistemas podría tardar años o décadas en ponerse de manifiesto tras una intervención de gestión positiva </w:t>
      </w:r>
      <w:r w:rsidRPr="005E3D50">
        <w:rPr>
          <w:i w:val="0"/>
          <w:iCs w:val="0"/>
          <w:color w:val="000000" w:themeColor="text1"/>
          <w:sz w:val="24"/>
          <w:szCs w:val="24"/>
          <w:lang w:val="es-ES"/>
        </w:rPr>
        <w:t xml:space="preserve">(Moreno-Mateos y otros, 2017). </w:t>
      </w:r>
      <w:r w:rsidRPr="005E3D50">
        <w:rPr>
          <w:i w:val="0"/>
          <w:color w:val="000000" w:themeColor="text1"/>
          <w:sz w:val="24"/>
          <w:szCs w:val="24"/>
          <w:lang w:val="es-ES"/>
        </w:rPr>
        <w:t xml:space="preserve">En segundo lugar, los sistemas de seguimiento y presentación de informes introducen sus propias demoras en la detección e interpretación de los cambios. Los indicadores de biodiversidad a menudo dependen de actividades irregulares de seguimiento sobre el terreno, análisis de datos obtenidos mediante teledetección, mantenimiento de sistemas de gestión de datos actualizados y agregación de los datos para obtener variables o indicadores, todo lo cual puede introducir desfases temporales entre los cambios ecológicos y su seguimiento </w:t>
      </w:r>
      <w:r w:rsidRPr="005E3D50">
        <w:rPr>
          <w:i w:val="0"/>
          <w:iCs w:val="0"/>
          <w:color w:val="000000" w:themeColor="text1"/>
          <w:sz w:val="24"/>
          <w:szCs w:val="24"/>
          <w:lang w:val="es-ES"/>
        </w:rPr>
        <w:t>(Nicholson y otros, 2021) (véase la figura 6)</w:t>
      </w:r>
      <w:r w:rsidRPr="005E3D50">
        <w:rPr>
          <w:color w:val="000000" w:themeColor="text1"/>
          <w:lang w:val="es-ES"/>
        </w:rPr>
        <w:t xml:space="preserve">. </w:t>
      </w:r>
    </w:p>
    <w:p w14:paraId="26C124D8" w14:textId="6D7F4016" w:rsidR="00EF53C6" w:rsidRPr="005E3D50" w:rsidRDefault="00D716D5" w:rsidP="00D716D5">
      <w:pPr>
        <w:rPr>
          <w:lang w:val="es-ES"/>
        </w:rPr>
      </w:pPr>
      <w:r w:rsidRPr="005E3D50">
        <w:rPr>
          <w:lang w:val="es-ES"/>
        </w:rPr>
        <w:t xml:space="preserve">Cabe señalar que no fue posible, dentro del plazo para la preparación del informe mundial, </w:t>
      </w:r>
      <w:r w:rsidR="009A18C3" w:rsidRPr="005E3D50">
        <w:rPr>
          <w:lang w:val="es-ES"/>
        </w:rPr>
        <w:t>llevar a cabo</w:t>
      </w:r>
      <w:r w:rsidRPr="005E3D50">
        <w:rPr>
          <w:lang w:val="es-ES"/>
        </w:rPr>
        <w:t xml:space="preserve"> una revisión exhaustiva de la literatura para ninguna sección.</w:t>
      </w:r>
    </w:p>
    <w:p w14:paraId="45CA84A0" w14:textId="16B36134" w:rsidR="00EF53C6" w:rsidRPr="005E3D50" w:rsidRDefault="00EF53C6">
      <w:pPr>
        <w:rPr>
          <w:lang w:val="es-ES"/>
        </w:rPr>
      </w:pPr>
    </w:p>
    <w:p w14:paraId="46CC125A" w14:textId="1ECB5066" w:rsidR="0024299E" w:rsidRPr="005E3D50" w:rsidRDefault="00A53433" w:rsidP="00A53433">
      <w:pPr>
        <w:pStyle w:val="Caption"/>
        <w:rPr>
          <w:i w:val="0"/>
          <w:iCs w:val="0"/>
          <w:sz w:val="20"/>
          <w:szCs w:val="20"/>
          <w:lang w:val="es-ES"/>
        </w:rPr>
      </w:pPr>
      <w:bookmarkStart w:id="49" w:name="_Ref238828410"/>
      <w:r w:rsidRPr="005E3D50">
        <w:rPr>
          <w:i w:val="0"/>
          <w:sz w:val="20"/>
          <w:szCs w:val="20"/>
          <w:lang w:val="es-ES"/>
        </w:rPr>
        <w:t>Figura 6</w:t>
      </w:r>
      <w:bookmarkEnd w:id="49"/>
    </w:p>
    <w:p w14:paraId="2ED17456" w14:textId="2DB2FE21" w:rsidR="00A53433" w:rsidRPr="005E3D50" w:rsidRDefault="00A53433" w:rsidP="00A53433">
      <w:pPr>
        <w:pStyle w:val="Caption"/>
        <w:rPr>
          <w:sz w:val="20"/>
          <w:szCs w:val="20"/>
          <w:lang w:val="es-ES"/>
        </w:rPr>
      </w:pPr>
      <w:r w:rsidRPr="005E3D50">
        <w:rPr>
          <w:b/>
          <w:i w:val="0"/>
          <w:sz w:val="20"/>
          <w:szCs w:val="20"/>
          <w:lang w:val="es-ES"/>
        </w:rPr>
        <w:t>Representación visual del desfase temporal de la recuperación de la diversidad biológica</w:t>
      </w:r>
    </w:p>
    <w:p w14:paraId="13A0C59A" w14:textId="77777777" w:rsidR="00A53433" w:rsidRPr="005E3D50" w:rsidRDefault="00A53433" w:rsidP="00A53433">
      <w:pPr>
        <w:rPr>
          <w:sz w:val="20"/>
          <w:szCs w:val="20"/>
          <w:lang w:val="es-ES" w:eastAsia="ja-JP"/>
        </w:rPr>
      </w:pPr>
    </w:p>
    <w:p w14:paraId="345996EC" w14:textId="39AF7D47" w:rsidR="00D86DD0" w:rsidRPr="005E3D50" w:rsidRDefault="00C1661D" w:rsidP="0036060C">
      <w:pPr>
        <w:pStyle w:val="Caption"/>
        <w:rPr>
          <w:lang w:val="es-ES"/>
        </w:rPr>
      </w:pPr>
      <w:r w:rsidRPr="005E3D50">
        <w:rPr>
          <w:noProof/>
          <w:lang w:val="en-US" w:eastAsia="en-US"/>
        </w:rPr>
        <w:lastRenderedPageBreak/>
        <w:drawing>
          <wp:inline distT="0" distB="0" distL="0" distR="0" wp14:anchorId="063D9C34" wp14:editId="049E35FC">
            <wp:extent cx="5731510" cy="3378835"/>
            <wp:effectExtent l="0" t="0" r="2540" b="0"/>
            <wp:docPr id="27425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1184" name=""/>
                    <pic:cNvPicPr/>
                  </pic:nvPicPr>
                  <pic:blipFill>
                    <a:blip r:embed="rId38"/>
                    <a:stretch>
                      <a:fillRect/>
                    </a:stretch>
                  </pic:blipFill>
                  <pic:spPr>
                    <a:xfrm>
                      <a:off x="0" y="0"/>
                      <a:ext cx="5731510" cy="3378835"/>
                    </a:xfrm>
                    <a:prstGeom prst="rect">
                      <a:avLst/>
                    </a:prstGeom>
                  </pic:spPr>
                </pic:pic>
              </a:graphicData>
            </a:graphic>
          </wp:inline>
        </w:drawing>
      </w:r>
      <w:bookmarkStart w:id="50" w:name="_Ref231070780"/>
      <w:r w:rsidRPr="005E3D50">
        <w:rPr>
          <w:lang w:val="es-ES"/>
        </w:rPr>
        <w:t xml:space="preserve"> </w:t>
      </w:r>
    </w:p>
    <w:tbl>
      <w:tblPr>
        <w:tblStyle w:val="TableGrid"/>
        <w:tblW w:w="8584" w:type="dxa"/>
        <w:tblLook w:val="06A0" w:firstRow="1" w:lastRow="0" w:firstColumn="1" w:lastColumn="0" w:noHBand="1" w:noVBand="1"/>
      </w:tblPr>
      <w:tblGrid>
        <w:gridCol w:w="3904"/>
        <w:gridCol w:w="4680"/>
      </w:tblGrid>
      <w:tr w:rsidR="00C05F0F" w:rsidRPr="00A618A5" w14:paraId="01CCF5BF" w14:textId="77777777" w:rsidTr="008374CD">
        <w:tc>
          <w:tcPr>
            <w:tcW w:w="8584" w:type="dxa"/>
            <w:gridSpan w:val="2"/>
          </w:tcPr>
          <w:p w14:paraId="37E25B15" w14:textId="30BE69B4" w:rsidR="00C05F0F" w:rsidRPr="00C05F0F" w:rsidRDefault="00C05F0F"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6</w:t>
            </w:r>
          </w:p>
        </w:tc>
      </w:tr>
      <w:bookmarkEnd w:id="50"/>
      <w:tr w:rsidR="00C05F0F" w:rsidRPr="00A618A5" w14:paraId="08EE3805" w14:textId="77777777" w:rsidTr="00C05F0F">
        <w:tc>
          <w:tcPr>
            <w:tcW w:w="3904" w:type="dxa"/>
          </w:tcPr>
          <w:p w14:paraId="14773C0E" w14:textId="77777777" w:rsidR="00C05F0F" w:rsidRPr="00C05F0F" w:rsidRDefault="00C05F0F" w:rsidP="00B93410">
            <w:pPr>
              <w:rPr>
                <w:rFonts w:ascii="Aptos" w:hAnsi="Aptos"/>
                <w:sz w:val="18"/>
                <w:szCs w:val="18"/>
                <w:lang w:val="es-ES"/>
              </w:rPr>
            </w:pPr>
            <w:r w:rsidRPr="00C05F0F">
              <w:rPr>
                <w:rFonts w:ascii="Aptos" w:eastAsia="Segoe UI" w:hAnsi="Aptos" w:cs="Segoe UI"/>
                <w:color w:val="0F1115"/>
                <w:sz w:val="18"/>
                <w:szCs w:val="18"/>
                <w:lang w:val="es-ES"/>
              </w:rPr>
              <w:t xml:space="preserve">English </w:t>
            </w:r>
          </w:p>
        </w:tc>
        <w:tc>
          <w:tcPr>
            <w:tcW w:w="4680" w:type="dxa"/>
          </w:tcPr>
          <w:p w14:paraId="18C64267" w14:textId="01592579" w:rsidR="00C05F0F" w:rsidRPr="00C05F0F" w:rsidRDefault="00C05F0F" w:rsidP="00B93410">
            <w:pPr>
              <w:rPr>
                <w:rFonts w:ascii="Aptos" w:hAnsi="Aptos"/>
                <w:sz w:val="18"/>
                <w:szCs w:val="18"/>
                <w:lang w:val="es-ES"/>
              </w:rPr>
            </w:pPr>
            <w:r w:rsidRPr="00C05F0F">
              <w:rPr>
                <w:rFonts w:ascii="Aptos" w:eastAsia="Segoe UI" w:hAnsi="Aptos" w:cs="Segoe UI"/>
                <w:color w:val="0F1115"/>
                <w:sz w:val="18"/>
                <w:szCs w:val="18"/>
                <w:lang w:val="es-ES"/>
              </w:rPr>
              <w:t>Español</w:t>
            </w:r>
          </w:p>
        </w:tc>
      </w:tr>
      <w:tr w:rsidR="00C05F0F" w:rsidRPr="00A618A5" w14:paraId="2E261B42" w14:textId="77777777" w:rsidTr="00C05F0F">
        <w:tc>
          <w:tcPr>
            <w:tcW w:w="3904" w:type="dxa"/>
          </w:tcPr>
          <w:p w14:paraId="1B8B0A19"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1. BIODIVERSITY LOSS Declines accumulate over time</w:t>
            </w:r>
          </w:p>
        </w:tc>
        <w:tc>
          <w:tcPr>
            <w:tcW w:w="4680" w:type="dxa"/>
          </w:tcPr>
          <w:p w14:paraId="540DBD5A"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1. PÉRDIDA DE DIVERSIDAD BIOLÓGICA Las disminuciones se acumulan con el tiempo</w:t>
            </w:r>
          </w:p>
        </w:tc>
      </w:tr>
      <w:tr w:rsidR="00C05F0F" w:rsidRPr="00A618A5" w14:paraId="277132C8" w14:textId="77777777" w:rsidTr="00C05F0F">
        <w:tc>
          <w:tcPr>
            <w:tcW w:w="3904" w:type="dxa"/>
          </w:tcPr>
          <w:p w14:paraId="554E5FFC"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2. IDENTIFICATION AND PLANNING ACTION Evidence, awareness, assessment and action planning</w:t>
            </w:r>
          </w:p>
        </w:tc>
        <w:tc>
          <w:tcPr>
            <w:tcW w:w="4680" w:type="dxa"/>
          </w:tcPr>
          <w:p w14:paraId="0F115832"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 xml:space="preserve">2. MEDIDAS DE IDENTIFICACIÓN Y PLANIFICACIÓN </w:t>
            </w:r>
            <w:r w:rsidRPr="00A618A5">
              <w:rPr>
                <w:rFonts w:ascii="Aptos" w:hAnsi="Aptos"/>
                <w:color w:val="0F1115"/>
                <w:sz w:val="18"/>
                <w:szCs w:val="18"/>
                <w:lang w:val="es-ES"/>
              </w:rPr>
              <w:br/>
              <w:t>Evidencia, sensibilización, evaluación y planificación de medidas</w:t>
            </w:r>
          </w:p>
        </w:tc>
      </w:tr>
      <w:tr w:rsidR="00C05F0F" w:rsidRPr="00A618A5" w14:paraId="29A4B7D9" w14:textId="77777777" w:rsidTr="00C05F0F">
        <w:tc>
          <w:tcPr>
            <w:tcW w:w="3904" w:type="dxa"/>
          </w:tcPr>
          <w:p w14:paraId="2C56C94D"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3. ACTION IMPLEMENTED Conservation, restoration, protection and sustainable management begin</w:t>
            </w:r>
          </w:p>
        </w:tc>
        <w:tc>
          <w:tcPr>
            <w:tcW w:w="4680" w:type="dxa"/>
          </w:tcPr>
          <w:p w14:paraId="5D8A9C8D"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3. MEDIDAS IMPLEMENTADAS</w:t>
            </w:r>
            <w:r w:rsidRPr="00A618A5">
              <w:rPr>
                <w:rFonts w:ascii="Aptos" w:hAnsi="Aptos"/>
                <w:color w:val="0F1115"/>
                <w:sz w:val="18"/>
                <w:szCs w:val="18"/>
                <w:lang w:val="es-ES"/>
              </w:rPr>
              <w:br/>
              <w:t>Inicio de la conservación, restauración, protección y gestión sostenible</w:t>
            </w:r>
          </w:p>
        </w:tc>
      </w:tr>
      <w:tr w:rsidR="00C05F0F" w:rsidRPr="00A618A5" w14:paraId="61666833" w14:textId="77777777" w:rsidTr="00C05F0F">
        <w:tc>
          <w:tcPr>
            <w:tcW w:w="3904" w:type="dxa"/>
          </w:tcPr>
          <w:p w14:paraId="09FF2FF3"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4. DELAYED RESPONSE Ecological processes and species respond slowly</w:t>
            </w:r>
          </w:p>
        </w:tc>
        <w:tc>
          <w:tcPr>
            <w:tcW w:w="4680" w:type="dxa"/>
          </w:tcPr>
          <w:p w14:paraId="59B7207E"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4. RESPUESTA TARDÍA</w:t>
            </w:r>
            <w:r w:rsidRPr="00A618A5">
              <w:rPr>
                <w:rFonts w:ascii="Aptos" w:hAnsi="Aptos"/>
                <w:color w:val="0F1115"/>
                <w:sz w:val="18"/>
                <w:szCs w:val="18"/>
                <w:lang w:val="es-ES"/>
              </w:rPr>
              <w:br/>
              <w:t>Los procesos ecológicos y las especies responden lentamente</w:t>
            </w:r>
          </w:p>
        </w:tc>
      </w:tr>
      <w:tr w:rsidR="00C05F0F" w:rsidRPr="00A618A5" w14:paraId="6642A832" w14:textId="77777777" w:rsidTr="00C05F0F">
        <w:tc>
          <w:tcPr>
            <w:tcW w:w="3904" w:type="dxa"/>
          </w:tcPr>
          <w:p w14:paraId="2A2DE1C7"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 xml:space="preserve">5. SLOW RECOVERY </w:t>
            </w:r>
            <w:proofErr w:type="spellStart"/>
            <w:r w:rsidRPr="00A618A5">
              <w:rPr>
                <w:rFonts w:ascii="Aptos" w:eastAsia="Segoe UI" w:hAnsi="Aptos" w:cs="Segoe UI"/>
                <w:color w:val="0F1115"/>
                <w:sz w:val="18"/>
                <w:szCs w:val="18"/>
                <w:lang w:val="en-US"/>
              </w:rPr>
              <w:t>Recovery</w:t>
            </w:r>
            <w:proofErr w:type="spellEnd"/>
            <w:r w:rsidRPr="00A618A5">
              <w:rPr>
                <w:rFonts w:ascii="Aptos" w:eastAsia="Segoe UI" w:hAnsi="Aptos" w:cs="Segoe UI"/>
                <w:color w:val="0F1115"/>
                <w:sz w:val="18"/>
                <w:szCs w:val="18"/>
                <w:lang w:val="en-US"/>
              </w:rPr>
              <w:t xml:space="preserve"> becomes detectable and builds over time</w:t>
            </w:r>
          </w:p>
        </w:tc>
        <w:tc>
          <w:tcPr>
            <w:tcW w:w="4680" w:type="dxa"/>
          </w:tcPr>
          <w:p w14:paraId="23649F5E"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5. RECUPERACIÓN LENTA</w:t>
            </w:r>
            <w:r w:rsidRPr="00A618A5">
              <w:rPr>
                <w:rFonts w:ascii="Aptos" w:hAnsi="Aptos"/>
                <w:color w:val="0F1115"/>
                <w:sz w:val="18"/>
                <w:szCs w:val="18"/>
                <w:lang w:val="es-ES"/>
              </w:rPr>
              <w:br/>
              <w:t>La recuperación se vuelve detectable y aumenta con el tiempo</w:t>
            </w:r>
          </w:p>
        </w:tc>
      </w:tr>
      <w:tr w:rsidR="00C05F0F" w:rsidRPr="00A618A5" w14:paraId="3102DADB" w14:textId="77777777" w:rsidTr="00C05F0F">
        <w:tc>
          <w:tcPr>
            <w:tcW w:w="3904" w:type="dxa"/>
          </w:tcPr>
          <w:p w14:paraId="527F4E43" w14:textId="77777777" w:rsidR="00C05F0F" w:rsidRPr="00A618A5" w:rsidRDefault="00C05F0F" w:rsidP="00B93410">
            <w:pPr>
              <w:rPr>
                <w:rFonts w:ascii="Aptos" w:hAnsi="Aptos"/>
                <w:sz w:val="18"/>
                <w:szCs w:val="18"/>
                <w:lang w:val="es-ES"/>
              </w:rPr>
            </w:pPr>
            <w:r w:rsidRPr="00A618A5">
              <w:rPr>
                <w:rFonts w:ascii="Aptos" w:eastAsia="Segoe UI" w:hAnsi="Aptos" w:cs="Segoe UI"/>
                <w:color w:val="0F1115"/>
                <w:sz w:val="18"/>
                <w:szCs w:val="18"/>
                <w:lang w:val="es-ES"/>
              </w:rPr>
              <w:t>100% (</w:t>
            </w:r>
            <w:proofErr w:type="spellStart"/>
            <w:r w:rsidRPr="00A618A5">
              <w:rPr>
                <w:rFonts w:ascii="Aptos" w:eastAsia="Segoe UI" w:hAnsi="Aptos" w:cs="Segoe UI"/>
                <w:color w:val="0F1115"/>
                <w:sz w:val="18"/>
                <w:szCs w:val="18"/>
                <w:lang w:val="es-ES"/>
              </w:rPr>
              <w:t>reference</w:t>
            </w:r>
            <w:proofErr w:type="spellEnd"/>
            <w:r w:rsidRPr="00A618A5">
              <w:rPr>
                <w:rFonts w:ascii="Aptos" w:eastAsia="Segoe UI" w:hAnsi="Aptos" w:cs="Segoe UI"/>
                <w:color w:val="0F1115"/>
                <w:sz w:val="18"/>
                <w:szCs w:val="18"/>
                <w:lang w:val="es-ES"/>
              </w:rPr>
              <w:t xml:space="preserve"> </w:t>
            </w:r>
            <w:proofErr w:type="spellStart"/>
            <w:r w:rsidRPr="00A618A5">
              <w:rPr>
                <w:rFonts w:ascii="Aptos" w:eastAsia="Segoe UI" w:hAnsi="Aptos" w:cs="Segoe UI"/>
                <w:color w:val="0F1115"/>
                <w:sz w:val="18"/>
                <w:szCs w:val="18"/>
                <w:lang w:val="es-ES"/>
              </w:rPr>
              <w:t>level</w:t>
            </w:r>
            <w:proofErr w:type="spellEnd"/>
            <w:r w:rsidRPr="00A618A5">
              <w:rPr>
                <w:rFonts w:ascii="Aptos" w:eastAsia="Segoe UI" w:hAnsi="Aptos" w:cs="Segoe UI"/>
                <w:color w:val="0F1115"/>
                <w:sz w:val="18"/>
                <w:szCs w:val="18"/>
                <w:lang w:val="es-ES"/>
              </w:rPr>
              <w:t>)</w:t>
            </w:r>
          </w:p>
        </w:tc>
        <w:tc>
          <w:tcPr>
            <w:tcW w:w="4680" w:type="dxa"/>
          </w:tcPr>
          <w:p w14:paraId="0B9A1421"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100 % (nivel de referencia)</w:t>
            </w:r>
          </w:p>
        </w:tc>
      </w:tr>
      <w:tr w:rsidR="00C05F0F" w:rsidRPr="00A618A5" w14:paraId="4118CD0F" w14:textId="77777777" w:rsidTr="00C05F0F">
        <w:tc>
          <w:tcPr>
            <w:tcW w:w="3904" w:type="dxa"/>
          </w:tcPr>
          <w:p w14:paraId="7AA10DA0"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Biodiversity status (e.g. abundance, richness, ecosystem integrity)</w:t>
            </w:r>
          </w:p>
        </w:tc>
        <w:tc>
          <w:tcPr>
            <w:tcW w:w="4680" w:type="dxa"/>
          </w:tcPr>
          <w:p w14:paraId="6614A55D"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Estado de la diversidad biológica (p. ej., abundancia, riqueza e integridad de los ecosistemas)</w:t>
            </w:r>
          </w:p>
        </w:tc>
      </w:tr>
      <w:tr w:rsidR="00C05F0F" w:rsidRPr="00A618A5" w14:paraId="2F5A3839" w14:textId="77777777" w:rsidTr="00C05F0F">
        <w:tc>
          <w:tcPr>
            <w:tcW w:w="3904" w:type="dxa"/>
          </w:tcPr>
          <w:p w14:paraId="0910F59B"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Potential recovery with continued action</w:t>
            </w:r>
          </w:p>
        </w:tc>
        <w:tc>
          <w:tcPr>
            <w:tcW w:w="4680" w:type="dxa"/>
          </w:tcPr>
          <w:p w14:paraId="6A3FDEFB"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Posible recuperación si se mantienen las medidas</w:t>
            </w:r>
          </w:p>
        </w:tc>
      </w:tr>
      <w:tr w:rsidR="00C05F0F" w:rsidRPr="00A618A5" w14:paraId="1B03EDD0" w14:textId="77777777" w:rsidTr="00C05F0F">
        <w:tc>
          <w:tcPr>
            <w:tcW w:w="3904" w:type="dxa"/>
          </w:tcPr>
          <w:p w14:paraId="2E54EAE6" w14:textId="77777777" w:rsidR="00C05F0F" w:rsidRPr="00A618A5" w:rsidRDefault="00C05F0F" w:rsidP="00B93410">
            <w:pPr>
              <w:rPr>
                <w:rFonts w:ascii="Aptos" w:hAnsi="Aptos"/>
                <w:sz w:val="18"/>
                <w:szCs w:val="18"/>
                <w:lang w:val="es-ES"/>
              </w:rPr>
            </w:pPr>
            <w:proofErr w:type="spellStart"/>
            <w:r w:rsidRPr="00A618A5">
              <w:rPr>
                <w:rFonts w:ascii="Aptos" w:eastAsia="Segoe UI" w:hAnsi="Aptos" w:cs="Segoe UI"/>
                <w:color w:val="0F1115"/>
                <w:sz w:val="18"/>
                <w:szCs w:val="18"/>
                <w:lang w:val="es-ES"/>
              </w:rPr>
              <w:t>Observed</w:t>
            </w:r>
            <w:proofErr w:type="spellEnd"/>
            <w:r w:rsidRPr="00A618A5">
              <w:rPr>
                <w:rFonts w:ascii="Aptos" w:eastAsia="Segoe UI" w:hAnsi="Aptos" w:cs="Segoe UI"/>
                <w:color w:val="0F1115"/>
                <w:sz w:val="18"/>
                <w:szCs w:val="18"/>
                <w:lang w:val="es-ES"/>
              </w:rPr>
              <w:t xml:space="preserve"> </w:t>
            </w:r>
            <w:proofErr w:type="spellStart"/>
            <w:r w:rsidRPr="00A618A5">
              <w:rPr>
                <w:rFonts w:ascii="Aptos" w:eastAsia="Segoe UI" w:hAnsi="Aptos" w:cs="Segoe UI"/>
                <w:color w:val="0F1115"/>
                <w:sz w:val="18"/>
                <w:szCs w:val="18"/>
                <w:lang w:val="es-ES"/>
              </w:rPr>
              <w:t>recovery</w:t>
            </w:r>
            <w:proofErr w:type="spellEnd"/>
            <w:r w:rsidRPr="00A618A5">
              <w:rPr>
                <w:rFonts w:ascii="Aptos" w:eastAsia="Segoe UI" w:hAnsi="Aptos" w:cs="Segoe UI"/>
                <w:color w:val="0F1115"/>
                <w:sz w:val="18"/>
                <w:szCs w:val="18"/>
                <w:lang w:val="es-ES"/>
              </w:rPr>
              <w:t xml:space="preserve"> (</w:t>
            </w:r>
            <w:proofErr w:type="spellStart"/>
            <w:r w:rsidRPr="00A618A5">
              <w:rPr>
                <w:rFonts w:ascii="Aptos" w:eastAsia="Segoe UI" w:hAnsi="Aptos" w:cs="Segoe UI"/>
                <w:color w:val="0F1115"/>
                <w:sz w:val="18"/>
                <w:szCs w:val="18"/>
                <w:lang w:val="es-ES"/>
              </w:rPr>
              <w:t>typically</w:t>
            </w:r>
            <w:proofErr w:type="spellEnd"/>
            <w:r w:rsidRPr="00A618A5">
              <w:rPr>
                <w:rFonts w:ascii="Aptos" w:eastAsia="Segoe UI" w:hAnsi="Aptos" w:cs="Segoe UI"/>
                <w:color w:val="0F1115"/>
                <w:sz w:val="18"/>
                <w:szCs w:val="18"/>
                <w:lang w:val="es-ES"/>
              </w:rPr>
              <w:t xml:space="preserve"> </w:t>
            </w:r>
            <w:proofErr w:type="spellStart"/>
            <w:r w:rsidRPr="00A618A5">
              <w:rPr>
                <w:rFonts w:ascii="Aptos" w:eastAsia="Segoe UI" w:hAnsi="Aptos" w:cs="Segoe UI"/>
                <w:color w:val="0F1115"/>
                <w:sz w:val="18"/>
                <w:szCs w:val="18"/>
                <w:lang w:val="es-ES"/>
              </w:rPr>
              <w:t>slow</w:t>
            </w:r>
            <w:proofErr w:type="spellEnd"/>
            <w:r w:rsidRPr="00A618A5">
              <w:rPr>
                <w:rFonts w:ascii="Aptos" w:eastAsia="Segoe UI" w:hAnsi="Aptos" w:cs="Segoe UI"/>
                <w:color w:val="0F1115"/>
                <w:sz w:val="18"/>
                <w:szCs w:val="18"/>
                <w:lang w:val="es-ES"/>
              </w:rPr>
              <w:t>)</w:t>
            </w:r>
          </w:p>
        </w:tc>
        <w:tc>
          <w:tcPr>
            <w:tcW w:w="4680" w:type="dxa"/>
          </w:tcPr>
          <w:p w14:paraId="73839BFB"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Recuperación observada (generalmente lenta)</w:t>
            </w:r>
          </w:p>
        </w:tc>
      </w:tr>
      <w:tr w:rsidR="00C05F0F" w:rsidRPr="00A618A5" w14:paraId="0D38C153" w14:textId="77777777" w:rsidTr="00C05F0F">
        <w:tc>
          <w:tcPr>
            <w:tcW w:w="3904" w:type="dxa"/>
          </w:tcPr>
          <w:p w14:paraId="6D8AD944" w14:textId="77777777" w:rsidR="00C05F0F" w:rsidRPr="00A618A5" w:rsidRDefault="00C05F0F" w:rsidP="00B93410">
            <w:pPr>
              <w:rPr>
                <w:rFonts w:ascii="Aptos" w:hAnsi="Aptos"/>
                <w:sz w:val="18"/>
                <w:szCs w:val="18"/>
                <w:lang w:val="es-ES"/>
              </w:rPr>
            </w:pPr>
            <w:r w:rsidRPr="00A618A5">
              <w:rPr>
                <w:rFonts w:ascii="Aptos" w:eastAsia="Segoe UI" w:hAnsi="Aptos" w:cs="Segoe UI"/>
                <w:color w:val="0F1115"/>
                <w:sz w:val="18"/>
                <w:szCs w:val="18"/>
                <w:lang w:val="es-ES"/>
              </w:rPr>
              <w:t>50%</w:t>
            </w:r>
          </w:p>
        </w:tc>
        <w:tc>
          <w:tcPr>
            <w:tcW w:w="4680" w:type="dxa"/>
          </w:tcPr>
          <w:p w14:paraId="5EAF7C19"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50%</w:t>
            </w:r>
          </w:p>
        </w:tc>
      </w:tr>
      <w:tr w:rsidR="00C05F0F" w:rsidRPr="00A618A5" w14:paraId="0C06A999" w14:textId="77777777" w:rsidTr="00C05F0F">
        <w:tc>
          <w:tcPr>
            <w:tcW w:w="3904" w:type="dxa"/>
          </w:tcPr>
          <w:p w14:paraId="73630ABB"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Time lags in ecological responses (extinction debt, recovery debt)</w:t>
            </w:r>
          </w:p>
        </w:tc>
        <w:tc>
          <w:tcPr>
            <w:tcW w:w="4680" w:type="dxa"/>
          </w:tcPr>
          <w:p w14:paraId="4FFBDAD3"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Desfases temporales en las respuestas ecológicas (deuda de extinción, deuda de recuperación)</w:t>
            </w:r>
          </w:p>
        </w:tc>
      </w:tr>
      <w:tr w:rsidR="00C05F0F" w:rsidRPr="00A618A5" w14:paraId="49EFCB13" w14:textId="77777777" w:rsidTr="00C05F0F">
        <w:tc>
          <w:tcPr>
            <w:tcW w:w="3904" w:type="dxa"/>
          </w:tcPr>
          <w:p w14:paraId="31A4791E" w14:textId="77777777" w:rsidR="00C05F0F" w:rsidRPr="00A618A5" w:rsidRDefault="00C05F0F" w:rsidP="00B93410">
            <w:pPr>
              <w:rPr>
                <w:rFonts w:ascii="Aptos" w:hAnsi="Aptos"/>
                <w:sz w:val="18"/>
                <w:szCs w:val="18"/>
                <w:lang w:val="es-ES"/>
              </w:rPr>
            </w:pPr>
            <w:r w:rsidRPr="00A618A5">
              <w:rPr>
                <w:rFonts w:ascii="Aptos" w:eastAsia="Segoe UI" w:hAnsi="Aptos" w:cs="Segoe UI"/>
                <w:color w:val="0F1115"/>
                <w:sz w:val="18"/>
                <w:szCs w:val="18"/>
                <w:lang w:val="es-ES"/>
              </w:rPr>
              <w:t>0%</w:t>
            </w:r>
          </w:p>
        </w:tc>
        <w:tc>
          <w:tcPr>
            <w:tcW w:w="4680" w:type="dxa"/>
          </w:tcPr>
          <w:p w14:paraId="53FDC808"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0%</w:t>
            </w:r>
          </w:p>
        </w:tc>
      </w:tr>
      <w:tr w:rsidR="00C05F0F" w:rsidRPr="00A618A5" w14:paraId="01D9F82C" w14:textId="77777777" w:rsidTr="00C05F0F">
        <w:tc>
          <w:tcPr>
            <w:tcW w:w="3904" w:type="dxa"/>
          </w:tcPr>
          <w:p w14:paraId="4EF2BD41"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Biodiversity loss occurs over years to decades Often not immediately recognized</w:t>
            </w:r>
          </w:p>
        </w:tc>
        <w:tc>
          <w:tcPr>
            <w:tcW w:w="4680" w:type="dxa"/>
          </w:tcPr>
          <w:p w14:paraId="3A203D3C"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La pérdida de diversidad biológica se produce a lo largo de años o décadas</w:t>
            </w:r>
            <w:r w:rsidRPr="00A618A5">
              <w:rPr>
                <w:rFonts w:ascii="Aptos" w:hAnsi="Aptos"/>
                <w:color w:val="0F1115"/>
                <w:sz w:val="18"/>
                <w:szCs w:val="18"/>
                <w:lang w:val="es-ES"/>
              </w:rPr>
              <w:br/>
              <w:t>A menudo no se reconoce de inmediato</w:t>
            </w:r>
          </w:p>
        </w:tc>
      </w:tr>
      <w:tr w:rsidR="00C05F0F" w:rsidRPr="00A618A5" w14:paraId="0FFA8010" w14:textId="77777777" w:rsidTr="00C05F0F">
        <w:tc>
          <w:tcPr>
            <w:tcW w:w="3904" w:type="dxa"/>
          </w:tcPr>
          <w:p w14:paraId="37FFA636"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0-10 years Loss continues; signals emerge</w:t>
            </w:r>
          </w:p>
        </w:tc>
        <w:tc>
          <w:tcPr>
            <w:tcW w:w="4680" w:type="dxa"/>
          </w:tcPr>
          <w:p w14:paraId="047B79C0"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0-10 años</w:t>
            </w:r>
            <w:r w:rsidRPr="00A618A5">
              <w:rPr>
                <w:rFonts w:ascii="Aptos" w:hAnsi="Aptos"/>
                <w:color w:val="0F1115"/>
                <w:sz w:val="18"/>
                <w:szCs w:val="18"/>
                <w:lang w:val="es-ES"/>
              </w:rPr>
              <w:br/>
              <w:t>La pérdida continúa; comienzan a aparecer señales</w:t>
            </w:r>
          </w:p>
        </w:tc>
      </w:tr>
      <w:tr w:rsidR="00C05F0F" w:rsidRPr="00A618A5" w14:paraId="37A564E1" w14:textId="77777777" w:rsidTr="00C05F0F">
        <w:tc>
          <w:tcPr>
            <w:tcW w:w="3904" w:type="dxa"/>
          </w:tcPr>
          <w:p w14:paraId="29925C64"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Benefits take time to materialize Species recolonization, population growth, habitat and ecosystem processes recovery</w:t>
            </w:r>
          </w:p>
        </w:tc>
        <w:tc>
          <w:tcPr>
            <w:tcW w:w="4680" w:type="dxa"/>
          </w:tcPr>
          <w:p w14:paraId="0F5B2BA0"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Los beneficios tardan en materializarse</w:t>
            </w:r>
            <w:r w:rsidRPr="00A618A5">
              <w:rPr>
                <w:rFonts w:ascii="Aptos" w:hAnsi="Aptos"/>
                <w:color w:val="0F1115"/>
                <w:sz w:val="18"/>
                <w:szCs w:val="18"/>
                <w:lang w:val="es-ES"/>
              </w:rPr>
              <w:br/>
              <w:t xml:space="preserve">Recolonización de especies, crecimiento de las </w:t>
            </w:r>
            <w:r w:rsidRPr="00A618A5">
              <w:rPr>
                <w:rFonts w:ascii="Aptos" w:hAnsi="Aptos"/>
                <w:color w:val="0F1115"/>
                <w:sz w:val="18"/>
                <w:szCs w:val="18"/>
                <w:lang w:val="es-ES"/>
              </w:rPr>
              <w:lastRenderedPageBreak/>
              <w:t>poblaciones, recuperación de hábitats y procesos de los ecosistemas</w:t>
            </w:r>
          </w:p>
        </w:tc>
      </w:tr>
      <w:tr w:rsidR="00C05F0F" w:rsidRPr="00A618A5" w14:paraId="02BEB7C7" w14:textId="77777777" w:rsidTr="00C05F0F">
        <w:tc>
          <w:tcPr>
            <w:tcW w:w="3904" w:type="dxa"/>
          </w:tcPr>
          <w:p w14:paraId="4A2F685D"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lastRenderedPageBreak/>
              <w:t>5-15+ years Before clear ecological responses are detectable</w:t>
            </w:r>
          </w:p>
        </w:tc>
        <w:tc>
          <w:tcPr>
            <w:tcW w:w="4680" w:type="dxa"/>
          </w:tcPr>
          <w:p w14:paraId="63F9D71F"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 xml:space="preserve">5-15+ años </w:t>
            </w:r>
            <w:r w:rsidRPr="00A618A5">
              <w:rPr>
                <w:rFonts w:ascii="Aptos" w:hAnsi="Aptos"/>
                <w:color w:val="0F1115"/>
                <w:sz w:val="18"/>
                <w:szCs w:val="18"/>
                <w:lang w:val="es-ES"/>
              </w:rPr>
              <w:br/>
              <w:t>Hasta que pueden detectarse respuestas ecológicas claras</w:t>
            </w:r>
          </w:p>
        </w:tc>
      </w:tr>
      <w:tr w:rsidR="00C05F0F" w:rsidRPr="00A618A5" w14:paraId="354F5312" w14:textId="77777777" w:rsidTr="00C05F0F">
        <w:tc>
          <w:tcPr>
            <w:tcW w:w="3904" w:type="dxa"/>
          </w:tcPr>
          <w:p w14:paraId="459289FE"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Because ecological recovery and monitoring take time, it is typically 5-10 years (or more) before we can confidently assess whether we are on track to bend the curve.</w:t>
            </w:r>
          </w:p>
        </w:tc>
        <w:tc>
          <w:tcPr>
            <w:tcW w:w="4680" w:type="dxa"/>
          </w:tcPr>
          <w:p w14:paraId="2B429B5F"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Dado que la recuperación ecológica y el seguimiento llevan tiempo, suelen pasar entre 5 y 10 años (o más) antes de que podamos evaluar con certeza si estamos en vías de revertir la tendencia.</w:t>
            </w:r>
          </w:p>
        </w:tc>
      </w:tr>
      <w:tr w:rsidR="00C05F0F" w:rsidRPr="00A618A5" w14:paraId="5C3C6B5B" w14:textId="77777777" w:rsidTr="00C05F0F">
        <w:tc>
          <w:tcPr>
            <w:tcW w:w="3904" w:type="dxa"/>
          </w:tcPr>
          <w:p w14:paraId="1407A538"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It takes time to detect, assess and plan effective action Data gathering, research, consultation, prioritization and planning</w:t>
            </w:r>
          </w:p>
        </w:tc>
        <w:tc>
          <w:tcPr>
            <w:tcW w:w="4680" w:type="dxa"/>
          </w:tcPr>
          <w:p w14:paraId="45C9728D"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Se necesita tiempo para detectar, evaluar y planificar medidas eficaces</w:t>
            </w:r>
            <w:r w:rsidRPr="00A618A5">
              <w:rPr>
                <w:rFonts w:ascii="Aptos" w:hAnsi="Aptos"/>
                <w:color w:val="0F1115"/>
                <w:sz w:val="18"/>
                <w:szCs w:val="18"/>
                <w:lang w:val="es-ES"/>
              </w:rPr>
              <w:br/>
              <w:t>Recopilación de datos, investigación, consultas, establecimiento de prioridades y planificación</w:t>
            </w:r>
          </w:p>
        </w:tc>
      </w:tr>
      <w:tr w:rsidR="00C05F0F" w:rsidRPr="00A618A5" w14:paraId="79A38AB4" w14:textId="77777777" w:rsidTr="00C05F0F">
        <w:tc>
          <w:tcPr>
            <w:tcW w:w="3904" w:type="dxa"/>
          </w:tcPr>
          <w:p w14:paraId="3DE77541"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 xml:space="preserve">2–5 years </w:t>
            </w:r>
            <w:proofErr w:type="gramStart"/>
            <w:r w:rsidRPr="00A618A5">
              <w:rPr>
                <w:rFonts w:ascii="Aptos" w:eastAsia="Segoe UI" w:hAnsi="Aptos" w:cs="Segoe UI"/>
                <w:color w:val="0F1115"/>
                <w:sz w:val="18"/>
                <w:szCs w:val="18"/>
                <w:lang w:val="en-US"/>
              </w:rPr>
              <w:t>From</w:t>
            </w:r>
            <w:proofErr w:type="gramEnd"/>
            <w:r w:rsidRPr="00A618A5">
              <w:rPr>
                <w:rFonts w:ascii="Aptos" w:eastAsia="Segoe UI" w:hAnsi="Aptos" w:cs="Segoe UI"/>
                <w:color w:val="0F1115"/>
                <w:sz w:val="18"/>
                <w:szCs w:val="18"/>
                <w:lang w:val="en-US"/>
              </w:rPr>
              <w:t xml:space="preserve"> issue recognition to action planning</w:t>
            </w:r>
          </w:p>
        </w:tc>
        <w:tc>
          <w:tcPr>
            <w:tcW w:w="4680" w:type="dxa"/>
          </w:tcPr>
          <w:p w14:paraId="357F8F27"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2-5 años</w:t>
            </w:r>
            <w:r w:rsidRPr="00A618A5">
              <w:rPr>
                <w:rFonts w:ascii="Aptos" w:hAnsi="Aptos"/>
                <w:color w:val="0F1115"/>
                <w:sz w:val="18"/>
                <w:szCs w:val="18"/>
                <w:lang w:val="es-ES"/>
              </w:rPr>
              <w:br/>
              <w:t>Desde el reconocimiento del problema hasta la planificación de medidas</w:t>
            </w:r>
          </w:p>
        </w:tc>
      </w:tr>
      <w:tr w:rsidR="00C05F0F" w:rsidRPr="00A618A5" w14:paraId="3096E7CD" w14:textId="77777777" w:rsidTr="00C05F0F">
        <w:tc>
          <w:tcPr>
            <w:tcW w:w="3904" w:type="dxa"/>
          </w:tcPr>
          <w:p w14:paraId="1C1665E6"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Actions are implemented Policies, protection, restoration, management: changes on the ground</w:t>
            </w:r>
          </w:p>
        </w:tc>
        <w:tc>
          <w:tcPr>
            <w:tcW w:w="4680" w:type="dxa"/>
          </w:tcPr>
          <w:p w14:paraId="05307F79"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Las medidas se implementan</w:t>
            </w:r>
            <w:r w:rsidRPr="00A618A5">
              <w:rPr>
                <w:rFonts w:ascii="Aptos" w:hAnsi="Aptos"/>
                <w:color w:val="0F1115"/>
                <w:sz w:val="18"/>
                <w:szCs w:val="18"/>
                <w:lang w:val="es-ES"/>
              </w:rPr>
              <w:br/>
              <w:t>Políticas, protección, restauración y gestión: cambios sobre el terreno</w:t>
            </w:r>
          </w:p>
        </w:tc>
      </w:tr>
      <w:tr w:rsidR="00C05F0F" w:rsidRPr="00A618A5" w14:paraId="0DA542FD" w14:textId="77777777" w:rsidTr="00C05F0F">
        <w:tc>
          <w:tcPr>
            <w:tcW w:w="3904" w:type="dxa"/>
          </w:tcPr>
          <w:p w14:paraId="5688BB4C"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 xml:space="preserve">3-8 years </w:t>
            </w:r>
            <w:proofErr w:type="gramStart"/>
            <w:r w:rsidRPr="00A618A5">
              <w:rPr>
                <w:rFonts w:ascii="Aptos" w:eastAsia="Segoe UI" w:hAnsi="Aptos" w:cs="Segoe UI"/>
                <w:color w:val="0F1115"/>
                <w:sz w:val="18"/>
                <w:szCs w:val="18"/>
                <w:lang w:val="en-US"/>
              </w:rPr>
              <w:t>From</w:t>
            </w:r>
            <w:proofErr w:type="gramEnd"/>
            <w:r w:rsidRPr="00A618A5">
              <w:rPr>
                <w:rFonts w:ascii="Aptos" w:eastAsia="Segoe UI" w:hAnsi="Aptos" w:cs="Segoe UI"/>
                <w:color w:val="0F1115"/>
                <w:sz w:val="18"/>
                <w:szCs w:val="18"/>
                <w:lang w:val="en-US"/>
              </w:rPr>
              <w:t xml:space="preserve"> decision to implementation at scale</w:t>
            </w:r>
          </w:p>
        </w:tc>
        <w:tc>
          <w:tcPr>
            <w:tcW w:w="4680" w:type="dxa"/>
          </w:tcPr>
          <w:p w14:paraId="53E4DAA8"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3-8 años</w:t>
            </w:r>
            <w:r w:rsidRPr="00A618A5">
              <w:rPr>
                <w:rFonts w:ascii="Aptos" w:hAnsi="Aptos"/>
                <w:color w:val="0F1115"/>
                <w:sz w:val="18"/>
                <w:szCs w:val="18"/>
                <w:lang w:val="es-ES"/>
              </w:rPr>
              <w:br/>
              <w:t>Desde la adopción de decisiones hasta la implementación a gran escala</w:t>
            </w:r>
          </w:p>
        </w:tc>
      </w:tr>
      <w:tr w:rsidR="00C05F0F" w:rsidRPr="00A618A5" w14:paraId="1114B6C0" w14:textId="77777777" w:rsidTr="00C05F0F">
        <w:tc>
          <w:tcPr>
            <w:tcW w:w="3904" w:type="dxa"/>
          </w:tcPr>
          <w:p w14:paraId="780DAE33"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 xml:space="preserve">Slow but positive recovery over the </w:t>
            </w:r>
            <w:proofErr w:type="gramStart"/>
            <w:r w:rsidRPr="00A618A5">
              <w:rPr>
                <w:rFonts w:ascii="Aptos" w:eastAsia="Segoe UI" w:hAnsi="Aptos" w:cs="Segoe UI"/>
                <w:color w:val="0F1115"/>
                <w:sz w:val="18"/>
                <w:szCs w:val="18"/>
                <w:lang w:val="en-US"/>
              </w:rPr>
              <w:t>long term</w:t>
            </w:r>
            <w:proofErr w:type="gramEnd"/>
            <w:r w:rsidRPr="00A618A5">
              <w:rPr>
                <w:rFonts w:ascii="Aptos" w:eastAsia="Segoe UI" w:hAnsi="Aptos" w:cs="Segoe UI"/>
                <w:color w:val="0F1115"/>
                <w:sz w:val="18"/>
                <w:szCs w:val="18"/>
                <w:lang w:val="en-US"/>
              </w:rPr>
              <w:t xml:space="preserve"> Recovery may take decades and may be incomplete</w:t>
            </w:r>
          </w:p>
        </w:tc>
        <w:tc>
          <w:tcPr>
            <w:tcW w:w="4680" w:type="dxa"/>
          </w:tcPr>
          <w:p w14:paraId="341B2986"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Recuperación lenta pero positiva a largo plazo</w:t>
            </w:r>
            <w:r w:rsidRPr="00A618A5">
              <w:rPr>
                <w:rFonts w:ascii="Aptos" w:hAnsi="Aptos"/>
                <w:color w:val="0F1115"/>
                <w:sz w:val="18"/>
                <w:szCs w:val="18"/>
                <w:lang w:val="es-ES"/>
              </w:rPr>
              <w:br/>
              <w:t>La recuperación puede tardar décadas y puede ser incompleta</w:t>
            </w:r>
          </w:p>
        </w:tc>
      </w:tr>
      <w:tr w:rsidR="00C05F0F" w:rsidRPr="00A618A5" w14:paraId="578050B4" w14:textId="77777777" w:rsidTr="00C05F0F">
        <w:tc>
          <w:tcPr>
            <w:tcW w:w="3904" w:type="dxa"/>
          </w:tcPr>
          <w:p w14:paraId="1EF3FB4A" w14:textId="77777777" w:rsidR="00C05F0F" w:rsidRPr="00A618A5" w:rsidRDefault="00C05F0F" w:rsidP="00B93410">
            <w:pPr>
              <w:rPr>
                <w:rFonts w:ascii="Aptos" w:hAnsi="Aptos"/>
                <w:sz w:val="18"/>
                <w:szCs w:val="18"/>
                <w:lang w:val="en-US"/>
              </w:rPr>
            </w:pPr>
            <w:r w:rsidRPr="00A618A5">
              <w:rPr>
                <w:rFonts w:ascii="Aptos" w:eastAsia="Segoe UI" w:hAnsi="Aptos" w:cs="Segoe UI"/>
                <w:color w:val="0F1115"/>
                <w:sz w:val="18"/>
                <w:szCs w:val="18"/>
                <w:lang w:val="en-US"/>
              </w:rPr>
              <w:t>10+ years and beyond Recovery continues; long-term monitoring needed</w:t>
            </w:r>
          </w:p>
        </w:tc>
        <w:tc>
          <w:tcPr>
            <w:tcW w:w="4680" w:type="dxa"/>
          </w:tcPr>
          <w:p w14:paraId="25E82FD9" w14:textId="77777777" w:rsidR="00C05F0F" w:rsidRPr="00A618A5" w:rsidRDefault="00C05F0F" w:rsidP="00B93410">
            <w:pPr>
              <w:rPr>
                <w:rFonts w:ascii="Aptos" w:hAnsi="Aptos"/>
                <w:sz w:val="18"/>
                <w:szCs w:val="18"/>
                <w:lang w:val="es-ES"/>
              </w:rPr>
            </w:pPr>
            <w:r w:rsidRPr="00A618A5">
              <w:rPr>
                <w:rFonts w:ascii="Aptos" w:hAnsi="Aptos"/>
                <w:color w:val="0F1115"/>
                <w:sz w:val="18"/>
                <w:szCs w:val="18"/>
                <w:lang w:val="es-ES"/>
              </w:rPr>
              <w:t>10+ años y posteriormente</w:t>
            </w:r>
            <w:r w:rsidRPr="00A618A5">
              <w:rPr>
                <w:rFonts w:ascii="Aptos" w:hAnsi="Aptos"/>
                <w:color w:val="0F1115"/>
                <w:sz w:val="18"/>
                <w:szCs w:val="18"/>
                <w:lang w:val="es-ES"/>
              </w:rPr>
              <w:br/>
              <w:t>La recuperación continúa; se necesita seguimiento a largo plazo</w:t>
            </w:r>
          </w:p>
        </w:tc>
      </w:tr>
      <w:tr w:rsidR="00C05F0F" w:rsidRPr="00A618A5" w14:paraId="212FD508" w14:textId="77777777" w:rsidTr="00C05F0F">
        <w:tc>
          <w:tcPr>
            <w:tcW w:w="3904" w:type="dxa"/>
          </w:tcPr>
          <w:p w14:paraId="7FE7C906" w14:textId="77777777" w:rsidR="00C05F0F" w:rsidRPr="00A618A5" w:rsidRDefault="00C05F0F" w:rsidP="00B93410">
            <w:pPr>
              <w:rPr>
                <w:rFonts w:ascii="Aptos" w:hAnsi="Aptos"/>
                <w:sz w:val="18"/>
                <w:szCs w:val="18"/>
                <w:lang w:val="es-ES"/>
              </w:rPr>
            </w:pPr>
            <w:r w:rsidRPr="00A618A5">
              <w:rPr>
                <w:rFonts w:ascii="Aptos" w:eastAsia="Segoe UI" w:hAnsi="Aptos" w:cs="Segoe UI"/>
                <w:color w:val="0F1115"/>
                <w:sz w:val="18"/>
                <w:szCs w:val="18"/>
                <w:lang w:val="es-ES"/>
              </w:rPr>
              <w:t>Time (</w:t>
            </w:r>
            <w:proofErr w:type="spellStart"/>
            <w:r w:rsidRPr="00A618A5">
              <w:rPr>
                <w:rFonts w:ascii="Aptos" w:eastAsia="Segoe UI" w:hAnsi="Aptos" w:cs="Segoe UI"/>
                <w:color w:val="0F1115"/>
                <w:sz w:val="18"/>
                <w:szCs w:val="18"/>
                <w:lang w:val="es-ES"/>
              </w:rPr>
              <w:t>years</w:t>
            </w:r>
            <w:proofErr w:type="spellEnd"/>
            <w:r w:rsidRPr="00A618A5">
              <w:rPr>
                <w:rFonts w:ascii="Aptos" w:eastAsia="Segoe UI" w:hAnsi="Aptos" w:cs="Segoe UI"/>
                <w:color w:val="0F1115"/>
                <w:sz w:val="18"/>
                <w:szCs w:val="18"/>
                <w:lang w:val="es-ES"/>
              </w:rPr>
              <w:t>)</w:t>
            </w:r>
          </w:p>
        </w:tc>
        <w:tc>
          <w:tcPr>
            <w:tcW w:w="4680" w:type="dxa"/>
          </w:tcPr>
          <w:p w14:paraId="01CFEFD1" w14:textId="77777777" w:rsidR="00C05F0F" w:rsidRPr="00A618A5" w:rsidRDefault="00C05F0F" w:rsidP="00B93410">
            <w:pPr>
              <w:rPr>
                <w:rFonts w:ascii="Aptos" w:eastAsia="Segoe UI" w:hAnsi="Aptos" w:cs="Segoe UI"/>
                <w:color w:val="0F1115"/>
                <w:sz w:val="18"/>
                <w:szCs w:val="18"/>
                <w:lang w:val="es-ES"/>
              </w:rPr>
            </w:pPr>
            <w:r w:rsidRPr="00A618A5">
              <w:rPr>
                <w:rFonts w:ascii="Aptos" w:hAnsi="Aptos"/>
                <w:color w:val="0F1115"/>
                <w:sz w:val="18"/>
                <w:szCs w:val="18"/>
                <w:lang w:val="es-ES"/>
              </w:rPr>
              <w:t>Tiempo (años)</w:t>
            </w:r>
          </w:p>
        </w:tc>
      </w:tr>
    </w:tbl>
    <w:p w14:paraId="1BAC9230" w14:textId="39C3C1CD" w:rsidR="00D55A7F" w:rsidRPr="005E3D50" w:rsidRDefault="00D55A7F" w:rsidP="005901D1">
      <w:pPr>
        <w:rPr>
          <w:lang w:val="es-ES"/>
        </w:rPr>
      </w:pPr>
    </w:p>
    <w:p w14:paraId="180058EB" w14:textId="2A95BE30" w:rsidR="003A391F" w:rsidRPr="005E3D50" w:rsidRDefault="003A391F" w:rsidP="003A391F">
      <w:pPr>
        <w:rPr>
          <w:lang w:val="es-ES"/>
        </w:rPr>
      </w:pPr>
      <w:r w:rsidRPr="005E3D50">
        <w:rPr>
          <w:lang w:val="es-ES"/>
        </w:rPr>
        <w:t xml:space="preserve">Por las razones mencionadas anteriormente, es demasiado pronto para evaluar, mediante el informe mundial, los progresos </w:t>
      </w:r>
      <w:r w:rsidR="004628F0" w:rsidRPr="005E3D50">
        <w:rPr>
          <w:lang w:val="es-ES"/>
        </w:rPr>
        <w:t>en la consecución de</w:t>
      </w:r>
      <w:r w:rsidRPr="005E3D50">
        <w:rPr>
          <w:lang w:val="es-ES"/>
        </w:rPr>
        <w:t xml:space="preserve"> los resultados en materia de biodiversidad descritos en los objetivos del Marco para 2050 y algunas de las metas (véase el recuadro 4). En la medida de lo posible a partir de los indicadores disponibles, se informa sobre los progresos en la </w:t>
      </w:r>
      <w:r w:rsidR="007043D5" w:rsidRPr="005E3D50">
        <w:rPr>
          <w:lang w:val="es-ES"/>
        </w:rPr>
        <w:t>consecución</w:t>
      </w:r>
      <w:r w:rsidRPr="005E3D50">
        <w:rPr>
          <w:lang w:val="es-ES"/>
        </w:rPr>
        <w:t xml:space="preserve"> de las metas orientadas a la acción para 2030, </w:t>
      </w:r>
      <w:r w:rsidR="000A6832" w:rsidRPr="005E3D50">
        <w:rPr>
          <w:lang w:val="es-ES"/>
        </w:rPr>
        <w:t>que</w:t>
      </w:r>
      <w:r w:rsidRPr="005E3D50">
        <w:rPr>
          <w:lang w:val="es-ES"/>
        </w:rPr>
        <w:t xml:space="preserve"> es necesaria para alcanzar los objetivos (véase la sección II.B). Las conexiones entre las metas y los objetivos y algunas de las repercusiones de los actuales niveles de progreso se analizan en la sección II.C. En general, el informe ayuda a establecer una base de referencia sobre la que podrán sustentarse los futuros progresos </w:t>
      </w:r>
      <w:r w:rsidR="007B0CE9">
        <w:rPr>
          <w:lang w:val="es-ES"/>
        </w:rPr>
        <w:t>en el logro de</w:t>
      </w:r>
      <w:r w:rsidRPr="005E3D50">
        <w:rPr>
          <w:lang w:val="es-ES"/>
        </w:rPr>
        <w:t xml:space="preserve"> la Visión 2050. </w:t>
      </w:r>
    </w:p>
    <w:p w14:paraId="0EFD8AC2" w14:textId="682192EA" w:rsidR="004A64EF" w:rsidRPr="005E3D50" w:rsidRDefault="004A64EF" w:rsidP="004A64EF">
      <w:pPr>
        <w:rPr>
          <w:lang w:val="es-ES"/>
        </w:rPr>
      </w:pPr>
      <w:r w:rsidRPr="005E3D50">
        <w:rPr>
          <w:lang w:val="es-ES"/>
        </w:rPr>
        <w:t xml:space="preserve">A lo largo del informe, como forma de reconocer las carencias y los sesgos en la </w:t>
      </w:r>
      <w:r w:rsidR="00EF53C6" w:rsidRPr="005E3D50">
        <w:rPr>
          <w:lang w:val="es-ES"/>
        </w:rPr>
        <w:t>presenta</w:t>
      </w:r>
      <w:r w:rsidRPr="005E3D50">
        <w:rPr>
          <w:lang w:val="es-ES"/>
        </w:rPr>
        <w:t>ción de inform</w:t>
      </w:r>
      <w:r w:rsidR="00EF53C6" w:rsidRPr="005E3D50">
        <w:rPr>
          <w:lang w:val="es-ES"/>
        </w:rPr>
        <w:t>es</w:t>
      </w:r>
      <w:r w:rsidRPr="005E3D50">
        <w:rPr>
          <w:lang w:val="es-ES"/>
        </w:rPr>
        <w:t xml:space="preserve">, el análisis se presenta de manera transparente, indicando el número de Partes que </w:t>
      </w:r>
      <w:r w:rsidR="0069267E" w:rsidRPr="005E3D50">
        <w:rPr>
          <w:lang w:val="es-ES"/>
        </w:rPr>
        <w:t xml:space="preserve">comunicaron </w:t>
      </w:r>
      <w:r w:rsidRPr="005E3D50">
        <w:rPr>
          <w:lang w:val="es-ES"/>
        </w:rPr>
        <w:t xml:space="preserve">información sobre cada meta e indicador y la representación relativa de cada grupo regional de Estados Miembros de las Naciones Unidas. </w:t>
      </w:r>
    </w:p>
    <w:p w14:paraId="1DD98063" w14:textId="36B52AAB" w:rsidR="00D43E94" w:rsidRPr="005E3D50" w:rsidRDefault="00F74511" w:rsidP="000922FA">
      <w:pPr>
        <w:pStyle w:val="Caption"/>
        <w:rPr>
          <w:lang w:val="es-ES"/>
        </w:rPr>
      </w:pPr>
      <w:r w:rsidRPr="005E3D50">
        <w:rPr>
          <w:lang w:val="es-ES"/>
        </w:rPr>
        <w:t xml:space="preserve"> </w:t>
      </w:r>
    </w:p>
    <w:p w14:paraId="3DD789EE" w14:textId="5D971D2A" w:rsidR="00550E7A" w:rsidRPr="005E3D50" w:rsidRDefault="00550E7A" w:rsidP="00550E7A">
      <w:pPr>
        <w:pStyle w:val="Heading2"/>
        <w:rPr>
          <w:lang w:val="es-ES"/>
        </w:rPr>
      </w:pPr>
      <w:bookmarkStart w:id="51" w:name="_Toc230133155"/>
      <w:bookmarkStart w:id="52" w:name="_Ref231039831"/>
      <w:bookmarkStart w:id="53" w:name="_Ref231039883"/>
      <w:bookmarkStart w:id="54" w:name="_Toc235821039"/>
      <w:bookmarkStart w:id="55" w:name="_Toc239069184"/>
      <w:bookmarkStart w:id="56" w:name="_Toc242882962"/>
      <w:r w:rsidRPr="005E3D50">
        <w:rPr>
          <w:lang w:val="es-ES"/>
        </w:rPr>
        <w:lastRenderedPageBreak/>
        <w:t>I.B Estado y tendencias mundiales</w:t>
      </w:r>
      <w:bookmarkEnd w:id="51"/>
      <w:bookmarkEnd w:id="52"/>
      <w:bookmarkEnd w:id="53"/>
      <w:bookmarkEnd w:id="54"/>
      <w:bookmarkEnd w:id="55"/>
      <w:bookmarkEnd w:id="56"/>
      <w:r w:rsidRPr="005E3D50">
        <w:rPr>
          <w:lang w:val="es-ES"/>
        </w:rPr>
        <w:t xml:space="preserve"> </w:t>
      </w:r>
    </w:p>
    <w:p w14:paraId="7CE6F351" w14:textId="44FC7047" w:rsidR="00087457" w:rsidRPr="005E3D50" w:rsidRDefault="00087457" w:rsidP="00087457">
      <w:pPr>
        <w:rPr>
          <w:lang w:val="es-ES"/>
        </w:rPr>
      </w:pPr>
      <w:r w:rsidRPr="005E3D50">
        <w:rPr>
          <w:lang w:val="es-ES"/>
        </w:rPr>
        <w:t xml:space="preserve">En el informe </w:t>
      </w:r>
      <w:r w:rsidRPr="005E3D50">
        <w:rPr>
          <w:i/>
          <w:iCs/>
          <w:lang w:val="es-ES"/>
        </w:rPr>
        <w:t xml:space="preserve">Global </w:t>
      </w:r>
      <w:proofErr w:type="spellStart"/>
      <w:r w:rsidRPr="005E3D50">
        <w:rPr>
          <w:i/>
          <w:iCs/>
          <w:lang w:val="es-ES"/>
        </w:rPr>
        <w:t>Assessment</w:t>
      </w:r>
      <w:proofErr w:type="spellEnd"/>
      <w:r w:rsidRPr="005E3D50">
        <w:rPr>
          <w:i/>
          <w:iCs/>
          <w:lang w:val="es-ES"/>
        </w:rPr>
        <w:t xml:space="preserve"> </w:t>
      </w:r>
      <w:proofErr w:type="spellStart"/>
      <w:r w:rsidRPr="005E3D50">
        <w:rPr>
          <w:i/>
          <w:iCs/>
          <w:lang w:val="es-ES"/>
        </w:rPr>
        <w:t>Report</w:t>
      </w:r>
      <w:proofErr w:type="spellEnd"/>
      <w:r w:rsidRPr="005E3D50">
        <w:rPr>
          <w:i/>
          <w:iCs/>
          <w:lang w:val="es-ES"/>
        </w:rPr>
        <w:t xml:space="preserve"> </w:t>
      </w:r>
      <w:proofErr w:type="spellStart"/>
      <w:r w:rsidRPr="005E3D50">
        <w:rPr>
          <w:i/>
          <w:iCs/>
          <w:lang w:val="es-ES"/>
        </w:rPr>
        <w:t>on</w:t>
      </w:r>
      <w:proofErr w:type="spellEnd"/>
      <w:r w:rsidRPr="005E3D50">
        <w:rPr>
          <w:i/>
          <w:iCs/>
          <w:lang w:val="es-ES"/>
        </w:rPr>
        <w:t xml:space="preserve"> Biodiversity and </w:t>
      </w:r>
      <w:proofErr w:type="spellStart"/>
      <w:r w:rsidRPr="005E3D50">
        <w:rPr>
          <w:i/>
          <w:iCs/>
          <w:lang w:val="es-ES"/>
        </w:rPr>
        <w:t>Ecosystem</w:t>
      </w:r>
      <w:proofErr w:type="spellEnd"/>
      <w:r w:rsidRPr="005E3D50">
        <w:rPr>
          <w:i/>
          <w:iCs/>
          <w:lang w:val="es-ES"/>
        </w:rPr>
        <w:t xml:space="preserve"> </w:t>
      </w:r>
      <w:proofErr w:type="spellStart"/>
      <w:r w:rsidRPr="005E3D50">
        <w:rPr>
          <w:i/>
          <w:iCs/>
          <w:lang w:val="es-ES"/>
        </w:rPr>
        <w:t>Services</w:t>
      </w:r>
      <w:proofErr w:type="spellEnd"/>
      <w:r w:rsidRPr="005E3D50">
        <w:rPr>
          <w:lang w:val="es-ES"/>
        </w:rPr>
        <w:t xml:space="preserve"> publicado en 2019 por la Plataforma Intergubernamental Científico-Normativa sobre Diversidad Biológica y Servicios de los Ecosistemas, se concluyó que, a pesar de décadas de políticas ambientales y de conservación, la naturaleza y sus contribuciones a las personas habían continuado deteriorándose en todo el mundo (IPBES, 2019). Como se reconoce en el Marco, en el informe de la evaluación mundial se afirma que: </w:t>
      </w:r>
    </w:p>
    <w:p w14:paraId="43115EB7" w14:textId="77777777" w:rsidR="00087457" w:rsidRPr="005E3D50" w:rsidRDefault="00087457" w:rsidP="00087457">
      <w:pPr>
        <w:pStyle w:val="ListParagraph"/>
        <w:numPr>
          <w:ilvl w:val="0"/>
          <w:numId w:val="10"/>
        </w:numPr>
        <w:rPr>
          <w:lang w:val="es-ES"/>
        </w:rPr>
      </w:pPr>
      <w:r w:rsidRPr="005E3D50">
        <w:rPr>
          <w:lang w:val="es-ES"/>
        </w:rPr>
        <w:t>En promedio, alrededor del 25 % de las especies en los grupos de animales y plantas evaluados están amenazadas, lo cual hace pensar que alrededor de un millón de especies ya están en peligro de extinción, muchas en apenas decenios, a menos que se adopten medidas para reducir la intensidad de los impulsores de la pérdida de diversidad biológica. Si no se adoptan medidas, habrá una mayor aceleración del ritmo de extinción de especies en todo el mundo, que es ya decenas, cuando no cientos de veces superior a la media de los últimos diez millones de años</w:t>
      </w:r>
    </w:p>
    <w:p w14:paraId="0C6B68BA" w14:textId="77777777" w:rsidR="00087457" w:rsidRPr="005E3D50" w:rsidRDefault="00087457" w:rsidP="00087457">
      <w:pPr>
        <w:pStyle w:val="ListParagraph"/>
        <w:numPr>
          <w:ilvl w:val="0"/>
          <w:numId w:val="10"/>
        </w:numPr>
        <w:rPr>
          <w:lang w:val="es-ES"/>
        </w:rPr>
      </w:pPr>
      <w:r w:rsidRPr="005E3D50">
        <w:rPr>
          <w:lang w:val="es-ES"/>
        </w:rPr>
        <w:t xml:space="preserve">La biosfera, de la que depende la humanidad en su conjunto, está sufriendo alteraciones sin precedentes en todos los niveles espaciales. La diversidad biológica —la diversidad dentro de las especies, entre especies y la diversidad de los ecosistemas— está disminuyendo a un ritmo más rápido que </w:t>
      </w:r>
      <w:proofErr w:type="gramStart"/>
      <w:r w:rsidRPr="005E3D50">
        <w:rPr>
          <w:lang w:val="es-ES"/>
        </w:rPr>
        <w:t>nunca antes</w:t>
      </w:r>
      <w:proofErr w:type="gramEnd"/>
      <w:r w:rsidRPr="005E3D50">
        <w:rPr>
          <w:lang w:val="es-ES"/>
        </w:rPr>
        <w:t xml:space="preserve"> en la historia humana</w:t>
      </w:r>
    </w:p>
    <w:p w14:paraId="0F9D5DAC" w14:textId="77777777" w:rsidR="00087457" w:rsidRPr="005E3D50" w:rsidRDefault="00087457" w:rsidP="00087457">
      <w:pPr>
        <w:pStyle w:val="ListParagraph"/>
        <w:numPr>
          <w:ilvl w:val="0"/>
          <w:numId w:val="10"/>
        </w:numPr>
        <w:rPr>
          <w:lang w:val="es-ES"/>
        </w:rPr>
      </w:pPr>
      <w:r w:rsidRPr="005E3D50">
        <w:rPr>
          <w:lang w:val="es-ES"/>
        </w:rPr>
        <w:t>Es posible conservar, restaurar y usar la naturaleza de manera sostenible a la vez que se alcanzan otras metas sociales mundiales si se emprenden con urgencia iniciativas coordinadas que promuevan un cambio transformador</w:t>
      </w:r>
    </w:p>
    <w:p w14:paraId="231F4882" w14:textId="0AA0D7AB" w:rsidR="00087457" w:rsidRPr="005E3D50" w:rsidRDefault="00087457" w:rsidP="00087457">
      <w:pPr>
        <w:pStyle w:val="ListParagraph"/>
        <w:numPr>
          <w:ilvl w:val="0"/>
          <w:numId w:val="10"/>
        </w:numPr>
        <w:rPr>
          <w:lang w:val="es-ES"/>
        </w:rPr>
      </w:pPr>
      <w:r w:rsidRPr="005E3D50">
        <w:rPr>
          <w:lang w:val="es-ES"/>
        </w:rPr>
        <w:t>Los impulsores directos de este cambio en la naturaleza con mayor repercusión mundial son (comenzando por los que tienen mayor impacto) el cambio de uso de la tierra y el mar, la explotación directa de los organismos, el cambio climático, la contaminación y la invasión de especies exóticas. Estos cinco impulsores directos son el resultado de una serie de causas subyacentes —los impulsores indirectos del cambio—</w:t>
      </w:r>
      <w:r w:rsidR="0036235A" w:rsidRPr="005E3D50">
        <w:rPr>
          <w:lang w:val="es-ES"/>
        </w:rPr>
        <w:t>,</w:t>
      </w:r>
      <w:r w:rsidRPr="005E3D50">
        <w:rPr>
          <w:lang w:val="es-ES"/>
        </w:rPr>
        <w:t xml:space="preserve"> respaldadas a su vez por valores y comportamientos sociales. La velocidad del cambio de los impulsores directos e indirectos difiere entre regiones, países, ecosistemas y biomas</w:t>
      </w:r>
    </w:p>
    <w:p w14:paraId="185C25C0" w14:textId="2E7A87FD" w:rsidR="002F7322" w:rsidRPr="005E3D50" w:rsidRDefault="00761BC0" w:rsidP="002F7322">
      <w:pPr>
        <w:rPr>
          <w:lang w:val="es-ES"/>
        </w:rPr>
      </w:pPr>
      <w:r w:rsidRPr="005E3D50">
        <w:rPr>
          <w:lang w:val="es-ES"/>
        </w:rPr>
        <w:t xml:space="preserve">En 2020, la quinta edición de la Perspectiva Mundial sobre la Diversidad Biológica (PMDB 5) (CDB, 2020) presentó una revisión final de la implementación del Plan Estratégico para la Diversidad Biológica 2011-2020 y sus Metas de Aichi para la Diversidad Biológica, incluidos sus logros, carencias y lecciones aprendidas. Los mensajes principales de la PMDB 5 fueron que, a pesar de los esfuerzos de las Partes por implementar el Plan </w:t>
      </w:r>
      <w:r w:rsidRPr="005E3D50">
        <w:rPr>
          <w:lang w:val="es-ES"/>
        </w:rPr>
        <w:lastRenderedPageBreak/>
        <w:t xml:space="preserve">Estratégico a nivel mundial, ninguna de las 20 Metas de Aichi para la Diversidad Biológica acordadas por las Partes en el Convenio en 2010 se había alcanzado plenamente, si bien seis metas se habían alcanzado parcialmente; que la diversidad biológica continuaba disminuyendo; y que las presiones sobre ella continuaban aumentando (véase la figura 7). </w:t>
      </w:r>
    </w:p>
    <w:p w14:paraId="7BF2BBEC" w14:textId="77777777" w:rsidR="00FE1F91" w:rsidRPr="005E3D50" w:rsidRDefault="00FE1F91" w:rsidP="002F7322">
      <w:pPr>
        <w:rPr>
          <w:lang w:val="es-ES"/>
        </w:rPr>
      </w:pPr>
    </w:p>
    <w:p w14:paraId="318E0375" w14:textId="451805E6" w:rsidR="00FE1F91" w:rsidRPr="005E3D50" w:rsidRDefault="00FE1F91" w:rsidP="002F7322">
      <w:pPr>
        <w:rPr>
          <w:b/>
          <w:sz w:val="20"/>
          <w:szCs w:val="20"/>
          <w:lang w:val="es-ES"/>
        </w:rPr>
      </w:pPr>
      <w:r w:rsidRPr="005E3D50">
        <w:rPr>
          <w:sz w:val="20"/>
          <w:szCs w:val="20"/>
          <w:lang w:val="es-ES"/>
        </w:rPr>
        <w:t>Figura 7:</w:t>
      </w:r>
      <w:r w:rsidRPr="005E3D50">
        <w:rPr>
          <w:b/>
          <w:sz w:val="20"/>
          <w:szCs w:val="20"/>
          <w:lang w:val="es-ES"/>
        </w:rPr>
        <w:t xml:space="preserve"> Evaluación final del logro de las Metas de Aichi para la Diversidad Biológica y de los progresos hacia su consecución</w:t>
      </w:r>
    </w:p>
    <w:p w14:paraId="3A7FF01A" w14:textId="74D840BF" w:rsidR="00FE1F91" w:rsidRPr="005E3D50" w:rsidRDefault="00FE1F91" w:rsidP="002F7322">
      <w:pPr>
        <w:rPr>
          <w:sz w:val="16"/>
          <w:szCs w:val="16"/>
          <w:lang w:val="es-ES"/>
        </w:rPr>
      </w:pPr>
      <w:r w:rsidRPr="005E3D50">
        <w:rPr>
          <w:i/>
          <w:iCs/>
          <w:sz w:val="16"/>
          <w:szCs w:val="16"/>
          <w:lang w:val="es-ES"/>
        </w:rPr>
        <w:t xml:space="preserve">Fuente: </w:t>
      </w:r>
      <w:r w:rsidRPr="005E3D50">
        <w:rPr>
          <w:sz w:val="16"/>
          <w:szCs w:val="16"/>
          <w:lang w:val="es-ES"/>
        </w:rPr>
        <w:t>Quinta edición de la Perspectiva Mundial sobre la Diversidad Biológica (CDB, 2020)</w:t>
      </w:r>
    </w:p>
    <w:p w14:paraId="19FF468F" w14:textId="5CD533F5" w:rsidR="005B42E3" w:rsidRPr="005E3D50" w:rsidRDefault="00F62E95" w:rsidP="0008037F">
      <w:pPr>
        <w:keepNext/>
        <w:rPr>
          <w:lang w:val="es-ES"/>
        </w:rPr>
      </w:pPr>
      <w:r w:rsidRPr="005E3D50">
        <w:rPr>
          <w:lang w:val="es-ES"/>
        </w:rPr>
        <w:t xml:space="preserve"> </w:t>
      </w:r>
      <w:r w:rsidRPr="005E3D50">
        <w:rPr>
          <w:noProof/>
          <w:lang w:val="en-US"/>
        </w:rPr>
        <w:drawing>
          <wp:inline distT="0" distB="0" distL="0" distR="0" wp14:anchorId="492BF475" wp14:editId="1625B7ED">
            <wp:extent cx="5731510" cy="4759325"/>
            <wp:effectExtent l="0" t="0" r="0" b="3175"/>
            <wp:docPr id="47128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0747" name="Picture 47128074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p>
    <w:p w14:paraId="4E890F58" w14:textId="7B7A172B" w:rsidR="00682F76" w:rsidRDefault="00945998" w:rsidP="00945998">
      <w:pPr>
        <w:pStyle w:val="Caption"/>
        <w:rPr>
          <w:i w:val="0"/>
          <w:sz w:val="16"/>
          <w:szCs w:val="16"/>
          <w:lang w:val="es-ES"/>
        </w:rPr>
      </w:pPr>
      <w:r w:rsidRPr="005E3D50">
        <w:rPr>
          <w:sz w:val="16"/>
          <w:szCs w:val="16"/>
          <w:lang w:val="es-ES"/>
        </w:rPr>
        <w:t xml:space="preserve">Nota: </w:t>
      </w:r>
      <w:r w:rsidRPr="005E3D50">
        <w:rPr>
          <w:i w:val="0"/>
          <w:sz w:val="16"/>
          <w:szCs w:val="16"/>
          <w:lang w:val="es-ES"/>
        </w:rPr>
        <w:t>El color verde indica que se ha</w:t>
      </w:r>
      <w:r w:rsidR="00824B3E" w:rsidRPr="005E3D50">
        <w:rPr>
          <w:i w:val="0"/>
          <w:sz w:val="16"/>
          <w:szCs w:val="16"/>
          <w:lang w:val="es-ES"/>
        </w:rPr>
        <w:t>bía</w:t>
      </w:r>
      <w:r w:rsidRPr="005E3D50">
        <w:rPr>
          <w:i w:val="0"/>
          <w:sz w:val="16"/>
          <w:szCs w:val="16"/>
          <w:lang w:val="es-ES"/>
        </w:rPr>
        <w:t xml:space="preserve"> </w:t>
      </w:r>
      <w:r w:rsidR="0057028C" w:rsidRPr="005E3D50">
        <w:rPr>
          <w:i w:val="0"/>
          <w:sz w:val="16"/>
          <w:szCs w:val="16"/>
          <w:lang w:val="es-ES"/>
        </w:rPr>
        <w:t>cumplido</w:t>
      </w:r>
      <w:r w:rsidRPr="005E3D50">
        <w:rPr>
          <w:i w:val="0"/>
          <w:sz w:val="16"/>
          <w:szCs w:val="16"/>
          <w:lang w:val="es-ES"/>
        </w:rPr>
        <w:t xml:space="preserve"> un elemento de la meta; el color amarillo, que se habían logrado progresos, pero estos eran insuficientes para alcanzar la meta; el color rojo, que no se habían logrado progresos; el color púrpura, que las tendencias se alejaban de la meta; el color azul, que el elemento se había </w:t>
      </w:r>
      <w:r w:rsidR="0057028C" w:rsidRPr="005E3D50">
        <w:rPr>
          <w:i w:val="0"/>
          <w:sz w:val="16"/>
          <w:szCs w:val="16"/>
          <w:lang w:val="es-ES"/>
        </w:rPr>
        <w:t>cumplido</w:t>
      </w:r>
      <w:r w:rsidRPr="005E3D50">
        <w:rPr>
          <w:i w:val="0"/>
          <w:sz w:val="16"/>
          <w:szCs w:val="16"/>
          <w:lang w:val="es-ES"/>
        </w:rPr>
        <w:t xml:space="preserve"> por encima de lo previsto en la meta; y el color gris, que no había evidencia suficiente para realizar una evaluación. Se consideró que una meta se había </w:t>
      </w:r>
      <w:r w:rsidR="0057028C" w:rsidRPr="005E3D50">
        <w:rPr>
          <w:i w:val="0"/>
          <w:sz w:val="16"/>
          <w:szCs w:val="16"/>
          <w:lang w:val="es-ES"/>
        </w:rPr>
        <w:t>alcanzado</w:t>
      </w:r>
      <w:r w:rsidRPr="005E3D50">
        <w:rPr>
          <w:i w:val="0"/>
          <w:sz w:val="16"/>
          <w:szCs w:val="16"/>
          <w:lang w:val="es-ES"/>
        </w:rPr>
        <w:t xml:space="preserve"> plenamente si se habían </w:t>
      </w:r>
      <w:r w:rsidR="0057028C" w:rsidRPr="005E3D50">
        <w:rPr>
          <w:i w:val="0"/>
          <w:sz w:val="16"/>
          <w:szCs w:val="16"/>
          <w:lang w:val="es-ES"/>
        </w:rPr>
        <w:t>cumplido</w:t>
      </w:r>
      <w:r w:rsidRPr="005E3D50">
        <w:rPr>
          <w:i w:val="0"/>
          <w:sz w:val="16"/>
          <w:szCs w:val="16"/>
          <w:lang w:val="es-ES"/>
        </w:rPr>
        <w:t xml:space="preserve"> todos sus elementos (es decir, si todos los segmentos eran verdes o azules), y que se había </w:t>
      </w:r>
      <w:r w:rsidR="0057028C" w:rsidRPr="005E3D50">
        <w:rPr>
          <w:i w:val="0"/>
          <w:sz w:val="16"/>
          <w:szCs w:val="16"/>
          <w:lang w:val="es-ES"/>
        </w:rPr>
        <w:t>alcanzado</w:t>
      </w:r>
      <w:r w:rsidRPr="005E3D50">
        <w:rPr>
          <w:i w:val="0"/>
          <w:sz w:val="16"/>
          <w:szCs w:val="16"/>
          <w:lang w:val="es-ES"/>
        </w:rPr>
        <w:t xml:space="preserve"> parcialmente si se había </w:t>
      </w:r>
      <w:r w:rsidR="0057028C" w:rsidRPr="005E3D50">
        <w:rPr>
          <w:i w:val="0"/>
          <w:sz w:val="16"/>
          <w:szCs w:val="16"/>
          <w:lang w:val="es-ES"/>
        </w:rPr>
        <w:t>cumplido</w:t>
      </w:r>
      <w:r w:rsidRPr="005E3D50">
        <w:rPr>
          <w:i w:val="0"/>
          <w:sz w:val="16"/>
          <w:szCs w:val="16"/>
          <w:lang w:val="es-ES"/>
        </w:rPr>
        <w:t xml:space="preserve"> por lo menos un elemento (es decir, si al menos un segmento era verde o azul). </w:t>
      </w:r>
      <w:bookmarkStart w:id="57" w:name="_Toc230654603"/>
      <w:bookmarkStart w:id="58" w:name="_Toc230133157"/>
    </w:p>
    <w:tbl>
      <w:tblPr>
        <w:tblStyle w:val="TableGrid"/>
        <w:tblW w:w="0" w:type="auto"/>
        <w:tblLook w:val="06A0" w:firstRow="1" w:lastRow="0" w:firstColumn="1" w:lastColumn="0" w:noHBand="1" w:noVBand="1"/>
      </w:tblPr>
      <w:tblGrid>
        <w:gridCol w:w="4176"/>
        <w:gridCol w:w="4743"/>
      </w:tblGrid>
      <w:tr w:rsidR="00C05F0F" w:rsidRPr="00C03D9D" w14:paraId="1899A9F9" w14:textId="77777777" w:rsidTr="0031043D">
        <w:tc>
          <w:tcPr>
            <w:tcW w:w="8919" w:type="dxa"/>
            <w:gridSpan w:val="2"/>
          </w:tcPr>
          <w:p w14:paraId="438D238D" w14:textId="7189EDA0" w:rsidR="00C05F0F" w:rsidRDefault="00C05F0F"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7</w:t>
            </w:r>
          </w:p>
        </w:tc>
      </w:tr>
      <w:tr w:rsidR="00C05F0F" w:rsidRPr="00C03D9D" w14:paraId="74A223AA" w14:textId="77777777" w:rsidTr="00C03D9D">
        <w:tc>
          <w:tcPr>
            <w:tcW w:w="4176" w:type="dxa"/>
          </w:tcPr>
          <w:p w14:paraId="00756133"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 xml:space="preserve">English </w:t>
            </w:r>
          </w:p>
        </w:tc>
        <w:tc>
          <w:tcPr>
            <w:tcW w:w="4743" w:type="dxa"/>
          </w:tcPr>
          <w:p w14:paraId="3D79619A" w14:textId="03D91B05" w:rsidR="00C05F0F" w:rsidRPr="00C03D9D" w:rsidRDefault="00C05F0F" w:rsidP="00B93410">
            <w:pPr>
              <w:rPr>
                <w:rFonts w:ascii="Aptos" w:hAnsi="Aptos"/>
                <w:sz w:val="18"/>
                <w:szCs w:val="18"/>
                <w:lang w:val="es-ES"/>
              </w:rPr>
            </w:pPr>
            <w:r>
              <w:rPr>
                <w:rFonts w:ascii="Aptos" w:eastAsia="Segoe UI" w:hAnsi="Aptos" w:cs="Segoe UI"/>
                <w:color w:val="0F1115"/>
                <w:sz w:val="18"/>
                <w:szCs w:val="18"/>
                <w:lang w:val="es-ES"/>
              </w:rPr>
              <w:t>Español</w:t>
            </w:r>
          </w:p>
        </w:tc>
      </w:tr>
      <w:tr w:rsidR="00C05F0F" w:rsidRPr="00C03D9D" w14:paraId="439DBE32" w14:textId="77777777" w:rsidTr="00C03D9D">
        <w:tc>
          <w:tcPr>
            <w:tcW w:w="4176" w:type="dxa"/>
          </w:tcPr>
          <w:p w14:paraId="0F943E28"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Aichi Biodiversity Target</w:t>
            </w:r>
          </w:p>
        </w:tc>
        <w:tc>
          <w:tcPr>
            <w:tcW w:w="4743" w:type="dxa"/>
          </w:tcPr>
          <w:p w14:paraId="7986CE1A"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Meta de Aichi para la Diversidad Biológica</w:t>
            </w:r>
          </w:p>
        </w:tc>
      </w:tr>
      <w:tr w:rsidR="00C05F0F" w:rsidRPr="00C03D9D" w14:paraId="68AE09DF" w14:textId="77777777" w:rsidTr="00C03D9D">
        <w:tc>
          <w:tcPr>
            <w:tcW w:w="4176" w:type="dxa"/>
          </w:tcPr>
          <w:p w14:paraId="446D605D"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lastRenderedPageBreak/>
              <w:t xml:space="preserve">2020 </w:t>
            </w:r>
            <w:proofErr w:type="spellStart"/>
            <w:r w:rsidRPr="00C03D9D">
              <w:rPr>
                <w:rFonts w:ascii="Aptos" w:eastAsia="Segoe UI" w:hAnsi="Aptos" w:cs="Segoe UI"/>
                <w:color w:val="0F1115"/>
                <w:sz w:val="18"/>
                <w:szCs w:val="18"/>
                <w:lang w:val="es-ES"/>
              </w:rPr>
              <w:t>assessment</w:t>
            </w:r>
            <w:proofErr w:type="spell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by</w:t>
            </w:r>
            <w:proofErr w:type="spellEnd"/>
            <w:r w:rsidRPr="00C03D9D">
              <w:rPr>
                <w:rFonts w:ascii="Aptos" w:eastAsia="Segoe UI" w:hAnsi="Aptos" w:cs="Segoe UI"/>
                <w:color w:val="0F1115"/>
                <w:sz w:val="18"/>
                <w:szCs w:val="18"/>
                <w:lang w:val="es-ES"/>
              </w:rPr>
              <w:t xml:space="preserve"> </w:t>
            </w:r>
            <w:proofErr w:type="gramStart"/>
            <w:r w:rsidRPr="00C03D9D">
              <w:rPr>
                <w:rFonts w:ascii="Aptos" w:eastAsia="Segoe UI" w:hAnsi="Aptos" w:cs="Segoe UI"/>
                <w:color w:val="0F1115"/>
                <w:sz w:val="18"/>
                <w:szCs w:val="18"/>
                <w:lang w:val="es-ES"/>
              </w:rPr>
              <w:t>target</w:t>
            </w:r>
            <w:proofErr w:type="gram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element</w:t>
            </w:r>
            <w:proofErr w:type="spellEnd"/>
            <w:r w:rsidRPr="00C03D9D">
              <w:rPr>
                <w:rFonts w:ascii="Aptos" w:eastAsia="Segoe UI" w:hAnsi="Aptos" w:cs="Segoe UI"/>
                <w:color w:val="0F1115"/>
                <w:sz w:val="18"/>
                <w:szCs w:val="18"/>
                <w:lang w:val="es-ES"/>
              </w:rPr>
              <w:t>)</w:t>
            </w:r>
          </w:p>
        </w:tc>
        <w:tc>
          <w:tcPr>
            <w:tcW w:w="4743" w:type="dxa"/>
          </w:tcPr>
          <w:p w14:paraId="6EF2838F"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Evaluación en 2020 (por elemento de la meta)</w:t>
            </w:r>
          </w:p>
        </w:tc>
      </w:tr>
      <w:tr w:rsidR="00C05F0F" w:rsidRPr="00C03D9D" w14:paraId="412C56F3" w14:textId="77777777" w:rsidTr="00C03D9D">
        <w:tc>
          <w:tcPr>
            <w:tcW w:w="4176" w:type="dxa"/>
          </w:tcPr>
          <w:p w14:paraId="3EB73259"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STRATEGIC GOAL A</w:t>
            </w:r>
          </w:p>
        </w:tc>
        <w:tc>
          <w:tcPr>
            <w:tcW w:w="4743" w:type="dxa"/>
          </w:tcPr>
          <w:p w14:paraId="72945FCE"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OBJETIVO ESTRATÉGICO A</w:t>
            </w:r>
          </w:p>
        </w:tc>
      </w:tr>
      <w:tr w:rsidR="00C05F0F" w:rsidRPr="00C03D9D" w14:paraId="5E81AF8E" w14:textId="77777777" w:rsidTr="00C03D9D">
        <w:tc>
          <w:tcPr>
            <w:tcW w:w="4176" w:type="dxa"/>
          </w:tcPr>
          <w:p w14:paraId="5CD290C7" w14:textId="77777777" w:rsidR="00C05F0F" w:rsidRPr="00C03D9D" w:rsidRDefault="00C05F0F" w:rsidP="00B93410">
            <w:pPr>
              <w:rPr>
                <w:rFonts w:ascii="Aptos" w:hAnsi="Aptos"/>
                <w:sz w:val="18"/>
                <w:szCs w:val="18"/>
                <w:lang w:val="es-ES"/>
              </w:rPr>
            </w:pPr>
            <w:proofErr w:type="gramStart"/>
            <w:r w:rsidRPr="00C03D9D">
              <w:rPr>
                <w:rFonts w:ascii="Aptos" w:eastAsia="Segoe UI" w:hAnsi="Aptos" w:cs="Segoe UI"/>
                <w:color w:val="0F1115"/>
                <w:sz w:val="18"/>
                <w:szCs w:val="18"/>
                <w:lang w:val="es-ES"/>
              </w:rPr>
              <w:t>Status</w:t>
            </w:r>
            <w:proofErr w:type="gramEnd"/>
          </w:p>
        </w:tc>
        <w:tc>
          <w:tcPr>
            <w:tcW w:w="4743" w:type="dxa"/>
          </w:tcPr>
          <w:p w14:paraId="19DA15C4"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Estado</w:t>
            </w:r>
          </w:p>
        </w:tc>
      </w:tr>
      <w:tr w:rsidR="00C05F0F" w:rsidRPr="00C03D9D" w14:paraId="1AC035FA" w14:textId="77777777" w:rsidTr="00C03D9D">
        <w:tc>
          <w:tcPr>
            <w:tcW w:w="4176" w:type="dxa"/>
          </w:tcPr>
          <w:p w14:paraId="0F035682"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 xml:space="preserve">1 - </w:t>
            </w:r>
            <w:proofErr w:type="spellStart"/>
            <w:r w:rsidRPr="00C03D9D">
              <w:rPr>
                <w:rFonts w:ascii="Aptos" w:eastAsia="Segoe UI" w:hAnsi="Aptos" w:cs="Segoe UI"/>
                <w:color w:val="0F1115"/>
                <w:sz w:val="18"/>
                <w:szCs w:val="18"/>
                <w:lang w:val="es-ES"/>
              </w:rPr>
              <w:t>Awareness</w:t>
            </w:r>
            <w:proofErr w:type="spellEnd"/>
            <w:r w:rsidRPr="00C03D9D">
              <w:rPr>
                <w:rFonts w:ascii="Aptos" w:eastAsia="Segoe UI" w:hAnsi="Aptos" w:cs="Segoe UI"/>
                <w:color w:val="0F1115"/>
                <w:sz w:val="18"/>
                <w:szCs w:val="18"/>
                <w:lang w:val="es-ES"/>
              </w:rPr>
              <w:t xml:space="preserve"> of </w:t>
            </w:r>
            <w:proofErr w:type="spellStart"/>
            <w:r w:rsidRPr="00C03D9D">
              <w:rPr>
                <w:rFonts w:ascii="Aptos" w:eastAsia="Segoe UI" w:hAnsi="Aptos" w:cs="Segoe UI"/>
                <w:color w:val="0F1115"/>
                <w:sz w:val="18"/>
                <w:szCs w:val="18"/>
                <w:lang w:val="es-ES"/>
              </w:rPr>
              <w:t>biodiversity</w:t>
            </w:r>
            <w:proofErr w:type="spell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increased</w:t>
            </w:r>
            <w:proofErr w:type="spellEnd"/>
          </w:p>
        </w:tc>
        <w:tc>
          <w:tcPr>
            <w:tcW w:w="4743" w:type="dxa"/>
          </w:tcPr>
          <w:p w14:paraId="35A875E9"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1 - Aumento de la conciencia sobre la diversidad biológica</w:t>
            </w:r>
          </w:p>
        </w:tc>
      </w:tr>
      <w:tr w:rsidR="00C05F0F" w:rsidRPr="00C03D9D" w14:paraId="749B06FF" w14:textId="77777777" w:rsidTr="00C03D9D">
        <w:tc>
          <w:tcPr>
            <w:tcW w:w="4176" w:type="dxa"/>
          </w:tcPr>
          <w:p w14:paraId="62AC07DD"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2 - Biodiversity values integrated in reporting and national accounting</w:t>
            </w:r>
          </w:p>
        </w:tc>
        <w:tc>
          <w:tcPr>
            <w:tcW w:w="4743" w:type="dxa"/>
          </w:tcPr>
          <w:p w14:paraId="497A51A5"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2 - Integración de los valores de la diversidad biológica en los sistemas de presentación de informes y de contabilidad nacional</w:t>
            </w:r>
          </w:p>
        </w:tc>
      </w:tr>
      <w:tr w:rsidR="00C05F0F" w:rsidRPr="00C03D9D" w14:paraId="350852B3" w14:textId="77777777" w:rsidTr="00C03D9D">
        <w:tc>
          <w:tcPr>
            <w:tcW w:w="4176" w:type="dxa"/>
          </w:tcPr>
          <w:p w14:paraId="112826E9"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3 - Incentives reformed (including the elimination of harmful incentives)</w:t>
            </w:r>
          </w:p>
        </w:tc>
        <w:tc>
          <w:tcPr>
            <w:tcW w:w="4743" w:type="dxa"/>
          </w:tcPr>
          <w:p w14:paraId="51012C2B"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3 - Reforma de los incentivos (incluida la eliminación de los incentivos perjudiciales)</w:t>
            </w:r>
          </w:p>
        </w:tc>
      </w:tr>
      <w:tr w:rsidR="00C05F0F" w:rsidRPr="00C03D9D" w14:paraId="2D02CB2F" w14:textId="77777777" w:rsidTr="00C03D9D">
        <w:tc>
          <w:tcPr>
            <w:tcW w:w="4176" w:type="dxa"/>
          </w:tcPr>
          <w:p w14:paraId="5262D21F"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4 - Sustainable production and consumption commitment by Governments and stakeholders</w:t>
            </w:r>
          </w:p>
        </w:tc>
        <w:tc>
          <w:tcPr>
            <w:tcW w:w="4743" w:type="dxa"/>
          </w:tcPr>
          <w:p w14:paraId="5DDAC6A0"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4 - Compromiso de los Gobiernos y los interesados con la producción y el consumo sostenibles</w:t>
            </w:r>
          </w:p>
        </w:tc>
      </w:tr>
      <w:tr w:rsidR="00C05F0F" w:rsidRPr="00C03D9D" w14:paraId="1CF091E6" w14:textId="77777777" w:rsidTr="00C03D9D">
        <w:tc>
          <w:tcPr>
            <w:tcW w:w="4176" w:type="dxa"/>
          </w:tcPr>
          <w:p w14:paraId="3C50135C"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STRATEGIC GOAL B</w:t>
            </w:r>
          </w:p>
        </w:tc>
        <w:tc>
          <w:tcPr>
            <w:tcW w:w="4743" w:type="dxa"/>
          </w:tcPr>
          <w:p w14:paraId="000D6537"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OBJETIVO ESTRATÉGICO B</w:t>
            </w:r>
          </w:p>
        </w:tc>
      </w:tr>
      <w:tr w:rsidR="00C05F0F" w:rsidRPr="00C03D9D" w14:paraId="407F6140" w14:textId="77777777" w:rsidTr="00C03D9D">
        <w:tc>
          <w:tcPr>
            <w:tcW w:w="4176" w:type="dxa"/>
          </w:tcPr>
          <w:p w14:paraId="02361F8B" w14:textId="77777777" w:rsidR="00C05F0F" w:rsidRPr="00C03D9D" w:rsidRDefault="00C05F0F" w:rsidP="00B93410">
            <w:pPr>
              <w:rPr>
                <w:rFonts w:ascii="Aptos" w:hAnsi="Aptos"/>
                <w:sz w:val="18"/>
                <w:szCs w:val="18"/>
                <w:lang w:val="es-ES"/>
              </w:rPr>
            </w:pPr>
            <w:proofErr w:type="gramStart"/>
            <w:r w:rsidRPr="00C03D9D">
              <w:rPr>
                <w:rFonts w:ascii="Aptos" w:eastAsia="Segoe UI" w:hAnsi="Aptos" w:cs="Segoe UI"/>
                <w:color w:val="0F1115"/>
                <w:sz w:val="18"/>
                <w:szCs w:val="18"/>
                <w:lang w:val="es-ES"/>
              </w:rPr>
              <w:t>Status</w:t>
            </w:r>
            <w:proofErr w:type="gramEnd"/>
          </w:p>
        </w:tc>
        <w:tc>
          <w:tcPr>
            <w:tcW w:w="4743" w:type="dxa"/>
          </w:tcPr>
          <w:p w14:paraId="4C324B4B"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Estado</w:t>
            </w:r>
          </w:p>
        </w:tc>
      </w:tr>
      <w:tr w:rsidR="00C05F0F" w:rsidRPr="00C03D9D" w14:paraId="4BDF5E5B" w14:textId="77777777" w:rsidTr="00C03D9D">
        <w:tc>
          <w:tcPr>
            <w:tcW w:w="4176" w:type="dxa"/>
          </w:tcPr>
          <w:p w14:paraId="53C303DB"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5 - Habitat loss at least halved, and degradation and fragmentation significantly reduced</w:t>
            </w:r>
          </w:p>
        </w:tc>
        <w:tc>
          <w:tcPr>
            <w:tcW w:w="4743" w:type="dxa"/>
          </w:tcPr>
          <w:p w14:paraId="1AE12F46"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5 - Reducción de la pérdida de hábitats por lo menos a la mitad, y reducción significativa de la degradación y fragmentación</w:t>
            </w:r>
          </w:p>
        </w:tc>
      </w:tr>
      <w:tr w:rsidR="00C05F0F" w:rsidRPr="00C03D9D" w14:paraId="5924CF34" w14:textId="77777777" w:rsidTr="00C03D9D">
        <w:tc>
          <w:tcPr>
            <w:tcW w:w="4176" w:type="dxa"/>
          </w:tcPr>
          <w:p w14:paraId="7E73296E"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6 - Sustainable management and harvesting of fish and aquatic plants (avoiding overfishing)</w:t>
            </w:r>
          </w:p>
        </w:tc>
        <w:tc>
          <w:tcPr>
            <w:tcW w:w="4743" w:type="dxa"/>
          </w:tcPr>
          <w:p w14:paraId="191F1993"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6 - Gestión y aprovechamiento sostenibles de los peces y las plantas acuáticas (evitando la pesca excesiva)</w:t>
            </w:r>
          </w:p>
        </w:tc>
      </w:tr>
      <w:tr w:rsidR="00C05F0F" w:rsidRPr="00C03D9D" w14:paraId="24D2AEA4" w14:textId="77777777" w:rsidTr="00C03D9D">
        <w:tc>
          <w:tcPr>
            <w:tcW w:w="4176" w:type="dxa"/>
          </w:tcPr>
          <w:p w14:paraId="1E9A2885"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7 - Sustainable agriculture, aquaculture and forestry</w:t>
            </w:r>
          </w:p>
        </w:tc>
        <w:tc>
          <w:tcPr>
            <w:tcW w:w="4743" w:type="dxa"/>
          </w:tcPr>
          <w:p w14:paraId="5C11756D"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7 - Agricultura, acuicultura y silvicultura sostenibles</w:t>
            </w:r>
          </w:p>
        </w:tc>
      </w:tr>
      <w:tr w:rsidR="00C05F0F" w:rsidRPr="00C03D9D" w14:paraId="79A4AFB6" w14:textId="77777777" w:rsidTr="00C03D9D">
        <w:tc>
          <w:tcPr>
            <w:tcW w:w="4176" w:type="dxa"/>
          </w:tcPr>
          <w:p w14:paraId="4879D76F"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8 - Pollution (including excess nutrients, pesticides, plastics and other waste) brought to levels not detrimental to biodiversity</w:t>
            </w:r>
          </w:p>
        </w:tc>
        <w:tc>
          <w:tcPr>
            <w:tcW w:w="4743" w:type="dxa"/>
          </w:tcPr>
          <w:p w14:paraId="02330071"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8 - Reducción de la contaminación (incluidos el exceso de nutrientes, plaguicidas, plásticos y otros desechos) a niveles que no resulten perjudiciales para la diversidad biológica</w:t>
            </w:r>
          </w:p>
        </w:tc>
      </w:tr>
      <w:tr w:rsidR="00C05F0F" w:rsidRPr="00C03D9D" w14:paraId="067B0F52" w14:textId="77777777" w:rsidTr="00C03D9D">
        <w:tc>
          <w:tcPr>
            <w:tcW w:w="4176" w:type="dxa"/>
          </w:tcPr>
          <w:p w14:paraId="1A37B7B5"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9 - Invasive alien species prevented and controlled</w:t>
            </w:r>
          </w:p>
        </w:tc>
        <w:tc>
          <w:tcPr>
            <w:tcW w:w="4743" w:type="dxa"/>
          </w:tcPr>
          <w:p w14:paraId="3AE88D21"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9 - Prevención y control de las especies exóticas invasoras</w:t>
            </w:r>
          </w:p>
        </w:tc>
      </w:tr>
      <w:tr w:rsidR="00C05F0F" w:rsidRPr="00C03D9D" w14:paraId="568A2D3B" w14:textId="77777777" w:rsidTr="00C03D9D">
        <w:tc>
          <w:tcPr>
            <w:tcW w:w="4176" w:type="dxa"/>
          </w:tcPr>
          <w:p w14:paraId="4BA9C405"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10 - Minimize anthropogenic pressure on coral reefs and vulnerable ecosystem (impacted by climate change or ocean acidification)</w:t>
            </w:r>
          </w:p>
        </w:tc>
        <w:tc>
          <w:tcPr>
            <w:tcW w:w="4743" w:type="dxa"/>
          </w:tcPr>
          <w:p w14:paraId="431D4FC6"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 xml:space="preserve">10 - Reducción al mínimo de las presiones </w:t>
            </w:r>
            <w:proofErr w:type="spellStart"/>
            <w:r w:rsidRPr="00C03D9D">
              <w:rPr>
                <w:rFonts w:ascii="Aptos" w:hAnsi="Aptos"/>
                <w:color w:val="0F1115"/>
                <w:sz w:val="18"/>
                <w:szCs w:val="18"/>
                <w:lang w:val="es-ES"/>
              </w:rPr>
              <w:t>antropógenas</w:t>
            </w:r>
            <w:proofErr w:type="spellEnd"/>
            <w:r w:rsidRPr="00C03D9D">
              <w:rPr>
                <w:rFonts w:ascii="Aptos" w:hAnsi="Aptos"/>
                <w:color w:val="0F1115"/>
                <w:sz w:val="18"/>
                <w:szCs w:val="18"/>
                <w:lang w:val="es-ES"/>
              </w:rPr>
              <w:t xml:space="preserve"> sobre los arrecifes de coral y los ecosistemas vulnerables (afectados por el cambio climático o la acidificación de los océanos)</w:t>
            </w:r>
          </w:p>
        </w:tc>
      </w:tr>
      <w:tr w:rsidR="00C05F0F" w:rsidRPr="00C03D9D" w14:paraId="6E4B9296" w14:textId="77777777" w:rsidTr="00C03D9D">
        <w:tc>
          <w:tcPr>
            <w:tcW w:w="4176" w:type="dxa"/>
          </w:tcPr>
          <w:p w14:paraId="355655AF"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STRATEGIC GOAL C</w:t>
            </w:r>
          </w:p>
        </w:tc>
        <w:tc>
          <w:tcPr>
            <w:tcW w:w="4743" w:type="dxa"/>
          </w:tcPr>
          <w:p w14:paraId="7CC009F9"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OBJETIVO ESTRATÉGICO C</w:t>
            </w:r>
          </w:p>
        </w:tc>
      </w:tr>
      <w:tr w:rsidR="00C05F0F" w:rsidRPr="00C03D9D" w14:paraId="3AEEC800" w14:textId="77777777" w:rsidTr="00C03D9D">
        <w:tc>
          <w:tcPr>
            <w:tcW w:w="4176" w:type="dxa"/>
          </w:tcPr>
          <w:p w14:paraId="09809DDE" w14:textId="77777777" w:rsidR="00C05F0F" w:rsidRPr="00C03D9D" w:rsidRDefault="00C05F0F" w:rsidP="00B93410">
            <w:pPr>
              <w:rPr>
                <w:rFonts w:ascii="Aptos" w:hAnsi="Aptos"/>
                <w:sz w:val="18"/>
                <w:szCs w:val="18"/>
                <w:lang w:val="es-ES"/>
              </w:rPr>
            </w:pPr>
            <w:proofErr w:type="gramStart"/>
            <w:r w:rsidRPr="00C03D9D">
              <w:rPr>
                <w:rFonts w:ascii="Aptos" w:eastAsia="Segoe UI" w:hAnsi="Aptos" w:cs="Segoe UI"/>
                <w:color w:val="0F1115"/>
                <w:sz w:val="18"/>
                <w:szCs w:val="18"/>
                <w:lang w:val="es-ES"/>
              </w:rPr>
              <w:t>Status</w:t>
            </w:r>
            <w:proofErr w:type="gramEnd"/>
          </w:p>
        </w:tc>
        <w:tc>
          <w:tcPr>
            <w:tcW w:w="4743" w:type="dxa"/>
          </w:tcPr>
          <w:p w14:paraId="57DFACA3"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Estado</w:t>
            </w:r>
          </w:p>
        </w:tc>
      </w:tr>
      <w:tr w:rsidR="00C05F0F" w:rsidRPr="00C03D9D" w14:paraId="04FEC1CC" w14:textId="77777777" w:rsidTr="00C03D9D">
        <w:tc>
          <w:tcPr>
            <w:tcW w:w="4176" w:type="dxa"/>
          </w:tcPr>
          <w:p w14:paraId="1CE655A7"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11 - Protected areas (17% of terrestrial and inland water areas and 10% of coastal and marine areas)</w:t>
            </w:r>
          </w:p>
        </w:tc>
        <w:tc>
          <w:tcPr>
            <w:tcW w:w="4743" w:type="dxa"/>
          </w:tcPr>
          <w:p w14:paraId="0362EBDA"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11 - Áreas protegidas (17 % de las zonas terrestres y de aguas continentales y 10 % de las zonas costeras y marinas)</w:t>
            </w:r>
          </w:p>
        </w:tc>
      </w:tr>
      <w:tr w:rsidR="00C05F0F" w:rsidRPr="00C03D9D" w14:paraId="030A8C7B" w14:textId="77777777" w:rsidTr="00C03D9D">
        <w:tc>
          <w:tcPr>
            <w:tcW w:w="4176" w:type="dxa"/>
          </w:tcPr>
          <w:p w14:paraId="645434E8"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 xml:space="preserve">12 - </w:t>
            </w:r>
            <w:proofErr w:type="spellStart"/>
            <w:r w:rsidRPr="00C03D9D">
              <w:rPr>
                <w:rFonts w:ascii="Aptos" w:eastAsia="Segoe UI" w:hAnsi="Aptos" w:cs="Segoe UI"/>
                <w:color w:val="0F1115"/>
                <w:sz w:val="18"/>
                <w:szCs w:val="18"/>
                <w:lang w:val="es-ES"/>
              </w:rPr>
              <w:t>Reducing</w:t>
            </w:r>
            <w:proofErr w:type="spell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risk</w:t>
            </w:r>
            <w:proofErr w:type="spellEnd"/>
            <w:r w:rsidRPr="00C03D9D">
              <w:rPr>
                <w:rFonts w:ascii="Aptos" w:eastAsia="Segoe UI" w:hAnsi="Aptos" w:cs="Segoe UI"/>
                <w:color w:val="0F1115"/>
                <w:sz w:val="18"/>
                <w:szCs w:val="18"/>
                <w:lang w:val="es-ES"/>
              </w:rPr>
              <w:t xml:space="preserve"> of </w:t>
            </w:r>
            <w:proofErr w:type="spellStart"/>
            <w:r w:rsidRPr="00C03D9D">
              <w:rPr>
                <w:rFonts w:ascii="Aptos" w:eastAsia="Segoe UI" w:hAnsi="Aptos" w:cs="Segoe UI"/>
                <w:color w:val="0F1115"/>
                <w:sz w:val="18"/>
                <w:szCs w:val="18"/>
                <w:lang w:val="es-ES"/>
              </w:rPr>
              <w:t>extinction</w:t>
            </w:r>
            <w:proofErr w:type="spellEnd"/>
          </w:p>
        </w:tc>
        <w:tc>
          <w:tcPr>
            <w:tcW w:w="4743" w:type="dxa"/>
          </w:tcPr>
          <w:p w14:paraId="61BBF749"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12 - Reducción del riesgo de extinción</w:t>
            </w:r>
          </w:p>
        </w:tc>
      </w:tr>
      <w:tr w:rsidR="00C05F0F" w:rsidRPr="00C03D9D" w14:paraId="1645C65C" w14:textId="77777777" w:rsidTr="00C03D9D">
        <w:tc>
          <w:tcPr>
            <w:tcW w:w="4176" w:type="dxa"/>
          </w:tcPr>
          <w:p w14:paraId="355179B9"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 xml:space="preserve">13 - </w:t>
            </w:r>
            <w:proofErr w:type="spellStart"/>
            <w:r w:rsidRPr="00C03D9D">
              <w:rPr>
                <w:rFonts w:ascii="Aptos" w:eastAsia="Segoe UI" w:hAnsi="Aptos" w:cs="Segoe UI"/>
                <w:color w:val="0F1115"/>
                <w:sz w:val="18"/>
                <w:szCs w:val="18"/>
                <w:lang w:val="es-ES"/>
              </w:rPr>
              <w:t>Safeguarding</w:t>
            </w:r>
            <w:proofErr w:type="spell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genetic</w:t>
            </w:r>
            <w:proofErr w:type="spellEnd"/>
            <w:r w:rsidRPr="00C03D9D">
              <w:rPr>
                <w:rFonts w:ascii="Aptos" w:eastAsia="Segoe UI" w:hAnsi="Aptos" w:cs="Segoe UI"/>
                <w:color w:val="0F1115"/>
                <w:sz w:val="18"/>
                <w:szCs w:val="18"/>
                <w:lang w:val="es-ES"/>
              </w:rPr>
              <w:t xml:space="preserve"> </w:t>
            </w:r>
            <w:proofErr w:type="spellStart"/>
            <w:r w:rsidRPr="00C03D9D">
              <w:rPr>
                <w:rFonts w:ascii="Aptos" w:eastAsia="Segoe UI" w:hAnsi="Aptos" w:cs="Segoe UI"/>
                <w:color w:val="0F1115"/>
                <w:sz w:val="18"/>
                <w:szCs w:val="18"/>
                <w:lang w:val="es-ES"/>
              </w:rPr>
              <w:t>diversity</w:t>
            </w:r>
            <w:proofErr w:type="spellEnd"/>
          </w:p>
        </w:tc>
        <w:tc>
          <w:tcPr>
            <w:tcW w:w="4743" w:type="dxa"/>
          </w:tcPr>
          <w:p w14:paraId="10A7F3EF"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13 - Salvaguardia de la diversidad genética</w:t>
            </w:r>
          </w:p>
        </w:tc>
      </w:tr>
      <w:tr w:rsidR="00C05F0F" w:rsidRPr="00C03D9D" w14:paraId="0C4A5932" w14:textId="77777777" w:rsidTr="00C03D9D">
        <w:tc>
          <w:tcPr>
            <w:tcW w:w="4176" w:type="dxa"/>
          </w:tcPr>
          <w:p w14:paraId="1B04B88D" w14:textId="77777777" w:rsidR="00C05F0F" w:rsidRPr="00C03D9D" w:rsidRDefault="00C05F0F" w:rsidP="00B93410">
            <w:pPr>
              <w:rPr>
                <w:rFonts w:ascii="Aptos" w:eastAsia="Segoe UI" w:hAnsi="Aptos" w:cs="Segoe UI"/>
                <w:color w:val="0F1115"/>
                <w:sz w:val="18"/>
                <w:szCs w:val="18"/>
                <w:lang w:val="es-ES"/>
              </w:rPr>
            </w:pPr>
            <w:r w:rsidRPr="00C03D9D">
              <w:rPr>
                <w:rFonts w:ascii="Aptos" w:eastAsia="Segoe UI" w:hAnsi="Aptos" w:cs="Segoe UI"/>
                <w:color w:val="0F1115"/>
                <w:sz w:val="18"/>
                <w:szCs w:val="18"/>
                <w:lang w:val="es-ES"/>
              </w:rPr>
              <w:t>STRATEGIC GOAL D</w:t>
            </w:r>
          </w:p>
        </w:tc>
        <w:tc>
          <w:tcPr>
            <w:tcW w:w="4743" w:type="dxa"/>
          </w:tcPr>
          <w:p w14:paraId="58DC08CC" w14:textId="77777777" w:rsidR="00C05F0F" w:rsidRPr="00C03D9D" w:rsidRDefault="00C05F0F" w:rsidP="00B93410">
            <w:pPr>
              <w:rPr>
                <w:rFonts w:ascii="Aptos" w:eastAsia="Segoe UI" w:hAnsi="Aptos" w:cs="Segoe UI"/>
                <w:color w:val="0F1115"/>
                <w:sz w:val="18"/>
                <w:szCs w:val="18"/>
                <w:lang w:val="es-ES"/>
              </w:rPr>
            </w:pPr>
            <w:r w:rsidRPr="00C03D9D">
              <w:rPr>
                <w:rFonts w:ascii="Aptos" w:hAnsi="Aptos"/>
                <w:color w:val="0F1115"/>
                <w:sz w:val="18"/>
                <w:szCs w:val="18"/>
                <w:lang w:val="es-ES"/>
              </w:rPr>
              <w:t>OBJETIVO ESTRATÉGICO D</w:t>
            </w:r>
          </w:p>
        </w:tc>
      </w:tr>
      <w:tr w:rsidR="00C05F0F" w:rsidRPr="00C03D9D" w14:paraId="25806E19" w14:textId="77777777" w:rsidTr="00C03D9D">
        <w:tc>
          <w:tcPr>
            <w:tcW w:w="4176" w:type="dxa"/>
          </w:tcPr>
          <w:p w14:paraId="64B8D203" w14:textId="77777777" w:rsidR="00C05F0F" w:rsidRPr="00C03D9D" w:rsidRDefault="00C05F0F" w:rsidP="00B93410">
            <w:pPr>
              <w:rPr>
                <w:rFonts w:ascii="Aptos" w:eastAsia="Segoe UI" w:hAnsi="Aptos" w:cs="Segoe UI"/>
                <w:color w:val="0F1115"/>
                <w:sz w:val="18"/>
                <w:szCs w:val="18"/>
                <w:lang w:val="es-ES"/>
              </w:rPr>
            </w:pPr>
          </w:p>
        </w:tc>
        <w:tc>
          <w:tcPr>
            <w:tcW w:w="4743" w:type="dxa"/>
          </w:tcPr>
          <w:p w14:paraId="36BA55F5" w14:textId="77777777" w:rsidR="00C05F0F" w:rsidRPr="00C03D9D" w:rsidRDefault="00C05F0F" w:rsidP="00B93410">
            <w:pPr>
              <w:rPr>
                <w:rFonts w:ascii="Aptos" w:eastAsia="Segoe UI" w:hAnsi="Aptos" w:cs="Segoe UI"/>
                <w:color w:val="0F1115"/>
                <w:sz w:val="18"/>
                <w:szCs w:val="18"/>
                <w:lang w:val="es-ES"/>
              </w:rPr>
            </w:pPr>
          </w:p>
        </w:tc>
      </w:tr>
      <w:tr w:rsidR="00C05F0F" w:rsidRPr="00C03D9D" w14:paraId="5DD69B52" w14:textId="77777777" w:rsidTr="00C03D9D">
        <w:tc>
          <w:tcPr>
            <w:tcW w:w="4176" w:type="dxa"/>
          </w:tcPr>
          <w:p w14:paraId="3A21B8EF"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14 - Ecosystems that provide essential services to be restored (</w:t>
            </w:r>
            <w:proofErr w:type="gramStart"/>
            <w:r w:rsidRPr="00C03D9D">
              <w:rPr>
                <w:rFonts w:ascii="Aptos" w:eastAsia="Segoe UI" w:hAnsi="Aptos" w:cs="Segoe UI"/>
                <w:color w:val="0F1115"/>
                <w:sz w:val="18"/>
                <w:szCs w:val="18"/>
                <w:lang w:val="en-US"/>
              </w:rPr>
              <w:t>taking into account</w:t>
            </w:r>
            <w:proofErr w:type="gramEnd"/>
            <w:r w:rsidRPr="00C03D9D">
              <w:rPr>
                <w:rFonts w:ascii="Aptos" w:eastAsia="Segoe UI" w:hAnsi="Aptos" w:cs="Segoe UI"/>
                <w:color w:val="0F1115"/>
                <w:sz w:val="18"/>
                <w:szCs w:val="18"/>
                <w:lang w:val="en-US"/>
              </w:rPr>
              <w:t xml:space="preserve"> the needs of women and   indigenous peoples and local communities)</w:t>
            </w:r>
          </w:p>
        </w:tc>
        <w:tc>
          <w:tcPr>
            <w:tcW w:w="4743" w:type="dxa"/>
          </w:tcPr>
          <w:p w14:paraId="6B8B660B"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14 - Restauración de los ecosistemas que proporcionan servicios esenciales (tomando en cuenta las necesidades de las mujeres y los pueblos indígenas y las comunidades locales)</w:t>
            </w:r>
          </w:p>
        </w:tc>
      </w:tr>
      <w:tr w:rsidR="00C05F0F" w:rsidRPr="00C03D9D" w14:paraId="17A439E1" w14:textId="77777777" w:rsidTr="00C03D9D">
        <w:tc>
          <w:tcPr>
            <w:tcW w:w="4176" w:type="dxa"/>
          </w:tcPr>
          <w:p w14:paraId="74303C16"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15 - Ecosystem restoration and resilience (at least 15% of degraded ecosystems to be restored)</w:t>
            </w:r>
          </w:p>
        </w:tc>
        <w:tc>
          <w:tcPr>
            <w:tcW w:w="4743" w:type="dxa"/>
          </w:tcPr>
          <w:p w14:paraId="26FECA51"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15 - Restauración y resiliencia de los ecosistemas (restauración de por lo menos el 15 % de los ecosistemas degradados)</w:t>
            </w:r>
          </w:p>
        </w:tc>
      </w:tr>
      <w:tr w:rsidR="00C05F0F" w:rsidRPr="00C03D9D" w14:paraId="5A5C2112" w14:textId="77777777" w:rsidTr="00C03D9D">
        <w:tc>
          <w:tcPr>
            <w:tcW w:w="4176" w:type="dxa"/>
          </w:tcPr>
          <w:p w14:paraId="34B425D3"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16 - Access to and sharing benefits from genetic resources</w:t>
            </w:r>
          </w:p>
        </w:tc>
        <w:tc>
          <w:tcPr>
            <w:tcW w:w="4743" w:type="dxa"/>
          </w:tcPr>
          <w:p w14:paraId="3A43E95B"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16 - Acceso a los recursos genéticos y participación en los beneficios</w:t>
            </w:r>
          </w:p>
        </w:tc>
      </w:tr>
      <w:tr w:rsidR="00C05F0F" w:rsidRPr="00C03D9D" w14:paraId="03D4BBBB" w14:textId="77777777" w:rsidTr="00C03D9D">
        <w:tc>
          <w:tcPr>
            <w:tcW w:w="4176" w:type="dxa"/>
          </w:tcPr>
          <w:p w14:paraId="58C56BA9" w14:textId="77777777" w:rsidR="00C05F0F" w:rsidRPr="00C03D9D" w:rsidRDefault="00C05F0F" w:rsidP="00B93410">
            <w:pPr>
              <w:rPr>
                <w:rFonts w:ascii="Aptos" w:hAnsi="Aptos"/>
                <w:sz w:val="18"/>
                <w:szCs w:val="18"/>
                <w:lang w:val="es-ES"/>
              </w:rPr>
            </w:pPr>
            <w:r w:rsidRPr="00C03D9D">
              <w:rPr>
                <w:rFonts w:ascii="Aptos" w:eastAsia="Segoe UI" w:hAnsi="Aptos" w:cs="Segoe UI"/>
                <w:color w:val="0F1115"/>
                <w:sz w:val="18"/>
                <w:szCs w:val="18"/>
                <w:lang w:val="es-ES"/>
              </w:rPr>
              <w:t>STRATEGIC GOAL E</w:t>
            </w:r>
          </w:p>
        </w:tc>
        <w:tc>
          <w:tcPr>
            <w:tcW w:w="4743" w:type="dxa"/>
          </w:tcPr>
          <w:p w14:paraId="414B60FE"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OBJETIVO ESTRATÉGICO E</w:t>
            </w:r>
          </w:p>
        </w:tc>
      </w:tr>
      <w:tr w:rsidR="00C05F0F" w:rsidRPr="00C03D9D" w14:paraId="3F5BD343" w14:textId="77777777" w:rsidTr="00C03D9D">
        <w:tc>
          <w:tcPr>
            <w:tcW w:w="4176" w:type="dxa"/>
          </w:tcPr>
          <w:p w14:paraId="18F23BA4" w14:textId="77777777" w:rsidR="00C05F0F" w:rsidRPr="00C03D9D" w:rsidRDefault="00C05F0F" w:rsidP="00B93410">
            <w:pPr>
              <w:rPr>
                <w:rFonts w:ascii="Aptos" w:hAnsi="Aptos"/>
                <w:sz w:val="18"/>
                <w:szCs w:val="18"/>
                <w:lang w:val="es-ES"/>
              </w:rPr>
            </w:pPr>
            <w:proofErr w:type="gramStart"/>
            <w:r w:rsidRPr="00C03D9D">
              <w:rPr>
                <w:rFonts w:ascii="Aptos" w:eastAsia="Segoe UI" w:hAnsi="Aptos" w:cs="Segoe UI"/>
                <w:color w:val="0F1115"/>
                <w:sz w:val="18"/>
                <w:szCs w:val="18"/>
                <w:lang w:val="es-ES"/>
              </w:rPr>
              <w:t>Status</w:t>
            </w:r>
            <w:proofErr w:type="gramEnd"/>
          </w:p>
        </w:tc>
        <w:tc>
          <w:tcPr>
            <w:tcW w:w="4743" w:type="dxa"/>
          </w:tcPr>
          <w:p w14:paraId="3C87C34A"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Estado</w:t>
            </w:r>
          </w:p>
        </w:tc>
      </w:tr>
      <w:tr w:rsidR="00C05F0F" w:rsidRPr="00C03D9D" w14:paraId="357AB4A3" w14:textId="77777777" w:rsidTr="00C03D9D">
        <w:tc>
          <w:tcPr>
            <w:tcW w:w="4176" w:type="dxa"/>
          </w:tcPr>
          <w:p w14:paraId="4DBAA54A"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17 - Participatory and updated national biodiversity strategy and action plan</w:t>
            </w:r>
          </w:p>
        </w:tc>
        <w:tc>
          <w:tcPr>
            <w:tcW w:w="4743" w:type="dxa"/>
          </w:tcPr>
          <w:p w14:paraId="0407ACBE"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17 - Estrategia y plan de acción nacionales en materia de diversidad biológica participativos y actualizados</w:t>
            </w:r>
          </w:p>
        </w:tc>
      </w:tr>
      <w:tr w:rsidR="00C05F0F" w:rsidRPr="00C03D9D" w14:paraId="0DA42853" w14:textId="77777777" w:rsidTr="00C03D9D">
        <w:tc>
          <w:tcPr>
            <w:tcW w:w="4176" w:type="dxa"/>
          </w:tcPr>
          <w:p w14:paraId="61985BA9"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18 - Traditional knowledge and practices of indigenous and local communities are respected</w:t>
            </w:r>
          </w:p>
        </w:tc>
        <w:tc>
          <w:tcPr>
            <w:tcW w:w="4743" w:type="dxa"/>
          </w:tcPr>
          <w:p w14:paraId="56EAED73"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18 - Se respetan los conocimientos y las prácticas tradicionales de los pueblos indígenas y las comunidades locales</w:t>
            </w:r>
          </w:p>
        </w:tc>
      </w:tr>
      <w:tr w:rsidR="00C05F0F" w:rsidRPr="00C03D9D" w14:paraId="311B190D" w14:textId="77777777" w:rsidTr="00C03D9D">
        <w:tc>
          <w:tcPr>
            <w:tcW w:w="4176" w:type="dxa"/>
          </w:tcPr>
          <w:p w14:paraId="70EF0E1C"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t>19 - Science base and technologies relating to biodiversity are improved, widely shared and applied</w:t>
            </w:r>
          </w:p>
        </w:tc>
        <w:tc>
          <w:tcPr>
            <w:tcW w:w="4743" w:type="dxa"/>
          </w:tcPr>
          <w:p w14:paraId="28932C66" w14:textId="77777777" w:rsidR="00C05F0F" w:rsidRPr="00C03D9D" w:rsidRDefault="00C05F0F" w:rsidP="00B93410">
            <w:pPr>
              <w:rPr>
                <w:rFonts w:ascii="Aptos" w:hAnsi="Aptos"/>
                <w:sz w:val="18"/>
                <w:szCs w:val="18"/>
                <w:lang w:val="es-ES"/>
              </w:rPr>
            </w:pPr>
            <w:r w:rsidRPr="00C03D9D">
              <w:rPr>
                <w:rFonts w:ascii="Aptos" w:hAnsi="Aptos"/>
                <w:color w:val="0F1115"/>
                <w:sz w:val="18"/>
                <w:szCs w:val="18"/>
                <w:lang w:val="es-ES"/>
              </w:rPr>
              <w:t>19 - Se mejoran, se comparten ampliamente y se aplican la base de conocimientos científicos y las tecnologías relacionadas con la diversidad biológica</w:t>
            </w:r>
          </w:p>
        </w:tc>
      </w:tr>
      <w:tr w:rsidR="00C05F0F" w:rsidRPr="00C03D9D" w14:paraId="06DFA920" w14:textId="77777777" w:rsidTr="00C03D9D">
        <w:tc>
          <w:tcPr>
            <w:tcW w:w="4176" w:type="dxa"/>
          </w:tcPr>
          <w:p w14:paraId="56559C34" w14:textId="77777777" w:rsidR="00C05F0F" w:rsidRPr="00C03D9D" w:rsidRDefault="00C05F0F" w:rsidP="00B93410">
            <w:pPr>
              <w:rPr>
                <w:rFonts w:ascii="Aptos" w:hAnsi="Aptos"/>
                <w:sz w:val="18"/>
                <w:szCs w:val="18"/>
                <w:lang w:val="en-US"/>
              </w:rPr>
            </w:pPr>
            <w:r w:rsidRPr="00C03D9D">
              <w:rPr>
                <w:rFonts w:ascii="Aptos" w:eastAsia="Segoe UI" w:hAnsi="Aptos" w:cs="Segoe UI"/>
                <w:color w:val="0F1115"/>
                <w:sz w:val="18"/>
                <w:szCs w:val="18"/>
                <w:lang w:val="en-US"/>
              </w:rPr>
              <w:lastRenderedPageBreak/>
              <w:t>20 - Financial resources are mobilized to effectively implement the Strategic Plan</w:t>
            </w:r>
          </w:p>
        </w:tc>
        <w:tc>
          <w:tcPr>
            <w:tcW w:w="4743" w:type="dxa"/>
          </w:tcPr>
          <w:p w14:paraId="070C8890" w14:textId="77777777" w:rsidR="00C05F0F" w:rsidRPr="00C03D9D" w:rsidRDefault="00C05F0F" w:rsidP="00B93410">
            <w:pPr>
              <w:rPr>
                <w:rFonts w:ascii="Aptos" w:eastAsia="Segoe UI" w:hAnsi="Aptos" w:cs="Segoe UI"/>
                <w:color w:val="0F1115"/>
                <w:sz w:val="18"/>
                <w:szCs w:val="18"/>
                <w:lang w:val="es-ES"/>
              </w:rPr>
            </w:pPr>
            <w:r w:rsidRPr="00C03D9D">
              <w:rPr>
                <w:rFonts w:ascii="Aptos" w:hAnsi="Aptos"/>
                <w:color w:val="0F1115"/>
                <w:sz w:val="18"/>
                <w:szCs w:val="18"/>
                <w:lang w:val="es-ES"/>
              </w:rPr>
              <w:t>20 – Movilización de recursos financieros para implementar eficazmente el Plan Estratégico</w:t>
            </w:r>
          </w:p>
        </w:tc>
      </w:tr>
    </w:tbl>
    <w:p w14:paraId="2706FF84" w14:textId="77777777" w:rsidR="00A2083D" w:rsidRPr="00A2083D" w:rsidRDefault="00A2083D" w:rsidP="00A2083D">
      <w:pPr>
        <w:rPr>
          <w:lang w:val="es-ES" w:eastAsia="ja-JP"/>
        </w:rPr>
      </w:pPr>
    </w:p>
    <w:p w14:paraId="79775FC8" w14:textId="4E91050D" w:rsidR="00DE4BE0" w:rsidRPr="005E3D50" w:rsidRDefault="00DE4BE0" w:rsidP="00DE4BE0">
      <w:pPr>
        <w:rPr>
          <w:lang w:val="es-ES"/>
        </w:rPr>
      </w:pPr>
      <w:bookmarkStart w:id="59" w:name="_Ref231122607"/>
      <w:r w:rsidRPr="005E3D50">
        <w:rPr>
          <w:lang w:val="es-ES"/>
        </w:rPr>
        <w:t xml:space="preserve">Las seis evaluaciones temáticas y metodológicas adoptadas por la IPBES desde la publicación del informe de la evaluación mundial en 2019 incluyen </w:t>
      </w:r>
      <w:r w:rsidR="00AB04FC" w:rsidRPr="005E3D50">
        <w:rPr>
          <w:lang w:val="es-ES"/>
        </w:rPr>
        <w:t>pruebas</w:t>
      </w:r>
      <w:r w:rsidRPr="005E3D50">
        <w:rPr>
          <w:lang w:val="es-ES"/>
        </w:rPr>
        <w:t xml:space="preserve"> de que la diversidad biológica continúa disminuyendo. Esas evaluaciones proporcionan </w:t>
      </w:r>
      <w:r w:rsidR="00AB04FC" w:rsidRPr="005E3D50">
        <w:rPr>
          <w:lang w:val="es-ES"/>
        </w:rPr>
        <w:t>pruebas</w:t>
      </w:r>
      <w:r w:rsidRPr="005E3D50">
        <w:rPr>
          <w:lang w:val="es-ES"/>
        </w:rPr>
        <w:t xml:space="preserve"> objetiva</w:t>
      </w:r>
      <w:r w:rsidR="00AB04FC" w:rsidRPr="005E3D50">
        <w:rPr>
          <w:lang w:val="es-ES"/>
        </w:rPr>
        <w:t>s</w:t>
      </w:r>
      <w:r w:rsidRPr="005E3D50">
        <w:rPr>
          <w:lang w:val="es-ES"/>
        </w:rPr>
        <w:t xml:space="preserve"> sobre el estado y las tendencias de la biodiversidad, así como herramientas y orientación pertinentes para las políticas que pueden apoyar la toma de decisiones, incluida la toma de decisiones en el marco del Convenio. La importancia de los informes de las evaluaciones de la IPBES para la labor en el marco del Convenio ha sido ampliamente reconocida por la Conferencia de las Partes (véanse la </w:t>
      </w:r>
      <w:proofErr w:type="spellStart"/>
      <w:r w:rsidRPr="005E3D50">
        <w:rPr>
          <w:lang w:val="es-ES"/>
        </w:rPr>
        <w:t>dec</w:t>
      </w:r>
      <w:proofErr w:type="spellEnd"/>
      <w:r w:rsidRPr="005E3D50">
        <w:rPr>
          <w:lang w:val="es-ES"/>
        </w:rPr>
        <w:t xml:space="preserve">. XI/13 en CDB, 2012; </w:t>
      </w:r>
      <w:proofErr w:type="spellStart"/>
      <w:r w:rsidRPr="005E3D50">
        <w:rPr>
          <w:lang w:val="es-ES"/>
        </w:rPr>
        <w:t>dec</w:t>
      </w:r>
      <w:proofErr w:type="spellEnd"/>
      <w:r w:rsidRPr="005E3D50">
        <w:rPr>
          <w:lang w:val="es-ES"/>
        </w:rPr>
        <w:t xml:space="preserve">. XII/25 en CDB, 2014b; </w:t>
      </w:r>
      <w:proofErr w:type="spellStart"/>
      <w:r w:rsidRPr="005E3D50">
        <w:rPr>
          <w:lang w:val="es-ES"/>
        </w:rPr>
        <w:t>dec</w:t>
      </w:r>
      <w:proofErr w:type="spellEnd"/>
      <w:r w:rsidRPr="005E3D50">
        <w:rPr>
          <w:lang w:val="es-ES"/>
        </w:rPr>
        <w:t xml:space="preserve">. 14/36 en CDB, 2019; </w:t>
      </w:r>
      <w:proofErr w:type="spellStart"/>
      <w:r w:rsidRPr="005E3D50">
        <w:rPr>
          <w:lang w:val="es-ES"/>
        </w:rPr>
        <w:t>dec</w:t>
      </w:r>
      <w:proofErr w:type="spellEnd"/>
      <w:r w:rsidRPr="005E3D50">
        <w:rPr>
          <w:lang w:val="es-ES"/>
        </w:rPr>
        <w:t xml:space="preserve">. 15/9 en </w:t>
      </w:r>
      <w:r w:rsidRPr="005E3D50">
        <w:rPr>
          <w:color w:val="000000" w:themeColor="text1"/>
          <w:lang w:val="es-ES"/>
        </w:rPr>
        <w:t>CDB, 2023;</w:t>
      </w:r>
      <w:r w:rsidRPr="005E3D50">
        <w:rPr>
          <w:lang w:val="es-ES"/>
        </w:rPr>
        <w:t xml:space="preserve"> y </w:t>
      </w:r>
      <w:proofErr w:type="spellStart"/>
      <w:r w:rsidRPr="005E3D50">
        <w:rPr>
          <w:lang w:val="es-ES"/>
        </w:rPr>
        <w:t>dec</w:t>
      </w:r>
      <w:proofErr w:type="spellEnd"/>
      <w:r w:rsidRPr="005E3D50">
        <w:rPr>
          <w:lang w:val="es-ES"/>
        </w:rPr>
        <w:t xml:space="preserve">. 16/11 en </w:t>
      </w:r>
      <w:r w:rsidRPr="005E3D50">
        <w:rPr>
          <w:rStyle w:val="agcmg"/>
          <w:lang w:val="es-ES"/>
        </w:rPr>
        <w:t>CDB, 2026</w:t>
      </w:r>
      <w:r w:rsidRPr="005E3D50">
        <w:rPr>
          <w:lang w:val="es-ES"/>
        </w:rPr>
        <w:t xml:space="preserve">). </w:t>
      </w:r>
    </w:p>
    <w:p w14:paraId="13BBD86B" w14:textId="3D0FD4B4" w:rsidR="00A44118" w:rsidRPr="005E3D50" w:rsidRDefault="00CE785D" w:rsidP="00DE4BE0">
      <w:pPr>
        <w:rPr>
          <w:lang w:val="es-ES"/>
        </w:rPr>
      </w:pPr>
      <w:r w:rsidRPr="005E3D50">
        <w:rPr>
          <w:lang w:val="es-ES"/>
        </w:rPr>
        <w:t>El panorama general, sobre la base de todas las evaluaciones de la IPBES que se han llevado a cabo, es claro: a pesar de la heterogeneidad entre las regiones, los países, los ecosistemas y los biomas, el declive de la diversidad biológica continúa; las contribuciones de la naturaleza a las personas, entre ellas las funciones y servicios de los ecosistemas, se están debilitando; y los impulsores directos e indirectos de la pérdida de diversidad biológica no se han abordado suficientemente (véase el cuadro 5). Sin embargo, en los informes de las evaluaciones la pérdida de diversidad biológica no se presenta como inevitable, sino que se ofrecen posibles soluciones y se refuerzan aún más los argumentos a favor de adoptar medidas urgentes y transformadoras.</w:t>
      </w:r>
    </w:p>
    <w:p w14:paraId="37CD62D4" w14:textId="62C1E54A" w:rsidR="00DE4BE0" w:rsidRPr="005E3D50" w:rsidRDefault="00DE4BE0" w:rsidP="00DE4BE0">
      <w:pPr>
        <w:rPr>
          <w:lang w:val="es-ES"/>
        </w:rPr>
      </w:pPr>
      <w:r w:rsidRPr="005E3D50">
        <w:rPr>
          <w:lang w:val="es-ES"/>
        </w:rPr>
        <w:t xml:space="preserve">Si bien existe evidencia científica de que la pérdida de diversidad biológica ha continuado, también existe evidencia de que no es demasiado tarde para cambiar esta tendencia (Kok y otros, 2023; Leadley y otros, 2022; y </w:t>
      </w:r>
      <w:proofErr w:type="spellStart"/>
      <w:r w:rsidRPr="005E3D50">
        <w:rPr>
          <w:lang w:val="es-ES"/>
        </w:rPr>
        <w:t>Leclère</w:t>
      </w:r>
      <w:proofErr w:type="spellEnd"/>
      <w:r w:rsidRPr="005E3D50">
        <w:rPr>
          <w:lang w:val="es-ES"/>
        </w:rPr>
        <w:t xml:space="preserve"> y otros, 2020) y de que las medidas de conservación y restauración suelen tener efectos positivos, en comparación con escenarios alternativos en los que no se adoptaron esas medidas (Langhammer y otros, 2024). El Marco se elaboró con el fin de determinar medidas específicas que permitieran detener e invertir la pérdida de diversidad biológica. </w:t>
      </w:r>
    </w:p>
    <w:bookmarkEnd w:id="57"/>
    <w:bookmarkEnd w:id="58"/>
    <w:bookmarkEnd w:id="59"/>
    <w:p w14:paraId="0C0251B9" w14:textId="6FB91086" w:rsidR="00BE4B8D" w:rsidRPr="005E3D50" w:rsidRDefault="00BE4B8D" w:rsidP="00BE4B8D">
      <w:pPr>
        <w:pStyle w:val="Caption"/>
        <w:keepNext/>
        <w:rPr>
          <w:b/>
          <w:i w:val="0"/>
          <w:sz w:val="20"/>
          <w:szCs w:val="20"/>
          <w:lang w:val="es-ES"/>
        </w:rPr>
      </w:pPr>
    </w:p>
    <w:tbl>
      <w:tblPr>
        <w:tblStyle w:val="TableGrid"/>
        <w:tblW w:w="0" w:type="auto"/>
        <w:tblLook w:val="04A0" w:firstRow="1" w:lastRow="0" w:firstColumn="1" w:lastColumn="0" w:noHBand="0" w:noVBand="1"/>
      </w:tblPr>
      <w:tblGrid>
        <w:gridCol w:w="9016"/>
      </w:tblGrid>
      <w:tr w:rsidR="00AB4B11" w:rsidRPr="005E3D50" w14:paraId="570EDDCB" w14:textId="77777777" w:rsidTr="00AB4B11">
        <w:tc>
          <w:tcPr>
            <w:tcW w:w="9016" w:type="dxa"/>
            <w:shd w:val="clear" w:color="auto" w:fill="D1D1D1" w:themeFill="background2" w:themeFillShade="E6"/>
          </w:tcPr>
          <w:p w14:paraId="6E9937DD" w14:textId="647059E1" w:rsidR="00DB593D" w:rsidRPr="005E3D50" w:rsidRDefault="00DB593D" w:rsidP="003A4DBE">
            <w:pPr>
              <w:rPr>
                <w:i/>
                <w:sz w:val="20"/>
                <w:szCs w:val="20"/>
                <w:lang w:val="es-ES"/>
              </w:rPr>
            </w:pPr>
            <w:bookmarkStart w:id="60" w:name="_Ref235523557"/>
            <w:r w:rsidRPr="005E3D50">
              <w:rPr>
                <w:sz w:val="20"/>
                <w:szCs w:val="20"/>
                <w:lang w:val="es-ES"/>
              </w:rPr>
              <w:t>Recuadro 5</w:t>
            </w:r>
            <w:bookmarkEnd w:id="60"/>
          </w:p>
          <w:p w14:paraId="4F97C974" w14:textId="77777777" w:rsidR="00DB593D" w:rsidRPr="005E3D50" w:rsidRDefault="00DB593D" w:rsidP="003A4DBE">
            <w:pPr>
              <w:rPr>
                <w:i/>
                <w:sz w:val="20"/>
                <w:szCs w:val="20"/>
                <w:lang w:val="es-ES"/>
              </w:rPr>
            </w:pPr>
          </w:p>
          <w:p w14:paraId="7E9D6164" w14:textId="75CB74B6" w:rsidR="003A4DBE" w:rsidRPr="005E3D50" w:rsidRDefault="00DB593D" w:rsidP="003A4DBE">
            <w:pPr>
              <w:rPr>
                <w:b/>
                <w:sz w:val="20"/>
                <w:szCs w:val="20"/>
                <w:lang w:val="es-ES"/>
              </w:rPr>
            </w:pPr>
            <w:r w:rsidRPr="005E3D50">
              <w:rPr>
                <w:b/>
                <w:sz w:val="20"/>
                <w:szCs w:val="20"/>
                <w:lang w:val="es-ES"/>
              </w:rPr>
              <w:t>Informes de las evaluaciones de la IPBES publicados desde la adopción del Marco</w:t>
            </w:r>
          </w:p>
          <w:p w14:paraId="7725877B" w14:textId="77777777" w:rsidR="00DB593D" w:rsidRPr="005E3D50" w:rsidRDefault="00DB593D" w:rsidP="003A4DBE">
            <w:pPr>
              <w:rPr>
                <w:color w:val="000000" w:themeColor="text1"/>
                <w:sz w:val="20"/>
                <w:szCs w:val="20"/>
                <w:lang w:val="es-ES"/>
              </w:rPr>
            </w:pPr>
          </w:p>
          <w:p w14:paraId="14E191BB" w14:textId="0DB00E20" w:rsidR="00EB24D5" w:rsidRPr="005E3D50" w:rsidRDefault="00EB24D5" w:rsidP="00EB24D5">
            <w:pPr>
              <w:rPr>
                <w:color w:val="000000" w:themeColor="text1"/>
                <w:sz w:val="20"/>
                <w:szCs w:val="20"/>
                <w:lang w:val="es-ES"/>
              </w:rPr>
            </w:pPr>
            <w:r w:rsidRPr="005E3D50">
              <w:rPr>
                <w:sz w:val="20"/>
                <w:szCs w:val="20"/>
                <w:lang w:val="es-ES"/>
              </w:rPr>
              <w:t xml:space="preserve">El informe </w:t>
            </w:r>
            <w:proofErr w:type="spellStart"/>
            <w:r w:rsidRPr="005E3D50">
              <w:rPr>
                <w:i/>
                <w:iCs/>
                <w:sz w:val="20"/>
                <w:szCs w:val="20"/>
                <w:lang w:val="es-ES"/>
              </w:rPr>
              <w:t>Methodological</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w:t>
            </w:r>
            <w:proofErr w:type="spellStart"/>
            <w:r w:rsidRPr="005E3D50">
              <w:rPr>
                <w:i/>
                <w:iCs/>
                <w:sz w:val="20"/>
                <w:szCs w:val="20"/>
                <w:lang w:val="es-ES"/>
              </w:rPr>
              <w:t>Report</w:t>
            </w:r>
            <w:proofErr w:type="spellEnd"/>
            <w:r w:rsidRPr="005E3D50">
              <w:rPr>
                <w:i/>
                <w:iCs/>
                <w:sz w:val="20"/>
                <w:szCs w:val="20"/>
                <w:lang w:val="es-ES"/>
              </w:rPr>
              <w:t xml:space="preserve"> </w:t>
            </w:r>
            <w:proofErr w:type="spellStart"/>
            <w:r w:rsidRPr="005E3D50">
              <w:rPr>
                <w:i/>
                <w:iCs/>
                <w:sz w:val="20"/>
                <w:szCs w:val="20"/>
                <w:lang w:val="es-ES"/>
              </w:rPr>
              <w:t>on</w:t>
            </w:r>
            <w:proofErr w:type="spellEnd"/>
            <w:r w:rsidRPr="005E3D50">
              <w:rPr>
                <w:i/>
                <w:iCs/>
                <w:sz w:val="20"/>
                <w:szCs w:val="20"/>
                <w:lang w:val="es-ES"/>
              </w:rPr>
              <w:t xml:space="preserve"> the Diverse </w:t>
            </w:r>
            <w:proofErr w:type="spellStart"/>
            <w:r w:rsidRPr="005E3D50">
              <w:rPr>
                <w:i/>
                <w:iCs/>
                <w:sz w:val="20"/>
                <w:szCs w:val="20"/>
                <w:lang w:val="es-ES"/>
              </w:rPr>
              <w:t>Values</w:t>
            </w:r>
            <w:proofErr w:type="spellEnd"/>
            <w:r w:rsidRPr="005E3D50">
              <w:rPr>
                <w:i/>
                <w:iCs/>
                <w:sz w:val="20"/>
                <w:szCs w:val="20"/>
                <w:lang w:val="es-ES"/>
              </w:rPr>
              <w:t xml:space="preserve"> and </w:t>
            </w:r>
            <w:proofErr w:type="spellStart"/>
            <w:r w:rsidRPr="005E3D50">
              <w:rPr>
                <w:i/>
                <w:iCs/>
                <w:sz w:val="20"/>
                <w:szCs w:val="20"/>
                <w:lang w:val="es-ES"/>
              </w:rPr>
              <w:t>Valuation</w:t>
            </w:r>
            <w:proofErr w:type="spellEnd"/>
            <w:r w:rsidRPr="005E3D50">
              <w:rPr>
                <w:i/>
                <w:iCs/>
                <w:sz w:val="20"/>
                <w:szCs w:val="20"/>
                <w:lang w:val="es-ES"/>
              </w:rPr>
              <w:t xml:space="preserve"> of Nature </w:t>
            </w:r>
            <w:r w:rsidRPr="005E3D50">
              <w:rPr>
                <w:i/>
                <w:iCs/>
                <w:color w:val="000000" w:themeColor="text1"/>
                <w:sz w:val="20"/>
                <w:szCs w:val="20"/>
                <w:lang w:val="es-ES"/>
              </w:rPr>
              <w:t xml:space="preserve">of the </w:t>
            </w:r>
            <w:proofErr w:type="spellStart"/>
            <w:r w:rsidRPr="005E3D50">
              <w:rPr>
                <w:i/>
                <w:iCs/>
                <w:color w:val="000000" w:themeColor="text1"/>
                <w:sz w:val="20"/>
                <w:szCs w:val="20"/>
                <w:lang w:val="es-ES"/>
              </w:rPr>
              <w:t>Intergovernmental</w:t>
            </w:r>
            <w:proofErr w:type="spellEnd"/>
            <w:r w:rsidRPr="005E3D50">
              <w:rPr>
                <w:i/>
                <w:iCs/>
                <w:color w:val="000000" w:themeColor="text1"/>
                <w:sz w:val="20"/>
                <w:szCs w:val="20"/>
                <w:lang w:val="es-ES"/>
              </w:rPr>
              <w:t xml:space="preserve"> </w:t>
            </w:r>
            <w:proofErr w:type="spellStart"/>
            <w:r w:rsidRPr="005E3D50">
              <w:rPr>
                <w:i/>
                <w:iCs/>
                <w:color w:val="000000" w:themeColor="text1"/>
                <w:sz w:val="20"/>
                <w:szCs w:val="20"/>
                <w:lang w:val="es-ES"/>
              </w:rPr>
              <w:t>Science</w:t>
            </w:r>
            <w:proofErr w:type="spellEnd"/>
            <w:r w:rsidRPr="005E3D50">
              <w:rPr>
                <w:i/>
                <w:iCs/>
                <w:color w:val="000000" w:themeColor="text1"/>
                <w:sz w:val="20"/>
                <w:szCs w:val="20"/>
                <w:lang w:val="es-ES"/>
              </w:rPr>
              <w:t xml:space="preserve">-Policy Platform </w:t>
            </w:r>
            <w:proofErr w:type="spellStart"/>
            <w:r w:rsidRPr="005E3D50">
              <w:rPr>
                <w:i/>
                <w:iCs/>
                <w:color w:val="000000" w:themeColor="text1"/>
                <w:sz w:val="20"/>
                <w:szCs w:val="20"/>
                <w:lang w:val="es-ES"/>
              </w:rPr>
              <w:t>on</w:t>
            </w:r>
            <w:proofErr w:type="spellEnd"/>
            <w:r w:rsidRPr="005E3D50">
              <w:rPr>
                <w:i/>
                <w:iCs/>
                <w:color w:val="000000" w:themeColor="text1"/>
                <w:sz w:val="20"/>
                <w:szCs w:val="20"/>
                <w:lang w:val="es-ES"/>
              </w:rPr>
              <w:t xml:space="preserve"> Biodiversity and </w:t>
            </w:r>
            <w:proofErr w:type="spellStart"/>
            <w:r w:rsidRPr="005E3D50">
              <w:rPr>
                <w:i/>
                <w:iCs/>
                <w:color w:val="000000" w:themeColor="text1"/>
                <w:sz w:val="20"/>
                <w:szCs w:val="20"/>
                <w:lang w:val="es-ES"/>
              </w:rPr>
              <w:t>Ecosystem</w:t>
            </w:r>
            <w:proofErr w:type="spellEnd"/>
            <w:r w:rsidRPr="005E3D50">
              <w:rPr>
                <w:i/>
                <w:iCs/>
                <w:color w:val="000000" w:themeColor="text1"/>
                <w:sz w:val="20"/>
                <w:szCs w:val="20"/>
                <w:lang w:val="es-ES"/>
              </w:rPr>
              <w:t xml:space="preserve"> </w:t>
            </w:r>
            <w:proofErr w:type="spellStart"/>
            <w:r w:rsidRPr="005E3D50">
              <w:rPr>
                <w:i/>
                <w:iCs/>
                <w:color w:val="000000" w:themeColor="text1"/>
                <w:sz w:val="20"/>
                <w:szCs w:val="20"/>
                <w:lang w:val="es-ES"/>
              </w:rPr>
              <w:t>Services</w:t>
            </w:r>
            <w:proofErr w:type="spellEnd"/>
            <w:r w:rsidRPr="005E3D50">
              <w:rPr>
                <w:sz w:val="20"/>
                <w:szCs w:val="20"/>
                <w:lang w:val="es-ES"/>
              </w:rPr>
              <w:t xml:space="preserve"> (Evaluación metodológica de los valores diversos y valoración de la naturaleza de la Plataforma Intergubernamental Científico-Normativa sobre Diversidad Biológica y Servicios de los Ecosistemas, IPBES, 2022) aportó evidencia sobre las razones por las que la diversidad biológica continuaba </w:t>
            </w:r>
            <w:r w:rsidRPr="005E3D50">
              <w:rPr>
                <w:sz w:val="20"/>
                <w:szCs w:val="20"/>
                <w:lang w:val="es-ES"/>
              </w:rPr>
              <w:lastRenderedPageBreak/>
              <w:t>disminuyendo a pesar de la abundante evidencia científica sobre el problema.</w:t>
            </w:r>
            <w:r w:rsidRPr="005E3D50">
              <w:rPr>
                <w:color w:val="000000" w:themeColor="text1"/>
                <w:sz w:val="20"/>
                <w:szCs w:val="20"/>
                <w:lang w:val="es-ES"/>
              </w:rPr>
              <w:t xml:space="preserve"> Una de las conclusiones de la evaluación de los valores fue que, si no se producían cambios en la forma en que las sociedades definían el valor, el progreso y el desarrollo, la disponibilidad de mejores datos e información por sí solos no daría lugar a un cambio que permitiera abordar la pérdida de diversidad biológica. El informe de la evaluación proporcionó opciones de políticas para facilitar un cambio en los valores y abordar conjuntamente la pérdida de diversidad biológica y las desigualdades sociales.</w:t>
            </w:r>
          </w:p>
          <w:p w14:paraId="54A584F0" w14:textId="77777777" w:rsidR="003A4DBE" w:rsidRPr="005E3D50" w:rsidRDefault="003A4DBE" w:rsidP="003A4DBE">
            <w:pPr>
              <w:rPr>
                <w:color w:val="000000" w:themeColor="text1"/>
                <w:sz w:val="20"/>
                <w:szCs w:val="20"/>
                <w:lang w:val="es-ES"/>
              </w:rPr>
            </w:pPr>
          </w:p>
          <w:p w14:paraId="48256535" w14:textId="44C12468" w:rsidR="006D133B" w:rsidRPr="005E3D50" w:rsidRDefault="006D133B" w:rsidP="006D133B">
            <w:pPr>
              <w:rPr>
                <w:color w:val="000000" w:themeColor="text1"/>
                <w:sz w:val="20"/>
                <w:szCs w:val="20"/>
                <w:lang w:val="es-ES"/>
              </w:rPr>
            </w:pPr>
            <w:r w:rsidRPr="005E3D50">
              <w:rPr>
                <w:sz w:val="20"/>
                <w:szCs w:val="20"/>
                <w:lang w:val="es-ES"/>
              </w:rPr>
              <w:t xml:space="preserve">Por su parte, el informe </w:t>
            </w:r>
            <w:proofErr w:type="spellStart"/>
            <w:r w:rsidRPr="005E3D50">
              <w:rPr>
                <w:i/>
                <w:iCs/>
                <w:sz w:val="20"/>
                <w:szCs w:val="20"/>
                <w:lang w:val="es-ES"/>
              </w:rPr>
              <w:t>Thematic</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w:t>
            </w:r>
            <w:proofErr w:type="spellStart"/>
            <w:r w:rsidRPr="005E3D50">
              <w:rPr>
                <w:i/>
                <w:iCs/>
                <w:sz w:val="20"/>
                <w:szCs w:val="20"/>
                <w:lang w:val="es-ES"/>
              </w:rPr>
              <w:t>Report</w:t>
            </w:r>
            <w:proofErr w:type="spellEnd"/>
            <w:r w:rsidRPr="005E3D50">
              <w:rPr>
                <w:i/>
                <w:iCs/>
                <w:sz w:val="20"/>
                <w:szCs w:val="20"/>
                <w:lang w:val="es-ES"/>
              </w:rPr>
              <w:t xml:space="preserve"> </w:t>
            </w:r>
            <w:proofErr w:type="spellStart"/>
            <w:r w:rsidRPr="005E3D50">
              <w:rPr>
                <w:i/>
                <w:iCs/>
                <w:sz w:val="20"/>
                <w:szCs w:val="20"/>
                <w:lang w:val="es-ES"/>
              </w:rPr>
              <w:t>on</w:t>
            </w:r>
            <w:proofErr w:type="spellEnd"/>
            <w:r w:rsidRPr="005E3D50">
              <w:rPr>
                <w:i/>
                <w:iCs/>
                <w:sz w:val="20"/>
                <w:szCs w:val="20"/>
                <w:lang w:val="es-ES"/>
              </w:rPr>
              <w:t xml:space="preserve"> the </w:t>
            </w:r>
            <w:proofErr w:type="spellStart"/>
            <w:r w:rsidRPr="005E3D50">
              <w:rPr>
                <w:i/>
                <w:iCs/>
                <w:sz w:val="20"/>
                <w:szCs w:val="20"/>
                <w:lang w:val="es-ES"/>
              </w:rPr>
              <w:t>Sustainable</w:t>
            </w:r>
            <w:proofErr w:type="spellEnd"/>
            <w:r w:rsidRPr="005E3D50">
              <w:rPr>
                <w:i/>
                <w:iCs/>
                <w:sz w:val="20"/>
                <w:szCs w:val="20"/>
                <w:lang w:val="es-ES"/>
              </w:rPr>
              <w:t xml:space="preserve"> Use of Wild </w:t>
            </w:r>
            <w:proofErr w:type="spellStart"/>
            <w:r w:rsidRPr="005E3D50">
              <w:rPr>
                <w:i/>
                <w:iCs/>
                <w:sz w:val="20"/>
                <w:szCs w:val="20"/>
                <w:lang w:val="es-ES"/>
              </w:rPr>
              <w:t>Species</w:t>
            </w:r>
            <w:proofErr w:type="spellEnd"/>
            <w:r w:rsidRPr="005E3D50">
              <w:rPr>
                <w:sz w:val="20"/>
                <w:szCs w:val="20"/>
                <w:lang w:val="es-ES"/>
              </w:rPr>
              <w:t xml:space="preserve"> (Evaluación temática del uso sostenible de las especies silvestres, IPBES, 2022b) demostró que miles de millones de personas dependían directamente de las especies silvestres para obtener alimentos, energía, materiales, medicinas e ingresos y para utilizarlas en prácticas culturales.</w:t>
            </w:r>
            <w:r w:rsidRPr="005E3D50">
              <w:rPr>
                <w:color w:val="000000" w:themeColor="text1"/>
                <w:sz w:val="20"/>
                <w:szCs w:val="20"/>
                <w:lang w:val="es-ES"/>
              </w:rPr>
              <w:t xml:space="preserve"> Por ejemplo, en la evaluación del uso sostenible se destacó que una de cada cinco personas dependía de las especies silvestres para obtener alimentos e ingresos, que se recolectaban más de 10.000 especies silvestres para la alimentación humana y que aproximadamente 2.400 millones de personas dependían de la leña para cocinar. Además, en la evaluación se presentó un resumen de las formas en que las personas se beneficiaban de la diversidad biológica y los servicios de los ecosistemas, se consideró el riesgo para la salud y el bienestar humanos en caso de que disminuyeran las contribuciones de la naturaleza a las personas y se presentaron opciones para mejorar la gestión.</w:t>
            </w:r>
          </w:p>
          <w:p w14:paraId="21B9ED2D" w14:textId="77777777" w:rsidR="00572C2E" w:rsidRPr="005E3D50" w:rsidRDefault="00572C2E" w:rsidP="006D133B">
            <w:pPr>
              <w:rPr>
                <w:color w:val="000000" w:themeColor="text1"/>
                <w:sz w:val="20"/>
                <w:szCs w:val="20"/>
                <w:lang w:val="es-ES"/>
              </w:rPr>
            </w:pPr>
          </w:p>
          <w:p w14:paraId="46F3E3CC" w14:textId="6DA6AD2A" w:rsidR="00572C2E" w:rsidRPr="005E3D50" w:rsidRDefault="00572C2E" w:rsidP="00572C2E">
            <w:pPr>
              <w:rPr>
                <w:color w:val="000000" w:themeColor="text1"/>
                <w:sz w:val="20"/>
                <w:szCs w:val="20"/>
                <w:lang w:val="es-ES"/>
              </w:rPr>
            </w:pPr>
            <w:r w:rsidRPr="005E3D50">
              <w:rPr>
                <w:sz w:val="20"/>
                <w:szCs w:val="20"/>
                <w:lang w:val="es-ES"/>
              </w:rPr>
              <w:t xml:space="preserve">En el informe </w:t>
            </w:r>
            <w:proofErr w:type="spellStart"/>
            <w:r w:rsidRPr="005E3D50">
              <w:rPr>
                <w:i/>
                <w:iCs/>
                <w:sz w:val="20"/>
                <w:szCs w:val="20"/>
                <w:lang w:val="es-ES"/>
              </w:rPr>
              <w:t>Thematic</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w:t>
            </w:r>
            <w:proofErr w:type="spellStart"/>
            <w:r w:rsidRPr="005E3D50">
              <w:rPr>
                <w:i/>
                <w:iCs/>
                <w:sz w:val="20"/>
                <w:szCs w:val="20"/>
                <w:lang w:val="es-ES"/>
              </w:rPr>
              <w:t>Report</w:t>
            </w:r>
            <w:proofErr w:type="spellEnd"/>
            <w:r w:rsidRPr="005E3D50">
              <w:rPr>
                <w:i/>
                <w:iCs/>
                <w:sz w:val="20"/>
                <w:szCs w:val="20"/>
                <w:lang w:val="es-ES"/>
              </w:rPr>
              <w:t xml:space="preserve"> </w:t>
            </w:r>
            <w:proofErr w:type="spellStart"/>
            <w:r w:rsidRPr="005E3D50">
              <w:rPr>
                <w:i/>
                <w:iCs/>
                <w:sz w:val="20"/>
                <w:szCs w:val="20"/>
                <w:lang w:val="es-ES"/>
              </w:rPr>
              <w:t>on</w:t>
            </w:r>
            <w:proofErr w:type="spellEnd"/>
            <w:r w:rsidRPr="005E3D50">
              <w:rPr>
                <w:i/>
                <w:iCs/>
                <w:sz w:val="20"/>
                <w:szCs w:val="20"/>
                <w:lang w:val="es-ES"/>
              </w:rPr>
              <w:t xml:space="preserve"> Invasive Alien </w:t>
            </w:r>
            <w:proofErr w:type="spellStart"/>
            <w:r w:rsidRPr="005E3D50">
              <w:rPr>
                <w:i/>
                <w:iCs/>
                <w:sz w:val="20"/>
                <w:szCs w:val="20"/>
                <w:lang w:val="es-ES"/>
              </w:rPr>
              <w:t>Species</w:t>
            </w:r>
            <w:proofErr w:type="spellEnd"/>
            <w:r w:rsidRPr="005E3D50">
              <w:rPr>
                <w:i/>
                <w:iCs/>
                <w:sz w:val="20"/>
                <w:szCs w:val="20"/>
                <w:lang w:val="es-ES"/>
              </w:rPr>
              <w:t xml:space="preserve"> and </w:t>
            </w:r>
            <w:proofErr w:type="spellStart"/>
            <w:r w:rsidRPr="005E3D50">
              <w:rPr>
                <w:i/>
                <w:iCs/>
                <w:sz w:val="20"/>
                <w:szCs w:val="20"/>
                <w:lang w:val="es-ES"/>
              </w:rPr>
              <w:t>their</w:t>
            </w:r>
            <w:proofErr w:type="spellEnd"/>
            <w:r w:rsidRPr="005E3D50">
              <w:rPr>
                <w:i/>
                <w:iCs/>
                <w:sz w:val="20"/>
                <w:szCs w:val="20"/>
                <w:lang w:val="es-ES"/>
              </w:rPr>
              <w:t xml:space="preserve"> Control</w:t>
            </w:r>
            <w:r w:rsidRPr="005E3D50">
              <w:rPr>
                <w:sz w:val="20"/>
                <w:szCs w:val="20"/>
                <w:lang w:val="es-ES"/>
              </w:rPr>
              <w:t xml:space="preserve"> (Evaluación temática de las especies exóticas invasoras y su control, IPBES, 2023a) se confirmó que estaba aumentando la presión ejercida por ese impulsor de la pérdida de diversidad biológica.</w:t>
            </w:r>
            <w:r w:rsidRPr="005E3D50">
              <w:rPr>
                <w:color w:val="000000" w:themeColor="text1"/>
                <w:sz w:val="20"/>
                <w:szCs w:val="20"/>
                <w:lang w:val="es-ES"/>
              </w:rPr>
              <w:t xml:space="preserve"> Las especies exóticas invasoras, que constituyen uno de los cinco principales impulsores directos de la pérdida de diversidad biológica identificados en el Informe de la evaluación mundial de la IPBES, han contribuido a la extinción de especies y la degradación de los ecosistemas, y han generado importantes costos económicos. El riesgo que representan las especies exóticas invasoras continúa aumentando debido al incremento del comercio y el transporte, los cambios en el uso de la tierra y el cambio climático. La evaluación de las especies exóticas invasoras proporcionó un conjunto de herramientas para reducir los riesgos y los impactos causados por estas especies.</w:t>
            </w:r>
          </w:p>
          <w:p w14:paraId="67947FB3" w14:textId="77777777" w:rsidR="00572C2E" w:rsidRPr="005E3D50" w:rsidRDefault="00572C2E" w:rsidP="006D133B">
            <w:pPr>
              <w:rPr>
                <w:color w:val="000000" w:themeColor="text1"/>
                <w:sz w:val="20"/>
                <w:szCs w:val="20"/>
                <w:lang w:val="es-ES"/>
              </w:rPr>
            </w:pPr>
          </w:p>
          <w:p w14:paraId="743CB656" w14:textId="6AF755A0" w:rsidR="00EA6CF8" w:rsidRPr="005E3D50" w:rsidRDefault="00EA6CF8" w:rsidP="00EA6CF8">
            <w:pPr>
              <w:rPr>
                <w:color w:val="000000" w:themeColor="text1"/>
                <w:sz w:val="20"/>
                <w:szCs w:val="20"/>
                <w:lang w:val="es-ES"/>
              </w:rPr>
            </w:pPr>
            <w:r w:rsidRPr="005E3D50">
              <w:rPr>
                <w:sz w:val="20"/>
                <w:szCs w:val="20"/>
                <w:lang w:val="es-ES"/>
              </w:rPr>
              <w:t xml:space="preserve">El informe </w:t>
            </w:r>
            <w:proofErr w:type="spellStart"/>
            <w:r w:rsidRPr="005E3D50">
              <w:rPr>
                <w:i/>
                <w:iCs/>
                <w:sz w:val="20"/>
                <w:szCs w:val="20"/>
                <w:lang w:val="es-ES"/>
              </w:rPr>
              <w:t>Thematic</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w:t>
            </w:r>
            <w:proofErr w:type="spellStart"/>
            <w:r w:rsidRPr="005E3D50">
              <w:rPr>
                <w:i/>
                <w:iCs/>
                <w:sz w:val="20"/>
                <w:szCs w:val="20"/>
                <w:lang w:val="es-ES"/>
              </w:rPr>
              <w:t>Report</w:t>
            </w:r>
            <w:proofErr w:type="spellEnd"/>
            <w:r w:rsidRPr="005E3D50">
              <w:rPr>
                <w:i/>
                <w:iCs/>
                <w:sz w:val="20"/>
                <w:szCs w:val="20"/>
                <w:lang w:val="es-ES"/>
              </w:rPr>
              <w:t xml:space="preserve"> </w:t>
            </w:r>
            <w:proofErr w:type="spellStart"/>
            <w:r w:rsidRPr="005E3D50">
              <w:rPr>
                <w:i/>
                <w:iCs/>
                <w:sz w:val="20"/>
                <w:szCs w:val="20"/>
                <w:lang w:val="es-ES"/>
              </w:rPr>
              <w:t>on</w:t>
            </w:r>
            <w:proofErr w:type="spellEnd"/>
            <w:r w:rsidRPr="005E3D50">
              <w:rPr>
                <w:i/>
                <w:iCs/>
                <w:sz w:val="20"/>
                <w:szCs w:val="20"/>
                <w:lang w:val="es-ES"/>
              </w:rPr>
              <w:t xml:space="preserve"> the </w:t>
            </w:r>
            <w:proofErr w:type="spellStart"/>
            <w:r w:rsidRPr="005E3D50">
              <w:rPr>
                <w:i/>
                <w:iCs/>
                <w:sz w:val="20"/>
                <w:szCs w:val="20"/>
                <w:lang w:val="es-ES"/>
              </w:rPr>
              <w:t>Underlying</w:t>
            </w:r>
            <w:proofErr w:type="spellEnd"/>
            <w:r w:rsidRPr="005E3D50">
              <w:rPr>
                <w:i/>
                <w:iCs/>
                <w:sz w:val="20"/>
                <w:szCs w:val="20"/>
                <w:lang w:val="es-ES"/>
              </w:rPr>
              <w:t xml:space="preserve"> Causes of Biodiversity Loss and the </w:t>
            </w:r>
            <w:proofErr w:type="spellStart"/>
            <w:r w:rsidRPr="005E3D50">
              <w:rPr>
                <w:i/>
                <w:iCs/>
                <w:sz w:val="20"/>
                <w:szCs w:val="20"/>
                <w:lang w:val="es-ES"/>
              </w:rPr>
              <w:t>Determinants</w:t>
            </w:r>
            <w:proofErr w:type="spellEnd"/>
            <w:r w:rsidRPr="005E3D50">
              <w:rPr>
                <w:i/>
                <w:iCs/>
                <w:sz w:val="20"/>
                <w:szCs w:val="20"/>
                <w:lang w:val="es-ES"/>
              </w:rPr>
              <w:t xml:space="preserve"> of Transformative Change and </w:t>
            </w:r>
            <w:proofErr w:type="spellStart"/>
            <w:r w:rsidRPr="005E3D50">
              <w:rPr>
                <w:i/>
                <w:iCs/>
                <w:sz w:val="20"/>
                <w:szCs w:val="20"/>
                <w:lang w:val="es-ES"/>
              </w:rPr>
              <w:t>Options</w:t>
            </w:r>
            <w:proofErr w:type="spellEnd"/>
            <w:r w:rsidRPr="005E3D50">
              <w:rPr>
                <w:i/>
                <w:iCs/>
                <w:sz w:val="20"/>
                <w:szCs w:val="20"/>
                <w:lang w:val="es-ES"/>
              </w:rPr>
              <w:t xml:space="preserve"> for </w:t>
            </w:r>
            <w:proofErr w:type="spellStart"/>
            <w:r w:rsidRPr="005E3D50">
              <w:rPr>
                <w:i/>
                <w:iCs/>
                <w:sz w:val="20"/>
                <w:szCs w:val="20"/>
                <w:lang w:val="es-ES"/>
              </w:rPr>
              <w:t>Achieving</w:t>
            </w:r>
            <w:proofErr w:type="spellEnd"/>
            <w:r w:rsidRPr="005E3D50">
              <w:rPr>
                <w:i/>
                <w:iCs/>
                <w:sz w:val="20"/>
                <w:szCs w:val="20"/>
                <w:lang w:val="es-ES"/>
              </w:rPr>
              <w:t xml:space="preserve"> the 2050</w:t>
            </w:r>
            <w:r w:rsidRPr="005E3D50">
              <w:rPr>
                <w:sz w:val="20"/>
                <w:szCs w:val="20"/>
                <w:lang w:val="es-ES"/>
              </w:rPr>
              <w:t xml:space="preserve"> </w:t>
            </w:r>
            <w:r w:rsidRPr="005E3D50">
              <w:rPr>
                <w:i/>
                <w:iCs/>
                <w:sz w:val="20"/>
                <w:szCs w:val="20"/>
                <w:lang w:val="es-ES"/>
              </w:rPr>
              <w:t xml:space="preserve">Vision for Biodiversity </w:t>
            </w:r>
            <w:r w:rsidRPr="005E3D50">
              <w:rPr>
                <w:sz w:val="20"/>
                <w:szCs w:val="20"/>
                <w:lang w:val="es-ES"/>
              </w:rPr>
              <w:t>(Evaluación temática de las causas subyacentes de la pérdida de la diversidad biológica y los factores determinantes del cambio transformador y las opciones para hacer realidad la Visión 2050 para la Diversidad Biológica, IPBES, 2024a) se basó en el Informe de la evaluación mundial de la IPBES y desarrolló con mayor detalle las formas en que era necesario un cambio transformador para lograr mejores resultados para la diversidad biológica.</w:t>
            </w:r>
            <w:r w:rsidRPr="005E3D50">
              <w:rPr>
                <w:color w:val="000000" w:themeColor="text1"/>
                <w:sz w:val="20"/>
                <w:szCs w:val="20"/>
                <w:lang w:val="es-ES"/>
              </w:rPr>
              <w:t xml:space="preserve"> En la evaluación del cambio transformador se concluyó que la diversidad biológica seguía disminuyendo y que la pérdida de diversidad biológica no podía abordarse únicamente mediante ajustes marginales. Lo que se requería era un cambio transformador en los sistemas que impulsaban el declive de la diversidad biológica, incluidos los sistemas alimentarios, energéticos, de infraestructura, financieros, comerciales y de gobernanza. </w:t>
            </w:r>
            <w:r w:rsidR="00651280" w:rsidRPr="005E3D50">
              <w:rPr>
                <w:color w:val="000000" w:themeColor="text1"/>
                <w:sz w:val="20"/>
                <w:szCs w:val="20"/>
                <w:lang w:val="es-ES"/>
              </w:rPr>
              <w:t>Además, e</w:t>
            </w:r>
            <w:r w:rsidRPr="005E3D50">
              <w:rPr>
                <w:color w:val="000000" w:themeColor="text1"/>
                <w:sz w:val="20"/>
                <w:szCs w:val="20"/>
                <w:lang w:val="es-ES"/>
              </w:rPr>
              <w:t>n la evaluación del cambio transformador se determinó que promover y acelerar el cambio transformador era esencial para alcanzar las 23 metas y los cuatro objetivos del Marco</w:t>
            </w:r>
            <w:r w:rsidR="004F20F4" w:rsidRPr="005E3D50">
              <w:rPr>
                <w:color w:val="000000" w:themeColor="text1"/>
                <w:sz w:val="20"/>
                <w:szCs w:val="20"/>
                <w:lang w:val="es-ES"/>
              </w:rPr>
              <w:t>,</w:t>
            </w:r>
            <w:r w:rsidRPr="005E3D50">
              <w:rPr>
                <w:color w:val="000000" w:themeColor="text1"/>
                <w:sz w:val="20"/>
                <w:szCs w:val="20"/>
                <w:lang w:val="es-ES"/>
              </w:rPr>
              <w:t xml:space="preserve"> y hacer realidad la Visión 2050 para la Diversidad Biológica. </w:t>
            </w:r>
            <w:r w:rsidR="00651280" w:rsidRPr="005E3D50">
              <w:rPr>
                <w:color w:val="000000" w:themeColor="text1"/>
                <w:sz w:val="20"/>
                <w:szCs w:val="20"/>
                <w:lang w:val="es-ES"/>
              </w:rPr>
              <w:t>En este sentido, l</w:t>
            </w:r>
            <w:r w:rsidRPr="005E3D50">
              <w:rPr>
                <w:color w:val="000000" w:themeColor="text1"/>
                <w:sz w:val="20"/>
                <w:szCs w:val="20"/>
                <w:lang w:val="es-ES"/>
              </w:rPr>
              <w:t xml:space="preserve">a evaluación proporcionó orientación pertinente para las políticas sobre cómo fomentar el cambio transformador. </w:t>
            </w:r>
          </w:p>
          <w:p w14:paraId="3BE72EBE" w14:textId="77777777" w:rsidR="004972D7" w:rsidRPr="005E3D50" w:rsidRDefault="004972D7" w:rsidP="00EA6CF8">
            <w:pPr>
              <w:rPr>
                <w:color w:val="000000" w:themeColor="text1"/>
                <w:sz w:val="20"/>
                <w:szCs w:val="20"/>
                <w:lang w:val="es-ES"/>
              </w:rPr>
            </w:pPr>
          </w:p>
          <w:p w14:paraId="167126BD" w14:textId="016857E4" w:rsidR="004972D7" w:rsidRPr="005E3D50" w:rsidRDefault="004972D7" w:rsidP="004972D7">
            <w:pPr>
              <w:rPr>
                <w:color w:val="000000" w:themeColor="text1"/>
                <w:sz w:val="20"/>
                <w:szCs w:val="20"/>
                <w:lang w:val="es-ES"/>
              </w:rPr>
            </w:pPr>
            <w:r w:rsidRPr="005E3D50">
              <w:rPr>
                <w:sz w:val="20"/>
                <w:szCs w:val="20"/>
                <w:lang w:val="es-ES"/>
              </w:rPr>
              <w:t xml:space="preserve">El informe </w:t>
            </w:r>
            <w:proofErr w:type="spellStart"/>
            <w:r w:rsidRPr="005E3D50">
              <w:rPr>
                <w:i/>
                <w:iCs/>
                <w:sz w:val="20"/>
                <w:szCs w:val="20"/>
                <w:lang w:val="es-ES"/>
              </w:rPr>
              <w:t>Thematic</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w:t>
            </w:r>
            <w:proofErr w:type="spellStart"/>
            <w:r w:rsidRPr="005E3D50">
              <w:rPr>
                <w:i/>
                <w:iCs/>
                <w:sz w:val="20"/>
                <w:szCs w:val="20"/>
                <w:lang w:val="es-ES"/>
              </w:rPr>
              <w:t>Report</w:t>
            </w:r>
            <w:proofErr w:type="spellEnd"/>
            <w:r w:rsidRPr="005E3D50">
              <w:rPr>
                <w:i/>
                <w:iCs/>
                <w:sz w:val="20"/>
                <w:szCs w:val="20"/>
                <w:lang w:val="es-ES"/>
              </w:rPr>
              <w:t xml:space="preserve"> </w:t>
            </w:r>
            <w:proofErr w:type="spellStart"/>
            <w:r w:rsidRPr="005E3D50">
              <w:rPr>
                <w:i/>
                <w:iCs/>
                <w:sz w:val="20"/>
                <w:szCs w:val="20"/>
                <w:lang w:val="es-ES"/>
              </w:rPr>
              <w:t>on</w:t>
            </w:r>
            <w:proofErr w:type="spellEnd"/>
            <w:r w:rsidRPr="005E3D50">
              <w:rPr>
                <w:i/>
                <w:iCs/>
                <w:sz w:val="20"/>
                <w:szCs w:val="20"/>
                <w:lang w:val="es-ES"/>
              </w:rPr>
              <w:t xml:space="preserve"> the </w:t>
            </w:r>
            <w:proofErr w:type="spellStart"/>
            <w:r w:rsidRPr="005E3D50">
              <w:rPr>
                <w:i/>
                <w:iCs/>
                <w:sz w:val="20"/>
                <w:szCs w:val="20"/>
                <w:lang w:val="es-ES"/>
              </w:rPr>
              <w:t>Interlinkages</w:t>
            </w:r>
            <w:proofErr w:type="spellEnd"/>
            <w:r w:rsidRPr="005E3D50">
              <w:rPr>
                <w:i/>
                <w:iCs/>
                <w:sz w:val="20"/>
                <w:szCs w:val="20"/>
                <w:lang w:val="es-ES"/>
              </w:rPr>
              <w:t xml:space="preserve"> </w:t>
            </w:r>
            <w:proofErr w:type="spellStart"/>
            <w:r w:rsidRPr="005E3D50">
              <w:rPr>
                <w:i/>
                <w:iCs/>
                <w:sz w:val="20"/>
                <w:szCs w:val="20"/>
                <w:lang w:val="es-ES"/>
              </w:rPr>
              <w:t>among</w:t>
            </w:r>
            <w:proofErr w:type="spellEnd"/>
            <w:r w:rsidRPr="005E3D50">
              <w:rPr>
                <w:i/>
                <w:iCs/>
                <w:sz w:val="20"/>
                <w:szCs w:val="20"/>
                <w:lang w:val="es-ES"/>
              </w:rPr>
              <w:t xml:space="preserve"> Biodiversity, Water, </w:t>
            </w:r>
            <w:proofErr w:type="spellStart"/>
            <w:r w:rsidRPr="005E3D50">
              <w:rPr>
                <w:i/>
                <w:iCs/>
                <w:sz w:val="20"/>
                <w:szCs w:val="20"/>
                <w:lang w:val="es-ES"/>
              </w:rPr>
              <w:t>Food</w:t>
            </w:r>
            <w:proofErr w:type="spellEnd"/>
            <w:r w:rsidRPr="005E3D50">
              <w:rPr>
                <w:i/>
                <w:iCs/>
                <w:sz w:val="20"/>
                <w:szCs w:val="20"/>
                <w:lang w:val="es-ES"/>
              </w:rPr>
              <w:t xml:space="preserve"> and Health (</w:t>
            </w:r>
            <w:proofErr w:type="spellStart"/>
            <w:r w:rsidRPr="005E3D50">
              <w:rPr>
                <w:i/>
                <w:iCs/>
                <w:sz w:val="20"/>
                <w:szCs w:val="20"/>
                <w:lang w:val="es-ES"/>
              </w:rPr>
              <w:t>nexus</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sz w:val="20"/>
                <w:szCs w:val="20"/>
                <w:lang w:val="es-ES"/>
              </w:rPr>
              <w:t>) (Evaluación temática de los vínculos entre la diversidad biológica, el agua, la alimentación y la salud; evaluación del nexo; IPBES, 2024b) reforzó aún más el reconocimiento de que la pérdida de diversidad biológica no podía abordarse de forma aislada de otros desafíos mundiales y mostró cómo la diversidad biológica, el agua, la alimentación, la salud y el cambio climático estaban profundamente interrelacionados.</w:t>
            </w:r>
            <w:r w:rsidRPr="005E3D50">
              <w:rPr>
                <w:color w:val="000000" w:themeColor="text1"/>
                <w:sz w:val="20"/>
                <w:szCs w:val="20"/>
                <w:lang w:val="es-ES"/>
              </w:rPr>
              <w:t xml:space="preserve"> La evaluación del nexo presentó herramientas y soluciones para abordar todos esos desafíos mediante enfoques coordinados que reducían al mínimo </w:t>
            </w:r>
            <w:r w:rsidRPr="005E3D50">
              <w:rPr>
                <w:color w:val="000000" w:themeColor="text1"/>
                <w:sz w:val="20"/>
                <w:szCs w:val="20"/>
                <w:lang w:val="es-ES"/>
              </w:rPr>
              <w:lastRenderedPageBreak/>
              <w:t xml:space="preserve">las compensaciones y generaban beneficios en cada uno de los elementos del nexo (diversidad biológica, agua, alimentos y salud). </w:t>
            </w:r>
            <w:r w:rsidRPr="005E3D50">
              <w:rPr>
                <w:sz w:val="20"/>
                <w:szCs w:val="20"/>
                <w:lang w:val="es-ES"/>
              </w:rPr>
              <w:t>Los escenarios analizados en esa evaluación demostraron que la implementación oportuna de las opciones de respuesta era fundamental, ya que las políticas implementadas de forma temprana estaban asociadas a resultados positivos.</w:t>
            </w:r>
            <w:r w:rsidRPr="005E3D50">
              <w:rPr>
                <w:color w:val="000000" w:themeColor="text1"/>
                <w:sz w:val="20"/>
                <w:szCs w:val="20"/>
                <w:lang w:val="es-ES"/>
              </w:rPr>
              <w:t xml:space="preserve"> Además, se señaló que cada vez hay más pruebas de que resulta más eficaz invertir en medidas sin demora. </w:t>
            </w:r>
          </w:p>
          <w:p w14:paraId="0DE7F123" w14:textId="77777777" w:rsidR="004972D7" w:rsidRPr="005E3D50" w:rsidRDefault="004972D7" w:rsidP="004972D7">
            <w:pPr>
              <w:rPr>
                <w:color w:val="000000" w:themeColor="text1"/>
                <w:sz w:val="20"/>
                <w:szCs w:val="20"/>
                <w:lang w:val="es-ES"/>
              </w:rPr>
            </w:pPr>
          </w:p>
          <w:p w14:paraId="3C323392" w14:textId="7D0C4D91" w:rsidR="00897654" w:rsidRPr="005E3D50" w:rsidRDefault="00897654" w:rsidP="00897654">
            <w:pPr>
              <w:rPr>
                <w:color w:val="000000" w:themeColor="text1"/>
                <w:sz w:val="20"/>
                <w:szCs w:val="20"/>
                <w:lang w:val="es-ES"/>
              </w:rPr>
            </w:pPr>
            <w:r w:rsidRPr="005E3D50">
              <w:rPr>
                <w:sz w:val="20"/>
                <w:szCs w:val="20"/>
                <w:lang w:val="es-ES"/>
              </w:rPr>
              <w:t xml:space="preserve">El informe </w:t>
            </w:r>
            <w:proofErr w:type="spellStart"/>
            <w:r w:rsidRPr="005E3D50">
              <w:rPr>
                <w:i/>
                <w:iCs/>
                <w:sz w:val="20"/>
                <w:szCs w:val="20"/>
                <w:lang w:val="es-ES"/>
              </w:rPr>
              <w:t>Methodological</w:t>
            </w:r>
            <w:proofErr w:type="spellEnd"/>
            <w:r w:rsidRPr="005E3D50">
              <w:rPr>
                <w:i/>
                <w:iCs/>
                <w:sz w:val="20"/>
                <w:szCs w:val="20"/>
                <w:lang w:val="es-ES"/>
              </w:rPr>
              <w:t xml:space="preserve"> </w:t>
            </w:r>
            <w:proofErr w:type="spellStart"/>
            <w:r w:rsidRPr="005E3D50">
              <w:rPr>
                <w:i/>
                <w:iCs/>
                <w:sz w:val="20"/>
                <w:szCs w:val="20"/>
                <w:lang w:val="es-ES"/>
              </w:rPr>
              <w:t>Assessment</w:t>
            </w:r>
            <w:proofErr w:type="spellEnd"/>
            <w:r w:rsidRPr="005E3D50">
              <w:rPr>
                <w:i/>
                <w:iCs/>
                <w:sz w:val="20"/>
                <w:szCs w:val="20"/>
                <w:lang w:val="es-ES"/>
              </w:rPr>
              <w:t xml:space="preserve"> of the Impact and </w:t>
            </w:r>
            <w:proofErr w:type="spellStart"/>
            <w:r w:rsidRPr="005E3D50">
              <w:rPr>
                <w:i/>
                <w:iCs/>
                <w:sz w:val="20"/>
                <w:szCs w:val="20"/>
                <w:lang w:val="es-ES"/>
              </w:rPr>
              <w:t>Dependence</w:t>
            </w:r>
            <w:proofErr w:type="spellEnd"/>
            <w:r w:rsidRPr="005E3D50">
              <w:rPr>
                <w:i/>
                <w:iCs/>
                <w:sz w:val="20"/>
                <w:szCs w:val="20"/>
                <w:lang w:val="es-ES"/>
              </w:rPr>
              <w:t xml:space="preserve"> of Business </w:t>
            </w:r>
            <w:proofErr w:type="spellStart"/>
            <w:r w:rsidRPr="005E3D50">
              <w:rPr>
                <w:i/>
                <w:iCs/>
                <w:sz w:val="20"/>
                <w:szCs w:val="20"/>
                <w:lang w:val="es-ES"/>
              </w:rPr>
              <w:t>on</w:t>
            </w:r>
            <w:proofErr w:type="spellEnd"/>
            <w:r w:rsidRPr="005E3D50">
              <w:rPr>
                <w:i/>
                <w:iCs/>
                <w:sz w:val="20"/>
                <w:szCs w:val="20"/>
                <w:lang w:val="es-ES"/>
              </w:rPr>
              <w:t xml:space="preserve"> Biodiversity and </w:t>
            </w:r>
            <w:proofErr w:type="spellStart"/>
            <w:r w:rsidRPr="005E3D50">
              <w:rPr>
                <w:i/>
                <w:iCs/>
                <w:sz w:val="20"/>
                <w:szCs w:val="20"/>
                <w:lang w:val="es-ES"/>
              </w:rPr>
              <w:t>Nature’s</w:t>
            </w:r>
            <w:proofErr w:type="spellEnd"/>
            <w:r w:rsidRPr="005E3D50">
              <w:rPr>
                <w:i/>
                <w:iCs/>
                <w:sz w:val="20"/>
                <w:szCs w:val="20"/>
                <w:lang w:val="es-ES"/>
              </w:rPr>
              <w:t xml:space="preserve"> </w:t>
            </w:r>
            <w:proofErr w:type="spellStart"/>
            <w:r w:rsidRPr="005E3D50">
              <w:rPr>
                <w:i/>
                <w:iCs/>
                <w:sz w:val="20"/>
                <w:szCs w:val="20"/>
                <w:lang w:val="es-ES"/>
              </w:rPr>
              <w:t>Contributions</w:t>
            </w:r>
            <w:proofErr w:type="spellEnd"/>
            <w:r w:rsidRPr="005E3D50">
              <w:rPr>
                <w:i/>
                <w:iCs/>
                <w:sz w:val="20"/>
                <w:szCs w:val="20"/>
                <w:lang w:val="es-ES"/>
              </w:rPr>
              <w:t xml:space="preserve"> to People</w:t>
            </w:r>
            <w:r w:rsidRPr="005E3D50">
              <w:rPr>
                <w:sz w:val="20"/>
                <w:szCs w:val="20"/>
                <w:lang w:val="es-ES"/>
              </w:rPr>
              <w:t xml:space="preserve"> (Evaluación metodológica del impacto y la dependencia de las empresas en la diversidad biológica y las contribuciones de la naturaleza a las personas, IPBES, 2026) reforzó los argumentos económicos a favor de que el sector privado adopte medidas urgentes.</w:t>
            </w:r>
            <w:r w:rsidRPr="005E3D50">
              <w:rPr>
                <w:color w:val="000000" w:themeColor="text1"/>
                <w:sz w:val="20"/>
                <w:szCs w:val="20"/>
                <w:lang w:val="es-ES"/>
              </w:rPr>
              <w:t xml:space="preserve"> La evaluación puso de manifiesto las carencias y la necesidad de actuar para transformar la forma en que las empresas evaluaban y divulgaban sus impactos y adoptaban medidas para reducir los impactos negativos en la diversidad biológica. En la evaluación se señalaron formas de aumentar los impactos positivos, reducir los riesgos relacionados con la biodiversidad para las empresas y las instituciones financieras y promover acciones encaminadas a lograr modalidades de producción sostenibles.</w:t>
            </w:r>
          </w:p>
          <w:p w14:paraId="513E1DED" w14:textId="32056311" w:rsidR="00AB4B11" w:rsidRPr="005E3D50" w:rsidRDefault="00AB4B11" w:rsidP="00243BFA">
            <w:pPr>
              <w:rPr>
                <w:lang w:val="es-ES"/>
              </w:rPr>
            </w:pPr>
          </w:p>
        </w:tc>
      </w:tr>
    </w:tbl>
    <w:p w14:paraId="49A8B687" w14:textId="77777777" w:rsidR="00682F76" w:rsidRPr="00CC35E0" w:rsidRDefault="00682F76" w:rsidP="00682F76"/>
    <w:p w14:paraId="5E1673EE" w14:textId="33DADAF3" w:rsidR="006F7F79" w:rsidRPr="005E3D50" w:rsidRDefault="006F7F79" w:rsidP="006F7F79">
      <w:pPr>
        <w:pStyle w:val="Caption"/>
        <w:rPr>
          <w:lang w:val="es-ES"/>
        </w:rPr>
      </w:pPr>
    </w:p>
    <w:p w14:paraId="686F27F1" w14:textId="77777777" w:rsidR="00682F76" w:rsidRPr="005E3D50" w:rsidRDefault="00682F76" w:rsidP="00682F76">
      <w:pPr>
        <w:rPr>
          <w:lang w:val="es-ES"/>
        </w:rPr>
      </w:pPr>
    </w:p>
    <w:p w14:paraId="0B5C2CA9" w14:textId="6D90F5C9" w:rsidR="00682F76" w:rsidRPr="005E3D50" w:rsidRDefault="00682F76" w:rsidP="00682F76">
      <w:pPr>
        <w:rPr>
          <w:lang w:val="es-ES"/>
        </w:rPr>
      </w:pPr>
    </w:p>
    <w:p w14:paraId="6A29F648" w14:textId="77777777" w:rsidR="00682F76" w:rsidRPr="005E3D50" w:rsidRDefault="00682F76" w:rsidP="00682F76">
      <w:pPr>
        <w:rPr>
          <w:lang w:val="es-ES"/>
        </w:rPr>
      </w:pPr>
    </w:p>
    <w:p w14:paraId="66DA0C69" w14:textId="77777777" w:rsidR="00682F76" w:rsidRPr="005E3D50" w:rsidRDefault="00682F76" w:rsidP="00682F76">
      <w:pPr>
        <w:rPr>
          <w:lang w:val="es-ES"/>
        </w:rPr>
      </w:pPr>
    </w:p>
    <w:p w14:paraId="39658E5B" w14:textId="77777777" w:rsidR="00550E7A" w:rsidRPr="005E3D50" w:rsidRDefault="00550E7A" w:rsidP="00550E7A">
      <w:pPr>
        <w:rPr>
          <w:lang w:val="es-ES"/>
        </w:rPr>
      </w:pPr>
    </w:p>
    <w:p w14:paraId="2293C541" w14:textId="2BC2D61D" w:rsidR="000C5BA9" w:rsidRPr="005E3D50" w:rsidRDefault="000C5BA9" w:rsidP="000C5BA9">
      <w:pPr>
        <w:rPr>
          <w:lang w:val="es-ES"/>
        </w:rPr>
      </w:pPr>
    </w:p>
    <w:p w14:paraId="1A031AD1" w14:textId="77777777" w:rsidR="00550E7A" w:rsidRPr="005E3D50" w:rsidRDefault="00550E7A" w:rsidP="00550E7A">
      <w:pPr>
        <w:rPr>
          <w:lang w:val="es-ES"/>
        </w:rPr>
      </w:pPr>
    </w:p>
    <w:p w14:paraId="0428935B" w14:textId="77777777" w:rsidR="00550E7A" w:rsidRPr="005E3D50" w:rsidRDefault="00550E7A" w:rsidP="00550E7A">
      <w:pPr>
        <w:rPr>
          <w:lang w:val="es-ES"/>
        </w:rPr>
      </w:pPr>
    </w:p>
    <w:p w14:paraId="0F111B3A" w14:textId="77777777" w:rsidR="00550E7A" w:rsidRPr="005E3D50" w:rsidRDefault="00550E7A" w:rsidP="00550E7A">
      <w:pPr>
        <w:rPr>
          <w:lang w:val="es-ES"/>
        </w:rPr>
      </w:pPr>
    </w:p>
    <w:p w14:paraId="5DE3EED8" w14:textId="3BAC29FF" w:rsidR="00243BFA" w:rsidRPr="005E3D50" w:rsidRDefault="00243BFA">
      <w:pPr>
        <w:rPr>
          <w:rFonts w:asciiTheme="majorHAnsi" w:eastAsiaTheme="majorEastAsia" w:hAnsiTheme="majorHAnsi" w:cstheme="majorBidi"/>
          <w:color w:val="0F4761" w:themeColor="accent1" w:themeShade="BF"/>
          <w:sz w:val="40"/>
          <w:szCs w:val="40"/>
          <w:lang w:val="es-ES"/>
        </w:rPr>
      </w:pPr>
      <w:r w:rsidRPr="005E3D50">
        <w:rPr>
          <w:lang w:val="es-ES"/>
        </w:rPr>
        <w:br w:type="page"/>
      </w:r>
    </w:p>
    <w:p w14:paraId="0836E7B0" w14:textId="3BAC29FF" w:rsidR="00BC4A74" w:rsidRPr="005E3D50" w:rsidRDefault="00BC4A74" w:rsidP="00BC4A74">
      <w:pPr>
        <w:pStyle w:val="Heading1"/>
        <w:rPr>
          <w:lang w:val="es-ES"/>
        </w:rPr>
      </w:pPr>
      <w:bookmarkStart w:id="61" w:name="_Toc235821040"/>
      <w:bookmarkStart w:id="62" w:name="_Toc239069185"/>
      <w:bookmarkStart w:id="63" w:name="_Toc242882963"/>
      <w:r w:rsidRPr="005E3D50">
        <w:rPr>
          <w:lang w:val="es-ES"/>
        </w:rPr>
        <w:lastRenderedPageBreak/>
        <w:t>Parte II: Progresos colectivos en la implementación del Marco Mundial de Biodiversidad de Kunming-Montreal</w:t>
      </w:r>
      <w:bookmarkEnd w:id="61"/>
      <w:bookmarkEnd w:id="62"/>
      <w:bookmarkEnd w:id="63"/>
    </w:p>
    <w:p w14:paraId="3CEAF2A4" w14:textId="3A83F129" w:rsidR="00677109" w:rsidRPr="005E3D50" w:rsidRDefault="00BC4A74" w:rsidP="00677109">
      <w:pPr>
        <w:pStyle w:val="Heading2"/>
        <w:rPr>
          <w:lang w:val="es-ES"/>
        </w:rPr>
      </w:pPr>
      <w:bookmarkStart w:id="64" w:name="_Toc235821041"/>
      <w:bookmarkStart w:id="65" w:name="_Toc239069186"/>
      <w:bookmarkStart w:id="66" w:name="_Toc242882964"/>
      <w:r w:rsidRPr="005E3D50">
        <w:rPr>
          <w:lang w:val="es-ES"/>
        </w:rPr>
        <w:t xml:space="preserve">II.A Resumen del estado de la presentación de las estrategias y planes de acción nacionales en materia de biodiversidad, </w:t>
      </w:r>
      <w:proofErr w:type="gramStart"/>
      <w:r w:rsidRPr="005E3D50">
        <w:rPr>
          <w:lang w:val="es-ES"/>
        </w:rPr>
        <w:t>metas nacionales e informes nacionales</w:t>
      </w:r>
      <w:proofErr w:type="gramEnd"/>
      <w:r w:rsidRPr="005E3D50">
        <w:rPr>
          <w:lang w:val="es-ES"/>
        </w:rPr>
        <w:t>, y de las presentaciones de actores distintos de los Gobiernos nacionales.</w:t>
      </w:r>
      <w:bookmarkEnd w:id="64"/>
      <w:bookmarkEnd w:id="65"/>
      <w:bookmarkEnd w:id="66"/>
      <w:r w:rsidRPr="005E3D50">
        <w:rPr>
          <w:lang w:val="es-ES"/>
        </w:rPr>
        <w:t xml:space="preserve"> </w:t>
      </w:r>
    </w:p>
    <w:p w14:paraId="47CACA24" w14:textId="00E1EEAF" w:rsidR="00FA3E4F" w:rsidRPr="005E3D50" w:rsidRDefault="00FA3E4F" w:rsidP="00290866">
      <w:pPr>
        <w:pStyle w:val="Heading3"/>
        <w:rPr>
          <w:lang w:val="es-ES"/>
        </w:rPr>
      </w:pPr>
      <w:bookmarkStart w:id="67" w:name="_Toc235821042"/>
      <w:bookmarkStart w:id="68" w:name="_Toc239069187"/>
      <w:bookmarkStart w:id="69" w:name="_Toc242882965"/>
      <w:r w:rsidRPr="005E3D50">
        <w:rPr>
          <w:lang w:val="es-ES"/>
        </w:rPr>
        <w:t xml:space="preserve">Panorama general de la presentación de las estrategias y planes de acción nacionales en materia de biodiversidad, </w:t>
      </w:r>
      <w:proofErr w:type="gramStart"/>
      <w:r w:rsidRPr="005E3D50">
        <w:rPr>
          <w:lang w:val="es-ES"/>
        </w:rPr>
        <w:t>metas nacionales e informes nacionales</w:t>
      </w:r>
      <w:bookmarkEnd w:id="67"/>
      <w:bookmarkEnd w:id="68"/>
      <w:bookmarkEnd w:id="69"/>
      <w:proofErr w:type="gramEnd"/>
    </w:p>
    <w:p w14:paraId="2B41A140" w14:textId="51BAA51C" w:rsidR="001526E6" w:rsidRPr="005E3D50" w:rsidRDefault="008C6C62" w:rsidP="001526E6">
      <w:pPr>
        <w:rPr>
          <w:lang w:val="es-ES"/>
        </w:rPr>
      </w:pPr>
      <w:r w:rsidRPr="005E3D50">
        <w:rPr>
          <w:lang w:val="es-ES"/>
        </w:rPr>
        <w:t xml:space="preserve">Las estrategias y planes de acción nacionales en materia de biodiversidad (EPANB), las </w:t>
      </w:r>
      <w:proofErr w:type="gramStart"/>
      <w:r w:rsidRPr="005E3D50">
        <w:rPr>
          <w:lang w:val="es-ES"/>
        </w:rPr>
        <w:t>metas nacionales y los informes nacionales</w:t>
      </w:r>
      <w:proofErr w:type="gramEnd"/>
      <w:r w:rsidRPr="005E3D50">
        <w:rPr>
          <w:lang w:val="es-ES"/>
        </w:rPr>
        <w:t xml:space="preserve"> presentados por las Partes a través de la herramienta de presentación de informes en línea</w:t>
      </w:r>
      <w:r w:rsidR="00E71AE1" w:rsidRPr="005E3D50">
        <w:rPr>
          <w:rStyle w:val="FootnoteReference"/>
          <w:lang w:val="es-ES"/>
        </w:rPr>
        <w:footnoteReference w:id="6"/>
      </w:r>
      <w:r w:rsidRPr="005E3D50">
        <w:rPr>
          <w:lang w:val="es-ES"/>
        </w:rPr>
        <w:t xml:space="preserve"> del Convenio son las principales fuentes de información para analizar los progresos colectivos en la implementación del Marco. Debido al poco tiempo disponible para el análisis, la Secretaría del Convenio se vio obligada a establecer una fecha límite estricta para que las presentaciones pudieran considerarse en el informe mundial, aunque las presentaciones posteriores siguen siendo admisibles para su consideración en el proceso de revisión mundial</w:t>
      </w:r>
      <w:r w:rsidR="007579DB" w:rsidRPr="005E3D50">
        <w:rPr>
          <w:rStyle w:val="FootnoteReference"/>
          <w:color w:val="000000" w:themeColor="text1"/>
          <w:lang w:val="es-ES"/>
        </w:rPr>
        <w:footnoteReference w:id="7"/>
      </w:r>
      <w:r w:rsidRPr="005E3D50">
        <w:rPr>
          <w:lang w:val="es-ES"/>
        </w:rPr>
        <w:t>.</w:t>
      </w:r>
      <w:r w:rsidRPr="005E3D50">
        <w:rPr>
          <w:color w:val="000000" w:themeColor="text1"/>
          <w:lang w:val="es-ES"/>
        </w:rPr>
        <w:t xml:space="preserve"> Las presentaciones disponibles para el análisis incluían EPANB de 89 Partes (el 45 % de todas las Partes), 3.693 metas nacionales de 162 Partes (el 83 % de todas las Partes) e informes nacionales de 129 Partes (el 66 % de todas las Partes). </w:t>
      </w:r>
      <w:r w:rsidRPr="005E3D50">
        <w:rPr>
          <w:lang w:val="es-ES"/>
        </w:rPr>
        <w:t xml:space="preserve">Esas presentaciones proporcionaron una base empírica sustancial, aunque necesariamente incompleta, para el informe mundial. </w:t>
      </w:r>
    </w:p>
    <w:p w14:paraId="74C02521" w14:textId="58FCE879" w:rsidR="006C3026" w:rsidRPr="005E3D50" w:rsidRDefault="006C3026" w:rsidP="006C3026">
      <w:pPr>
        <w:rPr>
          <w:lang w:val="es-ES"/>
        </w:rPr>
      </w:pPr>
      <w:r w:rsidRPr="005E3D50">
        <w:rPr>
          <w:lang w:val="es-ES"/>
        </w:rPr>
        <w:t>Si bien se disponía de información de todas las regiones</w:t>
      </w:r>
      <w:r w:rsidRPr="005E3D50">
        <w:rPr>
          <w:rStyle w:val="FootnoteReference"/>
          <w:lang w:val="es-ES"/>
        </w:rPr>
        <w:footnoteReference w:id="8"/>
      </w:r>
      <w:r w:rsidRPr="005E3D50">
        <w:rPr>
          <w:lang w:val="es-ES"/>
        </w:rPr>
        <w:t xml:space="preserve"> y de países en todos los niveles de desarrollo económico, las tasas de presentación variaban. Los Estados de África, los Estados de Europa Occidental y otros Estados, los Estados de América Latina y muchos Estados de Asia tenían tasas de presentación más altas que los Estados de Europa Oriental, los Estados del Caribe y los Estados insulares del Pacífico. Además, los países con economías en transición y los pequeños Estados insulares en desarrollo tenían tasas </w:t>
      </w:r>
      <w:r w:rsidRPr="005E3D50">
        <w:rPr>
          <w:lang w:val="es-ES"/>
        </w:rPr>
        <w:lastRenderedPageBreak/>
        <w:t xml:space="preserve">de presentación más bajas que los países con otros niveles de desarrollo (véase el cuadro 1). </w:t>
      </w:r>
    </w:p>
    <w:p w14:paraId="4CE950CE" w14:textId="244D4141" w:rsidR="00604ECC" w:rsidRPr="005E3D50" w:rsidRDefault="00604ECC" w:rsidP="00604ECC">
      <w:pPr>
        <w:rPr>
          <w:lang w:val="es-ES"/>
        </w:rPr>
      </w:pPr>
      <w:r w:rsidRPr="005E3D50">
        <w:rPr>
          <w:lang w:val="es-ES"/>
        </w:rPr>
        <w:t>Cada Parte presentó un promedio de 23 metas nacionales, y el número de metas por Parte osciló entre 1 y 104. En promedio, las Partes establecieron metas nacionales que abordaban 22 de las 23 metas del Marco, con una cobertura que iba de 1 a las 23 metas.</w:t>
      </w:r>
    </w:p>
    <w:p w14:paraId="7C79F6C8" w14:textId="3A9478BB" w:rsidR="004F5810" w:rsidRPr="005E3D50" w:rsidRDefault="004F5810" w:rsidP="004F5810">
      <w:pPr>
        <w:rPr>
          <w:lang w:val="es-ES"/>
        </w:rPr>
      </w:pPr>
      <w:r w:rsidRPr="005E3D50">
        <w:rPr>
          <w:lang w:val="es-ES"/>
        </w:rPr>
        <w:t xml:space="preserve">Un total de 118 Partes establecieron metas nacionales que abordaban todas las metas del Marco, y 160 Partes establecieron metas nacionales que abordaban al menos tres cuartos de las metas del Marco. </w:t>
      </w:r>
    </w:p>
    <w:p w14:paraId="6DFD52A9" w14:textId="7A226487" w:rsidR="004F5810" w:rsidRPr="005E3D50" w:rsidRDefault="004F5810" w:rsidP="004F5810">
      <w:pPr>
        <w:rPr>
          <w:lang w:val="es-ES"/>
        </w:rPr>
      </w:pPr>
      <w:r w:rsidRPr="005E3D50">
        <w:rPr>
          <w:lang w:val="es-ES"/>
        </w:rPr>
        <w:t>Al presentar sus metas nacionales, se pidió a las Partes que indicaran con qué meta o metas del Marco estaba armonizada cada meta nacional, si procedía, y en cada caso, si el grado de armonización era bajo, medio o alto. No era obligatorio indicar el grado de armonización. Para cada meta del Marco, en promedio, el 63 % de las Partes cuyas metas se consideraron en el análisis señalaron que al menos una de sus metas nacionales estaba estrechamente armonizada con ella, y el porcentaje oscilaba entre el 51 % y el 73 % (véase el cuadro 2). Más de tres cuartos de las Partes han tenido en cuenta en sus metas nacionales al menos una de las consideraciones transversales establecidas en la sección C del Marco y, en promedio, cada Parte ha tenido en cuenta 15 de las 18 consideraciones (</w:t>
      </w:r>
      <w:proofErr w:type="spellStart"/>
      <w:r w:rsidRPr="005E3D50">
        <w:rPr>
          <w:lang w:val="es-ES"/>
        </w:rPr>
        <w:t>dec</w:t>
      </w:r>
      <w:proofErr w:type="spellEnd"/>
      <w:r w:rsidRPr="005E3D50">
        <w:rPr>
          <w:lang w:val="es-ES"/>
        </w:rPr>
        <w:t>. 15/4 en CDB, 2023).</w:t>
      </w:r>
    </w:p>
    <w:p w14:paraId="13B5BEB5" w14:textId="77777777" w:rsidR="004126C5" w:rsidRPr="005E3D50" w:rsidRDefault="004126C5" w:rsidP="00FA3E4F">
      <w:pPr>
        <w:rPr>
          <w:lang w:val="es-ES"/>
        </w:rPr>
      </w:pPr>
    </w:p>
    <w:p w14:paraId="4063A52A" w14:textId="5D8E4A0F" w:rsidR="00A1737A" w:rsidRPr="005E3D50" w:rsidRDefault="00C30B17" w:rsidP="0009012C">
      <w:pPr>
        <w:pStyle w:val="Caption"/>
        <w:keepNext/>
        <w:rPr>
          <w:i w:val="0"/>
          <w:iCs w:val="0"/>
          <w:sz w:val="20"/>
          <w:szCs w:val="20"/>
          <w:lang w:val="es-ES"/>
        </w:rPr>
      </w:pPr>
      <w:bookmarkStart w:id="70" w:name="_Ref235851113"/>
      <w:r w:rsidRPr="005E3D50">
        <w:rPr>
          <w:i w:val="0"/>
          <w:sz w:val="20"/>
          <w:szCs w:val="20"/>
          <w:lang w:val="es-ES"/>
        </w:rPr>
        <w:t>Cuadro 1</w:t>
      </w:r>
      <w:bookmarkEnd w:id="70"/>
    </w:p>
    <w:p w14:paraId="1B3C19AF" w14:textId="49C40BE8" w:rsidR="008A24D4" w:rsidRPr="005E3D50" w:rsidRDefault="00C30B17" w:rsidP="0009012C">
      <w:pPr>
        <w:pStyle w:val="Caption"/>
        <w:keepNext/>
        <w:rPr>
          <w:b/>
          <w:i w:val="0"/>
          <w:sz w:val="20"/>
          <w:szCs w:val="20"/>
          <w:lang w:val="es-ES"/>
        </w:rPr>
      </w:pPr>
      <w:r w:rsidRPr="005E3D50">
        <w:rPr>
          <w:b/>
          <w:i w:val="0"/>
          <w:sz w:val="20"/>
          <w:szCs w:val="20"/>
          <w:lang w:val="es-ES"/>
        </w:rPr>
        <w:t>Porcentaje de Partes de diferentes regiones y niveles económicos que presentaron informes nacionales, metas nacionales y EPANB que se consideraron en el informe mundial</w:t>
      </w:r>
    </w:p>
    <w:tbl>
      <w:tblPr>
        <w:tblW w:w="8860" w:type="dxa"/>
        <w:tblLook w:val="04A0" w:firstRow="1" w:lastRow="0" w:firstColumn="1" w:lastColumn="0" w:noHBand="0" w:noVBand="1"/>
      </w:tblPr>
      <w:tblGrid>
        <w:gridCol w:w="1340"/>
        <w:gridCol w:w="3510"/>
        <w:gridCol w:w="1210"/>
        <w:gridCol w:w="1670"/>
        <w:gridCol w:w="1130"/>
      </w:tblGrid>
      <w:tr w:rsidR="001F0E4B" w:rsidRPr="005E3D50" w14:paraId="21E23745" w14:textId="77777777" w:rsidTr="005631A1">
        <w:trPr>
          <w:trHeight w:val="315"/>
        </w:trPr>
        <w:tc>
          <w:tcPr>
            <w:tcW w:w="1340" w:type="dxa"/>
            <w:tcBorders>
              <w:top w:val="single" w:sz="8" w:space="0" w:color="auto"/>
              <w:left w:val="single" w:sz="8" w:space="0" w:color="auto"/>
              <w:bottom w:val="single" w:sz="8" w:space="0" w:color="000000"/>
              <w:right w:val="single" w:sz="4" w:space="0" w:color="auto"/>
            </w:tcBorders>
            <w:noWrap/>
            <w:textDirection w:val="btLr"/>
            <w:vAlign w:val="bottom"/>
          </w:tcPr>
          <w:p w14:paraId="1A881F3E"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 </w:t>
            </w:r>
          </w:p>
        </w:tc>
        <w:tc>
          <w:tcPr>
            <w:tcW w:w="3510" w:type="dxa"/>
            <w:tcBorders>
              <w:top w:val="single" w:sz="8" w:space="0" w:color="auto"/>
              <w:left w:val="nil"/>
              <w:bottom w:val="single" w:sz="4" w:space="0" w:color="auto"/>
              <w:right w:val="single" w:sz="4" w:space="0" w:color="auto"/>
            </w:tcBorders>
            <w:noWrap/>
            <w:vAlign w:val="bottom"/>
          </w:tcPr>
          <w:p w14:paraId="73234052" w14:textId="5C008315"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p>
        </w:tc>
        <w:tc>
          <w:tcPr>
            <w:tcW w:w="1210" w:type="dxa"/>
            <w:tcBorders>
              <w:top w:val="single" w:sz="8" w:space="0" w:color="auto"/>
              <w:left w:val="nil"/>
              <w:bottom w:val="single" w:sz="4" w:space="0" w:color="auto"/>
              <w:right w:val="single" w:sz="4" w:space="0" w:color="auto"/>
            </w:tcBorders>
            <w:noWrap/>
            <w:vAlign w:val="bottom"/>
          </w:tcPr>
          <w:p w14:paraId="2A678FD6" w14:textId="748F6A1C" w:rsidR="001F0E4B" w:rsidRPr="005E3D50" w:rsidRDefault="001F0E4B">
            <w:pPr>
              <w:spacing w:after="0" w:line="240" w:lineRule="auto"/>
              <w:jc w:val="right"/>
              <w:rPr>
                <w:rFonts w:ascii="Aptos Narrow" w:eastAsia="Times New Roman" w:hAnsi="Aptos Narrow" w:cs="Times New Roman"/>
                <w:b/>
                <w:bCs/>
                <w:color w:val="000000"/>
                <w:kern w:val="0"/>
                <w:sz w:val="20"/>
                <w:szCs w:val="20"/>
                <w:lang w:val="es-ES"/>
                <w14:ligatures w14:val="none"/>
              </w:rPr>
            </w:pPr>
            <w:r w:rsidRPr="005E3D50">
              <w:rPr>
                <w:rFonts w:ascii="Aptos Narrow" w:hAnsi="Aptos Narrow"/>
                <w:b/>
                <w:bCs/>
                <w:color w:val="000000"/>
                <w:sz w:val="20"/>
                <w:szCs w:val="20"/>
                <w:lang w:val="es-ES"/>
              </w:rPr>
              <w:t>Informe nacional</w:t>
            </w:r>
          </w:p>
        </w:tc>
        <w:tc>
          <w:tcPr>
            <w:tcW w:w="1670" w:type="dxa"/>
            <w:tcBorders>
              <w:top w:val="single" w:sz="8" w:space="0" w:color="auto"/>
              <w:left w:val="nil"/>
              <w:bottom w:val="single" w:sz="4" w:space="0" w:color="auto"/>
              <w:right w:val="single" w:sz="4" w:space="0" w:color="auto"/>
            </w:tcBorders>
            <w:noWrap/>
            <w:vAlign w:val="bottom"/>
          </w:tcPr>
          <w:p w14:paraId="6205DCEE" w14:textId="77D3CD5D" w:rsidR="001F0E4B" w:rsidRPr="005E3D50" w:rsidRDefault="001F0E4B">
            <w:pPr>
              <w:spacing w:after="0" w:line="240" w:lineRule="auto"/>
              <w:jc w:val="right"/>
              <w:rPr>
                <w:rFonts w:ascii="Aptos Narrow" w:eastAsia="Times New Roman" w:hAnsi="Aptos Narrow" w:cs="Times New Roman"/>
                <w:b/>
                <w:bCs/>
                <w:color w:val="000000"/>
                <w:kern w:val="0"/>
                <w:sz w:val="20"/>
                <w:szCs w:val="20"/>
                <w:lang w:val="es-ES"/>
                <w14:ligatures w14:val="none"/>
              </w:rPr>
            </w:pPr>
            <w:r w:rsidRPr="005E3D50">
              <w:rPr>
                <w:rFonts w:ascii="Aptos Narrow" w:hAnsi="Aptos Narrow"/>
                <w:b/>
                <w:bCs/>
                <w:color w:val="000000"/>
                <w:sz w:val="20"/>
                <w:szCs w:val="20"/>
                <w:lang w:val="es-ES"/>
              </w:rPr>
              <w:t>Meta nacional (al menos 1)</w:t>
            </w:r>
          </w:p>
        </w:tc>
        <w:tc>
          <w:tcPr>
            <w:tcW w:w="1130" w:type="dxa"/>
            <w:tcBorders>
              <w:top w:val="single" w:sz="8" w:space="0" w:color="auto"/>
              <w:left w:val="nil"/>
              <w:bottom w:val="single" w:sz="4" w:space="0" w:color="auto"/>
              <w:right w:val="single" w:sz="8" w:space="0" w:color="auto"/>
            </w:tcBorders>
            <w:noWrap/>
            <w:vAlign w:val="bottom"/>
          </w:tcPr>
          <w:p w14:paraId="15F98EA6" w14:textId="77777777" w:rsidR="001F0E4B" w:rsidRPr="005E3D50" w:rsidRDefault="001F0E4B">
            <w:pPr>
              <w:spacing w:after="0" w:line="240" w:lineRule="auto"/>
              <w:jc w:val="right"/>
              <w:rPr>
                <w:rFonts w:ascii="Aptos Narrow" w:eastAsia="Times New Roman" w:hAnsi="Aptos Narrow" w:cs="Times New Roman"/>
                <w:b/>
                <w:bCs/>
                <w:color w:val="000000"/>
                <w:kern w:val="0"/>
                <w:sz w:val="20"/>
                <w:szCs w:val="20"/>
                <w:lang w:val="es-ES"/>
                <w14:ligatures w14:val="none"/>
              </w:rPr>
            </w:pPr>
            <w:r w:rsidRPr="005E3D50">
              <w:rPr>
                <w:rFonts w:ascii="Aptos Narrow" w:hAnsi="Aptos Narrow"/>
                <w:b/>
                <w:bCs/>
                <w:color w:val="000000"/>
                <w:sz w:val="20"/>
                <w:szCs w:val="20"/>
                <w:lang w:val="es-ES"/>
              </w:rPr>
              <w:t>EPANB</w:t>
            </w:r>
          </w:p>
        </w:tc>
      </w:tr>
      <w:tr w:rsidR="001F0E4B" w:rsidRPr="005E3D50" w14:paraId="5FA708C8" w14:textId="77777777" w:rsidTr="005631A1">
        <w:trPr>
          <w:trHeight w:val="315"/>
        </w:trPr>
        <w:tc>
          <w:tcPr>
            <w:tcW w:w="1340" w:type="dxa"/>
            <w:tcBorders>
              <w:top w:val="single" w:sz="8" w:space="0" w:color="auto"/>
              <w:left w:val="single" w:sz="8" w:space="0" w:color="auto"/>
              <w:bottom w:val="single" w:sz="8" w:space="0" w:color="000000"/>
              <w:right w:val="single" w:sz="4" w:space="0" w:color="auto"/>
            </w:tcBorders>
            <w:noWrap/>
            <w:textDirection w:val="btLr"/>
            <w:vAlign w:val="bottom"/>
          </w:tcPr>
          <w:p w14:paraId="7E6F180C"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 </w:t>
            </w:r>
          </w:p>
        </w:tc>
        <w:tc>
          <w:tcPr>
            <w:tcW w:w="3510" w:type="dxa"/>
            <w:tcBorders>
              <w:top w:val="single" w:sz="8" w:space="0" w:color="auto"/>
              <w:left w:val="nil"/>
              <w:bottom w:val="single" w:sz="4" w:space="0" w:color="auto"/>
              <w:right w:val="single" w:sz="4" w:space="0" w:color="auto"/>
            </w:tcBorders>
            <w:noWrap/>
            <w:vAlign w:val="bottom"/>
          </w:tcPr>
          <w:p w14:paraId="06FA773A"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Todas las Partes</w:t>
            </w:r>
          </w:p>
        </w:tc>
        <w:tc>
          <w:tcPr>
            <w:tcW w:w="1210" w:type="dxa"/>
            <w:tcBorders>
              <w:top w:val="single" w:sz="8" w:space="0" w:color="auto"/>
              <w:left w:val="nil"/>
              <w:bottom w:val="single" w:sz="4" w:space="0" w:color="auto"/>
              <w:right w:val="single" w:sz="4" w:space="0" w:color="auto"/>
            </w:tcBorders>
            <w:noWrap/>
            <w:vAlign w:val="bottom"/>
          </w:tcPr>
          <w:p w14:paraId="51BCB114"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66 %</w:t>
            </w:r>
          </w:p>
        </w:tc>
        <w:tc>
          <w:tcPr>
            <w:tcW w:w="1670" w:type="dxa"/>
            <w:tcBorders>
              <w:top w:val="single" w:sz="8" w:space="0" w:color="auto"/>
              <w:left w:val="nil"/>
              <w:bottom w:val="single" w:sz="4" w:space="0" w:color="auto"/>
              <w:right w:val="single" w:sz="4" w:space="0" w:color="auto"/>
            </w:tcBorders>
            <w:noWrap/>
            <w:vAlign w:val="bottom"/>
          </w:tcPr>
          <w:p w14:paraId="4EE23145"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83 %</w:t>
            </w:r>
          </w:p>
        </w:tc>
        <w:tc>
          <w:tcPr>
            <w:tcW w:w="1130" w:type="dxa"/>
            <w:tcBorders>
              <w:top w:val="single" w:sz="8" w:space="0" w:color="auto"/>
              <w:left w:val="nil"/>
              <w:bottom w:val="single" w:sz="4" w:space="0" w:color="auto"/>
              <w:right w:val="single" w:sz="8" w:space="0" w:color="auto"/>
            </w:tcBorders>
            <w:noWrap/>
            <w:vAlign w:val="bottom"/>
          </w:tcPr>
          <w:p w14:paraId="5688F836"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45 %</w:t>
            </w:r>
          </w:p>
        </w:tc>
      </w:tr>
      <w:tr w:rsidR="001F0E4B" w:rsidRPr="005E3D50" w14:paraId="0CE04349" w14:textId="77777777" w:rsidTr="00F04BFA">
        <w:trPr>
          <w:trHeight w:val="315"/>
        </w:trPr>
        <w:tc>
          <w:tcPr>
            <w:tcW w:w="1340" w:type="dxa"/>
            <w:vMerge w:val="restart"/>
            <w:tcBorders>
              <w:top w:val="single" w:sz="8" w:space="0" w:color="auto"/>
              <w:left w:val="single" w:sz="8" w:space="0" w:color="auto"/>
              <w:right w:val="single" w:sz="4" w:space="0" w:color="auto"/>
            </w:tcBorders>
            <w:noWrap/>
            <w:textDirection w:val="btLr"/>
            <w:vAlign w:val="center"/>
          </w:tcPr>
          <w:p w14:paraId="2608C057" w14:textId="42A7AB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Grupos regionales de Estados Miembros</w:t>
            </w:r>
          </w:p>
        </w:tc>
        <w:tc>
          <w:tcPr>
            <w:tcW w:w="3510" w:type="dxa"/>
            <w:tcBorders>
              <w:top w:val="single" w:sz="8" w:space="0" w:color="auto"/>
              <w:left w:val="nil"/>
              <w:bottom w:val="single" w:sz="4" w:space="0" w:color="auto"/>
              <w:right w:val="single" w:sz="4" w:space="0" w:color="auto"/>
            </w:tcBorders>
            <w:noWrap/>
            <w:vAlign w:val="bottom"/>
          </w:tcPr>
          <w:p w14:paraId="38C7A1B9"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Estados de África</w:t>
            </w:r>
          </w:p>
        </w:tc>
        <w:tc>
          <w:tcPr>
            <w:tcW w:w="1210" w:type="dxa"/>
            <w:tcBorders>
              <w:top w:val="single" w:sz="8" w:space="0" w:color="auto"/>
              <w:left w:val="nil"/>
              <w:bottom w:val="single" w:sz="4" w:space="0" w:color="auto"/>
              <w:right w:val="single" w:sz="4" w:space="0" w:color="auto"/>
            </w:tcBorders>
            <w:noWrap/>
            <w:vAlign w:val="bottom"/>
          </w:tcPr>
          <w:p w14:paraId="5D94010F"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72 %</w:t>
            </w:r>
          </w:p>
        </w:tc>
        <w:tc>
          <w:tcPr>
            <w:tcW w:w="1670" w:type="dxa"/>
            <w:tcBorders>
              <w:top w:val="single" w:sz="8" w:space="0" w:color="auto"/>
              <w:left w:val="nil"/>
              <w:bottom w:val="single" w:sz="4" w:space="0" w:color="auto"/>
              <w:right w:val="single" w:sz="4" w:space="0" w:color="auto"/>
            </w:tcBorders>
            <w:noWrap/>
            <w:vAlign w:val="bottom"/>
          </w:tcPr>
          <w:p w14:paraId="11F987E6"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96 %</w:t>
            </w:r>
          </w:p>
        </w:tc>
        <w:tc>
          <w:tcPr>
            <w:tcW w:w="1130" w:type="dxa"/>
            <w:tcBorders>
              <w:top w:val="single" w:sz="8" w:space="0" w:color="auto"/>
              <w:left w:val="nil"/>
              <w:bottom w:val="single" w:sz="4" w:space="0" w:color="auto"/>
              <w:right w:val="single" w:sz="8" w:space="0" w:color="auto"/>
            </w:tcBorders>
            <w:noWrap/>
            <w:vAlign w:val="bottom"/>
          </w:tcPr>
          <w:p w14:paraId="2CDF482A"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51 %</w:t>
            </w:r>
          </w:p>
        </w:tc>
      </w:tr>
      <w:tr w:rsidR="001F0E4B" w:rsidRPr="005E3D50" w14:paraId="2ABD8B74" w14:textId="77777777" w:rsidTr="005631A1">
        <w:trPr>
          <w:trHeight w:val="315"/>
        </w:trPr>
        <w:tc>
          <w:tcPr>
            <w:tcW w:w="1340" w:type="dxa"/>
            <w:vMerge/>
            <w:tcBorders>
              <w:left w:val="single" w:sz="8" w:space="0" w:color="auto"/>
              <w:right w:val="single" w:sz="4" w:space="0" w:color="auto"/>
            </w:tcBorders>
            <w:noWrap/>
            <w:textDirection w:val="btLr"/>
            <w:vAlign w:val="bottom"/>
          </w:tcPr>
          <w:p w14:paraId="1281FAB3"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1F7B5AD4"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Estados de Asia y el Pacífico</w:t>
            </w:r>
          </w:p>
        </w:tc>
        <w:tc>
          <w:tcPr>
            <w:tcW w:w="1210" w:type="dxa"/>
            <w:tcBorders>
              <w:top w:val="single" w:sz="8" w:space="0" w:color="auto"/>
              <w:left w:val="nil"/>
              <w:bottom w:val="single" w:sz="4" w:space="0" w:color="auto"/>
              <w:right w:val="single" w:sz="4" w:space="0" w:color="auto"/>
            </w:tcBorders>
            <w:noWrap/>
            <w:vAlign w:val="bottom"/>
          </w:tcPr>
          <w:p w14:paraId="5A583A86"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60 %</w:t>
            </w:r>
          </w:p>
        </w:tc>
        <w:tc>
          <w:tcPr>
            <w:tcW w:w="1670" w:type="dxa"/>
            <w:tcBorders>
              <w:top w:val="single" w:sz="8" w:space="0" w:color="auto"/>
              <w:left w:val="nil"/>
              <w:bottom w:val="single" w:sz="4" w:space="0" w:color="auto"/>
              <w:right w:val="single" w:sz="4" w:space="0" w:color="auto"/>
            </w:tcBorders>
            <w:noWrap/>
            <w:vAlign w:val="bottom"/>
          </w:tcPr>
          <w:p w14:paraId="05CA19C6"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78 %</w:t>
            </w:r>
          </w:p>
        </w:tc>
        <w:tc>
          <w:tcPr>
            <w:tcW w:w="1130" w:type="dxa"/>
            <w:tcBorders>
              <w:top w:val="single" w:sz="8" w:space="0" w:color="auto"/>
              <w:left w:val="nil"/>
              <w:bottom w:val="single" w:sz="4" w:space="0" w:color="auto"/>
              <w:right w:val="single" w:sz="8" w:space="0" w:color="auto"/>
            </w:tcBorders>
            <w:noWrap/>
            <w:vAlign w:val="bottom"/>
          </w:tcPr>
          <w:p w14:paraId="354B7468"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38 %</w:t>
            </w:r>
          </w:p>
        </w:tc>
      </w:tr>
      <w:tr w:rsidR="001F0E4B" w:rsidRPr="005E3D50" w14:paraId="5E0CD1F0" w14:textId="77777777" w:rsidTr="005631A1">
        <w:trPr>
          <w:trHeight w:val="315"/>
        </w:trPr>
        <w:tc>
          <w:tcPr>
            <w:tcW w:w="1340" w:type="dxa"/>
            <w:vMerge/>
            <w:tcBorders>
              <w:left w:val="single" w:sz="8" w:space="0" w:color="auto"/>
              <w:right w:val="single" w:sz="4" w:space="0" w:color="auto"/>
            </w:tcBorders>
            <w:noWrap/>
            <w:textDirection w:val="btLr"/>
            <w:vAlign w:val="bottom"/>
          </w:tcPr>
          <w:p w14:paraId="449BBA88"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254FC1A2"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Estados de Europa Oriental</w:t>
            </w:r>
          </w:p>
        </w:tc>
        <w:tc>
          <w:tcPr>
            <w:tcW w:w="1210" w:type="dxa"/>
            <w:tcBorders>
              <w:top w:val="single" w:sz="8" w:space="0" w:color="auto"/>
              <w:left w:val="nil"/>
              <w:bottom w:val="single" w:sz="4" w:space="0" w:color="auto"/>
              <w:right w:val="single" w:sz="4" w:space="0" w:color="auto"/>
            </w:tcBorders>
            <w:noWrap/>
            <w:vAlign w:val="bottom"/>
          </w:tcPr>
          <w:p w14:paraId="7FC42F9A"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36 %</w:t>
            </w:r>
          </w:p>
        </w:tc>
        <w:tc>
          <w:tcPr>
            <w:tcW w:w="1670" w:type="dxa"/>
            <w:tcBorders>
              <w:top w:val="single" w:sz="8" w:space="0" w:color="auto"/>
              <w:left w:val="nil"/>
              <w:bottom w:val="single" w:sz="4" w:space="0" w:color="auto"/>
              <w:right w:val="single" w:sz="4" w:space="0" w:color="auto"/>
            </w:tcBorders>
            <w:noWrap/>
            <w:vAlign w:val="bottom"/>
          </w:tcPr>
          <w:p w14:paraId="2463194A"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68 %</w:t>
            </w:r>
          </w:p>
        </w:tc>
        <w:tc>
          <w:tcPr>
            <w:tcW w:w="1130" w:type="dxa"/>
            <w:tcBorders>
              <w:top w:val="single" w:sz="8" w:space="0" w:color="auto"/>
              <w:left w:val="nil"/>
              <w:bottom w:val="single" w:sz="4" w:space="0" w:color="auto"/>
              <w:right w:val="single" w:sz="8" w:space="0" w:color="auto"/>
            </w:tcBorders>
            <w:noWrap/>
            <w:vAlign w:val="bottom"/>
          </w:tcPr>
          <w:p w14:paraId="08CDE668"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23 %</w:t>
            </w:r>
          </w:p>
        </w:tc>
      </w:tr>
      <w:tr w:rsidR="001F0E4B" w:rsidRPr="005E3D50" w14:paraId="02C8CC9F" w14:textId="77777777" w:rsidTr="005631A1">
        <w:trPr>
          <w:trHeight w:val="315"/>
        </w:trPr>
        <w:tc>
          <w:tcPr>
            <w:tcW w:w="1340" w:type="dxa"/>
            <w:vMerge/>
            <w:tcBorders>
              <w:left w:val="single" w:sz="8" w:space="0" w:color="auto"/>
              <w:right w:val="single" w:sz="4" w:space="0" w:color="auto"/>
            </w:tcBorders>
            <w:noWrap/>
            <w:textDirection w:val="btLr"/>
            <w:vAlign w:val="bottom"/>
          </w:tcPr>
          <w:p w14:paraId="2CDEB9D5"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778BEB74"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Estados de América Latina y el Caribe</w:t>
            </w:r>
          </w:p>
        </w:tc>
        <w:tc>
          <w:tcPr>
            <w:tcW w:w="1210" w:type="dxa"/>
            <w:tcBorders>
              <w:top w:val="single" w:sz="8" w:space="0" w:color="auto"/>
              <w:left w:val="nil"/>
              <w:bottom w:val="single" w:sz="4" w:space="0" w:color="auto"/>
              <w:right w:val="single" w:sz="4" w:space="0" w:color="auto"/>
            </w:tcBorders>
            <w:noWrap/>
            <w:vAlign w:val="bottom"/>
          </w:tcPr>
          <w:p w14:paraId="4DD4C17E"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61 %</w:t>
            </w:r>
          </w:p>
        </w:tc>
        <w:tc>
          <w:tcPr>
            <w:tcW w:w="1670" w:type="dxa"/>
            <w:tcBorders>
              <w:top w:val="single" w:sz="8" w:space="0" w:color="auto"/>
              <w:left w:val="nil"/>
              <w:bottom w:val="single" w:sz="4" w:space="0" w:color="auto"/>
              <w:right w:val="single" w:sz="4" w:space="0" w:color="auto"/>
            </w:tcBorders>
            <w:noWrap/>
            <w:vAlign w:val="bottom"/>
          </w:tcPr>
          <w:p w14:paraId="760FDE74"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73 %</w:t>
            </w:r>
          </w:p>
        </w:tc>
        <w:tc>
          <w:tcPr>
            <w:tcW w:w="1130" w:type="dxa"/>
            <w:tcBorders>
              <w:top w:val="single" w:sz="8" w:space="0" w:color="auto"/>
              <w:left w:val="nil"/>
              <w:bottom w:val="single" w:sz="4" w:space="0" w:color="auto"/>
              <w:right w:val="single" w:sz="8" w:space="0" w:color="auto"/>
            </w:tcBorders>
            <w:noWrap/>
            <w:vAlign w:val="bottom"/>
          </w:tcPr>
          <w:p w14:paraId="59D6069E"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39 %</w:t>
            </w:r>
          </w:p>
        </w:tc>
      </w:tr>
      <w:tr w:rsidR="001F0E4B" w:rsidRPr="005E3D50" w14:paraId="429D4212" w14:textId="77777777" w:rsidTr="005631A1">
        <w:trPr>
          <w:trHeight w:val="315"/>
        </w:trPr>
        <w:tc>
          <w:tcPr>
            <w:tcW w:w="1340" w:type="dxa"/>
            <w:vMerge/>
            <w:tcBorders>
              <w:left w:val="single" w:sz="8" w:space="0" w:color="auto"/>
              <w:bottom w:val="single" w:sz="8" w:space="0" w:color="000000"/>
              <w:right w:val="single" w:sz="4" w:space="0" w:color="auto"/>
            </w:tcBorders>
            <w:noWrap/>
            <w:textDirection w:val="btLr"/>
            <w:vAlign w:val="bottom"/>
          </w:tcPr>
          <w:p w14:paraId="6C5E8E7B"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028CF0A9"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Estados de Europa Occidental y otros Estados</w:t>
            </w:r>
          </w:p>
        </w:tc>
        <w:tc>
          <w:tcPr>
            <w:tcW w:w="1210" w:type="dxa"/>
            <w:tcBorders>
              <w:top w:val="single" w:sz="8" w:space="0" w:color="auto"/>
              <w:left w:val="nil"/>
              <w:bottom w:val="single" w:sz="4" w:space="0" w:color="auto"/>
              <w:right w:val="single" w:sz="4" w:space="0" w:color="auto"/>
            </w:tcBorders>
            <w:noWrap/>
            <w:vAlign w:val="bottom"/>
          </w:tcPr>
          <w:p w14:paraId="73F9440E"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73 %</w:t>
            </w:r>
          </w:p>
        </w:tc>
        <w:tc>
          <w:tcPr>
            <w:tcW w:w="1670" w:type="dxa"/>
            <w:tcBorders>
              <w:top w:val="single" w:sz="8" w:space="0" w:color="auto"/>
              <w:left w:val="nil"/>
              <w:bottom w:val="single" w:sz="4" w:space="0" w:color="auto"/>
              <w:right w:val="single" w:sz="4" w:space="0" w:color="auto"/>
            </w:tcBorders>
            <w:noWrap/>
            <w:vAlign w:val="bottom"/>
          </w:tcPr>
          <w:p w14:paraId="3CB4C3ED"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90 %</w:t>
            </w:r>
          </w:p>
        </w:tc>
        <w:tc>
          <w:tcPr>
            <w:tcW w:w="1130" w:type="dxa"/>
            <w:tcBorders>
              <w:top w:val="single" w:sz="8" w:space="0" w:color="auto"/>
              <w:left w:val="nil"/>
              <w:bottom w:val="single" w:sz="4" w:space="0" w:color="auto"/>
              <w:right w:val="single" w:sz="8" w:space="0" w:color="auto"/>
            </w:tcBorders>
            <w:noWrap/>
            <w:vAlign w:val="bottom"/>
          </w:tcPr>
          <w:p w14:paraId="7DCD28A5"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70 %</w:t>
            </w:r>
          </w:p>
        </w:tc>
      </w:tr>
      <w:tr w:rsidR="001F0E4B" w:rsidRPr="005E3D50" w14:paraId="0CB05885" w14:textId="77777777" w:rsidTr="005631A1">
        <w:trPr>
          <w:trHeight w:val="315"/>
        </w:trPr>
        <w:tc>
          <w:tcPr>
            <w:tcW w:w="1340" w:type="dxa"/>
            <w:vMerge w:val="restart"/>
            <w:tcBorders>
              <w:top w:val="single" w:sz="8" w:space="0" w:color="auto"/>
              <w:left w:val="single" w:sz="8" w:space="0" w:color="auto"/>
              <w:right w:val="single" w:sz="4" w:space="0" w:color="auto"/>
            </w:tcBorders>
            <w:noWrap/>
            <w:textDirection w:val="btLr"/>
            <w:vAlign w:val="bottom"/>
          </w:tcPr>
          <w:p w14:paraId="25FC773F"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Nivel económico</w:t>
            </w:r>
          </w:p>
          <w:p w14:paraId="61776308"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3C1F1E1F"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Desarrollado</w:t>
            </w:r>
          </w:p>
        </w:tc>
        <w:tc>
          <w:tcPr>
            <w:tcW w:w="1210" w:type="dxa"/>
            <w:tcBorders>
              <w:top w:val="single" w:sz="8" w:space="0" w:color="auto"/>
              <w:left w:val="nil"/>
              <w:bottom w:val="single" w:sz="4" w:space="0" w:color="auto"/>
              <w:right w:val="single" w:sz="4" w:space="0" w:color="auto"/>
            </w:tcBorders>
            <w:noWrap/>
            <w:vAlign w:val="bottom"/>
          </w:tcPr>
          <w:p w14:paraId="10D35A8A"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65 %</w:t>
            </w:r>
          </w:p>
        </w:tc>
        <w:tc>
          <w:tcPr>
            <w:tcW w:w="1670" w:type="dxa"/>
            <w:tcBorders>
              <w:top w:val="single" w:sz="8" w:space="0" w:color="auto"/>
              <w:left w:val="nil"/>
              <w:bottom w:val="single" w:sz="4" w:space="0" w:color="auto"/>
              <w:right w:val="single" w:sz="4" w:space="0" w:color="auto"/>
            </w:tcBorders>
            <w:noWrap/>
            <w:vAlign w:val="bottom"/>
          </w:tcPr>
          <w:p w14:paraId="17451A5B"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83 %</w:t>
            </w:r>
          </w:p>
        </w:tc>
        <w:tc>
          <w:tcPr>
            <w:tcW w:w="1130" w:type="dxa"/>
            <w:tcBorders>
              <w:top w:val="single" w:sz="8" w:space="0" w:color="auto"/>
              <w:left w:val="nil"/>
              <w:bottom w:val="single" w:sz="4" w:space="0" w:color="auto"/>
              <w:right w:val="single" w:sz="8" w:space="0" w:color="auto"/>
            </w:tcBorders>
            <w:noWrap/>
            <w:vAlign w:val="bottom"/>
          </w:tcPr>
          <w:p w14:paraId="5110CDB4"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63 %</w:t>
            </w:r>
          </w:p>
        </w:tc>
      </w:tr>
      <w:tr w:rsidR="001F0E4B" w:rsidRPr="005E3D50" w14:paraId="1EEC8357" w14:textId="77777777" w:rsidTr="005631A1">
        <w:trPr>
          <w:trHeight w:val="315"/>
        </w:trPr>
        <w:tc>
          <w:tcPr>
            <w:tcW w:w="1340" w:type="dxa"/>
            <w:vMerge/>
            <w:tcBorders>
              <w:left w:val="single" w:sz="8" w:space="0" w:color="auto"/>
              <w:right w:val="single" w:sz="4" w:space="0" w:color="auto"/>
            </w:tcBorders>
            <w:noWrap/>
            <w:textDirection w:val="btLr"/>
            <w:vAlign w:val="bottom"/>
          </w:tcPr>
          <w:p w14:paraId="6440AFE5"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20A8CC45"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En desarrollo</w:t>
            </w:r>
          </w:p>
        </w:tc>
        <w:tc>
          <w:tcPr>
            <w:tcW w:w="1210" w:type="dxa"/>
            <w:tcBorders>
              <w:top w:val="single" w:sz="8" w:space="0" w:color="auto"/>
              <w:left w:val="nil"/>
              <w:bottom w:val="single" w:sz="4" w:space="0" w:color="auto"/>
              <w:right w:val="single" w:sz="4" w:space="0" w:color="auto"/>
            </w:tcBorders>
            <w:noWrap/>
            <w:vAlign w:val="bottom"/>
          </w:tcPr>
          <w:p w14:paraId="06B13203"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67 %</w:t>
            </w:r>
          </w:p>
        </w:tc>
        <w:tc>
          <w:tcPr>
            <w:tcW w:w="1670" w:type="dxa"/>
            <w:tcBorders>
              <w:top w:val="single" w:sz="8" w:space="0" w:color="auto"/>
              <w:left w:val="nil"/>
              <w:bottom w:val="single" w:sz="4" w:space="0" w:color="auto"/>
              <w:right w:val="single" w:sz="4" w:space="0" w:color="auto"/>
            </w:tcBorders>
            <w:noWrap/>
            <w:vAlign w:val="bottom"/>
          </w:tcPr>
          <w:p w14:paraId="56D84061"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83 %</w:t>
            </w:r>
          </w:p>
        </w:tc>
        <w:tc>
          <w:tcPr>
            <w:tcW w:w="1130" w:type="dxa"/>
            <w:tcBorders>
              <w:top w:val="single" w:sz="8" w:space="0" w:color="auto"/>
              <w:left w:val="nil"/>
              <w:bottom w:val="single" w:sz="4" w:space="0" w:color="auto"/>
              <w:right w:val="single" w:sz="8" w:space="0" w:color="auto"/>
            </w:tcBorders>
            <w:noWrap/>
            <w:vAlign w:val="bottom"/>
          </w:tcPr>
          <w:p w14:paraId="412AB848"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42 %</w:t>
            </w:r>
          </w:p>
        </w:tc>
      </w:tr>
      <w:tr w:rsidR="001F0E4B" w:rsidRPr="005E3D50" w14:paraId="16633391" w14:textId="77777777" w:rsidTr="005631A1">
        <w:trPr>
          <w:trHeight w:val="315"/>
        </w:trPr>
        <w:tc>
          <w:tcPr>
            <w:tcW w:w="1340" w:type="dxa"/>
            <w:vMerge/>
            <w:tcBorders>
              <w:left w:val="single" w:sz="8" w:space="0" w:color="auto"/>
              <w:right w:val="single" w:sz="4" w:space="0" w:color="auto"/>
            </w:tcBorders>
            <w:noWrap/>
            <w:textDirection w:val="btLr"/>
            <w:vAlign w:val="bottom"/>
          </w:tcPr>
          <w:p w14:paraId="72776AA2"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6A42B45F"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En transición</w:t>
            </w:r>
          </w:p>
        </w:tc>
        <w:tc>
          <w:tcPr>
            <w:tcW w:w="1210" w:type="dxa"/>
            <w:tcBorders>
              <w:top w:val="single" w:sz="8" w:space="0" w:color="auto"/>
              <w:left w:val="nil"/>
              <w:bottom w:val="single" w:sz="4" w:space="0" w:color="auto"/>
              <w:right w:val="single" w:sz="4" w:space="0" w:color="auto"/>
            </w:tcBorders>
            <w:noWrap/>
            <w:vAlign w:val="bottom"/>
          </w:tcPr>
          <w:p w14:paraId="1C0E9387"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38 %</w:t>
            </w:r>
          </w:p>
        </w:tc>
        <w:tc>
          <w:tcPr>
            <w:tcW w:w="1670" w:type="dxa"/>
            <w:tcBorders>
              <w:top w:val="single" w:sz="8" w:space="0" w:color="auto"/>
              <w:left w:val="nil"/>
              <w:bottom w:val="single" w:sz="4" w:space="0" w:color="auto"/>
              <w:right w:val="single" w:sz="4" w:space="0" w:color="auto"/>
            </w:tcBorders>
            <w:noWrap/>
            <w:vAlign w:val="bottom"/>
          </w:tcPr>
          <w:p w14:paraId="763E74E9"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77 %</w:t>
            </w:r>
          </w:p>
        </w:tc>
        <w:tc>
          <w:tcPr>
            <w:tcW w:w="1130" w:type="dxa"/>
            <w:tcBorders>
              <w:top w:val="single" w:sz="8" w:space="0" w:color="auto"/>
              <w:left w:val="nil"/>
              <w:bottom w:val="single" w:sz="4" w:space="0" w:color="auto"/>
              <w:right w:val="single" w:sz="8" w:space="0" w:color="auto"/>
            </w:tcBorders>
            <w:noWrap/>
            <w:vAlign w:val="bottom"/>
          </w:tcPr>
          <w:p w14:paraId="55180ACD"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15 %</w:t>
            </w:r>
          </w:p>
        </w:tc>
      </w:tr>
      <w:tr w:rsidR="001F0E4B" w:rsidRPr="005E3D50" w14:paraId="06575C9C" w14:textId="77777777" w:rsidTr="005631A1">
        <w:trPr>
          <w:trHeight w:val="315"/>
        </w:trPr>
        <w:tc>
          <w:tcPr>
            <w:tcW w:w="1340" w:type="dxa"/>
            <w:vMerge/>
            <w:tcBorders>
              <w:left w:val="single" w:sz="8" w:space="0" w:color="auto"/>
              <w:right w:val="single" w:sz="4" w:space="0" w:color="auto"/>
            </w:tcBorders>
            <w:noWrap/>
            <w:textDirection w:val="btLr"/>
            <w:vAlign w:val="bottom"/>
          </w:tcPr>
          <w:p w14:paraId="76BDF406"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70478CC7" w14:textId="77777777"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Países menos adelantados</w:t>
            </w:r>
          </w:p>
        </w:tc>
        <w:tc>
          <w:tcPr>
            <w:tcW w:w="1210" w:type="dxa"/>
            <w:tcBorders>
              <w:top w:val="single" w:sz="8" w:space="0" w:color="auto"/>
              <w:left w:val="nil"/>
              <w:bottom w:val="single" w:sz="4" w:space="0" w:color="auto"/>
              <w:right w:val="single" w:sz="4" w:space="0" w:color="auto"/>
            </w:tcBorders>
            <w:noWrap/>
            <w:vAlign w:val="bottom"/>
          </w:tcPr>
          <w:p w14:paraId="03F09F37"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58 %</w:t>
            </w:r>
          </w:p>
        </w:tc>
        <w:tc>
          <w:tcPr>
            <w:tcW w:w="1670" w:type="dxa"/>
            <w:tcBorders>
              <w:top w:val="single" w:sz="8" w:space="0" w:color="auto"/>
              <w:left w:val="nil"/>
              <w:bottom w:val="single" w:sz="4" w:space="0" w:color="auto"/>
              <w:right w:val="single" w:sz="4" w:space="0" w:color="auto"/>
            </w:tcBorders>
            <w:noWrap/>
            <w:vAlign w:val="bottom"/>
          </w:tcPr>
          <w:p w14:paraId="4118AA44"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84 %</w:t>
            </w:r>
          </w:p>
        </w:tc>
        <w:tc>
          <w:tcPr>
            <w:tcW w:w="1130" w:type="dxa"/>
            <w:tcBorders>
              <w:top w:val="single" w:sz="8" w:space="0" w:color="auto"/>
              <w:left w:val="nil"/>
              <w:bottom w:val="single" w:sz="4" w:space="0" w:color="auto"/>
              <w:right w:val="single" w:sz="8" w:space="0" w:color="auto"/>
            </w:tcBorders>
            <w:noWrap/>
            <w:vAlign w:val="bottom"/>
          </w:tcPr>
          <w:p w14:paraId="6A48CFC3"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44 %</w:t>
            </w:r>
          </w:p>
        </w:tc>
      </w:tr>
      <w:tr w:rsidR="001F0E4B" w:rsidRPr="005E3D50" w14:paraId="2D29E581" w14:textId="77777777" w:rsidTr="005631A1">
        <w:trPr>
          <w:trHeight w:val="315"/>
        </w:trPr>
        <w:tc>
          <w:tcPr>
            <w:tcW w:w="1340" w:type="dxa"/>
            <w:vMerge/>
            <w:tcBorders>
              <w:left w:val="single" w:sz="8" w:space="0" w:color="auto"/>
              <w:bottom w:val="single" w:sz="8" w:space="0" w:color="000000"/>
              <w:right w:val="single" w:sz="4" w:space="0" w:color="auto"/>
            </w:tcBorders>
            <w:noWrap/>
            <w:textDirection w:val="btLr"/>
            <w:vAlign w:val="bottom"/>
          </w:tcPr>
          <w:p w14:paraId="60888E4F" w14:textId="77777777" w:rsidR="001F0E4B" w:rsidRPr="005E3D50" w:rsidRDefault="001F0E4B">
            <w:pPr>
              <w:spacing w:after="0" w:line="240" w:lineRule="auto"/>
              <w:jc w:val="center"/>
              <w:rPr>
                <w:rFonts w:ascii="Aptos Narrow" w:eastAsia="Times New Roman" w:hAnsi="Aptos Narrow" w:cs="Times New Roman"/>
                <w:color w:val="000000"/>
                <w:kern w:val="0"/>
                <w:sz w:val="22"/>
                <w:szCs w:val="22"/>
                <w:lang w:val="es-ES"/>
                <w14:ligatures w14:val="none"/>
              </w:rPr>
            </w:pPr>
          </w:p>
        </w:tc>
        <w:tc>
          <w:tcPr>
            <w:tcW w:w="3510" w:type="dxa"/>
            <w:tcBorders>
              <w:top w:val="single" w:sz="8" w:space="0" w:color="auto"/>
              <w:left w:val="nil"/>
              <w:bottom w:val="single" w:sz="4" w:space="0" w:color="auto"/>
              <w:right w:val="single" w:sz="4" w:space="0" w:color="auto"/>
            </w:tcBorders>
            <w:noWrap/>
            <w:vAlign w:val="bottom"/>
          </w:tcPr>
          <w:p w14:paraId="71C84B08" w14:textId="2CC09DDC" w:rsidR="001F0E4B" w:rsidRPr="005E3D50" w:rsidRDefault="001F0E4B">
            <w:pPr>
              <w:spacing w:after="0" w:line="240" w:lineRule="auto"/>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Pequeños Estados insulares en desarrollo</w:t>
            </w:r>
          </w:p>
        </w:tc>
        <w:tc>
          <w:tcPr>
            <w:tcW w:w="1210" w:type="dxa"/>
            <w:tcBorders>
              <w:top w:val="single" w:sz="8" w:space="0" w:color="auto"/>
              <w:left w:val="nil"/>
              <w:bottom w:val="single" w:sz="4" w:space="0" w:color="auto"/>
              <w:right w:val="single" w:sz="4" w:space="0" w:color="auto"/>
            </w:tcBorders>
            <w:noWrap/>
            <w:vAlign w:val="bottom"/>
          </w:tcPr>
          <w:p w14:paraId="2BF3660C"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38 %</w:t>
            </w:r>
          </w:p>
        </w:tc>
        <w:tc>
          <w:tcPr>
            <w:tcW w:w="1670" w:type="dxa"/>
            <w:tcBorders>
              <w:top w:val="single" w:sz="8" w:space="0" w:color="auto"/>
              <w:left w:val="nil"/>
              <w:bottom w:val="single" w:sz="4" w:space="0" w:color="auto"/>
              <w:right w:val="single" w:sz="4" w:space="0" w:color="auto"/>
            </w:tcBorders>
            <w:noWrap/>
            <w:vAlign w:val="bottom"/>
          </w:tcPr>
          <w:p w14:paraId="339EA2AB"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69 %</w:t>
            </w:r>
          </w:p>
        </w:tc>
        <w:tc>
          <w:tcPr>
            <w:tcW w:w="1130" w:type="dxa"/>
            <w:tcBorders>
              <w:top w:val="single" w:sz="8" w:space="0" w:color="auto"/>
              <w:left w:val="nil"/>
              <w:bottom w:val="single" w:sz="4" w:space="0" w:color="auto"/>
              <w:right w:val="single" w:sz="8" w:space="0" w:color="auto"/>
            </w:tcBorders>
            <w:noWrap/>
            <w:vAlign w:val="bottom"/>
          </w:tcPr>
          <w:p w14:paraId="67D33876" w14:textId="77777777" w:rsidR="001F0E4B" w:rsidRPr="005E3D50" w:rsidRDefault="001F0E4B">
            <w:pPr>
              <w:spacing w:after="0" w:line="240" w:lineRule="auto"/>
              <w:jc w:val="right"/>
              <w:rPr>
                <w:rFonts w:ascii="Aptos Narrow" w:eastAsia="Times New Roman" w:hAnsi="Aptos Narrow" w:cs="Times New Roman"/>
                <w:color w:val="000000"/>
                <w:kern w:val="0"/>
                <w:sz w:val="22"/>
                <w:szCs w:val="22"/>
                <w:lang w:val="es-ES"/>
                <w14:ligatures w14:val="none"/>
              </w:rPr>
            </w:pPr>
            <w:r w:rsidRPr="005E3D50">
              <w:rPr>
                <w:rFonts w:ascii="Aptos Narrow" w:hAnsi="Aptos Narrow"/>
                <w:color w:val="000000"/>
                <w:sz w:val="22"/>
                <w:szCs w:val="22"/>
                <w:lang w:val="es-ES"/>
              </w:rPr>
              <w:t>23 %</w:t>
            </w:r>
          </w:p>
        </w:tc>
      </w:tr>
    </w:tbl>
    <w:p w14:paraId="3B564926" w14:textId="77777777" w:rsidR="001F0E4B" w:rsidRPr="005E3D50" w:rsidRDefault="001F0E4B" w:rsidP="001F0E4B">
      <w:pPr>
        <w:pStyle w:val="Caption"/>
        <w:keepNext/>
        <w:rPr>
          <w:lang w:val="es-ES"/>
        </w:rPr>
      </w:pPr>
      <w:bookmarkStart w:id="71" w:name="_Ref230940473"/>
    </w:p>
    <w:bookmarkEnd w:id="71"/>
    <w:p w14:paraId="65EE099C" w14:textId="77777777" w:rsidR="00B55CC4" w:rsidRPr="005E3D50" w:rsidRDefault="00B55CC4" w:rsidP="00B55CC4">
      <w:pPr>
        <w:pStyle w:val="Caption"/>
        <w:keepNext/>
        <w:rPr>
          <w:sz w:val="20"/>
          <w:szCs w:val="20"/>
          <w:lang w:val="es-ES"/>
        </w:rPr>
      </w:pPr>
    </w:p>
    <w:p w14:paraId="1A559684" w14:textId="2E3E737E" w:rsidR="00A1737A" w:rsidRPr="005E3D50" w:rsidRDefault="00C30B17" w:rsidP="0009012C">
      <w:pPr>
        <w:pStyle w:val="Caption"/>
        <w:rPr>
          <w:i w:val="0"/>
          <w:iCs w:val="0"/>
          <w:sz w:val="20"/>
          <w:szCs w:val="20"/>
          <w:lang w:val="es-ES"/>
        </w:rPr>
      </w:pPr>
      <w:bookmarkStart w:id="72" w:name="_Ref235444855"/>
      <w:r w:rsidRPr="005E3D50">
        <w:rPr>
          <w:i w:val="0"/>
          <w:sz w:val="20"/>
          <w:szCs w:val="20"/>
          <w:lang w:val="es-ES"/>
        </w:rPr>
        <w:t>Cuadro 2</w:t>
      </w:r>
      <w:bookmarkEnd w:id="72"/>
      <w:r w:rsidRPr="005E3D50">
        <w:rPr>
          <w:i w:val="0"/>
          <w:sz w:val="20"/>
          <w:szCs w:val="20"/>
          <w:lang w:val="es-ES"/>
        </w:rPr>
        <w:t>:</w:t>
      </w:r>
    </w:p>
    <w:p w14:paraId="79B698AC" w14:textId="69591A5F" w:rsidR="004A530A" w:rsidRPr="005E3D50" w:rsidRDefault="00C30B17" w:rsidP="0009012C">
      <w:pPr>
        <w:pStyle w:val="Caption"/>
        <w:rPr>
          <w:b/>
          <w:i w:val="0"/>
          <w:sz w:val="20"/>
          <w:szCs w:val="20"/>
          <w:lang w:val="es-ES"/>
        </w:rPr>
      </w:pPr>
      <w:r w:rsidRPr="005E3D50">
        <w:rPr>
          <w:b/>
          <w:i w:val="0"/>
          <w:sz w:val="20"/>
          <w:szCs w:val="20"/>
          <w:lang w:val="es-ES"/>
        </w:rPr>
        <w:t>Porcentaje de Partes que presentaron al menos una meta nacional respecto de la cual se informó que estaba estrechamente armonizada con cada meta del Marco</w:t>
      </w:r>
    </w:p>
    <w:tbl>
      <w:tblPr>
        <w:tblStyle w:val="TableGrid"/>
        <w:tblW w:w="8926" w:type="dxa"/>
        <w:tblLook w:val="04A0" w:firstRow="1" w:lastRow="0" w:firstColumn="1" w:lastColumn="0" w:noHBand="0" w:noVBand="1"/>
      </w:tblPr>
      <w:tblGrid>
        <w:gridCol w:w="2231"/>
        <w:gridCol w:w="2232"/>
        <w:gridCol w:w="2231"/>
        <w:gridCol w:w="2232"/>
      </w:tblGrid>
      <w:tr w:rsidR="0065492D" w:rsidRPr="005E3D50" w14:paraId="7DC58508" w14:textId="77777777">
        <w:tc>
          <w:tcPr>
            <w:tcW w:w="2231" w:type="dxa"/>
          </w:tcPr>
          <w:p w14:paraId="04788B5C" w14:textId="0F9592CE" w:rsidR="0065492D" w:rsidRPr="005E3D50" w:rsidRDefault="0065492D" w:rsidP="002073BD">
            <w:pPr>
              <w:rPr>
                <w:b/>
                <w:bCs/>
                <w:lang w:val="es-ES"/>
              </w:rPr>
            </w:pPr>
            <w:r w:rsidRPr="005E3D50">
              <w:rPr>
                <w:b/>
                <w:bCs/>
                <w:lang w:val="es-ES"/>
              </w:rPr>
              <w:t>Meta</w:t>
            </w:r>
          </w:p>
        </w:tc>
        <w:tc>
          <w:tcPr>
            <w:tcW w:w="2232" w:type="dxa"/>
          </w:tcPr>
          <w:p w14:paraId="1F87057E" w14:textId="1C0FF0A0" w:rsidR="0065492D" w:rsidRPr="005E3D50" w:rsidRDefault="0065492D" w:rsidP="002073BD">
            <w:pPr>
              <w:rPr>
                <w:b/>
                <w:bCs/>
                <w:lang w:val="es-ES"/>
              </w:rPr>
            </w:pPr>
            <w:r w:rsidRPr="005E3D50">
              <w:rPr>
                <w:b/>
                <w:bCs/>
                <w:lang w:val="es-ES"/>
              </w:rPr>
              <w:t>Partes con al menos una meta estrechamente armonizada</w:t>
            </w:r>
          </w:p>
        </w:tc>
        <w:tc>
          <w:tcPr>
            <w:tcW w:w="2231" w:type="dxa"/>
          </w:tcPr>
          <w:p w14:paraId="23C42C09" w14:textId="160382D3" w:rsidR="0065492D" w:rsidRPr="005E3D50" w:rsidRDefault="0065492D" w:rsidP="002073BD">
            <w:pPr>
              <w:rPr>
                <w:b/>
                <w:bCs/>
                <w:lang w:val="es-ES"/>
              </w:rPr>
            </w:pPr>
            <w:r w:rsidRPr="005E3D50">
              <w:rPr>
                <w:b/>
                <w:bCs/>
                <w:lang w:val="es-ES"/>
              </w:rPr>
              <w:t>Meta</w:t>
            </w:r>
          </w:p>
        </w:tc>
        <w:tc>
          <w:tcPr>
            <w:tcW w:w="2232" w:type="dxa"/>
          </w:tcPr>
          <w:p w14:paraId="37DA236C" w14:textId="1FBE97F8" w:rsidR="0065492D" w:rsidRPr="005E3D50" w:rsidRDefault="0065492D" w:rsidP="002073BD">
            <w:pPr>
              <w:rPr>
                <w:b/>
                <w:bCs/>
                <w:lang w:val="es-ES"/>
              </w:rPr>
            </w:pPr>
            <w:r w:rsidRPr="005E3D50">
              <w:rPr>
                <w:b/>
                <w:bCs/>
                <w:lang w:val="es-ES"/>
              </w:rPr>
              <w:t>Partes con al menos una meta estrechamente armonizada</w:t>
            </w:r>
          </w:p>
        </w:tc>
      </w:tr>
      <w:tr w:rsidR="0065492D" w:rsidRPr="005E3D50" w14:paraId="1BCEBA71" w14:textId="77777777" w:rsidTr="0065492D">
        <w:tc>
          <w:tcPr>
            <w:tcW w:w="2231" w:type="dxa"/>
          </w:tcPr>
          <w:p w14:paraId="0520D832" w14:textId="2B33BE76" w:rsidR="0065492D" w:rsidRPr="005E3D50" w:rsidRDefault="0065492D" w:rsidP="0065492D">
            <w:pPr>
              <w:rPr>
                <w:lang w:val="es-ES"/>
              </w:rPr>
            </w:pPr>
            <w:r w:rsidRPr="005E3D50">
              <w:rPr>
                <w:lang w:val="es-ES"/>
              </w:rPr>
              <w:t>Meta 1</w:t>
            </w:r>
          </w:p>
        </w:tc>
        <w:tc>
          <w:tcPr>
            <w:tcW w:w="2232" w:type="dxa"/>
          </w:tcPr>
          <w:p w14:paraId="5812BADF" w14:textId="02DED7D8" w:rsidR="0065492D" w:rsidRPr="005E3D50" w:rsidRDefault="008E3A60" w:rsidP="002073BD">
            <w:pPr>
              <w:rPr>
                <w:lang w:val="es-ES"/>
              </w:rPr>
            </w:pPr>
            <w:r w:rsidRPr="005E3D50">
              <w:rPr>
                <w:lang w:val="es-ES"/>
              </w:rPr>
              <w:t>69 %</w:t>
            </w:r>
          </w:p>
        </w:tc>
        <w:tc>
          <w:tcPr>
            <w:tcW w:w="2231" w:type="dxa"/>
          </w:tcPr>
          <w:p w14:paraId="6197EC81" w14:textId="1EFDEE6B" w:rsidR="0065492D" w:rsidRPr="005E3D50" w:rsidRDefault="0065492D" w:rsidP="002073BD">
            <w:pPr>
              <w:rPr>
                <w:lang w:val="es-ES"/>
              </w:rPr>
            </w:pPr>
            <w:r w:rsidRPr="005E3D50">
              <w:rPr>
                <w:lang w:val="es-ES"/>
              </w:rPr>
              <w:t>Meta 13</w:t>
            </w:r>
          </w:p>
        </w:tc>
        <w:tc>
          <w:tcPr>
            <w:tcW w:w="2232" w:type="dxa"/>
          </w:tcPr>
          <w:p w14:paraId="1C58F57F" w14:textId="6D7A0DA0" w:rsidR="0065492D" w:rsidRPr="005E3D50" w:rsidRDefault="009C4507" w:rsidP="002073BD">
            <w:pPr>
              <w:rPr>
                <w:lang w:val="es-ES"/>
              </w:rPr>
            </w:pPr>
            <w:r w:rsidRPr="005E3D50">
              <w:rPr>
                <w:lang w:val="es-ES"/>
              </w:rPr>
              <w:t>67 %</w:t>
            </w:r>
          </w:p>
        </w:tc>
      </w:tr>
      <w:tr w:rsidR="0065492D" w:rsidRPr="005E3D50" w14:paraId="16B43ED3" w14:textId="77777777" w:rsidTr="0065492D">
        <w:tc>
          <w:tcPr>
            <w:tcW w:w="2231" w:type="dxa"/>
          </w:tcPr>
          <w:p w14:paraId="2CFEBA67" w14:textId="5559381E" w:rsidR="0065492D" w:rsidRPr="005E3D50" w:rsidRDefault="0065492D" w:rsidP="002073BD">
            <w:pPr>
              <w:rPr>
                <w:lang w:val="es-ES"/>
              </w:rPr>
            </w:pPr>
            <w:r w:rsidRPr="005E3D50">
              <w:rPr>
                <w:lang w:val="es-ES"/>
              </w:rPr>
              <w:t>Meta 2</w:t>
            </w:r>
          </w:p>
        </w:tc>
        <w:tc>
          <w:tcPr>
            <w:tcW w:w="2232" w:type="dxa"/>
          </w:tcPr>
          <w:p w14:paraId="4341D962" w14:textId="7BA3F96B" w:rsidR="0065492D" w:rsidRPr="005E3D50" w:rsidRDefault="00325B77" w:rsidP="002073BD">
            <w:pPr>
              <w:rPr>
                <w:lang w:val="es-ES"/>
              </w:rPr>
            </w:pPr>
            <w:r w:rsidRPr="005E3D50">
              <w:rPr>
                <w:lang w:val="es-ES"/>
              </w:rPr>
              <w:t>72 %</w:t>
            </w:r>
          </w:p>
        </w:tc>
        <w:tc>
          <w:tcPr>
            <w:tcW w:w="2231" w:type="dxa"/>
          </w:tcPr>
          <w:p w14:paraId="503D67E2" w14:textId="289CADF3" w:rsidR="0065492D" w:rsidRPr="005E3D50" w:rsidRDefault="0065492D" w:rsidP="002073BD">
            <w:pPr>
              <w:rPr>
                <w:lang w:val="es-ES"/>
              </w:rPr>
            </w:pPr>
            <w:r w:rsidRPr="005E3D50">
              <w:rPr>
                <w:lang w:val="es-ES"/>
              </w:rPr>
              <w:t>Meta 14</w:t>
            </w:r>
          </w:p>
        </w:tc>
        <w:tc>
          <w:tcPr>
            <w:tcW w:w="2232" w:type="dxa"/>
          </w:tcPr>
          <w:p w14:paraId="5EC7166D" w14:textId="163D58BE" w:rsidR="0065492D" w:rsidRPr="005E3D50" w:rsidRDefault="004E7692" w:rsidP="002073BD">
            <w:pPr>
              <w:rPr>
                <w:lang w:val="es-ES"/>
              </w:rPr>
            </w:pPr>
            <w:r w:rsidRPr="005E3D50">
              <w:rPr>
                <w:lang w:val="es-ES"/>
              </w:rPr>
              <w:t>67 %</w:t>
            </w:r>
          </w:p>
        </w:tc>
      </w:tr>
      <w:tr w:rsidR="0065492D" w:rsidRPr="005E3D50" w14:paraId="0C9A0996" w14:textId="77777777" w:rsidTr="0065492D">
        <w:tc>
          <w:tcPr>
            <w:tcW w:w="2231" w:type="dxa"/>
          </w:tcPr>
          <w:p w14:paraId="7DDD4AA2" w14:textId="772EF8C9" w:rsidR="0065492D" w:rsidRPr="005E3D50" w:rsidRDefault="0065492D" w:rsidP="002073BD">
            <w:pPr>
              <w:rPr>
                <w:lang w:val="es-ES"/>
              </w:rPr>
            </w:pPr>
            <w:r w:rsidRPr="005E3D50">
              <w:rPr>
                <w:lang w:val="es-ES"/>
              </w:rPr>
              <w:t>Meta 3</w:t>
            </w:r>
          </w:p>
        </w:tc>
        <w:tc>
          <w:tcPr>
            <w:tcW w:w="2232" w:type="dxa"/>
          </w:tcPr>
          <w:p w14:paraId="2D8513ED" w14:textId="593196FF" w:rsidR="0065492D" w:rsidRPr="005E3D50" w:rsidRDefault="0095106E" w:rsidP="002073BD">
            <w:pPr>
              <w:rPr>
                <w:lang w:val="es-ES"/>
              </w:rPr>
            </w:pPr>
            <w:r w:rsidRPr="005E3D50">
              <w:rPr>
                <w:lang w:val="es-ES"/>
              </w:rPr>
              <w:t>73 %</w:t>
            </w:r>
          </w:p>
        </w:tc>
        <w:tc>
          <w:tcPr>
            <w:tcW w:w="2231" w:type="dxa"/>
          </w:tcPr>
          <w:p w14:paraId="655A344D" w14:textId="031F3647" w:rsidR="0065492D" w:rsidRPr="005E3D50" w:rsidRDefault="0065492D" w:rsidP="002073BD">
            <w:pPr>
              <w:rPr>
                <w:lang w:val="es-ES"/>
              </w:rPr>
            </w:pPr>
            <w:r w:rsidRPr="005E3D50">
              <w:rPr>
                <w:lang w:val="es-ES"/>
              </w:rPr>
              <w:t>Meta 15</w:t>
            </w:r>
          </w:p>
        </w:tc>
        <w:tc>
          <w:tcPr>
            <w:tcW w:w="2232" w:type="dxa"/>
          </w:tcPr>
          <w:p w14:paraId="50955992" w14:textId="07609F52" w:rsidR="0065492D" w:rsidRPr="005E3D50" w:rsidRDefault="006A57D6" w:rsidP="002073BD">
            <w:pPr>
              <w:rPr>
                <w:lang w:val="es-ES"/>
              </w:rPr>
            </w:pPr>
            <w:r w:rsidRPr="005E3D50">
              <w:rPr>
                <w:lang w:val="es-ES"/>
              </w:rPr>
              <w:t>57 %</w:t>
            </w:r>
          </w:p>
        </w:tc>
      </w:tr>
      <w:tr w:rsidR="0065492D" w:rsidRPr="005E3D50" w14:paraId="094D4471" w14:textId="77777777" w:rsidTr="0065492D">
        <w:tc>
          <w:tcPr>
            <w:tcW w:w="2231" w:type="dxa"/>
          </w:tcPr>
          <w:p w14:paraId="6140C54C" w14:textId="01619CAD" w:rsidR="0065492D" w:rsidRPr="005E3D50" w:rsidRDefault="0065492D" w:rsidP="002073BD">
            <w:pPr>
              <w:rPr>
                <w:lang w:val="es-ES"/>
              </w:rPr>
            </w:pPr>
            <w:r w:rsidRPr="005E3D50">
              <w:rPr>
                <w:lang w:val="es-ES"/>
              </w:rPr>
              <w:t>Meta 4</w:t>
            </w:r>
          </w:p>
        </w:tc>
        <w:tc>
          <w:tcPr>
            <w:tcW w:w="2232" w:type="dxa"/>
          </w:tcPr>
          <w:p w14:paraId="0CDDE947" w14:textId="02B3A429" w:rsidR="0065492D" w:rsidRPr="005E3D50" w:rsidRDefault="00C6773A" w:rsidP="002073BD">
            <w:pPr>
              <w:rPr>
                <w:lang w:val="es-ES"/>
              </w:rPr>
            </w:pPr>
            <w:r w:rsidRPr="005E3D50">
              <w:rPr>
                <w:lang w:val="es-ES"/>
              </w:rPr>
              <w:t>72 %</w:t>
            </w:r>
          </w:p>
        </w:tc>
        <w:tc>
          <w:tcPr>
            <w:tcW w:w="2231" w:type="dxa"/>
          </w:tcPr>
          <w:p w14:paraId="384AF527" w14:textId="66230B43" w:rsidR="0065492D" w:rsidRPr="005E3D50" w:rsidRDefault="0065492D" w:rsidP="002073BD">
            <w:pPr>
              <w:rPr>
                <w:lang w:val="es-ES"/>
              </w:rPr>
            </w:pPr>
            <w:r w:rsidRPr="005E3D50">
              <w:rPr>
                <w:lang w:val="es-ES"/>
              </w:rPr>
              <w:t>Meta 16</w:t>
            </w:r>
          </w:p>
        </w:tc>
        <w:tc>
          <w:tcPr>
            <w:tcW w:w="2232" w:type="dxa"/>
          </w:tcPr>
          <w:p w14:paraId="2EABA107" w14:textId="61B8EAF8" w:rsidR="0065492D" w:rsidRPr="005E3D50" w:rsidRDefault="00730ABF" w:rsidP="002073BD">
            <w:pPr>
              <w:rPr>
                <w:lang w:val="es-ES"/>
              </w:rPr>
            </w:pPr>
            <w:r w:rsidRPr="005E3D50">
              <w:rPr>
                <w:lang w:val="es-ES"/>
              </w:rPr>
              <w:t>51 %</w:t>
            </w:r>
          </w:p>
        </w:tc>
      </w:tr>
      <w:tr w:rsidR="0065492D" w:rsidRPr="005E3D50" w14:paraId="54A1F455" w14:textId="77777777" w:rsidTr="0065492D">
        <w:tc>
          <w:tcPr>
            <w:tcW w:w="2231" w:type="dxa"/>
          </w:tcPr>
          <w:p w14:paraId="35EB6C44" w14:textId="306116B3" w:rsidR="0065492D" w:rsidRPr="005E3D50" w:rsidRDefault="0065492D" w:rsidP="002073BD">
            <w:pPr>
              <w:rPr>
                <w:lang w:val="es-ES"/>
              </w:rPr>
            </w:pPr>
            <w:r w:rsidRPr="005E3D50">
              <w:rPr>
                <w:lang w:val="es-ES"/>
              </w:rPr>
              <w:t>Meta 5</w:t>
            </w:r>
          </w:p>
        </w:tc>
        <w:tc>
          <w:tcPr>
            <w:tcW w:w="2232" w:type="dxa"/>
          </w:tcPr>
          <w:p w14:paraId="23A54C77" w14:textId="003A0C18" w:rsidR="0065492D" w:rsidRPr="005E3D50" w:rsidRDefault="00EF0A15" w:rsidP="002073BD">
            <w:pPr>
              <w:rPr>
                <w:lang w:val="es-ES"/>
              </w:rPr>
            </w:pPr>
            <w:r w:rsidRPr="005E3D50">
              <w:rPr>
                <w:lang w:val="es-ES"/>
              </w:rPr>
              <w:t>68 %</w:t>
            </w:r>
          </w:p>
        </w:tc>
        <w:tc>
          <w:tcPr>
            <w:tcW w:w="2231" w:type="dxa"/>
          </w:tcPr>
          <w:p w14:paraId="177329F4" w14:textId="3915AA7B" w:rsidR="0065492D" w:rsidRPr="005E3D50" w:rsidRDefault="0065492D" w:rsidP="002073BD">
            <w:pPr>
              <w:rPr>
                <w:lang w:val="es-ES"/>
              </w:rPr>
            </w:pPr>
            <w:r w:rsidRPr="005E3D50">
              <w:rPr>
                <w:lang w:val="es-ES"/>
              </w:rPr>
              <w:t>Meta 17</w:t>
            </w:r>
          </w:p>
        </w:tc>
        <w:tc>
          <w:tcPr>
            <w:tcW w:w="2232" w:type="dxa"/>
          </w:tcPr>
          <w:p w14:paraId="381D3C60" w14:textId="60275A5E" w:rsidR="0065492D" w:rsidRPr="005E3D50" w:rsidRDefault="008B10A1" w:rsidP="002073BD">
            <w:pPr>
              <w:rPr>
                <w:lang w:val="es-ES"/>
              </w:rPr>
            </w:pPr>
            <w:r w:rsidRPr="005E3D50">
              <w:rPr>
                <w:lang w:val="es-ES"/>
              </w:rPr>
              <w:t>58 %</w:t>
            </w:r>
          </w:p>
        </w:tc>
      </w:tr>
      <w:tr w:rsidR="0065492D" w:rsidRPr="005E3D50" w14:paraId="05566C45" w14:textId="77777777" w:rsidTr="0065492D">
        <w:tc>
          <w:tcPr>
            <w:tcW w:w="2231" w:type="dxa"/>
          </w:tcPr>
          <w:p w14:paraId="40E08CFD" w14:textId="10E9F403" w:rsidR="0065492D" w:rsidRPr="005E3D50" w:rsidRDefault="0065492D" w:rsidP="002073BD">
            <w:pPr>
              <w:rPr>
                <w:lang w:val="es-ES"/>
              </w:rPr>
            </w:pPr>
            <w:r w:rsidRPr="005E3D50">
              <w:rPr>
                <w:lang w:val="es-ES"/>
              </w:rPr>
              <w:t>Meta 6</w:t>
            </w:r>
          </w:p>
        </w:tc>
        <w:tc>
          <w:tcPr>
            <w:tcW w:w="2232" w:type="dxa"/>
          </w:tcPr>
          <w:p w14:paraId="018D8A79" w14:textId="434C8802" w:rsidR="0065492D" w:rsidRPr="005E3D50" w:rsidRDefault="001F307E" w:rsidP="002073BD">
            <w:pPr>
              <w:rPr>
                <w:lang w:val="es-ES"/>
              </w:rPr>
            </w:pPr>
            <w:r w:rsidRPr="005E3D50">
              <w:rPr>
                <w:lang w:val="es-ES"/>
              </w:rPr>
              <w:t>62 %</w:t>
            </w:r>
          </w:p>
        </w:tc>
        <w:tc>
          <w:tcPr>
            <w:tcW w:w="2231" w:type="dxa"/>
          </w:tcPr>
          <w:p w14:paraId="2E05FF27" w14:textId="173380E9" w:rsidR="0065492D" w:rsidRPr="005E3D50" w:rsidRDefault="0065492D" w:rsidP="002073BD">
            <w:pPr>
              <w:rPr>
                <w:lang w:val="es-ES"/>
              </w:rPr>
            </w:pPr>
            <w:r w:rsidRPr="005E3D50">
              <w:rPr>
                <w:lang w:val="es-ES"/>
              </w:rPr>
              <w:t>Meta 18</w:t>
            </w:r>
          </w:p>
        </w:tc>
        <w:tc>
          <w:tcPr>
            <w:tcW w:w="2232" w:type="dxa"/>
          </w:tcPr>
          <w:p w14:paraId="371A41AD" w14:textId="25FCEDAA" w:rsidR="0065492D" w:rsidRPr="005E3D50" w:rsidRDefault="00DE5D27" w:rsidP="002073BD">
            <w:pPr>
              <w:rPr>
                <w:lang w:val="es-ES"/>
              </w:rPr>
            </w:pPr>
            <w:r w:rsidRPr="005E3D50">
              <w:rPr>
                <w:lang w:val="es-ES"/>
              </w:rPr>
              <w:t>62 %</w:t>
            </w:r>
          </w:p>
        </w:tc>
      </w:tr>
      <w:tr w:rsidR="0065492D" w:rsidRPr="005E3D50" w14:paraId="51DFB6D5" w14:textId="77777777" w:rsidTr="0065492D">
        <w:tc>
          <w:tcPr>
            <w:tcW w:w="2231" w:type="dxa"/>
          </w:tcPr>
          <w:p w14:paraId="4E06886E" w14:textId="5CB7FD08" w:rsidR="0065492D" w:rsidRPr="005E3D50" w:rsidRDefault="0065492D" w:rsidP="002073BD">
            <w:pPr>
              <w:rPr>
                <w:lang w:val="es-ES"/>
              </w:rPr>
            </w:pPr>
            <w:r w:rsidRPr="005E3D50">
              <w:rPr>
                <w:lang w:val="es-ES"/>
              </w:rPr>
              <w:t>Meta 7</w:t>
            </w:r>
          </w:p>
        </w:tc>
        <w:tc>
          <w:tcPr>
            <w:tcW w:w="2232" w:type="dxa"/>
          </w:tcPr>
          <w:p w14:paraId="6BACB747" w14:textId="11FA27B2" w:rsidR="0065492D" w:rsidRPr="005E3D50" w:rsidRDefault="0047345F" w:rsidP="002073BD">
            <w:pPr>
              <w:rPr>
                <w:lang w:val="es-ES"/>
              </w:rPr>
            </w:pPr>
            <w:r w:rsidRPr="005E3D50">
              <w:rPr>
                <w:lang w:val="es-ES"/>
              </w:rPr>
              <w:t>61 %</w:t>
            </w:r>
          </w:p>
        </w:tc>
        <w:tc>
          <w:tcPr>
            <w:tcW w:w="2231" w:type="dxa"/>
          </w:tcPr>
          <w:p w14:paraId="5C001E65" w14:textId="1DE79FD5" w:rsidR="0065492D" w:rsidRPr="005E3D50" w:rsidRDefault="0065492D" w:rsidP="002073BD">
            <w:pPr>
              <w:rPr>
                <w:lang w:val="es-ES"/>
              </w:rPr>
            </w:pPr>
            <w:r w:rsidRPr="005E3D50">
              <w:rPr>
                <w:lang w:val="es-ES"/>
              </w:rPr>
              <w:t>Meta 19</w:t>
            </w:r>
          </w:p>
        </w:tc>
        <w:tc>
          <w:tcPr>
            <w:tcW w:w="2232" w:type="dxa"/>
          </w:tcPr>
          <w:p w14:paraId="0B9AEF6C" w14:textId="15586553" w:rsidR="0065492D" w:rsidRPr="005E3D50" w:rsidRDefault="009E5A66" w:rsidP="002073BD">
            <w:pPr>
              <w:rPr>
                <w:lang w:val="es-ES"/>
              </w:rPr>
            </w:pPr>
            <w:r w:rsidRPr="005E3D50">
              <w:rPr>
                <w:lang w:val="es-ES"/>
              </w:rPr>
              <w:t>58 %</w:t>
            </w:r>
          </w:p>
        </w:tc>
      </w:tr>
      <w:tr w:rsidR="0065492D" w:rsidRPr="005E3D50" w14:paraId="5E2FA878" w14:textId="77777777" w:rsidTr="0065492D">
        <w:tc>
          <w:tcPr>
            <w:tcW w:w="2231" w:type="dxa"/>
          </w:tcPr>
          <w:p w14:paraId="67AE9A0E" w14:textId="41ECEBE8" w:rsidR="0065492D" w:rsidRPr="005E3D50" w:rsidRDefault="0065492D" w:rsidP="002073BD">
            <w:pPr>
              <w:rPr>
                <w:lang w:val="es-ES"/>
              </w:rPr>
            </w:pPr>
            <w:r w:rsidRPr="005E3D50">
              <w:rPr>
                <w:lang w:val="es-ES"/>
              </w:rPr>
              <w:t>Meta 8</w:t>
            </w:r>
          </w:p>
        </w:tc>
        <w:tc>
          <w:tcPr>
            <w:tcW w:w="2232" w:type="dxa"/>
          </w:tcPr>
          <w:p w14:paraId="30590119" w14:textId="00300D3F" w:rsidR="0065492D" w:rsidRPr="005E3D50" w:rsidRDefault="00C8520F" w:rsidP="002073BD">
            <w:pPr>
              <w:rPr>
                <w:lang w:val="es-ES"/>
              </w:rPr>
            </w:pPr>
            <w:r w:rsidRPr="005E3D50">
              <w:rPr>
                <w:lang w:val="es-ES"/>
              </w:rPr>
              <w:t>71 %</w:t>
            </w:r>
          </w:p>
        </w:tc>
        <w:tc>
          <w:tcPr>
            <w:tcW w:w="2231" w:type="dxa"/>
          </w:tcPr>
          <w:p w14:paraId="618BF924" w14:textId="579832EC" w:rsidR="0065492D" w:rsidRPr="005E3D50" w:rsidRDefault="0065492D" w:rsidP="002073BD">
            <w:pPr>
              <w:rPr>
                <w:lang w:val="es-ES"/>
              </w:rPr>
            </w:pPr>
            <w:r w:rsidRPr="005E3D50">
              <w:rPr>
                <w:lang w:val="es-ES"/>
              </w:rPr>
              <w:t>Meta 20</w:t>
            </w:r>
          </w:p>
        </w:tc>
        <w:tc>
          <w:tcPr>
            <w:tcW w:w="2232" w:type="dxa"/>
          </w:tcPr>
          <w:p w14:paraId="51E1CAD8" w14:textId="3E49FD48" w:rsidR="0065492D" w:rsidRPr="005E3D50" w:rsidRDefault="009C62C8" w:rsidP="002073BD">
            <w:pPr>
              <w:rPr>
                <w:lang w:val="es-ES"/>
              </w:rPr>
            </w:pPr>
            <w:r w:rsidRPr="005E3D50">
              <w:rPr>
                <w:lang w:val="es-ES"/>
              </w:rPr>
              <w:t>69 %</w:t>
            </w:r>
          </w:p>
        </w:tc>
      </w:tr>
      <w:tr w:rsidR="0065492D" w:rsidRPr="005E3D50" w14:paraId="74CD59D3" w14:textId="77777777" w:rsidTr="0065492D">
        <w:tc>
          <w:tcPr>
            <w:tcW w:w="2231" w:type="dxa"/>
          </w:tcPr>
          <w:p w14:paraId="3E04842E" w14:textId="3C604667" w:rsidR="0065492D" w:rsidRPr="005E3D50" w:rsidRDefault="0065492D" w:rsidP="002073BD">
            <w:pPr>
              <w:rPr>
                <w:lang w:val="es-ES"/>
              </w:rPr>
            </w:pPr>
            <w:r w:rsidRPr="005E3D50">
              <w:rPr>
                <w:lang w:val="es-ES"/>
              </w:rPr>
              <w:t>Meta 9</w:t>
            </w:r>
          </w:p>
        </w:tc>
        <w:tc>
          <w:tcPr>
            <w:tcW w:w="2232" w:type="dxa"/>
          </w:tcPr>
          <w:p w14:paraId="4E4FA450" w14:textId="351DC0F4" w:rsidR="0065492D" w:rsidRPr="005E3D50" w:rsidRDefault="003408C9" w:rsidP="002073BD">
            <w:pPr>
              <w:rPr>
                <w:lang w:val="es-ES"/>
              </w:rPr>
            </w:pPr>
            <w:r w:rsidRPr="005E3D50">
              <w:rPr>
                <w:lang w:val="es-ES"/>
              </w:rPr>
              <w:t>60 %</w:t>
            </w:r>
          </w:p>
        </w:tc>
        <w:tc>
          <w:tcPr>
            <w:tcW w:w="2231" w:type="dxa"/>
          </w:tcPr>
          <w:p w14:paraId="605F7577" w14:textId="2F830AA0" w:rsidR="0065492D" w:rsidRPr="005E3D50" w:rsidRDefault="0065492D" w:rsidP="002073BD">
            <w:pPr>
              <w:rPr>
                <w:lang w:val="es-ES"/>
              </w:rPr>
            </w:pPr>
            <w:r w:rsidRPr="005E3D50">
              <w:rPr>
                <w:lang w:val="es-ES"/>
              </w:rPr>
              <w:t>Meta 21</w:t>
            </w:r>
          </w:p>
        </w:tc>
        <w:tc>
          <w:tcPr>
            <w:tcW w:w="2232" w:type="dxa"/>
          </w:tcPr>
          <w:p w14:paraId="492A3F5B" w14:textId="61725D43" w:rsidR="0065492D" w:rsidRPr="005E3D50" w:rsidRDefault="005F671E" w:rsidP="002073BD">
            <w:pPr>
              <w:rPr>
                <w:lang w:val="es-ES"/>
              </w:rPr>
            </w:pPr>
            <w:r w:rsidRPr="005E3D50">
              <w:rPr>
                <w:lang w:val="es-ES"/>
              </w:rPr>
              <w:t>69 %</w:t>
            </w:r>
          </w:p>
        </w:tc>
      </w:tr>
      <w:tr w:rsidR="0065492D" w:rsidRPr="005E3D50" w14:paraId="4B9EFA29" w14:textId="77777777" w:rsidTr="0065492D">
        <w:tc>
          <w:tcPr>
            <w:tcW w:w="2231" w:type="dxa"/>
          </w:tcPr>
          <w:p w14:paraId="21DB97DA" w14:textId="1A6460DA" w:rsidR="0065492D" w:rsidRPr="005E3D50" w:rsidRDefault="0065492D" w:rsidP="002073BD">
            <w:pPr>
              <w:rPr>
                <w:lang w:val="es-ES"/>
              </w:rPr>
            </w:pPr>
            <w:r w:rsidRPr="005E3D50">
              <w:rPr>
                <w:lang w:val="es-ES"/>
              </w:rPr>
              <w:t>Meta 10</w:t>
            </w:r>
          </w:p>
        </w:tc>
        <w:tc>
          <w:tcPr>
            <w:tcW w:w="2232" w:type="dxa"/>
          </w:tcPr>
          <w:p w14:paraId="005D4570" w14:textId="00A7169A" w:rsidR="0065492D" w:rsidRPr="005E3D50" w:rsidRDefault="004909B2" w:rsidP="002073BD">
            <w:pPr>
              <w:rPr>
                <w:lang w:val="es-ES"/>
              </w:rPr>
            </w:pPr>
            <w:r w:rsidRPr="005E3D50">
              <w:rPr>
                <w:lang w:val="es-ES"/>
              </w:rPr>
              <w:t>72 %</w:t>
            </w:r>
          </w:p>
        </w:tc>
        <w:tc>
          <w:tcPr>
            <w:tcW w:w="2231" w:type="dxa"/>
          </w:tcPr>
          <w:p w14:paraId="153D98DB" w14:textId="3346491C" w:rsidR="0065492D" w:rsidRPr="005E3D50" w:rsidRDefault="0065492D" w:rsidP="002073BD">
            <w:pPr>
              <w:rPr>
                <w:lang w:val="es-ES"/>
              </w:rPr>
            </w:pPr>
            <w:r w:rsidRPr="005E3D50">
              <w:rPr>
                <w:lang w:val="es-ES"/>
              </w:rPr>
              <w:t>Meta 22</w:t>
            </w:r>
          </w:p>
        </w:tc>
        <w:tc>
          <w:tcPr>
            <w:tcW w:w="2232" w:type="dxa"/>
          </w:tcPr>
          <w:p w14:paraId="771DC1C1" w14:textId="7886721E" w:rsidR="0065492D" w:rsidRPr="005E3D50" w:rsidRDefault="002D5251" w:rsidP="002073BD">
            <w:pPr>
              <w:rPr>
                <w:lang w:val="es-ES"/>
              </w:rPr>
            </w:pPr>
            <w:r w:rsidRPr="005E3D50">
              <w:rPr>
                <w:lang w:val="es-ES"/>
              </w:rPr>
              <w:t>68 %</w:t>
            </w:r>
          </w:p>
        </w:tc>
      </w:tr>
      <w:tr w:rsidR="0065492D" w:rsidRPr="005E3D50" w14:paraId="40EB2CB0" w14:textId="77777777" w:rsidTr="0065492D">
        <w:tc>
          <w:tcPr>
            <w:tcW w:w="2231" w:type="dxa"/>
          </w:tcPr>
          <w:p w14:paraId="30016F05" w14:textId="6A6708DF" w:rsidR="0065492D" w:rsidRPr="005E3D50" w:rsidRDefault="0065492D" w:rsidP="002073BD">
            <w:pPr>
              <w:rPr>
                <w:lang w:val="es-ES"/>
              </w:rPr>
            </w:pPr>
            <w:r w:rsidRPr="005E3D50">
              <w:rPr>
                <w:lang w:val="es-ES"/>
              </w:rPr>
              <w:t>Meta 11</w:t>
            </w:r>
          </w:p>
        </w:tc>
        <w:tc>
          <w:tcPr>
            <w:tcW w:w="2232" w:type="dxa"/>
          </w:tcPr>
          <w:p w14:paraId="420CE769" w14:textId="7435660B" w:rsidR="0065492D" w:rsidRPr="005E3D50" w:rsidRDefault="00472B70" w:rsidP="002073BD">
            <w:pPr>
              <w:rPr>
                <w:lang w:val="es-ES"/>
              </w:rPr>
            </w:pPr>
            <w:r w:rsidRPr="005E3D50">
              <w:rPr>
                <w:lang w:val="es-ES"/>
              </w:rPr>
              <w:t>65 %</w:t>
            </w:r>
          </w:p>
        </w:tc>
        <w:tc>
          <w:tcPr>
            <w:tcW w:w="2231" w:type="dxa"/>
          </w:tcPr>
          <w:p w14:paraId="041683C3" w14:textId="088789EE" w:rsidR="0065492D" w:rsidRPr="005E3D50" w:rsidRDefault="0065492D" w:rsidP="002073BD">
            <w:pPr>
              <w:rPr>
                <w:lang w:val="es-ES"/>
              </w:rPr>
            </w:pPr>
            <w:r w:rsidRPr="005E3D50">
              <w:rPr>
                <w:lang w:val="es-ES"/>
              </w:rPr>
              <w:t>Meta 23</w:t>
            </w:r>
          </w:p>
        </w:tc>
        <w:tc>
          <w:tcPr>
            <w:tcW w:w="2232" w:type="dxa"/>
          </w:tcPr>
          <w:p w14:paraId="6EC9706E" w14:textId="515F754F" w:rsidR="0065492D" w:rsidRPr="005E3D50" w:rsidRDefault="00E101ED" w:rsidP="002073BD">
            <w:pPr>
              <w:rPr>
                <w:lang w:val="es-ES"/>
              </w:rPr>
            </w:pPr>
            <w:r w:rsidRPr="005E3D50">
              <w:rPr>
                <w:lang w:val="es-ES"/>
              </w:rPr>
              <w:t>68 %</w:t>
            </w:r>
          </w:p>
        </w:tc>
      </w:tr>
      <w:tr w:rsidR="0065492D" w:rsidRPr="005E3D50" w14:paraId="152A3BB2" w14:textId="77777777" w:rsidTr="0065492D">
        <w:tc>
          <w:tcPr>
            <w:tcW w:w="2231" w:type="dxa"/>
          </w:tcPr>
          <w:p w14:paraId="487928F8" w14:textId="41A06C65" w:rsidR="0065492D" w:rsidRPr="005E3D50" w:rsidRDefault="0065492D" w:rsidP="002073BD">
            <w:pPr>
              <w:rPr>
                <w:lang w:val="es-ES"/>
              </w:rPr>
            </w:pPr>
            <w:r w:rsidRPr="005E3D50">
              <w:rPr>
                <w:lang w:val="es-ES"/>
              </w:rPr>
              <w:t>Meta 12</w:t>
            </w:r>
          </w:p>
        </w:tc>
        <w:tc>
          <w:tcPr>
            <w:tcW w:w="2232" w:type="dxa"/>
          </w:tcPr>
          <w:p w14:paraId="6B258AA8" w14:textId="2CBFA76B" w:rsidR="0065492D" w:rsidRPr="005E3D50" w:rsidRDefault="00FC074C" w:rsidP="002073BD">
            <w:pPr>
              <w:rPr>
                <w:lang w:val="es-ES"/>
              </w:rPr>
            </w:pPr>
            <w:r w:rsidRPr="005E3D50">
              <w:rPr>
                <w:lang w:val="es-ES"/>
              </w:rPr>
              <w:t>70 %</w:t>
            </w:r>
          </w:p>
        </w:tc>
        <w:tc>
          <w:tcPr>
            <w:tcW w:w="2231" w:type="dxa"/>
          </w:tcPr>
          <w:p w14:paraId="1A4543B2" w14:textId="77777777" w:rsidR="0065492D" w:rsidRPr="005E3D50" w:rsidRDefault="0065492D" w:rsidP="002073BD">
            <w:pPr>
              <w:rPr>
                <w:lang w:val="es-ES" w:eastAsia="ja-JP"/>
              </w:rPr>
            </w:pPr>
          </w:p>
        </w:tc>
        <w:tc>
          <w:tcPr>
            <w:tcW w:w="2232" w:type="dxa"/>
          </w:tcPr>
          <w:p w14:paraId="6E42D675" w14:textId="77777777" w:rsidR="0065492D" w:rsidRPr="005E3D50" w:rsidRDefault="0065492D">
            <w:pPr>
              <w:keepNext/>
              <w:rPr>
                <w:lang w:val="es-ES" w:eastAsia="ja-JP"/>
              </w:rPr>
            </w:pPr>
          </w:p>
        </w:tc>
      </w:tr>
    </w:tbl>
    <w:p w14:paraId="4EA833A0" w14:textId="77777777" w:rsidR="009C283A" w:rsidRPr="005E3D50" w:rsidRDefault="009C283A" w:rsidP="009C283A">
      <w:pPr>
        <w:pStyle w:val="Caption"/>
        <w:rPr>
          <w:lang w:val="es-ES"/>
        </w:rPr>
      </w:pPr>
    </w:p>
    <w:p w14:paraId="5FFD411E" w14:textId="77777777" w:rsidR="00513F96" w:rsidRPr="005E3D50" w:rsidRDefault="00513F96" w:rsidP="00680B5E">
      <w:pPr>
        <w:rPr>
          <w:lang w:val="es-ES"/>
        </w:rPr>
      </w:pPr>
    </w:p>
    <w:p w14:paraId="0FD7449D" w14:textId="7A2CF282" w:rsidR="00FA3E4F" w:rsidRPr="005E3D50" w:rsidRDefault="00FA3E4F" w:rsidP="00470B54">
      <w:pPr>
        <w:pStyle w:val="Heading3"/>
        <w:rPr>
          <w:lang w:val="es-ES"/>
        </w:rPr>
      </w:pPr>
      <w:bookmarkStart w:id="73" w:name="_Toc235821043"/>
      <w:bookmarkStart w:id="74" w:name="_Toc239069188"/>
      <w:bookmarkStart w:id="75" w:name="_Toc242882966"/>
      <w:r w:rsidRPr="005E3D50">
        <w:rPr>
          <w:lang w:val="es-ES"/>
        </w:rPr>
        <w:t>Apoyo prestado a las Partes con respecto a las estrategias y planes de acción nacionales en materia de biodiversidad, la elaboración de metas nacionales y la presentación de informes nacionales</w:t>
      </w:r>
      <w:bookmarkEnd w:id="73"/>
      <w:bookmarkEnd w:id="74"/>
      <w:bookmarkEnd w:id="75"/>
    </w:p>
    <w:p w14:paraId="5387737F" w14:textId="77777777" w:rsidR="004A530A" w:rsidRPr="005E3D50" w:rsidRDefault="004A530A" w:rsidP="003D00FF">
      <w:pPr>
        <w:spacing w:after="200" w:line="276" w:lineRule="auto"/>
        <w:rPr>
          <w:lang w:val="es-ES"/>
        </w:rPr>
      </w:pPr>
    </w:p>
    <w:p w14:paraId="161746C5" w14:textId="77777777" w:rsidR="00121BCA" w:rsidRPr="005E3D50" w:rsidRDefault="00121BCA" w:rsidP="00121BCA">
      <w:pPr>
        <w:spacing w:after="200" w:line="276" w:lineRule="auto"/>
        <w:rPr>
          <w:rFonts w:ascii="Aptos" w:eastAsia="Aptos" w:hAnsi="Aptos" w:cs="Aptos"/>
          <w:lang w:val="es-ES"/>
        </w:rPr>
      </w:pPr>
      <w:r w:rsidRPr="005E3D50">
        <w:rPr>
          <w:lang w:val="es-ES"/>
        </w:rPr>
        <w:t>El octavo ciclo de reposición del Fondo para el Medio Ambiente Mundial (FMAM) incluyó apoyo financiero a las Partes para la actualización de las EPANB y la preparación de los séptimos informes nacionales al Convenio.</w:t>
      </w:r>
      <w:r w:rsidRPr="005E3D50">
        <w:rPr>
          <w:rFonts w:ascii="Aptos" w:hAnsi="Aptos"/>
          <w:lang w:val="es-ES"/>
        </w:rPr>
        <w:t xml:space="preserve"> Ese apoyo se prestó a través de un proyecto general ejecutado conjuntamente por el Programa de las Naciones Unidas para el Medio Ambiente (PNUMA) y el Programa de las Naciones Unidas para el Desarrollo (PNUD), en colaboración con la Secretaría del Convenio. </w:t>
      </w:r>
      <w:r w:rsidRPr="005E3D50">
        <w:rPr>
          <w:lang w:val="es-ES"/>
        </w:rPr>
        <w:t xml:space="preserve">El proyecto prestó apoyo a 139 países en desarrollo, pequeños Estados insulares en desarrollo y países con economías en transición. De las Partes que recibieron apoyo, 33 presentaron una EPANB, 109 </w:t>
      </w:r>
      <w:r w:rsidRPr="005E3D50">
        <w:rPr>
          <w:lang w:val="es-ES"/>
        </w:rPr>
        <w:lastRenderedPageBreak/>
        <w:t xml:space="preserve">presentaron metas nacionales armonizadas con el Marco y 82 presentaron informes nacionales antes de la fecha límite para su consideración en el informe mundial. </w:t>
      </w:r>
    </w:p>
    <w:p w14:paraId="578CBF35" w14:textId="326E4673" w:rsidR="001C7E85" w:rsidRPr="005E3D50" w:rsidRDefault="00FB3E53">
      <w:pPr>
        <w:rPr>
          <w:rFonts w:ascii="Aptos" w:eastAsia="Aptos" w:hAnsi="Aptos" w:cs="Aptos"/>
          <w:lang w:val="es-ES"/>
        </w:rPr>
      </w:pPr>
      <w:r w:rsidRPr="005E3D50">
        <w:rPr>
          <w:rFonts w:ascii="Aptos" w:hAnsi="Aptos"/>
          <w:lang w:val="es-ES"/>
        </w:rPr>
        <w:t xml:space="preserve">El apoyo prestado por el FMAM a través del PNUD y el PNUMA fue la principal fuente de apoyo financiero específico de que disponían las Partes para la preparación de sus séptimos informes nacionales y la actualización de sus EPANB. Por lo tanto, la accesibilidad de ese apoyo y el momento de su desembolso incidieron directamente en la capacidad de algunas Partes para preparar sus informes nacionales y actualizar sus EPANB. En algunos casos, en particular los pequeños Estados insulares en desarrollo del Caribe, los fondos se recibieron cerca del final del ciclo de presentación de informes. Eso puede haber impuesto limitaciones al tiempo disponible para la participación recomendada en los procesos consultivos y participativos asociados a la preparación de los informes nacionales, incluida la participación de las autoridades subnacionales, los pueblos indígenas y las comunidades locales, las mujeres y otros interesados. </w:t>
      </w:r>
      <w:r w:rsidRPr="005E3D50">
        <w:rPr>
          <w:lang w:val="es-ES"/>
        </w:rPr>
        <w:t xml:space="preserve">En otros casos, se produjeron demoras relacionadas con el inicio de las actividades de los proyectos o la ejecución de los proyectos, que pueden haber repercutido tanto en la tasa de presentación de informes nacionales como en su contenido </w:t>
      </w:r>
      <w:r w:rsidRPr="005E3D50">
        <w:rPr>
          <w:rFonts w:ascii="Aptos" w:hAnsi="Aptos"/>
          <w:lang w:val="es-ES"/>
        </w:rPr>
        <w:t>(</w:t>
      </w:r>
      <w:hyperlink r:id="rId40" w:history="1">
        <w:r w:rsidRPr="005E3D50">
          <w:rPr>
            <w:rStyle w:val="Hyperlink"/>
            <w:lang w:val="es-ES"/>
          </w:rPr>
          <w:t>CBD/SBI/7/INF/13</w:t>
        </w:r>
      </w:hyperlink>
      <w:r w:rsidRPr="005E3D50">
        <w:rPr>
          <w:rFonts w:ascii="Aptos" w:hAnsi="Aptos"/>
          <w:lang w:val="es-ES"/>
        </w:rPr>
        <w:t xml:space="preserve">). </w:t>
      </w:r>
    </w:p>
    <w:p w14:paraId="171E40BC" w14:textId="7EFB6A7B" w:rsidR="00B06CBD" w:rsidRPr="005E3D50" w:rsidRDefault="00FA3E4F" w:rsidP="003F246C">
      <w:pPr>
        <w:rPr>
          <w:lang w:val="es-ES"/>
        </w:rPr>
      </w:pPr>
      <w:r w:rsidRPr="005E3D50">
        <w:rPr>
          <w:lang w:val="es-ES"/>
        </w:rPr>
        <w:t>Además del apoyo financiero prestado a través del FMAM, numerosas organizaciones han apoyado actividades de creación y desarrollo de capacidad y la elaboración de orientaciones relacionadas con los procesos de actualización de las EPANB, la implementación del marco de seguimiento y la preparación de los informes nacionales. Por ejemplo, la Secretaría y sus asociados organizaron una serie de diálogos regionales y subregionales en 2024 y 2025 para apoyar esos procesos (</w:t>
      </w:r>
      <w:hyperlink r:id="rId41" w:history="1">
        <w:r w:rsidRPr="005E3D50">
          <w:rPr>
            <w:rStyle w:val="Hyperlink"/>
            <w:lang w:val="es-ES"/>
          </w:rPr>
          <w:t>CBD/SBI/6/INF/6</w:t>
        </w:r>
      </w:hyperlink>
      <w:r w:rsidRPr="005E3D50">
        <w:rPr>
          <w:lang w:val="es-ES"/>
        </w:rPr>
        <w:t xml:space="preserve">). Asimismo, las Partes han podido recurrir a otras plataformas </w:t>
      </w:r>
      <w:r w:rsidR="00A117C5" w:rsidRPr="005E3D50">
        <w:rPr>
          <w:lang w:val="es-ES"/>
        </w:rPr>
        <w:t>que apoyan</w:t>
      </w:r>
      <w:r w:rsidRPr="005E3D50">
        <w:rPr>
          <w:lang w:val="es-ES"/>
        </w:rPr>
        <w:t xml:space="preserve"> la implementación, entre ellas la Asociación Aceleradora de las EPANB, que ha prestado apoyo a más de 30 países de todas las regiones proporcionándoles apoyo técnico y financiero para la implementación</w:t>
      </w:r>
      <w:r w:rsidR="005F128B" w:rsidRPr="005E3D50">
        <w:rPr>
          <w:rStyle w:val="FootnoteReference"/>
          <w:lang w:val="es-ES"/>
        </w:rPr>
        <w:footnoteReference w:id="9"/>
      </w:r>
      <w:r w:rsidRPr="005E3D50">
        <w:rPr>
          <w:lang w:val="es-ES"/>
        </w:rPr>
        <w:t>. Por su parte, el PNUMA y el PNUD, a través de los ciclos séptimo y octavo de reposición del FMAM, han apoyado otros procesos relacionados con las EPANB y los informes nacionales.</w:t>
      </w:r>
    </w:p>
    <w:p w14:paraId="1838418F" w14:textId="77777777" w:rsidR="003F246C" w:rsidRPr="005E3D50" w:rsidRDefault="003F246C" w:rsidP="003F246C">
      <w:pPr>
        <w:rPr>
          <w:lang w:val="es-ES"/>
        </w:rPr>
      </w:pPr>
    </w:p>
    <w:p w14:paraId="653F6994" w14:textId="6A430A45" w:rsidR="00FA3E4F" w:rsidRPr="005E3D50" w:rsidRDefault="00FA3E4F" w:rsidP="00470B54">
      <w:pPr>
        <w:pStyle w:val="Heading3"/>
        <w:rPr>
          <w:lang w:val="es-ES"/>
        </w:rPr>
      </w:pPr>
      <w:bookmarkStart w:id="76" w:name="_Toc235821044"/>
      <w:bookmarkStart w:id="77" w:name="_Toc239069189"/>
      <w:bookmarkStart w:id="78" w:name="_Toc242882967"/>
      <w:r w:rsidRPr="005E3D50">
        <w:rPr>
          <w:lang w:val="es-ES"/>
        </w:rPr>
        <w:t xml:space="preserve">Relación entre las estrategias y planes de acción nacionales en materia de biodiversidad, las </w:t>
      </w:r>
      <w:proofErr w:type="gramStart"/>
      <w:r w:rsidRPr="005E3D50">
        <w:rPr>
          <w:lang w:val="es-ES"/>
        </w:rPr>
        <w:t>metas nacionales y los informes nacionales</w:t>
      </w:r>
      <w:bookmarkEnd w:id="76"/>
      <w:bookmarkEnd w:id="77"/>
      <w:bookmarkEnd w:id="78"/>
      <w:proofErr w:type="gramEnd"/>
    </w:p>
    <w:p w14:paraId="660570B3" w14:textId="77777777" w:rsidR="00B06CBD" w:rsidRPr="005E3D50" w:rsidRDefault="00B06CBD" w:rsidP="00FA3E4F">
      <w:pPr>
        <w:rPr>
          <w:lang w:val="es-ES"/>
        </w:rPr>
      </w:pPr>
    </w:p>
    <w:p w14:paraId="51217CB1" w14:textId="1DBDE647" w:rsidR="0086364A" w:rsidRPr="005E3D50" w:rsidRDefault="0086364A" w:rsidP="0086364A">
      <w:pPr>
        <w:rPr>
          <w:lang w:val="es-ES"/>
        </w:rPr>
      </w:pPr>
      <w:r w:rsidRPr="005E3D50">
        <w:rPr>
          <w:lang w:val="es-ES"/>
        </w:rPr>
        <w:lastRenderedPageBreak/>
        <w:t xml:space="preserve">Si bien representan diferentes mecanismos y fuentes de información, las EPANB, las </w:t>
      </w:r>
      <w:proofErr w:type="gramStart"/>
      <w:r w:rsidRPr="005E3D50">
        <w:rPr>
          <w:lang w:val="es-ES"/>
        </w:rPr>
        <w:t>metas nacionales y los informes nacionales</w:t>
      </w:r>
      <w:proofErr w:type="gramEnd"/>
      <w:r w:rsidRPr="005E3D50">
        <w:rPr>
          <w:lang w:val="es-ES"/>
        </w:rPr>
        <w:t xml:space="preserve"> están interrelacionados. Las EPANB, revisadas o actualizadas en consonancia con el Marco y sus objetivos y metas, son el principal vehículo para la implementación del Marco, incluido el establecimiento de metas nacionales. Además, las EPANB son documentos de política nacional adaptados a los contextos </w:t>
      </w:r>
      <w:r w:rsidR="00E251F6" w:rsidRPr="005E3D50">
        <w:rPr>
          <w:lang w:val="es-ES"/>
        </w:rPr>
        <w:t>de los países</w:t>
      </w:r>
      <w:r w:rsidRPr="005E3D50">
        <w:rPr>
          <w:lang w:val="es-ES"/>
        </w:rPr>
        <w:t xml:space="preserve">, armonizados con los ciclos de las políticas nacionales y </w:t>
      </w:r>
      <w:r w:rsidR="004B415F">
        <w:rPr>
          <w:lang w:val="es-ES"/>
        </w:rPr>
        <w:t>diseñados par</w:t>
      </w:r>
      <w:r w:rsidRPr="005E3D50">
        <w:rPr>
          <w:lang w:val="es-ES"/>
        </w:rPr>
        <w:t xml:space="preserve">a públicos nacionales. Sus plazos suelen diferir de los plazos de 2030 para las metas del Marco y del horizonte temporal de 2050 para los objetivos y la Visión, y suelen estar armonizados con instrumentos de política nacional más amplios. Las metas nacionales representan los objetivos que las Partes se han fijado con miras a contribuir a la implementación del Marco y constituyen el vínculo entre los instrumentos de </w:t>
      </w:r>
      <w:proofErr w:type="gramStart"/>
      <w:r w:rsidRPr="005E3D50">
        <w:rPr>
          <w:lang w:val="es-ES"/>
        </w:rPr>
        <w:t>política nacional y el compromiso nacional</w:t>
      </w:r>
      <w:proofErr w:type="gramEnd"/>
      <w:r w:rsidRPr="005E3D50">
        <w:rPr>
          <w:lang w:val="es-ES"/>
        </w:rPr>
        <w:t xml:space="preserve"> en relación con el alcance del Marco y sus metas mundiales. Los informes nacionales, que son el principal instrumento para el seguimiento y la presentación de informes sobre la aplicación del Convenio y la implementación del Marco a nivel nacional, proporcionan una evaluación de los progresos en la implementación del Marco, incluidos los progresos en la implementación de las EPANB y las metas nacionales, así como los logros y </w:t>
      </w:r>
      <w:r w:rsidR="00441BFE">
        <w:rPr>
          <w:lang w:val="es-ES"/>
        </w:rPr>
        <w:t>dificultades</w:t>
      </w:r>
      <w:r w:rsidRPr="005E3D50">
        <w:rPr>
          <w:lang w:val="es-ES"/>
        </w:rPr>
        <w:t xml:space="preserve"> que las Partes han encontrado al adoptar medidas para alcanzar sus metas. </w:t>
      </w:r>
    </w:p>
    <w:p w14:paraId="1661EADD" w14:textId="250E74BB" w:rsidR="00C307A0" w:rsidRPr="005E3D50" w:rsidRDefault="00090134" w:rsidP="00C307A0">
      <w:pPr>
        <w:rPr>
          <w:lang w:val="es-ES"/>
        </w:rPr>
      </w:pPr>
      <w:r w:rsidRPr="005E3D50">
        <w:rPr>
          <w:lang w:val="es-ES"/>
        </w:rPr>
        <w:t xml:space="preserve">Por su condición de documentos de política, las EPANB son transversales y abarcan la totalidad del proceso de implementación. En el marco de este panorama general de las presentaciones, en la sección siguiente se </w:t>
      </w:r>
      <w:r w:rsidR="00E32DC7" w:rsidRPr="005E3D50">
        <w:rPr>
          <w:lang w:val="es-ES"/>
        </w:rPr>
        <w:t>proporciona</w:t>
      </w:r>
      <w:r w:rsidRPr="005E3D50">
        <w:rPr>
          <w:lang w:val="es-ES"/>
        </w:rPr>
        <w:t xml:space="preserve"> un análisis de su contenido. El análisis de los informes nacionales se considera principalmente en la sección II.B, relativa a los progresos colectivos en la </w:t>
      </w:r>
      <w:r w:rsidR="00FA39FF" w:rsidRPr="005E3D50">
        <w:rPr>
          <w:lang w:val="es-ES"/>
        </w:rPr>
        <w:t>consecución</w:t>
      </w:r>
      <w:r w:rsidRPr="005E3D50">
        <w:rPr>
          <w:lang w:val="es-ES"/>
        </w:rPr>
        <w:t xml:space="preserve"> de cada una de las metas del Marco, y en la sección II.C, relativa a los progresos colectivos </w:t>
      </w:r>
      <w:r w:rsidR="00FA39FF" w:rsidRPr="005E3D50">
        <w:rPr>
          <w:lang w:val="es-ES"/>
        </w:rPr>
        <w:t>en la consecución de</w:t>
      </w:r>
      <w:r w:rsidRPr="005E3D50">
        <w:rPr>
          <w:lang w:val="es-ES"/>
        </w:rPr>
        <w:t xml:space="preserve"> cada uno de los objetivos. </w:t>
      </w:r>
    </w:p>
    <w:p w14:paraId="37C70065" w14:textId="77777777" w:rsidR="00FA3E4F" w:rsidRPr="005E3D50" w:rsidRDefault="00FA3E4F" w:rsidP="00FA3E4F">
      <w:pPr>
        <w:rPr>
          <w:lang w:val="es-ES"/>
        </w:rPr>
      </w:pPr>
    </w:p>
    <w:p w14:paraId="11E47D55" w14:textId="2253CF57" w:rsidR="00FA3E4F" w:rsidRPr="005E3D50" w:rsidRDefault="00FA3E4F" w:rsidP="00FA3E4F">
      <w:pPr>
        <w:pStyle w:val="Heading3"/>
        <w:rPr>
          <w:lang w:val="es-ES"/>
        </w:rPr>
      </w:pPr>
      <w:bookmarkStart w:id="79" w:name="_Toc235821045"/>
      <w:bookmarkStart w:id="80" w:name="_Toc239069190"/>
      <w:bookmarkStart w:id="81" w:name="_Toc242882968"/>
      <w:r w:rsidRPr="005E3D50">
        <w:rPr>
          <w:lang w:val="es-ES"/>
        </w:rPr>
        <w:t>Panorama general de las estrategias y planes de acción nacionales en materia de biodiversidad</w:t>
      </w:r>
      <w:r w:rsidRPr="005E3D50">
        <w:rPr>
          <w:vertAlign w:val="superscript"/>
          <w:lang w:val="es-ES"/>
        </w:rPr>
        <w:footnoteReference w:id="10"/>
      </w:r>
      <w:bookmarkEnd w:id="79"/>
      <w:bookmarkEnd w:id="80"/>
      <w:bookmarkEnd w:id="81"/>
    </w:p>
    <w:p w14:paraId="15B1F65F" w14:textId="77777777" w:rsidR="004A530A" w:rsidRPr="005E3D50" w:rsidRDefault="004A530A" w:rsidP="004A530A">
      <w:pPr>
        <w:rPr>
          <w:lang w:val="es-ES"/>
        </w:rPr>
      </w:pPr>
    </w:p>
    <w:p w14:paraId="3C42F0BA" w14:textId="4819D656" w:rsidR="00640C88" w:rsidRPr="005E3D50" w:rsidRDefault="00225670" w:rsidP="00640C88">
      <w:pPr>
        <w:rPr>
          <w:lang w:val="es-ES"/>
        </w:rPr>
      </w:pPr>
      <w:r w:rsidRPr="005E3D50">
        <w:rPr>
          <w:lang w:val="es-ES"/>
        </w:rPr>
        <w:t>Debido a</w:t>
      </w:r>
      <w:r w:rsidR="00640C88" w:rsidRPr="005E3D50">
        <w:rPr>
          <w:lang w:val="es-ES"/>
        </w:rPr>
        <w:t xml:space="preserve"> que las Partes cuentan con diferentes arreglos constitucionales, jurídicos, administrativos y federales, las EPANB pueden implementarse mediante una combinación de instrumentos de política, actos del poder ejecutivo, planes sectoriales, programas presupuestarios, estrategias subnacionales y marcos jurídicos existentes. Dado el alcance del mandato para el informe mundial y las limitaciones de las fuentes disponibles, el </w:t>
      </w:r>
      <w:r w:rsidR="00640C88" w:rsidRPr="005E3D50">
        <w:rPr>
          <w:lang w:val="es-ES"/>
        </w:rPr>
        <w:lastRenderedPageBreak/>
        <w:t>análisis que figura a continuación se centra en la información contenida en las propias EPANB. Para comprender de manera más completa el enfoque de una Parte en particular respecto de la aplicación del Convenio, debería considerarse el panorama más amplio de políticas en el que se implementa su EPANB.</w:t>
      </w:r>
    </w:p>
    <w:p w14:paraId="0A64D39B" w14:textId="40799149" w:rsidR="002A7D10" w:rsidRPr="005E3D50" w:rsidRDefault="002A7D10" w:rsidP="002A7D10">
      <w:pPr>
        <w:rPr>
          <w:lang w:val="es-ES"/>
        </w:rPr>
      </w:pPr>
      <w:r w:rsidRPr="005E3D50">
        <w:rPr>
          <w:lang w:val="es-ES"/>
        </w:rPr>
        <w:t xml:space="preserve">Aproximadamente un tercio de las EPANB se han adoptado a un alto nivel político, por ejemplo, por parte de un gabinete, un parlamento o un </w:t>
      </w:r>
      <w:proofErr w:type="gramStart"/>
      <w:r w:rsidRPr="005E3D50">
        <w:rPr>
          <w:lang w:val="es-ES"/>
        </w:rPr>
        <w:t>Jefe</w:t>
      </w:r>
      <w:proofErr w:type="gramEnd"/>
      <w:r w:rsidRPr="005E3D50">
        <w:rPr>
          <w:lang w:val="es-ES"/>
        </w:rPr>
        <w:t xml:space="preserve"> de Estado, lo que refleja los esfuerzos por integrar la biodiversidad en todos los sectores gubernamentales o mediante un enfoque de todo el gobierno. Si bien aproximadamente la mitad de las EPANB fueron adoptadas como instrumentos formales de política, muchas otras no contienen información suficiente para poder determinar su situación. Aunque se promueven los enfoques que abarcan a todo el gobierno y una proporción considerable de las Partes consulta e involucra a una amplia gama de ministerios, además del ministerio responsable del medio ambiente, el impacto real de esos esfuerzos en la integración de la biodiversidad en las medidas de todos los sectores sigue siendo incierto.</w:t>
      </w:r>
    </w:p>
    <w:p w14:paraId="59175670" w14:textId="4C9DFEEE" w:rsidR="00E65380" w:rsidRPr="005E3D50" w:rsidRDefault="00B86428" w:rsidP="00E65380">
      <w:pPr>
        <w:rPr>
          <w:lang w:val="es-ES"/>
        </w:rPr>
      </w:pPr>
      <w:r w:rsidRPr="005E3D50">
        <w:rPr>
          <w:lang w:val="es-ES"/>
        </w:rPr>
        <w:t xml:space="preserve">Muchas EPANB se elaboraron mediante procesos consultivos. Aproximadamente la mitad de las Partes informan que cuentan con mecanismos formales de coordinación, como comités interministeriales u órganos de múltiples interesados, mientras que algunas Partes están estableciendo nuevos mecanismos para mejorar la coordinación entre sectores y niveles de gobierno. Esas estructuras varían en cuanto a su alcance, desde órganos centrados exclusivamente en la elaboración de las EPANB hasta aquellos encargados de supervisar la implementación, el seguimiento y la presentación de informes sobre el Marco. Cuando no existen mecanismos formales, la responsabilidad suele asignarse a instituciones gubernamentales específicas. En general, aunque los marcos de coordinación están mejorando, su permanencia a lo largo del ciclo de políticas y su eficacia siguen siendo </w:t>
      </w:r>
      <w:r w:rsidR="00600B38" w:rsidRPr="005E3D50">
        <w:rPr>
          <w:lang w:val="es-ES"/>
        </w:rPr>
        <w:t>dispares</w:t>
      </w:r>
      <w:r w:rsidRPr="005E3D50">
        <w:rPr>
          <w:lang w:val="es-ES"/>
        </w:rPr>
        <w:t>.</w:t>
      </w:r>
    </w:p>
    <w:p w14:paraId="5C2DAF57" w14:textId="77777777" w:rsidR="00CA42C2" w:rsidRPr="005E3D50" w:rsidRDefault="00CA42C2" w:rsidP="00CA42C2">
      <w:pPr>
        <w:rPr>
          <w:lang w:val="es-ES"/>
        </w:rPr>
      </w:pPr>
      <w:r w:rsidRPr="005E3D50">
        <w:rPr>
          <w:lang w:val="es-ES"/>
        </w:rPr>
        <w:t xml:space="preserve">Si bien tres cuartos de las EPANB indican la participación de una amplia variedad de actores, el grado y la inclusión de esa participación varían. Aunque a menudo se consulta a miembros de organizaciones no gubernamentales y de los ministerios, y estos forman parte de comités relacionados con las EPANB o participan en la implementación, los pueblos indígenas y las comunidades locales, la juventud, las organizaciones de mujeres y el público en general participan con menos frecuencia en esas actividades. </w:t>
      </w:r>
    </w:p>
    <w:p w14:paraId="4080B53F" w14:textId="77777777" w:rsidR="00F215B1" w:rsidRPr="005E3D50" w:rsidRDefault="00F215B1" w:rsidP="00F215B1">
      <w:pPr>
        <w:rPr>
          <w:lang w:val="es-ES"/>
        </w:rPr>
      </w:pPr>
      <w:r w:rsidRPr="005E3D50">
        <w:rPr>
          <w:lang w:val="es-ES"/>
        </w:rPr>
        <w:t xml:space="preserve">La mayoría de las EPANB incluyen acciones, políticas y programas concretos para alcanzar las metas nacionales, que a menudo se presentan como planes de acción estructurados con plazos y actores responsables. Sin embargo, la incorporación de detalles espaciales y financieros varía, y los aspectos temporales se abordan con mayor frecuencia que las dimensiones financieras o geográficas. La financiación de la biodiversidad se reconoce </w:t>
      </w:r>
      <w:r w:rsidRPr="005E3D50">
        <w:rPr>
          <w:lang w:val="es-ES"/>
        </w:rPr>
        <w:lastRenderedPageBreak/>
        <w:t>como un factor de apoyo fundamental, pero solo alrededor de la mitad de las EPANB incluyen elementos de financiación, y son aún menos las que proporcionan un cálculo detallado de los costos, estrategias de financiación o análisis de las carencias financieras, lo que en conjunto pone de manifiesto los desafíos persistentes para traducir los objetivos de biodiversidad en programas viables, que puedan financiarse o que cuenten con financiación.</w:t>
      </w:r>
    </w:p>
    <w:p w14:paraId="37210CC7" w14:textId="157B7C3E" w:rsidR="004D1729" w:rsidRPr="005E3D50" w:rsidRDefault="00153B8E" w:rsidP="00FA3E4F">
      <w:pPr>
        <w:rPr>
          <w:lang w:val="es-ES"/>
        </w:rPr>
      </w:pPr>
      <w:r w:rsidRPr="005E3D50">
        <w:rPr>
          <w:lang w:val="es-ES"/>
        </w:rPr>
        <w:t>Además, l</w:t>
      </w:r>
      <w:r w:rsidR="00FA3E4F" w:rsidRPr="005E3D50">
        <w:rPr>
          <w:lang w:val="es-ES"/>
        </w:rPr>
        <w:t xml:space="preserve">a mayoría de las EPANB incluyen marcos de seguimiento. Esos marcos suelen proporcionar información sobre los procesos de presentación de informes, las responsabilidades institucionales y los sistemas de datos. Sin embargo, se proporciona escasa información sobre los sistemas de seguimiento o los indicadores que se utilizarán para hacer un seguimiento de la </w:t>
      </w:r>
      <w:r w:rsidR="003934A3" w:rsidRPr="005E3D50">
        <w:rPr>
          <w:lang w:val="es-ES"/>
        </w:rPr>
        <w:t>consecución</w:t>
      </w:r>
      <w:r w:rsidR="00FA3E4F" w:rsidRPr="005E3D50">
        <w:rPr>
          <w:lang w:val="es-ES"/>
        </w:rPr>
        <w:t xml:space="preserve"> de las metas nacionales y sobre la armonización de esos indicadores con los indicadores del marco de seguimiento (véase el recuadro 1).</w:t>
      </w:r>
    </w:p>
    <w:p w14:paraId="781D3828" w14:textId="77777777" w:rsidR="00FE4E97" w:rsidRPr="005E3D50" w:rsidRDefault="00FE4E97" w:rsidP="00FE4E97">
      <w:pPr>
        <w:rPr>
          <w:lang w:val="es-ES"/>
        </w:rPr>
      </w:pPr>
      <w:r w:rsidRPr="005E3D50">
        <w:rPr>
          <w:lang w:val="es-ES"/>
        </w:rPr>
        <w:t xml:space="preserve">Casi todas las EPANB hacen referencia a actividades relacionadas con la comunicación, la educación y la conciencia pública, y algunas hacen referencia a estrategias formales de comunicación. </w:t>
      </w:r>
    </w:p>
    <w:p w14:paraId="1D9A9442" w14:textId="7E2B75A6" w:rsidR="00983AD1" w:rsidRPr="005E3D50" w:rsidRDefault="001C1C42" w:rsidP="00983AD1">
      <w:pPr>
        <w:rPr>
          <w:lang w:val="es-ES"/>
        </w:rPr>
      </w:pPr>
      <w:r w:rsidRPr="005E3D50">
        <w:rPr>
          <w:lang w:val="es-ES"/>
        </w:rPr>
        <w:t xml:space="preserve">Solo una pequeña proporción de las EPANB se refiere explícitamente a la integración de la biodiversidad en los planes nacionales de desarrollo, es decir, estrategias que algunos Gobiernos utilizan para definir a grandes rasgos los objetivos socioeconómicos y ambientales de sus países a </w:t>
      </w:r>
      <w:r w:rsidR="00BC5D6C" w:rsidRPr="005E3D50">
        <w:rPr>
          <w:lang w:val="es-ES"/>
        </w:rPr>
        <w:t xml:space="preserve">mediano o </w:t>
      </w:r>
      <w:r w:rsidRPr="005E3D50">
        <w:rPr>
          <w:lang w:val="es-ES"/>
        </w:rPr>
        <w:t>largo plazo. Hay relativamente pocos vínculos con las estrategias de erradicación de la pobreza</w:t>
      </w:r>
      <w:r w:rsidR="00913D45" w:rsidRPr="005E3D50">
        <w:rPr>
          <w:lang w:val="es-ES"/>
        </w:rPr>
        <w:t xml:space="preserve"> </w:t>
      </w:r>
      <w:r w:rsidR="00913D45" w:rsidRPr="005E3D50">
        <w:rPr>
          <w:rFonts w:ascii="Aptos" w:eastAsia="SimSun" w:hAnsi="Aptos" w:cs="Times New Roman"/>
          <w:lang w:val="es-ES"/>
        </w:rPr>
        <w:t>—</w:t>
      </w:r>
      <w:r w:rsidRPr="005E3D50">
        <w:rPr>
          <w:lang w:val="es-ES"/>
        </w:rPr>
        <w:t>los planes multidimensionales elaborados por algunos países para aliviar la pobreza en sus múltiples dimensiones</w:t>
      </w:r>
      <w:r w:rsidR="00913D45" w:rsidRPr="005E3D50">
        <w:rPr>
          <w:rFonts w:ascii="Aptos" w:eastAsia="SimSun" w:hAnsi="Aptos" w:cs="Times New Roman"/>
          <w:lang w:val="es-ES"/>
        </w:rPr>
        <w:t>—</w:t>
      </w:r>
      <w:r w:rsidRPr="005E3D50">
        <w:rPr>
          <w:lang w:val="es-ES"/>
        </w:rPr>
        <w:t xml:space="preserve"> a pesar de las pruebas fehacientes de la importancia de la diversidad biológica y las contribuciones de la naturaleza a las personas para sustentar los medios de vida y el bienestar humano (IPBES, 2019). La planificación subnacional ocupa un lugar más destacado, y muchas EPANB incorporan estrategias y acciones a nivel local, lo que indica la creciente atención que se presta a la implementación en múltiples niveles de gobernanza.</w:t>
      </w:r>
    </w:p>
    <w:p w14:paraId="71693CEB" w14:textId="77777777" w:rsidR="00B63A6E" w:rsidRPr="005E3D50" w:rsidRDefault="00B63A6E">
      <w:pPr>
        <w:rPr>
          <w:rFonts w:ascii="Aptos" w:eastAsia="Aptos" w:hAnsi="Aptos" w:cs="Aptos"/>
          <w:lang w:val="es-ES"/>
        </w:rPr>
      </w:pPr>
      <w:r w:rsidRPr="005E3D50">
        <w:rPr>
          <w:lang w:val="es-ES"/>
        </w:rPr>
        <w:t>En comparación con las EPANB anteriores, un mayor número de EPANB elaboradas o actualizadas tras la adopción del Marco contienen elementos relacionados con la integración, y más de la mitad de las Partes abordan cuestiones subnacionales o municipales en sus estrategias y planes.</w:t>
      </w:r>
      <w:r w:rsidRPr="005E3D50">
        <w:rPr>
          <w:rFonts w:ascii="Aptos" w:hAnsi="Aptos"/>
          <w:lang w:val="es-ES"/>
        </w:rPr>
        <w:t xml:space="preserve"> Sin embargo, muy pocas Partes han integrado estrategias de desarrollo sostenible, políticas climáticas o marcos de erradicación de la pobreza en sus EPANB. </w:t>
      </w:r>
    </w:p>
    <w:p w14:paraId="2A279E5E" w14:textId="0606A8C9" w:rsidR="00B63A6E" w:rsidRPr="005E3D50" w:rsidRDefault="00B63A6E">
      <w:pPr>
        <w:rPr>
          <w:rFonts w:ascii="Aptos" w:eastAsia="Aptos" w:hAnsi="Aptos" w:cs="Aptos"/>
          <w:lang w:val="es-ES"/>
        </w:rPr>
      </w:pPr>
      <w:r w:rsidRPr="005E3D50">
        <w:rPr>
          <w:rFonts w:ascii="Aptos" w:hAnsi="Aptos"/>
          <w:lang w:val="es-ES"/>
        </w:rPr>
        <w:t xml:space="preserve">El Protocolo de Cartagena sobre Seguridad de la Biotecnología y el Protocolo de Nagoya sobre Acceso a los Recursos Genéticos y Participación Justa y Equitativa en los Beneficios </w:t>
      </w:r>
      <w:r w:rsidRPr="005E3D50">
        <w:rPr>
          <w:rFonts w:ascii="Aptos" w:hAnsi="Aptos"/>
          <w:lang w:val="es-ES"/>
        </w:rPr>
        <w:lastRenderedPageBreak/>
        <w:t xml:space="preserve">que se Deriven de su Utilización, los dos protocolos en el marco del </w:t>
      </w:r>
      <w:proofErr w:type="gramStart"/>
      <w:r w:rsidRPr="005E3D50">
        <w:rPr>
          <w:rFonts w:ascii="Aptos" w:hAnsi="Aptos"/>
          <w:lang w:val="es-ES"/>
        </w:rPr>
        <w:t>Convenio,</w:t>
      </w:r>
      <w:proofErr w:type="gramEnd"/>
      <w:r w:rsidRPr="005E3D50">
        <w:rPr>
          <w:rFonts w:ascii="Aptos" w:hAnsi="Aptos"/>
          <w:lang w:val="es-ES"/>
        </w:rPr>
        <w:t xml:space="preserve"> se mencionan en la mayoría de las EPANB presentadas. La mayoría de las EPANB contienen referencias a por lo menos un acuerdo ambiental multilateral, aunque muchas no especifican las acciones concretas que se están llevando a cabo para lograr una implementación sinérgica. En la sección II.E se proporciona más información sobre las referencias que se hacen en las EPANB a los convenios relacionados con la diversidad biológica y otros acuerdos ambientales multilaterales pertinentes. </w:t>
      </w:r>
    </w:p>
    <w:p w14:paraId="3FA556C0" w14:textId="77777777" w:rsidR="00636AAD" w:rsidRPr="005E3D50" w:rsidRDefault="00636AAD" w:rsidP="00636AAD">
      <w:pPr>
        <w:rPr>
          <w:lang w:val="es-ES"/>
        </w:rPr>
      </w:pPr>
      <w:r w:rsidRPr="005E3D50">
        <w:rPr>
          <w:lang w:val="es-ES"/>
        </w:rPr>
        <w:t>En consonancia con el enfoque de toda la sociedad del Marco, muchas EPANB reconocen la función de los actores distintos de los Gobiernos nacionales en la implementación. En las EPANB a menudo se reflejan las contribuciones de los pueblos indígenas y las comunidades locales, las organizaciones no gubernamentales y el sector privado, a los que se atribuyen funciones de apoyo en la implementación, por ejemplo, complementando las acciones de los Gobiernos nacionales o actuando como asociados en la implementación de proyectos y programas específicos.</w:t>
      </w:r>
    </w:p>
    <w:p w14:paraId="5278416C" w14:textId="55252E24" w:rsidR="00B63A6E" w:rsidRPr="005E3D50" w:rsidRDefault="00AC3C5D" w:rsidP="00B63A6E">
      <w:pPr>
        <w:rPr>
          <w:lang w:val="es-ES"/>
        </w:rPr>
      </w:pPr>
      <w:r w:rsidRPr="005E3D50">
        <w:rPr>
          <w:lang w:val="es-ES"/>
        </w:rPr>
        <w:t>La opción de someter la elaboración y la implementación de las EPANB al proceso de revisión voluntaria entre pares se menciona en la sección J del Marco como un componente del enfoque de planificación, seguimiento, presentación de informes y revisión (</w:t>
      </w:r>
      <w:proofErr w:type="spellStart"/>
      <w:r w:rsidRPr="005E3D50">
        <w:rPr>
          <w:lang w:val="es-ES"/>
        </w:rPr>
        <w:t>dec</w:t>
      </w:r>
      <w:proofErr w:type="spellEnd"/>
      <w:r w:rsidRPr="005E3D50">
        <w:rPr>
          <w:lang w:val="es-ES"/>
        </w:rPr>
        <w:t xml:space="preserve">. 15/4 en CDB, 2023); el proceso se describe con más detalle en el recuadro 6. La primera revisión de este tipo desde la adopción del Marco se encuentra actualmente en curso. </w:t>
      </w:r>
    </w:p>
    <w:p w14:paraId="5B65A906" w14:textId="3403CEB5" w:rsidR="00B40792" w:rsidRPr="005E3D50" w:rsidRDefault="00B40792" w:rsidP="00B40792">
      <w:pPr>
        <w:pStyle w:val="Caption"/>
        <w:rPr>
          <w:b/>
          <w:i w:val="0"/>
          <w:sz w:val="20"/>
          <w:szCs w:val="20"/>
          <w:lang w:val="es-ES"/>
        </w:rPr>
      </w:pPr>
    </w:p>
    <w:tbl>
      <w:tblPr>
        <w:tblStyle w:val="TableGrid"/>
        <w:tblW w:w="0" w:type="auto"/>
        <w:shd w:val="clear" w:color="auto" w:fill="BFBFBF" w:themeFill="background1" w:themeFillShade="BF"/>
        <w:tblLook w:val="04A0" w:firstRow="1" w:lastRow="0" w:firstColumn="1" w:lastColumn="0" w:noHBand="0" w:noVBand="1"/>
      </w:tblPr>
      <w:tblGrid>
        <w:gridCol w:w="9350"/>
      </w:tblGrid>
      <w:tr w:rsidR="00044EF6" w:rsidRPr="00942359" w14:paraId="40BEF22E" w14:textId="77777777" w:rsidTr="00044EF6">
        <w:tc>
          <w:tcPr>
            <w:tcW w:w="9350" w:type="dxa"/>
            <w:shd w:val="clear" w:color="auto" w:fill="BFBFBF" w:themeFill="background1" w:themeFillShade="BF"/>
          </w:tcPr>
          <w:p w14:paraId="62F78ED3" w14:textId="77777777" w:rsidR="00CB27FF" w:rsidRPr="005E3D50" w:rsidRDefault="00CB27FF" w:rsidP="003E38A4">
            <w:pPr>
              <w:rPr>
                <w:lang w:val="es-ES"/>
              </w:rPr>
            </w:pPr>
          </w:p>
          <w:p w14:paraId="40872623" w14:textId="483F20B1" w:rsidR="00AB29CE" w:rsidRPr="005E3D50" w:rsidRDefault="00AB29CE" w:rsidP="00AB29CE">
            <w:pPr>
              <w:pStyle w:val="Caption"/>
              <w:rPr>
                <w:i w:val="0"/>
                <w:iCs w:val="0"/>
                <w:sz w:val="20"/>
                <w:szCs w:val="20"/>
                <w:lang w:val="es-ES"/>
              </w:rPr>
            </w:pPr>
            <w:bookmarkStart w:id="82" w:name="_Ref235851961"/>
            <w:r w:rsidRPr="005E3D50">
              <w:rPr>
                <w:i w:val="0"/>
                <w:sz w:val="20"/>
                <w:szCs w:val="20"/>
                <w:lang w:val="es-ES"/>
              </w:rPr>
              <w:t>Recuadro 6</w:t>
            </w:r>
            <w:bookmarkEnd w:id="82"/>
          </w:p>
          <w:p w14:paraId="3F3071B6" w14:textId="1BCEF072" w:rsidR="00AB29CE" w:rsidRPr="005E3D50" w:rsidRDefault="00AB29CE" w:rsidP="00AB29CE">
            <w:pPr>
              <w:rPr>
                <w:b/>
                <w:sz w:val="20"/>
                <w:szCs w:val="20"/>
                <w:lang w:val="es-ES"/>
              </w:rPr>
            </w:pPr>
            <w:r w:rsidRPr="005E3D50">
              <w:rPr>
                <w:b/>
                <w:sz w:val="20"/>
                <w:szCs w:val="20"/>
                <w:lang w:val="es-ES"/>
              </w:rPr>
              <w:t>Revisión voluntaria entre pares de la revisión e implementación de las estrategias y planes de acción nacionales en materia de biodiversidad</w:t>
            </w:r>
          </w:p>
          <w:p w14:paraId="11BF01F0" w14:textId="77777777" w:rsidR="00AB29CE" w:rsidRPr="005E3D50" w:rsidRDefault="00AB29CE" w:rsidP="00AB29CE">
            <w:pPr>
              <w:rPr>
                <w:lang w:val="es-ES"/>
              </w:rPr>
            </w:pPr>
          </w:p>
          <w:p w14:paraId="1B84CD89" w14:textId="1DFC7772" w:rsidR="00EF0655" w:rsidRPr="005E3D50" w:rsidRDefault="00EF0655" w:rsidP="00EF0655">
            <w:pPr>
              <w:rPr>
                <w:sz w:val="20"/>
                <w:szCs w:val="20"/>
                <w:lang w:val="es-ES"/>
              </w:rPr>
            </w:pPr>
            <w:r w:rsidRPr="005E3D50">
              <w:rPr>
                <w:sz w:val="20"/>
                <w:szCs w:val="20"/>
                <w:lang w:val="es-ES"/>
              </w:rPr>
              <w:t xml:space="preserve">La revisión voluntaria entre pares es un proceso exhaustivo en el que expertos de diferentes países examinan la elaboración y la implementación de la estrategia y plan de acción nacionales en materia de biodiversidad de un país. A lo largo del proceso, la revisión voluntaria entre pares fomenta el intercambio mutuo de experiencias, el aprendizaje y la creación y el desarrollo de capacidad tanto de los revisores como de las Partes cuyas EPANB son objeto de revisión. El principal objetivo es fortalecer las capacidades de las Partes y contribuir a que sus esfuerzos de implementación sean más eficaces. </w:t>
            </w:r>
          </w:p>
          <w:p w14:paraId="50CDB898" w14:textId="77777777" w:rsidR="003E38A4" w:rsidRPr="005E3D50" w:rsidRDefault="003E38A4" w:rsidP="003E38A4">
            <w:pPr>
              <w:rPr>
                <w:sz w:val="20"/>
                <w:szCs w:val="20"/>
                <w:lang w:val="es-ES"/>
              </w:rPr>
            </w:pPr>
          </w:p>
          <w:p w14:paraId="7F2F760F" w14:textId="77777777" w:rsidR="003E38A4" w:rsidRPr="005E3D50" w:rsidRDefault="003E38A4" w:rsidP="003E38A4">
            <w:pPr>
              <w:rPr>
                <w:sz w:val="20"/>
                <w:szCs w:val="20"/>
                <w:lang w:val="es-ES"/>
              </w:rPr>
            </w:pPr>
            <w:r w:rsidRPr="005E3D50">
              <w:rPr>
                <w:sz w:val="20"/>
                <w:szCs w:val="20"/>
                <w:lang w:val="es-ES"/>
              </w:rPr>
              <w:t>Los Gobiernos del Japón, a través del Fondo del Japón para la Diversidad Biológica, Noruega y Suiza generosamente han comprometido fondos y recursos para la elaboración e implementación del proceso de revisión voluntaria entre pares.</w:t>
            </w:r>
          </w:p>
          <w:p w14:paraId="5AD10B4B" w14:textId="77777777" w:rsidR="003E38A4" w:rsidRPr="005E3D50" w:rsidRDefault="003E38A4" w:rsidP="003E38A4">
            <w:pPr>
              <w:rPr>
                <w:sz w:val="20"/>
                <w:szCs w:val="20"/>
                <w:lang w:val="es-ES"/>
              </w:rPr>
            </w:pPr>
          </w:p>
          <w:p w14:paraId="20AB2107" w14:textId="069646BF" w:rsidR="00EF0655" w:rsidRPr="005E3D50" w:rsidRDefault="00EF0655" w:rsidP="00EF0655">
            <w:pPr>
              <w:rPr>
                <w:sz w:val="20"/>
                <w:szCs w:val="20"/>
                <w:lang w:val="es-ES"/>
              </w:rPr>
            </w:pPr>
            <w:r w:rsidRPr="005E3D50">
              <w:rPr>
                <w:sz w:val="20"/>
                <w:szCs w:val="20"/>
                <w:lang w:val="es-ES"/>
              </w:rPr>
              <w:t xml:space="preserve">El proceso de revisión voluntaria entre pares se ha desarrollado en respuesta a decisiones adoptadas por la Conferencia de las Partes desde 2008 y se ha incluido como un componente del enfoque multidimensional mejorado de planificación, seguimiento, presentación de informes y revisión en el marco del Convenio y del Marco Mundial de Biodiversidad de Kunming-Montreal. </w:t>
            </w:r>
          </w:p>
          <w:p w14:paraId="601EC8C8" w14:textId="77777777" w:rsidR="00EF0655" w:rsidRPr="005E3D50" w:rsidRDefault="00EF0655" w:rsidP="00EF0655">
            <w:pPr>
              <w:rPr>
                <w:sz w:val="20"/>
                <w:szCs w:val="20"/>
                <w:lang w:val="es-ES"/>
              </w:rPr>
            </w:pPr>
          </w:p>
          <w:p w14:paraId="18098630" w14:textId="25B5B282" w:rsidR="00EF0655" w:rsidRPr="005E3D50" w:rsidRDefault="00EF0655" w:rsidP="00EF0655">
            <w:pPr>
              <w:rPr>
                <w:sz w:val="20"/>
                <w:szCs w:val="20"/>
                <w:lang w:val="es-ES"/>
              </w:rPr>
            </w:pPr>
            <w:r w:rsidRPr="005E3D50">
              <w:rPr>
                <w:sz w:val="20"/>
                <w:szCs w:val="20"/>
                <w:lang w:val="es-ES"/>
              </w:rPr>
              <w:t xml:space="preserve">En 2016 se elaboró un primer proyecto de metodología para la revisión voluntaria entre pares, que se puso a prueba en Etiopía y la India. De esas revisiones surgieron varias enseñanzas que sirvieron de orientación para perfeccionar la metodología, que se siguió poniendo a prueba y desarrollando, entre otras cosas mediante su aplicación en una fase piloto que comprendió revisiones completas en Montenegro, Sri Lanka y Uganda. </w:t>
            </w:r>
          </w:p>
          <w:p w14:paraId="406D97A2" w14:textId="77777777" w:rsidR="00EF0655" w:rsidRPr="005E3D50" w:rsidRDefault="00EF0655" w:rsidP="00EF0655">
            <w:pPr>
              <w:rPr>
                <w:sz w:val="20"/>
                <w:szCs w:val="20"/>
                <w:lang w:val="es-ES"/>
              </w:rPr>
            </w:pPr>
          </w:p>
          <w:p w14:paraId="475F0488" w14:textId="6B168042" w:rsidR="00EF0655" w:rsidRPr="005E3D50" w:rsidRDefault="00EF0655" w:rsidP="00EF0655">
            <w:pPr>
              <w:rPr>
                <w:sz w:val="20"/>
                <w:szCs w:val="20"/>
                <w:lang w:val="es-ES"/>
              </w:rPr>
            </w:pPr>
            <w:r w:rsidRPr="005E3D50">
              <w:rPr>
                <w:sz w:val="20"/>
                <w:szCs w:val="20"/>
                <w:lang w:val="es-ES"/>
              </w:rPr>
              <w:t>Las revisiones voluntarias entre pares realizadas en esos países pusieron de manifiesto varios ejemplos de mejores prácticas. En Sri Lanka, una secretaría de biodiversidad establecida en el Ministerio de Desarrollo</w:t>
            </w:r>
            <w:r w:rsidR="00D53E76" w:rsidRPr="005E3D50">
              <w:rPr>
                <w:sz w:val="20"/>
                <w:szCs w:val="20"/>
                <w:lang w:val="es-ES"/>
              </w:rPr>
              <w:t xml:space="preserve"> y Medio Ambiente</w:t>
            </w:r>
            <w:r w:rsidRPr="005E3D50">
              <w:rPr>
                <w:sz w:val="20"/>
                <w:szCs w:val="20"/>
                <w:lang w:val="es-ES"/>
              </w:rPr>
              <w:t xml:space="preserve"> de </w:t>
            </w:r>
            <w:proofErr w:type="spellStart"/>
            <w:r w:rsidRPr="005E3D50">
              <w:rPr>
                <w:sz w:val="20"/>
                <w:szCs w:val="20"/>
                <w:lang w:val="es-ES"/>
              </w:rPr>
              <w:t>Mahaweli</w:t>
            </w:r>
            <w:proofErr w:type="spellEnd"/>
            <w:r w:rsidRPr="005E3D50">
              <w:rPr>
                <w:sz w:val="20"/>
                <w:szCs w:val="20"/>
                <w:lang w:val="es-ES"/>
              </w:rPr>
              <w:t>, coordina la implementación general de la EPANB. Un comité de expertos en biodiversidad, en el que están representados diferentes ministerios del Gobierno, desempeña un papel fundamental en la supervisión general de la implementación de la EPANB. Además, la plataforma Biodiversity Sri Lanka proporciona un mecanismo innovador para involucrar al sector privado en la conservación de la biodiversidad del país.</w:t>
            </w:r>
          </w:p>
          <w:p w14:paraId="233DB7B7" w14:textId="77777777" w:rsidR="00EF0655" w:rsidRPr="005E3D50" w:rsidRDefault="00EF0655" w:rsidP="00EF0655">
            <w:pPr>
              <w:rPr>
                <w:sz w:val="20"/>
                <w:szCs w:val="20"/>
                <w:lang w:val="es-ES"/>
              </w:rPr>
            </w:pPr>
          </w:p>
          <w:p w14:paraId="11BDA6F3" w14:textId="2EFF6F34" w:rsidR="00EF0655" w:rsidRPr="005E3D50" w:rsidRDefault="00EF0655" w:rsidP="00EF0655">
            <w:pPr>
              <w:rPr>
                <w:sz w:val="20"/>
                <w:szCs w:val="20"/>
                <w:lang w:val="es-ES"/>
              </w:rPr>
            </w:pPr>
            <w:r w:rsidRPr="005E3D50">
              <w:rPr>
                <w:sz w:val="20"/>
                <w:szCs w:val="20"/>
                <w:lang w:val="es-ES"/>
              </w:rPr>
              <w:t xml:space="preserve">Entre las principales enseñanzas extraídas de la revisión voluntaria entre pares realizada en Uganda figuraban la importancia de </w:t>
            </w:r>
            <w:r w:rsidR="00BC132F" w:rsidRPr="005E3D50">
              <w:rPr>
                <w:sz w:val="20"/>
                <w:szCs w:val="20"/>
                <w:lang w:val="es-ES"/>
              </w:rPr>
              <w:t xml:space="preserve">basar en pruebas empíricas </w:t>
            </w:r>
            <w:r w:rsidRPr="005E3D50">
              <w:rPr>
                <w:sz w:val="20"/>
                <w:szCs w:val="20"/>
                <w:lang w:val="es-ES"/>
              </w:rPr>
              <w:t xml:space="preserve">la presupuestación y la financiación de la conservación de la diversidad biológica, así como la importancia de la inclusión y de </w:t>
            </w:r>
            <w:r w:rsidR="00BC132F" w:rsidRPr="005E3D50">
              <w:rPr>
                <w:sz w:val="20"/>
                <w:szCs w:val="20"/>
                <w:lang w:val="es-ES"/>
              </w:rPr>
              <w:t xml:space="preserve">adoptar </w:t>
            </w:r>
            <w:r w:rsidRPr="005E3D50">
              <w:rPr>
                <w:sz w:val="20"/>
                <w:szCs w:val="20"/>
                <w:lang w:val="es-ES"/>
              </w:rPr>
              <w:t>un enfoque de múltiples interesados (</w:t>
            </w:r>
            <w:r w:rsidR="00BC132F" w:rsidRPr="005E3D50">
              <w:rPr>
                <w:sz w:val="20"/>
                <w:szCs w:val="20"/>
                <w:lang w:val="es-ES"/>
              </w:rPr>
              <w:t>de distintos sectores, instituciones y disciplinas</w:t>
            </w:r>
            <w:r w:rsidRPr="005E3D50">
              <w:rPr>
                <w:sz w:val="20"/>
                <w:szCs w:val="20"/>
                <w:lang w:val="es-ES"/>
              </w:rPr>
              <w:t xml:space="preserve">) en el proceso de </w:t>
            </w:r>
            <w:r w:rsidR="00BC132F" w:rsidRPr="005E3D50">
              <w:rPr>
                <w:sz w:val="20"/>
                <w:szCs w:val="20"/>
                <w:lang w:val="es-ES"/>
              </w:rPr>
              <w:t>elaboración e implementación de la EPANB</w:t>
            </w:r>
            <w:r w:rsidRPr="005E3D50">
              <w:rPr>
                <w:sz w:val="20"/>
                <w:szCs w:val="20"/>
                <w:lang w:val="es-ES"/>
              </w:rPr>
              <w:t>.</w:t>
            </w:r>
          </w:p>
          <w:p w14:paraId="33BA65FC" w14:textId="77777777" w:rsidR="00EF0655" w:rsidRPr="005E3D50" w:rsidRDefault="00EF0655" w:rsidP="00EF0655">
            <w:pPr>
              <w:rPr>
                <w:sz w:val="20"/>
                <w:szCs w:val="20"/>
                <w:lang w:val="es-ES"/>
              </w:rPr>
            </w:pPr>
          </w:p>
          <w:p w14:paraId="10E746BF" w14:textId="77777777" w:rsidR="00EF0655" w:rsidRPr="005E3D50" w:rsidRDefault="00EF0655" w:rsidP="00EF0655">
            <w:pPr>
              <w:rPr>
                <w:sz w:val="20"/>
                <w:szCs w:val="20"/>
                <w:lang w:val="es-ES"/>
              </w:rPr>
            </w:pPr>
            <w:r w:rsidRPr="005E3D50">
              <w:rPr>
                <w:sz w:val="20"/>
                <w:szCs w:val="20"/>
                <w:lang w:val="es-ES"/>
              </w:rPr>
              <w:t xml:space="preserve">En Montenegro, dado el pequeño tamaño del país, se destacaron las oportunidades de cooperación transfronteriza con los países vecinos (aumentando así la eficacia y reduciendo los costos), en particular con respecto a las áreas protegidas y las especies exóticas invasoras. </w:t>
            </w:r>
          </w:p>
          <w:p w14:paraId="1391CAD5" w14:textId="77777777" w:rsidR="00EF0655" w:rsidRPr="005E3D50" w:rsidRDefault="00EF0655" w:rsidP="00EF0655">
            <w:pPr>
              <w:rPr>
                <w:sz w:val="20"/>
                <w:szCs w:val="20"/>
                <w:lang w:val="es-ES"/>
              </w:rPr>
            </w:pPr>
          </w:p>
          <w:p w14:paraId="5B1EFEC1" w14:textId="3AB87DC1" w:rsidR="00EF0655" w:rsidRPr="005E3D50" w:rsidRDefault="00EF0655" w:rsidP="00EF0655">
            <w:pPr>
              <w:rPr>
                <w:sz w:val="20"/>
                <w:szCs w:val="20"/>
                <w:lang w:val="es-ES"/>
              </w:rPr>
            </w:pPr>
            <w:r w:rsidRPr="005E3D50">
              <w:rPr>
                <w:sz w:val="20"/>
                <w:szCs w:val="20"/>
                <w:lang w:val="es-ES"/>
              </w:rPr>
              <w:t xml:space="preserve">La metodología de revisión voluntaria entre pares se actualizó en 2025 con el fin de armonizarla con el Marco y las decisiones recientes de la Conferencia de las Partes. La metodología modificada se puso a disposición para su revisión en el sitio web del </w:t>
            </w:r>
            <w:proofErr w:type="spellStart"/>
            <w:r w:rsidRPr="005E3D50">
              <w:rPr>
                <w:sz w:val="20"/>
                <w:szCs w:val="20"/>
                <w:lang w:val="es-ES"/>
              </w:rPr>
              <w:t>Convenio</w:t>
            </w:r>
            <w:r w:rsidRPr="005E3D50">
              <w:rPr>
                <w:sz w:val="20"/>
                <w:szCs w:val="20"/>
                <w:vertAlign w:val="superscript"/>
                <w:lang w:val="es-ES"/>
              </w:rPr>
              <w:t>a</w:t>
            </w:r>
            <w:proofErr w:type="spellEnd"/>
            <w:r w:rsidRPr="005E3D50">
              <w:rPr>
                <w:sz w:val="20"/>
                <w:szCs w:val="20"/>
                <w:lang w:val="es-ES"/>
              </w:rPr>
              <w:t>. La revisión de la elaboración y la implementación de la EPANB de Luxemburgo está en curso y los resultados de la revisión se presentarán a la Conferencia de las Partes en su 17ª reunión, en octubre de 2026.</w:t>
            </w:r>
          </w:p>
          <w:p w14:paraId="05D9229A" w14:textId="77777777" w:rsidR="00C419F7" w:rsidRPr="005E3D50" w:rsidRDefault="00C419F7" w:rsidP="003E38A4">
            <w:pPr>
              <w:rPr>
                <w:i/>
                <w:iCs/>
                <w:sz w:val="20"/>
                <w:szCs w:val="20"/>
                <w:lang w:val="es-ES"/>
              </w:rPr>
            </w:pPr>
          </w:p>
          <w:p w14:paraId="037E1B6B" w14:textId="36FA1828" w:rsidR="00412236" w:rsidRPr="005E3D50" w:rsidRDefault="008C6D7C" w:rsidP="003E38A4">
            <w:pPr>
              <w:rPr>
                <w:i/>
                <w:sz w:val="20"/>
                <w:szCs w:val="20"/>
                <w:lang w:val="es-ES"/>
              </w:rPr>
            </w:pPr>
            <w:r w:rsidRPr="005E3D50">
              <w:rPr>
                <w:i/>
                <w:iCs/>
                <w:sz w:val="20"/>
                <w:szCs w:val="20"/>
                <w:lang w:val="es-ES"/>
              </w:rPr>
              <w:t>Las decisiones pertinentes de la Conferencia de las Partes a este respecto son</w:t>
            </w:r>
            <w:r w:rsidR="000E7CE7" w:rsidRPr="005E3D50">
              <w:rPr>
                <w:i/>
                <w:iCs/>
                <w:sz w:val="20"/>
                <w:szCs w:val="20"/>
                <w:lang w:val="es-ES"/>
              </w:rPr>
              <w:t xml:space="preserve"> las</w:t>
            </w:r>
            <w:r w:rsidRPr="005E3D50">
              <w:rPr>
                <w:i/>
                <w:iCs/>
                <w:sz w:val="20"/>
                <w:szCs w:val="20"/>
                <w:lang w:val="es-ES"/>
              </w:rPr>
              <w:t xml:space="preserve"> decisiones IX/8 (CDB, 2008), XI/12 (CDB, 2012), XIII/25 (CDB, 2016), 14/29 (CDB, 2019) y 15/6 (CDB, 2023).</w:t>
            </w:r>
          </w:p>
          <w:p w14:paraId="082DF594" w14:textId="77777777" w:rsidR="00C419F7" w:rsidRPr="005E3D50" w:rsidRDefault="00C419F7" w:rsidP="003E38A4">
            <w:pPr>
              <w:rPr>
                <w:i/>
                <w:sz w:val="16"/>
                <w:szCs w:val="16"/>
                <w:lang w:val="es-ES"/>
              </w:rPr>
            </w:pPr>
          </w:p>
          <w:p w14:paraId="13D16B47" w14:textId="183673A3" w:rsidR="001E3F64" w:rsidRPr="0059394F" w:rsidRDefault="0073698F" w:rsidP="001E3F64">
            <w:pPr>
              <w:pStyle w:val="FootnoteText"/>
              <w:rPr>
                <w:sz w:val="16"/>
                <w:szCs w:val="16"/>
                <w:lang w:val="pt-BR"/>
              </w:rPr>
            </w:pPr>
            <w:r w:rsidRPr="0059394F">
              <w:rPr>
                <w:sz w:val="16"/>
                <w:szCs w:val="16"/>
                <w:vertAlign w:val="superscript"/>
                <w:lang w:val="pt-BR"/>
              </w:rPr>
              <w:t>a</w:t>
            </w:r>
            <w:r w:rsidR="00C26014" w:rsidRPr="0059394F">
              <w:rPr>
                <w:sz w:val="16"/>
                <w:szCs w:val="16"/>
                <w:vertAlign w:val="superscript"/>
                <w:lang w:val="pt-BR"/>
              </w:rPr>
              <w:t xml:space="preserve"> </w:t>
            </w:r>
            <w:proofErr w:type="spellStart"/>
            <w:r w:rsidRPr="0059394F">
              <w:rPr>
                <w:sz w:val="16"/>
                <w:szCs w:val="16"/>
                <w:lang w:val="pt-BR"/>
              </w:rPr>
              <w:t>Véase</w:t>
            </w:r>
            <w:proofErr w:type="spellEnd"/>
            <w:r w:rsidRPr="0059394F">
              <w:rPr>
                <w:sz w:val="16"/>
                <w:szCs w:val="16"/>
                <w:lang w:val="pt-BR"/>
              </w:rPr>
              <w:t xml:space="preserve"> </w:t>
            </w:r>
            <w:r>
              <w:fldChar w:fldCharType="begin"/>
            </w:r>
            <w:r w:rsidRPr="00942359">
              <w:rPr>
                <w:lang w:val="fr-FR"/>
              </w:rPr>
              <w:instrText>HYPERLINK "http://www.cbd.int/nbsap/vpr"</w:instrText>
            </w:r>
            <w:r>
              <w:fldChar w:fldCharType="separate"/>
            </w:r>
            <w:r w:rsidRPr="0059394F">
              <w:rPr>
                <w:rStyle w:val="Hyperlink"/>
                <w:sz w:val="16"/>
                <w:szCs w:val="16"/>
                <w:lang w:val="pt-BR"/>
              </w:rPr>
              <w:t>www.cbd.int/nbsap/vpr</w:t>
            </w:r>
            <w:r>
              <w:fldChar w:fldCharType="end"/>
            </w:r>
            <w:r w:rsidRPr="0059394F">
              <w:rPr>
                <w:sz w:val="16"/>
                <w:szCs w:val="16"/>
                <w:lang w:val="pt-BR"/>
              </w:rPr>
              <w:t>.</w:t>
            </w:r>
          </w:p>
          <w:p w14:paraId="529BDECB" w14:textId="640D4ACC" w:rsidR="00044EF6" w:rsidRPr="0059394F" w:rsidRDefault="00044EF6" w:rsidP="008E2840">
            <w:pPr>
              <w:rPr>
                <w:sz w:val="16"/>
                <w:szCs w:val="16"/>
                <w:lang w:val="pt-BR"/>
              </w:rPr>
            </w:pPr>
          </w:p>
        </w:tc>
      </w:tr>
    </w:tbl>
    <w:p w14:paraId="2696A83B" w14:textId="77777777" w:rsidR="00FD1820" w:rsidRPr="0059394F" w:rsidRDefault="00FD1820" w:rsidP="00FA3E4F">
      <w:pPr>
        <w:rPr>
          <w:b/>
          <w:lang w:val="pt-BR"/>
        </w:rPr>
      </w:pPr>
    </w:p>
    <w:p w14:paraId="700E822B" w14:textId="35AC6A9C" w:rsidR="00FA3E4F" w:rsidRPr="005E3D50" w:rsidRDefault="00FA3E4F" w:rsidP="003459AE">
      <w:pPr>
        <w:pStyle w:val="Heading3"/>
        <w:rPr>
          <w:lang w:val="es-ES"/>
        </w:rPr>
      </w:pPr>
      <w:bookmarkStart w:id="83" w:name="_Toc235821046"/>
      <w:bookmarkStart w:id="84" w:name="_Toc239069191"/>
      <w:bookmarkStart w:id="85" w:name="_Toc242882969"/>
      <w:r w:rsidRPr="005E3D50">
        <w:rPr>
          <w:lang w:val="es-ES"/>
        </w:rPr>
        <w:t>Compromisos de actores distintos de los Gobiernos nacionales</w:t>
      </w:r>
      <w:bookmarkEnd w:id="83"/>
      <w:bookmarkEnd w:id="84"/>
      <w:bookmarkEnd w:id="85"/>
    </w:p>
    <w:p w14:paraId="4BA696B0" w14:textId="77777777" w:rsidR="003B6A8E" w:rsidRPr="005E3D50" w:rsidRDefault="003B6A8E" w:rsidP="003B6A8E">
      <w:pPr>
        <w:rPr>
          <w:lang w:val="es-ES"/>
        </w:rPr>
      </w:pPr>
      <w:r w:rsidRPr="005E3D50">
        <w:rPr>
          <w:lang w:val="es-ES"/>
        </w:rPr>
        <w:t xml:space="preserve">Además de las EPANB, las </w:t>
      </w:r>
      <w:proofErr w:type="gramStart"/>
      <w:r w:rsidRPr="005E3D50">
        <w:rPr>
          <w:lang w:val="es-ES"/>
        </w:rPr>
        <w:t>metas nacionales y los informes nacionales</w:t>
      </w:r>
      <w:proofErr w:type="gramEnd"/>
      <w:r w:rsidRPr="005E3D50">
        <w:rPr>
          <w:lang w:val="es-ES"/>
        </w:rPr>
        <w:t xml:space="preserve"> presentados, en este análisis también se consideraron los compromisos asumidos por actores distintos de los Gobiernos nacionales para apoyar la implementación del Marco, que se presentaron a través de la herramienta de presentación de informes en línea del Convenio. Esos compromisos fueron presentados con carácter voluntario por actores distintos de los Gobiernos nacionales en respuesta a una invitación de la Conferencia de las Partes a comunicar compromisos para lograr la implementación del Marco. Los compromisos son independientes de los procesos de planificación, seguimiento, presentación de informes y revisión dirigidos por las Partes y complementarios a ellos.</w:t>
      </w:r>
    </w:p>
    <w:p w14:paraId="77A4939E" w14:textId="64A4FF86" w:rsidR="00FA3E4F" w:rsidRPr="005E3D50" w:rsidRDefault="00A41EB0" w:rsidP="00FA3E4F">
      <w:pPr>
        <w:rPr>
          <w:lang w:val="es-ES"/>
        </w:rPr>
      </w:pPr>
      <w:r w:rsidRPr="005E3D50">
        <w:rPr>
          <w:lang w:val="es-ES"/>
        </w:rPr>
        <w:lastRenderedPageBreak/>
        <w:t>A la fecha límite para el análisis, se habían presentado en total 4.759 compromisos a través de la herramienta de presentación de informes en línea y se habían revisado durante la preparación del informe mundial. Sin embargo, 3.313 de las presentaciones contenían únicamente el nombre de la organización que las había presentado y el objetivo del compromiso, 1.214 presentaciones no contenían una descripción del compromiso, y 52 eran presentaciones duplicadas. Por consiguiente, solo 180 compromisos contenían información suficiente para analizarlos de manera coherente (</w:t>
      </w:r>
      <w:hyperlink r:id="rId42" w:history="1">
        <w:r w:rsidRPr="005E3D50">
          <w:rPr>
            <w:rStyle w:val="Hyperlink"/>
            <w:lang w:val="es-ES"/>
          </w:rPr>
          <w:t>CBD/SBSTTA/28/INF/9</w:t>
        </w:r>
      </w:hyperlink>
      <w:r w:rsidRPr="005E3D50">
        <w:rPr>
          <w:lang w:val="es-ES"/>
        </w:rPr>
        <w:t>).</w:t>
      </w:r>
    </w:p>
    <w:p w14:paraId="482CB023" w14:textId="77777777" w:rsidR="00B55047" w:rsidRPr="005E3D50" w:rsidRDefault="00B55047" w:rsidP="00B55047">
      <w:pPr>
        <w:rPr>
          <w:rFonts w:ascii="Aptos" w:eastAsia="Aptos" w:hAnsi="Aptos" w:cs="Aptos"/>
          <w:lang w:val="es-ES"/>
        </w:rPr>
      </w:pPr>
      <w:r w:rsidRPr="005E3D50">
        <w:rPr>
          <w:lang w:val="es-ES"/>
        </w:rPr>
        <w:t xml:space="preserve">Si bien se recibieron compromisos de organizaciones con sede en todas las regiones, alrededor de tres cuartos de los compromisos analizados fueron presentados por actores ubicados en la región de los Estados de Europa Occidental y otros Estados. El 11 % de los compromisos fueron presentados por organizaciones con sede en la región de los Estados de América Latina y el Caribe, el 8 % por organizaciones con sede en la región de los Estados de Asia y el Pacífico, el 4 % por organizaciones con sede en la región de los Estados de Europa Oriental y el 3 % por organizaciones con sede en la región de los Estados de África. </w:t>
      </w:r>
      <w:r w:rsidRPr="005E3D50">
        <w:rPr>
          <w:rFonts w:ascii="Aptos" w:hAnsi="Aptos"/>
          <w:lang w:val="es-ES"/>
        </w:rPr>
        <w:t xml:space="preserve">El 56 % de los compromisos se centraban en países específicos, mientras que el 17 % estaban relacionados con varios países y el 27 % tenían alcance mundial. </w:t>
      </w:r>
      <w:r w:rsidRPr="005E3D50">
        <w:rPr>
          <w:lang w:val="es-ES"/>
        </w:rPr>
        <w:t>Algunas organizaciones presentaron múltiples compromisos.</w:t>
      </w:r>
      <w:r w:rsidRPr="005E3D50">
        <w:rPr>
          <w:rFonts w:ascii="Aptos" w:hAnsi="Aptos"/>
          <w:lang w:val="es-ES"/>
        </w:rPr>
        <w:t xml:space="preserve"> El número limitado de presentaciones que pudieron analizarse y su alcance geográfico deberían tenerse en cuenta al considerar esa información.</w:t>
      </w:r>
    </w:p>
    <w:p w14:paraId="651ED2B9" w14:textId="5B3B044A" w:rsidR="000A5CAB" w:rsidRPr="005E3D50" w:rsidRDefault="000A5CAB" w:rsidP="000A5CAB">
      <w:pPr>
        <w:rPr>
          <w:rFonts w:ascii="Aptos" w:eastAsia="Aptos" w:hAnsi="Aptos" w:cs="Aptos"/>
          <w:lang w:val="es-ES"/>
        </w:rPr>
      </w:pPr>
      <w:r w:rsidRPr="005E3D50">
        <w:rPr>
          <w:rFonts w:ascii="Aptos" w:hAnsi="Aptos"/>
          <w:lang w:val="es-ES"/>
        </w:rPr>
        <w:t xml:space="preserve">De los 180 compromisos que pudieron analizarse, muchos abordaban varias metas del Marco y algunos eran transversales y pertinentes para todas las metas. Si bien se presentaron compromisos relacionados con todas las metas del Marco, su cobertura fue desigual. Las metas 2, 3, 4 y 22 y el objetivo A del Marco se abordaron en el mayor número de compromisos. Las metas 5, 6, 9, 11, 12, 13, 16, 17, 18, 19 y 20 y los objetivos C y D se abordaron en una medida mucho menor. La mayoría de los compromisos estaban relacionados con la promoción de prácticas sostenibles, la restauración de los ecosistemas o los datos y conocimientos. Pocos estaban relacionados con la movilización de recursos o cuestiones financieras, el abordaje de los impulsores de la pérdida de diversidad biológica o la participación y la inclusión en las decisiones sobre gestión y planificación de la diversidad biológica. </w:t>
      </w:r>
      <w:r w:rsidRPr="005E3D50">
        <w:rPr>
          <w:lang w:val="es-ES"/>
        </w:rPr>
        <w:t>La mayoría de los compromisos procedían de organizaciones no gubernamentales, y solo unos pocos fueron presentados por grupos u organizaciones en representación de empresas o del sector industrial, instituciones financieras, el ámbito académico y de investigación, jóvenes, mujeres o pueblos indígenas y comunidades locales.</w:t>
      </w:r>
      <w:r w:rsidRPr="005E3D50">
        <w:rPr>
          <w:rFonts w:ascii="Aptos" w:hAnsi="Aptos"/>
          <w:lang w:val="es-ES"/>
        </w:rPr>
        <w:t xml:space="preserve"> </w:t>
      </w:r>
    </w:p>
    <w:p w14:paraId="0AC125DB" w14:textId="16AA0AB1" w:rsidR="00905DAB" w:rsidRPr="005E3D50" w:rsidRDefault="00905DAB" w:rsidP="00905DAB">
      <w:pPr>
        <w:rPr>
          <w:rFonts w:ascii="Aptos" w:eastAsia="Aptos" w:hAnsi="Aptos" w:cs="Aptos"/>
          <w:lang w:val="es-ES"/>
        </w:rPr>
      </w:pPr>
      <w:r w:rsidRPr="005E3D50">
        <w:rPr>
          <w:rFonts w:ascii="Aptos" w:hAnsi="Aptos"/>
          <w:lang w:val="es-ES"/>
        </w:rPr>
        <w:t xml:space="preserve">Los compromisos reflejaban diferentes períodos y niveles de detalle. Por ejemplo, algunos compromisos </w:t>
      </w:r>
      <w:r w:rsidR="006005EF" w:rsidRPr="005E3D50">
        <w:rPr>
          <w:rFonts w:ascii="Aptos" w:hAnsi="Aptos"/>
          <w:lang w:val="es-ES"/>
        </w:rPr>
        <w:t>finalizaban</w:t>
      </w:r>
      <w:r w:rsidRPr="005E3D50">
        <w:rPr>
          <w:rFonts w:ascii="Aptos" w:hAnsi="Aptos"/>
          <w:lang w:val="es-ES"/>
        </w:rPr>
        <w:t xml:space="preserve"> en 2030, mientras que otros se extendían más allá de ese año. </w:t>
      </w:r>
      <w:r w:rsidRPr="005E3D50">
        <w:rPr>
          <w:rFonts w:ascii="Aptos" w:hAnsi="Aptos"/>
          <w:lang w:val="es-ES"/>
        </w:rPr>
        <w:lastRenderedPageBreak/>
        <w:t>Además, algunos compromisos contenían metas u objetivos específicos, mientras que otros eran más generales y menos delimitados.</w:t>
      </w:r>
    </w:p>
    <w:p w14:paraId="305D867F" w14:textId="77777777" w:rsidR="00905DAB" w:rsidRPr="005E3D50" w:rsidRDefault="00905DAB" w:rsidP="00BC4A74">
      <w:pPr>
        <w:pStyle w:val="Heading2"/>
        <w:rPr>
          <w:lang w:val="es-ES"/>
        </w:rPr>
      </w:pPr>
    </w:p>
    <w:p w14:paraId="64C5B171" w14:textId="299ABD51" w:rsidR="00BC4A74" w:rsidRPr="005E3D50" w:rsidRDefault="00BC4A74" w:rsidP="00BC4A74">
      <w:pPr>
        <w:pStyle w:val="Heading2"/>
        <w:rPr>
          <w:lang w:val="es-ES"/>
        </w:rPr>
      </w:pPr>
      <w:bookmarkStart w:id="86" w:name="_Toc235821047"/>
      <w:bookmarkStart w:id="87" w:name="_Ref236127613"/>
      <w:bookmarkStart w:id="88" w:name="_Ref236127672"/>
      <w:bookmarkStart w:id="89" w:name="_Ref236127722"/>
      <w:bookmarkStart w:id="90" w:name="_Toc239069192"/>
      <w:bookmarkStart w:id="91" w:name="_Toc242882970"/>
      <w:r w:rsidRPr="005E3D50">
        <w:rPr>
          <w:lang w:val="es-ES"/>
        </w:rPr>
        <w:t>II.B Progresos colectivos en la consecución de las metas</w:t>
      </w:r>
      <w:bookmarkEnd w:id="86"/>
      <w:bookmarkEnd w:id="87"/>
      <w:bookmarkEnd w:id="88"/>
      <w:bookmarkEnd w:id="89"/>
      <w:bookmarkEnd w:id="90"/>
      <w:bookmarkEnd w:id="91"/>
    </w:p>
    <w:p w14:paraId="2F38EAA0" w14:textId="77777777" w:rsidR="00905DAB" w:rsidRPr="005E3D50" w:rsidRDefault="00905DAB" w:rsidP="002A37ED">
      <w:pPr>
        <w:pStyle w:val="Heading3"/>
        <w:rPr>
          <w:lang w:val="es-ES"/>
        </w:rPr>
      </w:pPr>
      <w:bookmarkStart w:id="92" w:name="_Toc235821048"/>
    </w:p>
    <w:p w14:paraId="363FE5F3" w14:textId="0EFD8736" w:rsidR="002A37ED" w:rsidRPr="005E3D50" w:rsidRDefault="00661FEF" w:rsidP="002A37ED">
      <w:pPr>
        <w:pStyle w:val="Heading3"/>
        <w:rPr>
          <w:lang w:val="es-ES"/>
        </w:rPr>
      </w:pPr>
      <w:bookmarkStart w:id="93" w:name="_Toc239069193"/>
      <w:bookmarkStart w:id="94" w:name="_Toc242882971"/>
      <w:r w:rsidRPr="005E3D50">
        <w:rPr>
          <w:lang w:val="es-ES"/>
        </w:rPr>
        <w:t>Introducción a los resúmenes de los progresos por meta</w:t>
      </w:r>
      <w:bookmarkEnd w:id="92"/>
      <w:bookmarkEnd w:id="93"/>
      <w:bookmarkEnd w:id="94"/>
    </w:p>
    <w:p w14:paraId="50E902C2" w14:textId="1D35CDF9" w:rsidR="00BE01E6" w:rsidRPr="005E3D50" w:rsidRDefault="00BE01E6" w:rsidP="00BE01E6">
      <w:pPr>
        <w:rPr>
          <w:lang w:val="es-ES"/>
        </w:rPr>
      </w:pPr>
      <w:r w:rsidRPr="005E3D50">
        <w:rPr>
          <w:lang w:val="es-ES"/>
        </w:rPr>
        <w:t>En esta sección del informe mundial se presenta una evaluación detallada de los progresos colectivos de las Partes en la consecución de cada una de las 23 metas del Marco. Sobre la base del análisis y las metodologías que se describen en la sección I.A, cada resumen por meta se presenta en un formato común, con subsecciones, encabezados y elementos gráficos normalizados para comunicar una evaluación de los progresos colectivos realizados en cada caso. En el cuadro 3 y en el resumen conciso del informe se presenta un panorama general de los progresos relacionados con todas las metas, utilizando los criterios de medición y los indicadores establecidos en los resúmenes correspondientes a cada meta.</w:t>
      </w:r>
    </w:p>
    <w:p w14:paraId="1362C8AD" w14:textId="439BBB57" w:rsidR="00D7429B" w:rsidRPr="005E3D50" w:rsidRDefault="00D7429B" w:rsidP="00D7429B">
      <w:pPr>
        <w:rPr>
          <w:lang w:val="es-ES"/>
        </w:rPr>
      </w:pPr>
      <w:r w:rsidRPr="005E3D50">
        <w:rPr>
          <w:lang w:val="es-ES"/>
        </w:rPr>
        <w:t>Cada resumen por meta incluye las siguientes secciones, que se basan en las fuentes de información indicadas:</w:t>
      </w:r>
    </w:p>
    <w:p w14:paraId="5C0815C5" w14:textId="2FBD787D" w:rsidR="00BF3030" w:rsidRPr="005E3D50" w:rsidRDefault="00BF3030" w:rsidP="00306E04">
      <w:pPr>
        <w:pStyle w:val="ListParagraph"/>
        <w:numPr>
          <w:ilvl w:val="0"/>
          <w:numId w:val="11"/>
        </w:numPr>
        <w:rPr>
          <w:b/>
          <w:bCs/>
          <w:lang w:val="es-ES"/>
        </w:rPr>
      </w:pPr>
      <w:r w:rsidRPr="005E3D50">
        <w:rPr>
          <w:b/>
          <w:bCs/>
          <w:lang w:val="es-ES"/>
        </w:rPr>
        <w:t xml:space="preserve">Texto de la meta: </w:t>
      </w:r>
      <w:r w:rsidRPr="005E3D50">
        <w:rPr>
          <w:lang w:val="es-ES"/>
        </w:rPr>
        <w:t>el texto completo de la meta incluida en la sección H del Marco (</w:t>
      </w:r>
      <w:proofErr w:type="spellStart"/>
      <w:r w:rsidRPr="005E3D50">
        <w:rPr>
          <w:lang w:val="es-ES"/>
        </w:rPr>
        <w:t>dec</w:t>
      </w:r>
      <w:proofErr w:type="spellEnd"/>
      <w:r w:rsidRPr="005E3D50">
        <w:rPr>
          <w:lang w:val="es-ES"/>
        </w:rPr>
        <w:t>. 15/4 en CDB, 2023).</w:t>
      </w:r>
    </w:p>
    <w:p w14:paraId="2BD258E5" w14:textId="669D243B" w:rsidR="00AB72A6" w:rsidRPr="005E3D50" w:rsidRDefault="005C50B9" w:rsidP="00306E04">
      <w:pPr>
        <w:pStyle w:val="ListParagraph"/>
        <w:numPr>
          <w:ilvl w:val="0"/>
          <w:numId w:val="11"/>
        </w:numPr>
        <w:rPr>
          <w:b/>
          <w:bCs/>
          <w:lang w:val="es-ES"/>
        </w:rPr>
      </w:pPr>
      <w:r w:rsidRPr="005E3D50">
        <w:rPr>
          <w:b/>
          <w:bCs/>
          <w:lang w:val="es-ES"/>
        </w:rPr>
        <w:t xml:space="preserve">Panorama general de los progresos: </w:t>
      </w:r>
      <w:r w:rsidRPr="005E3D50">
        <w:rPr>
          <w:lang w:val="es-ES"/>
        </w:rPr>
        <w:t xml:space="preserve">breve descripción de los progresos generales en la </w:t>
      </w:r>
      <w:r w:rsidR="00421FAC" w:rsidRPr="005E3D50">
        <w:rPr>
          <w:lang w:val="es-ES"/>
        </w:rPr>
        <w:t>consecución</w:t>
      </w:r>
      <w:r w:rsidRPr="005E3D50">
        <w:rPr>
          <w:lang w:val="es-ES"/>
        </w:rPr>
        <w:t xml:space="preserve"> de la meta, elaborada por la Secretaría en consulta con el Grupo Especial de Asesoramiento Científico y Técnico para la Preparación del Informe Mundial (AHSTAG), y basada en toda la evidencia disponible para el informe mundial</w:t>
      </w:r>
    </w:p>
    <w:p w14:paraId="1DE0F2DF" w14:textId="7542330C" w:rsidR="00AB691E" w:rsidRPr="005E3D50" w:rsidRDefault="00702DAF" w:rsidP="00306E04">
      <w:pPr>
        <w:pStyle w:val="ListParagraph"/>
        <w:numPr>
          <w:ilvl w:val="0"/>
          <w:numId w:val="11"/>
        </w:numPr>
        <w:rPr>
          <w:lang w:val="es-ES"/>
        </w:rPr>
      </w:pPr>
      <w:r w:rsidRPr="005E3D50">
        <w:rPr>
          <w:b/>
          <w:bCs/>
          <w:lang w:val="es-ES"/>
        </w:rPr>
        <w:t>Grado en que las Partes cubren el alcance de la meta del Marco en sus metas nacionales:</w:t>
      </w:r>
      <w:r w:rsidRPr="005E3D50">
        <w:rPr>
          <w:lang w:val="es-ES"/>
        </w:rPr>
        <w:t xml:space="preserve"> en esta sección se presentan los distintos elementos de la meta del Marco (véase el anexo I del documento </w:t>
      </w:r>
      <w:hyperlink r:id="rId43" w:history="1">
        <w:r w:rsidRPr="005E3D50">
          <w:rPr>
            <w:rStyle w:val="Hyperlink"/>
            <w:lang w:val="es-ES"/>
          </w:rPr>
          <w:t>CBD/COP/16/INF/4</w:t>
        </w:r>
      </w:hyperlink>
      <w:r w:rsidRPr="005E3D50">
        <w:rPr>
          <w:lang w:val="es-ES"/>
        </w:rPr>
        <w:t xml:space="preserve">) y en qué medida las Partes abordan cada elemento en sus metas nacionales, teniendo en cuenta que algunos elementos pueden considerarse menos pertinentes para algunas Partes en función de las circunstancias nacionales (véase </w:t>
      </w:r>
      <w:hyperlink r:id="rId44" w:history="1">
        <w:r w:rsidRPr="005E3D50">
          <w:rPr>
            <w:rStyle w:val="Hyperlink"/>
            <w:lang w:val="es-ES"/>
          </w:rPr>
          <w:t>CBD/SBI/7/INF/22</w:t>
        </w:r>
      </w:hyperlink>
      <w:r w:rsidRPr="005E3D50">
        <w:rPr>
          <w:lang w:val="es-ES"/>
        </w:rPr>
        <w:t>)</w:t>
      </w:r>
    </w:p>
    <w:p w14:paraId="4C0E587C" w14:textId="07AD4E52" w:rsidR="00116815" w:rsidRPr="005E3D50" w:rsidRDefault="005701EE" w:rsidP="00306E04">
      <w:pPr>
        <w:pStyle w:val="ListParagraph"/>
        <w:numPr>
          <w:ilvl w:val="0"/>
          <w:numId w:val="11"/>
        </w:numPr>
        <w:rPr>
          <w:lang w:val="es-ES"/>
        </w:rPr>
      </w:pPr>
      <w:r w:rsidRPr="005E3D50">
        <w:rPr>
          <w:b/>
          <w:bCs/>
          <w:lang w:val="es-ES"/>
        </w:rPr>
        <w:t>Indicadores de progresos:</w:t>
      </w:r>
      <w:r w:rsidRPr="005E3D50">
        <w:rPr>
          <w:lang w:val="es-ES"/>
        </w:rPr>
        <w:t xml:space="preserve"> esta sección contiene una evaluación de los datos proporcionados por las Partes en sus informes nacionales para todas las categorías de indicadores (véanse la sección I.A y el documento técnico separado (</w:t>
      </w:r>
      <w:hyperlink r:id="rId45">
        <w:r w:rsidRPr="005E3D50">
          <w:rPr>
            <w:rStyle w:val="Hyperlink"/>
            <w:lang w:val="es-ES"/>
          </w:rPr>
          <w:t>CBD/SBSTTA/28/INF/9</w:t>
        </w:r>
      </w:hyperlink>
      <w:r w:rsidRPr="005E3D50">
        <w:rPr>
          <w:lang w:val="es-ES"/>
        </w:rPr>
        <w:t>) para obtener información detallada sobre la metodología)</w:t>
      </w:r>
    </w:p>
    <w:p w14:paraId="7F17CDE3" w14:textId="3A5F7FEF" w:rsidR="00595B20" w:rsidRPr="005E3D50" w:rsidRDefault="00E77BB5" w:rsidP="00306E04">
      <w:pPr>
        <w:pStyle w:val="ListParagraph"/>
        <w:numPr>
          <w:ilvl w:val="0"/>
          <w:numId w:val="11"/>
        </w:numPr>
        <w:rPr>
          <w:b/>
          <w:bCs/>
          <w:lang w:val="es-ES"/>
        </w:rPr>
      </w:pPr>
      <w:r w:rsidRPr="005E3D50">
        <w:rPr>
          <w:b/>
          <w:bCs/>
          <w:lang w:val="es-ES"/>
        </w:rPr>
        <w:lastRenderedPageBreak/>
        <w:t>Autoevaluación de progresos:</w:t>
      </w:r>
      <w:r w:rsidRPr="005E3D50">
        <w:rPr>
          <w:lang w:val="es-ES"/>
        </w:rPr>
        <w:t xml:space="preserve"> en esta sección se presenta una agregación de la información proporcionada por las Partes en sus informes nacionales sobre el nivel de progresos alcanzados en la consecución de sus metas nacionales</w:t>
      </w:r>
    </w:p>
    <w:p w14:paraId="659BC245" w14:textId="48C9F17A" w:rsidR="00E16185" w:rsidRPr="005E3D50" w:rsidRDefault="005D0420" w:rsidP="00711874">
      <w:pPr>
        <w:pStyle w:val="ListParagraph"/>
        <w:numPr>
          <w:ilvl w:val="0"/>
          <w:numId w:val="11"/>
        </w:numPr>
        <w:rPr>
          <w:b/>
          <w:bCs/>
          <w:lang w:val="es-ES"/>
        </w:rPr>
      </w:pPr>
      <w:r w:rsidRPr="005E3D50">
        <w:rPr>
          <w:b/>
          <w:bCs/>
          <w:lang w:val="es-ES"/>
        </w:rPr>
        <w:t>Medidas, logros y dificultades en la implementación:</w:t>
      </w:r>
      <w:r w:rsidRPr="005E3D50">
        <w:rPr>
          <w:lang w:val="es-ES"/>
        </w:rPr>
        <w:t xml:space="preserve"> en esta sección se presenta una síntesis de la información proporcionada en los informes nacionales sobre los tipos de medidas adoptadas para apoyar la </w:t>
      </w:r>
      <w:r w:rsidR="00875BC2" w:rsidRPr="005E3D50">
        <w:rPr>
          <w:lang w:val="es-ES"/>
        </w:rPr>
        <w:t>consecución</w:t>
      </w:r>
      <w:r w:rsidRPr="005E3D50">
        <w:rPr>
          <w:lang w:val="es-ES"/>
        </w:rPr>
        <w:t xml:space="preserve"> de la meta pertinente y sobre los desafíos encontrados, incluidos aquellos relacionados con los medios de implementación. Estos resúmenes se compilaron utilizando métodos asistidos por inteligencia artificial e incluyen breves estudios de casos que ilustran los logros y progresos de las Partes en la </w:t>
      </w:r>
      <w:r w:rsidR="00711874" w:rsidRPr="005E3D50">
        <w:rPr>
          <w:lang w:val="es-ES"/>
        </w:rPr>
        <w:t xml:space="preserve">consecución </w:t>
      </w:r>
      <w:r w:rsidRPr="005E3D50">
        <w:rPr>
          <w:lang w:val="es-ES"/>
        </w:rPr>
        <w:t xml:space="preserve">de la meta pertinente, elaborados en colaboración con las Partes y organizaciones involucradas (para consultar una descripción detallada de los métodos, véase </w:t>
      </w:r>
      <w:hyperlink r:id="rId46" w:history="1">
        <w:r w:rsidRPr="005E3D50">
          <w:rPr>
            <w:rStyle w:val="Hyperlink"/>
            <w:lang w:val="es-ES"/>
          </w:rPr>
          <w:t>CBD/SBSTTA/28/INF/9</w:t>
        </w:r>
      </w:hyperlink>
      <w:r w:rsidRPr="005E3D50">
        <w:rPr>
          <w:lang w:val="es-ES"/>
        </w:rPr>
        <w:t>)</w:t>
      </w:r>
    </w:p>
    <w:p w14:paraId="3120723C" w14:textId="54CE6476" w:rsidR="007A1F6E" w:rsidRPr="005E3D50" w:rsidRDefault="00856BD2" w:rsidP="008B301D">
      <w:pPr>
        <w:pStyle w:val="ListParagraph"/>
        <w:numPr>
          <w:ilvl w:val="0"/>
          <w:numId w:val="11"/>
        </w:numPr>
        <w:rPr>
          <w:lang w:val="es-ES"/>
        </w:rPr>
      </w:pPr>
      <w:r w:rsidRPr="005E3D50">
        <w:rPr>
          <w:b/>
          <w:bCs/>
          <w:lang w:val="es-ES"/>
        </w:rPr>
        <w:t xml:space="preserve">Contribuciones de actores distintos de los Gobiernos nacionales: </w:t>
      </w:r>
      <w:r w:rsidRPr="005E3D50">
        <w:rPr>
          <w:lang w:val="es-ES"/>
        </w:rPr>
        <w:t>esta sección se divide en dos subsecciones, como se especifica en el esquema anotado del informe mundial (</w:t>
      </w:r>
      <w:proofErr w:type="spellStart"/>
      <w:r w:rsidRPr="005E3D50">
        <w:rPr>
          <w:lang w:val="es-ES"/>
        </w:rPr>
        <w:t>rec.</w:t>
      </w:r>
      <w:proofErr w:type="spellEnd"/>
      <w:r w:rsidRPr="005E3D50">
        <w:rPr>
          <w:lang w:val="es-ES"/>
        </w:rPr>
        <w:t xml:space="preserve"> 27/1 en CDB, 2025a). La primera subsección se refiere a los 180 compromisos sustantivos presentados a través de la herramienta de presentación de informes en línea del Convenio (véase la sección II.A) y resume las presentaciones de interesados asociadas principalmente con la meta pertinente. En la segunda subsección se presenta una síntesis de la información de los informes nacionales sobre la contribución de actores distintos de los Gobiernos nacionales a la consecución de la meta pertinente. Esta última subsección se compiló utilizando métodos asistidos por inteligencia artificial (para obtener los métodos detallados véase </w:t>
      </w:r>
      <w:hyperlink r:id="rId47">
        <w:r w:rsidRPr="005E3D50">
          <w:rPr>
            <w:rStyle w:val="Hyperlink"/>
            <w:lang w:val="es-ES"/>
          </w:rPr>
          <w:t>CBD/SBSTTA/28/INF/9</w:t>
        </w:r>
      </w:hyperlink>
      <w:r w:rsidRPr="005E3D50">
        <w:rPr>
          <w:lang w:val="es-ES"/>
        </w:rPr>
        <w:t>)</w:t>
      </w:r>
    </w:p>
    <w:p w14:paraId="5606860F" w14:textId="54F558D1" w:rsidR="00A9109A" w:rsidRPr="005E3D50" w:rsidRDefault="00AF4676" w:rsidP="00985985">
      <w:pPr>
        <w:pStyle w:val="ListParagraph"/>
        <w:numPr>
          <w:ilvl w:val="0"/>
          <w:numId w:val="11"/>
        </w:numPr>
        <w:rPr>
          <w:b/>
          <w:lang w:val="es-ES"/>
        </w:rPr>
      </w:pPr>
      <w:r w:rsidRPr="005E3D50">
        <w:rPr>
          <w:b/>
          <w:bCs/>
          <w:lang w:val="es-ES"/>
        </w:rPr>
        <w:t>Ejemplos de vínculos con otros acuerdos, procesos y organizaciones:</w:t>
      </w:r>
      <w:r w:rsidRPr="005E3D50">
        <w:rPr>
          <w:lang w:val="es-ES"/>
        </w:rPr>
        <w:t xml:space="preserve"> en esta sección se proporcionan ejemplos ilustrativos y no exhaustivos de cooperación y sinergias con otros acuerdos ambientales multilaterales, organizaciones internacionales y procesos pertinentes que apoyan la </w:t>
      </w:r>
      <w:r w:rsidR="00985985" w:rsidRPr="005E3D50">
        <w:rPr>
          <w:lang w:val="es-ES"/>
        </w:rPr>
        <w:t xml:space="preserve">consecución </w:t>
      </w:r>
      <w:r w:rsidRPr="005E3D50">
        <w:rPr>
          <w:lang w:val="es-ES"/>
        </w:rPr>
        <w:t>de cada meta, incluidos estudios de casos elaborados en colaboración con la secretaría, la organización y/o el punto focal nacional pertinentes. La información utilizada para estos resúmenes procede principalmente, aunque no exclusivamente, de las respuestas a la notificación núm. 2025-099 emitida por la Secretaría del Convenio</w:t>
      </w:r>
      <w:r w:rsidR="003C7A9D" w:rsidRPr="005E3D50">
        <w:rPr>
          <w:rStyle w:val="FootnoteReference"/>
          <w:lang w:val="es-ES"/>
        </w:rPr>
        <w:footnoteReference w:id="11"/>
      </w:r>
      <w:r w:rsidRPr="005E3D50">
        <w:rPr>
          <w:lang w:val="es-ES"/>
        </w:rPr>
        <w:t>. Cuando se utilizan otras fuentes, estas se citan individualmente en el texto. En la sección II.E del informe mundial se proporciona un resumen más amplio de esos vínculos, sinergias y cooperación.</w:t>
      </w:r>
    </w:p>
    <w:p w14:paraId="7D52A661" w14:textId="77777777" w:rsidR="00AA3B35" w:rsidRPr="005E3D50" w:rsidRDefault="00AA3B35" w:rsidP="00AA3B35">
      <w:pPr>
        <w:pStyle w:val="ListParagraph"/>
        <w:rPr>
          <w:b/>
          <w:lang w:val="es-ES"/>
        </w:rPr>
      </w:pPr>
    </w:p>
    <w:p w14:paraId="6484C0D8" w14:textId="1869692B" w:rsidR="00AA3B35" w:rsidRPr="005E3D50" w:rsidRDefault="00AA3B35" w:rsidP="00AA3B35">
      <w:pPr>
        <w:rPr>
          <w:bCs/>
          <w:lang w:val="es-ES"/>
        </w:rPr>
      </w:pPr>
      <w:r w:rsidRPr="005E3D50">
        <w:rPr>
          <w:lang w:val="es-ES"/>
        </w:rPr>
        <w:t>En el cuadro 3 se presenta un panorama general de los progresos en todas las metas, sintetizando la información de los resúmenes correspondientes a cada meta que figuran a continuación.</w:t>
      </w:r>
    </w:p>
    <w:p w14:paraId="4395CA6E" w14:textId="77777777" w:rsidR="0066386B" w:rsidRPr="005E3D50" w:rsidRDefault="0066386B" w:rsidP="00F279A8">
      <w:pPr>
        <w:pStyle w:val="Caption"/>
        <w:rPr>
          <w:lang w:val="es-ES"/>
        </w:rPr>
      </w:pPr>
    </w:p>
    <w:p w14:paraId="4A75F01B" w14:textId="5E0330D8" w:rsidR="0067379F" w:rsidRPr="005E3D50" w:rsidRDefault="00F279A8" w:rsidP="00C04D1A">
      <w:pPr>
        <w:pStyle w:val="Caption"/>
        <w:rPr>
          <w:i w:val="0"/>
          <w:iCs w:val="0"/>
          <w:sz w:val="20"/>
          <w:szCs w:val="20"/>
          <w:lang w:val="es-ES"/>
        </w:rPr>
      </w:pPr>
      <w:bookmarkStart w:id="95" w:name="_Ref235605056"/>
      <w:bookmarkStart w:id="96" w:name="_Ref235620820"/>
      <w:r w:rsidRPr="005E3D50">
        <w:rPr>
          <w:i w:val="0"/>
          <w:sz w:val="20"/>
          <w:szCs w:val="20"/>
          <w:lang w:val="es-ES"/>
        </w:rPr>
        <w:t>Cuadro 3</w:t>
      </w:r>
      <w:bookmarkEnd w:id="95"/>
      <w:bookmarkEnd w:id="96"/>
    </w:p>
    <w:p w14:paraId="1C5CBA86" w14:textId="73A8A8B6" w:rsidR="00C04D1A" w:rsidRPr="005E3D50" w:rsidRDefault="00C04D1A" w:rsidP="00C04D1A">
      <w:pPr>
        <w:pStyle w:val="Caption"/>
        <w:rPr>
          <w:sz w:val="20"/>
          <w:szCs w:val="20"/>
          <w:lang w:val="es-ES"/>
        </w:rPr>
      </w:pPr>
      <w:r w:rsidRPr="005E3D50">
        <w:rPr>
          <w:b/>
          <w:i w:val="0"/>
          <w:sz w:val="20"/>
          <w:szCs w:val="20"/>
          <w:lang w:val="es-ES"/>
        </w:rPr>
        <w:t>Resumen de los progresos en la implementación del Marco</w:t>
      </w:r>
      <w:r w:rsidRPr="005E3D50">
        <w:rPr>
          <w:b/>
          <w:sz w:val="20"/>
          <w:szCs w:val="20"/>
          <w:lang w:val="es-ES"/>
        </w:rPr>
        <w:t xml:space="preserve"> </w:t>
      </w:r>
    </w:p>
    <w:p w14:paraId="2C6C5F67" w14:textId="77777777" w:rsidR="00C04D1A" w:rsidRPr="005E3D50" w:rsidRDefault="00C04D1A" w:rsidP="00C04D1A">
      <w:pPr>
        <w:pStyle w:val="Caption"/>
        <w:rPr>
          <w:lang w:val="es-ES"/>
        </w:rPr>
      </w:pPr>
      <w:r w:rsidRPr="005E3D50">
        <w:rPr>
          <w:lang w:val="es-ES"/>
        </w:rPr>
        <w:t xml:space="preserve"> </w:t>
      </w:r>
      <w:r w:rsidRPr="005E3D50">
        <w:rPr>
          <w:noProof/>
          <w:lang w:val="en-US" w:eastAsia="en-US"/>
        </w:rPr>
        <w:drawing>
          <wp:inline distT="0" distB="0" distL="0" distR="0" wp14:anchorId="688FD2A0" wp14:editId="70902C93">
            <wp:extent cx="3163514" cy="4299811"/>
            <wp:effectExtent l="0" t="0" r="0" b="5715"/>
            <wp:docPr id="25" name="Picture 24">
              <a:extLst xmlns:a="http://schemas.openxmlformats.org/drawingml/2006/main">
                <a:ext uri="{FF2B5EF4-FFF2-40B4-BE49-F238E27FC236}">
                  <a16:creationId xmlns:a16="http://schemas.microsoft.com/office/drawing/2014/main" id="{40F34F4F-084E-DAB7-651C-FF40DB1EB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0F34F4F-084E-DAB7-651C-FF40DB1EBE01}"/>
                        </a:ext>
                      </a:extLst>
                    </pic:cNvPr>
                    <pic:cNvPicPr>
                      <a:picLocks noChangeAspect="1"/>
                    </pic:cNvPicPr>
                  </pic:nvPicPr>
                  <pic:blipFill>
                    <a:blip r:embed="rId48"/>
                    <a:stretch>
                      <a:fillRect/>
                    </a:stretch>
                  </pic:blipFill>
                  <pic:spPr>
                    <a:xfrm>
                      <a:off x="0" y="0"/>
                      <a:ext cx="3185262" cy="4329371"/>
                    </a:xfrm>
                    <a:prstGeom prst="rect">
                      <a:avLst/>
                    </a:prstGeom>
                  </pic:spPr>
                </pic:pic>
              </a:graphicData>
            </a:graphic>
          </wp:inline>
        </w:drawing>
      </w:r>
    </w:p>
    <w:p w14:paraId="1F85DBF5" w14:textId="5E4743A7" w:rsidR="0098619A" w:rsidRPr="005E3D50" w:rsidRDefault="0098619A" w:rsidP="0098619A">
      <w:pPr>
        <w:rPr>
          <w:sz w:val="16"/>
          <w:szCs w:val="16"/>
          <w:lang w:val="es-ES"/>
        </w:rPr>
      </w:pPr>
      <w:r w:rsidRPr="005E3D50">
        <w:rPr>
          <w:i/>
          <w:iCs/>
          <w:sz w:val="16"/>
          <w:szCs w:val="16"/>
          <w:lang w:val="es-ES"/>
        </w:rPr>
        <w:t>Nota</w:t>
      </w:r>
      <w:r w:rsidRPr="005E3D50">
        <w:rPr>
          <w:sz w:val="16"/>
          <w:szCs w:val="16"/>
          <w:lang w:val="es-ES"/>
        </w:rPr>
        <w:t xml:space="preserve">: El grado de cobertura del alcance se mide como el porcentaje de elementos abordados en cierta medida en las metas nacionales, mientras que la autoevaluación de los progresos se mide como el porcentaje de metas nacionales presentadas como en vías de alcanzarse o alcanzadas. La utilización de datos se mide como el porcentaje del total de indicadores cuantitativos para los que se presentaron datos. Las tendencias generales de los indicadores cuantitativos se miden como el porcentaje de indicadores que registran tendencias positivas. El código de colores refleja la posición del valor para cada meta en relación con las puntuaciones </w:t>
      </w:r>
      <w:proofErr w:type="gramStart"/>
      <w:r w:rsidRPr="005E3D50">
        <w:rPr>
          <w:sz w:val="16"/>
          <w:szCs w:val="16"/>
          <w:lang w:val="es-ES"/>
        </w:rPr>
        <w:t>más altas y más bajas</w:t>
      </w:r>
      <w:proofErr w:type="gramEnd"/>
      <w:r w:rsidRPr="005E3D50">
        <w:rPr>
          <w:sz w:val="16"/>
          <w:szCs w:val="16"/>
          <w:lang w:val="es-ES"/>
        </w:rPr>
        <w:t xml:space="preserve"> alcanzadas en el conjunto de las metas (se asigna el color verde a los valores situados en el tercio superior de todo el intervalo, amarillo al tercio medio y rojo al tercio inferior). Cabe señalar que esto no equivale a un enfoque basado en umbrales ni a dividir las puntuaciones en tres grupos de igual tamaño.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puntuación general de los progresos se calcula como el promedio, con igual ponderación, de dos medidas: </w:t>
      </w:r>
      <w:r w:rsidRPr="005E3D50">
        <w:rPr>
          <w:sz w:val="16"/>
          <w:szCs w:val="16"/>
          <w:lang w:val="es-ES"/>
        </w:rPr>
        <w:lastRenderedPageBreak/>
        <w:t>una puntuación combinada de cobertura y progresos y una puntuación combinada de indicadores, y posteriormente se divide en cuatro categorías (0-25 %, rojo; 25-50 %, naranja; 50-75 %, amarillo; y 75-100 %, verde). La puntuación combinada de cobertura y progresos utiliza la cobertura como puntuación máxima posible, que puede reducirse si la puntuación de progresos es más baja (una cobertura verde con progresos amarillos desciende a amarillo; una cobertura verde con progresos rojos desciende a naranja; una cobertura amarilla con progresos amarillos desciende a naranja; una cobertura amarilla con progresos rojos desciende a rojo, y todas las demás combinaciones posibles mantienen la puntuación de cobertura). La puntuación combinada de indicadores es un promedio no ponderado de la puntuación individual (rojo/amarillo/verde) correspondiente a cada tipo de indicador pertinente para la meta.</w:t>
      </w:r>
    </w:p>
    <w:tbl>
      <w:tblPr>
        <w:tblStyle w:val="TableGrid3"/>
        <w:tblW w:w="9427" w:type="dxa"/>
        <w:tblLook w:val="04A0" w:firstRow="1" w:lastRow="0" w:firstColumn="1" w:lastColumn="0" w:noHBand="0" w:noVBand="1"/>
      </w:tblPr>
      <w:tblGrid>
        <w:gridCol w:w="4192"/>
        <w:gridCol w:w="5235"/>
      </w:tblGrid>
      <w:tr w:rsidR="0086214A" w:rsidRPr="00A07A32" w14:paraId="18607155" w14:textId="77777777" w:rsidTr="00A07A32">
        <w:tc>
          <w:tcPr>
            <w:tcW w:w="4192" w:type="dxa"/>
          </w:tcPr>
          <w:p w14:paraId="09B9F4EC" w14:textId="3E645499" w:rsidR="0086214A" w:rsidRPr="00A07A32" w:rsidRDefault="0086214A" w:rsidP="00A07A32">
            <w:pPr>
              <w:rPr>
                <w:rFonts w:ascii="Aptos" w:hAnsi="Aptos"/>
                <w:sz w:val="18"/>
                <w:szCs w:val="18"/>
              </w:rPr>
            </w:pPr>
            <w:r w:rsidRPr="00A07A32">
              <w:rPr>
                <w:sz w:val="18"/>
                <w:szCs w:val="18"/>
                <w:lang w:val="es-ES" w:eastAsia="ja-JP"/>
              </w:rPr>
              <w:t>Cuadro 3</w:t>
            </w:r>
          </w:p>
        </w:tc>
        <w:tc>
          <w:tcPr>
            <w:tcW w:w="5235" w:type="dxa"/>
          </w:tcPr>
          <w:p w14:paraId="3DF5C3AC" w14:textId="77777777" w:rsidR="0086214A" w:rsidRPr="00A07A32" w:rsidRDefault="0086214A" w:rsidP="00A07A32">
            <w:pPr>
              <w:rPr>
                <w:sz w:val="18"/>
                <w:szCs w:val="18"/>
                <w:lang w:val="es-ES" w:eastAsia="ja-JP"/>
              </w:rPr>
            </w:pPr>
          </w:p>
        </w:tc>
      </w:tr>
      <w:tr w:rsidR="0086214A" w:rsidRPr="00A07A32" w14:paraId="6A6B614F" w14:textId="77777777" w:rsidTr="00A07A32">
        <w:tc>
          <w:tcPr>
            <w:tcW w:w="4192" w:type="dxa"/>
          </w:tcPr>
          <w:p w14:paraId="79808238" w14:textId="77777777" w:rsidR="0086214A" w:rsidRPr="00A07A32" w:rsidRDefault="0086214A" w:rsidP="00A07A32">
            <w:pPr>
              <w:rPr>
                <w:rFonts w:ascii="Aptos" w:hAnsi="Aptos"/>
                <w:sz w:val="18"/>
                <w:szCs w:val="18"/>
              </w:rPr>
            </w:pPr>
            <w:r w:rsidRPr="00A07A32">
              <w:rPr>
                <w:rFonts w:ascii="Aptos" w:hAnsi="Aptos"/>
                <w:sz w:val="18"/>
                <w:szCs w:val="18"/>
              </w:rPr>
              <w:t xml:space="preserve">English </w:t>
            </w:r>
          </w:p>
        </w:tc>
        <w:tc>
          <w:tcPr>
            <w:tcW w:w="5235" w:type="dxa"/>
          </w:tcPr>
          <w:p w14:paraId="52109A93" w14:textId="2F7485EF" w:rsidR="0086214A" w:rsidRPr="00A07A32" w:rsidRDefault="0086214A" w:rsidP="00A07A32">
            <w:pPr>
              <w:rPr>
                <w:rFonts w:ascii="Aptos" w:hAnsi="Aptos"/>
                <w:sz w:val="18"/>
                <w:szCs w:val="18"/>
              </w:rPr>
            </w:pPr>
            <w:r w:rsidRPr="00A07A32">
              <w:rPr>
                <w:sz w:val="18"/>
                <w:szCs w:val="18"/>
                <w:lang w:val="es-ES" w:eastAsia="ja-JP"/>
              </w:rPr>
              <w:t>Español</w:t>
            </w:r>
          </w:p>
        </w:tc>
      </w:tr>
      <w:tr w:rsidR="0086214A" w:rsidRPr="00A07A32" w14:paraId="4CC0C3F6" w14:textId="77777777" w:rsidTr="00A07A32">
        <w:tc>
          <w:tcPr>
            <w:tcW w:w="4192" w:type="dxa"/>
          </w:tcPr>
          <w:p w14:paraId="3481018C" w14:textId="77777777" w:rsidR="0086214A" w:rsidRPr="00A07A32" w:rsidRDefault="0086214A" w:rsidP="00A07A32">
            <w:pPr>
              <w:rPr>
                <w:rFonts w:ascii="Aptos" w:hAnsi="Aptos"/>
                <w:sz w:val="18"/>
                <w:szCs w:val="18"/>
              </w:rPr>
            </w:pPr>
            <w:r w:rsidRPr="00A07A32">
              <w:rPr>
                <w:rFonts w:ascii="Aptos" w:hAnsi="Aptos"/>
                <w:sz w:val="18"/>
                <w:szCs w:val="18"/>
              </w:rPr>
              <w:t>Target</w:t>
            </w:r>
          </w:p>
        </w:tc>
        <w:tc>
          <w:tcPr>
            <w:tcW w:w="5235" w:type="dxa"/>
          </w:tcPr>
          <w:p w14:paraId="54251646" w14:textId="10BEA023" w:rsidR="0086214A" w:rsidRPr="00A07A32" w:rsidRDefault="0082586D" w:rsidP="00A07A32">
            <w:pPr>
              <w:rPr>
                <w:rFonts w:ascii="Aptos" w:hAnsi="Aptos"/>
                <w:sz w:val="18"/>
                <w:szCs w:val="18"/>
              </w:rPr>
            </w:pPr>
            <w:r w:rsidRPr="00A07A32">
              <w:rPr>
                <w:rFonts w:ascii="Aptos" w:hAnsi="Aptos"/>
                <w:sz w:val="18"/>
                <w:szCs w:val="18"/>
              </w:rPr>
              <w:t>Meta</w:t>
            </w:r>
          </w:p>
        </w:tc>
      </w:tr>
      <w:tr w:rsidR="0082586D" w:rsidRPr="00A07A32" w14:paraId="5B536456" w14:textId="77777777" w:rsidTr="00A07A32">
        <w:tc>
          <w:tcPr>
            <w:tcW w:w="4192" w:type="dxa"/>
          </w:tcPr>
          <w:p w14:paraId="1A2A9A33" w14:textId="77777777" w:rsidR="0082586D" w:rsidRPr="00A07A32" w:rsidRDefault="0082586D" w:rsidP="00A07A32">
            <w:pPr>
              <w:rPr>
                <w:rFonts w:ascii="Aptos" w:hAnsi="Aptos"/>
                <w:sz w:val="18"/>
                <w:szCs w:val="18"/>
              </w:rPr>
            </w:pPr>
            <w:r w:rsidRPr="00A07A32">
              <w:rPr>
                <w:rFonts w:ascii="Aptos" w:hAnsi="Aptos"/>
                <w:sz w:val="18"/>
                <w:szCs w:val="18"/>
              </w:rPr>
              <w:t>Target 1</w:t>
            </w:r>
          </w:p>
        </w:tc>
        <w:tc>
          <w:tcPr>
            <w:tcW w:w="5235" w:type="dxa"/>
          </w:tcPr>
          <w:p w14:paraId="6F6A443B" w14:textId="655D22BF" w:rsidR="0082586D" w:rsidRPr="00A07A32" w:rsidRDefault="0082586D" w:rsidP="00A07A32">
            <w:pPr>
              <w:rPr>
                <w:rFonts w:ascii="Aptos" w:hAnsi="Aptos"/>
                <w:sz w:val="18"/>
                <w:szCs w:val="18"/>
              </w:rPr>
            </w:pPr>
            <w:r w:rsidRPr="00A07A32">
              <w:rPr>
                <w:sz w:val="18"/>
                <w:szCs w:val="18"/>
                <w:lang w:val="es-ES"/>
              </w:rPr>
              <w:t>Meta 1</w:t>
            </w:r>
          </w:p>
        </w:tc>
      </w:tr>
      <w:tr w:rsidR="0082586D" w:rsidRPr="00A07A32" w14:paraId="285B5D8E" w14:textId="77777777" w:rsidTr="00A07A32">
        <w:tc>
          <w:tcPr>
            <w:tcW w:w="4192" w:type="dxa"/>
          </w:tcPr>
          <w:p w14:paraId="293D1DD2" w14:textId="77777777" w:rsidR="0082586D" w:rsidRPr="00A07A32" w:rsidRDefault="0082586D" w:rsidP="00A07A32">
            <w:pPr>
              <w:rPr>
                <w:rFonts w:ascii="Aptos" w:hAnsi="Aptos"/>
                <w:sz w:val="18"/>
                <w:szCs w:val="18"/>
              </w:rPr>
            </w:pPr>
            <w:r w:rsidRPr="00A07A32">
              <w:rPr>
                <w:rFonts w:ascii="Aptos" w:hAnsi="Aptos"/>
                <w:sz w:val="18"/>
                <w:szCs w:val="18"/>
              </w:rPr>
              <w:t>Target 2</w:t>
            </w:r>
          </w:p>
        </w:tc>
        <w:tc>
          <w:tcPr>
            <w:tcW w:w="5235" w:type="dxa"/>
          </w:tcPr>
          <w:p w14:paraId="28ADCE51" w14:textId="410AD77F" w:rsidR="0082586D" w:rsidRPr="00A07A32" w:rsidRDefault="0082586D" w:rsidP="00A07A32">
            <w:pPr>
              <w:rPr>
                <w:rFonts w:ascii="Aptos" w:hAnsi="Aptos"/>
                <w:sz w:val="18"/>
                <w:szCs w:val="18"/>
              </w:rPr>
            </w:pPr>
            <w:r w:rsidRPr="00A07A32">
              <w:rPr>
                <w:sz w:val="18"/>
                <w:szCs w:val="18"/>
                <w:lang w:val="es-ES"/>
              </w:rPr>
              <w:t>Meta 2</w:t>
            </w:r>
          </w:p>
        </w:tc>
      </w:tr>
      <w:tr w:rsidR="0082586D" w:rsidRPr="00A07A32" w14:paraId="6A456F80" w14:textId="77777777" w:rsidTr="00A07A32">
        <w:tc>
          <w:tcPr>
            <w:tcW w:w="4192" w:type="dxa"/>
          </w:tcPr>
          <w:p w14:paraId="5420E40E" w14:textId="77777777" w:rsidR="0082586D" w:rsidRPr="00A07A32" w:rsidRDefault="0082586D" w:rsidP="00A07A32">
            <w:pPr>
              <w:rPr>
                <w:rFonts w:ascii="Aptos" w:hAnsi="Aptos"/>
                <w:sz w:val="18"/>
                <w:szCs w:val="18"/>
              </w:rPr>
            </w:pPr>
            <w:r w:rsidRPr="00A07A32">
              <w:rPr>
                <w:rFonts w:ascii="Aptos" w:hAnsi="Aptos"/>
                <w:sz w:val="18"/>
                <w:szCs w:val="18"/>
              </w:rPr>
              <w:t>Target 3</w:t>
            </w:r>
          </w:p>
        </w:tc>
        <w:tc>
          <w:tcPr>
            <w:tcW w:w="5235" w:type="dxa"/>
          </w:tcPr>
          <w:p w14:paraId="0CD9D444" w14:textId="57FA025F" w:rsidR="0082586D" w:rsidRPr="00A07A32" w:rsidRDefault="0082586D" w:rsidP="00A07A32">
            <w:pPr>
              <w:rPr>
                <w:rFonts w:ascii="Aptos" w:hAnsi="Aptos"/>
                <w:sz w:val="18"/>
                <w:szCs w:val="18"/>
              </w:rPr>
            </w:pPr>
            <w:r w:rsidRPr="00A07A32">
              <w:rPr>
                <w:sz w:val="18"/>
                <w:szCs w:val="18"/>
                <w:lang w:val="es-ES"/>
              </w:rPr>
              <w:t>Meta 3</w:t>
            </w:r>
          </w:p>
        </w:tc>
      </w:tr>
      <w:tr w:rsidR="0082586D" w:rsidRPr="00A07A32" w14:paraId="284657F3" w14:textId="77777777" w:rsidTr="00A07A32">
        <w:tc>
          <w:tcPr>
            <w:tcW w:w="4192" w:type="dxa"/>
          </w:tcPr>
          <w:p w14:paraId="04D374AB" w14:textId="77777777" w:rsidR="0082586D" w:rsidRPr="00A07A32" w:rsidRDefault="0082586D" w:rsidP="00A07A32">
            <w:pPr>
              <w:rPr>
                <w:rFonts w:ascii="Aptos" w:hAnsi="Aptos"/>
                <w:sz w:val="18"/>
                <w:szCs w:val="18"/>
              </w:rPr>
            </w:pPr>
            <w:r w:rsidRPr="00A07A32">
              <w:rPr>
                <w:rFonts w:ascii="Aptos" w:hAnsi="Aptos"/>
                <w:sz w:val="18"/>
                <w:szCs w:val="18"/>
              </w:rPr>
              <w:t>Target 4</w:t>
            </w:r>
          </w:p>
        </w:tc>
        <w:tc>
          <w:tcPr>
            <w:tcW w:w="5235" w:type="dxa"/>
          </w:tcPr>
          <w:p w14:paraId="3F2F7E91" w14:textId="2D39CB2F" w:rsidR="0082586D" w:rsidRPr="00A07A32" w:rsidRDefault="0082586D" w:rsidP="00A07A32">
            <w:pPr>
              <w:rPr>
                <w:rFonts w:ascii="Aptos" w:hAnsi="Aptos"/>
                <w:sz w:val="18"/>
                <w:szCs w:val="18"/>
              </w:rPr>
            </w:pPr>
            <w:r w:rsidRPr="00A07A32">
              <w:rPr>
                <w:sz w:val="18"/>
                <w:szCs w:val="18"/>
                <w:lang w:val="es-ES"/>
              </w:rPr>
              <w:t>Meta 4</w:t>
            </w:r>
          </w:p>
        </w:tc>
      </w:tr>
      <w:tr w:rsidR="0082586D" w:rsidRPr="00A07A32" w14:paraId="5EC15C78" w14:textId="77777777" w:rsidTr="00A07A32">
        <w:tc>
          <w:tcPr>
            <w:tcW w:w="4192" w:type="dxa"/>
          </w:tcPr>
          <w:p w14:paraId="2DA8D48E" w14:textId="77777777" w:rsidR="0082586D" w:rsidRPr="00A07A32" w:rsidRDefault="0082586D" w:rsidP="00A07A32">
            <w:pPr>
              <w:rPr>
                <w:rFonts w:ascii="Aptos" w:hAnsi="Aptos"/>
                <w:sz w:val="18"/>
                <w:szCs w:val="18"/>
              </w:rPr>
            </w:pPr>
            <w:r w:rsidRPr="00A07A32">
              <w:rPr>
                <w:rFonts w:ascii="Aptos" w:hAnsi="Aptos"/>
                <w:sz w:val="18"/>
                <w:szCs w:val="18"/>
              </w:rPr>
              <w:t>Target 5</w:t>
            </w:r>
          </w:p>
        </w:tc>
        <w:tc>
          <w:tcPr>
            <w:tcW w:w="5235" w:type="dxa"/>
          </w:tcPr>
          <w:p w14:paraId="40EF05CE" w14:textId="1D34874B" w:rsidR="0082586D" w:rsidRPr="00A07A32" w:rsidRDefault="0082586D" w:rsidP="00A07A32">
            <w:pPr>
              <w:rPr>
                <w:rFonts w:ascii="Aptos" w:hAnsi="Aptos"/>
                <w:sz w:val="18"/>
                <w:szCs w:val="18"/>
              </w:rPr>
            </w:pPr>
            <w:r w:rsidRPr="00A07A32">
              <w:rPr>
                <w:sz w:val="18"/>
                <w:szCs w:val="18"/>
                <w:lang w:val="es-ES"/>
              </w:rPr>
              <w:t>Meta 5</w:t>
            </w:r>
          </w:p>
        </w:tc>
      </w:tr>
      <w:tr w:rsidR="0082586D" w:rsidRPr="00A07A32" w14:paraId="2DB3982C" w14:textId="77777777" w:rsidTr="00A07A32">
        <w:tc>
          <w:tcPr>
            <w:tcW w:w="4192" w:type="dxa"/>
          </w:tcPr>
          <w:p w14:paraId="3B055E95" w14:textId="77777777" w:rsidR="0082586D" w:rsidRPr="00A07A32" w:rsidRDefault="0082586D" w:rsidP="00A07A32">
            <w:pPr>
              <w:rPr>
                <w:rFonts w:ascii="Aptos" w:hAnsi="Aptos"/>
                <w:sz w:val="18"/>
                <w:szCs w:val="18"/>
              </w:rPr>
            </w:pPr>
            <w:r w:rsidRPr="00A07A32">
              <w:rPr>
                <w:rFonts w:ascii="Aptos" w:hAnsi="Aptos"/>
                <w:sz w:val="18"/>
                <w:szCs w:val="18"/>
              </w:rPr>
              <w:t>Target 6</w:t>
            </w:r>
          </w:p>
        </w:tc>
        <w:tc>
          <w:tcPr>
            <w:tcW w:w="5235" w:type="dxa"/>
          </w:tcPr>
          <w:p w14:paraId="580A3EB0" w14:textId="03370B16" w:rsidR="0082586D" w:rsidRPr="00A07A32" w:rsidRDefault="0082586D" w:rsidP="00A07A32">
            <w:pPr>
              <w:rPr>
                <w:rFonts w:ascii="Aptos" w:hAnsi="Aptos"/>
                <w:sz w:val="18"/>
                <w:szCs w:val="18"/>
              </w:rPr>
            </w:pPr>
            <w:r w:rsidRPr="00A07A32">
              <w:rPr>
                <w:sz w:val="18"/>
                <w:szCs w:val="18"/>
                <w:lang w:val="es-ES"/>
              </w:rPr>
              <w:t>Meta 6</w:t>
            </w:r>
          </w:p>
        </w:tc>
      </w:tr>
      <w:tr w:rsidR="0082586D" w:rsidRPr="00A07A32" w14:paraId="491857CA" w14:textId="77777777" w:rsidTr="00A07A32">
        <w:tc>
          <w:tcPr>
            <w:tcW w:w="4192" w:type="dxa"/>
          </w:tcPr>
          <w:p w14:paraId="5DE18F99" w14:textId="77777777" w:rsidR="0082586D" w:rsidRPr="00A07A32" w:rsidRDefault="0082586D" w:rsidP="00A07A32">
            <w:pPr>
              <w:rPr>
                <w:rFonts w:ascii="Aptos" w:hAnsi="Aptos"/>
                <w:sz w:val="18"/>
                <w:szCs w:val="18"/>
              </w:rPr>
            </w:pPr>
            <w:r w:rsidRPr="00A07A32">
              <w:rPr>
                <w:rFonts w:ascii="Aptos" w:hAnsi="Aptos"/>
                <w:sz w:val="18"/>
                <w:szCs w:val="18"/>
              </w:rPr>
              <w:t>Target 7</w:t>
            </w:r>
          </w:p>
        </w:tc>
        <w:tc>
          <w:tcPr>
            <w:tcW w:w="5235" w:type="dxa"/>
          </w:tcPr>
          <w:p w14:paraId="314EC297" w14:textId="71B0FF5D" w:rsidR="0082586D" w:rsidRPr="00A07A32" w:rsidRDefault="0082586D" w:rsidP="00A07A32">
            <w:pPr>
              <w:rPr>
                <w:rFonts w:ascii="Aptos" w:hAnsi="Aptos"/>
                <w:sz w:val="18"/>
                <w:szCs w:val="18"/>
              </w:rPr>
            </w:pPr>
            <w:r w:rsidRPr="00A07A32">
              <w:rPr>
                <w:sz w:val="18"/>
                <w:szCs w:val="18"/>
                <w:lang w:val="es-ES"/>
              </w:rPr>
              <w:t>Meta 7</w:t>
            </w:r>
          </w:p>
        </w:tc>
      </w:tr>
      <w:tr w:rsidR="0082586D" w:rsidRPr="00A07A32" w14:paraId="08DAEFD2" w14:textId="77777777" w:rsidTr="00A07A32">
        <w:tc>
          <w:tcPr>
            <w:tcW w:w="4192" w:type="dxa"/>
          </w:tcPr>
          <w:p w14:paraId="45ECCDA1" w14:textId="77777777" w:rsidR="0082586D" w:rsidRPr="00A07A32" w:rsidRDefault="0082586D" w:rsidP="00A07A32">
            <w:pPr>
              <w:rPr>
                <w:rFonts w:ascii="Aptos" w:hAnsi="Aptos"/>
                <w:sz w:val="18"/>
                <w:szCs w:val="18"/>
              </w:rPr>
            </w:pPr>
            <w:r w:rsidRPr="00A07A32">
              <w:rPr>
                <w:rFonts w:ascii="Aptos" w:hAnsi="Aptos"/>
                <w:sz w:val="18"/>
                <w:szCs w:val="18"/>
              </w:rPr>
              <w:t>Target 8</w:t>
            </w:r>
          </w:p>
        </w:tc>
        <w:tc>
          <w:tcPr>
            <w:tcW w:w="5235" w:type="dxa"/>
          </w:tcPr>
          <w:p w14:paraId="28996CE3" w14:textId="2E4191B8" w:rsidR="0082586D" w:rsidRPr="00A07A32" w:rsidRDefault="0082586D" w:rsidP="00A07A32">
            <w:pPr>
              <w:rPr>
                <w:rFonts w:ascii="Aptos" w:hAnsi="Aptos"/>
                <w:sz w:val="18"/>
                <w:szCs w:val="18"/>
              </w:rPr>
            </w:pPr>
            <w:r w:rsidRPr="00A07A32">
              <w:rPr>
                <w:sz w:val="18"/>
                <w:szCs w:val="18"/>
                <w:lang w:val="es-ES"/>
              </w:rPr>
              <w:t>Meta 8</w:t>
            </w:r>
          </w:p>
        </w:tc>
      </w:tr>
      <w:tr w:rsidR="0082586D" w:rsidRPr="00A07A32" w14:paraId="17E3785B" w14:textId="77777777" w:rsidTr="00A07A32">
        <w:tc>
          <w:tcPr>
            <w:tcW w:w="4192" w:type="dxa"/>
          </w:tcPr>
          <w:p w14:paraId="522EFE2A" w14:textId="77777777" w:rsidR="0082586D" w:rsidRPr="00A07A32" w:rsidRDefault="0082586D" w:rsidP="00A07A32">
            <w:pPr>
              <w:rPr>
                <w:rFonts w:ascii="Aptos" w:hAnsi="Aptos"/>
                <w:sz w:val="18"/>
                <w:szCs w:val="18"/>
              </w:rPr>
            </w:pPr>
            <w:r w:rsidRPr="00A07A32">
              <w:rPr>
                <w:rFonts w:ascii="Aptos" w:hAnsi="Aptos"/>
                <w:sz w:val="18"/>
                <w:szCs w:val="18"/>
              </w:rPr>
              <w:t>Target 9</w:t>
            </w:r>
          </w:p>
        </w:tc>
        <w:tc>
          <w:tcPr>
            <w:tcW w:w="5235" w:type="dxa"/>
          </w:tcPr>
          <w:p w14:paraId="6FD977E8" w14:textId="247FFEDC" w:rsidR="0082586D" w:rsidRPr="00A07A32" w:rsidRDefault="0082586D" w:rsidP="00A07A32">
            <w:pPr>
              <w:rPr>
                <w:rFonts w:ascii="Aptos" w:hAnsi="Aptos"/>
                <w:sz w:val="18"/>
                <w:szCs w:val="18"/>
              </w:rPr>
            </w:pPr>
            <w:r w:rsidRPr="00A07A32">
              <w:rPr>
                <w:sz w:val="18"/>
                <w:szCs w:val="18"/>
                <w:lang w:val="es-ES"/>
              </w:rPr>
              <w:t>Meta 9</w:t>
            </w:r>
          </w:p>
        </w:tc>
      </w:tr>
      <w:tr w:rsidR="0082586D" w:rsidRPr="00A07A32" w14:paraId="28E44689" w14:textId="77777777" w:rsidTr="00A07A32">
        <w:tc>
          <w:tcPr>
            <w:tcW w:w="4192" w:type="dxa"/>
          </w:tcPr>
          <w:p w14:paraId="0C8CFF79" w14:textId="77777777" w:rsidR="0082586D" w:rsidRPr="00A07A32" w:rsidRDefault="0082586D" w:rsidP="00A07A32">
            <w:pPr>
              <w:rPr>
                <w:rFonts w:ascii="Aptos" w:hAnsi="Aptos"/>
                <w:sz w:val="18"/>
                <w:szCs w:val="18"/>
              </w:rPr>
            </w:pPr>
            <w:r w:rsidRPr="00A07A32">
              <w:rPr>
                <w:rFonts w:ascii="Aptos" w:hAnsi="Aptos"/>
                <w:sz w:val="18"/>
                <w:szCs w:val="18"/>
              </w:rPr>
              <w:t>Target 10</w:t>
            </w:r>
          </w:p>
        </w:tc>
        <w:tc>
          <w:tcPr>
            <w:tcW w:w="5235" w:type="dxa"/>
          </w:tcPr>
          <w:p w14:paraId="18317237" w14:textId="5D610E8B" w:rsidR="0082586D" w:rsidRPr="00A07A32" w:rsidRDefault="0082586D" w:rsidP="00A07A32">
            <w:pPr>
              <w:rPr>
                <w:rFonts w:ascii="Aptos" w:hAnsi="Aptos"/>
                <w:sz w:val="18"/>
                <w:szCs w:val="18"/>
              </w:rPr>
            </w:pPr>
            <w:r w:rsidRPr="00A07A32">
              <w:rPr>
                <w:sz w:val="18"/>
                <w:szCs w:val="18"/>
                <w:lang w:val="es-ES"/>
              </w:rPr>
              <w:t>Meta 10</w:t>
            </w:r>
          </w:p>
        </w:tc>
      </w:tr>
      <w:tr w:rsidR="0082586D" w:rsidRPr="00A07A32" w14:paraId="50B7C97D" w14:textId="77777777" w:rsidTr="00A07A32">
        <w:tc>
          <w:tcPr>
            <w:tcW w:w="4192" w:type="dxa"/>
          </w:tcPr>
          <w:p w14:paraId="5872AE44" w14:textId="77777777" w:rsidR="0082586D" w:rsidRPr="00A07A32" w:rsidRDefault="0082586D" w:rsidP="00A07A32">
            <w:pPr>
              <w:rPr>
                <w:rFonts w:ascii="Aptos" w:hAnsi="Aptos"/>
                <w:sz w:val="18"/>
                <w:szCs w:val="18"/>
              </w:rPr>
            </w:pPr>
            <w:r w:rsidRPr="00A07A32">
              <w:rPr>
                <w:rFonts w:ascii="Aptos" w:hAnsi="Aptos"/>
                <w:sz w:val="18"/>
                <w:szCs w:val="18"/>
              </w:rPr>
              <w:t>Target 11</w:t>
            </w:r>
          </w:p>
        </w:tc>
        <w:tc>
          <w:tcPr>
            <w:tcW w:w="5235" w:type="dxa"/>
          </w:tcPr>
          <w:p w14:paraId="42943EE5" w14:textId="6F77D56B" w:rsidR="0082586D" w:rsidRPr="00A07A32" w:rsidRDefault="0082586D" w:rsidP="00A07A32">
            <w:pPr>
              <w:rPr>
                <w:rFonts w:ascii="Aptos" w:hAnsi="Aptos"/>
                <w:sz w:val="18"/>
                <w:szCs w:val="18"/>
              </w:rPr>
            </w:pPr>
            <w:r w:rsidRPr="00A07A32">
              <w:rPr>
                <w:sz w:val="18"/>
                <w:szCs w:val="18"/>
                <w:lang w:val="es-ES"/>
              </w:rPr>
              <w:t>Meta 11</w:t>
            </w:r>
          </w:p>
        </w:tc>
      </w:tr>
      <w:tr w:rsidR="0082586D" w:rsidRPr="00A07A32" w14:paraId="5B501076" w14:textId="77777777" w:rsidTr="00A07A32">
        <w:tc>
          <w:tcPr>
            <w:tcW w:w="4192" w:type="dxa"/>
          </w:tcPr>
          <w:p w14:paraId="35B9965B" w14:textId="77777777" w:rsidR="0082586D" w:rsidRPr="00A07A32" w:rsidRDefault="0082586D" w:rsidP="00A07A32">
            <w:pPr>
              <w:rPr>
                <w:rFonts w:ascii="Aptos" w:hAnsi="Aptos"/>
                <w:sz w:val="18"/>
                <w:szCs w:val="18"/>
              </w:rPr>
            </w:pPr>
            <w:r w:rsidRPr="00A07A32">
              <w:rPr>
                <w:rFonts w:ascii="Aptos" w:hAnsi="Aptos"/>
                <w:sz w:val="18"/>
                <w:szCs w:val="18"/>
              </w:rPr>
              <w:t>Target 12</w:t>
            </w:r>
          </w:p>
        </w:tc>
        <w:tc>
          <w:tcPr>
            <w:tcW w:w="5235" w:type="dxa"/>
          </w:tcPr>
          <w:p w14:paraId="2BC9E1A6" w14:textId="63434B6D" w:rsidR="0082586D" w:rsidRPr="00A07A32" w:rsidRDefault="0082586D" w:rsidP="00A07A32">
            <w:pPr>
              <w:rPr>
                <w:rFonts w:ascii="Aptos" w:hAnsi="Aptos"/>
                <w:sz w:val="18"/>
                <w:szCs w:val="18"/>
              </w:rPr>
            </w:pPr>
            <w:r w:rsidRPr="00A07A32">
              <w:rPr>
                <w:sz w:val="18"/>
                <w:szCs w:val="18"/>
                <w:lang w:val="es-ES"/>
              </w:rPr>
              <w:t>Meta 12</w:t>
            </w:r>
          </w:p>
        </w:tc>
      </w:tr>
      <w:tr w:rsidR="0082586D" w:rsidRPr="00A07A32" w14:paraId="6AA7BB88" w14:textId="77777777" w:rsidTr="00A07A32">
        <w:tc>
          <w:tcPr>
            <w:tcW w:w="4192" w:type="dxa"/>
          </w:tcPr>
          <w:p w14:paraId="299474A8" w14:textId="77777777" w:rsidR="0082586D" w:rsidRPr="00A07A32" w:rsidRDefault="0082586D" w:rsidP="00A07A32">
            <w:pPr>
              <w:rPr>
                <w:rFonts w:ascii="Aptos" w:hAnsi="Aptos"/>
                <w:sz w:val="18"/>
                <w:szCs w:val="18"/>
              </w:rPr>
            </w:pPr>
            <w:r w:rsidRPr="00A07A32">
              <w:rPr>
                <w:rFonts w:ascii="Aptos" w:hAnsi="Aptos"/>
                <w:sz w:val="18"/>
                <w:szCs w:val="18"/>
              </w:rPr>
              <w:t>Target 13</w:t>
            </w:r>
          </w:p>
        </w:tc>
        <w:tc>
          <w:tcPr>
            <w:tcW w:w="5235" w:type="dxa"/>
          </w:tcPr>
          <w:p w14:paraId="3F4C1930" w14:textId="27B1819F" w:rsidR="0082586D" w:rsidRPr="00A07A32" w:rsidRDefault="0082586D" w:rsidP="00A07A32">
            <w:pPr>
              <w:rPr>
                <w:rFonts w:ascii="Aptos" w:hAnsi="Aptos"/>
                <w:sz w:val="18"/>
                <w:szCs w:val="18"/>
              </w:rPr>
            </w:pPr>
            <w:r w:rsidRPr="00A07A32">
              <w:rPr>
                <w:sz w:val="18"/>
                <w:szCs w:val="18"/>
                <w:lang w:val="es-ES"/>
              </w:rPr>
              <w:t>Meta 13</w:t>
            </w:r>
          </w:p>
        </w:tc>
      </w:tr>
      <w:tr w:rsidR="0082586D" w:rsidRPr="00A07A32" w14:paraId="2828BFC5" w14:textId="77777777" w:rsidTr="00A07A32">
        <w:tc>
          <w:tcPr>
            <w:tcW w:w="4192" w:type="dxa"/>
          </w:tcPr>
          <w:p w14:paraId="3FD24392" w14:textId="77777777" w:rsidR="0082586D" w:rsidRPr="00A07A32" w:rsidRDefault="0082586D" w:rsidP="00A07A32">
            <w:pPr>
              <w:rPr>
                <w:rFonts w:ascii="Aptos" w:hAnsi="Aptos"/>
                <w:sz w:val="18"/>
                <w:szCs w:val="18"/>
              </w:rPr>
            </w:pPr>
            <w:r w:rsidRPr="00A07A32">
              <w:rPr>
                <w:rFonts w:ascii="Aptos" w:hAnsi="Aptos"/>
                <w:sz w:val="18"/>
                <w:szCs w:val="18"/>
              </w:rPr>
              <w:t>Target 14</w:t>
            </w:r>
          </w:p>
        </w:tc>
        <w:tc>
          <w:tcPr>
            <w:tcW w:w="5235" w:type="dxa"/>
          </w:tcPr>
          <w:p w14:paraId="007718DA" w14:textId="5FC66F40" w:rsidR="0082586D" w:rsidRPr="00A07A32" w:rsidRDefault="0082586D" w:rsidP="00A07A32">
            <w:pPr>
              <w:rPr>
                <w:rFonts w:ascii="Aptos" w:hAnsi="Aptos"/>
                <w:sz w:val="18"/>
                <w:szCs w:val="18"/>
              </w:rPr>
            </w:pPr>
            <w:r w:rsidRPr="00A07A32">
              <w:rPr>
                <w:sz w:val="18"/>
                <w:szCs w:val="18"/>
                <w:lang w:val="es-ES"/>
              </w:rPr>
              <w:t>Meta 14</w:t>
            </w:r>
          </w:p>
        </w:tc>
      </w:tr>
      <w:tr w:rsidR="0082586D" w:rsidRPr="00A07A32" w14:paraId="26C70778" w14:textId="77777777" w:rsidTr="00A07A32">
        <w:tc>
          <w:tcPr>
            <w:tcW w:w="4192" w:type="dxa"/>
          </w:tcPr>
          <w:p w14:paraId="3E51A4CF" w14:textId="77777777" w:rsidR="0082586D" w:rsidRPr="00A07A32" w:rsidRDefault="0082586D" w:rsidP="00A07A32">
            <w:pPr>
              <w:rPr>
                <w:rFonts w:ascii="Aptos" w:hAnsi="Aptos"/>
                <w:sz w:val="18"/>
                <w:szCs w:val="18"/>
              </w:rPr>
            </w:pPr>
            <w:r w:rsidRPr="00A07A32">
              <w:rPr>
                <w:rFonts w:ascii="Aptos" w:hAnsi="Aptos"/>
                <w:sz w:val="18"/>
                <w:szCs w:val="18"/>
              </w:rPr>
              <w:t>Target 15</w:t>
            </w:r>
          </w:p>
        </w:tc>
        <w:tc>
          <w:tcPr>
            <w:tcW w:w="5235" w:type="dxa"/>
          </w:tcPr>
          <w:p w14:paraId="5D2C7489" w14:textId="5AA6D6D2" w:rsidR="0082586D" w:rsidRPr="00A07A32" w:rsidRDefault="0082586D" w:rsidP="00A07A32">
            <w:pPr>
              <w:rPr>
                <w:rFonts w:ascii="Aptos" w:hAnsi="Aptos"/>
                <w:sz w:val="18"/>
                <w:szCs w:val="18"/>
              </w:rPr>
            </w:pPr>
            <w:r w:rsidRPr="00A07A32">
              <w:rPr>
                <w:sz w:val="18"/>
                <w:szCs w:val="18"/>
                <w:lang w:val="es-ES"/>
              </w:rPr>
              <w:t>Meta 15</w:t>
            </w:r>
          </w:p>
        </w:tc>
      </w:tr>
      <w:tr w:rsidR="0082586D" w:rsidRPr="00A07A32" w14:paraId="442B6F30" w14:textId="77777777" w:rsidTr="00A07A32">
        <w:tc>
          <w:tcPr>
            <w:tcW w:w="4192" w:type="dxa"/>
          </w:tcPr>
          <w:p w14:paraId="3C764742" w14:textId="77777777" w:rsidR="0082586D" w:rsidRPr="00A07A32" w:rsidRDefault="0082586D" w:rsidP="00A07A32">
            <w:pPr>
              <w:rPr>
                <w:rFonts w:ascii="Aptos" w:hAnsi="Aptos"/>
                <w:sz w:val="18"/>
                <w:szCs w:val="18"/>
              </w:rPr>
            </w:pPr>
            <w:r w:rsidRPr="00A07A32">
              <w:rPr>
                <w:rFonts w:ascii="Aptos" w:hAnsi="Aptos"/>
                <w:sz w:val="18"/>
                <w:szCs w:val="18"/>
              </w:rPr>
              <w:t>Target 16</w:t>
            </w:r>
          </w:p>
        </w:tc>
        <w:tc>
          <w:tcPr>
            <w:tcW w:w="5235" w:type="dxa"/>
          </w:tcPr>
          <w:p w14:paraId="20987F74" w14:textId="4D8C17B2" w:rsidR="0082586D" w:rsidRPr="00A07A32" w:rsidRDefault="0082586D" w:rsidP="00A07A32">
            <w:pPr>
              <w:rPr>
                <w:rFonts w:ascii="Aptos" w:hAnsi="Aptos"/>
                <w:sz w:val="18"/>
                <w:szCs w:val="18"/>
              </w:rPr>
            </w:pPr>
            <w:r w:rsidRPr="00A07A32">
              <w:rPr>
                <w:sz w:val="18"/>
                <w:szCs w:val="18"/>
                <w:lang w:val="es-ES"/>
              </w:rPr>
              <w:t>Meta 16</w:t>
            </w:r>
          </w:p>
        </w:tc>
      </w:tr>
      <w:tr w:rsidR="0082586D" w:rsidRPr="00A07A32" w14:paraId="3A0D73AB" w14:textId="77777777" w:rsidTr="00A07A32">
        <w:tc>
          <w:tcPr>
            <w:tcW w:w="4192" w:type="dxa"/>
          </w:tcPr>
          <w:p w14:paraId="5155616C" w14:textId="77777777" w:rsidR="0082586D" w:rsidRPr="00A07A32" w:rsidRDefault="0082586D" w:rsidP="00A07A32">
            <w:pPr>
              <w:rPr>
                <w:rFonts w:ascii="Aptos" w:hAnsi="Aptos"/>
                <w:sz w:val="18"/>
                <w:szCs w:val="18"/>
              </w:rPr>
            </w:pPr>
            <w:r w:rsidRPr="00A07A32">
              <w:rPr>
                <w:rFonts w:ascii="Aptos" w:hAnsi="Aptos"/>
                <w:sz w:val="18"/>
                <w:szCs w:val="18"/>
              </w:rPr>
              <w:t>Target 17</w:t>
            </w:r>
          </w:p>
        </w:tc>
        <w:tc>
          <w:tcPr>
            <w:tcW w:w="5235" w:type="dxa"/>
          </w:tcPr>
          <w:p w14:paraId="53875608" w14:textId="1275E69A" w:rsidR="0082586D" w:rsidRPr="00A07A32" w:rsidRDefault="0082586D" w:rsidP="00A07A32">
            <w:pPr>
              <w:rPr>
                <w:rFonts w:ascii="Aptos" w:hAnsi="Aptos"/>
                <w:sz w:val="18"/>
                <w:szCs w:val="18"/>
              </w:rPr>
            </w:pPr>
            <w:r w:rsidRPr="00A07A32">
              <w:rPr>
                <w:sz w:val="18"/>
                <w:szCs w:val="18"/>
                <w:lang w:val="es-ES"/>
              </w:rPr>
              <w:t>Meta 17</w:t>
            </w:r>
          </w:p>
        </w:tc>
      </w:tr>
      <w:tr w:rsidR="0082586D" w:rsidRPr="00A07A32" w14:paraId="7BCE5F5E" w14:textId="77777777" w:rsidTr="00A07A32">
        <w:tc>
          <w:tcPr>
            <w:tcW w:w="4192" w:type="dxa"/>
          </w:tcPr>
          <w:p w14:paraId="311B3100" w14:textId="77777777" w:rsidR="0082586D" w:rsidRPr="00A07A32" w:rsidRDefault="0082586D" w:rsidP="00A07A32">
            <w:pPr>
              <w:rPr>
                <w:rFonts w:ascii="Aptos" w:hAnsi="Aptos"/>
                <w:sz w:val="18"/>
                <w:szCs w:val="18"/>
              </w:rPr>
            </w:pPr>
            <w:r w:rsidRPr="00A07A32">
              <w:rPr>
                <w:rFonts w:ascii="Aptos" w:hAnsi="Aptos"/>
                <w:sz w:val="18"/>
                <w:szCs w:val="18"/>
              </w:rPr>
              <w:t>Target 18</w:t>
            </w:r>
          </w:p>
        </w:tc>
        <w:tc>
          <w:tcPr>
            <w:tcW w:w="5235" w:type="dxa"/>
          </w:tcPr>
          <w:p w14:paraId="7B33AA95" w14:textId="501C5ABE" w:rsidR="0082586D" w:rsidRPr="00A07A32" w:rsidRDefault="0082586D" w:rsidP="00A07A32">
            <w:pPr>
              <w:rPr>
                <w:rFonts w:ascii="Aptos" w:hAnsi="Aptos"/>
                <w:sz w:val="18"/>
                <w:szCs w:val="18"/>
              </w:rPr>
            </w:pPr>
            <w:r w:rsidRPr="00A07A32">
              <w:rPr>
                <w:sz w:val="18"/>
                <w:szCs w:val="18"/>
                <w:lang w:val="es-ES"/>
              </w:rPr>
              <w:t>Meta 18</w:t>
            </w:r>
          </w:p>
        </w:tc>
      </w:tr>
      <w:tr w:rsidR="0082586D" w:rsidRPr="00A07A32" w14:paraId="78784748" w14:textId="77777777" w:rsidTr="00A07A32">
        <w:tc>
          <w:tcPr>
            <w:tcW w:w="4192" w:type="dxa"/>
          </w:tcPr>
          <w:p w14:paraId="372D8AF7" w14:textId="77777777" w:rsidR="0082586D" w:rsidRPr="00A07A32" w:rsidRDefault="0082586D" w:rsidP="00A07A32">
            <w:pPr>
              <w:rPr>
                <w:rFonts w:ascii="Aptos" w:hAnsi="Aptos"/>
                <w:sz w:val="18"/>
                <w:szCs w:val="18"/>
              </w:rPr>
            </w:pPr>
            <w:r w:rsidRPr="00A07A32">
              <w:rPr>
                <w:rFonts w:ascii="Aptos" w:hAnsi="Aptos"/>
                <w:sz w:val="18"/>
                <w:szCs w:val="18"/>
              </w:rPr>
              <w:t>Target 19</w:t>
            </w:r>
          </w:p>
        </w:tc>
        <w:tc>
          <w:tcPr>
            <w:tcW w:w="5235" w:type="dxa"/>
          </w:tcPr>
          <w:p w14:paraId="6938FC45" w14:textId="6AD1F8B9" w:rsidR="0082586D" w:rsidRPr="00A07A32" w:rsidRDefault="0082586D" w:rsidP="00A07A32">
            <w:pPr>
              <w:rPr>
                <w:rFonts w:ascii="Aptos" w:hAnsi="Aptos"/>
                <w:sz w:val="18"/>
                <w:szCs w:val="18"/>
              </w:rPr>
            </w:pPr>
            <w:r w:rsidRPr="00A07A32">
              <w:rPr>
                <w:sz w:val="18"/>
                <w:szCs w:val="18"/>
                <w:lang w:val="es-ES"/>
              </w:rPr>
              <w:t>Meta 19</w:t>
            </w:r>
          </w:p>
        </w:tc>
      </w:tr>
      <w:tr w:rsidR="0082586D" w:rsidRPr="00A07A32" w14:paraId="06FF23EC" w14:textId="77777777" w:rsidTr="00A07A32">
        <w:tc>
          <w:tcPr>
            <w:tcW w:w="4192" w:type="dxa"/>
          </w:tcPr>
          <w:p w14:paraId="395396B5" w14:textId="77777777" w:rsidR="0082586D" w:rsidRPr="00A07A32" w:rsidRDefault="0082586D" w:rsidP="00A07A32">
            <w:pPr>
              <w:rPr>
                <w:rFonts w:ascii="Aptos" w:hAnsi="Aptos"/>
                <w:sz w:val="18"/>
                <w:szCs w:val="18"/>
              </w:rPr>
            </w:pPr>
            <w:r w:rsidRPr="00A07A32">
              <w:rPr>
                <w:rFonts w:ascii="Aptos" w:hAnsi="Aptos"/>
                <w:sz w:val="18"/>
                <w:szCs w:val="18"/>
              </w:rPr>
              <w:t>Target 20</w:t>
            </w:r>
          </w:p>
        </w:tc>
        <w:tc>
          <w:tcPr>
            <w:tcW w:w="5235" w:type="dxa"/>
          </w:tcPr>
          <w:p w14:paraId="56C979D7" w14:textId="143FB8E9" w:rsidR="0082586D" w:rsidRPr="00A07A32" w:rsidRDefault="0082586D" w:rsidP="00A07A32">
            <w:pPr>
              <w:rPr>
                <w:rFonts w:ascii="Aptos" w:hAnsi="Aptos"/>
                <w:sz w:val="18"/>
                <w:szCs w:val="18"/>
              </w:rPr>
            </w:pPr>
            <w:r w:rsidRPr="00A07A32">
              <w:rPr>
                <w:sz w:val="18"/>
                <w:szCs w:val="18"/>
                <w:lang w:val="es-ES"/>
              </w:rPr>
              <w:t>Meta 20</w:t>
            </w:r>
          </w:p>
        </w:tc>
      </w:tr>
      <w:tr w:rsidR="0082586D" w:rsidRPr="00A07A32" w14:paraId="3894E024" w14:textId="77777777" w:rsidTr="00A07A32">
        <w:tc>
          <w:tcPr>
            <w:tcW w:w="4192" w:type="dxa"/>
          </w:tcPr>
          <w:p w14:paraId="0511D1BB" w14:textId="77777777" w:rsidR="0082586D" w:rsidRPr="00A07A32" w:rsidRDefault="0082586D" w:rsidP="00A07A32">
            <w:pPr>
              <w:rPr>
                <w:rFonts w:ascii="Aptos" w:hAnsi="Aptos"/>
                <w:sz w:val="18"/>
                <w:szCs w:val="18"/>
              </w:rPr>
            </w:pPr>
            <w:r w:rsidRPr="00A07A32">
              <w:rPr>
                <w:rFonts w:ascii="Aptos" w:hAnsi="Aptos"/>
                <w:sz w:val="18"/>
                <w:szCs w:val="18"/>
              </w:rPr>
              <w:t>Target 21</w:t>
            </w:r>
          </w:p>
        </w:tc>
        <w:tc>
          <w:tcPr>
            <w:tcW w:w="5235" w:type="dxa"/>
          </w:tcPr>
          <w:p w14:paraId="17A7A0DE" w14:textId="6BA5851B" w:rsidR="0082586D" w:rsidRPr="00A07A32" w:rsidRDefault="0082586D" w:rsidP="00A07A32">
            <w:pPr>
              <w:rPr>
                <w:rFonts w:ascii="Aptos" w:hAnsi="Aptos"/>
                <w:sz w:val="18"/>
                <w:szCs w:val="18"/>
              </w:rPr>
            </w:pPr>
            <w:r w:rsidRPr="00A07A32">
              <w:rPr>
                <w:sz w:val="18"/>
                <w:szCs w:val="18"/>
                <w:lang w:val="es-ES"/>
              </w:rPr>
              <w:t>Meta 21</w:t>
            </w:r>
          </w:p>
        </w:tc>
      </w:tr>
      <w:tr w:rsidR="0082586D" w:rsidRPr="00A07A32" w14:paraId="3A838887" w14:textId="77777777" w:rsidTr="00A07A32">
        <w:tc>
          <w:tcPr>
            <w:tcW w:w="4192" w:type="dxa"/>
          </w:tcPr>
          <w:p w14:paraId="4267855E" w14:textId="77777777" w:rsidR="0082586D" w:rsidRPr="00A07A32" w:rsidRDefault="0082586D" w:rsidP="00A07A32">
            <w:pPr>
              <w:rPr>
                <w:rFonts w:ascii="Aptos" w:hAnsi="Aptos"/>
                <w:sz w:val="18"/>
                <w:szCs w:val="18"/>
              </w:rPr>
            </w:pPr>
            <w:r w:rsidRPr="00A07A32">
              <w:rPr>
                <w:rFonts w:ascii="Aptos" w:hAnsi="Aptos"/>
                <w:sz w:val="18"/>
                <w:szCs w:val="18"/>
              </w:rPr>
              <w:t>Target 22</w:t>
            </w:r>
          </w:p>
        </w:tc>
        <w:tc>
          <w:tcPr>
            <w:tcW w:w="5235" w:type="dxa"/>
          </w:tcPr>
          <w:p w14:paraId="18743B25" w14:textId="47F03B11" w:rsidR="0082586D" w:rsidRPr="00A07A32" w:rsidRDefault="0082586D" w:rsidP="00A07A32">
            <w:pPr>
              <w:rPr>
                <w:rFonts w:ascii="Aptos" w:hAnsi="Aptos"/>
                <w:sz w:val="18"/>
                <w:szCs w:val="18"/>
              </w:rPr>
            </w:pPr>
            <w:r w:rsidRPr="00A07A32">
              <w:rPr>
                <w:sz w:val="18"/>
                <w:szCs w:val="18"/>
                <w:lang w:val="es-ES"/>
              </w:rPr>
              <w:t>Meta 22</w:t>
            </w:r>
          </w:p>
        </w:tc>
      </w:tr>
      <w:tr w:rsidR="0082586D" w:rsidRPr="00A07A32" w14:paraId="2E41A8E4" w14:textId="77777777" w:rsidTr="00A07A32">
        <w:tc>
          <w:tcPr>
            <w:tcW w:w="4192" w:type="dxa"/>
          </w:tcPr>
          <w:p w14:paraId="631964E7" w14:textId="77777777" w:rsidR="0082586D" w:rsidRPr="00A07A32" w:rsidRDefault="0082586D" w:rsidP="00A07A32">
            <w:pPr>
              <w:rPr>
                <w:rFonts w:ascii="Aptos" w:hAnsi="Aptos"/>
                <w:sz w:val="18"/>
                <w:szCs w:val="18"/>
              </w:rPr>
            </w:pPr>
            <w:r w:rsidRPr="00A07A32">
              <w:rPr>
                <w:rFonts w:ascii="Aptos" w:hAnsi="Aptos"/>
                <w:sz w:val="18"/>
                <w:szCs w:val="18"/>
              </w:rPr>
              <w:t>Target 23</w:t>
            </w:r>
          </w:p>
        </w:tc>
        <w:tc>
          <w:tcPr>
            <w:tcW w:w="5235" w:type="dxa"/>
          </w:tcPr>
          <w:p w14:paraId="6040E528" w14:textId="6616E87F" w:rsidR="0082586D" w:rsidRPr="00A07A32" w:rsidRDefault="0082586D" w:rsidP="00A07A32">
            <w:pPr>
              <w:rPr>
                <w:rFonts w:ascii="Aptos" w:hAnsi="Aptos"/>
                <w:sz w:val="18"/>
                <w:szCs w:val="18"/>
              </w:rPr>
            </w:pPr>
            <w:r w:rsidRPr="00A07A32">
              <w:rPr>
                <w:sz w:val="18"/>
                <w:szCs w:val="18"/>
                <w:lang w:val="es-ES"/>
              </w:rPr>
              <w:t>Meta 23</w:t>
            </w:r>
          </w:p>
        </w:tc>
      </w:tr>
      <w:tr w:rsidR="0082586D" w:rsidRPr="00A07A32" w14:paraId="5E55E02B" w14:textId="77777777" w:rsidTr="00A07A32">
        <w:tc>
          <w:tcPr>
            <w:tcW w:w="4192" w:type="dxa"/>
          </w:tcPr>
          <w:p w14:paraId="27F9028E" w14:textId="77777777" w:rsidR="0082586D" w:rsidRPr="00A07A32" w:rsidRDefault="0082586D" w:rsidP="00A07A32">
            <w:pPr>
              <w:rPr>
                <w:rFonts w:ascii="Aptos" w:hAnsi="Aptos"/>
                <w:sz w:val="18"/>
                <w:szCs w:val="18"/>
              </w:rPr>
            </w:pPr>
            <w:r w:rsidRPr="00A07A32">
              <w:rPr>
                <w:rFonts w:ascii="Aptos" w:hAnsi="Aptos"/>
                <w:sz w:val="18"/>
                <w:szCs w:val="18"/>
              </w:rPr>
              <w:t>Coverage of scope</w:t>
            </w:r>
          </w:p>
        </w:tc>
        <w:tc>
          <w:tcPr>
            <w:tcW w:w="5235" w:type="dxa"/>
          </w:tcPr>
          <w:p w14:paraId="16E3BF41" w14:textId="49AB67B1" w:rsidR="0082586D" w:rsidRPr="00A07A32" w:rsidRDefault="002C52A5" w:rsidP="00A07A32">
            <w:pPr>
              <w:rPr>
                <w:rFonts w:ascii="Aptos" w:hAnsi="Aptos"/>
                <w:sz w:val="18"/>
                <w:szCs w:val="18"/>
              </w:rPr>
            </w:pPr>
            <w:proofErr w:type="spellStart"/>
            <w:r w:rsidRPr="00A07A32">
              <w:rPr>
                <w:rFonts w:ascii="Aptos" w:hAnsi="Aptos"/>
                <w:sz w:val="18"/>
                <w:szCs w:val="18"/>
              </w:rPr>
              <w:t>Cobertura</w:t>
            </w:r>
            <w:proofErr w:type="spellEnd"/>
            <w:r w:rsidRPr="00A07A32">
              <w:rPr>
                <w:rFonts w:ascii="Aptos" w:hAnsi="Aptos"/>
                <w:sz w:val="18"/>
                <w:szCs w:val="18"/>
              </w:rPr>
              <w:t xml:space="preserve"> del </w:t>
            </w:r>
            <w:proofErr w:type="spellStart"/>
            <w:r w:rsidRPr="00A07A32">
              <w:rPr>
                <w:rFonts w:ascii="Aptos" w:hAnsi="Aptos"/>
                <w:sz w:val="18"/>
                <w:szCs w:val="18"/>
              </w:rPr>
              <w:t>alcance</w:t>
            </w:r>
            <w:proofErr w:type="spellEnd"/>
          </w:p>
        </w:tc>
      </w:tr>
      <w:tr w:rsidR="0082586D" w:rsidRPr="00A07A32" w14:paraId="68BCE74E" w14:textId="77777777" w:rsidTr="00A07A32">
        <w:tc>
          <w:tcPr>
            <w:tcW w:w="4192" w:type="dxa"/>
          </w:tcPr>
          <w:p w14:paraId="1F85ABB0" w14:textId="77777777" w:rsidR="0082586D" w:rsidRPr="00A07A32" w:rsidRDefault="0082586D" w:rsidP="00A07A32">
            <w:pPr>
              <w:rPr>
                <w:rFonts w:ascii="Aptos" w:hAnsi="Aptos"/>
                <w:sz w:val="18"/>
                <w:szCs w:val="18"/>
              </w:rPr>
            </w:pPr>
            <w:r w:rsidRPr="00A07A32">
              <w:rPr>
                <w:rFonts w:ascii="Aptos" w:hAnsi="Aptos"/>
                <w:sz w:val="18"/>
                <w:szCs w:val="18"/>
              </w:rPr>
              <w:t>Progress self-assessment</w:t>
            </w:r>
          </w:p>
        </w:tc>
        <w:tc>
          <w:tcPr>
            <w:tcW w:w="5235" w:type="dxa"/>
          </w:tcPr>
          <w:p w14:paraId="66183F26" w14:textId="4EAF64E7" w:rsidR="0082586D" w:rsidRPr="00A07A32" w:rsidRDefault="00F969F2" w:rsidP="00A07A32">
            <w:pPr>
              <w:rPr>
                <w:rFonts w:ascii="Aptos" w:hAnsi="Aptos"/>
                <w:sz w:val="18"/>
                <w:szCs w:val="18"/>
              </w:rPr>
            </w:pPr>
            <w:proofErr w:type="spellStart"/>
            <w:r w:rsidRPr="00A07A32">
              <w:rPr>
                <w:rFonts w:ascii="Aptos" w:hAnsi="Aptos"/>
                <w:sz w:val="18"/>
                <w:szCs w:val="18"/>
              </w:rPr>
              <w:t>Autoevaluación</w:t>
            </w:r>
            <w:proofErr w:type="spellEnd"/>
            <w:r w:rsidRPr="00A07A32">
              <w:rPr>
                <w:rFonts w:ascii="Aptos" w:hAnsi="Aptos"/>
                <w:sz w:val="18"/>
                <w:szCs w:val="18"/>
              </w:rPr>
              <w:t xml:space="preserve"> de </w:t>
            </w:r>
            <w:proofErr w:type="spellStart"/>
            <w:r w:rsidRPr="00A07A32">
              <w:rPr>
                <w:rFonts w:ascii="Aptos" w:hAnsi="Aptos"/>
                <w:sz w:val="18"/>
                <w:szCs w:val="18"/>
              </w:rPr>
              <w:t>progreso</w:t>
            </w:r>
            <w:proofErr w:type="spellEnd"/>
          </w:p>
        </w:tc>
      </w:tr>
      <w:tr w:rsidR="0082586D" w:rsidRPr="00A07A32" w14:paraId="3C49FE4F" w14:textId="77777777" w:rsidTr="00A07A32">
        <w:tc>
          <w:tcPr>
            <w:tcW w:w="4192" w:type="dxa"/>
          </w:tcPr>
          <w:p w14:paraId="32028EBA" w14:textId="77777777" w:rsidR="0082586D" w:rsidRPr="00A07A32" w:rsidRDefault="0082586D" w:rsidP="00A07A32">
            <w:pPr>
              <w:rPr>
                <w:rFonts w:ascii="Aptos" w:hAnsi="Aptos"/>
                <w:sz w:val="18"/>
                <w:szCs w:val="18"/>
              </w:rPr>
            </w:pPr>
            <w:r w:rsidRPr="00A07A32">
              <w:rPr>
                <w:rFonts w:ascii="Aptos" w:hAnsi="Aptos"/>
                <w:sz w:val="18"/>
                <w:szCs w:val="18"/>
              </w:rPr>
              <w:t>Data use</w:t>
            </w:r>
          </w:p>
        </w:tc>
        <w:tc>
          <w:tcPr>
            <w:tcW w:w="5235" w:type="dxa"/>
          </w:tcPr>
          <w:p w14:paraId="272A44EC" w14:textId="3EFCF24B" w:rsidR="0082586D" w:rsidRPr="00A07A32" w:rsidRDefault="00F969F2" w:rsidP="00A07A32">
            <w:pPr>
              <w:rPr>
                <w:rFonts w:ascii="Aptos" w:hAnsi="Aptos"/>
                <w:sz w:val="18"/>
                <w:szCs w:val="18"/>
              </w:rPr>
            </w:pPr>
            <w:r w:rsidRPr="00A07A32">
              <w:rPr>
                <w:rFonts w:ascii="Aptos" w:hAnsi="Aptos"/>
                <w:sz w:val="18"/>
                <w:szCs w:val="18"/>
              </w:rPr>
              <w:t xml:space="preserve">Uso de </w:t>
            </w:r>
            <w:proofErr w:type="spellStart"/>
            <w:r w:rsidRPr="00A07A32">
              <w:rPr>
                <w:rFonts w:ascii="Aptos" w:hAnsi="Aptos"/>
                <w:sz w:val="18"/>
                <w:szCs w:val="18"/>
              </w:rPr>
              <w:t>datos</w:t>
            </w:r>
            <w:proofErr w:type="spellEnd"/>
          </w:p>
        </w:tc>
      </w:tr>
      <w:tr w:rsidR="0082586D" w:rsidRPr="00A07A32" w14:paraId="6FAB0643" w14:textId="77777777" w:rsidTr="00A07A32">
        <w:tc>
          <w:tcPr>
            <w:tcW w:w="4192" w:type="dxa"/>
          </w:tcPr>
          <w:p w14:paraId="7DAE0406" w14:textId="77777777" w:rsidR="0082586D" w:rsidRPr="00A07A32" w:rsidRDefault="0082586D" w:rsidP="00A07A32">
            <w:pPr>
              <w:rPr>
                <w:rFonts w:ascii="Aptos" w:hAnsi="Aptos"/>
                <w:sz w:val="18"/>
                <w:szCs w:val="18"/>
              </w:rPr>
            </w:pPr>
            <w:r w:rsidRPr="00A07A32">
              <w:rPr>
                <w:rFonts w:ascii="Aptos" w:hAnsi="Aptos"/>
                <w:sz w:val="18"/>
                <w:szCs w:val="18"/>
              </w:rPr>
              <w:t>Indicator results</w:t>
            </w:r>
          </w:p>
        </w:tc>
        <w:tc>
          <w:tcPr>
            <w:tcW w:w="5235" w:type="dxa"/>
          </w:tcPr>
          <w:p w14:paraId="17DD4687" w14:textId="491F4360" w:rsidR="0082586D" w:rsidRPr="00A07A32" w:rsidRDefault="00F969F2" w:rsidP="00A07A32">
            <w:pPr>
              <w:rPr>
                <w:rFonts w:ascii="Aptos" w:hAnsi="Aptos"/>
                <w:sz w:val="18"/>
                <w:szCs w:val="18"/>
              </w:rPr>
            </w:pPr>
            <w:proofErr w:type="spellStart"/>
            <w:r w:rsidRPr="00A07A32">
              <w:rPr>
                <w:rFonts w:ascii="Aptos" w:hAnsi="Aptos"/>
                <w:sz w:val="18"/>
                <w:szCs w:val="18"/>
              </w:rPr>
              <w:t>Resultados</w:t>
            </w:r>
            <w:proofErr w:type="spellEnd"/>
            <w:r w:rsidRPr="00A07A32">
              <w:rPr>
                <w:rFonts w:ascii="Aptos" w:hAnsi="Aptos"/>
                <w:sz w:val="18"/>
                <w:szCs w:val="18"/>
              </w:rPr>
              <w:t xml:space="preserve"> de</w:t>
            </w:r>
            <w:r w:rsidR="001A6F33" w:rsidRPr="00A07A32">
              <w:rPr>
                <w:rFonts w:ascii="Aptos" w:hAnsi="Aptos"/>
                <w:sz w:val="18"/>
                <w:szCs w:val="18"/>
              </w:rPr>
              <w:t xml:space="preserve"> </w:t>
            </w:r>
            <w:proofErr w:type="spellStart"/>
            <w:r w:rsidR="001A6F33" w:rsidRPr="00A07A32">
              <w:rPr>
                <w:rFonts w:ascii="Aptos" w:hAnsi="Aptos"/>
                <w:sz w:val="18"/>
                <w:szCs w:val="18"/>
              </w:rPr>
              <w:t>los</w:t>
            </w:r>
            <w:proofErr w:type="spellEnd"/>
            <w:r w:rsidRPr="00A07A32">
              <w:rPr>
                <w:rFonts w:ascii="Aptos" w:hAnsi="Aptos"/>
                <w:sz w:val="18"/>
                <w:szCs w:val="18"/>
              </w:rPr>
              <w:t xml:space="preserve"> </w:t>
            </w:r>
            <w:proofErr w:type="spellStart"/>
            <w:r w:rsidRPr="00A07A32">
              <w:rPr>
                <w:rFonts w:ascii="Aptos" w:hAnsi="Aptos"/>
                <w:sz w:val="18"/>
                <w:szCs w:val="18"/>
              </w:rPr>
              <w:t>indicador</w:t>
            </w:r>
            <w:r w:rsidR="001A6F33" w:rsidRPr="00A07A32">
              <w:rPr>
                <w:rFonts w:ascii="Aptos" w:hAnsi="Aptos"/>
                <w:sz w:val="18"/>
                <w:szCs w:val="18"/>
              </w:rPr>
              <w:t>es</w:t>
            </w:r>
            <w:proofErr w:type="spellEnd"/>
          </w:p>
        </w:tc>
      </w:tr>
      <w:tr w:rsidR="0082586D" w:rsidRPr="00A07A32" w14:paraId="7D57BB19" w14:textId="77777777" w:rsidTr="00A07A32">
        <w:tc>
          <w:tcPr>
            <w:tcW w:w="4192" w:type="dxa"/>
          </w:tcPr>
          <w:p w14:paraId="0F1C18B4" w14:textId="77777777" w:rsidR="0082586D" w:rsidRPr="00A07A32" w:rsidRDefault="0082586D" w:rsidP="00A07A32">
            <w:pPr>
              <w:rPr>
                <w:rFonts w:ascii="Aptos" w:hAnsi="Aptos"/>
                <w:sz w:val="18"/>
                <w:szCs w:val="18"/>
              </w:rPr>
            </w:pPr>
            <w:r w:rsidRPr="00A07A32">
              <w:rPr>
                <w:rFonts w:ascii="Aptos" w:hAnsi="Aptos"/>
                <w:sz w:val="18"/>
                <w:szCs w:val="18"/>
              </w:rPr>
              <w:t>H1</w:t>
            </w:r>
          </w:p>
        </w:tc>
        <w:tc>
          <w:tcPr>
            <w:tcW w:w="5235" w:type="dxa"/>
          </w:tcPr>
          <w:p w14:paraId="43EC6C36" w14:textId="7911AF7F" w:rsidR="0082586D" w:rsidRPr="00A07A32" w:rsidRDefault="001A6F33" w:rsidP="00A07A32">
            <w:pPr>
              <w:rPr>
                <w:rFonts w:ascii="Aptos" w:hAnsi="Aptos"/>
                <w:sz w:val="18"/>
                <w:szCs w:val="18"/>
              </w:rPr>
            </w:pPr>
            <w:r w:rsidRPr="00A07A32">
              <w:rPr>
                <w:rFonts w:ascii="Aptos" w:hAnsi="Aptos"/>
                <w:sz w:val="18"/>
                <w:szCs w:val="18"/>
              </w:rPr>
              <w:t>H1</w:t>
            </w:r>
          </w:p>
        </w:tc>
      </w:tr>
      <w:tr w:rsidR="0082586D" w:rsidRPr="00A07A32" w14:paraId="762B76B5" w14:textId="77777777" w:rsidTr="00A07A32">
        <w:tc>
          <w:tcPr>
            <w:tcW w:w="4192" w:type="dxa"/>
          </w:tcPr>
          <w:p w14:paraId="29B1A4D8" w14:textId="77777777" w:rsidR="0082586D" w:rsidRPr="00A07A32" w:rsidRDefault="0082586D" w:rsidP="00A07A32">
            <w:pPr>
              <w:rPr>
                <w:rFonts w:ascii="Aptos" w:hAnsi="Aptos"/>
                <w:sz w:val="18"/>
                <w:szCs w:val="18"/>
              </w:rPr>
            </w:pPr>
            <w:r w:rsidRPr="00A07A32">
              <w:rPr>
                <w:rFonts w:ascii="Aptos" w:hAnsi="Aptos"/>
                <w:sz w:val="18"/>
                <w:szCs w:val="18"/>
              </w:rPr>
              <w:t>H2</w:t>
            </w:r>
          </w:p>
        </w:tc>
        <w:tc>
          <w:tcPr>
            <w:tcW w:w="5235" w:type="dxa"/>
          </w:tcPr>
          <w:p w14:paraId="1F0DC890" w14:textId="629B0607" w:rsidR="0082586D" w:rsidRPr="00A07A32" w:rsidRDefault="001A6F33" w:rsidP="00A07A32">
            <w:pPr>
              <w:rPr>
                <w:rFonts w:ascii="Aptos" w:hAnsi="Aptos"/>
                <w:sz w:val="18"/>
                <w:szCs w:val="18"/>
              </w:rPr>
            </w:pPr>
            <w:r w:rsidRPr="00A07A32">
              <w:rPr>
                <w:rFonts w:ascii="Aptos" w:hAnsi="Aptos"/>
                <w:sz w:val="18"/>
                <w:szCs w:val="18"/>
              </w:rPr>
              <w:t>H2</w:t>
            </w:r>
          </w:p>
        </w:tc>
      </w:tr>
      <w:tr w:rsidR="0082586D" w:rsidRPr="00A07A32" w14:paraId="554E68EC" w14:textId="77777777" w:rsidTr="00A07A32">
        <w:tc>
          <w:tcPr>
            <w:tcW w:w="4192" w:type="dxa"/>
          </w:tcPr>
          <w:p w14:paraId="7C75F470" w14:textId="77777777" w:rsidR="0082586D" w:rsidRPr="00A07A32" w:rsidRDefault="0082586D" w:rsidP="00A07A32">
            <w:pPr>
              <w:rPr>
                <w:rFonts w:ascii="Aptos" w:hAnsi="Aptos"/>
                <w:sz w:val="18"/>
                <w:szCs w:val="18"/>
              </w:rPr>
            </w:pPr>
            <w:r w:rsidRPr="00A07A32">
              <w:rPr>
                <w:rFonts w:ascii="Aptos" w:hAnsi="Aptos"/>
                <w:sz w:val="18"/>
                <w:szCs w:val="18"/>
              </w:rPr>
              <w:t>H3</w:t>
            </w:r>
          </w:p>
        </w:tc>
        <w:tc>
          <w:tcPr>
            <w:tcW w:w="5235" w:type="dxa"/>
          </w:tcPr>
          <w:p w14:paraId="542F6219" w14:textId="595A9ACC" w:rsidR="0082586D" w:rsidRPr="00A07A32" w:rsidRDefault="001A6F33" w:rsidP="00A07A32">
            <w:pPr>
              <w:rPr>
                <w:rFonts w:ascii="Aptos" w:hAnsi="Aptos"/>
                <w:sz w:val="18"/>
                <w:szCs w:val="18"/>
              </w:rPr>
            </w:pPr>
            <w:r w:rsidRPr="00A07A32">
              <w:rPr>
                <w:rFonts w:ascii="Aptos" w:hAnsi="Aptos"/>
                <w:sz w:val="18"/>
                <w:szCs w:val="18"/>
              </w:rPr>
              <w:t>H3</w:t>
            </w:r>
          </w:p>
        </w:tc>
      </w:tr>
      <w:tr w:rsidR="0082586D" w:rsidRPr="00A07A32" w14:paraId="16672805" w14:textId="77777777" w:rsidTr="00A07A32">
        <w:tc>
          <w:tcPr>
            <w:tcW w:w="4192" w:type="dxa"/>
          </w:tcPr>
          <w:p w14:paraId="3C1C172D" w14:textId="77777777" w:rsidR="0082586D" w:rsidRPr="00A07A32" w:rsidRDefault="0082586D" w:rsidP="00A07A32">
            <w:pPr>
              <w:rPr>
                <w:rFonts w:ascii="Aptos" w:hAnsi="Aptos"/>
                <w:sz w:val="18"/>
                <w:szCs w:val="18"/>
              </w:rPr>
            </w:pPr>
            <w:r w:rsidRPr="00A07A32">
              <w:rPr>
                <w:rFonts w:ascii="Aptos" w:hAnsi="Aptos"/>
                <w:sz w:val="18"/>
                <w:szCs w:val="18"/>
              </w:rPr>
              <w:t>All quantitative indicators</w:t>
            </w:r>
          </w:p>
        </w:tc>
        <w:tc>
          <w:tcPr>
            <w:tcW w:w="5235" w:type="dxa"/>
          </w:tcPr>
          <w:p w14:paraId="1CB1F357" w14:textId="3D84BAE4" w:rsidR="0082586D" w:rsidRPr="00A07A32" w:rsidRDefault="00016D5C" w:rsidP="00A07A32">
            <w:pPr>
              <w:rPr>
                <w:rFonts w:ascii="Aptos" w:hAnsi="Aptos"/>
                <w:sz w:val="18"/>
                <w:szCs w:val="18"/>
              </w:rPr>
            </w:pPr>
            <w:r w:rsidRPr="00A07A32">
              <w:rPr>
                <w:rFonts w:ascii="Aptos" w:hAnsi="Aptos"/>
                <w:sz w:val="18"/>
                <w:szCs w:val="18"/>
              </w:rPr>
              <w:t xml:space="preserve">Todos </w:t>
            </w:r>
            <w:proofErr w:type="spellStart"/>
            <w:r w:rsidRPr="00A07A32">
              <w:rPr>
                <w:rFonts w:ascii="Aptos" w:hAnsi="Aptos"/>
                <w:sz w:val="18"/>
                <w:szCs w:val="18"/>
              </w:rPr>
              <w:t>los</w:t>
            </w:r>
            <w:proofErr w:type="spellEnd"/>
            <w:r w:rsidRPr="00A07A32">
              <w:rPr>
                <w:rFonts w:ascii="Aptos" w:hAnsi="Aptos"/>
                <w:sz w:val="18"/>
                <w:szCs w:val="18"/>
              </w:rPr>
              <w:t xml:space="preserve"> </w:t>
            </w:r>
            <w:proofErr w:type="spellStart"/>
            <w:r w:rsidRPr="00A07A32">
              <w:rPr>
                <w:rFonts w:ascii="Aptos" w:hAnsi="Aptos"/>
                <w:sz w:val="18"/>
                <w:szCs w:val="18"/>
              </w:rPr>
              <w:t>indicadores</w:t>
            </w:r>
            <w:proofErr w:type="spellEnd"/>
            <w:r w:rsidRPr="00A07A32">
              <w:rPr>
                <w:rFonts w:ascii="Aptos" w:hAnsi="Aptos"/>
                <w:sz w:val="18"/>
                <w:szCs w:val="18"/>
              </w:rPr>
              <w:t xml:space="preserve"> </w:t>
            </w:r>
            <w:proofErr w:type="spellStart"/>
            <w:r w:rsidRPr="00A07A32">
              <w:rPr>
                <w:rFonts w:ascii="Aptos" w:hAnsi="Aptos"/>
                <w:sz w:val="18"/>
                <w:szCs w:val="18"/>
              </w:rPr>
              <w:t>cuantitativos</w:t>
            </w:r>
            <w:proofErr w:type="spellEnd"/>
          </w:p>
        </w:tc>
      </w:tr>
      <w:tr w:rsidR="0082586D" w:rsidRPr="00A07A32" w14:paraId="21C3C4BE" w14:textId="77777777" w:rsidTr="00A07A32">
        <w:tc>
          <w:tcPr>
            <w:tcW w:w="4192" w:type="dxa"/>
          </w:tcPr>
          <w:p w14:paraId="0E770257" w14:textId="77777777" w:rsidR="0082586D" w:rsidRPr="00A07A32" w:rsidRDefault="0082586D" w:rsidP="00A07A32">
            <w:pPr>
              <w:rPr>
                <w:rFonts w:ascii="Aptos" w:hAnsi="Aptos"/>
                <w:sz w:val="18"/>
                <w:szCs w:val="18"/>
              </w:rPr>
            </w:pPr>
            <w:r w:rsidRPr="00A07A32">
              <w:rPr>
                <w:rFonts w:ascii="Aptos" w:hAnsi="Aptos"/>
                <w:sz w:val="18"/>
                <w:szCs w:val="18"/>
              </w:rPr>
              <w:t>Binary</w:t>
            </w:r>
          </w:p>
        </w:tc>
        <w:tc>
          <w:tcPr>
            <w:tcW w:w="5235" w:type="dxa"/>
          </w:tcPr>
          <w:p w14:paraId="06A171C4" w14:textId="2E2AB5BC" w:rsidR="0082586D" w:rsidRPr="00A07A32" w:rsidRDefault="00016D5C" w:rsidP="00A07A32">
            <w:pPr>
              <w:rPr>
                <w:rFonts w:ascii="Aptos" w:hAnsi="Aptos"/>
                <w:sz w:val="18"/>
                <w:szCs w:val="18"/>
              </w:rPr>
            </w:pPr>
            <w:proofErr w:type="spellStart"/>
            <w:r w:rsidRPr="00A07A32">
              <w:rPr>
                <w:rFonts w:ascii="Aptos" w:hAnsi="Aptos"/>
                <w:sz w:val="18"/>
                <w:szCs w:val="18"/>
              </w:rPr>
              <w:t>Binaria</w:t>
            </w:r>
            <w:proofErr w:type="spellEnd"/>
          </w:p>
        </w:tc>
      </w:tr>
      <w:tr w:rsidR="0082586D" w:rsidRPr="00A07A32" w14:paraId="6425267B" w14:textId="77777777" w:rsidTr="00A07A32">
        <w:tc>
          <w:tcPr>
            <w:tcW w:w="4192" w:type="dxa"/>
          </w:tcPr>
          <w:p w14:paraId="6E5F78A0" w14:textId="361BCAE5" w:rsidR="0082586D" w:rsidRPr="00A07A32" w:rsidRDefault="0082586D" w:rsidP="00A07A32">
            <w:pPr>
              <w:rPr>
                <w:rFonts w:ascii="Aptos" w:hAnsi="Aptos"/>
                <w:sz w:val="18"/>
                <w:szCs w:val="18"/>
              </w:rPr>
            </w:pPr>
            <w:r w:rsidRPr="00A07A32">
              <w:rPr>
                <w:rFonts w:ascii="Aptos" w:hAnsi="Aptos"/>
                <w:sz w:val="18"/>
                <w:szCs w:val="18"/>
              </w:rPr>
              <w:t>Overall prog</w:t>
            </w:r>
            <w:r w:rsidR="00A07A32" w:rsidRPr="00A07A32">
              <w:rPr>
                <w:rFonts w:ascii="Aptos" w:hAnsi="Aptos"/>
                <w:sz w:val="18"/>
                <w:szCs w:val="18"/>
              </w:rPr>
              <w:t>r</w:t>
            </w:r>
            <w:r w:rsidRPr="00A07A32">
              <w:rPr>
                <w:rFonts w:ascii="Aptos" w:hAnsi="Aptos"/>
                <w:sz w:val="18"/>
                <w:szCs w:val="18"/>
              </w:rPr>
              <w:t>ess score</w:t>
            </w:r>
          </w:p>
        </w:tc>
        <w:tc>
          <w:tcPr>
            <w:tcW w:w="5235" w:type="dxa"/>
          </w:tcPr>
          <w:p w14:paraId="5FA37687" w14:textId="2AD6AD4C" w:rsidR="0082586D" w:rsidRPr="00A07A32" w:rsidRDefault="00A07A32" w:rsidP="00A07A32">
            <w:pPr>
              <w:rPr>
                <w:rFonts w:ascii="Aptos" w:hAnsi="Aptos"/>
                <w:sz w:val="18"/>
                <w:szCs w:val="18"/>
              </w:rPr>
            </w:pPr>
            <w:proofErr w:type="spellStart"/>
            <w:r w:rsidRPr="00A07A32">
              <w:rPr>
                <w:rFonts w:ascii="Aptos" w:hAnsi="Aptos"/>
                <w:sz w:val="18"/>
                <w:szCs w:val="18"/>
              </w:rPr>
              <w:t>Puntaje</w:t>
            </w:r>
            <w:proofErr w:type="spellEnd"/>
            <w:r w:rsidRPr="00A07A32">
              <w:rPr>
                <w:rFonts w:ascii="Aptos" w:hAnsi="Aptos"/>
                <w:sz w:val="18"/>
                <w:szCs w:val="18"/>
              </w:rPr>
              <w:t xml:space="preserve"> general de </w:t>
            </w:r>
            <w:proofErr w:type="spellStart"/>
            <w:r w:rsidRPr="00A07A32">
              <w:rPr>
                <w:rFonts w:ascii="Aptos" w:hAnsi="Aptos"/>
                <w:sz w:val="18"/>
                <w:szCs w:val="18"/>
              </w:rPr>
              <w:t>progreso</w:t>
            </w:r>
            <w:proofErr w:type="spellEnd"/>
          </w:p>
        </w:tc>
      </w:tr>
    </w:tbl>
    <w:p w14:paraId="1AB209AD" w14:textId="48E305F6" w:rsidR="00953AD6" w:rsidRPr="005E3D50" w:rsidRDefault="00953AD6" w:rsidP="00953AD6">
      <w:pPr>
        <w:rPr>
          <w:lang w:val="es-ES" w:eastAsia="ja-JP"/>
        </w:rPr>
      </w:pPr>
    </w:p>
    <w:p w14:paraId="35517E19" w14:textId="4487B8C3" w:rsidR="00A22F9B" w:rsidRPr="005E3D50" w:rsidRDefault="00D46179" w:rsidP="00874061">
      <w:pPr>
        <w:pStyle w:val="Heading3"/>
        <w:rPr>
          <w:lang w:val="es-ES"/>
        </w:rPr>
      </w:pPr>
      <w:bookmarkStart w:id="97" w:name="_Toc235821049"/>
      <w:bookmarkStart w:id="98" w:name="_Toc239069194"/>
      <w:bookmarkStart w:id="99" w:name="_Toc242882972"/>
      <w:r w:rsidRPr="005E3D50">
        <w:rPr>
          <w:lang w:val="es-ES"/>
        </w:rPr>
        <w:t>Reducir las amenazas a la diversidad</w:t>
      </w:r>
      <w:bookmarkEnd w:id="97"/>
      <w:bookmarkEnd w:id="98"/>
      <w:r w:rsidR="00E76129" w:rsidRPr="005E3D50">
        <w:rPr>
          <w:lang w:val="es-ES"/>
        </w:rPr>
        <w:t xml:space="preserve"> biológica</w:t>
      </w:r>
      <w:bookmarkEnd w:id="99"/>
    </w:p>
    <w:p w14:paraId="443A0C33" w14:textId="77777777" w:rsidR="006F3010" w:rsidRPr="005E3D50" w:rsidRDefault="006F3010" w:rsidP="006F3010">
      <w:pPr>
        <w:rPr>
          <w:lang w:val="es-ES"/>
        </w:rPr>
      </w:pPr>
    </w:p>
    <w:p w14:paraId="2ABBF7FC" w14:textId="2FC181A0" w:rsidR="006577E5" w:rsidRPr="005E3D50" w:rsidRDefault="00120352" w:rsidP="74032CC2">
      <w:pPr>
        <w:pStyle w:val="Heading4"/>
        <w:rPr>
          <w:i w:val="0"/>
          <w:iCs w:val="0"/>
          <w:lang w:val="es-ES"/>
        </w:rPr>
      </w:pPr>
      <w:bookmarkStart w:id="100" w:name="_Toc235821050"/>
      <w:bookmarkStart w:id="101" w:name="_Toc239069195"/>
      <w:bookmarkStart w:id="102" w:name="_Toc242882973"/>
      <w:r w:rsidRPr="005E3D50">
        <w:rPr>
          <w:b/>
          <w:bCs/>
          <w:i w:val="0"/>
          <w:iCs w:val="0"/>
          <w:lang w:val="es-ES"/>
        </w:rPr>
        <w:t>Meta 1.</w:t>
      </w:r>
      <w:r w:rsidRPr="005E3D50">
        <w:rPr>
          <w:i w:val="0"/>
          <w:iCs w:val="0"/>
          <w:lang w:val="es-ES"/>
        </w:rPr>
        <w:t xml:space="preserve"> Planificar y gestionar todas las zonas para reducir la pérdida de diversidad biológica</w:t>
      </w:r>
      <w:bookmarkEnd w:id="100"/>
      <w:bookmarkEnd w:id="101"/>
      <w:bookmarkEnd w:id="102"/>
    </w:p>
    <w:p w14:paraId="5CEC771A" w14:textId="77777777" w:rsidR="006F3010" w:rsidRPr="005E3D50" w:rsidRDefault="006F3010" w:rsidP="006F3010">
      <w:pPr>
        <w:rPr>
          <w:lang w:val="es-ES"/>
        </w:rPr>
      </w:pPr>
    </w:p>
    <w:p w14:paraId="2DE1915D" w14:textId="73A2BFC9" w:rsidR="00522062" w:rsidRPr="005E3D50" w:rsidRDefault="00522062" w:rsidP="00522062">
      <w:pPr>
        <w:pStyle w:val="p1"/>
        <w:rPr>
          <w:rFonts w:asciiTheme="minorHAnsi" w:hAnsiTheme="minorHAnsi"/>
          <w:i/>
          <w:iCs/>
          <w:sz w:val="22"/>
          <w:szCs w:val="22"/>
          <w:lang w:val="es-ES"/>
        </w:rPr>
      </w:pPr>
      <w:r w:rsidRPr="005E3D50">
        <w:rPr>
          <w:rFonts w:asciiTheme="minorHAnsi" w:hAnsiTheme="minorHAnsi"/>
          <w:b/>
          <w:sz w:val="22"/>
          <w:szCs w:val="22"/>
          <w:lang w:val="es-ES"/>
        </w:rPr>
        <w:lastRenderedPageBreak/>
        <w:t>Texto de la meta</w:t>
      </w:r>
      <w:r w:rsidRPr="005E3D50">
        <w:rPr>
          <w:rFonts w:asciiTheme="minorHAnsi" w:hAnsiTheme="minorHAnsi"/>
          <w:sz w:val="22"/>
          <w:szCs w:val="22"/>
          <w:lang w:val="es-ES"/>
        </w:rPr>
        <w:t>.</w:t>
      </w:r>
      <w:r w:rsidRPr="005E3D50">
        <w:rPr>
          <w:rFonts w:asciiTheme="minorHAnsi" w:hAnsiTheme="minorHAnsi"/>
          <w:i/>
          <w:iCs/>
          <w:sz w:val="22"/>
          <w:szCs w:val="22"/>
          <w:lang w:val="es-ES"/>
        </w:rPr>
        <w:t xml:space="preserve">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p w14:paraId="419276B4" w14:textId="77777777" w:rsidR="00522062" w:rsidRPr="005E3D50" w:rsidRDefault="00522062" w:rsidP="00522062">
      <w:pPr>
        <w:pStyle w:val="p1"/>
        <w:rPr>
          <w:rFonts w:asciiTheme="minorHAnsi" w:hAnsiTheme="minorHAnsi"/>
          <w:i/>
          <w:iCs/>
          <w:sz w:val="22"/>
          <w:szCs w:val="22"/>
          <w:lang w:val="es-ES"/>
        </w:rPr>
      </w:pPr>
    </w:p>
    <w:p w14:paraId="7A443312" w14:textId="08254BCD" w:rsidR="00DF3344" w:rsidRPr="005E3D50" w:rsidRDefault="00DF3344" w:rsidP="00874061">
      <w:pPr>
        <w:pStyle w:val="Heading4"/>
        <w:rPr>
          <w:lang w:val="es-ES"/>
        </w:rPr>
      </w:pPr>
    </w:p>
    <w:p w14:paraId="14531F20" w14:textId="77777777" w:rsidR="00A10475" w:rsidRPr="005E3D50" w:rsidRDefault="00A10475" w:rsidP="00A10475">
      <w:pPr>
        <w:pStyle w:val="Heading5"/>
        <w:rPr>
          <w:lang w:val="es-ES"/>
        </w:rPr>
      </w:pPr>
      <w:bookmarkStart w:id="103" w:name="_Toc235520886"/>
      <w:r w:rsidRPr="005E3D50">
        <w:rPr>
          <w:lang w:val="es-ES"/>
        </w:rPr>
        <w:t>Panorama general de los progresos</w:t>
      </w:r>
      <w:bookmarkEnd w:id="103"/>
    </w:p>
    <w:tbl>
      <w:tblPr>
        <w:tblStyle w:val="TableGrid"/>
        <w:tblW w:w="0" w:type="auto"/>
        <w:tblLook w:val="04A0" w:firstRow="1" w:lastRow="0" w:firstColumn="1" w:lastColumn="0" w:noHBand="0" w:noVBand="1"/>
      </w:tblPr>
      <w:tblGrid>
        <w:gridCol w:w="9016"/>
      </w:tblGrid>
      <w:tr w:rsidR="00201A82" w:rsidRPr="005E3D50" w14:paraId="7D988D56" w14:textId="77777777" w:rsidTr="00201A82">
        <w:tc>
          <w:tcPr>
            <w:tcW w:w="9016" w:type="dxa"/>
            <w:shd w:val="clear" w:color="auto" w:fill="D1D1D1" w:themeFill="background2" w:themeFillShade="E6"/>
          </w:tcPr>
          <w:p w14:paraId="5E74738F" w14:textId="77777777" w:rsidR="00842961" w:rsidRPr="005E3D50" w:rsidRDefault="00842961" w:rsidP="00224B59">
            <w:pPr>
              <w:rPr>
                <w:rFonts w:ascii="Aptos" w:eastAsia="Times New Roman" w:hAnsi="Aptos" w:cs="Calibri"/>
                <w:color w:val="000000"/>
                <w:lang w:val="es-ES"/>
              </w:rPr>
            </w:pPr>
          </w:p>
          <w:p w14:paraId="2B4B5637" w14:textId="6B73DF88" w:rsidR="00224B59" w:rsidRPr="005E3D50" w:rsidRDefault="00224B59" w:rsidP="00224B59">
            <w:pPr>
              <w:rPr>
                <w:rFonts w:ascii="Aptos" w:eastAsia="Times New Roman" w:hAnsi="Aptos" w:cs="Calibri"/>
                <w:color w:val="000000"/>
                <w:lang w:val="es-ES"/>
              </w:rPr>
            </w:pPr>
            <w:r w:rsidRPr="005E3D50">
              <w:rPr>
                <w:rFonts w:ascii="Aptos" w:hAnsi="Aptos"/>
                <w:color w:val="000000"/>
                <w:lang w:val="es-ES"/>
              </w:rPr>
              <w:t xml:space="preserve">Se han logrado progresos en la elaboración de enfoques de planificación espacial y de gestión que tengan en cuenta la biodiversidad, pero siguen existiendo importantes deficiencias en la integración de la biodiversidad en los procesos de planificación más amplios y en las formas de garantizar una implementación participativa. Las metas nacionales a menudo no abordan plenamente los requisitos de la meta en materia de planificación integrada y participación, y los niveles actuales de implementación siguen estando muy por debajo de los necesarios para lograr </w:t>
            </w:r>
            <w:r w:rsidR="0001066B" w:rsidRPr="005E3D50">
              <w:rPr>
                <w:rFonts w:ascii="Aptos" w:hAnsi="Aptos"/>
                <w:color w:val="000000"/>
                <w:lang w:val="es-ES"/>
              </w:rPr>
              <w:t>una</w:t>
            </w:r>
            <w:r w:rsidRPr="005E3D50">
              <w:rPr>
                <w:rFonts w:ascii="Aptos" w:hAnsi="Aptos"/>
                <w:color w:val="000000"/>
                <w:lang w:val="es-ES"/>
              </w:rPr>
              <w:t xml:space="preserve"> cobertura completa de </w:t>
            </w:r>
            <w:r w:rsidR="00CA7313" w:rsidRPr="005E3D50">
              <w:rPr>
                <w:rFonts w:ascii="Aptos" w:hAnsi="Aptos"/>
                <w:color w:val="000000"/>
                <w:lang w:val="es-ES"/>
              </w:rPr>
              <w:t>los planes</w:t>
            </w:r>
            <w:r w:rsidRPr="005E3D50">
              <w:rPr>
                <w:rFonts w:ascii="Aptos" w:hAnsi="Aptos"/>
                <w:color w:val="000000"/>
                <w:lang w:val="es-ES"/>
              </w:rPr>
              <w:t xml:space="preserve"> espacial</w:t>
            </w:r>
            <w:r w:rsidR="00CA7313" w:rsidRPr="005E3D50">
              <w:rPr>
                <w:rFonts w:ascii="Aptos" w:hAnsi="Aptos"/>
                <w:color w:val="000000"/>
                <w:lang w:val="es-ES"/>
              </w:rPr>
              <w:t>es</w:t>
            </w:r>
            <w:r w:rsidRPr="005E3D50">
              <w:rPr>
                <w:rFonts w:ascii="Aptos" w:hAnsi="Aptos"/>
                <w:color w:val="000000"/>
                <w:lang w:val="es-ES"/>
              </w:rPr>
              <w:t xml:space="preserve"> que tenga</w:t>
            </w:r>
            <w:r w:rsidR="00CA7313" w:rsidRPr="005E3D50">
              <w:rPr>
                <w:rFonts w:ascii="Aptos" w:hAnsi="Aptos"/>
                <w:color w:val="000000"/>
                <w:lang w:val="es-ES"/>
              </w:rPr>
              <w:t>n</w:t>
            </w:r>
            <w:r w:rsidRPr="005E3D50">
              <w:rPr>
                <w:rFonts w:ascii="Aptos" w:hAnsi="Aptos"/>
                <w:color w:val="000000"/>
                <w:lang w:val="es-ES"/>
              </w:rPr>
              <w:t xml:space="preserve"> en cuenta la biodiversidad, minimizar la pérdida de zonas de suma importancia para la biodiversidad y garantizar procesos integrados y participativos. Las Partes están experimentando dificultades vinculadas con la mejora de la participación de los interesados y los titulares de derechos, la ampliación de la implementación más allá de las áreas protegidas y </w:t>
            </w:r>
            <w:r w:rsidR="00C924D6" w:rsidRPr="005E3D50">
              <w:rPr>
                <w:rFonts w:ascii="Aptos" w:hAnsi="Aptos"/>
                <w:color w:val="000000"/>
                <w:lang w:val="es-ES"/>
              </w:rPr>
              <w:t>el logro de la</w:t>
            </w:r>
            <w:r w:rsidRPr="005E3D50">
              <w:rPr>
                <w:rFonts w:ascii="Aptos" w:hAnsi="Aptos"/>
                <w:color w:val="000000"/>
                <w:lang w:val="es-ES"/>
              </w:rPr>
              <w:t xml:space="preserve"> integración entre sectores.</w:t>
            </w:r>
          </w:p>
          <w:p w14:paraId="031FFF7A" w14:textId="14C7A54B" w:rsidR="00201A82" w:rsidRPr="005E3D50" w:rsidRDefault="00201A82" w:rsidP="00243BFA">
            <w:pPr>
              <w:rPr>
                <w:lang w:val="es-ES"/>
              </w:rPr>
            </w:pPr>
          </w:p>
        </w:tc>
      </w:tr>
    </w:tbl>
    <w:p w14:paraId="16A0715B" w14:textId="77777777" w:rsidR="009B18C3" w:rsidRPr="005E3D50" w:rsidRDefault="009B18C3" w:rsidP="008E693D">
      <w:pPr>
        <w:pStyle w:val="Heading5"/>
        <w:rPr>
          <w:lang w:val="es-ES"/>
        </w:rPr>
      </w:pPr>
    </w:p>
    <w:p w14:paraId="6E92696C" w14:textId="10433D27" w:rsidR="00EB7ECC" w:rsidRPr="005E3D50" w:rsidRDefault="00AB220D" w:rsidP="00AB220D">
      <w:pPr>
        <w:pStyle w:val="Heading5"/>
        <w:rPr>
          <w:lang w:val="es-ES"/>
        </w:rPr>
      </w:pPr>
      <w:r w:rsidRPr="005E3D50">
        <w:rPr>
          <w:lang w:val="es-ES"/>
        </w:rPr>
        <w:t>Grado en que las Partes cubren el alcance de la meta 1 del Marco en sus metas nacionales</w:t>
      </w:r>
    </w:p>
    <w:p w14:paraId="7C2E3BC6" w14:textId="77777777" w:rsidR="00830F38" w:rsidRPr="005E3D50" w:rsidRDefault="00830F38" w:rsidP="006B6C06">
      <w:pPr>
        <w:rPr>
          <w:lang w:val="es-ES"/>
        </w:rPr>
      </w:pPr>
    </w:p>
    <w:p w14:paraId="05EA94AA" w14:textId="2938EEF8" w:rsidR="00036C24" w:rsidRPr="005E3D50" w:rsidRDefault="000B3CA3" w:rsidP="00D61663">
      <w:pPr>
        <w:pStyle w:val="Caption"/>
        <w:keepNext/>
        <w:rPr>
          <w:b/>
          <w:bCs/>
          <w:i w:val="0"/>
          <w:iCs w:val="0"/>
          <w:sz w:val="20"/>
          <w:szCs w:val="20"/>
          <w:lang w:val="es-ES"/>
        </w:rPr>
      </w:pPr>
      <w:bookmarkStart w:id="104" w:name="_Ref230429804"/>
      <w:bookmarkStart w:id="105" w:name="_Ref235625109"/>
      <w:r w:rsidRPr="005E3D50">
        <w:rPr>
          <w:b/>
          <w:i w:val="0"/>
          <w:sz w:val="20"/>
          <w:szCs w:val="20"/>
          <w:lang w:val="es-ES"/>
        </w:rPr>
        <w:t>Cuadro 4</w:t>
      </w:r>
      <w:bookmarkEnd w:id="104"/>
      <w:bookmarkEnd w:id="105"/>
    </w:p>
    <w:p w14:paraId="10ECF6C1" w14:textId="1355F32F" w:rsidR="00D61663" w:rsidRPr="005E3D50" w:rsidRDefault="000B3CA3" w:rsidP="00D61663">
      <w:pPr>
        <w:pStyle w:val="Caption"/>
        <w:keepNext/>
        <w:rPr>
          <w:i w:val="0"/>
          <w:sz w:val="20"/>
          <w:szCs w:val="20"/>
          <w:lang w:val="es-ES"/>
        </w:rPr>
      </w:pPr>
      <w:r w:rsidRPr="005E3D50">
        <w:rPr>
          <w:i w:val="0"/>
          <w:sz w:val="20"/>
          <w:szCs w:val="20"/>
          <w:lang w:val="es-ES"/>
        </w:rPr>
        <w:t xml:space="preserve">Elementos de la meta 1 del Marco y cómo se abordan en las metas </w:t>
      </w:r>
      <w:proofErr w:type="spellStart"/>
      <w:r w:rsidRPr="005E3D50">
        <w:rPr>
          <w:i w:val="0"/>
          <w:sz w:val="20"/>
          <w:szCs w:val="20"/>
          <w:lang w:val="es-ES"/>
        </w:rPr>
        <w:t>nacionales</w:t>
      </w:r>
      <w:r w:rsidRPr="005E3D50">
        <w:rPr>
          <w:i w:val="0"/>
          <w:iCs w:val="0"/>
          <w:sz w:val="20"/>
          <w:szCs w:val="20"/>
          <w:vertAlign w:val="superscript"/>
          <w:lang w:val="es-ES"/>
        </w:rPr>
        <w:t>a</w:t>
      </w:r>
      <w:proofErr w:type="spellEnd"/>
      <w:r w:rsidRPr="005E3D50">
        <w:rPr>
          <w:i w:val="0"/>
          <w:sz w:val="20"/>
          <w:szCs w:val="20"/>
          <w:lang w:val="es-ES"/>
        </w:rPr>
        <w:t>.</w:t>
      </w:r>
      <w:r w:rsidRPr="005E3D50">
        <w:rPr>
          <w:i w:val="0"/>
          <w:iCs w:val="0"/>
          <w:sz w:val="20"/>
          <w:szCs w:val="20"/>
          <w:lang w:val="es-ES"/>
        </w:rPr>
        <w:t xml:space="preserve"> </w:t>
      </w:r>
    </w:p>
    <w:tbl>
      <w:tblPr>
        <w:tblStyle w:val="TableGrid"/>
        <w:tblW w:w="0" w:type="auto"/>
        <w:tblLook w:val="04A0" w:firstRow="1" w:lastRow="0" w:firstColumn="1" w:lastColumn="0" w:noHBand="0" w:noVBand="1"/>
      </w:tblPr>
      <w:tblGrid>
        <w:gridCol w:w="8359"/>
        <w:gridCol w:w="657"/>
      </w:tblGrid>
      <w:tr w:rsidR="00EC2161" w:rsidRPr="005E3D50" w14:paraId="100D02B8" w14:textId="77777777" w:rsidTr="008A5587">
        <w:tc>
          <w:tcPr>
            <w:tcW w:w="8359" w:type="dxa"/>
          </w:tcPr>
          <w:p w14:paraId="698A8B69" w14:textId="1ADC9BF6" w:rsidR="00EC2161" w:rsidRPr="005E3D50" w:rsidRDefault="00817B89" w:rsidP="00D1642D">
            <w:pPr>
              <w:pStyle w:val="p1"/>
              <w:rPr>
                <w:rFonts w:asciiTheme="minorHAnsi" w:hAnsiTheme="minorHAnsi"/>
                <w:sz w:val="20"/>
                <w:szCs w:val="20"/>
                <w:lang w:val="es-ES"/>
              </w:rPr>
            </w:pPr>
            <w:r w:rsidRPr="005E3D50">
              <w:rPr>
                <w:rFonts w:asciiTheme="minorHAnsi" w:hAnsiTheme="minorHAnsi"/>
                <w:sz w:val="20"/>
                <w:szCs w:val="20"/>
                <w:lang w:val="es-ES"/>
              </w:rPr>
              <w:t>Todas las zonas están sujetas a planificación espacial y/o procesos de gestión eficaces que abordan el cambio en el uso de la tierra y los océanos</w:t>
            </w:r>
          </w:p>
        </w:tc>
        <w:tc>
          <w:tcPr>
            <w:tcW w:w="657" w:type="dxa"/>
            <w:shd w:val="clear" w:color="auto" w:fill="92D050"/>
          </w:tcPr>
          <w:p w14:paraId="03132206" w14:textId="169C45E9" w:rsidR="00EC2161" w:rsidRPr="005E3D50" w:rsidRDefault="00EE6AC1" w:rsidP="00D1642D">
            <w:pPr>
              <w:pStyle w:val="p1"/>
              <w:rPr>
                <w:rFonts w:asciiTheme="minorHAnsi" w:hAnsiTheme="minorHAnsi"/>
                <w:sz w:val="20"/>
                <w:szCs w:val="20"/>
                <w:lang w:val="es-ES"/>
              </w:rPr>
            </w:pPr>
            <w:r w:rsidRPr="005E3D50">
              <w:rPr>
                <w:rFonts w:asciiTheme="minorHAnsi" w:hAnsiTheme="minorHAnsi"/>
                <w:sz w:val="20"/>
                <w:szCs w:val="20"/>
                <w:lang w:val="es-ES"/>
              </w:rPr>
              <w:t>73</w:t>
            </w:r>
          </w:p>
        </w:tc>
      </w:tr>
      <w:tr w:rsidR="00EC2161" w:rsidRPr="005E3D50" w14:paraId="129EAEF0" w14:textId="77777777" w:rsidTr="00A8441D">
        <w:tc>
          <w:tcPr>
            <w:tcW w:w="8359" w:type="dxa"/>
          </w:tcPr>
          <w:p w14:paraId="2ABF0429" w14:textId="4AE65158" w:rsidR="00EC2161" w:rsidRPr="005E3D50" w:rsidRDefault="00590FC6" w:rsidP="00D1642D">
            <w:pPr>
              <w:pStyle w:val="p1"/>
              <w:rPr>
                <w:rFonts w:asciiTheme="minorHAnsi" w:hAnsiTheme="minorHAnsi"/>
                <w:sz w:val="20"/>
                <w:szCs w:val="20"/>
                <w:lang w:val="es-ES"/>
              </w:rPr>
            </w:pPr>
            <w:r w:rsidRPr="005E3D50">
              <w:rPr>
                <w:rFonts w:asciiTheme="minorHAnsi" w:hAnsiTheme="minorHAnsi"/>
                <w:sz w:val="20"/>
                <w:szCs w:val="20"/>
                <w:lang w:val="es-ES"/>
              </w:rPr>
              <w:t>La planificación espacial y/o los procesos de gestión eficaces son participativos</w:t>
            </w:r>
          </w:p>
          <w:p w14:paraId="5E2E0BB6" w14:textId="594025E8" w:rsidR="00747FDF" w:rsidRPr="005E3D50" w:rsidRDefault="00747FDF" w:rsidP="00D1642D">
            <w:pPr>
              <w:pStyle w:val="p1"/>
              <w:rPr>
                <w:rFonts w:asciiTheme="minorHAnsi" w:hAnsiTheme="minorHAnsi"/>
                <w:sz w:val="20"/>
                <w:szCs w:val="20"/>
                <w:lang w:val="es-ES"/>
              </w:rPr>
            </w:pPr>
          </w:p>
        </w:tc>
        <w:tc>
          <w:tcPr>
            <w:tcW w:w="657" w:type="dxa"/>
            <w:shd w:val="clear" w:color="auto" w:fill="FFFF00"/>
          </w:tcPr>
          <w:p w14:paraId="27841ECF" w14:textId="0E31E51F" w:rsidR="00EC2161" w:rsidRPr="005E3D50" w:rsidRDefault="00A8441D" w:rsidP="00D1642D">
            <w:pPr>
              <w:pStyle w:val="p1"/>
              <w:rPr>
                <w:rFonts w:asciiTheme="minorHAnsi" w:hAnsiTheme="minorHAnsi"/>
                <w:sz w:val="22"/>
                <w:szCs w:val="22"/>
                <w:lang w:val="es-ES"/>
              </w:rPr>
            </w:pPr>
            <w:r w:rsidRPr="005E3D50">
              <w:rPr>
                <w:rFonts w:asciiTheme="minorHAnsi" w:hAnsiTheme="minorHAnsi"/>
                <w:sz w:val="22"/>
                <w:szCs w:val="22"/>
                <w:lang w:val="es-ES"/>
              </w:rPr>
              <w:t>40</w:t>
            </w:r>
          </w:p>
        </w:tc>
      </w:tr>
      <w:tr w:rsidR="00EC2161" w:rsidRPr="005E3D50" w14:paraId="4F8478FB" w14:textId="77777777" w:rsidTr="00044879">
        <w:tc>
          <w:tcPr>
            <w:tcW w:w="8359" w:type="dxa"/>
          </w:tcPr>
          <w:p w14:paraId="22DF37B8" w14:textId="09EF121F" w:rsidR="00EC2161" w:rsidRPr="005E3D50" w:rsidRDefault="00590FC6" w:rsidP="00D1642D">
            <w:pPr>
              <w:pStyle w:val="p1"/>
              <w:rPr>
                <w:rFonts w:asciiTheme="minorHAnsi" w:hAnsiTheme="minorHAnsi"/>
                <w:sz w:val="20"/>
                <w:szCs w:val="20"/>
                <w:lang w:val="es-ES"/>
              </w:rPr>
            </w:pPr>
            <w:r w:rsidRPr="005E3D50">
              <w:rPr>
                <w:rFonts w:asciiTheme="minorHAnsi" w:hAnsiTheme="minorHAnsi"/>
                <w:sz w:val="20"/>
                <w:szCs w:val="20"/>
                <w:lang w:val="es-ES"/>
              </w:rPr>
              <w:t>La planificación espacial y/o los procesos de gestión eficaces están integrados</w:t>
            </w:r>
          </w:p>
          <w:p w14:paraId="6CA9E874" w14:textId="2828790A" w:rsidR="00747FDF" w:rsidRPr="005E3D50" w:rsidRDefault="00747FDF" w:rsidP="00D1642D">
            <w:pPr>
              <w:pStyle w:val="p1"/>
              <w:rPr>
                <w:rFonts w:asciiTheme="minorHAnsi" w:hAnsiTheme="minorHAnsi"/>
                <w:sz w:val="20"/>
                <w:szCs w:val="20"/>
                <w:lang w:val="es-ES"/>
              </w:rPr>
            </w:pPr>
          </w:p>
        </w:tc>
        <w:tc>
          <w:tcPr>
            <w:tcW w:w="657" w:type="dxa"/>
            <w:shd w:val="clear" w:color="auto" w:fill="FFFF00"/>
          </w:tcPr>
          <w:p w14:paraId="4D479DFB" w14:textId="4054EFEE" w:rsidR="00EC2161" w:rsidRPr="005E3D50" w:rsidRDefault="00044879" w:rsidP="00D1642D">
            <w:pPr>
              <w:pStyle w:val="p1"/>
              <w:rPr>
                <w:rFonts w:asciiTheme="minorHAnsi" w:hAnsiTheme="minorHAnsi"/>
                <w:sz w:val="22"/>
                <w:szCs w:val="22"/>
                <w:lang w:val="es-ES"/>
              </w:rPr>
            </w:pPr>
            <w:r w:rsidRPr="005E3D50">
              <w:rPr>
                <w:rFonts w:asciiTheme="minorHAnsi" w:hAnsiTheme="minorHAnsi"/>
                <w:sz w:val="22"/>
                <w:szCs w:val="22"/>
                <w:lang w:val="es-ES"/>
              </w:rPr>
              <w:t>40</w:t>
            </w:r>
          </w:p>
        </w:tc>
      </w:tr>
      <w:tr w:rsidR="00EC2161" w:rsidRPr="005E3D50" w14:paraId="7EB4F8A7" w14:textId="77777777" w:rsidTr="0036571D">
        <w:tc>
          <w:tcPr>
            <w:tcW w:w="8359" w:type="dxa"/>
          </w:tcPr>
          <w:p w14:paraId="28220403" w14:textId="32EC8EBA" w:rsidR="00747FDF" w:rsidRPr="005E3D50" w:rsidRDefault="0080452A" w:rsidP="00D1642D">
            <w:pPr>
              <w:pStyle w:val="p1"/>
              <w:rPr>
                <w:rFonts w:asciiTheme="minorHAnsi" w:hAnsiTheme="minorHAnsi"/>
                <w:sz w:val="20"/>
                <w:szCs w:val="20"/>
                <w:lang w:val="es-ES"/>
              </w:rPr>
            </w:pPr>
            <w:r w:rsidRPr="005E3D50">
              <w:rPr>
                <w:rFonts w:asciiTheme="minorHAnsi" w:hAnsiTheme="minorHAnsi"/>
                <w:sz w:val="20"/>
                <w:szCs w:val="20"/>
                <w:lang w:val="es-ES"/>
              </w:rPr>
              <w:t>La planificación espacial y/o los procesos de gestión eficaces tienen en cuenta la biodiversidad</w:t>
            </w:r>
          </w:p>
        </w:tc>
        <w:tc>
          <w:tcPr>
            <w:tcW w:w="657" w:type="dxa"/>
            <w:shd w:val="clear" w:color="auto" w:fill="FFFF00"/>
          </w:tcPr>
          <w:p w14:paraId="3C009DDD" w14:textId="171CA066" w:rsidR="00EC2161" w:rsidRPr="005E3D50" w:rsidRDefault="00373D48" w:rsidP="00D1642D">
            <w:pPr>
              <w:pStyle w:val="p1"/>
              <w:rPr>
                <w:rFonts w:asciiTheme="minorHAnsi" w:hAnsiTheme="minorHAnsi"/>
                <w:sz w:val="22"/>
                <w:szCs w:val="22"/>
                <w:lang w:val="es-ES"/>
              </w:rPr>
            </w:pPr>
            <w:r w:rsidRPr="005E3D50">
              <w:rPr>
                <w:rFonts w:asciiTheme="minorHAnsi" w:hAnsiTheme="minorHAnsi"/>
                <w:sz w:val="22"/>
                <w:szCs w:val="22"/>
                <w:lang w:val="es-ES"/>
              </w:rPr>
              <w:t>49</w:t>
            </w:r>
          </w:p>
        </w:tc>
      </w:tr>
      <w:tr w:rsidR="00EC2161" w:rsidRPr="005E3D50" w14:paraId="314ABA42" w14:textId="77777777" w:rsidTr="0036571D">
        <w:tc>
          <w:tcPr>
            <w:tcW w:w="8359" w:type="dxa"/>
          </w:tcPr>
          <w:p w14:paraId="7FB428E8" w14:textId="03329AA6" w:rsidR="00EC2161" w:rsidRPr="005E3D50" w:rsidRDefault="0080452A" w:rsidP="00D1642D">
            <w:pPr>
              <w:pStyle w:val="p1"/>
              <w:rPr>
                <w:rFonts w:asciiTheme="minorHAnsi" w:hAnsiTheme="minorHAnsi"/>
                <w:sz w:val="20"/>
                <w:szCs w:val="20"/>
                <w:lang w:val="es-ES"/>
              </w:rPr>
            </w:pPr>
            <w:r w:rsidRPr="005E3D50">
              <w:rPr>
                <w:rFonts w:asciiTheme="minorHAnsi" w:hAnsiTheme="minorHAnsi"/>
                <w:sz w:val="20"/>
                <w:szCs w:val="20"/>
                <w:lang w:val="es-ES"/>
              </w:rPr>
              <w:t>La planificación espacial y los procesos de gestión logran que la pérdida de zonas de suma importancia para la biodiversidad, incluidos los ecosistemas de gran integridad ecológica, se acerque a cero para 2030</w:t>
            </w:r>
          </w:p>
        </w:tc>
        <w:tc>
          <w:tcPr>
            <w:tcW w:w="657" w:type="dxa"/>
            <w:shd w:val="clear" w:color="auto" w:fill="FFFF00"/>
          </w:tcPr>
          <w:p w14:paraId="3D92516E" w14:textId="1B9EAD05" w:rsidR="00EC2161" w:rsidRPr="005E3D50" w:rsidRDefault="00DE5817" w:rsidP="00D1642D">
            <w:pPr>
              <w:pStyle w:val="p1"/>
              <w:rPr>
                <w:rFonts w:asciiTheme="minorHAnsi" w:hAnsiTheme="minorHAnsi"/>
                <w:sz w:val="22"/>
                <w:szCs w:val="22"/>
                <w:lang w:val="es-ES"/>
              </w:rPr>
            </w:pPr>
            <w:r w:rsidRPr="005E3D50">
              <w:rPr>
                <w:rFonts w:asciiTheme="minorHAnsi" w:hAnsiTheme="minorHAnsi"/>
                <w:sz w:val="22"/>
                <w:szCs w:val="22"/>
                <w:lang w:val="es-ES"/>
              </w:rPr>
              <w:t>50</w:t>
            </w:r>
          </w:p>
        </w:tc>
      </w:tr>
      <w:tr w:rsidR="00EC2161" w:rsidRPr="005E3D50" w14:paraId="67CE7A7D" w14:textId="77777777" w:rsidTr="00E61BC2">
        <w:trPr>
          <w:trHeight w:val="557"/>
        </w:trPr>
        <w:tc>
          <w:tcPr>
            <w:tcW w:w="8359" w:type="dxa"/>
          </w:tcPr>
          <w:p w14:paraId="1AD852E4" w14:textId="758E2C07" w:rsidR="00EC2161" w:rsidRPr="005E3D50" w:rsidRDefault="0080452A" w:rsidP="00D1642D">
            <w:pPr>
              <w:pStyle w:val="p1"/>
              <w:rPr>
                <w:rFonts w:asciiTheme="minorHAnsi" w:hAnsiTheme="minorHAnsi"/>
                <w:sz w:val="20"/>
                <w:szCs w:val="20"/>
                <w:lang w:val="es-ES"/>
              </w:rPr>
            </w:pPr>
            <w:r w:rsidRPr="005E3D50">
              <w:rPr>
                <w:rFonts w:asciiTheme="minorHAnsi" w:hAnsiTheme="minorHAnsi"/>
                <w:sz w:val="20"/>
                <w:szCs w:val="20"/>
                <w:lang w:val="es-ES"/>
              </w:rPr>
              <w:t>La planificación espacial y los procesos de gestión respetan los derechos de los pueblos indígenas y las comunidades locales</w:t>
            </w:r>
          </w:p>
        </w:tc>
        <w:tc>
          <w:tcPr>
            <w:tcW w:w="657" w:type="dxa"/>
            <w:shd w:val="clear" w:color="auto" w:fill="FFC000"/>
          </w:tcPr>
          <w:p w14:paraId="77F0B14B" w14:textId="454D080F" w:rsidR="00EC2161" w:rsidRPr="005E3D50" w:rsidRDefault="00DC47EC" w:rsidP="00827E6B">
            <w:pPr>
              <w:pStyle w:val="p1"/>
              <w:keepNext/>
              <w:rPr>
                <w:rFonts w:asciiTheme="minorHAnsi" w:hAnsiTheme="minorHAnsi"/>
                <w:sz w:val="22"/>
                <w:szCs w:val="22"/>
                <w:lang w:val="es-ES"/>
              </w:rPr>
            </w:pPr>
            <w:r w:rsidRPr="005E3D50">
              <w:rPr>
                <w:rFonts w:asciiTheme="minorHAnsi" w:hAnsiTheme="minorHAnsi"/>
                <w:sz w:val="22"/>
                <w:szCs w:val="22"/>
                <w:lang w:val="es-ES"/>
              </w:rPr>
              <w:t>31</w:t>
            </w:r>
          </w:p>
        </w:tc>
      </w:tr>
      <w:tr w:rsidR="008A7681" w:rsidRPr="005E3D50" w14:paraId="72304185" w14:textId="77777777">
        <w:tc>
          <w:tcPr>
            <w:tcW w:w="9016" w:type="dxa"/>
            <w:gridSpan w:val="2"/>
          </w:tcPr>
          <w:p w14:paraId="7F1BAAD0" w14:textId="77777777" w:rsidR="006E4D73" w:rsidRDefault="006E4D73" w:rsidP="00827E6B">
            <w:pPr>
              <w:pStyle w:val="p1"/>
              <w:keepNext/>
              <w:rPr>
                <w:rFonts w:asciiTheme="minorHAnsi" w:hAnsiTheme="minorHAnsi"/>
                <w:b/>
                <w:bCs/>
                <w:sz w:val="22"/>
                <w:szCs w:val="22"/>
                <w:lang w:val="es-ES"/>
              </w:rPr>
            </w:pPr>
          </w:p>
          <w:p w14:paraId="4A6601C2" w14:textId="1C017614" w:rsidR="00347265" w:rsidRPr="005E3D50" w:rsidRDefault="00347265" w:rsidP="00827E6B">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47 % de estos elementos en sus metas nacionales</w:t>
            </w:r>
          </w:p>
          <w:p w14:paraId="5914132B" w14:textId="2AF59FCC" w:rsidR="008A7681" w:rsidRPr="005E3D50" w:rsidRDefault="008A7681" w:rsidP="00827E6B">
            <w:pPr>
              <w:pStyle w:val="p1"/>
              <w:keepNext/>
              <w:rPr>
                <w:rFonts w:asciiTheme="minorHAnsi" w:hAnsiTheme="minorHAnsi"/>
                <w:sz w:val="22"/>
                <w:szCs w:val="22"/>
                <w:lang w:val="es-ES"/>
              </w:rPr>
            </w:pPr>
          </w:p>
        </w:tc>
      </w:tr>
    </w:tbl>
    <w:p w14:paraId="7DEECA93" w14:textId="2B63A79D" w:rsidR="00735B74" w:rsidRPr="005E3D50" w:rsidRDefault="00F9401A">
      <w:pPr>
        <w:rPr>
          <w:lang w:val="es-ES"/>
        </w:rPr>
      </w:pPr>
      <w:bookmarkStart w:id="106" w:name="_Ref229754359"/>
      <w:bookmarkStart w:id="107" w:name="_Ref229754348"/>
      <w:r w:rsidRPr="005E3D50">
        <w:rPr>
          <w:lang w:val="es-ES"/>
        </w:rPr>
        <w:t xml:space="preserve"> </w:t>
      </w:r>
    </w:p>
    <w:p w14:paraId="744566DB" w14:textId="64A18BB3" w:rsidR="000A01F6" w:rsidRPr="005E3D50" w:rsidRDefault="008837AD">
      <w:pPr>
        <w:rPr>
          <w:sz w:val="16"/>
          <w:szCs w:val="16"/>
          <w:lang w:val="es-ES"/>
        </w:rPr>
      </w:pPr>
      <w:r w:rsidRPr="005E3D50">
        <w:rPr>
          <w:i/>
          <w:iCs/>
          <w:sz w:val="16"/>
          <w:szCs w:val="16"/>
          <w:lang w:val="es-ES"/>
        </w:rPr>
        <w:t>Nota:</w:t>
      </w:r>
      <w:r w:rsidRPr="005E3D50">
        <w:rPr>
          <w:sz w:val="16"/>
          <w:szCs w:val="16"/>
          <w:lang w:val="es-ES"/>
        </w:rPr>
        <w:t xml:space="preserve"> La columna del lado derecho del cuadro indica el porcentaje de Partes con metas nacionales que abordan el elemento al menos en cierta medida.</w:t>
      </w:r>
    </w:p>
    <w:p w14:paraId="14A0349A" w14:textId="0EC5E3A3" w:rsidR="00CB7F1E" w:rsidRPr="005E3D50" w:rsidRDefault="00CB7F1E" w:rsidP="00CB7F1E">
      <w:pPr>
        <w:pStyle w:val="FootnoteText"/>
        <w:rPr>
          <w:sz w:val="16"/>
          <w:szCs w:val="16"/>
          <w:lang w:val="es-ES"/>
        </w:rPr>
      </w:pPr>
      <w:r w:rsidRPr="005E3D50">
        <w:rPr>
          <w:sz w:val="16"/>
          <w:szCs w:val="16"/>
          <w:vertAlign w:val="superscript"/>
          <w:lang w:val="es-ES"/>
        </w:rPr>
        <w:t>a</w:t>
      </w:r>
      <w:r w:rsidRPr="005E3D50">
        <w:rPr>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49" w:history="1">
        <w:r w:rsidRPr="005E3D50">
          <w:rPr>
            <w:rStyle w:val="Hyperlink"/>
            <w:sz w:val="16"/>
            <w:szCs w:val="16"/>
            <w:lang w:val="es-ES"/>
          </w:rPr>
          <w:t>CBD/COP/16/INF/4</w:t>
        </w:r>
      </w:hyperlink>
      <w:r w:rsidRPr="005E3D50">
        <w:rPr>
          <w:sz w:val="16"/>
          <w:szCs w:val="16"/>
          <w:lang w:val="es-ES"/>
        </w:rPr>
        <w:t xml:space="preserve"> y </w:t>
      </w:r>
      <w:r w:rsidRPr="005E3D50">
        <w:rPr>
          <w:rFonts w:ascii="Aptos"/>
          <w:sz w:val="16"/>
          <w:szCs w:val="16"/>
          <w:lang w:val="es-ES"/>
        </w:rPr>
        <w:t>Affinito y otros, 2025</w:t>
      </w:r>
      <w:r w:rsidRPr="005E3D50">
        <w:rPr>
          <w:sz w:val="16"/>
          <w:szCs w:val="16"/>
          <w:lang w:val="es-ES"/>
        </w:rPr>
        <w:t xml:space="preserve">). En el documento </w:t>
      </w:r>
      <w:hyperlink r:id="rId50" w:history="1">
        <w:r w:rsidRPr="005E3D50">
          <w:rPr>
            <w:rStyle w:val="Hyperlink"/>
            <w:sz w:val="16"/>
            <w:szCs w:val="16"/>
            <w:lang w:val="es-ES"/>
          </w:rPr>
          <w:t>CBD/SBI/7/INF/22</w:t>
        </w:r>
      </w:hyperlink>
      <w:r w:rsidRPr="005E3D50">
        <w:rPr>
          <w:sz w:val="16"/>
          <w:szCs w:val="16"/>
          <w:lang w:val="es-ES"/>
        </w:rPr>
        <w:t xml:space="preserve"> se expone en detalle la metodología empleada para el análisis de las metas nacionales. </w:t>
      </w:r>
    </w:p>
    <w:p w14:paraId="6EFB2999" w14:textId="610EBF33" w:rsidR="00CB7F1E" w:rsidRPr="005E3D50" w:rsidRDefault="00CB7F1E">
      <w:pPr>
        <w:rPr>
          <w:sz w:val="16"/>
          <w:szCs w:val="16"/>
          <w:vertAlign w:val="superscript"/>
          <w:lang w:val="es-ES"/>
        </w:rPr>
      </w:pPr>
    </w:p>
    <w:p w14:paraId="70C41090" w14:textId="0C224C9F" w:rsidR="002A0039" w:rsidRPr="005E3D50" w:rsidRDefault="002A0039">
      <w:pPr>
        <w:rPr>
          <w:lang w:val="es-ES"/>
        </w:rPr>
      </w:pPr>
      <w:r w:rsidRPr="005E3D50">
        <w:rPr>
          <w:lang w:val="es-ES"/>
        </w:rPr>
        <w:continuationSeparator/>
      </w:r>
    </w:p>
    <w:bookmarkEnd w:id="106"/>
    <w:bookmarkEnd w:id="107"/>
    <w:p w14:paraId="685DCDFA" w14:textId="639E6FA7" w:rsidR="00AB1404" w:rsidRPr="005E3D50" w:rsidRDefault="00C513A5" w:rsidP="001310EB">
      <w:pPr>
        <w:pStyle w:val="p1"/>
        <w:rPr>
          <w:rFonts w:asciiTheme="minorHAnsi" w:hAnsiTheme="minorHAnsi"/>
          <w:sz w:val="24"/>
          <w:szCs w:val="24"/>
          <w:lang w:val="es-ES"/>
        </w:rPr>
      </w:pPr>
      <w:r w:rsidRPr="005E3D50">
        <w:rPr>
          <w:rFonts w:asciiTheme="minorHAnsi" w:hAnsiTheme="minorHAnsi"/>
          <w:sz w:val="24"/>
          <w:szCs w:val="24"/>
          <w:lang w:val="es-ES"/>
        </w:rPr>
        <w:t>La medida en que las Partes abordan todo el alcance de la meta 1 varía. Si bien la mayoría de las Partes cuentan con metas que abordan, al menos en cierta medida, los cambios en el uso de la tierra y los océanos mediante la planificación espacial u otros procesos de gestión, menos de la mitad aseguran mediante sus metas nacionales que la biodiversidad se tenga en cuenta en dicha planificación o que la pérdida de zonas de suma importancia para la biodiversidad se acerque a cero para 2030. Aún menos Partes cuentan con metas destinadas a asegurar que la planificación espacial y los procesos de gestión sean participativos, estén integrados y respeten los derechos de los pueblos indígenas y las comunidades locales (véase el cuadro 4).</w:t>
      </w:r>
    </w:p>
    <w:p w14:paraId="7DAC097A" w14:textId="77777777" w:rsidR="00A91302" w:rsidRPr="005E3D50" w:rsidRDefault="00A91302" w:rsidP="001310EB">
      <w:pPr>
        <w:pStyle w:val="p1"/>
        <w:rPr>
          <w:rFonts w:asciiTheme="minorHAnsi" w:hAnsiTheme="minorHAnsi"/>
          <w:sz w:val="24"/>
          <w:szCs w:val="24"/>
          <w:lang w:val="es-ES"/>
        </w:rPr>
      </w:pPr>
    </w:p>
    <w:p w14:paraId="76EF5B8B" w14:textId="7D98F3E5" w:rsidR="003425C9" w:rsidRPr="005E3D50" w:rsidRDefault="003425C9" w:rsidP="00AB1404">
      <w:pPr>
        <w:rPr>
          <w:lang w:val="es-ES" w:eastAsia="ja-JP"/>
        </w:rPr>
      </w:pPr>
    </w:p>
    <w:p w14:paraId="4A5C448C" w14:textId="5B94E94B" w:rsidR="00AE3131" w:rsidRPr="005E3D50" w:rsidRDefault="00722EB0" w:rsidP="006F4F08">
      <w:pPr>
        <w:pStyle w:val="Heading5"/>
        <w:rPr>
          <w:lang w:val="es-ES"/>
        </w:rPr>
      </w:pPr>
      <w:bookmarkStart w:id="108" w:name="_Toc235821053"/>
      <w:r w:rsidRPr="005E3D50">
        <w:rPr>
          <w:lang w:val="es-ES"/>
        </w:rPr>
        <w:t>Indicadores de progresos</w:t>
      </w:r>
      <w:bookmarkEnd w:id="108"/>
    </w:p>
    <w:p w14:paraId="4A24F382" w14:textId="77777777" w:rsidR="00724274" w:rsidRPr="005E3D50" w:rsidRDefault="00724274" w:rsidP="00724274">
      <w:pPr>
        <w:rPr>
          <w:lang w:val="es-ES"/>
        </w:rPr>
      </w:pPr>
    </w:p>
    <w:p w14:paraId="4F067441" w14:textId="54B91369" w:rsidR="009D5A80" w:rsidRPr="005E3D50" w:rsidRDefault="003D595C" w:rsidP="003D595C">
      <w:pPr>
        <w:pStyle w:val="Caption"/>
        <w:keepNext/>
        <w:rPr>
          <w:i w:val="0"/>
          <w:iCs w:val="0"/>
          <w:sz w:val="20"/>
          <w:szCs w:val="20"/>
          <w:lang w:val="es-ES"/>
        </w:rPr>
      </w:pPr>
      <w:bookmarkStart w:id="109" w:name="_Ref230450697"/>
      <w:r w:rsidRPr="005E3D50">
        <w:rPr>
          <w:i w:val="0"/>
          <w:sz w:val="20"/>
          <w:szCs w:val="20"/>
          <w:lang w:val="es-ES"/>
        </w:rPr>
        <w:t>Cuadro 5</w:t>
      </w:r>
      <w:bookmarkEnd w:id="109"/>
    </w:p>
    <w:p w14:paraId="2F5756AD" w14:textId="45A6B4C9" w:rsidR="003D595C" w:rsidRPr="005E3D50" w:rsidRDefault="003D595C" w:rsidP="003D595C">
      <w:pPr>
        <w:pStyle w:val="Caption"/>
        <w:keepNext/>
        <w:rPr>
          <w:sz w:val="20"/>
          <w:szCs w:val="20"/>
          <w:lang w:val="es-ES"/>
        </w:rPr>
      </w:pPr>
      <w:r w:rsidRPr="005E3D50">
        <w:rPr>
          <w:b/>
          <w:bCs/>
          <w:i w:val="0"/>
          <w:iCs w:val="0"/>
          <w:sz w:val="20"/>
          <w:szCs w:val="20"/>
          <w:lang w:val="es-ES"/>
        </w:rPr>
        <w:t>Tablero de puntuación para indicadores de la meta 1 del Marco</w:t>
      </w:r>
      <w:r w:rsidRPr="005E3D50">
        <w:rPr>
          <w:sz w:val="20"/>
          <w:szCs w:val="20"/>
          <w:lang w:val="es-ES"/>
        </w:rPr>
        <w:t xml:space="preserve"> </w:t>
      </w:r>
    </w:p>
    <w:tbl>
      <w:tblPr>
        <w:tblW w:w="10201" w:type="dxa"/>
        <w:tblLook w:val="04A0" w:firstRow="1" w:lastRow="0" w:firstColumn="1" w:lastColumn="0" w:noHBand="0" w:noVBand="1"/>
      </w:tblPr>
      <w:tblGrid>
        <w:gridCol w:w="2830"/>
        <w:gridCol w:w="3261"/>
        <w:gridCol w:w="744"/>
        <w:gridCol w:w="2845"/>
        <w:gridCol w:w="521"/>
      </w:tblGrid>
      <w:tr w:rsidR="00D21C0E" w:rsidRPr="005E3D50" w14:paraId="3DF79C21" w14:textId="77777777" w:rsidTr="00AB47FD">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5DAF2926" w14:textId="77777777" w:rsidR="00D21C0E" w:rsidRPr="005E3D50" w:rsidRDefault="00D21C0E">
            <w:pPr>
              <w:rPr>
                <w:rFonts w:ascii="Aptos" w:hAnsi="Aptos"/>
                <w:color w:val="000000"/>
                <w:sz w:val="20"/>
                <w:szCs w:val="20"/>
                <w:lang w:val="es-ES"/>
              </w:rPr>
            </w:pPr>
          </w:p>
        </w:tc>
        <w:tc>
          <w:tcPr>
            <w:tcW w:w="4005" w:type="dxa"/>
            <w:gridSpan w:val="2"/>
            <w:tcBorders>
              <w:top w:val="single" w:sz="4" w:space="0" w:color="auto"/>
              <w:left w:val="nil"/>
              <w:bottom w:val="single" w:sz="4" w:space="0" w:color="auto"/>
              <w:right w:val="single" w:sz="4" w:space="0" w:color="auto"/>
            </w:tcBorders>
            <w:vAlign w:val="center"/>
          </w:tcPr>
          <w:p w14:paraId="23CA8E51" w14:textId="77777777" w:rsidR="00D21C0E" w:rsidRPr="005E3D50" w:rsidRDefault="00D21C0E">
            <w:pPr>
              <w:jc w:val="center"/>
              <w:rPr>
                <w:rFonts w:ascii="Aptos" w:hAnsi="Aptos" w:cs="Calibri"/>
                <w:color w:val="000000"/>
                <w:sz w:val="20"/>
                <w:szCs w:val="20"/>
                <w:lang w:val="es-ES"/>
              </w:rPr>
            </w:pPr>
            <w:r w:rsidRPr="005E3D50">
              <w:rPr>
                <w:rFonts w:ascii="Aptos" w:hAnsi="Aptos"/>
                <w:color w:val="000000"/>
                <w:sz w:val="20"/>
                <w:szCs w:val="20"/>
                <w:lang w:val="es-ES"/>
              </w:rPr>
              <w:t>Uso del indicador</w:t>
            </w:r>
          </w:p>
        </w:tc>
        <w:tc>
          <w:tcPr>
            <w:tcW w:w="3366" w:type="dxa"/>
            <w:gridSpan w:val="2"/>
            <w:tcBorders>
              <w:top w:val="single" w:sz="4" w:space="0" w:color="auto"/>
              <w:left w:val="nil"/>
              <w:bottom w:val="single" w:sz="4" w:space="0" w:color="auto"/>
              <w:right w:val="single" w:sz="4" w:space="0" w:color="auto"/>
            </w:tcBorders>
            <w:vAlign w:val="center"/>
          </w:tcPr>
          <w:p w14:paraId="2CC28867" w14:textId="77777777"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Resultados del indicador</w:t>
            </w:r>
          </w:p>
        </w:tc>
      </w:tr>
      <w:tr w:rsidR="00D21C0E" w:rsidRPr="005E3D50" w14:paraId="13774C23" w14:textId="77777777" w:rsidTr="00AB47FD">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D671E" w14:textId="35627392" w:rsidR="00D21C0E" w:rsidRPr="005E3D50" w:rsidRDefault="006908BE">
            <w:pPr>
              <w:jc w:val="center"/>
              <w:rPr>
                <w:rFonts w:ascii="Aptos" w:hAnsi="Aptos"/>
                <w:color w:val="000000"/>
                <w:sz w:val="20"/>
                <w:szCs w:val="20"/>
                <w:lang w:val="es-ES"/>
              </w:rPr>
            </w:pPr>
            <w:r w:rsidRPr="005E3D50">
              <w:rPr>
                <w:rFonts w:ascii="Aptos" w:hAnsi="Aptos"/>
                <w:color w:val="000000"/>
                <w:sz w:val="20"/>
                <w:szCs w:val="20"/>
                <w:lang w:val="es-ES"/>
              </w:rPr>
              <w:t>Indicador de cabecera A.1: Lista Roja de Ecosistemas</w:t>
            </w:r>
          </w:p>
        </w:tc>
        <w:tc>
          <w:tcPr>
            <w:tcW w:w="3261" w:type="dxa"/>
            <w:tcBorders>
              <w:top w:val="single" w:sz="4" w:space="0" w:color="auto"/>
              <w:left w:val="nil"/>
              <w:bottom w:val="single" w:sz="4" w:space="0" w:color="auto"/>
              <w:right w:val="single" w:sz="4" w:space="0" w:color="auto"/>
            </w:tcBorders>
            <w:vAlign w:val="center"/>
            <w:hideMark/>
          </w:tcPr>
          <w:p w14:paraId="6BD9CE86" w14:textId="1FB524B3"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21 % de las Partes cuyos informes nacionales están considerados en el informe mundial</w:t>
            </w:r>
          </w:p>
        </w:tc>
        <w:tc>
          <w:tcPr>
            <w:tcW w:w="744" w:type="dxa"/>
            <w:tcBorders>
              <w:top w:val="single" w:sz="4" w:space="0" w:color="auto"/>
              <w:left w:val="nil"/>
              <w:bottom w:val="single" w:sz="4" w:space="0" w:color="auto"/>
              <w:right w:val="single" w:sz="4" w:space="0" w:color="auto"/>
            </w:tcBorders>
            <w:shd w:val="clear" w:color="000000" w:fill="C00000"/>
            <w:vAlign w:val="center"/>
            <w:hideMark/>
          </w:tcPr>
          <w:p w14:paraId="1DD4E8B6" w14:textId="77777777" w:rsidR="00D21C0E" w:rsidRPr="005E3D50" w:rsidRDefault="00D21C0E">
            <w:pPr>
              <w:jc w:val="center"/>
              <w:rPr>
                <w:rFonts w:ascii="Aptos" w:hAnsi="Aptos" w:cs="Calibri"/>
                <w:color w:val="000000"/>
                <w:sz w:val="20"/>
                <w:szCs w:val="20"/>
                <w:lang w:val="es-ES"/>
              </w:rPr>
            </w:pPr>
          </w:p>
        </w:tc>
        <w:tc>
          <w:tcPr>
            <w:tcW w:w="2845" w:type="dxa"/>
            <w:tcBorders>
              <w:top w:val="single" w:sz="4" w:space="0" w:color="auto"/>
              <w:left w:val="nil"/>
              <w:bottom w:val="single" w:sz="4" w:space="0" w:color="auto"/>
              <w:right w:val="single" w:sz="4" w:space="0" w:color="auto"/>
            </w:tcBorders>
            <w:vAlign w:val="center"/>
            <w:hideMark/>
          </w:tcPr>
          <w:p w14:paraId="0BF05587" w14:textId="77777777" w:rsidR="00D21C0E" w:rsidRPr="005E3D50" w:rsidRDefault="00D21C0E">
            <w:pPr>
              <w:jc w:val="center"/>
              <w:rPr>
                <w:rFonts w:ascii="Aptos" w:hAnsi="Aptos" w:cs="Times New Roman"/>
                <w:color w:val="000000"/>
                <w:sz w:val="20"/>
                <w:szCs w:val="20"/>
                <w:lang w:val="es-ES"/>
              </w:rPr>
            </w:pPr>
            <w:r w:rsidRPr="005E3D50">
              <w:rPr>
                <w:rFonts w:ascii="Aptos" w:hAnsi="Aptos"/>
                <w:color w:val="000000"/>
                <w:sz w:val="20"/>
                <w:szCs w:val="20"/>
                <w:lang w:val="es-ES"/>
              </w:rPr>
              <w:t>Los valores informados registran un promedio de 0,58 y oscilan entre 0,37 y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1E0DD37E" w14:textId="77777777" w:rsidR="00D21C0E" w:rsidRPr="005E3D50" w:rsidRDefault="00D21C0E">
            <w:pPr>
              <w:rPr>
                <w:rFonts w:ascii="Aptos" w:hAnsi="Aptos"/>
                <w:color w:val="000000"/>
                <w:sz w:val="20"/>
                <w:szCs w:val="20"/>
                <w:lang w:val="es-ES"/>
              </w:rPr>
            </w:pPr>
            <w:r w:rsidRPr="005E3D50">
              <w:rPr>
                <w:rFonts w:ascii="Aptos" w:hAnsi="Aptos"/>
                <w:color w:val="000000"/>
                <w:sz w:val="20"/>
                <w:szCs w:val="20"/>
                <w:lang w:val="es-ES"/>
              </w:rPr>
              <w:t> </w:t>
            </w:r>
          </w:p>
        </w:tc>
      </w:tr>
      <w:tr w:rsidR="00D21C0E" w:rsidRPr="005E3D50" w14:paraId="2DDB0B3E" w14:textId="77777777" w:rsidTr="00AB47FD">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2B09981" w14:textId="5021E14F" w:rsidR="00D21C0E" w:rsidRPr="005E3D50" w:rsidRDefault="006908BE">
            <w:pPr>
              <w:jc w:val="center"/>
              <w:rPr>
                <w:rFonts w:ascii="Aptos" w:hAnsi="Aptos" w:cs="Times New Roman"/>
                <w:color w:val="000000"/>
                <w:sz w:val="20"/>
                <w:szCs w:val="20"/>
                <w:lang w:val="es-ES"/>
              </w:rPr>
            </w:pPr>
            <w:r w:rsidRPr="005E3D50">
              <w:rPr>
                <w:rFonts w:ascii="Aptos" w:hAnsi="Aptos"/>
                <w:color w:val="000000"/>
                <w:sz w:val="20"/>
                <w:szCs w:val="20"/>
                <w:lang w:val="es-ES"/>
              </w:rPr>
              <w:t>Indicador de cabecera A.2: Extensión de los ecosistemas naturales</w:t>
            </w:r>
          </w:p>
        </w:tc>
        <w:tc>
          <w:tcPr>
            <w:tcW w:w="3261" w:type="dxa"/>
            <w:tcBorders>
              <w:top w:val="nil"/>
              <w:left w:val="nil"/>
              <w:bottom w:val="single" w:sz="4" w:space="0" w:color="auto"/>
              <w:right w:val="single" w:sz="4" w:space="0" w:color="auto"/>
            </w:tcBorders>
            <w:vAlign w:val="center"/>
            <w:hideMark/>
          </w:tcPr>
          <w:p w14:paraId="2BFDCBF2" w14:textId="3CA1851E"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50 % de las Partes, &lt;1 % con datos de series temporales</w:t>
            </w:r>
          </w:p>
        </w:tc>
        <w:tc>
          <w:tcPr>
            <w:tcW w:w="744" w:type="dxa"/>
            <w:tcBorders>
              <w:top w:val="nil"/>
              <w:left w:val="nil"/>
              <w:bottom w:val="nil"/>
              <w:right w:val="nil"/>
            </w:tcBorders>
            <w:shd w:val="clear" w:color="auto" w:fill="FFC000"/>
            <w:vAlign w:val="center"/>
            <w:hideMark/>
          </w:tcPr>
          <w:p w14:paraId="4285D3D6" w14:textId="77777777" w:rsidR="00D21C0E" w:rsidRPr="005E3D50" w:rsidRDefault="00D21C0E">
            <w:pPr>
              <w:jc w:val="center"/>
              <w:rPr>
                <w:rFonts w:ascii="Aptos" w:hAnsi="Aptos"/>
                <w:color w:val="000000"/>
                <w:sz w:val="20"/>
                <w:szCs w:val="20"/>
                <w:lang w:val="es-ES"/>
              </w:rPr>
            </w:pPr>
          </w:p>
        </w:tc>
        <w:tc>
          <w:tcPr>
            <w:tcW w:w="2845" w:type="dxa"/>
            <w:tcBorders>
              <w:top w:val="nil"/>
              <w:left w:val="single" w:sz="4" w:space="0" w:color="auto"/>
              <w:bottom w:val="single" w:sz="4" w:space="0" w:color="auto"/>
              <w:right w:val="single" w:sz="4" w:space="0" w:color="auto"/>
            </w:tcBorders>
            <w:vAlign w:val="center"/>
            <w:hideMark/>
          </w:tcPr>
          <w:p w14:paraId="231C992D" w14:textId="708B8D86"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63 % de las zonas</w:t>
            </w:r>
          </w:p>
        </w:tc>
        <w:tc>
          <w:tcPr>
            <w:tcW w:w="521" w:type="dxa"/>
            <w:tcBorders>
              <w:top w:val="nil"/>
              <w:left w:val="nil"/>
              <w:bottom w:val="single" w:sz="4" w:space="0" w:color="auto"/>
              <w:right w:val="single" w:sz="4" w:space="0" w:color="auto"/>
            </w:tcBorders>
            <w:shd w:val="clear" w:color="auto" w:fill="ADADAD" w:themeFill="background2" w:themeFillShade="BF"/>
            <w:vAlign w:val="center"/>
            <w:hideMark/>
          </w:tcPr>
          <w:p w14:paraId="1B2D246C" w14:textId="77777777" w:rsidR="00D21C0E" w:rsidRPr="005E3D50" w:rsidRDefault="00D21C0E">
            <w:pPr>
              <w:rPr>
                <w:rFonts w:ascii="Aptos" w:hAnsi="Aptos"/>
                <w:color w:val="000000"/>
                <w:sz w:val="20"/>
                <w:szCs w:val="20"/>
                <w:lang w:val="es-ES"/>
              </w:rPr>
            </w:pPr>
            <w:r w:rsidRPr="005E3D50">
              <w:rPr>
                <w:rFonts w:ascii="Aptos" w:hAnsi="Aptos"/>
                <w:color w:val="000000"/>
                <w:sz w:val="20"/>
                <w:szCs w:val="20"/>
                <w:lang w:val="es-ES"/>
              </w:rPr>
              <w:t> </w:t>
            </w:r>
          </w:p>
        </w:tc>
      </w:tr>
      <w:tr w:rsidR="00D21C0E" w:rsidRPr="005E3D50" w14:paraId="7F6CAA57" w14:textId="77777777" w:rsidTr="00AB47F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474B125B" w14:textId="7CA9D514" w:rsidR="00D21C0E" w:rsidRPr="005E3D50" w:rsidRDefault="006908BE">
            <w:pPr>
              <w:jc w:val="center"/>
              <w:rPr>
                <w:rFonts w:ascii="Aptos" w:hAnsi="Aptos" w:cs="Times New Roman"/>
                <w:color w:val="000000"/>
                <w:sz w:val="20"/>
                <w:szCs w:val="20"/>
                <w:lang w:val="es-ES"/>
              </w:rPr>
            </w:pPr>
            <w:r w:rsidRPr="005E3D50">
              <w:rPr>
                <w:rFonts w:ascii="Aptos" w:hAnsi="Aptos"/>
                <w:color w:val="000000"/>
                <w:sz w:val="20"/>
                <w:szCs w:val="20"/>
                <w:lang w:val="es-ES"/>
              </w:rPr>
              <w:t xml:space="preserve">Indicador de cabecera 1.1: Porcentaje de superficie terrestre y marina cubierta por planes espaciales que tienen </w:t>
            </w:r>
            <w:r w:rsidRPr="005E3D50">
              <w:rPr>
                <w:rFonts w:ascii="Aptos" w:hAnsi="Aptos"/>
                <w:color w:val="000000"/>
                <w:sz w:val="20"/>
                <w:szCs w:val="20"/>
                <w:lang w:val="es-ES"/>
              </w:rPr>
              <w:lastRenderedPageBreak/>
              <w:t>en cuenta la diversidad biológica</w:t>
            </w:r>
          </w:p>
        </w:tc>
        <w:tc>
          <w:tcPr>
            <w:tcW w:w="3261" w:type="dxa"/>
            <w:tcBorders>
              <w:top w:val="nil"/>
              <w:left w:val="nil"/>
              <w:bottom w:val="single" w:sz="4" w:space="0" w:color="auto"/>
              <w:right w:val="single" w:sz="4" w:space="0" w:color="auto"/>
            </w:tcBorders>
            <w:vAlign w:val="center"/>
            <w:hideMark/>
          </w:tcPr>
          <w:p w14:paraId="260BF5D1" w14:textId="3116D407"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lastRenderedPageBreak/>
              <w:t>28 % de las Partes, que abarcan el 15 % de la superficie terrestre y marina</w:t>
            </w:r>
          </w:p>
        </w:tc>
        <w:tc>
          <w:tcPr>
            <w:tcW w:w="744" w:type="dxa"/>
            <w:tcBorders>
              <w:top w:val="single" w:sz="4" w:space="0" w:color="auto"/>
              <w:left w:val="nil"/>
              <w:bottom w:val="single" w:sz="4" w:space="0" w:color="auto"/>
              <w:right w:val="single" w:sz="4" w:space="0" w:color="auto"/>
            </w:tcBorders>
            <w:shd w:val="clear" w:color="auto" w:fill="C00000"/>
            <w:vAlign w:val="center"/>
            <w:hideMark/>
          </w:tcPr>
          <w:p w14:paraId="33E214B7" w14:textId="77777777" w:rsidR="00D21C0E" w:rsidRPr="005E3D50" w:rsidRDefault="00D21C0E">
            <w:pPr>
              <w:jc w:val="center"/>
              <w:rPr>
                <w:rFonts w:ascii="Aptos" w:hAnsi="Aptos"/>
                <w:color w:val="000000"/>
                <w:sz w:val="20"/>
                <w:szCs w:val="20"/>
                <w:lang w:val="es-ES"/>
              </w:rPr>
            </w:pPr>
          </w:p>
        </w:tc>
        <w:tc>
          <w:tcPr>
            <w:tcW w:w="2845" w:type="dxa"/>
            <w:tcBorders>
              <w:top w:val="nil"/>
              <w:left w:val="nil"/>
              <w:bottom w:val="single" w:sz="4" w:space="0" w:color="auto"/>
              <w:right w:val="single" w:sz="4" w:space="0" w:color="auto"/>
            </w:tcBorders>
            <w:vAlign w:val="center"/>
            <w:hideMark/>
          </w:tcPr>
          <w:p w14:paraId="03417665" w14:textId="0E7CF6F1"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Los valores informados corresponden, en promedio, al 39 % de la superficie terrestre y marina cubierta</w:t>
            </w:r>
          </w:p>
        </w:tc>
        <w:tc>
          <w:tcPr>
            <w:tcW w:w="521" w:type="dxa"/>
            <w:tcBorders>
              <w:top w:val="nil"/>
              <w:left w:val="nil"/>
              <w:bottom w:val="single" w:sz="4" w:space="0" w:color="auto"/>
              <w:right w:val="single" w:sz="4" w:space="0" w:color="auto"/>
            </w:tcBorders>
            <w:shd w:val="clear" w:color="000000" w:fill="FFC000"/>
            <w:vAlign w:val="bottom"/>
            <w:hideMark/>
          </w:tcPr>
          <w:p w14:paraId="01679FDE" w14:textId="77777777" w:rsidR="00D21C0E" w:rsidRPr="005E3D50" w:rsidRDefault="00D21C0E">
            <w:pPr>
              <w:rPr>
                <w:rFonts w:ascii="Aptos" w:hAnsi="Aptos"/>
                <w:color w:val="000000"/>
                <w:sz w:val="20"/>
                <w:szCs w:val="20"/>
                <w:lang w:val="es-ES"/>
              </w:rPr>
            </w:pPr>
            <w:r w:rsidRPr="005E3D50">
              <w:rPr>
                <w:rFonts w:ascii="Aptos" w:hAnsi="Aptos"/>
                <w:color w:val="000000"/>
                <w:sz w:val="20"/>
                <w:szCs w:val="20"/>
                <w:lang w:val="es-ES"/>
              </w:rPr>
              <w:t> </w:t>
            </w:r>
          </w:p>
        </w:tc>
      </w:tr>
      <w:tr w:rsidR="00D21C0E" w:rsidRPr="005E3D50" w14:paraId="0D631270" w14:textId="77777777" w:rsidTr="00AB47F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6CFC044" w14:textId="77777777"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Indicadores cuantitativos combinados</w:t>
            </w:r>
          </w:p>
        </w:tc>
        <w:tc>
          <w:tcPr>
            <w:tcW w:w="3261" w:type="dxa"/>
            <w:tcBorders>
              <w:top w:val="nil"/>
              <w:left w:val="nil"/>
              <w:bottom w:val="single" w:sz="4" w:space="0" w:color="auto"/>
              <w:right w:val="single" w:sz="4" w:space="0" w:color="auto"/>
            </w:tcBorders>
            <w:vAlign w:val="center"/>
          </w:tcPr>
          <w:p w14:paraId="6B0FB051" w14:textId="69863D50"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 xml:space="preserve">57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xml:space="preserve"> utilizaron indicadores (52 de cabecera y 14 otros indicadores)</w:t>
            </w:r>
          </w:p>
        </w:tc>
        <w:tc>
          <w:tcPr>
            <w:tcW w:w="744" w:type="dxa"/>
            <w:tcBorders>
              <w:top w:val="single" w:sz="4" w:space="0" w:color="auto"/>
              <w:left w:val="nil"/>
              <w:bottom w:val="single" w:sz="4" w:space="0" w:color="auto"/>
              <w:right w:val="single" w:sz="4" w:space="0" w:color="auto"/>
            </w:tcBorders>
            <w:shd w:val="clear" w:color="auto" w:fill="FFC000"/>
            <w:vAlign w:val="center"/>
          </w:tcPr>
          <w:p w14:paraId="53EBF56E" w14:textId="77777777" w:rsidR="00D21C0E" w:rsidRPr="005E3D50" w:rsidRDefault="00D21C0E">
            <w:pPr>
              <w:jc w:val="center"/>
              <w:rPr>
                <w:rFonts w:ascii="Aptos" w:hAnsi="Aptos"/>
                <w:color w:val="000000"/>
                <w:sz w:val="20"/>
                <w:szCs w:val="20"/>
                <w:lang w:val="es-ES"/>
              </w:rPr>
            </w:pPr>
          </w:p>
        </w:tc>
        <w:tc>
          <w:tcPr>
            <w:tcW w:w="2845" w:type="dxa"/>
            <w:tcBorders>
              <w:top w:val="single" w:sz="4" w:space="0" w:color="auto"/>
              <w:left w:val="single" w:sz="4" w:space="0" w:color="auto"/>
              <w:bottom w:val="single" w:sz="4" w:space="0" w:color="auto"/>
              <w:right w:val="nil"/>
            </w:tcBorders>
            <w:vAlign w:val="center"/>
          </w:tcPr>
          <w:p w14:paraId="1E336D48" w14:textId="77777777"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21% registran tendencias positivas</w:t>
            </w:r>
          </w:p>
          <w:p w14:paraId="35F42159" w14:textId="47BC9571" w:rsidR="00D21C0E" w:rsidRPr="005E3D50" w:rsidRDefault="006A57ED">
            <w:pPr>
              <w:jc w:val="center"/>
              <w:rPr>
                <w:rFonts w:ascii="Aptos" w:hAnsi="Aptos"/>
                <w:color w:val="000000"/>
                <w:sz w:val="20"/>
                <w:szCs w:val="20"/>
                <w:lang w:val="es-ES"/>
              </w:rPr>
            </w:pPr>
            <w:r w:rsidRPr="005E3D50">
              <w:rPr>
                <w:rFonts w:ascii="Aptos" w:hAnsi="Aptos"/>
                <w:color w:val="000000"/>
                <w:sz w:val="20"/>
                <w:szCs w:val="20"/>
                <w:lang w:val="es-ES"/>
              </w:rPr>
              <w:t>20% registran tendencias negativas</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71B02407" w14:textId="77777777" w:rsidR="00D21C0E" w:rsidRPr="005E3D50" w:rsidRDefault="00D21C0E">
            <w:pPr>
              <w:rPr>
                <w:rFonts w:ascii="Aptos" w:hAnsi="Aptos"/>
                <w:color w:val="000000"/>
                <w:sz w:val="20"/>
                <w:szCs w:val="20"/>
                <w:lang w:val="es-ES"/>
              </w:rPr>
            </w:pPr>
          </w:p>
        </w:tc>
      </w:tr>
      <w:tr w:rsidR="00D21C0E" w:rsidRPr="005E3D50" w14:paraId="56227749" w14:textId="77777777" w:rsidTr="00AB47F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2CC709C3" w14:textId="3321E5E2" w:rsidR="00D21C0E" w:rsidRPr="005E3D50" w:rsidRDefault="006908BE">
            <w:pPr>
              <w:jc w:val="center"/>
              <w:rPr>
                <w:rFonts w:ascii="Aptos" w:hAnsi="Aptos"/>
                <w:color w:val="000000"/>
                <w:sz w:val="20"/>
                <w:szCs w:val="20"/>
                <w:lang w:val="es-ES"/>
              </w:rPr>
            </w:pPr>
            <w:r w:rsidRPr="005E3D50">
              <w:rPr>
                <w:rFonts w:ascii="Aptos" w:hAnsi="Aptos"/>
                <w:color w:val="000000"/>
                <w:sz w:val="20"/>
                <w:szCs w:val="20"/>
                <w:lang w:val="es-ES"/>
              </w:rPr>
              <w:t>Indicador binario 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c>
          <w:tcPr>
            <w:tcW w:w="3261" w:type="dxa"/>
            <w:tcBorders>
              <w:top w:val="nil"/>
              <w:left w:val="nil"/>
              <w:bottom w:val="single" w:sz="4" w:space="0" w:color="auto"/>
              <w:right w:val="single" w:sz="4" w:space="0" w:color="auto"/>
            </w:tcBorders>
            <w:vAlign w:val="center"/>
            <w:hideMark/>
          </w:tcPr>
          <w:p w14:paraId="6ACE44B8" w14:textId="77777777"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 xml:space="preserve">127 </w:t>
            </w:r>
            <w:proofErr w:type="gramStart"/>
            <w:r w:rsidRPr="005E3D50">
              <w:rPr>
                <w:rFonts w:ascii="Aptos" w:hAnsi="Aptos"/>
                <w:color w:val="000000"/>
                <w:sz w:val="20"/>
                <w:szCs w:val="20"/>
                <w:lang w:val="es-ES"/>
              </w:rPr>
              <w:t>Partes</w:t>
            </w:r>
            <w:proofErr w:type="gramEnd"/>
          </w:p>
        </w:tc>
        <w:tc>
          <w:tcPr>
            <w:tcW w:w="744"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2F409B" w14:textId="18A35F8F" w:rsidR="00D21C0E" w:rsidRPr="005E3D50" w:rsidRDefault="004A60D2">
            <w:pPr>
              <w:jc w:val="center"/>
              <w:rPr>
                <w:rFonts w:ascii="Aptos" w:hAnsi="Aptos"/>
                <w:color w:val="000000"/>
                <w:sz w:val="20"/>
                <w:szCs w:val="20"/>
                <w:vertAlign w:val="superscript"/>
                <w:lang w:val="es-ES"/>
              </w:rPr>
            </w:pPr>
            <w:r w:rsidRPr="005E3D50">
              <w:rPr>
                <w:rFonts w:ascii="Aptos" w:hAnsi="Aptos"/>
                <w:color w:val="000000"/>
                <w:sz w:val="20"/>
                <w:szCs w:val="20"/>
                <w:lang w:val="es-ES"/>
              </w:rPr>
              <w:t xml:space="preserve">n. </w:t>
            </w:r>
            <w:proofErr w:type="spellStart"/>
            <w:proofErr w:type="gramStart"/>
            <w:r w:rsidRPr="005E3D50">
              <w:rPr>
                <w:rFonts w:ascii="Aptos" w:hAnsi="Aptos"/>
                <w:color w:val="000000"/>
                <w:sz w:val="20"/>
                <w:szCs w:val="20"/>
                <w:lang w:val="es-ES"/>
              </w:rPr>
              <w:t>a.</w:t>
            </w:r>
            <w:r w:rsidRPr="005E3D50">
              <w:rPr>
                <w:rFonts w:ascii="Aptos" w:hAnsi="Aptos"/>
                <w:color w:val="000000"/>
                <w:sz w:val="20"/>
                <w:szCs w:val="20"/>
                <w:vertAlign w:val="superscript"/>
                <w:lang w:val="es-ES"/>
              </w:rPr>
              <w:t>a</w:t>
            </w:r>
            <w:proofErr w:type="spellEnd"/>
            <w:proofErr w:type="gramEnd"/>
          </w:p>
        </w:tc>
        <w:tc>
          <w:tcPr>
            <w:tcW w:w="2845" w:type="dxa"/>
            <w:tcBorders>
              <w:top w:val="single" w:sz="4" w:space="0" w:color="auto"/>
              <w:left w:val="single" w:sz="4" w:space="0" w:color="auto"/>
              <w:bottom w:val="single" w:sz="4" w:space="0" w:color="auto"/>
              <w:right w:val="nil"/>
            </w:tcBorders>
            <w:vAlign w:val="center"/>
            <w:hideMark/>
          </w:tcPr>
          <w:p w14:paraId="5DCE343A" w14:textId="3880E66A" w:rsidR="00D21C0E" w:rsidRPr="005E3D50" w:rsidRDefault="00D21C0E">
            <w:pPr>
              <w:jc w:val="center"/>
              <w:rPr>
                <w:rFonts w:ascii="Aptos" w:hAnsi="Aptos"/>
                <w:color w:val="000000"/>
                <w:sz w:val="20"/>
                <w:szCs w:val="20"/>
                <w:lang w:val="es-ES"/>
              </w:rPr>
            </w:pPr>
            <w:r w:rsidRPr="005E3D50">
              <w:rPr>
                <w:rFonts w:ascii="Aptos" w:hAnsi="Aptos"/>
                <w:color w:val="000000"/>
                <w:sz w:val="20"/>
                <w:szCs w:val="20"/>
                <w:lang w:val="es-ES"/>
              </w:rPr>
              <w:t>El 65 % de las Partes tuvieron una puntuación alta (puntuación de 4 o 5)</w:t>
            </w:r>
          </w:p>
        </w:tc>
        <w:tc>
          <w:tcPr>
            <w:tcW w:w="521" w:type="dxa"/>
            <w:tcBorders>
              <w:top w:val="nil"/>
              <w:left w:val="single" w:sz="4" w:space="0" w:color="auto"/>
              <w:bottom w:val="single" w:sz="4" w:space="0" w:color="auto"/>
              <w:right w:val="single" w:sz="4" w:space="0" w:color="auto"/>
            </w:tcBorders>
            <w:shd w:val="clear" w:color="auto" w:fill="92D050"/>
            <w:vAlign w:val="bottom"/>
            <w:hideMark/>
          </w:tcPr>
          <w:p w14:paraId="4AB67E92" w14:textId="77777777" w:rsidR="00D21C0E" w:rsidRPr="005E3D50" w:rsidRDefault="00D21C0E">
            <w:pPr>
              <w:rPr>
                <w:rFonts w:ascii="Aptos" w:hAnsi="Aptos"/>
                <w:color w:val="000000"/>
                <w:sz w:val="20"/>
                <w:szCs w:val="20"/>
                <w:lang w:val="es-ES"/>
              </w:rPr>
            </w:pPr>
            <w:r w:rsidRPr="005E3D50">
              <w:rPr>
                <w:rFonts w:ascii="Aptos" w:hAnsi="Aptos"/>
                <w:color w:val="000000"/>
                <w:sz w:val="20"/>
                <w:szCs w:val="20"/>
                <w:lang w:val="es-ES"/>
              </w:rPr>
              <w:t> </w:t>
            </w:r>
          </w:p>
        </w:tc>
      </w:tr>
      <w:tr w:rsidR="00D21C0E" w:rsidRPr="005E3D50" w14:paraId="18D46E0C" w14:textId="77777777">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34719F8" w14:textId="77777777" w:rsidR="00D21C0E" w:rsidRPr="005E3D50" w:rsidRDefault="00D21C0E">
            <w:pPr>
              <w:rPr>
                <w:rFonts w:ascii="Aptos" w:hAnsi="Aptos"/>
                <w:color w:val="000000"/>
                <w:sz w:val="20"/>
                <w:szCs w:val="20"/>
                <w:lang w:val="es-ES"/>
              </w:rPr>
            </w:pPr>
            <w:r w:rsidRPr="005E3D50">
              <w:rPr>
                <w:rFonts w:ascii="Aptos" w:hAnsi="Aptos"/>
                <w:sz w:val="20"/>
                <w:szCs w:val="20"/>
                <w:lang w:val="es-ES"/>
              </w:rPr>
              <w:t>Observaciones sobre los biomas</w:t>
            </w:r>
          </w:p>
        </w:tc>
        <w:tc>
          <w:tcPr>
            <w:tcW w:w="7371" w:type="dxa"/>
            <w:gridSpan w:val="4"/>
            <w:tcBorders>
              <w:top w:val="nil"/>
              <w:left w:val="nil"/>
              <w:bottom w:val="single" w:sz="4" w:space="0" w:color="auto"/>
              <w:right w:val="single" w:sz="4" w:space="0" w:color="auto"/>
            </w:tcBorders>
            <w:vAlign w:val="bottom"/>
          </w:tcPr>
          <w:p w14:paraId="1BBD4B63" w14:textId="77777777" w:rsidR="00B313E0" w:rsidRPr="005E3D50" w:rsidRDefault="00D21C0E" w:rsidP="00B313E0">
            <w:pPr>
              <w:spacing w:after="0" w:line="240" w:lineRule="auto"/>
              <w:rPr>
                <w:sz w:val="20"/>
                <w:szCs w:val="20"/>
                <w:lang w:val="es-ES"/>
              </w:rPr>
            </w:pPr>
            <w:r w:rsidRPr="005E3D50">
              <w:rPr>
                <w:sz w:val="20"/>
                <w:szCs w:val="20"/>
                <w:lang w:val="es-ES"/>
              </w:rPr>
              <w:t xml:space="preserve">Mayores progresos logrados en el abordaje del cambio en el uso de la tierra en las zonas terrestres </w:t>
            </w:r>
          </w:p>
          <w:p w14:paraId="51224653" w14:textId="77777777" w:rsidR="00D21C0E" w:rsidRPr="005E3D50" w:rsidRDefault="00D21C0E" w:rsidP="007A39C6">
            <w:pPr>
              <w:spacing w:after="0" w:line="240" w:lineRule="auto"/>
              <w:rPr>
                <w:sz w:val="20"/>
                <w:szCs w:val="20"/>
                <w:lang w:val="es-ES"/>
              </w:rPr>
            </w:pPr>
            <w:r w:rsidRPr="005E3D50">
              <w:rPr>
                <w:sz w:val="20"/>
                <w:szCs w:val="20"/>
                <w:lang w:val="es-ES"/>
              </w:rPr>
              <w:t>Menores progresos en las aguas continentales</w:t>
            </w:r>
            <w:r w:rsidRPr="005E3D50">
              <w:rPr>
                <w:sz w:val="20"/>
                <w:szCs w:val="20"/>
                <w:lang w:val="es-ES"/>
              </w:rPr>
              <w:br/>
              <w:t>Progresos aún menores en las zonas marinas y costeras</w:t>
            </w:r>
          </w:p>
          <w:p w14:paraId="59BBE887" w14:textId="0834BA7F" w:rsidR="00D21C0E" w:rsidRPr="005E3D50" w:rsidRDefault="00D21C0E" w:rsidP="007A39C6">
            <w:pPr>
              <w:spacing w:after="0" w:line="240" w:lineRule="auto"/>
              <w:rPr>
                <w:sz w:val="20"/>
                <w:szCs w:val="20"/>
                <w:lang w:val="es-ES"/>
              </w:rPr>
            </w:pPr>
          </w:p>
        </w:tc>
      </w:tr>
    </w:tbl>
    <w:p w14:paraId="3C341C7C" w14:textId="77777777" w:rsidR="0071333A" w:rsidRPr="005E3D50" w:rsidRDefault="0071333A" w:rsidP="00D21C0E">
      <w:pPr>
        <w:rPr>
          <w:rFonts w:ascii="Aptos" w:hAnsi="Aptos"/>
          <w:lang w:val="es-ES"/>
        </w:rPr>
      </w:pPr>
    </w:p>
    <w:p w14:paraId="2D7D1162" w14:textId="073F27FC" w:rsidR="00CE14D7" w:rsidRPr="005E3D50" w:rsidRDefault="004F5F5B" w:rsidP="00D21C0E">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2C84D367" w14:textId="77777777" w:rsidR="005B0B2D" w:rsidRPr="005E3D50" w:rsidRDefault="005B0B2D" w:rsidP="005B0B2D">
      <w:pPr>
        <w:pStyle w:val="FootnoteText"/>
        <w:rPr>
          <w:sz w:val="16"/>
          <w:szCs w:val="16"/>
          <w:lang w:val="es-ES"/>
        </w:rPr>
      </w:pPr>
      <w:proofErr w:type="gramStart"/>
      <w:r w:rsidRPr="005E3D50">
        <w:rPr>
          <w:vertAlign w:val="superscript"/>
          <w:lang w:val="es-ES"/>
        </w:rPr>
        <w:t>a</w:t>
      </w:r>
      <w:proofErr w:type="gramEnd"/>
      <w:r w:rsidRPr="005E3D50">
        <w:rPr>
          <w:lang w:val="es-ES"/>
        </w:rPr>
        <w:t xml:space="preserve"> </w:t>
      </w:r>
      <w:r w:rsidRPr="005E3D50">
        <w:rPr>
          <w:sz w:val="16"/>
          <w:szCs w:val="16"/>
          <w:lang w:val="es-ES"/>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23A282E8" w14:textId="77777777" w:rsidR="005B0B2D" w:rsidRPr="005E3D50" w:rsidRDefault="005B0B2D" w:rsidP="00D21C0E">
      <w:pPr>
        <w:rPr>
          <w:rFonts w:ascii="Aptos" w:hAnsi="Aptos"/>
          <w:sz w:val="16"/>
          <w:szCs w:val="16"/>
          <w:lang w:val="es-ES"/>
        </w:rPr>
      </w:pPr>
    </w:p>
    <w:p w14:paraId="7C318593" w14:textId="58BA9D3C" w:rsidR="00D21C0E" w:rsidRPr="005E3D50" w:rsidRDefault="00FE6792" w:rsidP="00FD29BE">
      <w:pPr>
        <w:rPr>
          <w:rFonts w:ascii="Aptos" w:hAnsi="Aptos"/>
          <w:lang w:val="es-ES"/>
        </w:rPr>
      </w:pPr>
      <w:r w:rsidRPr="005E3D50">
        <w:rPr>
          <w:lang w:val="es-ES"/>
        </w:rPr>
        <w:lastRenderedPageBreak/>
        <w:t xml:space="preserve">En sus respuestas a las preguntas relacionadas con el indicador binario 1.b, muchas Partes informaron que estaban en proceso de adoptar medidas para abordar la meta 1. Casi todas las Partes señalaron algún grado de planificación espacial que tiene en cuenta la biodiversidad e indicaron que utilizaban procesos participativos, pero menos de la mitad señalaron procesos participativos en los 3 ámbitos (zonas terrestres, aguas continentales y zonas marinas) (véase la figura 9). La escasa utilización del indicador de cabecera 1.1 no resulta sorprendente, dado que aún no se ha proporcionado una metodología acordada para este indicador (véase </w:t>
      </w:r>
      <w:hyperlink r:id="rId51" w:history="1">
        <w:r w:rsidRPr="005E3D50">
          <w:rPr>
            <w:rStyle w:val="Hyperlink"/>
            <w:lang w:val="es-ES"/>
          </w:rPr>
          <w:t>CBD/COP/16/INF/3/Rev.1</w:t>
        </w:r>
      </w:hyperlink>
      <w:r w:rsidRPr="005E3D50">
        <w:rPr>
          <w:lang w:val="es-ES"/>
        </w:rPr>
        <w:t>). Las Partes también señalaron la falta de una definición clara de planificación espacial que tenga en cuenta la biodiversidad y la limitada disponibilidad de datos (véase el cuadro 5). Muchos de los indicadores adicionales utilizados para las metas nacionales relacionadas estaban escasamente armonizados con la meta 1 y pocos de ellos abordaban si la planificación espacial estaba integrada o si estaba logrando que la pérdida de zonas de suma importancia para la biodiversidad, incluidos los ecosistemas de gran integridad ecológica, se acercara a cero para 2030. Sobre la base de los indicadores cuantitativos de cabecera, nacionales, de componentes y complementarios, las Partes enfrentan dificultades para hacer un seguimiento de todos los biomas a fin de evaluar plenamente esta meta (véase la figura 8).</w:t>
      </w:r>
    </w:p>
    <w:p w14:paraId="12DE56E2" w14:textId="2CCC0ADB" w:rsidR="00D21C0E" w:rsidRPr="005E3D50" w:rsidRDefault="00D21C0E" w:rsidP="00FD29BE">
      <w:pPr>
        <w:rPr>
          <w:lang w:val="es-ES"/>
        </w:rPr>
      </w:pPr>
      <w:r w:rsidRPr="005E3D50">
        <w:rPr>
          <w:lang w:val="es-ES"/>
        </w:rPr>
        <w:t xml:space="preserve">Dado que los indicadores de cabecera A.1 y A.2 también están relacionados con el seguimiento de los progresos hacia </w:t>
      </w:r>
      <w:r w:rsidR="002B5A67">
        <w:rPr>
          <w:lang w:val="es-ES"/>
        </w:rPr>
        <w:t>la consecución d</w:t>
      </w:r>
      <w:r w:rsidRPr="005E3D50">
        <w:rPr>
          <w:lang w:val="es-ES"/>
        </w:rPr>
        <w:t xml:space="preserve">el objetivo A del Marco, se tratan en la sección II.C del presente informe. </w:t>
      </w:r>
    </w:p>
    <w:p w14:paraId="163C83B3" w14:textId="054D3299" w:rsidR="0085499E" w:rsidRPr="005E3D50" w:rsidRDefault="00D176FF" w:rsidP="00D21C0E">
      <w:pPr>
        <w:keepNext/>
        <w:rPr>
          <w:rFonts w:ascii="Aptos" w:hAnsi="Aptos"/>
          <w:sz w:val="20"/>
          <w:szCs w:val="20"/>
          <w:lang w:val="es-ES"/>
        </w:rPr>
      </w:pPr>
      <w:r w:rsidRPr="005E3D50">
        <w:rPr>
          <w:rFonts w:ascii="Aptos" w:hAnsi="Aptos"/>
          <w:sz w:val="20"/>
          <w:szCs w:val="20"/>
          <w:lang w:val="es-ES"/>
        </w:rPr>
        <w:t>Figura 8</w:t>
      </w:r>
    </w:p>
    <w:p w14:paraId="1737F745" w14:textId="3158E593" w:rsidR="00D176FF" w:rsidRPr="005E3D50" w:rsidRDefault="00D176FF" w:rsidP="00D21C0E">
      <w:pPr>
        <w:keepNext/>
        <w:rPr>
          <w:rFonts w:ascii="Aptos" w:hAnsi="Aptos"/>
          <w:b/>
          <w:bCs/>
          <w:sz w:val="20"/>
          <w:szCs w:val="20"/>
          <w:lang w:val="es-ES"/>
        </w:rPr>
      </w:pPr>
      <w:r w:rsidRPr="005E3D50">
        <w:rPr>
          <w:rFonts w:ascii="Aptos" w:hAnsi="Aptos"/>
          <w:b/>
          <w:bCs/>
          <w:sz w:val="20"/>
          <w:szCs w:val="20"/>
          <w:lang w:val="es-ES"/>
        </w:rPr>
        <w:t>Porcentaje de todos los indicadores cuantitativos armonizados con la meta 1 del Marco que sugieren tendencias de mejora, estables y negativas, respectivamente</w:t>
      </w:r>
    </w:p>
    <w:p w14:paraId="1FB225CC" w14:textId="2370EF96" w:rsidR="00CF5FAD" w:rsidRPr="005E3D50" w:rsidRDefault="008372D2" w:rsidP="005A49DA">
      <w:pPr>
        <w:pStyle w:val="Caption"/>
        <w:rPr>
          <w:rFonts w:ascii="Aptos" w:hAnsi="Aptos"/>
          <w:lang w:val="es-ES"/>
        </w:rPr>
      </w:pPr>
      <w:bookmarkStart w:id="110" w:name="_Ref230450796"/>
      <w:r w:rsidRPr="005E3D50">
        <w:rPr>
          <w:rFonts w:ascii="Aptos" w:hAnsi="Aptos"/>
          <w:noProof/>
          <w:lang w:val="en-US" w:eastAsia="en-US"/>
        </w:rPr>
        <w:drawing>
          <wp:inline distT="0" distB="0" distL="0" distR="0" wp14:anchorId="56C1B7B3" wp14:editId="76C4B4B5">
            <wp:extent cx="5731510" cy="2456180"/>
            <wp:effectExtent l="0" t="0" r="0" b="0"/>
            <wp:docPr id="1774757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7396" name="Picture 177475739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0C45534" w14:textId="77777777" w:rsidR="006D55B8" w:rsidRPr="005E3D50" w:rsidRDefault="007E61C2" w:rsidP="006D55B8">
      <w:pPr>
        <w:pStyle w:val="Caption"/>
        <w:rPr>
          <w:rFonts w:ascii="Aptos" w:hAnsi="Aptos"/>
          <w:i w:val="0"/>
          <w:iCs w:val="0"/>
          <w:sz w:val="16"/>
          <w:szCs w:val="16"/>
          <w:lang w:val="es-ES"/>
        </w:rPr>
      </w:pPr>
      <w:r w:rsidRPr="005E3D50">
        <w:rPr>
          <w:rFonts w:ascii="Aptos" w:hAnsi="Aptos"/>
          <w:sz w:val="16"/>
          <w:szCs w:val="16"/>
          <w:lang w:val="es-ES"/>
        </w:rPr>
        <w:t>Nota:</w:t>
      </w:r>
      <w:r w:rsidRPr="005E3D50">
        <w:rPr>
          <w:rFonts w:ascii="Aptos" w:hAnsi="Aptos"/>
          <w:i w:val="0"/>
          <w:iCs w:val="0"/>
          <w:sz w:val="16"/>
          <w:szCs w:val="16"/>
          <w:lang w:val="es-ES"/>
        </w:rPr>
        <w:t xml:space="preserve"> Las proporciones están ponderadas por Parte. Las tendencias incluyen datos de 57 Partes, correspondientes a tres indicadores de cabecera de 52 Partes y 54 indicadores nacionales de 14 Partes. El gráfico circular muestra la distribución de las Partes que presentaron indicadores para la meta 1, por región. La definición de los colores de cada región se indica en la descripción de la figura: </w:t>
      </w:r>
      <w:r w:rsidRPr="005E3D50">
        <w:rPr>
          <w:rFonts w:ascii="Aptos" w:hAnsi="Aptos"/>
          <w:i w:val="0"/>
          <w:iCs w:val="0"/>
          <w:sz w:val="16"/>
          <w:szCs w:val="16"/>
          <w:lang w:val="es-ES"/>
        </w:rPr>
        <w:lastRenderedPageBreak/>
        <w:t>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6A0" w:firstRow="1" w:lastRow="0" w:firstColumn="1" w:lastColumn="0" w:noHBand="1" w:noVBand="1"/>
      </w:tblPr>
      <w:tblGrid>
        <w:gridCol w:w="4410"/>
        <w:gridCol w:w="4389"/>
      </w:tblGrid>
      <w:tr w:rsidR="00893C71" w:rsidRPr="00D10542" w14:paraId="11C76481" w14:textId="77777777" w:rsidTr="006A2F77">
        <w:tc>
          <w:tcPr>
            <w:tcW w:w="8799" w:type="dxa"/>
            <w:gridSpan w:val="2"/>
          </w:tcPr>
          <w:p w14:paraId="4123B444" w14:textId="372FE019" w:rsidR="00893C71" w:rsidRDefault="00893C71"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8</w:t>
            </w:r>
          </w:p>
        </w:tc>
      </w:tr>
      <w:tr w:rsidR="00893C71" w:rsidRPr="00D10542" w14:paraId="084ECB8F" w14:textId="77777777" w:rsidTr="00D10542">
        <w:tc>
          <w:tcPr>
            <w:tcW w:w="4410" w:type="dxa"/>
          </w:tcPr>
          <w:p w14:paraId="7999745B"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 xml:space="preserve">English </w:t>
            </w:r>
          </w:p>
        </w:tc>
        <w:tc>
          <w:tcPr>
            <w:tcW w:w="4389" w:type="dxa"/>
          </w:tcPr>
          <w:p w14:paraId="417388AA" w14:textId="5E7E0AEE" w:rsidR="00893C71" w:rsidRPr="00D10542" w:rsidRDefault="00893C71" w:rsidP="00B93410">
            <w:pPr>
              <w:rPr>
                <w:rFonts w:ascii="Aptos" w:hAnsi="Aptos"/>
                <w:sz w:val="18"/>
                <w:szCs w:val="18"/>
                <w:lang w:val="es-ES"/>
              </w:rPr>
            </w:pPr>
            <w:r>
              <w:rPr>
                <w:rFonts w:ascii="Aptos" w:eastAsia="Segoe UI" w:hAnsi="Aptos" w:cs="Segoe UI"/>
                <w:color w:val="0F1115"/>
                <w:sz w:val="18"/>
                <w:szCs w:val="18"/>
                <w:lang w:val="es-ES"/>
              </w:rPr>
              <w:t>Español</w:t>
            </w:r>
          </w:p>
        </w:tc>
      </w:tr>
      <w:tr w:rsidR="00893C71" w:rsidRPr="00D10542" w14:paraId="7642F78D" w14:textId="77777777" w:rsidTr="00D10542">
        <w:tc>
          <w:tcPr>
            <w:tcW w:w="4410" w:type="dxa"/>
          </w:tcPr>
          <w:p w14:paraId="672A264D" w14:textId="77777777" w:rsidR="00893C71" w:rsidRPr="00D10542" w:rsidRDefault="00893C71" w:rsidP="00B93410">
            <w:pPr>
              <w:rPr>
                <w:rFonts w:ascii="Aptos" w:hAnsi="Aptos"/>
                <w:sz w:val="18"/>
                <w:szCs w:val="18"/>
                <w:lang w:val="es-ES"/>
              </w:rPr>
            </w:pPr>
            <w:proofErr w:type="spellStart"/>
            <w:r w:rsidRPr="00D10542">
              <w:rPr>
                <w:rFonts w:ascii="Aptos" w:eastAsia="Segoe UI" w:hAnsi="Aptos" w:cs="Segoe UI"/>
                <w:color w:val="0F1115"/>
                <w:sz w:val="18"/>
                <w:szCs w:val="18"/>
                <w:lang w:val="es-ES"/>
              </w:rPr>
              <w:t>Region</w:t>
            </w:r>
            <w:proofErr w:type="spellEnd"/>
          </w:p>
        </w:tc>
        <w:tc>
          <w:tcPr>
            <w:tcW w:w="4389" w:type="dxa"/>
          </w:tcPr>
          <w:p w14:paraId="144A0232"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Región</w:t>
            </w:r>
          </w:p>
        </w:tc>
      </w:tr>
      <w:tr w:rsidR="00893C71" w:rsidRPr="00D10542" w14:paraId="1CA116EF" w14:textId="77777777" w:rsidTr="00D10542">
        <w:tc>
          <w:tcPr>
            <w:tcW w:w="4410" w:type="dxa"/>
          </w:tcPr>
          <w:p w14:paraId="196F6955"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African States</w:t>
            </w:r>
          </w:p>
        </w:tc>
        <w:tc>
          <w:tcPr>
            <w:tcW w:w="4389" w:type="dxa"/>
          </w:tcPr>
          <w:p w14:paraId="25CBF5CA"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Estados de África</w:t>
            </w:r>
          </w:p>
        </w:tc>
      </w:tr>
      <w:tr w:rsidR="00893C71" w:rsidRPr="00D10542" w14:paraId="6D4F2271" w14:textId="77777777" w:rsidTr="00D10542">
        <w:tc>
          <w:tcPr>
            <w:tcW w:w="4410" w:type="dxa"/>
          </w:tcPr>
          <w:p w14:paraId="028CA431"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Asia- Pacific States</w:t>
            </w:r>
          </w:p>
        </w:tc>
        <w:tc>
          <w:tcPr>
            <w:tcW w:w="4389" w:type="dxa"/>
          </w:tcPr>
          <w:p w14:paraId="13137A7F"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Estados de Asia y el Pacífico</w:t>
            </w:r>
          </w:p>
        </w:tc>
      </w:tr>
      <w:tr w:rsidR="00893C71" w:rsidRPr="00D10542" w14:paraId="20F706B3" w14:textId="77777777" w:rsidTr="00D10542">
        <w:tc>
          <w:tcPr>
            <w:tcW w:w="4410" w:type="dxa"/>
          </w:tcPr>
          <w:p w14:paraId="7F8D23BF" w14:textId="77777777" w:rsidR="00893C71" w:rsidRPr="00D10542" w:rsidRDefault="00893C71" w:rsidP="00B93410">
            <w:pPr>
              <w:rPr>
                <w:rFonts w:ascii="Aptos" w:hAnsi="Aptos"/>
                <w:sz w:val="18"/>
                <w:szCs w:val="18"/>
                <w:lang w:val="en-US"/>
              </w:rPr>
            </w:pPr>
            <w:r w:rsidRPr="00D10542">
              <w:rPr>
                <w:rFonts w:ascii="Aptos" w:eastAsia="Segoe UI" w:hAnsi="Aptos" w:cs="Segoe UI"/>
                <w:color w:val="0F1115"/>
                <w:sz w:val="18"/>
                <w:szCs w:val="18"/>
                <w:lang w:val="en-US"/>
              </w:rPr>
              <w:t>Latin American and Caribbean States</w:t>
            </w:r>
          </w:p>
        </w:tc>
        <w:tc>
          <w:tcPr>
            <w:tcW w:w="4389" w:type="dxa"/>
          </w:tcPr>
          <w:p w14:paraId="33BE2750"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Estados de América Latina y el Caribe</w:t>
            </w:r>
          </w:p>
        </w:tc>
      </w:tr>
      <w:tr w:rsidR="00893C71" w:rsidRPr="00D10542" w14:paraId="291325B2" w14:textId="77777777" w:rsidTr="00D10542">
        <w:tc>
          <w:tcPr>
            <w:tcW w:w="4410" w:type="dxa"/>
          </w:tcPr>
          <w:p w14:paraId="14200F40"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Eastern European States</w:t>
            </w:r>
          </w:p>
        </w:tc>
        <w:tc>
          <w:tcPr>
            <w:tcW w:w="4389" w:type="dxa"/>
          </w:tcPr>
          <w:p w14:paraId="7E3A992C"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Estados de Europa Oriental</w:t>
            </w:r>
          </w:p>
        </w:tc>
      </w:tr>
      <w:tr w:rsidR="00893C71" w:rsidRPr="00D10542" w14:paraId="3DB098C1" w14:textId="77777777" w:rsidTr="00D10542">
        <w:tc>
          <w:tcPr>
            <w:tcW w:w="4410" w:type="dxa"/>
          </w:tcPr>
          <w:p w14:paraId="5190FA5D" w14:textId="77777777" w:rsidR="00893C71" w:rsidRPr="00D10542" w:rsidRDefault="00893C71" w:rsidP="00B93410">
            <w:pPr>
              <w:rPr>
                <w:rFonts w:ascii="Aptos" w:hAnsi="Aptos"/>
                <w:sz w:val="18"/>
                <w:szCs w:val="18"/>
                <w:lang w:val="en-US"/>
              </w:rPr>
            </w:pPr>
            <w:r w:rsidRPr="00D10542">
              <w:rPr>
                <w:rFonts w:ascii="Aptos" w:eastAsia="Segoe UI" w:hAnsi="Aptos" w:cs="Segoe UI"/>
                <w:color w:val="0F1115"/>
                <w:sz w:val="18"/>
                <w:szCs w:val="18"/>
                <w:lang w:val="en-US"/>
              </w:rPr>
              <w:t>Western European and other States</w:t>
            </w:r>
          </w:p>
        </w:tc>
        <w:tc>
          <w:tcPr>
            <w:tcW w:w="4389" w:type="dxa"/>
          </w:tcPr>
          <w:p w14:paraId="1469E631"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Estados de Europa Occidental y otros Estados</w:t>
            </w:r>
          </w:p>
        </w:tc>
      </w:tr>
      <w:tr w:rsidR="00893C71" w:rsidRPr="00D10542" w14:paraId="7393C97D" w14:textId="77777777" w:rsidTr="00D10542">
        <w:tc>
          <w:tcPr>
            <w:tcW w:w="4410" w:type="dxa"/>
          </w:tcPr>
          <w:p w14:paraId="61B26B62"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0%</w:t>
            </w:r>
          </w:p>
        </w:tc>
        <w:tc>
          <w:tcPr>
            <w:tcW w:w="4389" w:type="dxa"/>
          </w:tcPr>
          <w:p w14:paraId="5DCBEEC4"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0 %</w:t>
            </w:r>
          </w:p>
        </w:tc>
      </w:tr>
      <w:tr w:rsidR="00893C71" w:rsidRPr="00D10542" w14:paraId="09E24FBE" w14:textId="77777777" w:rsidTr="00D10542">
        <w:tc>
          <w:tcPr>
            <w:tcW w:w="4410" w:type="dxa"/>
          </w:tcPr>
          <w:p w14:paraId="7C511EFC"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25%</w:t>
            </w:r>
          </w:p>
        </w:tc>
        <w:tc>
          <w:tcPr>
            <w:tcW w:w="4389" w:type="dxa"/>
          </w:tcPr>
          <w:p w14:paraId="002E438E"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25 %</w:t>
            </w:r>
          </w:p>
        </w:tc>
      </w:tr>
      <w:tr w:rsidR="00893C71" w:rsidRPr="00D10542" w14:paraId="23F5394D" w14:textId="77777777" w:rsidTr="00D10542">
        <w:tc>
          <w:tcPr>
            <w:tcW w:w="4410" w:type="dxa"/>
          </w:tcPr>
          <w:p w14:paraId="5E860733"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50%</w:t>
            </w:r>
          </w:p>
        </w:tc>
        <w:tc>
          <w:tcPr>
            <w:tcW w:w="4389" w:type="dxa"/>
          </w:tcPr>
          <w:p w14:paraId="0316FD04"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50 %</w:t>
            </w:r>
          </w:p>
        </w:tc>
      </w:tr>
      <w:tr w:rsidR="00893C71" w:rsidRPr="00D10542" w14:paraId="64BA334B" w14:textId="77777777" w:rsidTr="00D10542">
        <w:tc>
          <w:tcPr>
            <w:tcW w:w="4410" w:type="dxa"/>
          </w:tcPr>
          <w:p w14:paraId="5F1F4ED3"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75%</w:t>
            </w:r>
          </w:p>
        </w:tc>
        <w:tc>
          <w:tcPr>
            <w:tcW w:w="4389" w:type="dxa"/>
          </w:tcPr>
          <w:p w14:paraId="1215ADD3"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75 %</w:t>
            </w:r>
          </w:p>
        </w:tc>
      </w:tr>
      <w:tr w:rsidR="00893C71" w:rsidRPr="00D10542" w14:paraId="388A9424" w14:textId="77777777" w:rsidTr="00D10542">
        <w:tc>
          <w:tcPr>
            <w:tcW w:w="4410" w:type="dxa"/>
          </w:tcPr>
          <w:p w14:paraId="2471DCDE"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100%</w:t>
            </w:r>
          </w:p>
        </w:tc>
        <w:tc>
          <w:tcPr>
            <w:tcW w:w="4389" w:type="dxa"/>
          </w:tcPr>
          <w:p w14:paraId="5FB186BB"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100 %</w:t>
            </w:r>
          </w:p>
        </w:tc>
      </w:tr>
      <w:tr w:rsidR="00893C71" w:rsidRPr="00D10542" w14:paraId="3F7B4AC3" w14:textId="77777777" w:rsidTr="00D10542">
        <w:tc>
          <w:tcPr>
            <w:tcW w:w="4410" w:type="dxa"/>
          </w:tcPr>
          <w:p w14:paraId="4764340A" w14:textId="77777777" w:rsidR="00893C71" w:rsidRPr="00D10542" w:rsidRDefault="00893C71" w:rsidP="00B93410">
            <w:pPr>
              <w:rPr>
                <w:rFonts w:ascii="Aptos" w:hAnsi="Aptos"/>
                <w:sz w:val="18"/>
                <w:szCs w:val="18"/>
                <w:lang w:val="es-ES"/>
              </w:rPr>
            </w:pPr>
            <w:proofErr w:type="spellStart"/>
            <w:r w:rsidRPr="00D10542">
              <w:rPr>
                <w:rFonts w:ascii="Aptos" w:eastAsia="Segoe UI" w:hAnsi="Aptos" w:cs="Segoe UI"/>
                <w:color w:val="0F1115"/>
                <w:sz w:val="18"/>
                <w:szCs w:val="18"/>
                <w:lang w:val="es-ES"/>
              </w:rPr>
              <w:t>Proportion</w:t>
            </w:r>
            <w:proofErr w:type="spellEnd"/>
          </w:p>
        </w:tc>
        <w:tc>
          <w:tcPr>
            <w:tcW w:w="4389" w:type="dxa"/>
          </w:tcPr>
          <w:p w14:paraId="4442531D"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Proporción</w:t>
            </w:r>
          </w:p>
        </w:tc>
      </w:tr>
      <w:tr w:rsidR="00893C71" w:rsidRPr="00D10542" w14:paraId="2270750A" w14:textId="77777777" w:rsidTr="00D10542">
        <w:tc>
          <w:tcPr>
            <w:tcW w:w="4410" w:type="dxa"/>
          </w:tcPr>
          <w:p w14:paraId="4DA6F092"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 xml:space="preserve">Current </w:t>
            </w:r>
            <w:proofErr w:type="gramStart"/>
            <w:r w:rsidRPr="00D10542">
              <w:rPr>
                <w:rFonts w:ascii="Aptos" w:eastAsia="Segoe UI" w:hAnsi="Aptos" w:cs="Segoe UI"/>
                <w:color w:val="0F1115"/>
                <w:sz w:val="18"/>
                <w:szCs w:val="18"/>
                <w:lang w:val="es-ES"/>
              </w:rPr>
              <w:t>Status</w:t>
            </w:r>
            <w:proofErr w:type="gramEnd"/>
          </w:p>
        </w:tc>
        <w:tc>
          <w:tcPr>
            <w:tcW w:w="4389" w:type="dxa"/>
          </w:tcPr>
          <w:p w14:paraId="0FF41904"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Estado actual</w:t>
            </w:r>
          </w:p>
        </w:tc>
      </w:tr>
      <w:tr w:rsidR="00893C71" w:rsidRPr="00D10542" w14:paraId="1238B209" w14:textId="77777777" w:rsidTr="00D10542">
        <w:tc>
          <w:tcPr>
            <w:tcW w:w="4410" w:type="dxa"/>
          </w:tcPr>
          <w:p w14:paraId="6713A0DC" w14:textId="77777777" w:rsidR="00893C71" w:rsidRPr="00D10542" w:rsidRDefault="00893C71" w:rsidP="00B93410">
            <w:pPr>
              <w:rPr>
                <w:rFonts w:ascii="Aptos" w:hAnsi="Aptos"/>
                <w:sz w:val="18"/>
                <w:szCs w:val="18"/>
                <w:lang w:val="es-ES"/>
              </w:rPr>
            </w:pPr>
            <w:proofErr w:type="spellStart"/>
            <w:r w:rsidRPr="00D10542">
              <w:rPr>
                <w:rFonts w:ascii="Aptos" w:eastAsia="Segoe UI" w:hAnsi="Aptos" w:cs="Segoe UI"/>
                <w:color w:val="0F1115"/>
                <w:sz w:val="18"/>
                <w:szCs w:val="18"/>
                <w:lang w:val="es-ES"/>
              </w:rPr>
              <w:t>improving</w:t>
            </w:r>
            <w:proofErr w:type="spellEnd"/>
          </w:p>
        </w:tc>
        <w:tc>
          <w:tcPr>
            <w:tcW w:w="4389" w:type="dxa"/>
          </w:tcPr>
          <w:p w14:paraId="118ABB1B"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mejorando</w:t>
            </w:r>
          </w:p>
        </w:tc>
      </w:tr>
      <w:tr w:rsidR="00893C71" w:rsidRPr="00D10542" w14:paraId="748868D5" w14:textId="77777777" w:rsidTr="00D10542">
        <w:tc>
          <w:tcPr>
            <w:tcW w:w="4410" w:type="dxa"/>
          </w:tcPr>
          <w:p w14:paraId="7C38F7B8" w14:textId="77777777" w:rsidR="00893C71" w:rsidRPr="00D10542" w:rsidRDefault="00893C71" w:rsidP="00B93410">
            <w:pPr>
              <w:rPr>
                <w:rFonts w:ascii="Aptos" w:hAnsi="Aptos"/>
                <w:sz w:val="18"/>
                <w:szCs w:val="18"/>
                <w:lang w:val="es-ES"/>
              </w:rPr>
            </w:pPr>
            <w:proofErr w:type="spellStart"/>
            <w:r w:rsidRPr="00D10542">
              <w:rPr>
                <w:rFonts w:ascii="Aptos" w:eastAsia="Segoe UI" w:hAnsi="Aptos" w:cs="Segoe UI"/>
                <w:color w:val="0F1115"/>
                <w:sz w:val="18"/>
                <w:szCs w:val="18"/>
                <w:lang w:val="es-ES"/>
              </w:rPr>
              <w:t>stable</w:t>
            </w:r>
            <w:proofErr w:type="spellEnd"/>
          </w:p>
        </w:tc>
        <w:tc>
          <w:tcPr>
            <w:tcW w:w="4389" w:type="dxa"/>
          </w:tcPr>
          <w:p w14:paraId="5B876707"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estable</w:t>
            </w:r>
          </w:p>
        </w:tc>
      </w:tr>
      <w:tr w:rsidR="00893C71" w:rsidRPr="00D10542" w14:paraId="376E08AC" w14:textId="77777777" w:rsidTr="00D10542">
        <w:tc>
          <w:tcPr>
            <w:tcW w:w="4410" w:type="dxa"/>
          </w:tcPr>
          <w:p w14:paraId="6F2744AB" w14:textId="77777777" w:rsidR="00893C71" w:rsidRPr="00D10542" w:rsidRDefault="00893C71" w:rsidP="00B93410">
            <w:pPr>
              <w:rPr>
                <w:rFonts w:ascii="Aptos" w:hAnsi="Aptos"/>
                <w:sz w:val="18"/>
                <w:szCs w:val="18"/>
                <w:lang w:val="es-ES"/>
              </w:rPr>
            </w:pPr>
            <w:proofErr w:type="spellStart"/>
            <w:r w:rsidRPr="00D10542">
              <w:rPr>
                <w:rFonts w:ascii="Aptos" w:eastAsia="Segoe UI" w:hAnsi="Aptos" w:cs="Segoe UI"/>
                <w:color w:val="0F1115"/>
                <w:sz w:val="18"/>
                <w:szCs w:val="18"/>
                <w:lang w:val="es-ES"/>
              </w:rPr>
              <w:t>moving</w:t>
            </w:r>
            <w:proofErr w:type="spellEnd"/>
            <w:r w:rsidRPr="00D10542">
              <w:rPr>
                <w:rFonts w:ascii="Aptos" w:eastAsia="Segoe UI" w:hAnsi="Aptos" w:cs="Segoe UI"/>
                <w:color w:val="0F1115"/>
                <w:sz w:val="18"/>
                <w:szCs w:val="18"/>
                <w:lang w:val="es-ES"/>
              </w:rPr>
              <w:t xml:space="preserve"> </w:t>
            </w:r>
            <w:proofErr w:type="spellStart"/>
            <w:r w:rsidRPr="00D10542">
              <w:rPr>
                <w:rFonts w:ascii="Aptos" w:eastAsia="Segoe UI" w:hAnsi="Aptos" w:cs="Segoe UI"/>
                <w:color w:val="0F1115"/>
                <w:sz w:val="18"/>
                <w:szCs w:val="18"/>
                <w:lang w:val="es-ES"/>
              </w:rPr>
              <w:t>away</w:t>
            </w:r>
            <w:proofErr w:type="spellEnd"/>
          </w:p>
        </w:tc>
        <w:tc>
          <w:tcPr>
            <w:tcW w:w="4389" w:type="dxa"/>
          </w:tcPr>
          <w:p w14:paraId="726568AF" w14:textId="77777777" w:rsidR="00893C71" w:rsidRPr="00D10542" w:rsidRDefault="00893C71" w:rsidP="00B93410">
            <w:pPr>
              <w:rPr>
                <w:rFonts w:ascii="Aptos" w:hAnsi="Aptos"/>
                <w:sz w:val="18"/>
                <w:szCs w:val="18"/>
                <w:lang w:val="es-ES"/>
              </w:rPr>
            </w:pPr>
            <w:r w:rsidRPr="00D10542">
              <w:rPr>
                <w:rFonts w:ascii="Aptos" w:hAnsi="Aptos"/>
                <w:color w:val="0F1115"/>
                <w:sz w:val="18"/>
                <w:szCs w:val="18"/>
                <w:lang w:val="es-ES"/>
              </w:rPr>
              <w:t>alejándose</w:t>
            </w:r>
          </w:p>
        </w:tc>
      </w:tr>
      <w:tr w:rsidR="00893C71" w:rsidRPr="00D10542" w14:paraId="5F5B0CF9" w14:textId="77777777" w:rsidTr="00D10542">
        <w:tc>
          <w:tcPr>
            <w:tcW w:w="4410" w:type="dxa"/>
          </w:tcPr>
          <w:p w14:paraId="6A4DCAEE" w14:textId="77777777" w:rsidR="00893C71" w:rsidRPr="00D10542" w:rsidRDefault="00893C71" w:rsidP="00B93410">
            <w:pPr>
              <w:rPr>
                <w:rFonts w:ascii="Aptos" w:hAnsi="Aptos"/>
                <w:sz w:val="18"/>
                <w:szCs w:val="18"/>
                <w:lang w:val="es-ES"/>
              </w:rPr>
            </w:pPr>
            <w:r w:rsidRPr="00D10542">
              <w:rPr>
                <w:rFonts w:ascii="Aptos" w:eastAsia="Segoe UI" w:hAnsi="Aptos" w:cs="Segoe UI"/>
                <w:color w:val="0F1115"/>
                <w:sz w:val="18"/>
                <w:szCs w:val="18"/>
                <w:lang w:val="es-ES"/>
              </w:rPr>
              <w:t xml:space="preserve">Party </w:t>
            </w:r>
            <w:proofErr w:type="spellStart"/>
            <w:r w:rsidRPr="00D10542">
              <w:rPr>
                <w:rFonts w:ascii="Aptos" w:eastAsia="Segoe UI" w:hAnsi="Aptos" w:cs="Segoe UI"/>
                <w:color w:val="0F1115"/>
                <w:sz w:val="18"/>
                <w:szCs w:val="18"/>
                <w:lang w:val="es-ES"/>
              </w:rPr>
              <w:t>count</w:t>
            </w:r>
            <w:proofErr w:type="spellEnd"/>
            <w:r w:rsidRPr="00D10542">
              <w:rPr>
                <w:rFonts w:ascii="Aptos" w:eastAsia="Segoe UI" w:hAnsi="Aptos" w:cs="Segoe UI"/>
                <w:color w:val="0F1115"/>
                <w:sz w:val="18"/>
                <w:szCs w:val="18"/>
                <w:lang w:val="es-ES"/>
              </w:rPr>
              <w:t>: 57</w:t>
            </w:r>
          </w:p>
        </w:tc>
        <w:tc>
          <w:tcPr>
            <w:tcW w:w="4389" w:type="dxa"/>
          </w:tcPr>
          <w:p w14:paraId="0FB9A0D0" w14:textId="77777777" w:rsidR="00893C71" w:rsidRPr="00D10542" w:rsidRDefault="00893C71" w:rsidP="00B93410">
            <w:pPr>
              <w:rPr>
                <w:rFonts w:ascii="Aptos" w:eastAsia="Segoe UI" w:hAnsi="Aptos" w:cs="Segoe UI"/>
                <w:color w:val="0F1115"/>
                <w:sz w:val="18"/>
                <w:szCs w:val="18"/>
                <w:lang w:val="es-ES"/>
              </w:rPr>
            </w:pPr>
            <w:r w:rsidRPr="00D10542">
              <w:rPr>
                <w:rFonts w:ascii="Aptos" w:hAnsi="Aptos"/>
                <w:color w:val="0F1115"/>
                <w:sz w:val="18"/>
                <w:szCs w:val="18"/>
                <w:lang w:val="es-ES"/>
              </w:rPr>
              <w:t>Número de Partes: 57</w:t>
            </w:r>
          </w:p>
        </w:tc>
      </w:tr>
    </w:tbl>
    <w:p w14:paraId="3FBF34D1" w14:textId="77777777" w:rsidR="00411F7B" w:rsidRPr="005E3D50" w:rsidRDefault="00411F7B" w:rsidP="00E53D1A">
      <w:pPr>
        <w:rPr>
          <w:lang w:val="es-ES" w:eastAsia="ja-JP"/>
        </w:rPr>
      </w:pPr>
    </w:p>
    <w:bookmarkEnd w:id="110"/>
    <w:p w14:paraId="18C7C26A" w14:textId="31B4427E" w:rsidR="00264C9A" w:rsidRPr="005E3D50" w:rsidRDefault="00D21C0E" w:rsidP="00981A68">
      <w:pPr>
        <w:rPr>
          <w:rFonts w:ascii="Aptos" w:hAnsi="Aptos"/>
          <w:sz w:val="20"/>
          <w:szCs w:val="20"/>
          <w:lang w:val="es-ES"/>
        </w:rPr>
      </w:pPr>
      <w:r w:rsidRPr="005E3D50">
        <w:rPr>
          <w:rFonts w:ascii="Aptos" w:hAnsi="Aptos"/>
          <w:sz w:val="20"/>
          <w:szCs w:val="20"/>
          <w:lang w:val="es-ES"/>
        </w:rPr>
        <w:t>Figura 9</w:t>
      </w:r>
    </w:p>
    <w:p w14:paraId="20028C46" w14:textId="5BCB13E9" w:rsidR="00981A68" w:rsidRPr="005E3D50" w:rsidRDefault="00981A68" w:rsidP="00981A68">
      <w:pPr>
        <w:rPr>
          <w:rFonts w:ascii="Aptos" w:hAnsi="Aptos"/>
          <w:sz w:val="20"/>
          <w:szCs w:val="20"/>
          <w:lang w:val="es-ES"/>
        </w:rPr>
      </w:pPr>
      <w:r w:rsidRPr="005E3D50">
        <w:rPr>
          <w:rFonts w:ascii="Aptos" w:hAnsi="Aptos"/>
          <w:b/>
          <w:bCs/>
          <w:sz w:val="20"/>
          <w:szCs w:val="20"/>
          <w:lang w:val="es-ES"/>
        </w:rPr>
        <w:t>Indicador binario 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p w14:paraId="349B1B52" w14:textId="77777777" w:rsidR="00981A68" w:rsidRPr="005E3D50" w:rsidRDefault="00981A68" w:rsidP="00E53D1A">
      <w:pPr>
        <w:rPr>
          <w:lang w:val="es-ES"/>
        </w:rPr>
      </w:pPr>
      <w:bookmarkStart w:id="111" w:name="_Ref230979335"/>
    </w:p>
    <w:p w14:paraId="5F233918" w14:textId="18DEAC2E" w:rsidR="00CF5FAD" w:rsidRPr="005E3D50" w:rsidRDefault="00CA50AF" w:rsidP="005A49DA">
      <w:pPr>
        <w:pStyle w:val="Caption"/>
        <w:rPr>
          <w:rFonts w:ascii="Aptos" w:hAnsi="Aptos"/>
          <w:lang w:val="es-ES"/>
        </w:rPr>
      </w:pPr>
      <w:r w:rsidRPr="005E3D50">
        <w:rPr>
          <w:rFonts w:ascii="Aptos" w:hAnsi="Aptos"/>
          <w:noProof/>
          <w:lang w:val="en-US" w:eastAsia="en-US"/>
        </w:rPr>
        <w:drawing>
          <wp:inline distT="0" distB="0" distL="0" distR="0" wp14:anchorId="6F6B2D73" wp14:editId="7703A459">
            <wp:extent cx="5943600" cy="2264410"/>
            <wp:effectExtent l="0" t="0" r="0" b="0"/>
            <wp:docPr id="7366858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85847" name="Picture 73668584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111"/>
    <w:p w14:paraId="46F15E9E" w14:textId="5FE6B988" w:rsidR="00AE6AD7" w:rsidRPr="005E3D50" w:rsidRDefault="00027525" w:rsidP="00AE6AD7">
      <w:pPr>
        <w:pStyle w:val="Caption"/>
        <w:rPr>
          <w:rFonts w:ascii="Aptos" w:hAnsi="Aptos"/>
          <w:i w:val="0"/>
          <w:iCs w:val="0"/>
          <w:lang w:val="es-ES"/>
        </w:rPr>
      </w:pPr>
      <w:r w:rsidRPr="005E3D50">
        <w:rPr>
          <w:rFonts w:ascii="Aptos" w:hAnsi="Aptos"/>
          <w:lang w:val="es-ES"/>
        </w:rPr>
        <w:t xml:space="preserve">Nota: </w:t>
      </w:r>
      <w:r w:rsidRPr="005E3D50">
        <w:rPr>
          <w:rFonts w:ascii="Aptos" w:hAnsi="Aptos"/>
          <w:i w:val="0"/>
          <w:iCs w:val="0"/>
          <w:lang w:val="es-ES"/>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hAnsi="Aptos"/>
          <w:i w:val="0"/>
          <w:iCs w:val="0"/>
          <w:lang w:val="es-ES"/>
        </w:rPr>
        <w:t>progresos</w:t>
      </w:r>
      <w:r w:rsidRPr="005E3D50">
        <w:rPr>
          <w:rFonts w:ascii="Aptos" w:hAnsi="Aptos"/>
          <w:i w:val="0"/>
          <w:iCs w:val="0"/>
          <w:vertAlign w:val="superscript"/>
          <w:lang w:val="es-ES"/>
        </w:rPr>
        <w:t>a</w:t>
      </w:r>
      <w:proofErr w:type="spellEnd"/>
      <w:r w:rsidRPr="005E3D50">
        <w:rPr>
          <w:rFonts w:ascii="Aptos" w:hAnsi="Aptos"/>
          <w:i w:val="0"/>
          <w:iCs w:val="0"/>
          <w:lang w:val="es-ES"/>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366F76D2" w14:textId="0A2EE968" w:rsidR="00FD29BE" w:rsidRDefault="0028016E" w:rsidP="00AE6AD7">
      <w:pPr>
        <w:pStyle w:val="Caption"/>
        <w:rPr>
          <w:i w:val="0"/>
          <w:iCs w:val="0"/>
          <w:lang w:val="es-ES"/>
        </w:rPr>
      </w:pPr>
      <w:r w:rsidRPr="005E3D50">
        <w:rPr>
          <w:i w:val="0"/>
          <w:iCs w:val="0"/>
          <w:vertAlign w:val="superscript"/>
          <w:lang w:val="es-ES"/>
        </w:rPr>
        <w:lastRenderedPageBreak/>
        <w:t xml:space="preserve">a </w:t>
      </w:r>
      <w:r w:rsidRPr="005E3D50">
        <w:rPr>
          <w:i w:val="0"/>
          <w:iCs w:val="0"/>
          <w:lang w:val="es-ES"/>
        </w:rPr>
        <w:t xml:space="preserve">La metodología empleada para calcular los niveles de puntuación para cada indicador binario, así como las preguntas incluidas para cada indicador, figuran en el documento </w:t>
      </w:r>
      <w:hyperlink r:id="rId54" w:history="1">
        <w:r w:rsidRPr="005E3D50">
          <w:rPr>
            <w:rStyle w:val="Hyperlink"/>
            <w:i w:val="0"/>
            <w:iCs w:val="0"/>
            <w:lang w:val="es-ES"/>
          </w:rPr>
          <w:t>CBD/COP/16/INF/3/Rev.1</w:t>
        </w:r>
      </w:hyperlink>
      <w:r w:rsidRPr="005E3D50">
        <w:rPr>
          <w:i w:val="0"/>
          <w:iCs w:val="0"/>
          <w:lang w:val="es-ES"/>
        </w:rPr>
        <w:t>.</w:t>
      </w:r>
    </w:p>
    <w:tbl>
      <w:tblPr>
        <w:tblStyle w:val="TableGrid"/>
        <w:tblW w:w="8711" w:type="dxa"/>
        <w:tblLook w:val="06A0" w:firstRow="1" w:lastRow="0" w:firstColumn="1" w:lastColumn="0" w:noHBand="1" w:noVBand="1"/>
      </w:tblPr>
      <w:tblGrid>
        <w:gridCol w:w="4230"/>
        <w:gridCol w:w="4481"/>
      </w:tblGrid>
      <w:tr w:rsidR="00893C71" w:rsidRPr="0060086B" w14:paraId="03B4E9BC" w14:textId="77777777" w:rsidTr="00CE1ACB">
        <w:tc>
          <w:tcPr>
            <w:tcW w:w="8711" w:type="dxa"/>
            <w:gridSpan w:val="2"/>
          </w:tcPr>
          <w:p w14:paraId="40F4A042" w14:textId="6AA53E24" w:rsidR="00893C71" w:rsidRDefault="00893C71"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9</w:t>
            </w:r>
          </w:p>
        </w:tc>
      </w:tr>
      <w:tr w:rsidR="00893C71" w:rsidRPr="0060086B" w14:paraId="4BAC8D80" w14:textId="77777777" w:rsidTr="00893C71">
        <w:tc>
          <w:tcPr>
            <w:tcW w:w="4230" w:type="dxa"/>
          </w:tcPr>
          <w:p w14:paraId="29015CBF"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 xml:space="preserve">English </w:t>
            </w:r>
          </w:p>
        </w:tc>
        <w:tc>
          <w:tcPr>
            <w:tcW w:w="4481" w:type="dxa"/>
          </w:tcPr>
          <w:p w14:paraId="25C32D46" w14:textId="6509B9BC" w:rsidR="00893C71" w:rsidRPr="0060086B" w:rsidRDefault="00893C71" w:rsidP="00B93410">
            <w:pPr>
              <w:rPr>
                <w:rFonts w:ascii="Aptos" w:hAnsi="Aptos"/>
                <w:sz w:val="18"/>
                <w:szCs w:val="18"/>
                <w:lang w:val="es-ES"/>
              </w:rPr>
            </w:pPr>
            <w:r>
              <w:rPr>
                <w:rFonts w:ascii="Aptos" w:eastAsia="Segoe UI" w:hAnsi="Aptos" w:cs="Segoe UI"/>
                <w:color w:val="0F1115"/>
                <w:sz w:val="18"/>
                <w:szCs w:val="18"/>
                <w:lang w:val="es-ES"/>
              </w:rPr>
              <w:t>Español</w:t>
            </w:r>
          </w:p>
        </w:tc>
      </w:tr>
      <w:tr w:rsidR="00893C71" w:rsidRPr="0060086B" w14:paraId="658E7975" w14:textId="77777777" w:rsidTr="00893C71">
        <w:tc>
          <w:tcPr>
            <w:tcW w:w="4230" w:type="dxa"/>
          </w:tcPr>
          <w:p w14:paraId="3539B147" w14:textId="77777777" w:rsidR="00893C71" w:rsidRPr="0060086B" w:rsidRDefault="00893C71" w:rsidP="00B93410">
            <w:pPr>
              <w:rPr>
                <w:rFonts w:ascii="Aptos" w:hAnsi="Aptos"/>
                <w:sz w:val="18"/>
                <w:szCs w:val="18"/>
                <w:lang w:val="es-ES"/>
              </w:rPr>
            </w:pPr>
            <w:proofErr w:type="spellStart"/>
            <w:r w:rsidRPr="0060086B">
              <w:rPr>
                <w:rFonts w:ascii="Aptos" w:eastAsia="Segoe UI" w:hAnsi="Aptos" w:cs="Segoe UI"/>
                <w:color w:val="0F1115"/>
                <w:sz w:val="18"/>
                <w:szCs w:val="18"/>
                <w:lang w:val="es-ES"/>
              </w:rPr>
              <w:t>Region</w:t>
            </w:r>
            <w:proofErr w:type="spellEnd"/>
          </w:p>
        </w:tc>
        <w:tc>
          <w:tcPr>
            <w:tcW w:w="4481" w:type="dxa"/>
          </w:tcPr>
          <w:p w14:paraId="4F0A9F4F"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Región</w:t>
            </w:r>
          </w:p>
        </w:tc>
      </w:tr>
      <w:tr w:rsidR="00893C71" w:rsidRPr="0060086B" w14:paraId="63C2C83D" w14:textId="77777777" w:rsidTr="00893C71">
        <w:tc>
          <w:tcPr>
            <w:tcW w:w="4230" w:type="dxa"/>
          </w:tcPr>
          <w:p w14:paraId="2BAAD397"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African States</w:t>
            </w:r>
          </w:p>
        </w:tc>
        <w:tc>
          <w:tcPr>
            <w:tcW w:w="4481" w:type="dxa"/>
          </w:tcPr>
          <w:p w14:paraId="2D1D9AA7"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Estados de África</w:t>
            </w:r>
          </w:p>
        </w:tc>
      </w:tr>
      <w:tr w:rsidR="00893C71" w:rsidRPr="0060086B" w14:paraId="70A9DDE0" w14:textId="77777777" w:rsidTr="00893C71">
        <w:tc>
          <w:tcPr>
            <w:tcW w:w="4230" w:type="dxa"/>
          </w:tcPr>
          <w:p w14:paraId="148523ED"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Asia-Pacific States</w:t>
            </w:r>
          </w:p>
        </w:tc>
        <w:tc>
          <w:tcPr>
            <w:tcW w:w="4481" w:type="dxa"/>
          </w:tcPr>
          <w:p w14:paraId="0F7E059C"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Estados de Asia y el Pacífico</w:t>
            </w:r>
          </w:p>
        </w:tc>
      </w:tr>
      <w:tr w:rsidR="00893C71" w:rsidRPr="0060086B" w14:paraId="26539F17" w14:textId="77777777" w:rsidTr="00893C71">
        <w:tc>
          <w:tcPr>
            <w:tcW w:w="4230" w:type="dxa"/>
          </w:tcPr>
          <w:p w14:paraId="26126664" w14:textId="77777777" w:rsidR="00893C71" w:rsidRPr="0060086B" w:rsidRDefault="00893C71" w:rsidP="00B93410">
            <w:pPr>
              <w:rPr>
                <w:rFonts w:ascii="Aptos" w:hAnsi="Aptos"/>
                <w:sz w:val="18"/>
                <w:szCs w:val="18"/>
                <w:lang w:val="en-US"/>
              </w:rPr>
            </w:pPr>
            <w:r w:rsidRPr="0060086B">
              <w:rPr>
                <w:rFonts w:ascii="Aptos" w:eastAsia="Segoe UI" w:hAnsi="Aptos" w:cs="Segoe UI"/>
                <w:color w:val="0F1115"/>
                <w:sz w:val="18"/>
                <w:szCs w:val="18"/>
                <w:lang w:val="en-US"/>
              </w:rPr>
              <w:t>Latin American and Caribbean States</w:t>
            </w:r>
          </w:p>
        </w:tc>
        <w:tc>
          <w:tcPr>
            <w:tcW w:w="4481" w:type="dxa"/>
          </w:tcPr>
          <w:p w14:paraId="060C70E4"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Estados de América Latina y el Caribe</w:t>
            </w:r>
          </w:p>
        </w:tc>
      </w:tr>
      <w:tr w:rsidR="00893C71" w:rsidRPr="0060086B" w14:paraId="0D76691A" w14:textId="77777777" w:rsidTr="00893C71">
        <w:tc>
          <w:tcPr>
            <w:tcW w:w="4230" w:type="dxa"/>
          </w:tcPr>
          <w:p w14:paraId="4D4D85A0"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Eastern European States</w:t>
            </w:r>
          </w:p>
        </w:tc>
        <w:tc>
          <w:tcPr>
            <w:tcW w:w="4481" w:type="dxa"/>
          </w:tcPr>
          <w:p w14:paraId="210D11F3"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Estados de Europa Oriental</w:t>
            </w:r>
          </w:p>
        </w:tc>
      </w:tr>
      <w:tr w:rsidR="00893C71" w:rsidRPr="0060086B" w14:paraId="1F05485C" w14:textId="77777777" w:rsidTr="00893C71">
        <w:tc>
          <w:tcPr>
            <w:tcW w:w="4230" w:type="dxa"/>
          </w:tcPr>
          <w:p w14:paraId="3D4A4121" w14:textId="77777777" w:rsidR="00893C71" w:rsidRPr="0060086B" w:rsidRDefault="00893C71" w:rsidP="00B93410">
            <w:pPr>
              <w:rPr>
                <w:rFonts w:ascii="Aptos" w:hAnsi="Aptos"/>
                <w:sz w:val="18"/>
                <w:szCs w:val="18"/>
                <w:lang w:val="en-US"/>
              </w:rPr>
            </w:pPr>
            <w:r w:rsidRPr="0060086B">
              <w:rPr>
                <w:rFonts w:ascii="Aptos" w:eastAsia="Segoe UI" w:hAnsi="Aptos" w:cs="Segoe UI"/>
                <w:color w:val="0F1115"/>
                <w:sz w:val="18"/>
                <w:szCs w:val="18"/>
                <w:lang w:val="en-US"/>
              </w:rPr>
              <w:t>Western European and other States</w:t>
            </w:r>
          </w:p>
        </w:tc>
        <w:tc>
          <w:tcPr>
            <w:tcW w:w="4481" w:type="dxa"/>
          </w:tcPr>
          <w:p w14:paraId="7F028716"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Estados de Europa Occidental y otros Estados</w:t>
            </w:r>
          </w:p>
        </w:tc>
      </w:tr>
      <w:tr w:rsidR="00893C71" w:rsidRPr="0060086B" w14:paraId="4390BBD3" w14:textId="77777777" w:rsidTr="00893C71">
        <w:tc>
          <w:tcPr>
            <w:tcW w:w="4230" w:type="dxa"/>
          </w:tcPr>
          <w:p w14:paraId="6040E6A6"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0%</w:t>
            </w:r>
          </w:p>
        </w:tc>
        <w:tc>
          <w:tcPr>
            <w:tcW w:w="4481" w:type="dxa"/>
          </w:tcPr>
          <w:p w14:paraId="133DC3E4"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0 %</w:t>
            </w:r>
          </w:p>
        </w:tc>
      </w:tr>
      <w:tr w:rsidR="00893C71" w:rsidRPr="0060086B" w14:paraId="50A3DA89" w14:textId="77777777" w:rsidTr="00893C71">
        <w:tc>
          <w:tcPr>
            <w:tcW w:w="4230" w:type="dxa"/>
          </w:tcPr>
          <w:p w14:paraId="7D6D799A"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25%</w:t>
            </w:r>
          </w:p>
        </w:tc>
        <w:tc>
          <w:tcPr>
            <w:tcW w:w="4481" w:type="dxa"/>
          </w:tcPr>
          <w:p w14:paraId="25A89D36"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25 %</w:t>
            </w:r>
          </w:p>
        </w:tc>
      </w:tr>
      <w:tr w:rsidR="00893C71" w:rsidRPr="0060086B" w14:paraId="36E0EA56" w14:textId="77777777" w:rsidTr="00893C71">
        <w:tc>
          <w:tcPr>
            <w:tcW w:w="4230" w:type="dxa"/>
          </w:tcPr>
          <w:p w14:paraId="5B9B5E50"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50%</w:t>
            </w:r>
          </w:p>
        </w:tc>
        <w:tc>
          <w:tcPr>
            <w:tcW w:w="4481" w:type="dxa"/>
          </w:tcPr>
          <w:p w14:paraId="0F5E7CA8"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50 %</w:t>
            </w:r>
          </w:p>
        </w:tc>
      </w:tr>
      <w:tr w:rsidR="00893C71" w:rsidRPr="0060086B" w14:paraId="745A0169" w14:textId="77777777" w:rsidTr="00893C71">
        <w:tc>
          <w:tcPr>
            <w:tcW w:w="4230" w:type="dxa"/>
          </w:tcPr>
          <w:p w14:paraId="7C0E3A1D"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75%</w:t>
            </w:r>
          </w:p>
        </w:tc>
        <w:tc>
          <w:tcPr>
            <w:tcW w:w="4481" w:type="dxa"/>
          </w:tcPr>
          <w:p w14:paraId="58E56B80"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75 %</w:t>
            </w:r>
          </w:p>
        </w:tc>
      </w:tr>
      <w:tr w:rsidR="00893C71" w:rsidRPr="0060086B" w14:paraId="00778C3F" w14:textId="77777777" w:rsidTr="00893C71">
        <w:tc>
          <w:tcPr>
            <w:tcW w:w="4230" w:type="dxa"/>
          </w:tcPr>
          <w:p w14:paraId="44D75D48"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100%</w:t>
            </w:r>
          </w:p>
        </w:tc>
        <w:tc>
          <w:tcPr>
            <w:tcW w:w="4481" w:type="dxa"/>
          </w:tcPr>
          <w:p w14:paraId="584F9798"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100 %</w:t>
            </w:r>
          </w:p>
        </w:tc>
      </w:tr>
      <w:tr w:rsidR="00893C71" w:rsidRPr="0060086B" w14:paraId="149EA3A8" w14:textId="77777777" w:rsidTr="00893C71">
        <w:tc>
          <w:tcPr>
            <w:tcW w:w="4230" w:type="dxa"/>
          </w:tcPr>
          <w:p w14:paraId="4FD66009" w14:textId="77777777" w:rsidR="00893C71" w:rsidRPr="0060086B" w:rsidRDefault="00893C71" w:rsidP="00B93410">
            <w:pPr>
              <w:rPr>
                <w:rFonts w:ascii="Aptos" w:hAnsi="Aptos"/>
                <w:sz w:val="18"/>
                <w:szCs w:val="18"/>
                <w:lang w:val="es-ES"/>
              </w:rPr>
            </w:pPr>
            <w:proofErr w:type="spellStart"/>
            <w:r w:rsidRPr="0060086B">
              <w:rPr>
                <w:rFonts w:ascii="Aptos" w:eastAsia="Segoe UI" w:hAnsi="Aptos" w:cs="Segoe UI"/>
                <w:color w:val="0F1115"/>
                <w:sz w:val="18"/>
                <w:szCs w:val="18"/>
                <w:lang w:val="es-ES"/>
              </w:rPr>
              <w:t>Answers</w:t>
            </w:r>
            <w:proofErr w:type="spellEnd"/>
            <w:r w:rsidRPr="0060086B">
              <w:rPr>
                <w:rFonts w:ascii="Aptos" w:eastAsia="Segoe UI" w:hAnsi="Aptos" w:cs="Segoe UI"/>
                <w:color w:val="0F1115"/>
                <w:sz w:val="18"/>
                <w:szCs w:val="18"/>
                <w:lang w:val="es-ES"/>
              </w:rPr>
              <w:t xml:space="preserve"> (</w:t>
            </w:r>
            <w:proofErr w:type="spellStart"/>
            <w:r w:rsidRPr="0060086B">
              <w:rPr>
                <w:rFonts w:ascii="Aptos" w:eastAsia="Segoe UI" w:hAnsi="Aptos" w:cs="Segoe UI"/>
                <w:color w:val="0F1115"/>
                <w:sz w:val="18"/>
                <w:szCs w:val="18"/>
                <w:lang w:val="es-ES"/>
              </w:rPr>
              <w:t>percentage</w:t>
            </w:r>
            <w:proofErr w:type="spellEnd"/>
            <w:r w:rsidRPr="0060086B">
              <w:rPr>
                <w:rFonts w:ascii="Aptos" w:eastAsia="Segoe UI" w:hAnsi="Aptos" w:cs="Segoe UI"/>
                <w:color w:val="0F1115"/>
                <w:sz w:val="18"/>
                <w:szCs w:val="18"/>
                <w:lang w:val="es-ES"/>
              </w:rPr>
              <w:t>)</w:t>
            </w:r>
          </w:p>
        </w:tc>
        <w:tc>
          <w:tcPr>
            <w:tcW w:w="4481" w:type="dxa"/>
          </w:tcPr>
          <w:p w14:paraId="47153BA9"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Respuestas (porcentaje)</w:t>
            </w:r>
          </w:p>
        </w:tc>
      </w:tr>
      <w:tr w:rsidR="00893C71" w:rsidRPr="0060086B" w14:paraId="3E32E3B0" w14:textId="77777777" w:rsidTr="00893C71">
        <w:tc>
          <w:tcPr>
            <w:tcW w:w="4230" w:type="dxa"/>
          </w:tcPr>
          <w:p w14:paraId="0526EF76"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Score Level</w:t>
            </w:r>
          </w:p>
        </w:tc>
        <w:tc>
          <w:tcPr>
            <w:tcW w:w="4481" w:type="dxa"/>
          </w:tcPr>
          <w:p w14:paraId="581BD122"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Nivel de puntuación</w:t>
            </w:r>
          </w:p>
        </w:tc>
      </w:tr>
      <w:tr w:rsidR="00893C71" w:rsidRPr="0060086B" w14:paraId="3529561D" w14:textId="77777777" w:rsidTr="00893C71">
        <w:tc>
          <w:tcPr>
            <w:tcW w:w="4230" w:type="dxa"/>
          </w:tcPr>
          <w:p w14:paraId="0D9CC8CA"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1</w:t>
            </w:r>
          </w:p>
        </w:tc>
        <w:tc>
          <w:tcPr>
            <w:tcW w:w="4481" w:type="dxa"/>
          </w:tcPr>
          <w:p w14:paraId="302922D0"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1</w:t>
            </w:r>
          </w:p>
        </w:tc>
      </w:tr>
      <w:tr w:rsidR="00893C71" w:rsidRPr="0060086B" w14:paraId="1C5E5D46" w14:textId="77777777" w:rsidTr="00893C71">
        <w:tc>
          <w:tcPr>
            <w:tcW w:w="4230" w:type="dxa"/>
          </w:tcPr>
          <w:p w14:paraId="657D354D"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2</w:t>
            </w:r>
          </w:p>
        </w:tc>
        <w:tc>
          <w:tcPr>
            <w:tcW w:w="4481" w:type="dxa"/>
          </w:tcPr>
          <w:p w14:paraId="51AE0764"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2</w:t>
            </w:r>
          </w:p>
        </w:tc>
      </w:tr>
      <w:tr w:rsidR="00893C71" w:rsidRPr="0060086B" w14:paraId="6539FA6E" w14:textId="77777777" w:rsidTr="00893C71">
        <w:tc>
          <w:tcPr>
            <w:tcW w:w="4230" w:type="dxa"/>
          </w:tcPr>
          <w:p w14:paraId="3B2AE089"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3</w:t>
            </w:r>
          </w:p>
        </w:tc>
        <w:tc>
          <w:tcPr>
            <w:tcW w:w="4481" w:type="dxa"/>
          </w:tcPr>
          <w:p w14:paraId="0030A516"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3</w:t>
            </w:r>
          </w:p>
        </w:tc>
      </w:tr>
      <w:tr w:rsidR="00893C71" w:rsidRPr="0060086B" w14:paraId="24B8467A" w14:textId="77777777" w:rsidTr="00893C71">
        <w:tc>
          <w:tcPr>
            <w:tcW w:w="4230" w:type="dxa"/>
          </w:tcPr>
          <w:p w14:paraId="22F804F0"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4</w:t>
            </w:r>
          </w:p>
        </w:tc>
        <w:tc>
          <w:tcPr>
            <w:tcW w:w="4481" w:type="dxa"/>
          </w:tcPr>
          <w:p w14:paraId="55FEA2CC"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4</w:t>
            </w:r>
          </w:p>
        </w:tc>
      </w:tr>
      <w:tr w:rsidR="00893C71" w:rsidRPr="0060086B" w14:paraId="583F7CB9" w14:textId="77777777" w:rsidTr="00893C71">
        <w:tc>
          <w:tcPr>
            <w:tcW w:w="4230" w:type="dxa"/>
          </w:tcPr>
          <w:p w14:paraId="2961C4E7"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5</w:t>
            </w:r>
          </w:p>
        </w:tc>
        <w:tc>
          <w:tcPr>
            <w:tcW w:w="4481" w:type="dxa"/>
          </w:tcPr>
          <w:p w14:paraId="2C9481AC" w14:textId="77777777" w:rsidR="00893C71" w:rsidRPr="0060086B" w:rsidRDefault="00893C71" w:rsidP="00B93410">
            <w:pPr>
              <w:rPr>
                <w:rFonts w:ascii="Aptos" w:hAnsi="Aptos"/>
                <w:sz w:val="18"/>
                <w:szCs w:val="18"/>
                <w:lang w:val="es-ES"/>
              </w:rPr>
            </w:pPr>
            <w:r w:rsidRPr="0060086B">
              <w:rPr>
                <w:rFonts w:ascii="Aptos" w:hAnsi="Aptos"/>
                <w:color w:val="0F1115"/>
                <w:sz w:val="18"/>
                <w:szCs w:val="18"/>
                <w:lang w:val="es-ES"/>
              </w:rPr>
              <w:t>5</w:t>
            </w:r>
          </w:p>
        </w:tc>
      </w:tr>
      <w:tr w:rsidR="00893C71" w:rsidRPr="0060086B" w14:paraId="5BAA6F3D" w14:textId="77777777" w:rsidTr="00893C71">
        <w:tc>
          <w:tcPr>
            <w:tcW w:w="4230" w:type="dxa"/>
          </w:tcPr>
          <w:p w14:paraId="2CEDEAEB" w14:textId="77777777" w:rsidR="00893C71" w:rsidRPr="0060086B" w:rsidRDefault="00893C71" w:rsidP="00B93410">
            <w:pPr>
              <w:rPr>
                <w:rFonts w:ascii="Aptos" w:hAnsi="Aptos"/>
                <w:sz w:val="18"/>
                <w:szCs w:val="18"/>
                <w:lang w:val="es-ES"/>
              </w:rPr>
            </w:pPr>
            <w:r w:rsidRPr="0060086B">
              <w:rPr>
                <w:rFonts w:ascii="Aptos" w:eastAsia="Segoe UI" w:hAnsi="Aptos" w:cs="Segoe UI"/>
                <w:color w:val="0F1115"/>
                <w:sz w:val="18"/>
                <w:szCs w:val="18"/>
                <w:lang w:val="es-ES"/>
              </w:rPr>
              <w:t xml:space="preserve">Party </w:t>
            </w:r>
            <w:proofErr w:type="spellStart"/>
            <w:r w:rsidRPr="0060086B">
              <w:rPr>
                <w:rFonts w:ascii="Aptos" w:eastAsia="Segoe UI" w:hAnsi="Aptos" w:cs="Segoe UI"/>
                <w:color w:val="0F1115"/>
                <w:sz w:val="18"/>
                <w:szCs w:val="18"/>
                <w:lang w:val="es-ES"/>
              </w:rPr>
              <w:t>count</w:t>
            </w:r>
            <w:proofErr w:type="spellEnd"/>
            <w:r w:rsidRPr="0060086B">
              <w:rPr>
                <w:rFonts w:ascii="Aptos" w:eastAsia="Segoe UI" w:hAnsi="Aptos" w:cs="Segoe UI"/>
                <w:color w:val="0F1115"/>
                <w:sz w:val="18"/>
                <w:szCs w:val="18"/>
                <w:lang w:val="es-ES"/>
              </w:rPr>
              <w:t>: 127</w:t>
            </w:r>
          </w:p>
        </w:tc>
        <w:tc>
          <w:tcPr>
            <w:tcW w:w="4481" w:type="dxa"/>
          </w:tcPr>
          <w:p w14:paraId="4AD4AAD4" w14:textId="77777777" w:rsidR="00893C71" w:rsidRPr="0060086B" w:rsidRDefault="00893C71" w:rsidP="00B93410">
            <w:pPr>
              <w:rPr>
                <w:rFonts w:ascii="Aptos" w:eastAsia="Segoe UI" w:hAnsi="Aptos" w:cs="Segoe UI"/>
                <w:color w:val="0F1115"/>
                <w:sz w:val="18"/>
                <w:szCs w:val="18"/>
                <w:lang w:val="es-ES"/>
              </w:rPr>
            </w:pPr>
            <w:r w:rsidRPr="0060086B">
              <w:rPr>
                <w:rFonts w:ascii="Aptos" w:hAnsi="Aptos"/>
                <w:color w:val="0F1115"/>
                <w:sz w:val="18"/>
                <w:szCs w:val="18"/>
                <w:lang w:val="es-ES"/>
              </w:rPr>
              <w:t>Número de Partes: 127</w:t>
            </w:r>
          </w:p>
        </w:tc>
      </w:tr>
    </w:tbl>
    <w:p w14:paraId="76DAAFDD" w14:textId="77777777" w:rsidR="0060086B" w:rsidRPr="0060086B" w:rsidRDefault="0060086B" w:rsidP="0060086B">
      <w:pPr>
        <w:rPr>
          <w:lang w:val="es-ES" w:eastAsia="ja-JP"/>
        </w:rPr>
      </w:pPr>
    </w:p>
    <w:p w14:paraId="7C92998D" w14:textId="77777777" w:rsidR="00947ED9" w:rsidRPr="005E3D50" w:rsidRDefault="00947ED9" w:rsidP="00874061">
      <w:pPr>
        <w:pStyle w:val="Heading5"/>
        <w:rPr>
          <w:lang w:val="es-ES"/>
        </w:rPr>
      </w:pPr>
      <w:bookmarkStart w:id="112" w:name="_Toc235821054"/>
    </w:p>
    <w:p w14:paraId="3D32C0D9" w14:textId="3FC8E8E2" w:rsidR="00563EC1" w:rsidRPr="005E3D50" w:rsidRDefault="00563EC1" w:rsidP="00874061">
      <w:pPr>
        <w:pStyle w:val="Heading5"/>
        <w:rPr>
          <w:lang w:val="es-ES"/>
        </w:rPr>
      </w:pPr>
      <w:r w:rsidRPr="005E3D50">
        <w:rPr>
          <w:lang w:val="es-ES"/>
        </w:rPr>
        <w:t>Autoevaluación de progresos</w:t>
      </w:r>
      <w:bookmarkEnd w:id="112"/>
    </w:p>
    <w:p w14:paraId="3B8EFFB9" w14:textId="77777777" w:rsidR="00947ED9" w:rsidRPr="005E3D50" w:rsidRDefault="00947ED9" w:rsidP="00947ED9">
      <w:pPr>
        <w:rPr>
          <w:lang w:val="es-ES"/>
        </w:rPr>
      </w:pPr>
    </w:p>
    <w:p w14:paraId="5F1D2437" w14:textId="5DDEAF1F" w:rsidR="00563EC1" w:rsidRPr="005E3D50" w:rsidRDefault="00563EC1" w:rsidP="00563EC1">
      <w:pPr>
        <w:rPr>
          <w:lang w:val="es-ES"/>
        </w:rPr>
      </w:pPr>
      <w:r w:rsidRPr="005E3D50">
        <w:rPr>
          <w:lang w:val="es-ES"/>
        </w:rPr>
        <w:t>Según la autoevaluación proporcionada por las Partes en sus informes nacionales para cada una de sus metas nacionales, el 46 % de las metas nacionales presentadas como estrechamente armonizadas con la Meta 1 están en vías de alcanzarse, mientras que el 50 % muestran progresos insuficientes o ningún progreso significativo (véase la figura 10).</w:t>
      </w:r>
    </w:p>
    <w:p w14:paraId="42F129B4" w14:textId="77777777" w:rsidR="000F465D" w:rsidRPr="005E3D50" w:rsidRDefault="000F465D" w:rsidP="00563EC1">
      <w:pPr>
        <w:rPr>
          <w:lang w:val="es-ES"/>
        </w:rPr>
      </w:pPr>
    </w:p>
    <w:p w14:paraId="7E96D15C" w14:textId="6DE08AAB" w:rsidR="006F501B" w:rsidRPr="005E3D50" w:rsidRDefault="006F501B" w:rsidP="006F501B">
      <w:pPr>
        <w:pStyle w:val="Caption"/>
        <w:rPr>
          <w:i w:val="0"/>
          <w:iCs w:val="0"/>
          <w:sz w:val="20"/>
          <w:szCs w:val="20"/>
          <w:lang w:val="es-ES"/>
        </w:rPr>
      </w:pPr>
      <w:bookmarkStart w:id="113" w:name="_Ref230005544"/>
      <w:r w:rsidRPr="005E3D50">
        <w:rPr>
          <w:i w:val="0"/>
          <w:iCs w:val="0"/>
          <w:sz w:val="20"/>
          <w:szCs w:val="20"/>
          <w:lang w:val="es-ES"/>
        </w:rPr>
        <w:t>Figura 10</w:t>
      </w:r>
      <w:bookmarkEnd w:id="113"/>
    </w:p>
    <w:p w14:paraId="71CFDA2E" w14:textId="6292F05D" w:rsidR="006F501B" w:rsidRPr="005E3D50" w:rsidRDefault="006F501B" w:rsidP="006F501B">
      <w:pPr>
        <w:pStyle w:val="Caption"/>
        <w:rPr>
          <w:lang w:val="es-ES"/>
        </w:rPr>
      </w:pPr>
      <w:r w:rsidRPr="005E3D50">
        <w:rPr>
          <w:b/>
          <w:bCs/>
          <w:i w:val="0"/>
          <w:iCs w:val="0"/>
          <w:sz w:val="20"/>
          <w:szCs w:val="20"/>
          <w:lang w:val="es-ES"/>
        </w:rPr>
        <w:t>Progresos indicados por las autoevaluaciones para todas las metas nacionales presentadas como estrechamente armonizadas con la meta 1 del Marco</w:t>
      </w:r>
      <w:r w:rsidRPr="005E3D50">
        <w:rPr>
          <w:lang w:val="es-ES"/>
        </w:rPr>
        <w:t xml:space="preserve"> </w:t>
      </w:r>
    </w:p>
    <w:p w14:paraId="1FAA5EB4" w14:textId="7B3CD0AE" w:rsidR="0046193A" w:rsidRPr="005E3D50" w:rsidRDefault="00563EC1" w:rsidP="00563EC1">
      <w:pPr>
        <w:keepNext/>
        <w:rPr>
          <w:lang w:val="es-ES"/>
        </w:rPr>
      </w:pPr>
      <w:r w:rsidRPr="005E3D50">
        <w:rPr>
          <w:rFonts w:ascii="Aptos" w:hAnsi="Aptos"/>
          <w:noProof/>
          <w:lang w:val="en-US"/>
        </w:rPr>
        <w:lastRenderedPageBreak/>
        <w:drawing>
          <wp:inline distT="0" distB="0" distL="0" distR="0" wp14:anchorId="3472AE4C" wp14:editId="2E956B35">
            <wp:extent cx="5731510" cy="2292350"/>
            <wp:effectExtent l="0" t="0" r="0" b="6350"/>
            <wp:docPr id="155295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9149" name="Picture 155295914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758D3F5" w14:textId="77777777" w:rsidR="00803D00" w:rsidRDefault="00803D00" w:rsidP="00803D00">
      <w:pPr>
        <w:pStyle w:val="Caption"/>
        <w:rPr>
          <w:rFonts w:ascii="Aptos" w:hAnsi="Aptos"/>
          <w:i w:val="0"/>
          <w:iCs w:val="0"/>
          <w:lang w:val="es-ES"/>
        </w:rPr>
      </w:pPr>
      <w:r w:rsidRPr="005E3D50">
        <w:rPr>
          <w:lang w:val="es-ES"/>
        </w:rPr>
        <w:t>Nota:</w:t>
      </w:r>
      <w:r w:rsidRPr="005E3D50">
        <w:rPr>
          <w:i w:val="0"/>
          <w:iCs w:val="0"/>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 </w:t>
      </w:r>
      <w:r w:rsidRPr="005E3D50">
        <w:rPr>
          <w:rFonts w:ascii="Aptos" w:hAnsi="Aptos"/>
          <w:i w:val="0"/>
          <w:iCs w:val="0"/>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6A0" w:firstRow="1" w:lastRow="0" w:firstColumn="1" w:lastColumn="0" w:noHBand="1" w:noVBand="1"/>
      </w:tblPr>
      <w:tblGrid>
        <w:gridCol w:w="4500"/>
        <w:gridCol w:w="4153"/>
      </w:tblGrid>
      <w:tr w:rsidR="00893C71" w:rsidRPr="0041038D" w14:paraId="5E99FFAB" w14:textId="77777777" w:rsidTr="00197D5B">
        <w:tc>
          <w:tcPr>
            <w:tcW w:w="8653" w:type="dxa"/>
            <w:gridSpan w:val="2"/>
          </w:tcPr>
          <w:p w14:paraId="424B521D" w14:textId="23794EED" w:rsidR="00893C71" w:rsidRDefault="00893C71"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10</w:t>
            </w:r>
          </w:p>
        </w:tc>
      </w:tr>
      <w:tr w:rsidR="00893C71" w:rsidRPr="0041038D" w14:paraId="14D68777" w14:textId="77777777" w:rsidTr="00721DDF">
        <w:tc>
          <w:tcPr>
            <w:tcW w:w="4500" w:type="dxa"/>
          </w:tcPr>
          <w:p w14:paraId="1EFDE048"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 xml:space="preserve">English </w:t>
            </w:r>
          </w:p>
        </w:tc>
        <w:tc>
          <w:tcPr>
            <w:tcW w:w="4153" w:type="dxa"/>
          </w:tcPr>
          <w:p w14:paraId="4FE810BA" w14:textId="1D89AC0C" w:rsidR="00893C71" w:rsidRPr="0041038D" w:rsidRDefault="00893C71" w:rsidP="00B93410">
            <w:pPr>
              <w:rPr>
                <w:rFonts w:ascii="Aptos" w:hAnsi="Aptos"/>
                <w:sz w:val="18"/>
                <w:szCs w:val="18"/>
                <w:lang w:val="es-ES"/>
              </w:rPr>
            </w:pPr>
            <w:r>
              <w:rPr>
                <w:rFonts w:ascii="Aptos" w:eastAsia="Segoe UI" w:hAnsi="Aptos" w:cs="Segoe UI"/>
                <w:color w:val="0F1115"/>
                <w:sz w:val="18"/>
                <w:szCs w:val="18"/>
                <w:lang w:val="es-ES"/>
              </w:rPr>
              <w:t>Español</w:t>
            </w:r>
          </w:p>
        </w:tc>
      </w:tr>
      <w:tr w:rsidR="00893C71" w:rsidRPr="0041038D" w14:paraId="43C9E801" w14:textId="77777777" w:rsidTr="00721DDF">
        <w:tc>
          <w:tcPr>
            <w:tcW w:w="4500" w:type="dxa"/>
          </w:tcPr>
          <w:p w14:paraId="10256032" w14:textId="77777777" w:rsidR="00893C71" w:rsidRPr="0041038D" w:rsidRDefault="00893C71" w:rsidP="00B93410">
            <w:pPr>
              <w:rPr>
                <w:rFonts w:ascii="Aptos" w:hAnsi="Aptos"/>
                <w:sz w:val="18"/>
                <w:szCs w:val="18"/>
                <w:lang w:val="es-ES"/>
              </w:rPr>
            </w:pPr>
            <w:proofErr w:type="spellStart"/>
            <w:r w:rsidRPr="0041038D">
              <w:rPr>
                <w:rFonts w:ascii="Aptos" w:eastAsia="Segoe UI" w:hAnsi="Aptos" w:cs="Segoe UI"/>
                <w:color w:val="0F1115"/>
                <w:sz w:val="18"/>
                <w:szCs w:val="18"/>
                <w:lang w:val="es-ES"/>
              </w:rPr>
              <w:t>Region</w:t>
            </w:r>
            <w:proofErr w:type="spellEnd"/>
          </w:p>
        </w:tc>
        <w:tc>
          <w:tcPr>
            <w:tcW w:w="4153" w:type="dxa"/>
          </w:tcPr>
          <w:p w14:paraId="4FD1EEFB"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Región</w:t>
            </w:r>
          </w:p>
        </w:tc>
      </w:tr>
      <w:tr w:rsidR="00893C71" w:rsidRPr="0041038D" w14:paraId="30CBC0BF" w14:textId="77777777" w:rsidTr="00721DDF">
        <w:tc>
          <w:tcPr>
            <w:tcW w:w="4500" w:type="dxa"/>
          </w:tcPr>
          <w:p w14:paraId="3C695DE9"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African States</w:t>
            </w:r>
          </w:p>
        </w:tc>
        <w:tc>
          <w:tcPr>
            <w:tcW w:w="4153" w:type="dxa"/>
          </w:tcPr>
          <w:p w14:paraId="0D8B370E"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Estados de África</w:t>
            </w:r>
          </w:p>
        </w:tc>
      </w:tr>
      <w:tr w:rsidR="00893C71" w:rsidRPr="0041038D" w14:paraId="369F1663" w14:textId="77777777" w:rsidTr="00721DDF">
        <w:tc>
          <w:tcPr>
            <w:tcW w:w="4500" w:type="dxa"/>
          </w:tcPr>
          <w:p w14:paraId="1991E8E3"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Asia- Pacific States</w:t>
            </w:r>
          </w:p>
        </w:tc>
        <w:tc>
          <w:tcPr>
            <w:tcW w:w="4153" w:type="dxa"/>
          </w:tcPr>
          <w:p w14:paraId="66AA8437"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Estados de Asia y el Pacífico</w:t>
            </w:r>
          </w:p>
        </w:tc>
      </w:tr>
      <w:tr w:rsidR="00893C71" w:rsidRPr="0041038D" w14:paraId="5D803EC0" w14:textId="77777777" w:rsidTr="00721DDF">
        <w:tc>
          <w:tcPr>
            <w:tcW w:w="4500" w:type="dxa"/>
          </w:tcPr>
          <w:p w14:paraId="4CE53157" w14:textId="77777777" w:rsidR="00893C71" w:rsidRPr="0041038D" w:rsidRDefault="00893C71" w:rsidP="00B93410">
            <w:pPr>
              <w:rPr>
                <w:rFonts w:ascii="Aptos" w:hAnsi="Aptos"/>
                <w:sz w:val="18"/>
                <w:szCs w:val="18"/>
                <w:lang w:val="en-US"/>
              </w:rPr>
            </w:pPr>
            <w:r w:rsidRPr="0041038D">
              <w:rPr>
                <w:rFonts w:ascii="Aptos" w:eastAsia="Segoe UI" w:hAnsi="Aptos" w:cs="Segoe UI"/>
                <w:color w:val="0F1115"/>
                <w:sz w:val="18"/>
                <w:szCs w:val="18"/>
                <w:lang w:val="en-US"/>
              </w:rPr>
              <w:t>Latin American and Caribbean States</w:t>
            </w:r>
          </w:p>
        </w:tc>
        <w:tc>
          <w:tcPr>
            <w:tcW w:w="4153" w:type="dxa"/>
          </w:tcPr>
          <w:p w14:paraId="4C4711BC"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Estados de América Latina y el Caribe</w:t>
            </w:r>
          </w:p>
        </w:tc>
      </w:tr>
      <w:tr w:rsidR="00893C71" w:rsidRPr="0041038D" w14:paraId="7F3B26B6" w14:textId="77777777" w:rsidTr="00721DDF">
        <w:tc>
          <w:tcPr>
            <w:tcW w:w="4500" w:type="dxa"/>
          </w:tcPr>
          <w:p w14:paraId="01B473A0"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Eastern European States</w:t>
            </w:r>
          </w:p>
        </w:tc>
        <w:tc>
          <w:tcPr>
            <w:tcW w:w="4153" w:type="dxa"/>
          </w:tcPr>
          <w:p w14:paraId="7B2CC2D4"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Estados de Europa Oriental</w:t>
            </w:r>
          </w:p>
        </w:tc>
      </w:tr>
      <w:tr w:rsidR="00893C71" w:rsidRPr="0041038D" w14:paraId="0E87FEEA" w14:textId="77777777" w:rsidTr="00721DDF">
        <w:tc>
          <w:tcPr>
            <w:tcW w:w="4500" w:type="dxa"/>
          </w:tcPr>
          <w:p w14:paraId="5FDC45AB" w14:textId="77777777" w:rsidR="00893C71" w:rsidRPr="0041038D" w:rsidRDefault="00893C71" w:rsidP="00B93410">
            <w:pPr>
              <w:rPr>
                <w:rFonts w:ascii="Aptos" w:hAnsi="Aptos"/>
                <w:sz w:val="18"/>
                <w:szCs w:val="18"/>
                <w:lang w:val="en-US"/>
              </w:rPr>
            </w:pPr>
            <w:r w:rsidRPr="0041038D">
              <w:rPr>
                <w:rFonts w:ascii="Aptos" w:eastAsia="Segoe UI" w:hAnsi="Aptos" w:cs="Segoe UI"/>
                <w:color w:val="0F1115"/>
                <w:sz w:val="18"/>
                <w:szCs w:val="18"/>
                <w:lang w:val="en-US"/>
              </w:rPr>
              <w:t>Western European and other States</w:t>
            </w:r>
          </w:p>
        </w:tc>
        <w:tc>
          <w:tcPr>
            <w:tcW w:w="4153" w:type="dxa"/>
          </w:tcPr>
          <w:p w14:paraId="0DAF060E"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Estados de Europa Occidental y otros Estados</w:t>
            </w:r>
          </w:p>
        </w:tc>
      </w:tr>
      <w:tr w:rsidR="00893C71" w:rsidRPr="0041038D" w14:paraId="61E148A7" w14:textId="77777777" w:rsidTr="00721DDF">
        <w:tc>
          <w:tcPr>
            <w:tcW w:w="4500" w:type="dxa"/>
          </w:tcPr>
          <w:p w14:paraId="636B0DE4"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0%</w:t>
            </w:r>
          </w:p>
        </w:tc>
        <w:tc>
          <w:tcPr>
            <w:tcW w:w="4153" w:type="dxa"/>
          </w:tcPr>
          <w:p w14:paraId="74D9C82C"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0 %</w:t>
            </w:r>
          </w:p>
        </w:tc>
      </w:tr>
      <w:tr w:rsidR="00893C71" w:rsidRPr="0041038D" w14:paraId="732EE922" w14:textId="77777777" w:rsidTr="00721DDF">
        <w:tc>
          <w:tcPr>
            <w:tcW w:w="4500" w:type="dxa"/>
          </w:tcPr>
          <w:p w14:paraId="7CF82034"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25%</w:t>
            </w:r>
          </w:p>
        </w:tc>
        <w:tc>
          <w:tcPr>
            <w:tcW w:w="4153" w:type="dxa"/>
          </w:tcPr>
          <w:p w14:paraId="5170E5DB"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25 %</w:t>
            </w:r>
          </w:p>
        </w:tc>
      </w:tr>
      <w:tr w:rsidR="00893C71" w:rsidRPr="0041038D" w14:paraId="0FA00A36" w14:textId="77777777" w:rsidTr="00721DDF">
        <w:tc>
          <w:tcPr>
            <w:tcW w:w="4500" w:type="dxa"/>
          </w:tcPr>
          <w:p w14:paraId="07333860"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50%</w:t>
            </w:r>
          </w:p>
        </w:tc>
        <w:tc>
          <w:tcPr>
            <w:tcW w:w="4153" w:type="dxa"/>
          </w:tcPr>
          <w:p w14:paraId="243490B4"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50 %</w:t>
            </w:r>
          </w:p>
        </w:tc>
      </w:tr>
      <w:tr w:rsidR="00893C71" w:rsidRPr="0041038D" w14:paraId="7E964372" w14:textId="77777777" w:rsidTr="00721DDF">
        <w:tc>
          <w:tcPr>
            <w:tcW w:w="4500" w:type="dxa"/>
          </w:tcPr>
          <w:p w14:paraId="682C1603"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75%</w:t>
            </w:r>
          </w:p>
        </w:tc>
        <w:tc>
          <w:tcPr>
            <w:tcW w:w="4153" w:type="dxa"/>
          </w:tcPr>
          <w:p w14:paraId="48E11959"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75 %</w:t>
            </w:r>
          </w:p>
        </w:tc>
      </w:tr>
      <w:tr w:rsidR="00893C71" w:rsidRPr="0041038D" w14:paraId="033DD01B" w14:textId="77777777" w:rsidTr="00721DDF">
        <w:tc>
          <w:tcPr>
            <w:tcW w:w="4500" w:type="dxa"/>
          </w:tcPr>
          <w:p w14:paraId="3A62D503"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100%</w:t>
            </w:r>
          </w:p>
        </w:tc>
        <w:tc>
          <w:tcPr>
            <w:tcW w:w="4153" w:type="dxa"/>
          </w:tcPr>
          <w:p w14:paraId="35E09195"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100 %</w:t>
            </w:r>
          </w:p>
        </w:tc>
      </w:tr>
      <w:tr w:rsidR="00893C71" w:rsidRPr="0041038D" w14:paraId="25EDB14D" w14:textId="77777777" w:rsidTr="00721DDF">
        <w:tc>
          <w:tcPr>
            <w:tcW w:w="4500" w:type="dxa"/>
          </w:tcPr>
          <w:p w14:paraId="4D349773" w14:textId="77777777" w:rsidR="00893C71" w:rsidRPr="0041038D" w:rsidRDefault="00893C71" w:rsidP="00B93410">
            <w:pPr>
              <w:rPr>
                <w:rFonts w:ascii="Aptos" w:hAnsi="Aptos"/>
                <w:sz w:val="18"/>
                <w:szCs w:val="18"/>
                <w:lang w:val="es-ES"/>
              </w:rPr>
            </w:pPr>
            <w:proofErr w:type="spellStart"/>
            <w:r w:rsidRPr="0041038D">
              <w:rPr>
                <w:rFonts w:ascii="Aptos" w:eastAsia="Segoe UI" w:hAnsi="Aptos" w:cs="Segoe UI"/>
                <w:color w:val="0F1115"/>
                <w:sz w:val="18"/>
                <w:szCs w:val="18"/>
                <w:lang w:val="es-ES"/>
              </w:rPr>
              <w:t>Percentage</w:t>
            </w:r>
            <w:proofErr w:type="spellEnd"/>
            <w:r w:rsidRPr="0041038D">
              <w:rPr>
                <w:rFonts w:ascii="Aptos" w:eastAsia="Segoe UI" w:hAnsi="Aptos" w:cs="Segoe UI"/>
                <w:color w:val="0F1115"/>
                <w:sz w:val="18"/>
                <w:szCs w:val="18"/>
                <w:lang w:val="es-ES"/>
              </w:rPr>
              <w:t xml:space="preserve"> of </w:t>
            </w:r>
            <w:proofErr w:type="spellStart"/>
            <w:r w:rsidRPr="0041038D">
              <w:rPr>
                <w:rFonts w:ascii="Aptos" w:eastAsia="Segoe UI" w:hAnsi="Aptos" w:cs="Segoe UI"/>
                <w:color w:val="0F1115"/>
                <w:sz w:val="18"/>
                <w:szCs w:val="18"/>
                <w:lang w:val="es-ES"/>
              </w:rPr>
              <w:t>national</w:t>
            </w:r>
            <w:proofErr w:type="spellEnd"/>
            <w:r w:rsidRPr="0041038D">
              <w:rPr>
                <w:rFonts w:ascii="Aptos" w:eastAsia="Segoe UI" w:hAnsi="Aptos" w:cs="Segoe UI"/>
                <w:color w:val="0F1115"/>
                <w:sz w:val="18"/>
                <w:szCs w:val="18"/>
                <w:lang w:val="es-ES"/>
              </w:rPr>
              <w:t xml:space="preserve"> targets</w:t>
            </w:r>
          </w:p>
        </w:tc>
        <w:tc>
          <w:tcPr>
            <w:tcW w:w="4153" w:type="dxa"/>
          </w:tcPr>
          <w:p w14:paraId="3AC4AB55"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Porcentaje de metas nacionales</w:t>
            </w:r>
          </w:p>
        </w:tc>
      </w:tr>
      <w:tr w:rsidR="00893C71" w:rsidRPr="0041038D" w14:paraId="316C5713" w14:textId="77777777" w:rsidTr="00721DDF">
        <w:tc>
          <w:tcPr>
            <w:tcW w:w="4500" w:type="dxa"/>
          </w:tcPr>
          <w:p w14:paraId="5EAEAACB" w14:textId="77777777" w:rsidR="00893C71" w:rsidRPr="0041038D" w:rsidRDefault="00893C71" w:rsidP="00B93410">
            <w:pPr>
              <w:rPr>
                <w:rFonts w:ascii="Aptos" w:hAnsi="Aptos"/>
                <w:sz w:val="18"/>
                <w:szCs w:val="18"/>
                <w:lang w:val="es-ES"/>
              </w:rPr>
            </w:pPr>
            <w:proofErr w:type="spellStart"/>
            <w:r w:rsidRPr="0041038D">
              <w:rPr>
                <w:rFonts w:ascii="Aptos" w:eastAsia="Segoe UI" w:hAnsi="Aptos" w:cs="Segoe UI"/>
                <w:color w:val="0F1115"/>
                <w:sz w:val="18"/>
                <w:szCs w:val="18"/>
                <w:lang w:val="es-ES"/>
              </w:rPr>
              <w:t>Progress</w:t>
            </w:r>
            <w:proofErr w:type="spellEnd"/>
            <w:r w:rsidRPr="0041038D">
              <w:rPr>
                <w:rFonts w:ascii="Aptos" w:eastAsia="Segoe UI" w:hAnsi="Aptos" w:cs="Segoe UI"/>
                <w:color w:val="0F1115"/>
                <w:sz w:val="18"/>
                <w:szCs w:val="18"/>
                <w:lang w:val="es-ES"/>
              </w:rPr>
              <w:t xml:space="preserve"> Level</w:t>
            </w:r>
          </w:p>
        </w:tc>
        <w:tc>
          <w:tcPr>
            <w:tcW w:w="4153" w:type="dxa"/>
          </w:tcPr>
          <w:p w14:paraId="58E70309"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Nivel de progreso</w:t>
            </w:r>
          </w:p>
        </w:tc>
      </w:tr>
      <w:tr w:rsidR="00893C71" w:rsidRPr="0041038D" w14:paraId="06D1226E" w14:textId="77777777" w:rsidTr="00721DDF">
        <w:tc>
          <w:tcPr>
            <w:tcW w:w="4500" w:type="dxa"/>
          </w:tcPr>
          <w:p w14:paraId="730AF7F1" w14:textId="77777777" w:rsidR="00893C71" w:rsidRPr="0041038D" w:rsidRDefault="00893C71" w:rsidP="00B93410">
            <w:pPr>
              <w:rPr>
                <w:rFonts w:ascii="Aptos" w:hAnsi="Aptos"/>
                <w:sz w:val="18"/>
                <w:szCs w:val="18"/>
                <w:lang w:val="es-ES"/>
              </w:rPr>
            </w:pPr>
            <w:proofErr w:type="spellStart"/>
            <w:r w:rsidRPr="0041038D">
              <w:rPr>
                <w:rFonts w:ascii="Aptos" w:eastAsia="Segoe UI" w:hAnsi="Aptos" w:cs="Segoe UI"/>
                <w:color w:val="0F1115"/>
                <w:sz w:val="18"/>
                <w:szCs w:val="18"/>
                <w:lang w:val="es-ES"/>
              </w:rPr>
              <w:t>Achieved</w:t>
            </w:r>
            <w:proofErr w:type="spellEnd"/>
          </w:p>
        </w:tc>
        <w:tc>
          <w:tcPr>
            <w:tcW w:w="4153" w:type="dxa"/>
          </w:tcPr>
          <w:p w14:paraId="1995119B"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Alcanzada</w:t>
            </w:r>
          </w:p>
        </w:tc>
      </w:tr>
      <w:tr w:rsidR="00893C71" w:rsidRPr="0041038D" w14:paraId="020AC438" w14:textId="77777777" w:rsidTr="00721DDF">
        <w:tc>
          <w:tcPr>
            <w:tcW w:w="4500" w:type="dxa"/>
          </w:tcPr>
          <w:p w14:paraId="69CE2A89" w14:textId="77777777" w:rsidR="00893C71" w:rsidRPr="0041038D" w:rsidRDefault="00893C71" w:rsidP="00B93410">
            <w:pPr>
              <w:rPr>
                <w:rFonts w:ascii="Aptos" w:hAnsi="Aptos"/>
                <w:sz w:val="18"/>
                <w:szCs w:val="18"/>
                <w:lang w:val="en-US"/>
              </w:rPr>
            </w:pPr>
            <w:r w:rsidRPr="0041038D">
              <w:rPr>
                <w:rFonts w:ascii="Aptos" w:eastAsia="Segoe UI" w:hAnsi="Aptos" w:cs="Segoe UI"/>
                <w:color w:val="0F1115"/>
                <w:sz w:val="18"/>
                <w:szCs w:val="18"/>
                <w:lang w:val="en-US"/>
              </w:rPr>
              <w:t>On track to achieve target</w:t>
            </w:r>
          </w:p>
        </w:tc>
        <w:tc>
          <w:tcPr>
            <w:tcW w:w="4153" w:type="dxa"/>
          </w:tcPr>
          <w:p w14:paraId="6E1A4D0C"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En vías de alcanzar la meta</w:t>
            </w:r>
          </w:p>
        </w:tc>
      </w:tr>
      <w:tr w:rsidR="00893C71" w:rsidRPr="0041038D" w14:paraId="1C2287BC" w14:textId="77777777" w:rsidTr="00721DDF">
        <w:tc>
          <w:tcPr>
            <w:tcW w:w="4500" w:type="dxa"/>
          </w:tcPr>
          <w:p w14:paraId="59A468C7" w14:textId="77777777" w:rsidR="00893C71" w:rsidRPr="0041038D" w:rsidRDefault="00893C71" w:rsidP="00B93410">
            <w:pPr>
              <w:rPr>
                <w:rFonts w:ascii="Aptos" w:hAnsi="Aptos"/>
                <w:sz w:val="18"/>
                <w:szCs w:val="18"/>
                <w:lang w:val="en-US"/>
              </w:rPr>
            </w:pPr>
            <w:r w:rsidRPr="0041038D">
              <w:rPr>
                <w:rFonts w:ascii="Aptos" w:eastAsia="Segoe UI" w:hAnsi="Aptos" w:cs="Segoe UI"/>
                <w:color w:val="0F1115"/>
                <w:sz w:val="18"/>
                <w:szCs w:val="18"/>
                <w:lang w:val="en-US"/>
              </w:rPr>
              <w:t>Progress towards target but at an insufficient rate</w:t>
            </w:r>
          </w:p>
        </w:tc>
        <w:tc>
          <w:tcPr>
            <w:tcW w:w="4153" w:type="dxa"/>
          </w:tcPr>
          <w:p w14:paraId="5D478768"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 xml:space="preserve">Se ha progresado hacia la </w:t>
            </w:r>
            <w:proofErr w:type="gramStart"/>
            <w:r w:rsidRPr="0041038D">
              <w:rPr>
                <w:rFonts w:ascii="Aptos" w:hAnsi="Aptos"/>
                <w:color w:val="0F1115"/>
                <w:sz w:val="18"/>
                <w:szCs w:val="18"/>
                <w:lang w:val="es-ES"/>
              </w:rPr>
              <w:t>meta</w:t>
            </w:r>
            <w:proofErr w:type="gramEnd"/>
            <w:r w:rsidRPr="0041038D">
              <w:rPr>
                <w:rFonts w:ascii="Aptos" w:hAnsi="Aptos"/>
                <w:color w:val="0F1115"/>
                <w:sz w:val="18"/>
                <w:szCs w:val="18"/>
                <w:lang w:val="es-ES"/>
              </w:rPr>
              <w:t xml:space="preserve"> pero a un ritmo insuficiente</w:t>
            </w:r>
          </w:p>
        </w:tc>
      </w:tr>
      <w:tr w:rsidR="00893C71" w:rsidRPr="0041038D" w14:paraId="40F8211E" w14:textId="77777777" w:rsidTr="00721DDF">
        <w:tc>
          <w:tcPr>
            <w:tcW w:w="4500" w:type="dxa"/>
          </w:tcPr>
          <w:p w14:paraId="5B319994"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 xml:space="preserve">No </w:t>
            </w:r>
            <w:proofErr w:type="spellStart"/>
            <w:r w:rsidRPr="0041038D">
              <w:rPr>
                <w:rFonts w:ascii="Aptos" w:eastAsia="Segoe UI" w:hAnsi="Aptos" w:cs="Segoe UI"/>
                <w:color w:val="0F1115"/>
                <w:sz w:val="18"/>
                <w:szCs w:val="18"/>
                <w:lang w:val="es-ES"/>
              </w:rPr>
              <w:t>significant</w:t>
            </w:r>
            <w:proofErr w:type="spellEnd"/>
            <w:r w:rsidRPr="0041038D">
              <w:rPr>
                <w:rFonts w:ascii="Aptos" w:eastAsia="Segoe UI" w:hAnsi="Aptos" w:cs="Segoe UI"/>
                <w:color w:val="0F1115"/>
                <w:sz w:val="18"/>
                <w:szCs w:val="18"/>
                <w:lang w:val="es-ES"/>
              </w:rPr>
              <w:t xml:space="preserve"> </w:t>
            </w:r>
            <w:proofErr w:type="spellStart"/>
            <w:r w:rsidRPr="0041038D">
              <w:rPr>
                <w:rFonts w:ascii="Aptos" w:eastAsia="Segoe UI" w:hAnsi="Aptos" w:cs="Segoe UI"/>
                <w:color w:val="0F1115"/>
                <w:sz w:val="18"/>
                <w:szCs w:val="18"/>
                <w:lang w:val="es-ES"/>
              </w:rPr>
              <w:t>change</w:t>
            </w:r>
            <w:proofErr w:type="spellEnd"/>
          </w:p>
        </w:tc>
        <w:tc>
          <w:tcPr>
            <w:tcW w:w="4153" w:type="dxa"/>
          </w:tcPr>
          <w:p w14:paraId="62D282FD"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No hay cambios significativos</w:t>
            </w:r>
          </w:p>
        </w:tc>
      </w:tr>
      <w:tr w:rsidR="00893C71" w:rsidRPr="0041038D" w14:paraId="6B230ABF" w14:textId="77777777" w:rsidTr="00721DDF">
        <w:tc>
          <w:tcPr>
            <w:tcW w:w="4500" w:type="dxa"/>
          </w:tcPr>
          <w:p w14:paraId="52F4C504"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Unknown</w:t>
            </w:r>
          </w:p>
        </w:tc>
        <w:tc>
          <w:tcPr>
            <w:tcW w:w="4153" w:type="dxa"/>
          </w:tcPr>
          <w:p w14:paraId="3A7D11DC" w14:textId="77777777" w:rsidR="00893C71" w:rsidRPr="0041038D" w:rsidRDefault="00893C71" w:rsidP="00B93410">
            <w:pPr>
              <w:rPr>
                <w:rFonts w:ascii="Aptos" w:hAnsi="Aptos"/>
                <w:sz w:val="18"/>
                <w:szCs w:val="18"/>
                <w:lang w:val="es-ES"/>
              </w:rPr>
            </w:pPr>
            <w:r w:rsidRPr="0041038D">
              <w:rPr>
                <w:rFonts w:ascii="Aptos" w:hAnsi="Aptos"/>
                <w:color w:val="0F1115"/>
                <w:sz w:val="18"/>
                <w:szCs w:val="18"/>
                <w:lang w:val="es-ES"/>
              </w:rPr>
              <w:t>Se desconoce</w:t>
            </w:r>
          </w:p>
        </w:tc>
      </w:tr>
      <w:tr w:rsidR="00893C71" w:rsidRPr="0041038D" w14:paraId="3851F53A" w14:textId="77777777" w:rsidTr="00721DDF">
        <w:tc>
          <w:tcPr>
            <w:tcW w:w="4500" w:type="dxa"/>
          </w:tcPr>
          <w:p w14:paraId="18E3B9A3" w14:textId="77777777" w:rsidR="00893C71" w:rsidRPr="0041038D" w:rsidRDefault="00893C71" w:rsidP="00B93410">
            <w:pPr>
              <w:rPr>
                <w:rFonts w:ascii="Aptos" w:hAnsi="Aptos"/>
                <w:sz w:val="18"/>
                <w:szCs w:val="18"/>
                <w:lang w:val="es-ES"/>
              </w:rPr>
            </w:pPr>
            <w:r w:rsidRPr="0041038D">
              <w:rPr>
                <w:rFonts w:ascii="Aptos" w:eastAsia="Segoe UI" w:hAnsi="Aptos" w:cs="Segoe UI"/>
                <w:color w:val="0F1115"/>
                <w:sz w:val="18"/>
                <w:szCs w:val="18"/>
                <w:lang w:val="es-ES"/>
              </w:rPr>
              <w:t xml:space="preserve">Party </w:t>
            </w:r>
            <w:proofErr w:type="spellStart"/>
            <w:r w:rsidRPr="0041038D">
              <w:rPr>
                <w:rFonts w:ascii="Aptos" w:eastAsia="Segoe UI" w:hAnsi="Aptos" w:cs="Segoe UI"/>
                <w:color w:val="0F1115"/>
                <w:sz w:val="18"/>
                <w:szCs w:val="18"/>
                <w:lang w:val="es-ES"/>
              </w:rPr>
              <w:t>count</w:t>
            </w:r>
            <w:proofErr w:type="spellEnd"/>
            <w:r w:rsidRPr="0041038D">
              <w:rPr>
                <w:rFonts w:ascii="Aptos" w:eastAsia="Segoe UI" w:hAnsi="Aptos" w:cs="Segoe UI"/>
                <w:color w:val="0F1115"/>
                <w:sz w:val="18"/>
                <w:szCs w:val="18"/>
                <w:lang w:val="es-ES"/>
              </w:rPr>
              <w:t>: 102</w:t>
            </w:r>
          </w:p>
        </w:tc>
        <w:tc>
          <w:tcPr>
            <w:tcW w:w="4153" w:type="dxa"/>
          </w:tcPr>
          <w:p w14:paraId="75CC43CD" w14:textId="77777777" w:rsidR="00893C71" w:rsidRPr="0041038D" w:rsidRDefault="00893C71" w:rsidP="00B93410">
            <w:pPr>
              <w:rPr>
                <w:rFonts w:ascii="Aptos" w:eastAsia="Segoe UI" w:hAnsi="Aptos" w:cs="Segoe UI"/>
                <w:color w:val="0F1115"/>
                <w:sz w:val="18"/>
                <w:szCs w:val="18"/>
                <w:lang w:val="es-ES"/>
              </w:rPr>
            </w:pPr>
            <w:r w:rsidRPr="0041038D">
              <w:rPr>
                <w:rFonts w:ascii="Aptos" w:hAnsi="Aptos"/>
                <w:color w:val="0F1115"/>
                <w:sz w:val="18"/>
                <w:szCs w:val="18"/>
                <w:lang w:val="es-ES"/>
              </w:rPr>
              <w:t>Número de Partes: 102</w:t>
            </w:r>
          </w:p>
        </w:tc>
      </w:tr>
    </w:tbl>
    <w:p w14:paraId="76EFAF96" w14:textId="77777777" w:rsidR="0041038D" w:rsidRPr="0041038D" w:rsidRDefault="0041038D" w:rsidP="0041038D">
      <w:pPr>
        <w:rPr>
          <w:lang w:val="es-ES" w:eastAsia="ja-JP"/>
        </w:rPr>
      </w:pPr>
    </w:p>
    <w:p w14:paraId="7EC6DA43" w14:textId="1FFF2680" w:rsidR="00EB226C" w:rsidRPr="005E3D50" w:rsidRDefault="00D21C0E" w:rsidP="00411463">
      <w:pPr>
        <w:pStyle w:val="Caption"/>
        <w:rPr>
          <w:lang w:val="es-ES"/>
        </w:rPr>
      </w:pPr>
      <w:r w:rsidRPr="005E3D50">
        <w:rPr>
          <w:lang w:val="es-ES"/>
        </w:rPr>
        <w:br w:type="page"/>
      </w:r>
    </w:p>
    <w:p w14:paraId="6EBC8AFE" w14:textId="7123A03B" w:rsidR="00EB226C" w:rsidRPr="005E3D50" w:rsidRDefault="00EB226C" w:rsidP="00EB226C">
      <w:pPr>
        <w:pStyle w:val="Heading5"/>
        <w:rPr>
          <w:lang w:val="es-ES"/>
        </w:rPr>
      </w:pPr>
      <w:bookmarkStart w:id="114" w:name="_Toc235821055"/>
      <w:r w:rsidRPr="005E3D50">
        <w:rPr>
          <w:lang w:val="es-ES"/>
        </w:rPr>
        <w:lastRenderedPageBreak/>
        <w:t>Medidas, logros y dificultades en la implementación</w:t>
      </w:r>
      <w:bookmarkEnd w:id="114"/>
    </w:p>
    <w:p w14:paraId="1FDD70FF" w14:textId="77777777" w:rsidR="00494B10" w:rsidRPr="005E3D50" w:rsidRDefault="00494B10" w:rsidP="00EB226C">
      <w:pPr>
        <w:pStyle w:val="Heading6"/>
        <w:rPr>
          <w:lang w:val="es-ES"/>
        </w:rPr>
      </w:pPr>
      <w:bookmarkStart w:id="115" w:name="_Toc235821056"/>
    </w:p>
    <w:p w14:paraId="27BA6951" w14:textId="68AF159F" w:rsidR="00EB226C" w:rsidRPr="005E3D50" w:rsidRDefault="00EB226C" w:rsidP="00EB226C">
      <w:pPr>
        <w:pStyle w:val="Heading6"/>
        <w:rPr>
          <w:lang w:val="es-ES"/>
        </w:rPr>
      </w:pPr>
      <w:r w:rsidRPr="005E3D50">
        <w:rPr>
          <w:lang w:val="es-ES"/>
        </w:rPr>
        <w:t>Resumen de medidas en apoyo de la meta 1</w:t>
      </w:r>
      <w:bookmarkEnd w:id="115"/>
    </w:p>
    <w:p w14:paraId="1CC4D19B" w14:textId="77777777" w:rsidR="00494B10" w:rsidRPr="005E3D50" w:rsidRDefault="00494B10" w:rsidP="00494B10">
      <w:pPr>
        <w:rPr>
          <w:lang w:val="es-ES"/>
        </w:rPr>
      </w:pPr>
    </w:p>
    <w:p w14:paraId="3C3C7BBA" w14:textId="266DAB3E" w:rsidR="00494B10" w:rsidRPr="005E3D50" w:rsidRDefault="00494B10" w:rsidP="00494B10">
      <w:pPr>
        <w:rPr>
          <w:lang w:val="es-ES"/>
        </w:rPr>
      </w:pPr>
      <w:r w:rsidRPr="005E3D50">
        <w:rPr>
          <w:lang w:val="es-ES"/>
        </w:rPr>
        <w:t>El mecanismo de implementación de las metas nacionales relacionadas con la meta 1 que se señala con más frecuencia es la elaboración o reforma de marcos de planificación espacial nacionales, subnacionales o sectoriales que incorporan explícitamente la biodiversidad. Esas medidas abarcan desde reglamentaciones nacionales de planificación espacial jurídicamente vinculantes hasta la integración de capas de información sobre biodiversidad en los planes existentes de uso de la tierra y de ordenación urbana. Otro conjunto de medidas se centra en identificar, llevar a cabo un relevamiento y proteger zonas de suma importancia para la biodiversidad, como las Áreas Clave para la Biodiversidad (UICN, 2016), y en actividades de seguimiento más amplias, como las evaluaciones para la Lista Roja de Ecosistemas, las plataformas de teledetección, los portales nacionales de biodiversidad y los sistemas de apoyo a la toma de decisiones basados en sistemas de información geográfica (GIS). Muchas Partes, incluidos los pequeños Estados insulares en desarrollo y países costeros en desarrollo, señalan procesos dedicados a la planificación espacial marina (véanse los recuadros 7 y 8).</w:t>
      </w:r>
    </w:p>
    <w:p w14:paraId="4848C10F" w14:textId="77777777" w:rsidR="00CD4992" w:rsidRPr="005E3D50" w:rsidRDefault="00CD4992" w:rsidP="0054440B">
      <w:pPr>
        <w:pStyle w:val="Heading6"/>
        <w:rPr>
          <w:lang w:val="es-ES"/>
        </w:rPr>
      </w:pPr>
    </w:p>
    <w:p w14:paraId="3A355A6D" w14:textId="7BB7DDBD" w:rsidR="007606FF" w:rsidRPr="005E3D50" w:rsidRDefault="00A549B4" w:rsidP="0054440B">
      <w:pPr>
        <w:pStyle w:val="Heading6"/>
        <w:rPr>
          <w:lang w:val="es-ES"/>
        </w:rPr>
      </w:pPr>
      <w:bookmarkStart w:id="116" w:name="_Toc235821057"/>
      <w:r w:rsidRPr="005E3D50">
        <w:rPr>
          <w:lang w:val="es-ES"/>
        </w:rPr>
        <w:t>Ejemplos de logros y progresos en la implementación</w:t>
      </w:r>
      <w:bookmarkEnd w:id="116"/>
    </w:p>
    <w:p w14:paraId="7B177A73" w14:textId="77777777" w:rsidR="009A3D13" w:rsidRPr="005E3D50" w:rsidRDefault="009A3D13" w:rsidP="00C90E2A">
      <w:pPr>
        <w:pStyle w:val="Caption"/>
        <w:rPr>
          <w:lang w:val="es-ES"/>
        </w:rPr>
      </w:pPr>
    </w:p>
    <w:p w14:paraId="3E22AEAB" w14:textId="1FCC5CE4" w:rsidR="00172595" w:rsidRPr="005E3D50" w:rsidRDefault="00172595" w:rsidP="00B662E3">
      <w:pPr>
        <w:pStyle w:val="Caption"/>
        <w:rPr>
          <w:b/>
          <w:i w:val="0"/>
          <w:sz w:val="20"/>
          <w:szCs w:val="20"/>
          <w:lang w:val="es-ES"/>
        </w:rPr>
      </w:pPr>
    </w:p>
    <w:tbl>
      <w:tblPr>
        <w:tblStyle w:val="TableGrid"/>
        <w:tblW w:w="0" w:type="auto"/>
        <w:tblLook w:val="04A0" w:firstRow="1" w:lastRow="0" w:firstColumn="1" w:lastColumn="0" w:noHBand="0" w:noVBand="1"/>
      </w:tblPr>
      <w:tblGrid>
        <w:gridCol w:w="9350"/>
      </w:tblGrid>
      <w:tr w:rsidR="00F5345F" w:rsidRPr="005E3D50" w14:paraId="0CF27E5B" w14:textId="77777777" w:rsidTr="00A86C70">
        <w:trPr>
          <w:trHeight w:val="2907"/>
        </w:trPr>
        <w:tc>
          <w:tcPr>
            <w:tcW w:w="12157" w:type="dxa"/>
            <w:shd w:val="clear" w:color="auto" w:fill="D1D1D1" w:themeFill="background2" w:themeFillShade="E6"/>
          </w:tcPr>
          <w:p w14:paraId="5AAF0513" w14:textId="77777777" w:rsidR="00881BE0" w:rsidRPr="005E3D50" w:rsidRDefault="00881BE0" w:rsidP="00881BE0">
            <w:pPr>
              <w:jc w:val="both"/>
              <w:rPr>
                <w:sz w:val="22"/>
                <w:szCs w:val="22"/>
                <w:lang w:val="es-ES"/>
              </w:rPr>
            </w:pPr>
          </w:p>
          <w:p w14:paraId="55CF61A8" w14:textId="6B3181FA" w:rsidR="002F25F8" w:rsidRPr="005E3D50" w:rsidRDefault="002F25F8" w:rsidP="002F25F8">
            <w:pPr>
              <w:pStyle w:val="Caption"/>
              <w:rPr>
                <w:i w:val="0"/>
                <w:iCs w:val="0"/>
                <w:sz w:val="20"/>
                <w:szCs w:val="20"/>
                <w:lang w:val="es-ES"/>
              </w:rPr>
            </w:pPr>
            <w:r w:rsidRPr="005E3D50">
              <w:rPr>
                <w:i w:val="0"/>
                <w:sz w:val="20"/>
                <w:szCs w:val="20"/>
                <w:lang w:val="es-ES"/>
              </w:rPr>
              <w:t>Recuadro 7</w:t>
            </w:r>
          </w:p>
          <w:p w14:paraId="6FD191B3" w14:textId="0FE25DF3" w:rsidR="002F25F8" w:rsidRPr="005E3D50" w:rsidRDefault="002F25F8" w:rsidP="002F25F8">
            <w:pPr>
              <w:jc w:val="both"/>
              <w:rPr>
                <w:b/>
                <w:sz w:val="20"/>
                <w:szCs w:val="20"/>
                <w:lang w:val="es-ES"/>
              </w:rPr>
            </w:pPr>
            <w:r w:rsidRPr="005E3D50">
              <w:rPr>
                <w:b/>
                <w:sz w:val="20"/>
                <w:szCs w:val="20"/>
                <w:lang w:val="es-ES"/>
              </w:rPr>
              <w:t>Áreas de gestión comunitaria de recursos y planificación espacial que tiene en cuenta la biodiversidad en Ghana</w:t>
            </w:r>
          </w:p>
          <w:p w14:paraId="40B06BEA" w14:textId="77777777" w:rsidR="002F25F8" w:rsidRPr="005E3D50" w:rsidRDefault="002F25F8" w:rsidP="002F25F8">
            <w:pPr>
              <w:jc w:val="both"/>
              <w:rPr>
                <w:sz w:val="22"/>
                <w:szCs w:val="22"/>
                <w:lang w:val="es-ES"/>
              </w:rPr>
            </w:pPr>
          </w:p>
          <w:p w14:paraId="18EAB556" w14:textId="3C28D42A" w:rsidR="00B972F0" w:rsidRPr="005E3D50" w:rsidRDefault="00B972F0" w:rsidP="00B24907">
            <w:pPr>
              <w:rPr>
                <w:sz w:val="20"/>
                <w:szCs w:val="20"/>
                <w:lang w:val="es-ES"/>
              </w:rPr>
            </w:pPr>
            <w:r w:rsidRPr="005E3D50">
              <w:rPr>
                <w:sz w:val="20"/>
                <w:szCs w:val="20"/>
                <w:lang w:val="es-ES"/>
              </w:rPr>
              <w:t>La iniciativa de las áreas de gestión comunitaria de recursos de Ghana es un modelo reconocido a nivel nacional para la conservación comunitaria de la biodiversidad y la gestión sostenible de los recursos naturales. Estas áreas, establecidas en el marco de la política de gestión comunitaria colaborativa de la fauna silvestre (2000) y basadas en la política forestal y de fauna silvestre (1994), empoderan a las comunidades locales para gestionar de manera sostenible la fauna silvestre, los bosques y otros recursos naturales. Si bien en un principio se centraba en los ecosistemas forestales, el enfoque se ha expandido a través de las zonas ecológicas de los bosques altos y sabanas de Ghana, apoyando la conservación de la biodiversidad, la restauración de paisajes forestales, la mitigación del cambio climático y los medios de vida sostenibles.</w:t>
            </w:r>
          </w:p>
          <w:p w14:paraId="7F3B64D4" w14:textId="77777777" w:rsidR="00B972F0" w:rsidRPr="005E3D50" w:rsidRDefault="00B972F0" w:rsidP="00B24907">
            <w:pPr>
              <w:rPr>
                <w:sz w:val="20"/>
                <w:szCs w:val="20"/>
                <w:lang w:val="es-ES"/>
              </w:rPr>
            </w:pPr>
          </w:p>
          <w:p w14:paraId="249808E3" w14:textId="77777777" w:rsidR="00B972F0" w:rsidRPr="005E3D50" w:rsidRDefault="00B972F0" w:rsidP="00B24907">
            <w:pPr>
              <w:rPr>
                <w:sz w:val="20"/>
                <w:szCs w:val="20"/>
                <w:lang w:val="es-ES"/>
              </w:rPr>
            </w:pPr>
            <w:r w:rsidRPr="005E3D50">
              <w:rPr>
                <w:sz w:val="20"/>
                <w:szCs w:val="20"/>
                <w:lang w:val="es-ES"/>
              </w:rPr>
              <w:t xml:space="preserve">Con el apoyo del Gobierno de Ghana y asociados para el desarrollo, el marco para las áreas de gestión comunitaria de recursos transfiere formalmente a las comunidades la autoridad para gestionar los recursos naturales mediante un proceso ministerial de publicación en la gaceta oficial. Las comunidades </w:t>
            </w:r>
            <w:r w:rsidRPr="005E3D50">
              <w:rPr>
                <w:sz w:val="20"/>
                <w:szCs w:val="20"/>
                <w:lang w:val="es-ES"/>
              </w:rPr>
              <w:lastRenderedPageBreak/>
              <w:t>establecen estructuras de gobernanza, constituciones, reglamentos y planes de gestión elaborados localmente para orientar el uso sostenible de los recursos. Entre las principales actividades se incluyen la restauración de paisajes degradados, la gestión sostenible de recursos forestales, la agricultura climáticamente inteligente, el seguimiento de especies amenazadas, la implementación de REDD+ y la participación equitativa en los beneficios.</w:t>
            </w:r>
          </w:p>
          <w:p w14:paraId="7799A748" w14:textId="77777777" w:rsidR="00B972F0" w:rsidRPr="005E3D50" w:rsidRDefault="00B972F0" w:rsidP="00B24907">
            <w:pPr>
              <w:rPr>
                <w:sz w:val="20"/>
                <w:szCs w:val="20"/>
                <w:lang w:val="es-ES"/>
              </w:rPr>
            </w:pPr>
          </w:p>
          <w:p w14:paraId="5CB3658C" w14:textId="77777777" w:rsidR="00B972F0" w:rsidRPr="005E3D50" w:rsidRDefault="00B972F0" w:rsidP="00B24907">
            <w:pPr>
              <w:rPr>
                <w:sz w:val="20"/>
                <w:szCs w:val="20"/>
                <w:lang w:val="es-ES"/>
              </w:rPr>
            </w:pPr>
            <w:r w:rsidRPr="005E3D50">
              <w:rPr>
                <w:sz w:val="20"/>
                <w:szCs w:val="20"/>
                <w:lang w:val="es-ES"/>
              </w:rPr>
              <w:t>El marco de gobernanza reúne a los comités de gestión comunitaria de recursos y los comités ejecutivos, las autoridades tradicionales y las instituciones gubernamentales, dando lugar a una toma de decisiones inclusiva y fortaleciendo la custodia local de la biodiversidad y los recursos naturales.</w:t>
            </w:r>
          </w:p>
          <w:p w14:paraId="694B9761" w14:textId="77777777" w:rsidR="00B972F0" w:rsidRPr="005E3D50" w:rsidRDefault="00B972F0" w:rsidP="00B24907">
            <w:pPr>
              <w:rPr>
                <w:sz w:val="20"/>
                <w:szCs w:val="20"/>
                <w:lang w:val="es-ES"/>
              </w:rPr>
            </w:pPr>
          </w:p>
          <w:p w14:paraId="13FB572E" w14:textId="77777777" w:rsidR="00B972F0" w:rsidRPr="005E3D50" w:rsidRDefault="00B972F0" w:rsidP="00B24907">
            <w:pPr>
              <w:rPr>
                <w:sz w:val="20"/>
                <w:szCs w:val="20"/>
                <w:lang w:val="es-ES"/>
              </w:rPr>
            </w:pPr>
            <w:r w:rsidRPr="005E3D50">
              <w:rPr>
                <w:sz w:val="20"/>
                <w:szCs w:val="20"/>
                <w:lang w:val="es-ES"/>
              </w:rPr>
              <w:t>El Banco Mundial ha sido un asociado clave en la expansión del enfoque de gestión comunitaria de los recursos mediante iniciativas como proyectos de gestión sostenible de la tierra y el agua, restauración de paisajes y minería a pequeña escala en Ghana, y el programa de inversión forestal de Ghana.</w:t>
            </w:r>
          </w:p>
          <w:p w14:paraId="2C4C4B9D" w14:textId="77777777" w:rsidR="00B972F0" w:rsidRPr="005E3D50" w:rsidRDefault="00B972F0" w:rsidP="00B24907">
            <w:pPr>
              <w:rPr>
                <w:sz w:val="20"/>
                <w:szCs w:val="20"/>
                <w:lang w:val="es-ES"/>
              </w:rPr>
            </w:pPr>
          </w:p>
          <w:p w14:paraId="05FD9FF4" w14:textId="4B3A7830" w:rsidR="00B972F0" w:rsidRPr="005E3D50" w:rsidRDefault="00B972F0" w:rsidP="00B24907">
            <w:pPr>
              <w:rPr>
                <w:sz w:val="20"/>
                <w:szCs w:val="20"/>
                <w:lang w:val="es-ES"/>
              </w:rPr>
            </w:pPr>
            <w:r w:rsidRPr="005E3D50">
              <w:rPr>
                <w:sz w:val="20"/>
                <w:szCs w:val="20"/>
                <w:lang w:val="es-ES"/>
              </w:rPr>
              <w:t>El modelo de áreas de gestión comunitaria de recursos ha fortalecido la conservación de los bosques y la biodiversidad, ha restaurado paisajes degradados, ha mejorado las prácticas agrícolas sostenibles, ha aumentado los ingresos de las comunidades mediante oportunidades de medios de vida y ha reforzado la participación local en la gobernanza de los recursos naturales. En reconocimiento de su éxito, el marco se integró formalmente en la Ley de Gestión de los Recursos de Fauna y Flora Silvestres del país (2023), proporcionando una sólida base jurídica para la conservación dirigida por las comunidades. Estas áreas ahora constituyen un modelo que puede ampliarse para la implementación del Marco Mundial de Biodiversidad de Kunming-Montreal mediante la promoción de la conservación eficaz, la utilización sostenible, la participación equitativa en los beneficios y la participación significativa de las comunidades locales en la gobernanza de la biodiversidad.</w:t>
            </w:r>
          </w:p>
          <w:p w14:paraId="6DEE05EA" w14:textId="77777777" w:rsidR="00EA6F41" w:rsidRPr="005E3D50" w:rsidRDefault="00C7305A" w:rsidP="00B24907">
            <w:pPr>
              <w:rPr>
                <w:i/>
                <w:sz w:val="20"/>
                <w:szCs w:val="20"/>
                <w:lang w:val="es-ES"/>
              </w:rPr>
            </w:pPr>
            <w:r w:rsidRPr="005E3D50">
              <w:rPr>
                <w:sz w:val="20"/>
                <w:szCs w:val="20"/>
                <w:lang w:val="es-ES"/>
              </w:rPr>
              <w:t xml:space="preserve"> </w:t>
            </w:r>
          </w:p>
          <w:p w14:paraId="32DFE622" w14:textId="3796886D" w:rsidR="00EA6F41" w:rsidRPr="005E3D50" w:rsidRDefault="00EA6F41" w:rsidP="00881BE0">
            <w:pPr>
              <w:jc w:val="both"/>
              <w:rPr>
                <w:sz w:val="20"/>
                <w:szCs w:val="20"/>
                <w:lang w:val="es-ES"/>
              </w:rPr>
            </w:pPr>
            <w:r w:rsidRPr="005E3D50">
              <w:rPr>
                <w:i/>
                <w:sz w:val="20"/>
                <w:szCs w:val="20"/>
                <w:lang w:val="es-ES"/>
              </w:rPr>
              <w:t xml:space="preserve">Metas pertinentes: </w:t>
            </w:r>
            <w:r w:rsidRPr="005E3D50">
              <w:rPr>
                <w:sz w:val="20"/>
                <w:szCs w:val="20"/>
                <w:lang w:val="es-ES"/>
              </w:rPr>
              <w:t>1, 2, 5, 8, 9, 10, 14, 19</w:t>
            </w:r>
            <w:r w:rsidRPr="005E3D50">
              <w:rPr>
                <w:iCs/>
                <w:sz w:val="20"/>
                <w:szCs w:val="20"/>
                <w:lang w:val="es-ES"/>
              </w:rPr>
              <w:t xml:space="preserve"> y</w:t>
            </w:r>
            <w:r w:rsidRPr="005E3D50">
              <w:rPr>
                <w:sz w:val="20"/>
                <w:szCs w:val="20"/>
                <w:lang w:val="es-ES"/>
              </w:rPr>
              <w:t xml:space="preserve"> 22.</w:t>
            </w:r>
          </w:p>
          <w:p w14:paraId="4D2F7468" w14:textId="77777777" w:rsidR="007A5A4A" w:rsidRPr="005E3D50" w:rsidRDefault="007A5A4A" w:rsidP="00F5345F">
            <w:pPr>
              <w:rPr>
                <w:i/>
                <w:sz w:val="20"/>
                <w:szCs w:val="20"/>
                <w:lang w:val="es-ES"/>
              </w:rPr>
            </w:pPr>
          </w:p>
          <w:p w14:paraId="608EF428" w14:textId="7E6AB265" w:rsidR="00343D16" w:rsidRPr="005E3D50" w:rsidRDefault="00B662E3" w:rsidP="00F5345F">
            <w:pPr>
              <w:rPr>
                <w:sz w:val="20"/>
                <w:szCs w:val="20"/>
                <w:lang w:val="es-ES"/>
              </w:rPr>
            </w:pPr>
            <w:r w:rsidRPr="005E3D50">
              <w:rPr>
                <w:i/>
                <w:sz w:val="20"/>
                <w:szCs w:val="20"/>
                <w:lang w:val="es-ES"/>
              </w:rPr>
              <w:t xml:space="preserve">Fuentes: </w:t>
            </w:r>
            <w:r w:rsidRPr="005E3D50">
              <w:rPr>
                <w:iCs/>
                <w:sz w:val="20"/>
                <w:szCs w:val="20"/>
                <w:lang w:val="es-ES"/>
              </w:rPr>
              <w:t xml:space="preserve">Ghana, séptimo informe nacional presentado al Convenio; Asare y otros, 2013; y </w:t>
            </w:r>
            <w:proofErr w:type="spellStart"/>
            <w:r w:rsidRPr="005E3D50">
              <w:rPr>
                <w:iCs/>
                <w:sz w:val="20"/>
                <w:szCs w:val="20"/>
                <w:lang w:val="es-ES"/>
              </w:rPr>
              <w:t>Fumey</w:t>
            </w:r>
            <w:proofErr w:type="spellEnd"/>
            <w:r w:rsidRPr="005E3D50">
              <w:rPr>
                <w:iCs/>
                <w:sz w:val="20"/>
                <w:szCs w:val="20"/>
                <w:lang w:val="es-ES"/>
              </w:rPr>
              <w:t>-Nassah, 2025.</w:t>
            </w:r>
          </w:p>
          <w:p w14:paraId="3DDC863E" w14:textId="77777777" w:rsidR="007A5A4A" w:rsidRPr="005E3D50" w:rsidRDefault="007A5A4A" w:rsidP="00F5345F">
            <w:pPr>
              <w:rPr>
                <w:sz w:val="22"/>
                <w:szCs w:val="22"/>
                <w:lang w:val="es-ES"/>
              </w:rPr>
            </w:pPr>
          </w:p>
          <w:p w14:paraId="2CC49770" w14:textId="40A0B001" w:rsidR="00F5345F" w:rsidRPr="005E3D50" w:rsidRDefault="00F5345F" w:rsidP="00DD33FE">
            <w:pPr>
              <w:rPr>
                <w:i/>
                <w:sz w:val="22"/>
                <w:szCs w:val="22"/>
                <w:lang w:val="es-ES"/>
              </w:rPr>
            </w:pPr>
          </w:p>
        </w:tc>
      </w:tr>
    </w:tbl>
    <w:p w14:paraId="6A57FC7F" w14:textId="77777777" w:rsidR="00A14769" w:rsidRPr="005E3D50" w:rsidRDefault="00A14769" w:rsidP="00A14769">
      <w:pPr>
        <w:pStyle w:val="Heading6"/>
        <w:rPr>
          <w:lang w:val="es-ES"/>
        </w:rPr>
      </w:pPr>
    </w:p>
    <w:p w14:paraId="66B0DB07" w14:textId="7C074A88" w:rsidR="000769CD" w:rsidRPr="005E3D50" w:rsidRDefault="000769CD" w:rsidP="000769CD">
      <w:pPr>
        <w:pStyle w:val="Caption"/>
        <w:keepNext/>
        <w:rPr>
          <w:b/>
          <w:i w:val="0"/>
          <w:sz w:val="20"/>
          <w:szCs w:val="20"/>
          <w:lang w:val="es-ES"/>
        </w:rPr>
      </w:pPr>
    </w:p>
    <w:tbl>
      <w:tblPr>
        <w:tblStyle w:val="TableGrid"/>
        <w:tblW w:w="0" w:type="auto"/>
        <w:tblLook w:val="04A0" w:firstRow="1" w:lastRow="0" w:firstColumn="1" w:lastColumn="0" w:noHBand="0" w:noVBand="1"/>
      </w:tblPr>
      <w:tblGrid>
        <w:gridCol w:w="9350"/>
      </w:tblGrid>
      <w:tr w:rsidR="00A86C70" w:rsidRPr="005E3D50" w14:paraId="24346B8B" w14:textId="77777777" w:rsidTr="00A86C70">
        <w:tc>
          <w:tcPr>
            <w:tcW w:w="12950" w:type="dxa"/>
            <w:shd w:val="clear" w:color="auto" w:fill="D1D1D1" w:themeFill="background2" w:themeFillShade="E6"/>
          </w:tcPr>
          <w:p w14:paraId="2393BB44" w14:textId="77777777" w:rsidR="00005576" w:rsidRPr="005E3D50" w:rsidRDefault="00005576" w:rsidP="00005576">
            <w:pPr>
              <w:rPr>
                <w:rFonts w:ascii="Aptos" w:eastAsia="Aptos" w:hAnsi="Aptos" w:cs="Aptos"/>
                <w:color w:val="000000" w:themeColor="text1"/>
                <w:lang w:val="es-ES" w:eastAsia="zh-CN"/>
              </w:rPr>
            </w:pPr>
          </w:p>
          <w:p w14:paraId="54AECA97" w14:textId="149465B3" w:rsidR="002F25F8" w:rsidRPr="005E3D50" w:rsidRDefault="002F25F8" w:rsidP="002F25F8">
            <w:pPr>
              <w:pStyle w:val="Caption"/>
              <w:keepNext/>
              <w:rPr>
                <w:i w:val="0"/>
                <w:iCs w:val="0"/>
                <w:sz w:val="20"/>
                <w:szCs w:val="20"/>
                <w:lang w:val="es-ES"/>
              </w:rPr>
            </w:pPr>
            <w:r w:rsidRPr="005E3D50">
              <w:rPr>
                <w:i w:val="0"/>
                <w:sz w:val="20"/>
                <w:szCs w:val="20"/>
                <w:lang w:val="es-ES"/>
              </w:rPr>
              <w:t>Recuadro 8</w:t>
            </w:r>
          </w:p>
          <w:p w14:paraId="60BE2F2E" w14:textId="509EE443" w:rsidR="00B202DB" w:rsidRPr="005E3D50" w:rsidRDefault="002F25F8" w:rsidP="002F25F8">
            <w:pPr>
              <w:rPr>
                <w:b/>
                <w:sz w:val="20"/>
                <w:szCs w:val="20"/>
                <w:lang w:val="es-ES"/>
              </w:rPr>
            </w:pPr>
            <w:r w:rsidRPr="005E3D50">
              <w:rPr>
                <w:b/>
                <w:sz w:val="20"/>
                <w:szCs w:val="20"/>
                <w:lang w:val="es-ES"/>
              </w:rPr>
              <w:t>Asociaciones de múltiples interesados para impulsar el relevamiento de Áreas Clave para la Biodiversidad y la planificación espacial que tiene en cuenta la biodiversidad en Mozambique</w:t>
            </w:r>
          </w:p>
          <w:p w14:paraId="007D0888" w14:textId="77777777" w:rsidR="002F25F8" w:rsidRPr="005E3D50" w:rsidRDefault="002F25F8" w:rsidP="002F25F8">
            <w:pPr>
              <w:rPr>
                <w:rFonts w:ascii="Aptos" w:eastAsia="Aptos" w:hAnsi="Aptos" w:cs="Aptos"/>
                <w:color w:val="000000" w:themeColor="text1"/>
                <w:lang w:val="es-ES" w:eastAsia="zh-CN"/>
              </w:rPr>
            </w:pPr>
          </w:p>
          <w:p w14:paraId="145C0BD7" w14:textId="77949CAE" w:rsidR="00B45B92" w:rsidRPr="005E3D50" w:rsidRDefault="00B45B92" w:rsidP="00B45B92">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Mozambique ha realizado amplios esfuerzos para identificar y delimitar áreas clave para la biodiversidad, convirtiéndose en uno de los primeros países en aplicar la Norma Mundial para la Identificación de Áreas Clave para la Biodiversidad, elaborada por la Unión Internacional para la Conservación de la Naturaleza (</w:t>
            </w:r>
            <w:r w:rsidR="004E09FB" w:rsidRPr="005E3D50">
              <w:rPr>
                <w:rFonts w:ascii="Aptos" w:hAnsi="Aptos"/>
                <w:color w:val="000000" w:themeColor="text1"/>
                <w:sz w:val="20"/>
                <w:szCs w:val="20"/>
                <w:lang w:val="es-ES"/>
              </w:rPr>
              <w:t>U</w:t>
            </w:r>
            <w:r w:rsidRPr="005E3D50">
              <w:rPr>
                <w:rFonts w:ascii="Aptos" w:hAnsi="Aptos"/>
                <w:color w:val="000000" w:themeColor="text1"/>
                <w:sz w:val="20"/>
                <w:szCs w:val="20"/>
                <w:lang w:val="es-ES"/>
              </w:rPr>
              <w:t xml:space="preserve">ICN, 2016). La Norma proporciona un marco reconocido a nivel mundial para identificar sitios que son fundamentales para la persistencia de la biodiversidad en los ecosistemas terrestres, de agua dulce, marinos y subterráneos. </w:t>
            </w:r>
          </w:p>
          <w:p w14:paraId="2A3F0555" w14:textId="77777777" w:rsidR="00B45B92" w:rsidRPr="005E3D50" w:rsidRDefault="00B45B92" w:rsidP="00B45B92">
            <w:pPr>
              <w:spacing w:line="276" w:lineRule="auto"/>
              <w:rPr>
                <w:rFonts w:ascii="Aptos" w:eastAsia="Aptos" w:hAnsi="Aptos" w:cs="Aptos"/>
                <w:color w:val="000000" w:themeColor="text1"/>
                <w:sz w:val="20"/>
                <w:szCs w:val="20"/>
                <w:lang w:val="es-ES" w:eastAsia="zh-CN"/>
              </w:rPr>
            </w:pPr>
          </w:p>
          <w:p w14:paraId="4EBC59A1" w14:textId="1FFF4688" w:rsidR="00B45B92" w:rsidRPr="005E3D50" w:rsidRDefault="00B45B92" w:rsidP="00B45B92">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Uno de los principales resultados de este proceso fue la identificación de 29 Áreas Clave para la Biodiversidad en todo Mozambique, que ahora sirven como importantes zonas de referencia para la planificación del desarrollo y la toma de decisiones sobre el uso de la tierra. Paralelamente al programa de </w:t>
            </w:r>
            <w:r w:rsidRPr="005E3D50">
              <w:rPr>
                <w:rFonts w:ascii="Aptos" w:hAnsi="Aptos"/>
                <w:color w:val="000000" w:themeColor="text1"/>
                <w:sz w:val="20"/>
                <w:szCs w:val="20"/>
                <w:lang w:val="es-ES"/>
              </w:rPr>
              <w:lastRenderedPageBreak/>
              <w:t>Áreas Clave para la Biodiversidad, Mozambique elaboró un mapa histórico de la vegetación, llevó a cabo su primera evaluación nacional de la Lista Roja de Ecosistemas para identificar los ecosistemas en riesgo de degradación y las zonas que requieren protección estricta, e impulsó iniciativas complementarias tales como la identificación de áreas importantes para las plantas y la planificación espacial marina.</w:t>
            </w:r>
          </w:p>
          <w:p w14:paraId="2AC767D5" w14:textId="77777777" w:rsidR="00B45B92" w:rsidRPr="005E3D50" w:rsidRDefault="00B45B92" w:rsidP="00B45B92">
            <w:pPr>
              <w:spacing w:line="276" w:lineRule="auto"/>
              <w:rPr>
                <w:rFonts w:ascii="Aptos" w:eastAsia="Aptos" w:hAnsi="Aptos" w:cs="Aptos"/>
                <w:color w:val="000000" w:themeColor="text1"/>
                <w:sz w:val="20"/>
                <w:szCs w:val="20"/>
                <w:lang w:val="es-ES" w:eastAsia="zh-CN"/>
              </w:rPr>
            </w:pPr>
          </w:p>
          <w:p w14:paraId="3EE710E6" w14:textId="77777777" w:rsidR="00B45B92" w:rsidRPr="005E3D50" w:rsidRDefault="00B45B92" w:rsidP="00B45B92">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El programa contó con la participación de una amplia coalición de actores gubernamentales, no gubernamentales e internacionales. El Gobierno de Mozambique estableció un grupo de coordinación nacional integrado por 20 instituciones nacionales, incluidos el Ministerio de Tierras y Medio Ambiente y el Ministerio del Mar, Aguas Continentales y Pesca. Organizaciones internacionales de conservación, entre ellas la UICN, </w:t>
            </w:r>
            <w:proofErr w:type="spellStart"/>
            <w:r w:rsidRPr="005E3D50">
              <w:rPr>
                <w:rFonts w:ascii="Aptos" w:hAnsi="Aptos"/>
                <w:color w:val="000000" w:themeColor="text1"/>
                <w:sz w:val="20"/>
                <w:szCs w:val="20"/>
                <w:lang w:val="es-ES"/>
              </w:rPr>
              <w:t>Wildlife</w:t>
            </w:r>
            <w:proofErr w:type="spellEnd"/>
            <w:r w:rsidRPr="005E3D50">
              <w:rPr>
                <w:rFonts w:ascii="Aptos" w:hAnsi="Aptos"/>
                <w:color w:val="000000" w:themeColor="text1"/>
                <w:sz w:val="20"/>
                <w:szCs w:val="20"/>
                <w:lang w:val="es-ES"/>
              </w:rPr>
              <w:t xml:space="preserve"> Conservation </w:t>
            </w:r>
            <w:proofErr w:type="spellStart"/>
            <w:r w:rsidRPr="005E3D50">
              <w:rPr>
                <w:rFonts w:ascii="Aptos" w:hAnsi="Aptos"/>
                <w:color w:val="000000" w:themeColor="text1"/>
                <w:sz w:val="20"/>
                <w:szCs w:val="20"/>
                <w:lang w:val="es-ES"/>
              </w:rPr>
              <w:t>Society</w:t>
            </w:r>
            <w:proofErr w:type="spellEnd"/>
            <w:r w:rsidRPr="005E3D50">
              <w:rPr>
                <w:rFonts w:ascii="Aptos" w:hAnsi="Aptos"/>
                <w:color w:val="000000" w:themeColor="text1"/>
                <w:sz w:val="20"/>
                <w:szCs w:val="20"/>
                <w:lang w:val="es-ES"/>
              </w:rPr>
              <w:t xml:space="preserve"> y el Fondo Mundial para la Naturaleza, proporcionaron conocimientos técnicos y apoyo para la recaudación de fondos. Se proporcionó apoyo adicional mediante proyectos financiados por el FMAM y la Agencia de los Estados Unidos para el Desarrollo Internacional. </w:t>
            </w:r>
          </w:p>
          <w:p w14:paraId="41801C13" w14:textId="77777777" w:rsidR="00B45B92" w:rsidRPr="005E3D50" w:rsidRDefault="00B45B92" w:rsidP="00B45B92">
            <w:pPr>
              <w:spacing w:line="276" w:lineRule="auto"/>
              <w:rPr>
                <w:rFonts w:ascii="Aptos" w:eastAsia="Aptos" w:hAnsi="Aptos" w:cs="Aptos"/>
                <w:color w:val="000000" w:themeColor="text1"/>
                <w:sz w:val="20"/>
                <w:szCs w:val="20"/>
                <w:lang w:val="es-ES" w:eastAsia="zh-CN"/>
              </w:rPr>
            </w:pPr>
          </w:p>
          <w:p w14:paraId="6AC1DA8B" w14:textId="77777777" w:rsidR="00B45B92" w:rsidRPr="005E3D50" w:rsidRDefault="00B45B92" w:rsidP="00B45B92">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El programa se ha implementado en todo el territorio de Mozambique y abarca los principales tipos de ecosistemas. Se enfrenta a dos desafíos fundamentales: la limitada capacidad financiera y técnica para la planificación espacial relacionada con la biodiversidad y la coordinación insuficiente entre los distintos interesados. Las medidas adoptadas en el contexto del programa han contribuido a fortalecer las políticas de conservación de la biodiversidad y han mejorado la implementación de la EPANB de Mozambique. </w:t>
            </w:r>
          </w:p>
          <w:p w14:paraId="29E9F7F0" w14:textId="77777777" w:rsidR="00005576" w:rsidRPr="005E3D50" w:rsidRDefault="00005576" w:rsidP="00FF05B2">
            <w:pPr>
              <w:spacing w:line="276" w:lineRule="auto"/>
              <w:rPr>
                <w:i/>
                <w:sz w:val="20"/>
                <w:szCs w:val="20"/>
                <w:lang w:val="es-ES"/>
              </w:rPr>
            </w:pPr>
          </w:p>
          <w:p w14:paraId="7125402F" w14:textId="69B27A20" w:rsidR="00ED4F09" w:rsidRPr="005E3D50" w:rsidRDefault="00ED4F09" w:rsidP="00FF05B2">
            <w:pPr>
              <w:spacing w:line="276" w:lineRule="auto"/>
              <w:rPr>
                <w:sz w:val="20"/>
                <w:szCs w:val="20"/>
                <w:lang w:val="es-ES"/>
              </w:rPr>
            </w:pPr>
            <w:r w:rsidRPr="005E3D50">
              <w:rPr>
                <w:i/>
                <w:sz w:val="20"/>
                <w:szCs w:val="20"/>
                <w:lang w:val="es-ES"/>
              </w:rPr>
              <w:t xml:space="preserve">Metas pertinentes: </w:t>
            </w:r>
            <w:r w:rsidRPr="005E3D50">
              <w:rPr>
                <w:sz w:val="20"/>
                <w:szCs w:val="20"/>
                <w:lang w:val="es-ES"/>
              </w:rPr>
              <w:t>1, 3,</w:t>
            </w:r>
            <w:r w:rsidR="00392351" w:rsidRPr="005E3D50">
              <w:rPr>
                <w:sz w:val="20"/>
                <w:szCs w:val="20"/>
                <w:lang w:val="es-ES"/>
              </w:rPr>
              <w:t xml:space="preserve"> </w:t>
            </w:r>
            <w:r w:rsidRPr="005E3D50">
              <w:rPr>
                <w:sz w:val="20"/>
                <w:szCs w:val="20"/>
                <w:lang w:val="es-ES"/>
              </w:rPr>
              <w:t>19, 20</w:t>
            </w:r>
            <w:r w:rsidRPr="005E3D50">
              <w:rPr>
                <w:iCs/>
                <w:sz w:val="20"/>
                <w:szCs w:val="20"/>
                <w:lang w:val="es-ES"/>
              </w:rPr>
              <w:t xml:space="preserve"> y</w:t>
            </w:r>
            <w:r w:rsidRPr="005E3D50">
              <w:rPr>
                <w:sz w:val="20"/>
                <w:szCs w:val="20"/>
                <w:lang w:val="es-ES"/>
              </w:rPr>
              <w:t xml:space="preserve"> 21.</w:t>
            </w:r>
          </w:p>
          <w:p w14:paraId="7732A910" w14:textId="15FEB744" w:rsidR="00005576" w:rsidRPr="005E3D50" w:rsidRDefault="00F3048F" w:rsidP="007E2F31">
            <w:pPr>
              <w:rPr>
                <w:sz w:val="20"/>
                <w:szCs w:val="20"/>
                <w:lang w:val="es-ES"/>
              </w:rPr>
            </w:pPr>
            <w:r w:rsidRPr="005E3D50">
              <w:rPr>
                <w:i/>
                <w:sz w:val="20"/>
                <w:szCs w:val="20"/>
                <w:lang w:val="es-ES"/>
              </w:rPr>
              <w:t xml:space="preserve">Fuente: </w:t>
            </w:r>
            <w:r w:rsidRPr="005E3D50">
              <w:rPr>
                <w:sz w:val="20"/>
                <w:szCs w:val="20"/>
                <w:lang w:val="es-ES"/>
              </w:rPr>
              <w:t>Mozambique, séptimo informe nacional presentado al Convenio.</w:t>
            </w:r>
          </w:p>
          <w:p w14:paraId="1AA76E05" w14:textId="3EA79CEB" w:rsidR="00A86C70" w:rsidRPr="005E3D50" w:rsidRDefault="00A86C70" w:rsidP="00A86C70">
            <w:pPr>
              <w:rPr>
                <w:lang w:val="es-ES"/>
              </w:rPr>
            </w:pPr>
          </w:p>
        </w:tc>
      </w:tr>
    </w:tbl>
    <w:p w14:paraId="68D2D475" w14:textId="77777777" w:rsidR="00A86C70" w:rsidRPr="005E3D50" w:rsidRDefault="00A86C70" w:rsidP="00A86C70">
      <w:pPr>
        <w:rPr>
          <w:lang w:val="es-ES"/>
        </w:rPr>
      </w:pPr>
    </w:p>
    <w:p w14:paraId="2CFFD2D9" w14:textId="77777777" w:rsidR="008E217E" w:rsidRPr="005E3D50" w:rsidRDefault="008E217E" w:rsidP="00A86C70">
      <w:pPr>
        <w:rPr>
          <w:lang w:val="es-ES"/>
        </w:rPr>
      </w:pPr>
    </w:p>
    <w:p w14:paraId="75FCF2D0" w14:textId="14ADC55A" w:rsidR="00A14769" w:rsidRPr="005E3D50" w:rsidRDefault="00A14769" w:rsidP="00A14769">
      <w:pPr>
        <w:pStyle w:val="Heading6"/>
        <w:rPr>
          <w:b/>
          <w:bCs/>
          <w:lang w:val="es-ES"/>
        </w:rPr>
      </w:pPr>
      <w:bookmarkStart w:id="117" w:name="_Toc235821058"/>
      <w:r w:rsidRPr="005E3D50">
        <w:rPr>
          <w:lang w:val="es-ES"/>
        </w:rPr>
        <w:t>D</w:t>
      </w:r>
      <w:r w:rsidR="0049063C">
        <w:rPr>
          <w:lang w:val="es-ES"/>
        </w:rPr>
        <w:t>ificultade</w:t>
      </w:r>
      <w:r w:rsidRPr="005E3D50">
        <w:rPr>
          <w:lang w:val="es-ES"/>
        </w:rPr>
        <w:t>s</w:t>
      </w:r>
      <w:bookmarkEnd w:id="117"/>
    </w:p>
    <w:p w14:paraId="1EF49BBB" w14:textId="77777777" w:rsidR="00444695" w:rsidRPr="005E3D50" w:rsidRDefault="00444695" w:rsidP="00444695">
      <w:pPr>
        <w:rPr>
          <w:lang w:val="es-ES"/>
        </w:rPr>
      </w:pPr>
    </w:p>
    <w:p w14:paraId="7FC9C81A" w14:textId="12A386C9" w:rsidR="00444695" w:rsidRPr="005E3D50" w:rsidRDefault="00444695" w:rsidP="00444695">
      <w:pPr>
        <w:rPr>
          <w:lang w:val="es-ES"/>
        </w:rPr>
      </w:pPr>
      <w:r w:rsidRPr="005E3D50">
        <w:rPr>
          <w:lang w:val="es-ES"/>
        </w:rPr>
        <w:t xml:space="preserve">Casi tres cuartos de las Partes que presentan informes sobre la meta 1 señalan dificultades relacionadas con la capacidad, los recursos humanos o las limitaciones institucionales. Entre ellas figuran la falta de conocimientos técnicos especializados, la falta de personal en las instituciones y la elevada rotación del personal, que en su conjunto limitan la implementación. Las carencias en materia de datos y seguimiento se informan casi con la misma frecuencia, ya que más del 70 % de las Partes ponen de relieve dificultades tales como la falta de datos de referencia sobre ecosistemas, especies o zonas de suma importancia para la biodiversidad. Los conjuntos de datos geoespaciales suelen estar fragmentados entre distintos ministerios, lo que dificulta hacer un seguimiento de los progresos o ejecutar los planes espaciales. Alrededor del 60 % de las Partes describen </w:t>
      </w:r>
      <w:r w:rsidR="00B42F3C">
        <w:rPr>
          <w:lang w:val="es-ES"/>
        </w:rPr>
        <w:t>dificultades</w:t>
      </w:r>
      <w:r w:rsidRPr="005E3D50">
        <w:rPr>
          <w:lang w:val="es-ES"/>
        </w:rPr>
        <w:t xml:space="preserve"> jurídic</w:t>
      </w:r>
      <w:r w:rsidR="00B42F3C">
        <w:rPr>
          <w:lang w:val="es-ES"/>
        </w:rPr>
        <w:t>a</w:t>
      </w:r>
      <w:r w:rsidRPr="005E3D50">
        <w:rPr>
          <w:lang w:val="es-ES"/>
        </w:rPr>
        <w:t xml:space="preserve">s, de políticas y de gobernanza, que incluyen problemas tales como la superposición de mandatos entre ministerios y una desconexión persistente entre la legislación ambiental y los instrumentos de planificación sectorial en la agricultura, la infraestructura, la minería y la energía, entre otros sectores. Varias Partes, </w:t>
      </w:r>
      <w:r w:rsidRPr="005E3D50">
        <w:rPr>
          <w:lang w:val="es-ES"/>
        </w:rPr>
        <w:lastRenderedPageBreak/>
        <w:t>especialmente aquellas afectadas por conflictos, inestabilidad política o una rápida transición económica, enfrentan desafíos adicionales para hacer cumplir las leyes existentes, tales como sanciones poco severas y una capacidad limitada para su cumplimiento, lo que permite que persistan prácticas perjudiciales incluso en zonas bajo protección formal.</w:t>
      </w:r>
    </w:p>
    <w:p w14:paraId="63EF3E98" w14:textId="77777777" w:rsidR="0018223E" w:rsidRPr="005E3D50" w:rsidRDefault="0018223E" w:rsidP="00874061">
      <w:pPr>
        <w:pStyle w:val="Heading5"/>
        <w:rPr>
          <w:lang w:val="es-ES"/>
        </w:rPr>
      </w:pPr>
    </w:p>
    <w:p w14:paraId="54EF4EA3" w14:textId="6411E53A" w:rsidR="00580684" w:rsidRPr="005E3D50" w:rsidRDefault="00125C8E" w:rsidP="00874061">
      <w:pPr>
        <w:pStyle w:val="Heading5"/>
        <w:rPr>
          <w:lang w:val="es-ES"/>
        </w:rPr>
      </w:pPr>
      <w:bookmarkStart w:id="118" w:name="_Toc235821059"/>
      <w:r w:rsidRPr="005E3D50">
        <w:rPr>
          <w:lang w:val="es-ES"/>
        </w:rPr>
        <w:t>Contribuciones de actores distintos de los Gobiernos nacionales</w:t>
      </w:r>
      <w:bookmarkEnd w:id="118"/>
    </w:p>
    <w:p w14:paraId="4CFD8D5E" w14:textId="77777777" w:rsidR="00A57AF7" w:rsidRPr="005E3D50" w:rsidRDefault="00A57AF7" w:rsidP="00C0565B">
      <w:pPr>
        <w:pStyle w:val="Heading6"/>
        <w:rPr>
          <w:lang w:val="es-ES"/>
        </w:rPr>
      </w:pPr>
    </w:p>
    <w:p w14:paraId="0F3D8597" w14:textId="6B048C29" w:rsidR="0017526E" w:rsidRPr="005E3D50" w:rsidRDefault="00911961" w:rsidP="00C0565B">
      <w:pPr>
        <w:pStyle w:val="Heading6"/>
        <w:rPr>
          <w:lang w:val="es-ES"/>
        </w:rPr>
      </w:pPr>
      <w:bookmarkStart w:id="119" w:name="_Toc235821060"/>
      <w:r w:rsidRPr="005E3D50">
        <w:rPr>
          <w:lang w:val="es-ES"/>
        </w:rPr>
        <w:t>Compromisos presentados directamente a través de la herramienta de presentación de informes en línea</w:t>
      </w:r>
      <w:bookmarkEnd w:id="119"/>
    </w:p>
    <w:p w14:paraId="4DB30047" w14:textId="77777777" w:rsidR="00A57AF7" w:rsidRPr="005E3D50" w:rsidRDefault="00A57AF7" w:rsidP="00AB4C66">
      <w:pPr>
        <w:rPr>
          <w:lang w:val="es-ES"/>
        </w:rPr>
      </w:pPr>
    </w:p>
    <w:p w14:paraId="14DBED51" w14:textId="77777777" w:rsidR="00207322" w:rsidRPr="005E3D50" w:rsidRDefault="00207322" w:rsidP="00207322">
      <w:pPr>
        <w:rPr>
          <w:lang w:val="es-ES"/>
        </w:rPr>
      </w:pPr>
      <w:r w:rsidRPr="005E3D50">
        <w:rPr>
          <w:lang w:val="es-ES"/>
        </w:rPr>
        <w:t>De los 180 compromisos sustantivos presentados directamente por actores distintos de los Gobiernos nacionales, siete están relacionados principalmente con la meta 1. Tres de los compromisos proceden de ONG, dos de instituciones académicas y de investigación y dos de empresas o de la industria. La mayoría de los compromisos se centran en la integración, reflejando los esfuerzos de los interesados por integrar la biodiversidad en la planificación espacial, la gestión de sitios empresariales y los marcos de gobernanza de los paisajes. Los compromisos incluyen medidas en Europa, Asia Sudoriental y Meridional, África Oriental y América del Sur.</w:t>
      </w:r>
    </w:p>
    <w:p w14:paraId="114FFD77" w14:textId="77777777" w:rsidR="004F0C08" w:rsidRPr="005E3D50" w:rsidRDefault="004F0C08" w:rsidP="00AB4C66">
      <w:pPr>
        <w:rPr>
          <w:lang w:val="es-ES"/>
        </w:rPr>
      </w:pPr>
    </w:p>
    <w:p w14:paraId="24B010EF" w14:textId="26D2ECBB" w:rsidR="00AB4C66" w:rsidRPr="005E3D50" w:rsidRDefault="00125C8E" w:rsidP="00AB4C66">
      <w:pPr>
        <w:pStyle w:val="Heading6"/>
        <w:rPr>
          <w:lang w:val="es-ES"/>
        </w:rPr>
      </w:pPr>
      <w:bookmarkStart w:id="120" w:name="_Toc235821061"/>
      <w:r w:rsidRPr="005E3D50">
        <w:rPr>
          <w:lang w:val="es-ES"/>
        </w:rPr>
        <w:t>Contribuciones integradas en los informes nacionales</w:t>
      </w:r>
      <w:bookmarkEnd w:id="120"/>
    </w:p>
    <w:p w14:paraId="00A57F5D" w14:textId="77777777" w:rsidR="00F637D5" w:rsidRPr="005E3D50" w:rsidRDefault="00F637D5" w:rsidP="008129F7">
      <w:pPr>
        <w:rPr>
          <w:lang w:val="es-ES"/>
        </w:rPr>
      </w:pPr>
    </w:p>
    <w:p w14:paraId="68A2C260" w14:textId="77777777" w:rsidR="008D4293" w:rsidRPr="005E3D50" w:rsidRDefault="008D4293" w:rsidP="008D4293">
      <w:pPr>
        <w:rPr>
          <w:lang w:val="es-ES"/>
        </w:rPr>
      </w:pPr>
      <w:r w:rsidRPr="005E3D50">
        <w:rPr>
          <w:lang w:val="es-ES"/>
        </w:rPr>
        <w:t xml:space="preserve">Los gobiernos subnacionales, incluidas las ciudades y las autoridades locales, suelen ser los principales responsables de la planificación espacial, especialmente en los sistemas federales y descentralizados. Esto les confiere una función clave en la implementación de la meta 1, de modo que la participación de los gobiernos subnacionales se señala en alrededor del 80 % de los informes nacionales, y casi la mitad de ellos ofrecen descripciones claras de su participación. También se señala ampliamente la participación de las organizaciones intergubernamentales y los asociados internacionales, especialmente con respecto a la cofinanciación de operaciones, la implementación técnica conjunta y la gobernanza transfronteriza. Las comunidades científicas y académicas aportan datos espaciales para apoyar la planificación que tenga en cuenta la biodiversidad, así como el diseño de sistemas de seguimiento, el desarrollo conjunto de herramientas y la creación de capacidad. Se señala la participación de los pueblos indígenas y las comunidades locales en alrededor de dos tercios de los informes </w:t>
      </w:r>
      <w:r w:rsidRPr="005E3D50">
        <w:rPr>
          <w:lang w:val="es-ES"/>
        </w:rPr>
        <w:lastRenderedPageBreak/>
        <w:t>nacionales disponibles para el análisis, pero solo aproximadamente la mitad de ellos proporciona una descripción clara de sus funciones, que incluyen la integración de conocimientos, la participación de los titulares de derechos y la gobernanza conjunta de la planificación espacial.</w:t>
      </w:r>
    </w:p>
    <w:p w14:paraId="0EEB3AFB" w14:textId="77777777" w:rsidR="001E7205" w:rsidRPr="005E3D50" w:rsidRDefault="001E7205" w:rsidP="005E4052">
      <w:pPr>
        <w:pStyle w:val="Heading5"/>
        <w:rPr>
          <w:lang w:val="es-ES"/>
        </w:rPr>
      </w:pPr>
    </w:p>
    <w:p w14:paraId="570C06A0" w14:textId="7CC439D2" w:rsidR="005E4052" w:rsidRPr="005E3D50" w:rsidRDefault="005E4052" w:rsidP="005E4052">
      <w:pPr>
        <w:pStyle w:val="Heading5"/>
        <w:rPr>
          <w:lang w:val="es-ES"/>
        </w:rPr>
      </w:pPr>
      <w:bookmarkStart w:id="121" w:name="_Toc235821062"/>
      <w:bookmarkStart w:id="122" w:name="_Hlk232759240"/>
      <w:r w:rsidRPr="005E3D50">
        <w:rPr>
          <w:lang w:val="es-ES"/>
        </w:rPr>
        <w:t>Ejemplos de vínculos con otros acuerdos, procesos y organizaciones</w:t>
      </w:r>
      <w:bookmarkEnd w:id="121"/>
      <w:r w:rsidRPr="005E3D50">
        <w:rPr>
          <w:lang w:val="es-ES"/>
        </w:rPr>
        <w:t xml:space="preserve"> </w:t>
      </w:r>
    </w:p>
    <w:bookmarkEnd w:id="122"/>
    <w:p w14:paraId="56397FE1" w14:textId="77777777" w:rsidR="00D368C5" w:rsidRPr="005E3D50" w:rsidRDefault="00D368C5" w:rsidP="005800F7">
      <w:pPr>
        <w:rPr>
          <w:lang w:val="es-ES"/>
        </w:rPr>
      </w:pPr>
    </w:p>
    <w:p w14:paraId="0A229540" w14:textId="5C235F19" w:rsidR="005800F7" w:rsidRPr="005E3D50" w:rsidRDefault="00EC0CF1" w:rsidP="005800F7">
      <w:pPr>
        <w:rPr>
          <w:lang w:val="es-ES"/>
        </w:rPr>
      </w:pPr>
      <w:r w:rsidRPr="005E3D50">
        <w:rPr>
          <w:lang w:val="es-ES"/>
        </w:rPr>
        <w:t>La secretaría de la Convención de las Naciones Unidas de Lucha contra la Desertificación en los Países Afectados por Sequía Grave o Desertificación, en Particular en África</w:t>
      </w:r>
      <w:r w:rsidRPr="005E3D50">
        <w:rPr>
          <w:rFonts w:ascii="Aptos" w:hAnsi="Aptos"/>
          <w:lang w:val="es-ES"/>
        </w:rPr>
        <w:t xml:space="preserve"> </w:t>
      </w:r>
      <w:r w:rsidRPr="005E3D50">
        <w:rPr>
          <w:lang w:val="es-ES"/>
        </w:rPr>
        <w:t>(CLD) define la neutralización de la degradación de las tierras como “una situación en que la cantidad y la calidad de los recursos de tierras necesarios para sustentar las funciones y los servicios de los ecosistemas e incrementar la seguridad alimentaria se mantienen estables o aumentan en los ecosistemas y las escalas temporales y espaciales de que se trate” (CLD, 2015). En la práctica, esto significa que toda nueva degradación de las tierras, si no puede evitarse, debe equilibrarse o compensarse mediante la restauración o gestión sostenible de tierras en otro lugar; en otras palabras, no debe haber una pérdida neta de tierras productivas. La Interfaz Ciencia-Política establecida por la Conferencia de las Partes en la CLD ha elaborado directrices para aplicar la planificación integrada del uso de la tierra y la gestión integrada de la tierra a fin de lograr la neutralización de la degradación de las tierras. Este enfoque formó parte de la base empírica para la meta 1 del Marco cuando se acordó inicialmente y permite a las Partes abordar la pérdida de diversidad biológica y la degradación de las tierras en el marco de un proceso de planificación combinado (CLD, 2025; y Verburg, 2022).</w:t>
      </w:r>
    </w:p>
    <w:p w14:paraId="18C81836" w14:textId="707D18B7" w:rsidR="00115893" w:rsidRPr="005E3D50" w:rsidRDefault="004033D4" w:rsidP="00691365">
      <w:pPr>
        <w:rPr>
          <w:lang w:val="es-ES"/>
        </w:rPr>
      </w:pPr>
      <w:r w:rsidRPr="005E3D50">
        <w:rPr>
          <w:lang w:val="es-ES"/>
        </w:rPr>
        <w:t xml:space="preserve">La Organización de las Naciones Unidas para la Alimentación y la Agricultura (FAO) también ha publicado directrices actualizadas sobre la planificación integrada del uso de la tierra, destinadas a ayudar a los países a cumplir sus compromisos internacionales, incluida la meta 1 del Marco, y los Objetivos de Desarrollo Sostenible. En las directrices se consideran las cuestiones siguientes: el cambio climático, la neutralización de la degradación de las tierras y su restauración, la conservación y la utilización sostenible de la biodiversidad, la gestión integrada de los recursos de tierras y aguas, la urbanización, la agricultura urbana y periurbana, la gobernanza, la tenencia y los derechos a la tierra de las mujeres y los pueblos indígenas (FAO, 2024a y 2025a). Hay más orientación sobre la implementación de la meta 1 disponible a través de la herramienta Áreas Esenciales para el Soporte de la Vida (ELSA) del PNUD, en la plataforma del Laboratorio de Biodiversidad </w:t>
      </w:r>
      <w:r w:rsidRPr="005E3D50">
        <w:rPr>
          <w:lang w:val="es-ES"/>
        </w:rPr>
        <w:lastRenderedPageBreak/>
        <w:t>de las Naciones Unidas (PNUD, 2023)</w:t>
      </w:r>
      <w:r w:rsidR="00B64022" w:rsidRPr="005E3D50">
        <w:rPr>
          <w:rStyle w:val="FootnoteReference"/>
          <w:lang w:val="es-ES"/>
        </w:rPr>
        <w:footnoteReference w:id="12"/>
      </w:r>
      <w:r w:rsidRPr="005E3D50">
        <w:rPr>
          <w:lang w:val="es-ES"/>
        </w:rPr>
        <w:t xml:space="preserve">, y en el documento temático núm. 4, titulado </w:t>
      </w:r>
      <w:proofErr w:type="spellStart"/>
      <w:r w:rsidRPr="005E3D50">
        <w:rPr>
          <w:i/>
          <w:iCs/>
          <w:lang w:val="es-ES"/>
        </w:rPr>
        <w:t>An</w:t>
      </w:r>
      <w:proofErr w:type="spellEnd"/>
      <w:r w:rsidRPr="005E3D50">
        <w:rPr>
          <w:i/>
          <w:iCs/>
          <w:lang w:val="es-ES"/>
        </w:rPr>
        <w:t xml:space="preserve"> </w:t>
      </w:r>
      <w:proofErr w:type="spellStart"/>
      <w:r w:rsidRPr="005E3D50">
        <w:rPr>
          <w:i/>
          <w:iCs/>
          <w:lang w:val="es-ES"/>
        </w:rPr>
        <w:t>overview</w:t>
      </w:r>
      <w:proofErr w:type="spellEnd"/>
      <w:r w:rsidRPr="005E3D50">
        <w:rPr>
          <w:i/>
          <w:iCs/>
          <w:lang w:val="es-ES"/>
        </w:rPr>
        <w:t xml:space="preserve"> of </w:t>
      </w:r>
      <w:proofErr w:type="spellStart"/>
      <w:r w:rsidRPr="005E3D50">
        <w:rPr>
          <w:i/>
          <w:iCs/>
          <w:lang w:val="es-ES"/>
        </w:rPr>
        <w:t>participatory</w:t>
      </w:r>
      <w:proofErr w:type="spellEnd"/>
      <w:r w:rsidRPr="005E3D50">
        <w:rPr>
          <w:i/>
          <w:iCs/>
          <w:lang w:val="es-ES"/>
        </w:rPr>
        <w:t xml:space="preserve">, </w:t>
      </w:r>
      <w:proofErr w:type="spellStart"/>
      <w:r w:rsidRPr="005E3D50">
        <w:rPr>
          <w:i/>
          <w:iCs/>
          <w:lang w:val="es-ES"/>
        </w:rPr>
        <w:t>integrated</w:t>
      </w:r>
      <w:proofErr w:type="spellEnd"/>
      <w:r w:rsidRPr="005E3D50">
        <w:rPr>
          <w:i/>
          <w:iCs/>
          <w:lang w:val="es-ES"/>
        </w:rPr>
        <w:t xml:space="preserve">, and </w:t>
      </w:r>
      <w:proofErr w:type="spellStart"/>
      <w:r w:rsidRPr="005E3D50">
        <w:rPr>
          <w:i/>
          <w:iCs/>
          <w:lang w:val="es-ES"/>
        </w:rPr>
        <w:t>biodiversity</w:t>
      </w:r>
      <w:proofErr w:type="spellEnd"/>
      <w:r w:rsidRPr="005E3D50">
        <w:rPr>
          <w:i/>
          <w:iCs/>
          <w:lang w:val="es-ES"/>
        </w:rPr>
        <w:t xml:space="preserve">-inclusive </w:t>
      </w:r>
      <w:proofErr w:type="spellStart"/>
      <w:r w:rsidRPr="005E3D50">
        <w:rPr>
          <w:i/>
          <w:iCs/>
          <w:lang w:val="es-ES"/>
        </w:rPr>
        <w:t>spatial</w:t>
      </w:r>
      <w:proofErr w:type="spellEnd"/>
      <w:r w:rsidRPr="005E3D50">
        <w:rPr>
          <w:i/>
          <w:iCs/>
          <w:lang w:val="es-ES"/>
        </w:rPr>
        <w:t xml:space="preserve"> </w:t>
      </w:r>
      <w:proofErr w:type="spellStart"/>
      <w:r w:rsidRPr="005E3D50">
        <w:rPr>
          <w:i/>
          <w:iCs/>
          <w:lang w:val="es-ES"/>
        </w:rPr>
        <w:t>planning</w:t>
      </w:r>
      <w:proofErr w:type="spellEnd"/>
      <w:r w:rsidRPr="005E3D50">
        <w:rPr>
          <w:i/>
          <w:iCs/>
          <w:lang w:val="es-ES"/>
        </w:rPr>
        <w:t xml:space="preserve"> and Target 1 of the </w:t>
      </w:r>
      <w:proofErr w:type="spellStart"/>
      <w:r w:rsidRPr="005E3D50">
        <w:rPr>
          <w:i/>
          <w:iCs/>
          <w:lang w:val="es-ES"/>
        </w:rPr>
        <w:t>Convention</w:t>
      </w:r>
      <w:proofErr w:type="spellEnd"/>
      <w:r w:rsidRPr="005E3D50">
        <w:rPr>
          <w:i/>
          <w:iCs/>
          <w:lang w:val="es-ES"/>
        </w:rPr>
        <w:t xml:space="preserve"> </w:t>
      </w:r>
      <w:proofErr w:type="spellStart"/>
      <w:r w:rsidRPr="005E3D50">
        <w:rPr>
          <w:i/>
          <w:iCs/>
          <w:lang w:val="es-ES"/>
        </w:rPr>
        <w:t>on</w:t>
      </w:r>
      <w:proofErr w:type="spellEnd"/>
      <w:r w:rsidRPr="005E3D50">
        <w:rPr>
          <w:i/>
          <w:iCs/>
          <w:lang w:val="es-ES"/>
        </w:rPr>
        <w:t xml:space="preserve"> </w:t>
      </w:r>
      <w:proofErr w:type="spellStart"/>
      <w:r w:rsidRPr="005E3D50">
        <w:rPr>
          <w:i/>
          <w:iCs/>
          <w:lang w:val="es-ES"/>
        </w:rPr>
        <w:t>Biological</w:t>
      </w:r>
      <w:proofErr w:type="spellEnd"/>
      <w:r w:rsidRPr="005E3D50">
        <w:rPr>
          <w:i/>
          <w:iCs/>
          <w:lang w:val="es-ES"/>
        </w:rPr>
        <w:t xml:space="preserve"> </w:t>
      </w:r>
      <w:proofErr w:type="spellStart"/>
      <w:r w:rsidRPr="005E3D50">
        <w:rPr>
          <w:i/>
          <w:iCs/>
          <w:lang w:val="es-ES"/>
        </w:rPr>
        <w:t>Diversity</w:t>
      </w:r>
      <w:proofErr w:type="spellEnd"/>
      <w:r w:rsidRPr="005E3D50">
        <w:rPr>
          <w:i/>
          <w:iCs/>
          <w:lang w:val="es-ES"/>
        </w:rPr>
        <w:t xml:space="preserve"> Kunming-Montreal Global Biodiversity Framework</w:t>
      </w:r>
      <w:r w:rsidRPr="005E3D50">
        <w:rPr>
          <w:lang w:val="es-ES"/>
        </w:rPr>
        <w:t xml:space="preserve"> (Panorama general de la planificación espacial participativa integrada que tenga en cuenta la biodiversidad y de la meta 1 del Marco Mundial de Biodiversidad de Kunming-Montreal del Convenio sobre la Diversidad Biológica), elaborado por la Comisión Mundial de Áreas Protegidas y publicado por la UICN (Grantham y otros, 2024).</w:t>
      </w:r>
    </w:p>
    <w:p w14:paraId="5FAC4BC6" w14:textId="54EF2896" w:rsidR="003D6B8F" w:rsidRPr="005E3D50" w:rsidRDefault="002453A1" w:rsidP="003D6B8F">
      <w:pPr>
        <w:rPr>
          <w:lang w:val="es-ES"/>
        </w:rPr>
      </w:pPr>
      <w:r w:rsidRPr="005E3D50">
        <w:rPr>
          <w:lang w:val="es-ES"/>
        </w:rPr>
        <w:t>Si bien un número cada vez mayor de Partes aborda la planificación espacial marina, a finales de 2023 solo 45 países o territorios contaban con planes nacionales, subnacionales o locales aprobados para zonas marinas y costeras, según la Comisión Oceanográfica Intergubernamental de la Organización de las Naciones Unidas para la Educación, la Ciencia y la Cultura (COI-UNESCO, 2024). A fin de ayudar a los países a avanzar en la planificación espacial marina y alcanzar los objetivos en materia de biodiversidad y desarrollo sostenible, la Comisión Oceanográfica Intergubernamental de la UNESCO y la Dirección General de Asuntos Marítimos y Pesca de la Comisión Europea han elaborado, a través del Programa de planificación espacial marina global (</w:t>
      </w:r>
      <w:proofErr w:type="spellStart"/>
      <w:r w:rsidRPr="005E3D50">
        <w:rPr>
          <w:lang w:val="es-ES"/>
        </w:rPr>
        <w:t>MSPglobal</w:t>
      </w:r>
      <w:proofErr w:type="spellEnd"/>
      <w:r w:rsidRPr="005E3D50">
        <w:rPr>
          <w:lang w:val="es-ES"/>
        </w:rPr>
        <w:t xml:space="preserve">), una serie de documentos de orientación sobre cómo implementar una planificación espacial marina basada en los ecosistemas. Las orientaciones proporcionan metodologías y recomendaciones prácticas para ayudar a los países a desarrollar procesos de planificación espacial marina que tengan en cuenta la biodiversidad y contribuyan directamente a la </w:t>
      </w:r>
      <w:r w:rsidR="00C25179">
        <w:rPr>
          <w:lang w:val="es-ES"/>
        </w:rPr>
        <w:t>consecución</w:t>
      </w:r>
      <w:r w:rsidRPr="005E3D50">
        <w:rPr>
          <w:lang w:val="es-ES"/>
        </w:rPr>
        <w:t xml:space="preserve"> de la meta 1 (COI-UNESCO y Comisión Europea, 2022, 2025)</w:t>
      </w:r>
      <w:r w:rsidR="006C5D9A" w:rsidRPr="005E3D50">
        <w:rPr>
          <w:rStyle w:val="FootnoteReference"/>
          <w:lang w:val="es-ES"/>
        </w:rPr>
        <w:footnoteReference w:id="13"/>
      </w:r>
      <w:r w:rsidRPr="005E3D50">
        <w:rPr>
          <w:lang w:val="es-ES"/>
        </w:rPr>
        <w:t>. Por otra parte, el Panel de Alto Nivel para una Economía Oceánica Sostenible, una iniciativa en la que participan 19 Estados que abarcan aproximadamente la mitad de las costas del mundo, se ha fijado la meta de elaborar planes oceánicos sostenibles para el 100 % de las zonas marinas bajo la jurisdicción nacional de los países participantes para 2030 (Panel de Alto Nivel para una Economía Oceánica Sostenible, 2024).</w:t>
      </w:r>
    </w:p>
    <w:p w14:paraId="7A768A49" w14:textId="2627350F" w:rsidR="00457458" w:rsidRPr="005E3D50" w:rsidRDefault="003663A3" w:rsidP="003D6B8F">
      <w:pPr>
        <w:rPr>
          <w:lang w:val="es-ES"/>
        </w:rPr>
      </w:pPr>
      <w:r w:rsidRPr="005E3D50">
        <w:rPr>
          <w:lang w:val="es-ES"/>
        </w:rPr>
        <w:t>La evaluación metodológica en curso de</w:t>
      </w:r>
      <w:r w:rsidR="009E49E1" w:rsidRPr="005E3D50">
        <w:rPr>
          <w:lang w:val="es-ES"/>
        </w:rPr>
        <w:t xml:space="preserve"> la</w:t>
      </w:r>
      <w:r w:rsidRPr="005E3D50">
        <w:rPr>
          <w:lang w:val="es-ES"/>
        </w:rPr>
        <w:t xml:space="preserve"> IPBES sobre la planificación espacial y la conectividad ecológica integradas que tengan en cuenta la diversidad biológica incluirá un capítulo dedicado a la implementación de la meta 1, además de abordar las metas 2 y 3, y constituirá un importante recurso adicional para las Partes en la implementación del Marco tras su publicación en 2027 (IPBES, 2023b). </w:t>
      </w:r>
    </w:p>
    <w:p w14:paraId="411B6B49" w14:textId="7AB255AB" w:rsidR="00EC53C6" w:rsidRPr="005E3D50" w:rsidRDefault="00EC53C6" w:rsidP="00CE67B7">
      <w:pPr>
        <w:rPr>
          <w:lang w:val="es-ES"/>
        </w:rPr>
      </w:pPr>
    </w:p>
    <w:p w14:paraId="71108EC7" w14:textId="4BC47C80" w:rsidR="00120352" w:rsidRPr="005E3D50" w:rsidRDefault="00120352" w:rsidP="74032CC2">
      <w:pPr>
        <w:pStyle w:val="Heading4"/>
        <w:rPr>
          <w:i w:val="0"/>
          <w:iCs w:val="0"/>
          <w:lang w:val="es-ES"/>
        </w:rPr>
      </w:pPr>
      <w:bookmarkStart w:id="123" w:name="_Toc235821063"/>
      <w:bookmarkStart w:id="124" w:name="_Toc239069196"/>
      <w:bookmarkStart w:id="125" w:name="_Toc242882974"/>
      <w:r w:rsidRPr="005E3D50">
        <w:rPr>
          <w:b/>
          <w:bCs/>
          <w:i w:val="0"/>
          <w:iCs w:val="0"/>
          <w:lang w:val="es-ES"/>
        </w:rPr>
        <w:lastRenderedPageBreak/>
        <w:t>Meta 2</w:t>
      </w:r>
      <w:r w:rsidRPr="005E3D50">
        <w:rPr>
          <w:lang w:val="es-ES"/>
        </w:rPr>
        <w:t xml:space="preserve">. </w:t>
      </w:r>
      <w:r w:rsidRPr="005E3D50">
        <w:rPr>
          <w:i w:val="0"/>
          <w:iCs w:val="0"/>
          <w:lang w:val="es-ES"/>
        </w:rPr>
        <w:t>Restaurar el 30 % de todos los ecosistemas degradados</w:t>
      </w:r>
      <w:bookmarkEnd w:id="123"/>
      <w:bookmarkEnd w:id="124"/>
      <w:bookmarkEnd w:id="125"/>
    </w:p>
    <w:p w14:paraId="65E76A6B" w14:textId="77777777" w:rsidR="00D92A8A" w:rsidRPr="005E3D50" w:rsidRDefault="00D92A8A" w:rsidP="00D92A8A">
      <w:pPr>
        <w:rPr>
          <w:lang w:val="es-ES"/>
        </w:rPr>
      </w:pPr>
    </w:p>
    <w:p w14:paraId="3E9D010D" w14:textId="35899F0C" w:rsidR="00C676A8" w:rsidRPr="005E3D50" w:rsidRDefault="00C676A8" w:rsidP="00C676A8">
      <w:pPr>
        <w:rPr>
          <w:i/>
          <w:iCs/>
          <w:sz w:val="22"/>
          <w:szCs w:val="22"/>
          <w:lang w:val="es-ES"/>
        </w:rPr>
      </w:pPr>
      <w:r w:rsidRPr="005E3D50">
        <w:rPr>
          <w:b/>
          <w:sz w:val="22"/>
          <w:szCs w:val="22"/>
          <w:lang w:val="es-ES"/>
        </w:rPr>
        <w:t>Texto de la meta</w:t>
      </w:r>
      <w:r w:rsidRPr="005E3D50">
        <w:rPr>
          <w:sz w:val="22"/>
          <w:szCs w:val="22"/>
          <w:lang w:val="es-ES"/>
        </w:rPr>
        <w:t>.</w:t>
      </w:r>
      <w:r w:rsidRPr="005E3D50">
        <w:rPr>
          <w:i/>
          <w:iCs/>
          <w:sz w:val="22"/>
          <w:szCs w:val="22"/>
          <w:lang w:val="es-ES"/>
        </w:rPr>
        <w:t xml:space="preserve"> 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p w14:paraId="3F94771A" w14:textId="77777777" w:rsidR="00C676A8" w:rsidRPr="005E3D50" w:rsidRDefault="00C676A8" w:rsidP="00C676A8">
      <w:pPr>
        <w:rPr>
          <w:lang w:val="es-ES"/>
        </w:rPr>
      </w:pPr>
    </w:p>
    <w:p w14:paraId="07E1AC61" w14:textId="072139FA" w:rsidR="001A1397" w:rsidRPr="005E3D50" w:rsidRDefault="004912AE" w:rsidP="00B85FFF">
      <w:pPr>
        <w:pStyle w:val="Heading5"/>
        <w:rPr>
          <w:lang w:val="es-ES"/>
        </w:rPr>
      </w:pPr>
      <w:bookmarkStart w:id="126" w:name="_Toc235821064"/>
      <w:r w:rsidRPr="005E3D50">
        <w:rPr>
          <w:lang w:val="es-ES"/>
        </w:rPr>
        <w:t>Panorama general de los progresos</w:t>
      </w:r>
      <w:bookmarkEnd w:id="126"/>
    </w:p>
    <w:tbl>
      <w:tblPr>
        <w:tblStyle w:val="TableGrid"/>
        <w:tblW w:w="0" w:type="auto"/>
        <w:tblLook w:val="04A0" w:firstRow="1" w:lastRow="0" w:firstColumn="1" w:lastColumn="0" w:noHBand="0" w:noVBand="1"/>
      </w:tblPr>
      <w:tblGrid>
        <w:gridCol w:w="9016"/>
      </w:tblGrid>
      <w:tr w:rsidR="004A4B47" w:rsidRPr="005E3D50" w14:paraId="6582AA05" w14:textId="77777777" w:rsidTr="00BC3254">
        <w:tc>
          <w:tcPr>
            <w:tcW w:w="9016" w:type="dxa"/>
            <w:shd w:val="clear" w:color="auto" w:fill="D1D1D1" w:themeFill="background2" w:themeFillShade="E6"/>
          </w:tcPr>
          <w:p w14:paraId="5AC03B91" w14:textId="77777777" w:rsidR="005F3D4D" w:rsidRPr="005E3D50" w:rsidRDefault="005F3D4D" w:rsidP="00E26018">
            <w:pPr>
              <w:rPr>
                <w:rFonts w:ascii="Aptos" w:eastAsia="Times New Roman" w:hAnsi="Aptos" w:cs="Calibri"/>
                <w:color w:val="000000"/>
                <w:lang w:val="es-ES"/>
              </w:rPr>
            </w:pPr>
          </w:p>
          <w:p w14:paraId="777CF2CE" w14:textId="4609E519" w:rsidR="00E26018" w:rsidRPr="005E3D50" w:rsidRDefault="00E26018" w:rsidP="00E26018">
            <w:pPr>
              <w:rPr>
                <w:rFonts w:ascii="Aptos" w:eastAsia="Times New Roman" w:hAnsi="Aptos" w:cs="Calibri"/>
                <w:color w:val="000000"/>
                <w:lang w:val="es-ES"/>
              </w:rPr>
            </w:pPr>
            <w:r w:rsidRPr="005E3D50">
              <w:rPr>
                <w:rFonts w:ascii="Aptos" w:hAnsi="Aptos"/>
                <w:color w:val="000000"/>
                <w:lang w:val="es-ES"/>
              </w:rPr>
              <w:t>Las iniciativas de restauración se están ampliando, pero los compromisos actuales para restaurar las zonas, así como su implementación, siguen estando por debajo del nivel necesario para restaurar el 30 % de los ecosistemas degradados para 2030</w:t>
            </w:r>
            <w:r w:rsidR="006879C5" w:rsidRPr="005E3D50">
              <w:rPr>
                <w:rFonts w:ascii="Aptos" w:hAnsi="Aptos"/>
                <w:color w:val="000000"/>
                <w:lang w:val="es-ES"/>
              </w:rPr>
              <w:t xml:space="preserve">. En este contexto, </w:t>
            </w:r>
            <w:r w:rsidRPr="005E3D50">
              <w:rPr>
                <w:rFonts w:ascii="Aptos" w:hAnsi="Aptos"/>
                <w:color w:val="000000"/>
                <w:lang w:val="es-ES"/>
              </w:rPr>
              <w:t>se han logrado menos progresos en las zonas marinas, costeras y de agua dulce que en las terrestres. En general, las metas nacionales están bien armonizadas con la meta 2, aunque a menudo carecen de elementos relacionados con la consideración de la eficacia de las iniciativas de restauración. El seguimiento de los progresos se ve limitado por la falta de uniformidad en las definiciones y los enfoques de seguimiento para evaluar la degradación y la restauración de los ecosistemas. Un obstáculo importante sigue siendo la necesidad de abordar los desafíos tanto de implementación como de seguimiento mediante un aumento de la provisión fiable de recursos para las iniciativas de restauración.</w:t>
            </w:r>
          </w:p>
          <w:p w14:paraId="72C0B23C" w14:textId="6DE50E8D" w:rsidR="00BC3254" w:rsidRPr="005E3D50" w:rsidRDefault="00BC3254" w:rsidP="008C1C32">
            <w:pPr>
              <w:rPr>
                <w:sz w:val="22"/>
                <w:szCs w:val="22"/>
                <w:lang w:val="es-ES"/>
              </w:rPr>
            </w:pPr>
          </w:p>
        </w:tc>
      </w:tr>
    </w:tbl>
    <w:p w14:paraId="6E9B06DD" w14:textId="77777777" w:rsidR="00817242" w:rsidRPr="005E3D50" w:rsidRDefault="00817242" w:rsidP="007A7E9B">
      <w:pPr>
        <w:rPr>
          <w:sz w:val="22"/>
          <w:szCs w:val="22"/>
          <w:lang w:val="es-ES"/>
        </w:rPr>
      </w:pPr>
    </w:p>
    <w:p w14:paraId="5BE3DE94" w14:textId="69969503" w:rsidR="005F3D4D" w:rsidRPr="005E3D50" w:rsidRDefault="005F3D4D" w:rsidP="005F3D4D">
      <w:pPr>
        <w:pStyle w:val="Heading5"/>
        <w:rPr>
          <w:lang w:val="es-ES"/>
        </w:rPr>
      </w:pPr>
      <w:r w:rsidRPr="005E3D50">
        <w:rPr>
          <w:lang w:val="es-ES"/>
        </w:rPr>
        <w:t>Grado en que las Partes cubren el alcance de la meta 2 del Marco en sus metas nacionales</w:t>
      </w:r>
    </w:p>
    <w:p w14:paraId="2BC1B8FF" w14:textId="77777777" w:rsidR="005F3D4D" w:rsidRPr="005E3D50" w:rsidRDefault="005F3D4D" w:rsidP="00B61077">
      <w:pPr>
        <w:pStyle w:val="Caption"/>
        <w:rPr>
          <w:lang w:val="es-ES"/>
        </w:rPr>
      </w:pPr>
      <w:bookmarkStart w:id="127" w:name="_Ref230453582"/>
    </w:p>
    <w:bookmarkEnd w:id="127"/>
    <w:p w14:paraId="2D70F8A4" w14:textId="4B0C8E8A" w:rsidR="00105859" w:rsidRPr="005E3D50" w:rsidRDefault="008A2267" w:rsidP="00B61077">
      <w:pPr>
        <w:pStyle w:val="Caption"/>
        <w:rPr>
          <w:i w:val="0"/>
          <w:iCs w:val="0"/>
          <w:sz w:val="20"/>
          <w:szCs w:val="20"/>
          <w:lang w:val="es-ES"/>
        </w:rPr>
      </w:pPr>
      <w:r w:rsidRPr="005E3D50">
        <w:rPr>
          <w:i w:val="0"/>
          <w:sz w:val="20"/>
          <w:szCs w:val="20"/>
          <w:lang w:val="es-ES"/>
        </w:rPr>
        <w:t>Cuadro 6</w:t>
      </w:r>
    </w:p>
    <w:p w14:paraId="468E8F63" w14:textId="0D1C44E3" w:rsidR="00700623" w:rsidRPr="005E3D50" w:rsidRDefault="008A2267" w:rsidP="00B61077">
      <w:pPr>
        <w:pStyle w:val="Caption"/>
        <w:rPr>
          <w:i w:val="0"/>
          <w:sz w:val="20"/>
          <w:szCs w:val="20"/>
          <w:lang w:val="es-ES"/>
        </w:rPr>
      </w:pPr>
      <w:r w:rsidRPr="005E3D50">
        <w:rPr>
          <w:i w:val="0"/>
          <w:sz w:val="20"/>
          <w:szCs w:val="20"/>
          <w:lang w:val="es-ES"/>
        </w:rPr>
        <w:t xml:space="preserve">Elementos de la meta 2 del Marco y cómo se abordan en las metas </w:t>
      </w:r>
      <w:proofErr w:type="spellStart"/>
      <w:r w:rsidRPr="005E3D50">
        <w:rPr>
          <w:i w:val="0"/>
          <w:sz w:val="20"/>
          <w:szCs w:val="20"/>
          <w:lang w:val="es-ES"/>
        </w:rPr>
        <w:t>nacionales</w:t>
      </w:r>
      <w:r w:rsidRPr="005E3D50">
        <w:rPr>
          <w:i w:val="0"/>
          <w:iCs w:val="0"/>
          <w:sz w:val="20"/>
          <w:szCs w:val="20"/>
          <w:vertAlign w:val="superscript"/>
          <w:lang w:val="es-ES"/>
        </w:rPr>
        <w:t>a</w:t>
      </w:r>
      <w:proofErr w:type="spellEnd"/>
      <w:r w:rsidRPr="005E3D50">
        <w:rPr>
          <w:i w:val="0"/>
          <w:sz w:val="20"/>
          <w:szCs w:val="20"/>
          <w:lang w:val="es-ES"/>
        </w:rPr>
        <w:t>.</w:t>
      </w:r>
      <w:r w:rsidRPr="005E3D50">
        <w:rPr>
          <w:i w:val="0"/>
          <w:iCs w:val="0"/>
          <w:sz w:val="20"/>
          <w:szCs w:val="20"/>
          <w:lang w:val="es-ES"/>
        </w:rPr>
        <w:t xml:space="preserve"> </w:t>
      </w:r>
    </w:p>
    <w:tbl>
      <w:tblPr>
        <w:tblStyle w:val="TableGrid"/>
        <w:tblW w:w="9070" w:type="dxa"/>
        <w:tblLook w:val="04A0" w:firstRow="1" w:lastRow="0" w:firstColumn="1" w:lastColumn="0" w:noHBand="0" w:noVBand="1"/>
      </w:tblPr>
      <w:tblGrid>
        <w:gridCol w:w="8430"/>
        <w:gridCol w:w="640"/>
      </w:tblGrid>
      <w:tr w:rsidR="00FC5763" w:rsidRPr="005E3D50" w14:paraId="504874FC" w14:textId="77777777" w:rsidTr="00A14293">
        <w:tc>
          <w:tcPr>
            <w:tcW w:w="8430" w:type="dxa"/>
          </w:tcPr>
          <w:p w14:paraId="2CA7BDE2" w14:textId="08ED8BD5" w:rsidR="00DD3F2F" w:rsidRPr="005E3D50" w:rsidRDefault="00ED5849" w:rsidP="0017451B">
            <w:pPr>
              <w:rPr>
                <w:sz w:val="20"/>
                <w:szCs w:val="20"/>
                <w:lang w:val="es-ES"/>
              </w:rPr>
            </w:pPr>
            <w:r w:rsidRPr="005E3D50">
              <w:rPr>
                <w:sz w:val="20"/>
                <w:szCs w:val="20"/>
                <w:lang w:val="es-ES"/>
              </w:rPr>
              <w:t>Garantizar que para 2030 al menos un 30 % de las zonas de ecosistemas terrestres degradados estén siendo objeto de restauración</w:t>
            </w:r>
          </w:p>
        </w:tc>
        <w:tc>
          <w:tcPr>
            <w:tcW w:w="640" w:type="dxa"/>
            <w:shd w:val="clear" w:color="auto" w:fill="00B050"/>
          </w:tcPr>
          <w:p w14:paraId="3A2C4B10" w14:textId="40B212AD" w:rsidR="00FC5763" w:rsidRPr="005E3D50" w:rsidRDefault="000B120D" w:rsidP="0017451B">
            <w:pPr>
              <w:rPr>
                <w:sz w:val="20"/>
                <w:szCs w:val="20"/>
                <w:lang w:val="es-ES"/>
              </w:rPr>
            </w:pPr>
            <w:r w:rsidRPr="005E3D50">
              <w:rPr>
                <w:sz w:val="20"/>
                <w:szCs w:val="20"/>
                <w:lang w:val="es-ES"/>
              </w:rPr>
              <w:t>85</w:t>
            </w:r>
          </w:p>
        </w:tc>
      </w:tr>
      <w:tr w:rsidR="00FC5763" w:rsidRPr="005E3D50" w14:paraId="18BAC2B5" w14:textId="77777777" w:rsidTr="00A14293">
        <w:tc>
          <w:tcPr>
            <w:tcW w:w="8430" w:type="dxa"/>
          </w:tcPr>
          <w:p w14:paraId="06BCCF07" w14:textId="00C75197" w:rsidR="00DD3F2F" w:rsidRPr="005E3D50" w:rsidRDefault="00ED5849" w:rsidP="0017451B">
            <w:pPr>
              <w:rPr>
                <w:sz w:val="20"/>
                <w:szCs w:val="20"/>
                <w:lang w:val="es-ES"/>
              </w:rPr>
            </w:pPr>
            <w:r w:rsidRPr="005E3D50">
              <w:rPr>
                <w:sz w:val="20"/>
                <w:szCs w:val="20"/>
                <w:lang w:val="es-ES"/>
              </w:rPr>
              <w:t>Garantizar que para 2030 al menos un 30 % de las zonas de ecosistemas de aguas continentales degradados estén siendo objeto de restauración</w:t>
            </w:r>
          </w:p>
        </w:tc>
        <w:tc>
          <w:tcPr>
            <w:tcW w:w="640" w:type="dxa"/>
            <w:shd w:val="clear" w:color="auto" w:fill="92D050"/>
          </w:tcPr>
          <w:p w14:paraId="145EED1A" w14:textId="2F1186AD" w:rsidR="00FC5763" w:rsidRPr="005E3D50" w:rsidRDefault="00E42979" w:rsidP="0017451B">
            <w:pPr>
              <w:rPr>
                <w:sz w:val="20"/>
                <w:szCs w:val="20"/>
                <w:lang w:val="es-ES"/>
              </w:rPr>
            </w:pPr>
            <w:r w:rsidRPr="005E3D50">
              <w:rPr>
                <w:sz w:val="20"/>
                <w:szCs w:val="20"/>
                <w:lang w:val="es-ES"/>
              </w:rPr>
              <w:t>72</w:t>
            </w:r>
          </w:p>
        </w:tc>
      </w:tr>
      <w:tr w:rsidR="00FC5763" w:rsidRPr="005E3D50" w14:paraId="451D42A1" w14:textId="77777777" w:rsidTr="00A14293">
        <w:tc>
          <w:tcPr>
            <w:tcW w:w="8430" w:type="dxa"/>
          </w:tcPr>
          <w:p w14:paraId="4FCC5F70" w14:textId="01C991B2" w:rsidR="00DD3F2F" w:rsidRPr="005E3D50" w:rsidRDefault="007E1C45" w:rsidP="0017451B">
            <w:pPr>
              <w:rPr>
                <w:sz w:val="20"/>
                <w:szCs w:val="20"/>
                <w:lang w:val="es-ES"/>
              </w:rPr>
            </w:pPr>
            <w:r w:rsidRPr="005E3D50">
              <w:rPr>
                <w:sz w:val="20"/>
                <w:szCs w:val="20"/>
                <w:lang w:val="es-ES"/>
              </w:rPr>
              <w:t>Garantizar que para 2030 al menos un 30 % de las zonas de ecosistemas marinos y costeros degradados estén siendo objeto de restauración</w:t>
            </w:r>
          </w:p>
        </w:tc>
        <w:tc>
          <w:tcPr>
            <w:tcW w:w="640" w:type="dxa"/>
            <w:shd w:val="clear" w:color="auto" w:fill="92D050"/>
          </w:tcPr>
          <w:p w14:paraId="6E7622AD" w14:textId="125A0209" w:rsidR="00FC5763" w:rsidRPr="005E3D50" w:rsidRDefault="00002F5A" w:rsidP="0017451B">
            <w:pPr>
              <w:rPr>
                <w:sz w:val="20"/>
                <w:szCs w:val="20"/>
                <w:lang w:val="es-ES"/>
              </w:rPr>
            </w:pPr>
            <w:r w:rsidRPr="005E3D50">
              <w:rPr>
                <w:sz w:val="20"/>
                <w:szCs w:val="20"/>
                <w:lang w:val="es-ES"/>
              </w:rPr>
              <w:t>69</w:t>
            </w:r>
          </w:p>
        </w:tc>
      </w:tr>
      <w:tr w:rsidR="00FC5763" w:rsidRPr="005E3D50" w14:paraId="78624AE3" w14:textId="77777777" w:rsidTr="00A14293">
        <w:tc>
          <w:tcPr>
            <w:tcW w:w="8430" w:type="dxa"/>
          </w:tcPr>
          <w:p w14:paraId="7079674E" w14:textId="77777777" w:rsidR="00FC5763" w:rsidRPr="005E3D50" w:rsidRDefault="007B7259" w:rsidP="0017451B">
            <w:pPr>
              <w:rPr>
                <w:sz w:val="20"/>
                <w:szCs w:val="20"/>
                <w:lang w:val="es-ES"/>
              </w:rPr>
            </w:pPr>
            <w:r w:rsidRPr="005E3D50">
              <w:rPr>
                <w:sz w:val="20"/>
                <w:szCs w:val="20"/>
                <w:lang w:val="es-ES"/>
              </w:rPr>
              <w:t>La restauración es efectiva y mejora la biodiversidad</w:t>
            </w:r>
          </w:p>
          <w:p w14:paraId="0E91F707" w14:textId="68DBC463" w:rsidR="00011345" w:rsidRPr="005E3D50" w:rsidRDefault="00011345" w:rsidP="0017451B">
            <w:pPr>
              <w:rPr>
                <w:sz w:val="20"/>
                <w:szCs w:val="20"/>
                <w:lang w:val="es-ES"/>
              </w:rPr>
            </w:pPr>
          </w:p>
        </w:tc>
        <w:tc>
          <w:tcPr>
            <w:tcW w:w="640" w:type="dxa"/>
            <w:shd w:val="clear" w:color="auto" w:fill="FFC000"/>
          </w:tcPr>
          <w:p w14:paraId="10BE8789" w14:textId="2592BD23" w:rsidR="00FC5763" w:rsidRPr="005E3D50" w:rsidRDefault="009D3F83" w:rsidP="0017451B">
            <w:pPr>
              <w:rPr>
                <w:sz w:val="20"/>
                <w:szCs w:val="20"/>
                <w:lang w:val="es-ES"/>
              </w:rPr>
            </w:pPr>
            <w:r w:rsidRPr="005E3D50">
              <w:rPr>
                <w:sz w:val="20"/>
                <w:szCs w:val="20"/>
                <w:lang w:val="es-ES"/>
              </w:rPr>
              <w:t>34</w:t>
            </w:r>
          </w:p>
        </w:tc>
      </w:tr>
      <w:tr w:rsidR="00FC5763" w:rsidRPr="005E3D50" w14:paraId="1D623F7B" w14:textId="77777777" w:rsidTr="00A14293">
        <w:tc>
          <w:tcPr>
            <w:tcW w:w="8430" w:type="dxa"/>
          </w:tcPr>
          <w:p w14:paraId="64A22561" w14:textId="77777777" w:rsidR="00FC5763" w:rsidRPr="005E3D50" w:rsidRDefault="007B7259" w:rsidP="0017451B">
            <w:pPr>
              <w:rPr>
                <w:sz w:val="20"/>
                <w:szCs w:val="20"/>
                <w:lang w:val="es-ES"/>
              </w:rPr>
            </w:pPr>
            <w:r w:rsidRPr="005E3D50">
              <w:rPr>
                <w:sz w:val="20"/>
                <w:szCs w:val="20"/>
                <w:lang w:val="es-ES"/>
              </w:rPr>
              <w:t>La restauración es efectiva y mejora las funciones y los servicios de los ecosistemas</w:t>
            </w:r>
          </w:p>
          <w:p w14:paraId="6DDFE88A" w14:textId="0B061008" w:rsidR="00011345" w:rsidRPr="005E3D50" w:rsidRDefault="00011345" w:rsidP="0017451B">
            <w:pPr>
              <w:rPr>
                <w:sz w:val="20"/>
                <w:szCs w:val="20"/>
                <w:lang w:val="es-ES"/>
              </w:rPr>
            </w:pPr>
          </w:p>
        </w:tc>
        <w:tc>
          <w:tcPr>
            <w:tcW w:w="640" w:type="dxa"/>
            <w:shd w:val="clear" w:color="auto" w:fill="FFC000"/>
          </w:tcPr>
          <w:p w14:paraId="41E8DC8F" w14:textId="21F0C6A4" w:rsidR="00FC5763" w:rsidRPr="005E3D50" w:rsidRDefault="00936FC0" w:rsidP="0017451B">
            <w:pPr>
              <w:rPr>
                <w:sz w:val="20"/>
                <w:szCs w:val="20"/>
                <w:lang w:val="es-ES"/>
              </w:rPr>
            </w:pPr>
            <w:r w:rsidRPr="005E3D50">
              <w:rPr>
                <w:sz w:val="20"/>
                <w:szCs w:val="20"/>
                <w:lang w:val="es-ES"/>
              </w:rPr>
              <w:t>38</w:t>
            </w:r>
          </w:p>
        </w:tc>
      </w:tr>
      <w:tr w:rsidR="00FC5763" w:rsidRPr="005E3D50" w14:paraId="4B8CEE2D" w14:textId="77777777" w:rsidTr="00002F5A">
        <w:tc>
          <w:tcPr>
            <w:tcW w:w="8430" w:type="dxa"/>
          </w:tcPr>
          <w:p w14:paraId="5D4B5BC6" w14:textId="3CE64A2F" w:rsidR="00FC5763" w:rsidRPr="005E3D50" w:rsidRDefault="007B7259" w:rsidP="0017451B">
            <w:pPr>
              <w:rPr>
                <w:sz w:val="20"/>
                <w:szCs w:val="20"/>
                <w:lang w:val="es-ES"/>
              </w:rPr>
            </w:pPr>
            <w:r w:rsidRPr="005E3D50">
              <w:rPr>
                <w:sz w:val="20"/>
                <w:szCs w:val="20"/>
                <w:lang w:val="es-ES"/>
              </w:rPr>
              <w:t>La restauración es efectiva y mejora la integridad y conectividad ecológicas</w:t>
            </w:r>
          </w:p>
          <w:p w14:paraId="5D2A09E1" w14:textId="3A2C12B0" w:rsidR="00011345" w:rsidRPr="005E3D50" w:rsidRDefault="00011345" w:rsidP="0017451B">
            <w:pPr>
              <w:rPr>
                <w:sz w:val="20"/>
                <w:szCs w:val="20"/>
                <w:lang w:val="es-ES"/>
              </w:rPr>
            </w:pPr>
          </w:p>
        </w:tc>
        <w:tc>
          <w:tcPr>
            <w:tcW w:w="640" w:type="dxa"/>
            <w:shd w:val="clear" w:color="auto" w:fill="FFC000"/>
          </w:tcPr>
          <w:p w14:paraId="30C9DF6C" w14:textId="09600E14" w:rsidR="00FC5763" w:rsidRPr="005E3D50" w:rsidRDefault="00002F5A" w:rsidP="002D360F">
            <w:pPr>
              <w:keepNext/>
              <w:rPr>
                <w:sz w:val="20"/>
                <w:szCs w:val="20"/>
                <w:lang w:val="es-ES"/>
              </w:rPr>
            </w:pPr>
            <w:r w:rsidRPr="005E3D50">
              <w:rPr>
                <w:sz w:val="20"/>
                <w:szCs w:val="20"/>
                <w:lang w:val="es-ES"/>
              </w:rPr>
              <w:t>37</w:t>
            </w:r>
          </w:p>
        </w:tc>
      </w:tr>
      <w:tr w:rsidR="00DF0951" w:rsidRPr="005E3D50" w14:paraId="6E857BA0" w14:textId="77777777">
        <w:tc>
          <w:tcPr>
            <w:tcW w:w="9070" w:type="dxa"/>
            <w:gridSpan w:val="2"/>
          </w:tcPr>
          <w:p w14:paraId="18AB2116" w14:textId="77777777" w:rsidR="00C93693" w:rsidRDefault="00C93693" w:rsidP="00D96D46">
            <w:pPr>
              <w:pStyle w:val="p1"/>
              <w:keepNext/>
              <w:rPr>
                <w:rFonts w:asciiTheme="minorHAnsi" w:hAnsiTheme="minorHAnsi"/>
                <w:b/>
                <w:bCs/>
                <w:sz w:val="22"/>
                <w:szCs w:val="22"/>
                <w:lang w:val="es-ES"/>
              </w:rPr>
            </w:pPr>
          </w:p>
          <w:p w14:paraId="1FC83994" w14:textId="1BB20D0B" w:rsidR="00DF0951" w:rsidRPr="005E3D50" w:rsidRDefault="00DF0951" w:rsidP="00D96D46">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56 % de estos elementos en sus metas nacionales</w:t>
            </w:r>
          </w:p>
          <w:p w14:paraId="78BC6542" w14:textId="77777777" w:rsidR="00DF0951" w:rsidRPr="005E3D50" w:rsidRDefault="00DF0951" w:rsidP="002D360F">
            <w:pPr>
              <w:keepNext/>
              <w:rPr>
                <w:sz w:val="20"/>
                <w:szCs w:val="20"/>
                <w:lang w:val="es-ES"/>
              </w:rPr>
            </w:pPr>
          </w:p>
        </w:tc>
      </w:tr>
    </w:tbl>
    <w:p w14:paraId="260D463A" w14:textId="77777777" w:rsidR="00681E56" w:rsidRPr="005E3D50" w:rsidRDefault="00681E56" w:rsidP="00F556EF">
      <w:pPr>
        <w:rPr>
          <w:lang w:val="es-ES"/>
        </w:rPr>
      </w:pPr>
      <w:bookmarkStart w:id="128" w:name="_Ref230159808"/>
      <w:bookmarkStart w:id="129" w:name="_Ref230159796"/>
    </w:p>
    <w:p w14:paraId="1A2A0092" w14:textId="2E4B844C" w:rsidR="00122363" w:rsidRPr="005E3D50" w:rsidRDefault="00122363" w:rsidP="00122363">
      <w:pPr>
        <w:pStyle w:val="paragraph"/>
        <w:spacing w:before="0" w:beforeAutospacing="0" w:after="0" w:afterAutospacing="0"/>
        <w:textAlignment w:val="baseline"/>
        <w:rPr>
          <w:rStyle w:val="eop"/>
          <w:rFonts w:ascii="Aptos" w:hAnsi="Aptos" w:cs="Segoe UI"/>
          <w:sz w:val="16"/>
          <w:szCs w:val="16"/>
          <w:bdr w:val="none" w:sz="0" w:space="0" w:color="auto" w:frame="1"/>
          <w:shd w:val="clear" w:color="auto" w:fill="C6C6C6"/>
          <w:lang w:val="es-ES"/>
        </w:rPr>
      </w:pPr>
      <w:r w:rsidRPr="005E3D50">
        <w:rPr>
          <w:rStyle w:val="normaltextrun"/>
          <w:rFonts w:ascii="Aptos" w:hAnsi="Aptos"/>
          <w:i/>
          <w:iCs/>
          <w:sz w:val="16"/>
          <w:szCs w:val="16"/>
          <w:lang w:val="es-ES"/>
        </w:rPr>
        <w:t>Nota:</w:t>
      </w:r>
      <w:r w:rsidRPr="005E3D50">
        <w:rPr>
          <w:rStyle w:val="normaltextrun"/>
          <w:rFonts w:ascii="Aptos" w:hAnsi="Aptos"/>
          <w:sz w:val="16"/>
          <w:szCs w:val="16"/>
          <w:lang w:val="es-ES"/>
        </w:rPr>
        <w:t> La columna del lado derecho del cuadro indica el porcentaje de Partes con metas nacionales que abordan el elemento al menos en cierta medida.</w:t>
      </w:r>
    </w:p>
    <w:p w14:paraId="680ECD6F" w14:textId="77777777" w:rsidR="005046D5" w:rsidRPr="005E3D50" w:rsidRDefault="005046D5" w:rsidP="00122363">
      <w:pPr>
        <w:pStyle w:val="paragraph"/>
        <w:spacing w:before="0" w:beforeAutospacing="0" w:after="0" w:afterAutospacing="0"/>
        <w:textAlignment w:val="baseline"/>
        <w:rPr>
          <w:rFonts w:ascii="Segoe UI" w:hAnsi="Segoe UI" w:cs="Segoe UI"/>
          <w:sz w:val="16"/>
          <w:szCs w:val="16"/>
          <w:lang w:val="es-ES"/>
        </w:rPr>
      </w:pPr>
    </w:p>
    <w:p w14:paraId="5864A646" w14:textId="1F46A910" w:rsidR="00122363" w:rsidRPr="005E3D50" w:rsidRDefault="00122363" w:rsidP="00122363">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56" w:history="1">
        <w:r w:rsidRPr="005E3D50">
          <w:rPr>
            <w:rStyle w:val="Hyperlink"/>
            <w:rFonts w:ascii="Aptos" w:hAnsi="Aptos"/>
            <w:sz w:val="16"/>
            <w:szCs w:val="16"/>
            <w:lang w:val="es-ES"/>
          </w:rPr>
          <w:t>CBD/COP/16/INF/4</w:t>
        </w:r>
      </w:hyperlink>
      <w:r w:rsidRPr="005E3D50">
        <w:rPr>
          <w:rFonts w:ascii="Aptos" w:hAnsi="Aptos"/>
          <w:sz w:val="16"/>
          <w:szCs w:val="16"/>
          <w:lang w:val="es-ES"/>
        </w:rPr>
        <w:t xml:space="preserve"> y </w:t>
      </w:r>
      <w:r w:rsidRPr="005E3D50">
        <w:rPr>
          <w:rStyle w:val="normaltextrun"/>
          <w:rFonts w:ascii="Aptos" w:hAnsi="Aptos"/>
          <w:sz w:val="16"/>
          <w:szCs w:val="16"/>
          <w:lang w:val="es-ES"/>
        </w:rPr>
        <w:t>Affinito y otros, 2025</w:t>
      </w:r>
      <w:r w:rsidRPr="005E3D50">
        <w:rPr>
          <w:rFonts w:ascii="Aptos" w:hAnsi="Aptos"/>
          <w:sz w:val="16"/>
          <w:szCs w:val="16"/>
          <w:lang w:val="es-ES"/>
        </w:rPr>
        <w:t xml:space="preserve">). </w:t>
      </w:r>
      <w:r w:rsidRPr="005E3D50">
        <w:rPr>
          <w:rStyle w:val="normaltextrun"/>
          <w:rFonts w:ascii="Aptos" w:hAnsi="Aptos"/>
          <w:sz w:val="16"/>
          <w:szCs w:val="16"/>
          <w:lang w:val="es-ES"/>
        </w:rPr>
        <w:t>En el documento </w:t>
      </w:r>
      <w:hyperlink r:id="rId57" w:history="1">
        <w:r w:rsidRPr="005E3D50">
          <w:rPr>
            <w:rStyle w:val="Hyperlink"/>
            <w:rFonts w:ascii="Aptos" w:hAnsi="Aptos"/>
            <w:sz w:val="16"/>
            <w:szCs w:val="16"/>
            <w:lang w:val="es-ES"/>
          </w:rPr>
          <w:t>CBD/SBI/7/INF/22</w:t>
        </w:r>
      </w:hyperlink>
      <w:r w:rsidRPr="005E3D50">
        <w:rPr>
          <w:rStyle w:val="normaltextrun"/>
          <w:rFonts w:ascii="Aptos" w:hAnsi="Aptos"/>
          <w:sz w:val="16"/>
          <w:szCs w:val="16"/>
          <w:lang w:val="es-ES"/>
        </w:rPr>
        <w:t xml:space="preserve"> se expone en detalle la metodología empleada para el análisis de las metas nacionales. </w:t>
      </w:r>
    </w:p>
    <w:p w14:paraId="17EDD886" w14:textId="77777777" w:rsidR="00122363" w:rsidRPr="005E3D50" w:rsidRDefault="00122363" w:rsidP="00F556EF">
      <w:pPr>
        <w:rPr>
          <w:sz w:val="16"/>
          <w:szCs w:val="16"/>
          <w:lang w:val="es-ES"/>
        </w:rPr>
      </w:pPr>
    </w:p>
    <w:p w14:paraId="113FADED" w14:textId="492591DB" w:rsidR="00F556EF" w:rsidRPr="005E3D50" w:rsidRDefault="00681E56" w:rsidP="00F556EF">
      <w:pPr>
        <w:rPr>
          <w:lang w:val="es-ES"/>
        </w:rPr>
      </w:pPr>
      <w:r w:rsidRPr="005E3D50">
        <w:rPr>
          <w:lang w:val="es-ES"/>
        </w:rPr>
        <w:t>La gran mayoría de las Partes (85 %) tienen metas nacionales que abordan en cierta medida la restauración de ecosistemas terrestres degradados, mientras que una proporción menor (72 %) tienen metas nacionales relacionadas con la restauración de las aguas continentales. Entre los países con litoral, el 69 % de las Partes tienen metas nacionales que abordan la restauración de ecosistemas marinos y costeros degradados. Otros elementos de la meta 2 son abordados explícitamente por un número comparativamente reducido de Partes, ya que menos del 40 % tienen metas nacionales que vinculan específicamente la restauración con la mejora de la biodiversidad y de las funciones o los servicios de los ecosistemas, y de la integridad y conectividad ecológicas (véase el cuadro 6).</w:t>
      </w:r>
      <w:r w:rsidRPr="005E3D50">
        <w:rPr>
          <w:lang w:val="es-ES"/>
        </w:rPr>
        <w:tab/>
        <w:t xml:space="preserve"> </w:t>
      </w:r>
    </w:p>
    <w:bookmarkEnd w:id="128"/>
    <w:bookmarkEnd w:id="129"/>
    <w:p w14:paraId="010A7BBB" w14:textId="7DB17839" w:rsidR="00AB2601" w:rsidRPr="005E3D50" w:rsidRDefault="00AB2601" w:rsidP="00AB2601">
      <w:pPr>
        <w:rPr>
          <w:lang w:val="es-ES"/>
        </w:rPr>
      </w:pPr>
      <w:r w:rsidRPr="005E3D50">
        <w:rPr>
          <w:lang w:val="es-ES"/>
        </w:rPr>
        <w:t>Los elementos cuantitativos de la meta 2 (garantizar que para 2030 al menos un 30 % de los ecosistemas degradados estén siendo objeto de una restauración efectiva) son de alcance mundial</w:t>
      </w:r>
      <w:r w:rsidR="00F03AAC" w:rsidRPr="005E3D50">
        <w:rPr>
          <w:lang w:val="es-ES"/>
        </w:rPr>
        <w:t xml:space="preserve">. En este sentido, </w:t>
      </w:r>
      <w:r w:rsidRPr="005E3D50">
        <w:rPr>
          <w:lang w:val="es-ES"/>
        </w:rPr>
        <w:t xml:space="preserve">el Marco no </w:t>
      </w:r>
      <w:r w:rsidR="0082468C" w:rsidRPr="005E3D50">
        <w:rPr>
          <w:lang w:val="es-ES"/>
        </w:rPr>
        <w:t>sugiere</w:t>
      </w:r>
      <w:r w:rsidRPr="005E3D50">
        <w:rPr>
          <w:lang w:val="es-ES"/>
        </w:rPr>
        <w:t xml:space="preserve"> que cada Parte deba establecer metas nacionales al mismo nivel</w:t>
      </w:r>
      <w:r w:rsidR="00F03AAC" w:rsidRPr="005E3D50">
        <w:rPr>
          <w:lang w:val="es-ES"/>
        </w:rPr>
        <w:t>, ni t</w:t>
      </w:r>
      <w:r w:rsidRPr="005E3D50">
        <w:rPr>
          <w:lang w:val="es-ES"/>
        </w:rPr>
        <w:t>ampoco que sea necesario desglosar la meta 2 por ecosistema o distribuirla por igual entre los distintos ecosistemas. Sin embargo, alrededor de dos tercios de las Partes han establecido metas nacionales con elementos cuantitativos relacionados con la restauración de ecosistemas terrestres degradados, y una proporción similar de los países con litoral han cuantificado su nivel de ambición con respecto a la restauración de zonas marinas y costeras degradadas. Una proporción ligeramente menor de Partes (58 %) han establecido elementos cuantitativos en sus metas nacionales con respecto a la restauración de ecosistemas de aguas continentales. En total, menos de un quinto de las Partes han establecido metas nacionales para restaurar al menos el 30 % de los ecosistemas degradados en cualquiera de los tres ámbitos (zonas terrestres, de aguas continentales o marinas y costeras).</w:t>
      </w:r>
    </w:p>
    <w:p w14:paraId="6C5220BD" w14:textId="77777777" w:rsidR="0097044C" w:rsidRPr="005E3D50" w:rsidRDefault="0097044C" w:rsidP="003975C1">
      <w:pPr>
        <w:pStyle w:val="Heading5"/>
        <w:rPr>
          <w:lang w:val="es-ES"/>
        </w:rPr>
      </w:pPr>
    </w:p>
    <w:p w14:paraId="6E87355C" w14:textId="50BB9D3D" w:rsidR="003975C1" w:rsidRPr="005E3D50" w:rsidRDefault="003975C1" w:rsidP="003975C1">
      <w:pPr>
        <w:pStyle w:val="Heading5"/>
        <w:rPr>
          <w:lang w:val="es-ES"/>
        </w:rPr>
      </w:pPr>
      <w:bookmarkStart w:id="130" w:name="_Toc235821066"/>
      <w:r w:rsidRPr="005E3D50">
        <w:rPr>
          <w:lang w:val="es-ES"/>
        </w:rPr>
        <w:t>Indicadores de progresos</w:t>
      </w:r>
      <w:bookmarkEnd w:id="130"/>
    </w:p>
    <w:p w14:paraId="248CD2AE" w14:textId="77777777" w:rsidR="0097044C" w:rsidRPr="005E3D50" w:rsidRDefault="0097044C" w:rsidP="0097044C">
      <w:pPr>
        <w:rPr>
          <w:lang w:val="es-ES"/>
        </w:rPr>
      </w:pPr>
    </w:p>
    <w:p w14:paraId="5788147A" w14:textId="2AC136F2" w:rsidR="00AB2601" w:rsidRPr="005E3D50" w:rsidRDefault="00A91080" w:rsidP="00A91080">
      <w:pPr>
        <w:pStyle w:val="Caption"/>
        <w:keepNext/>
        <w:rPr>
          <w:i w:val="0"/>
          <w:sz w:val="20"/>
          <w:szCs w:val="20"/>
          <w:lang w:val="es-ES"/>
        </w:rPr>
      </w:pPr>
      <w:bookmarkStart w:id="131" w:name="_Ref230456710"/>
      <w:r w:rsidRPr="005E3D50">
        <w:rPr>
          <w:i w:val="0"/>
          <w:sz w:val="20"/>
          <w:szCs w:val="20"/>
          <w:lang w:val="es-ES"/>
        </w:rPr>
        <w:lastRenderedPageBreak/>
        <w:t>Cuadro 7</w:t>
      </w:r>
      <w:bookmarkEnd w:id="131"/>
    </w:p>
    <w:p w14:paraId="617AF245" w14:textId="1E6A3359" w:rsidR="00A91080" w:rsidRPr="005E3D50" w:rsidRDefault="00A91080" w:rsidP="00A91080">
      <w:pPr>
        <w:pStyle w:val="Caption"/>
        <w:keepNext/>
        <w:rPr>
          <w:sz w:val="20"/>
          <w:szCs w:val="20"/>
          <w:lang w:val="es-ES"/>
        </w:rPr>
      </w:pPr>
      <w:r w:rsidRPr="005E3D50">
        <w:rPr>
          <w:b/>
          <w:i w:val="0"/>
          <w:sz w:val="20"/>
          <w:szCs w:val="20"/>
          <w:lang w:val="es-ES"/>
        </w:rPr>
        <w:t xml:space="preserve"> Tablero de puntuación para indicadores de la meta 2 del Marco</w:t>
      </w:r>
      <w:r w:rsidRPr="005E3D50">
        <w:rPr>
          <w:sz w:val="20"/>
          <w:szCs w:val="20"/>
          <w:lang w:val="es-ES"/>
        </w:rPr>
        <w:t xml:space="preserve"> </w:t>
      </w:r>
      <w:r w:rsidRPr="005E3D50">
        <w:rPr>
          <w:rFonts w:ascii="Aptos" w:hAnsi="Aptos"/>
          <w:sz w:val="20"/>
          <w:szCs w:val="20"/>
          <w:lang w:val="es-E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528"/>
        <w:gridCol w:w="709"/>
        <w:gridCol w:w="2835"/>
        <w:gridCol w:w="567"/>
      </w:tblGrid>
      <w:tr w:rsidR="00241203" w:rsidRPr="005E3D50" w14:paraId="3AA71A41" w14:textId="77777777">
        <w:trPr>
          <w:trHeight w:val="489"/>
        </w:trPr>
        <w:tc>
          <w:tcPr>
            <w:tcW w:w="3137" w:type="dxa"/>
            <w:shd w:val="clear" w:color="000000" w:fill="FFFFFF"/>
            <w:vAlign w:val="center"/>
          </w:tcPr>
          <w:p w14:paraId="5753D76A" w14:textId="77777777" w:rsidR="00241203" w:rsidRPr="005E3D50" w:rsidRDefault="00241203">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37" w:type="dxa"/>
            <w:gridSpan w:val="2"/>
            <w:vAlign w:val="center"/>
          </w:tcPr>
          <w:p w14:paraId="467BD4F3" w14:textId="77777777" w:rsidR="00241203" w:rsidRPr="005E3D50" w:rsidRDefault="0024120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402" w:type="dxa"/>
            <w:gridSpan w:val="2"/>
            <w:noWrap/>
            <w:vAlign w:val="center"/>
          </w:tcPr>
          <w:p w14:paraId="17A54725" w14:textId="77777777" w:rsidR="00241203" w:rsidRPr="005E3D50" w:rsidRDefault="0024120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Resultados del indicador</w:t>
            </w:r>
          </w:p>
        </w:tc>
      </w:tr>
      <w:tr w:rsidR="00241203" w:rsidRPr="005E3D50" w14:paraId="58F771BC" w14:textId="77777777">
        <w:trPr>
          <w:trHeight w:val="1050"/>
        </w:trPr>
        <w:tc>
          <w:tcPr>
            <w:tcW w:w="3137" w:type="dxa"/>
            <w:shd w:val="clear" w:color="000000" w:fill="FFFFFF"/>
            <w:vAlign w:val="center"/>
            <w:hideMark/>
          </w:tcPr>
          <w:p w14:paraId="37A6F1DA" w14:textId="65AEA278" w:rsidR="00241203" w:rsidRPr="005E3D50" w:rsidRDefault="00C16B18" w:rsidP="00C24E53">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de cabecera 2.1: Superficie sujeta a restauración</w:t>
            </w:r>
          </w:p>
        </w:tc>
        <w:tc>
          <w:tcPr>
            <w:tcW w:w="2528" w:type="dxa"/>
            <w:vAlign w:val="center"/>
            <w:hideMark/>
          </w:tcPr>
          <w:p w14:paraId="1A99018D" w14:textId="3DB70A5D" w:rsidR="00241203" w:rsidRPr="005E3D50" w:rsidRDefault="00241203" w:rsidP="00C24E53">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53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xml:space="preserve"> (41 % de las Partes cuyos informes nacionales están considerados en el informe mundial)</w:t>
            </w:r>
          </w:p>
        </w:tc>
        <w:tc>
          <w:tcPr>
            <w:tcW w:w="709" w:type="dxa"/>
            <w:shd w:val="clear" w:color="000000" w:fill="FFC000"/>
            <w:vAlign w:val="center"/>
            <w:hideMark/>
          </w:tcPr>
          <w:p w14:paraId="7ADD5164" w14:textId="77777777" w:rsidR="00241203" w:rsidRPr="005E3D50" w:rsidRDefault="00241203" w:rsidP="00C24E53">
            <w:pPr>
              <w:spacing w:after="0" w:line="240" w:lineRule="auto"/>
              <w:rPr>
                <w:rFonts w:ascii="Aptos" w:eastAsia="Times New Roman" w:hAnsi="Aptos" w:cs="Times New Roman"/>
                <w:color w:val="000000"/>
                <w:kern w:val="0"/>
                <w:sz w:val="20"/>
                <w:szCs w:val="20"/>
                <w:lang w:val="es-ES" w:eastAsia="en-CA"/>
                <w14:ligatures w14:val="none"/>
              </w:rPr>
            </w:pPr>
          </w:p>
        </w:tc>
        <w:tc>
          <w:tcPr>
            <w:tcW w:w="2835" w:type="dxa"/>
            <w:noWrap/>
            <w:hideMark/>
          </w:tcPr>
          <w:p w14:paraId="17885AFF" w14:textId="3DA71F10" w:rsidR="00241203" w:rsidRPr="005E3D50" w:rsidRDefault="00241203" w:rsidP="00C24E53">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193 millones de hectáreas (ha) en total</w:t>
            </w:r>
          </w:p>
        </w:tc>
        <w:tc>
          <w:tcPr>
            <w:tcW w:w="567" w:type="dxa"/>
            <w:shd w:val="clear" w:color="auto" w:fill="C00000"/>
            <w:vAlign w:val="center"/>
            <w:hideMark/>
          </w:tcPr>
          <w:p w14:paraId="6517B13E" w14:textId="77777777" w:rsidR="00241203" w:rsidRPr="005E3D50" w:rsidRDefault="00241203">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241203" w:rsidRPr="005E3D50" w14:paraId="1052DDDB" w14:textId="77777777" w:rsidTr="00261EB6">
        <w:trPr>
          <w:trHeight w:val="1050"/>
        </w:trPr>
        <w:tc>
          <w:tcPr>
            <w:tcW w:w="3137" w:type="dxa"/>
            <w:shd w:val="clear" w:color="000000" w:fill="FFFFFF"/>
            <w:vAlign w:val="center"/>
            <w:hideMark/>
          </w:tcPr>
          <w:p w14:paraId="27D32DD0" w14:textId="77777777" w:rsidR="00241203" w:rsidRPr="005E3D50" w:rsidRDefault="00241203" w:rsidP="00C24E53">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Indicadores cuantitativos combinados</w:t>
            </w:r>
          </w:p>
        </w:tc>
        <w:tc>
          <w:tcPr>
            <w:tcW w:w="2528" w:type="dxa"/>
            <w:vAlign w:val="center"/>
            <w:hideMark/>
          </w:tcPr>
          <w:p w14:paraId="6B914958" w14:textId="32834261" w:rsidR="00241203" w:rsidRPr="005E3D50" w:rsidRDefault="00241203" w:rsidP="00C24E53">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51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de las cuales 51 utilizaron indicadores de cabecera y 25 utilizaron otros indicadores</w:t>
            </w:r>
          </w:p>
        </w:tc>
        <w:tc>
          <w:tcPr>
            <w:tcW w:w="709" w:type="dxa"/>
            <w:shd w:val="clear" w:color="000000" w:fill="FFC000"/>
            <w:vAlign w:val="center"/>
            <w:hideMark/>
          </w:tcPr>
          <w:p w14:paraId="3FB7AB6E" w14:textId="77777777" w:rsidR="00241203" w:rsidRPr="005E3D50" w:rsidRDefault="00241203" w:rsidP="00C24E53">
            <w:pPr>
              <w:spacing w:after="0" w:line="240" w:lineRule="auto"/>
              <w:rPr>
                <w:rFonts w:ascii="Aptos" w:eastAsia="Times New Roman" w:hAnsi="Aptos" w:cs="Times New Roman"/>
                <w:color w:val="000000"/>
                <w:kern w:val="0"/>
                <w:sz w:val="20"/>
                <w:szCs w:val="20"/>
                <w:lang w:val="es-ES" w:eastAsia="en-CA"/>
                <w14:ligatures w14:val="none"/>
              </w:rPr>
            </w:pPr>
          </w:p>
        </w:tc>
        <w:tc>
          <w:tcPr>
            <w:tcW w:w="2835" w:type="dxa"/>
            <w:noWrap/>
            <w:vAlign w:val="center"/>
            <w:hideMark/>
          </w:tcPr>
          <w:p w14:paraId="21307988" w14:textId="77777777" w:rsidR="00C24E53" w:rsidRPr="005E3D50" w:rsidRDefault="00C24E53" w:rsidP="00C24E53">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48 % registran tendencias positivas</w:t>
            </w:r>
          </w:p>
          <w:p w14:paraId="05E86282" w14:textId="5BB31379" w:rsidR="00241203" w:rsidRPr="005E3D50" w:rsidRDefault="00241203" w:rsidP="00C24E53">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26 % registran tendencias negativas</w:t>
            </w:r>
          </w:p>
        </w:tc>
        <w:tc>
          <w:tcPr>
            <w:tcW w:w="567" w:type="dxa"/>
            <w:shd w:val="clear" w:color="auto" w:fill="92D050"/>
            <w:vAlign w:val="bottom"/>
            <w:hideMark/>
          </w:tcPr>
          <w:p w14:paraId="3F17D4FE" w14:textId="77777777" w:rsidR="00241203" w:rsidRPr="005E3D50" w:rsidRDefault="00241203">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r w:rsidR="00241203" w:rsidRPr="005E3D50" w14:paraId="3D9FD04D" w14:textId="77777777">
        <w:trPr>
          <w:trHeight w:val="1050"/>
        </w:trPr>
        <w:tc>
          <w:tcPr>
            <w:tcW w:w="3137" w:type="dxa"/>
            <w:shd w:val="clear" w:color="000000" w:fill="FFFFFF"/>
            <w:vAlign w:val="center"/>
          </w:tcPr>
          <w:p w14:paraId="5615DC45" w14:textId="77777777" w:rsidR="00241203" w:rsidRPr="005E3D50" w:rsidRDefault="00241203">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sz w:val="20"/>
                <w:szCs w:val="20"/>
                <w:lang w:val="es-ES"/>
              </w:rPr>
              <w:t>Observaciones sobre los biomas</w:t>
            </w:r>
          </w:p>
        </w:tc>
        <w:tc>
          <w:tcPr>
            <w:tcW w:w="6639" w:type="dxa"/>
            <w:gridSpan w:val="4"/>
            <w:vAlign w:val="center"/>
          </w:tcPr>
          <w:p w14:paraId="38CE0FE9" w14:textId="77777777" w:rsidR="00A074DC" w:rsidRPr="005E3D50" w:rsidRDefault="00A074DC" w:rsidP="00A074DC">
            <w:pPr>
              <w:rPr>
                <w:rFonts w:ascii="Aptos" w:hAnsi="Aptos"/>
                <w:sz w:val="20"/>
                <w:szCs w:val="20"/>
                <w:lang w:val="es-ES"/>
              </w:rPr>
            </w:pPr>
            <w:r w:rsidRPr="005E3D50">
              <w:rPr>
                <w:rFonts w:ascii="Aptos" w:hAnsi="Aptos"/>
                <w:sz w:val="20"/>
                <w:szCs w:val="20"/>
                <w:lang w:val="es-ES"/>
              </w:rPr>
              <w:t>Mayor cobertura de seguimiento de los ecosistemas terrestres; menor cobertura de los ecosistemas de aguas continentales y marinos y costeros</w:t>
            </w:r>
          </w:p>
          <w:p w14:paraId="44098E2B" w14:textId="54451D42" w:rsidR="00241203" w:rsidRPr="005E3D50" w:rsidRDefault="00241203">
            <w:pPr>
              <w:rPr>
                <w:rFonts w:ascii="Aptos" w:hAnsi="Aptos"/>
                <w:sz w:val="20"/>
                <w:szCs w:val="20"/>
                <w:lang w:val="es-ES"/>
              </w:rPr>
            </w:pPr>
            <w:r w:rsidRPr="005E3D50">
              <w:rPr>
                <w:rFonts w:ascii="Aptos" w:hAnsi="Aptos"/>
                <w:sz w:val="20"/>
                <w:szCs w:val="20"/>
                <w:lang w:val="es-ES"/>
              </w:rPr>
              <w:t>Los bosques, los manglares, los arrecifes de coral y los humedales se encuentran entre los ecosistemas señalados con mayor frecuencia como sujetos a restauración</w:t>
            </w:r>
          </w:p>
        </w:tc>
      </w:tr>
    </w:tbl>
    <w:p w14:paraId="3706FB28" w14:textId="77777777" w:rsidR="00241203" w:rsidRPr="005E3D50" w:rsidRDefault="00241203" w:rsidP="00241203">
      <w:pPr>
        <w:pStyle w:val="p1"/>
        <w:rPr>
          <w:rFonts w:ascii="Aptos" w:hAnsi="Aptos"/>
          <w:b/>
          <w:bCs/>
          <w:sz w:val="24"/>
          <w:szCs w:val="24"/>
          <w:lang w:val="es-ES"/>
        </w:rPr>
      </w:pPr>
    </w:p>
    <w:p w14:paraId="4CB8D66A" w14:textId="32C3F9FB" w:rsidR="00174813" w:rsidRPr="005E3D50" w:rsidRDefault="00174813" w:rsidP="00174813">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3F798170" w14:textId="77777777" w:rsidR="00A074DC" w:rsidRPr="005E3D50" w:rsidRDefault="00A074DC" w:rsidP="00241203">
      <w:pPr>
        <w:pStyle w:val="p1"/>
        <w:rPr>
          <w:rFonts w:ascii="Aptos" w:hAnsi="Aptos"/>
          <w:b/>
          <w:bCs/>
          <w:sz w:val="24"/>
          <w:szCs w:val="24"/>
          <w:lang w:val="es-ES"/>
        </w:rPr>
      </w:pPr>
    </w:p>
    <w:p w14:paraId="21DDF790" w14:textId="2E4EF80E" w:rsidR="00241203" w:rsidRPr="005E3D50" w:rsidRDefault="00241203" w:rsidP="00241203">
      <w:pPr>
        <w:rPr>
          <w:rFonts w:ascii="Aptos" w:hAnsi="Aptos"/>
          <w:lang w:val="es-ES"/>
        </w:rPr>
      </w:pPr>
      <w:r w:rsidRPr="005E3D50">
        <w:rPr>
          <w:lang w:val="es-ES"/>
        </w:rPr>
        <w:t>Un total de 53 Partes presentaron información sobre el indicador de cabecera; además, las Partes proporcionaron datos sobre las tendencias de 85 indicadores nacionales, de componentes y complementarios, lo que supone un esfuerzo significativo para realizar un seguimiento de la restauración (véanse el cuadro 7 y la figura 12).</w:t>
      </w:r>
      <w:r w:rsidRPr="005E3D50">
        <w:rPr>
          <w:rFonts w:ascii="Aptos" w:hAnsi="Aptos"/>
          <w:lang w:val="es-ES"/>
        </w:rPr>
        <w:t xml:space="preserve"> Muchas Partes utilizan el registro del Marco para el seguimiento de la restauración de los ecosistemas (FERM), elaborado por la FAO, y el Grupo de trabajo sobre seguimiento del Decenio de las Naciones Unidas sobre la Restauración de los Ecosistemas (2021-2030) para hacer un seguimiento de los progresos mundiales en la restauración de los ecosistemas (véase más adelante la sección sobre los vínculos con otros acuerdos, procesos y organizaciones para la meta </w:t>
      </w:r>
      <w:r w:rsidRPr="005E3D50">
        <w:rPr>
          <w:rFonts w:ascii="Aptos" w:hAnsi="Aptos"/>
          <w:lang w:val="es-ES"/>
        </w:rPr>
        <w:lastRenderedPageBreak/>
        <w:t>2)</w:t>
      </w:r>
      <w:r w:rsidR="00AF4F3B" w:rsidRPr="005E3D50">
        <w:rPr>
          <w:rStyle w:val="FootnoteReference"/>
          <w:rFonts w:ascii="Aptos" w:hAnsi="Aptos"/>
          <w:lang w:val="es-ES"/>
        </w:rPr>
        <w:footnoteReference w:id="14"/>
      </w:r>
      <w:r w:rsidRPr="005E3D50">
        <w:rPr>
          <w:rFonts w:ascii="Aptos" w:hAnsi="Aptos"/>
          <w:lang w:val="es-ES"/>
        </w:rPr>
        <w:t xml:space="preserve">. Hasta la fecha, se han recopilado en el registro del FERM datos sobre restauración correspondientes a más de 121 iniciativas en 81 países (FAO, 2025a; y PNUMA, 2025a). </w:t>
      </w:r>
    </w:p>
    <w:p w14:paraId="0F1CD5D0" w14:textId="4A7A6909" w:rsidR="006E0673" w:rsidRPr="005E3D50" w:rsidRDefault="00241203" w:rsidP="00241203">
      <w:pPr>
        <w:rPr>
          <w:rFonts w:ascii="Aptos" w:hAnsi="Aptos"/>
          <w:lang w:val="es-ES"/>
        </w:rPr>
      </w:pPr>
      <w:r w:rsidRPr="005E3D50">
        <w:rPr>
          <w:lang w:val="es-ES"/>
        </w:rPr>
        <w:t>Desde la adopción del Marco, las Partes han informado que se había sometido a restauración una superficie acumulada total de aproximadamente 193 millones de hectáreas (ha) para 2025 (véase la figura 11).</w:t>
      </w:r>
      <w:r w:rsidRPr="005E3D50">
        <w:rPr>
          <w:rFonts w:ascii="Aptos" w:hAnsi="Aptos"/>
          <w:lang w:val="es-ES"/>
        </w:rPr>
        <w:t xml:space="preserve"> El indicador de cabecera mide únicamente la superficie sujeta a restauración y no incluye la degradación, pero la proporción de tierras degradadas en comparación con la superficie terrestre total es un indicador de componente de esta meta (2.CT.1). Dado que la degradación puede adoptar muchas formas y medirse de diversas maneras, existen estimaciones dispares sobre la extensión de los hábitats degradados a nivel mundial, además de que las Partes han utilizado distintas definiciones al presentar información sobre el indicador. La Convención de las Naciones Unidas de Lucha contra la Desertificación ha estimado que, en 2019, había más de 1.560 millones de hectáreas de tierras degradadas, y que cada año se degradan más de 100 millones de hectáreas de tierras sanas y productivas (CLD, 2022). </w:t>
      </w:r>
    </w:p>
    <w:p w14:paraId="45F3779D" w14:textId="188CD2D4" w:rsidR="00AC0B89" w:rsidRPr="005E3D50" w:rsidRDefault="002E623F" w:rsidP="00241203">
      <w:pPr>
        <w:rPr>
          <w:rFonts w:ascii="Aptos" w:hAnsi="Aptos"/>
          <w:lang w:val="es-ES"/>
        </w:rPr>
      </w:pPr>
      <w:r w:rsidRPr="005E3D50">
        <w:rPr>
          <w:lang w:val="es-ES"/>
        </w:rPr>
        <w:t>Una limitación importante mencionada por las Partes al presentar información sobre la meta 2 es la falta de definiciones acordadas a nivel nacional de los términos “degradado” y “restauración efectiva”, lo que impide establecer valores de referencia y dificulta la medición de los progresos. Esto ocurre a pesar de que las orientaciones mundiales sobre la implementación de la meta 2 definen la “restauración efectiva” como una restauración basada en normas y sustentada en principios acordados, que da lugar a un progreso neto sostenible y adecuadamente equilibrado que beneficia y mejora la biodiversidad, la integridad de los ecosistemas y el bienestar humano (FAO y otros, 2024).</w:t>
      </w:r>
    </w:p>
    <w:p w14:paraId="1DBA6B09" w14:textId="2ADFDA41" w:rsidR="00241203" w:rsidRPr="005E3D50" w:rsidRDefault="00C33826" w:rsidP="00241203">
      <w:pPr>
        <w:rPr>
          <w:rFonts w:ascii="Aptos" w:hAnsi="Aptos"/>
          <w:lang w:val="es-ES"/>
        </w:rPr>
      </w:pPr>
      <w:r w:rsidRPr="005E3D50">
        <w:rPr>
          <w:rStyle w:val="normaltextrun"/>
          <w:rFonts w:ascii="Aptos" w:hAnsi="Aptos"/>
          <w:color w:val="000000" w:themeColor="text1"/>
          <w:shd w:val="clear" w:color="auto" w:fill="FFFFFF"/>
          <w:lang w:val="es-ES"/>
        </w:rPr>
        <w:t xml:space="preserve">Cabe señalar que es posible que los datos presentados no incluyan los ecosistemas que ya estaban sujetos a restauración antes de 2020 y que continúan estándolo, y que no todos los países presentaron datos. </w:t>
      </w:r>
      <w:r w:rsidRPr="005E3D50">
        <w:rPr>
          <w:lang w:val="es-ES"/>
        </w:rPr>
        <w:t>Sin embargo, la superficie de tierras que actualmente se señala como sujeta a restauración no se condice con la meta mundial de restaurar el 30 % de todos los ecosistemas degradados.</w:t>
      </w:r>
      <w:r w:rsidRPr="005E3D50">
        <w:rPr>
          <w:rFonts w:ascii="Aptos" w:hAnsi="Aptos"/>
          <w:lang w:val="es-ES"/>
        </w:rPr>
        <w:t xml:space="preserve"> Existen carencias específicas en el seguimiento de las iniciativas de restauración en los ecosistemas de aguas continentales, marinos y costeros. </w:t>
      </w:r>
      <w:r w:rsidRPr="005E3D50">
        <w:rPr>
          <w:lang w:val="es-ES"/>
        </w:rPr>
        <w:t>Por lo tanto, si bien los datos disponibles presentados indican que, colectivamente, las actividades de restauración están aumentando (véase la figura 11), no parece que hayan alcanzado un nivel acorde con la meta 2.</w:t>
      </w:r>
      <w:r w:rsidRPr="005E3D50">
        <w:rPr>
          <w:rFonts w:ascii="Aptos" w:hAnsi="Aptos"/>
          <w:lang w:val="es-ES"/>
        </w:rPr>
        <w:t xml:space="preserve"> </w:t>
      </w:r>
    </w:p>
    <w:p w14:paraId="16D9020D" w14:textId="6DEE8F65" w:rsidR="005808FC" w:rsidRPr="005E3D50" w:rsidRDefault="005808FC" w:rsidP="00241203">
      <w:pPr>
        <w:rPr>
          <w:rFonts w:ascii="Aptos" w:hAnsi="Aptos"/>
          <w:lang w:val="es-ES"/>
        </w:rPr>
      </w:pPr>
    </w:p>
    <w:p w14:paraId="1E030DE4" w14:textId="5815364C" w:rsidR="001D10FF" w:rsidRPr="005E3D50" w:rsidRDefault="001D10FF" w:rsidP="001D10FF">
      <w:pPr>
        <w:rPr>
          <w:rFonts w:ascii="Aptos" w:hAnsi="Aptos"/>
          <w:sz w:val="20"/>
          <w:szCs w:val="20"/>
          <w:lang w:val="es-ES"/>
        </w:rPr>
      </w:pPr>
      <w:bookmarkStart w:id="132" w:name="_Ref230456799"/>
      <w:bookmarkStart w:id="133" w:name="_Ref235634345"/>
      <w:r w:rsidRPr="005E3D50">
        <w:rPr>
          <w:rFonts w:ascii="Aptos" w:hAnsi="Aptos"/>
          <w:sz w:val="20"/>
          <w:szCs w:val="20"/>
          <w:lang w:val="es-ES"/>
        </w:rPr>
        <w:t>Figura 11</w:t>
      </w:r>
      <w:bookmarkEnd w:id="132"/>
    </w:p>
    <w:p w14:paraId="428FEBB5" w14:textId="71B7DE79" w:rsidR="001D10FF" w:rsidRPr="005E3D50" w:rsidRDefault="001D10FF" w:rsidP="001D10FF">
      <w:pPr>
        <w:rPr>
          <w:rFonts w:ascii="Aptos" w:hAnsi="Aptos"/>
          <w:b/>
          <w:bCs/>
          <w:sz w:val="20"/>
          <w:szCs w:val="20"/>
          <w:lang w:val="es-ES"/>
        </w:rPr>
      </w:pPr>
      <w:r w:rsidRPr="005E3D50">
        <w:rPr>
          <w:rFonts w:ascii="Aptos" w:hAnsi="Aptos"/>
          <w:b/>
          <w:bCs/>
          <w:sz w:val="20"/>
          <w:szCs w:val="20"/>
          <w:lang w:val="es-ES"/>
        </w:rPr>
        <w:lastRenderedPageBreak/>
        <w:t>Indicador de cabecera 2.1 (superficie sujeta a restauración)</w:t>
      </w:r>
      <w:bookmarkEnd w:id="133"/>
    </w:p>
    <w:p w14:paraId="709A771E" w14:textId="77777777" w:rsidR="00E57B81" w:rsidRPr="005E3D50" w:rsidRDefault="00E57B81" w:rsidP="00241203">
      <w:pPr>
        <w:rPr>
          <w:rFonts w:ascii="Aptos" w:hAnsi="Aptos"/>
          <w:lang w:val="es-ES"/>
        </w:rPr>
      </w:pPr>
    </w:p>
    <w:p w14:paraId="294819A9" w14:textId="2E6D0939" w:rsidR="00E318A4" w:rsidRPr="005E3D50" w:rsidRDefault="00474685" w:rsidP="00D111CC">
      <w:pPr>
        <w:keepNext/>
        <w:rPr>
          <w:sz w:val="18"/>
          <w:szCs w:val="18"/>
          <w:lang w:val="es-ES"/>
        </w:rPr>
      </w:pPr>
      <w:r w:rsidRPr="005E3D50">
        <w:rPr>
          <w:rFonts w:ascii="Aptos" w:hAnsi="Aptos"/>
          <w:noProof/>
          <w:lang w:val="en-US"/>
        </w:rPr>
        <w:drawing>
          <wp:inline distT="0" distB="0" distL="0" distR="0" wp14:anchorId="63C9867E" wp14:editId="4539706E">
            <wp:extent cx="5115263" cy="3838575"/>
            <wp:effectExtent l="0" t="0" r="0" b="0"/>
            <wp:docPr id="312265324" name="drawing">
              <a:extLst xmlns:a="http://schemas.openxmlformats.org/drawingml/2006/main">
                <a:ext uri="{FF2B5EF4-FFF2-40B4-BE49-F238E27FC236}">
                  <a16:creationId xmlns:a16="http://schemas.microsoft.com/office/drawing/2014/main" id="{9EAAC5CB-D44F-4D1D-A537-608355C04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5324" name=""/>
                    <pic:cNvPicPr/>
                  </pic:nvPicPr>
                  <pic:blipFill>
                    <a:blip r:embed="rId58">
                      <a:extLst>
                        <a:ext uri="{28A0092B-C50C-407E-A947-70E740481C1C}">
                          <a14:useLocalDpi xmlns:a14="http://schemas.microsoft.com/office/drawing/2010/main"/>
                        </a:ext>
                      </a:extLst>
                    </a:blip>
                    <a:stretch>
                      <a:fillRect/>
                    </a:stretch>
                  </pic:blipFill>
                  <pic:spPr>
                    <a:xfrm>
                      <a:off x="0" y="0"/>
                      <a:ext cx="5115263" cy="3838575"/>
                    </a:xfrm>
                    <a:prstGeom prst="rect">
                      <a:avLst/>
                    </a:prstGeom>
                  </pic:spPr>
                </pic:pic>
              </a:graphicData>
            </a:graphic>
          </wp:inline>
        </w:drawing>
      </w:r>
    </w:p>
    <w:p w14:paraId="6A55A096" w14:textId="77777777" w:rsidR="0089407D" w:rsidRDefault="0089407D" w:rsidP="0089407D">
      <w:pPr>
        <w:pStyle w:val="Caption"/>
        <w:rPr>
          <w:i w:val="0"/>
          <w:iCs w:val="0"/>
          <w:sz w:val="16"/>
          <w:szCs w:val="16"/>
          <w:lang w:val="es-ES"/>
        </w:rPr>
      </w:pPr>
      <w:r w:rsidRPr="005E3D50">
        <w:rPr>
          <w:sz w:val="16"/>
          <w:szCs w:val="16"/>
          <w:lang w:val="es-ES"/>
        </w:rPr>
        <w:t>Nota:</w:t>
      </w:r>
      <w:r w:rsidRPr="005E3D50">
        <w:rPr>
          <w:i w:val="0"/>
          <w:iCs w:val="0"/>
          <w:sz w:val="16"/>
          <w:szCs w:val="16"/>
          <w:lang w:val="es-ES"/>
        </w:rPr>
        <w:t xml:space="preserve"> Los valores del indicador muestran la superficie acumulada sujeta a restauración según los datos comunicados por todas las Partes. El gráfico de barras de la derecha muestra la distribución de las Partes que proporcionaron datos para el gráfico, por región.</w:t>
      </w:r>
      <w:r w:rsidRPr="005E3D50">
        <w:rPr>
          <w:rFonts w:ascii="Aptos" w:hAnsi="Aptos"/>
          <w:i w:val="0"/>
          <w:iCs w:val="0"/>
          <w:sz w:val="16"/>
          <w:szCs w:val="16"/>
          <w:lang w:val="es-ES"/>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r w:rsidRPr="005E3D50">
        <w:rPr>
          <w:i w:val="0"/>
          <w:iCs w:val="0"/>
          <w:sz w:val="16"/>
          <w:szCs w:val="16"/>
          <w:lang w:val="es-ES"/>
        </w:rPr>
        <w:t> Es probable que la superficie total presentada aquí sea inferior a la superficie total sujeta a restauración debido a las limitaciones en la recopilación de datos, por lo que debe considerarse una estimación mínima. Las tendencias incluyen datos de 51 Partes.</w:t>
      </w:r>
    </w:p>
    <w:tbl>
      <w:tblPr>
        <w:tblStyle w:val="TableGrid"/>
        <w:tblW w:w="0" w:type="auto"/>
        <w:tblLook w:val="06A0" w:firstRow="1" w:lastRow="0" w:firstColumn="1" w:lastColumn="0" w:noHBand="1" w:noVBand="1"/>
      </w:tblPr>
      <w:tblGrid>
        <w:gridCol w:w="4410"/>
        <w:gridCol w:w="3747"/>
      </w:tblGrid>
      <w:tr w:rsidR="00EF4A3C" w:rsidRPr="00CA5012" w14:paraId="1182C664" w14:textId="77777777" w:rsidTr="00311064">
        <w:tc>
          <w:tcPr>
            <w:tcW w:w="8157" w:type="dxa"/>
            <w:gridSpan w:val="2"/>
          </w:tcPr>
          <w:p w14:paraId="4DFA2C50" w14:textId="6B48A5FB" w:rsidR="00EF4A3C" w:rsidRDefault="00EF4A3C"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w:t>
            </w:r>
            <w:r w:rsidR="00BD3E6A">
              <w:rPr>
                <w:rFonts w:ascii="Aptos" w:eastAsia="Segoe UI" w:hAnsi="Aptos" w:cs="Segoe UI"/>
                <w:color w:val="0F1115"/>
                <w:sz w:val="18"/>
                <w:szCs w:val="18"/>
                <w:lang w:val="es-ES"/>
              </w:rPr>
              <w:t>a 11</w:t>
            </w:r>
          </w:p>
        </w:tc>
      </w:tr>
      <w:tr w:rsidR="00EF4A3C" w:rsidRPr="00CA5012" w14:paraId="1C234F7B" w14:textId="77777777" w:rsidTr="00CA5012">
        <w:tc>
          <w:tcPr>
            <w:tcW w:w="4410" w:type="dxa"/>
          </w:tcPr>
          <w:p w14:paraId="561DDC6B"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 xml:space="preserve">English </w:t>
            </w:r>
          </w:p>
        </w:tc>
        <w:tc>
          <w:tcPr>
            <w:tcW w:w="3747" w:type="dxa"/>
          </w:tcPr>
          <w:p w14:paraId="70197826" w14:textId="41561BC8" w:rsidR="00EF4A3C" w:rsidRPr="00CA5012" w:rsidRDefault="00EF4A3C" w:rsidP="00B93410">
            <w:pPr>
              <w:rPr>
                <w:rFonts w:ascii="Aptos" w:hAnsi="Aptos"/>
                <w:sz w:val="18"/>
                <w:szCs w:val="18"/>
                <w:lang w:val="es-ES"/>
              </w:rPr>
            </w:pPr>
            <w:r>
              <w:rPr>
                <w:rFonts w:ascii="Aptos" w:eastAsia="Segoe UI" w:hAnsi="Aptos" w:cs="Segoe UI"/>
                <w:color w:val="0F1115"/>
                <w:sz w:val="18"/>
                <w:szCs w:val="18"/>
                <w:lang w:val="es-ES"/>
              </w:rPr>
              <w:t>Español</w:t>
            </w:r>
          </w:p>
        </w:tc>
      </w:tr>
      <w:tr w:rsidR="00EF4A3C" w:rsidRPr="00CA5012" w14:paraId="51DD86EC" w14:textId="77777777" w:rsidTr="00CA5012">
        <w:tc>
          <w:tcPr>
            <w:tcW w:w="4410" w:type="dxa"/>
          </w:tcPr>
          <w:p w14:paraId="2EBF5477" w14:textId="77777777" w:rsidR="00EF4A3C" w:rsidRPr="00CA5012" w:rsidRDefault="00EF4A3C" w:rsidP="00B93410">
            <w:pPr>
              <w:rPr>
                <w:rFonts w:ascii="Aptos" w:hAnsi="Aptos"/>
                <w:sz w:val="18"/>
                <w:szCs w:val="18"/>
                <w:lang w:val="es-ES"/>
              </w:rPr>
            </w:pPr>
            <w:proofErr w:type="spellStart"/>
            <w:r w:rsidRPr="00CA5012">
              <w:rPr>
                <w:rFonts w:ascii="Aptos" w:eastAsia="Segoe UI" w:hAnsi="Aptos" w:cs="Segoe UI"/>
                <w:color w:val="0F1115"/>
                <w:sz w:val="18"/>
                <w:szCs w:val="18"/>
                <w:lang w:val="es-ES"/>
              </w:rPr>
              <w:t>Area</w:t>
            </w:r>
            <w:proofErr w:type="spellEnd"/>
            <w:r w:rsidRPr="00CA5012">
              <w:rPr>
                <w:rFonts w:ascii="Aptos" w:eastAsia="Segoe UI" w:hAnsi="Aptos" w:cs="Segoe UI"/>
                <w:color w:val="0F1115"/>
                <w:sz w:val="18"/>
                <w:szCs w:val="18"/>
                <w:lang w:val="es-ES"/>
              </w:rPr>
              <w:t xml:space="preserve"> </w:t>
            </w:r>
            <w:proofErr w:type="spellStart"/>
            <w:r w:rsidRPr="00CA5012">
              <w:rPr>
                <w:rFonts w:ascii="Aptos" w:eastAsia="Segoe UI" w:hAnsi="Aptos" w:cs="Segoe UI"/>
                <w:color w:val="0F1115"/>
                <w:sz w:val="18"/>
                <w:szCs w:val="18"/>
                <w:lang w:val="es-ES"/>
              </w:rPr>
              <w:t>under</w:t>
            </w:r>
            <w:proofErr w:type="spellEnd"/>
            <w:r w:rsidRPr="00CA5012">
              <w:rPr>
                <w:rFonts w:ascii="Aptos" w:eastAsia="Segoe UI" w:hAnsi="Aptos" w:cs="Segoe UI"/>
                <w:color w:val="0F1115"/>
                <w:sz w:val="18"/>
                <w:szCs w:val="18"/>
                <w:lang w:val="es-ES"/>
              </w:rPr>
              <w:t xml:space="preserve"> </w:t>
            </w:r>
            <w:proofErr w:type="spellStart"/>
            <w:r w:rsidRPr="00CA5012">
              <w:rPr>
                <w:rFonts w:ascii="Aptos" w:eastAsia="Segoe UI" w:hAnsi="Aptos" w:cs="Segoe UI"/>
                <w:color w:val="0F1115"/>
                <w:sz w:val="18"/>
                <w:szCs w:val="18"/>
                <w:lang w:val="es-ES"/>
              </w:rPr>
              <w:t>restoration</w:t>
            </w:r>
            <w:proofErr w:type="spellEnd"/>
            <w:r w:rsidRPr="00CA5012">
              <w:rPr>
                <w:rFonts w:ascii="Aptos" w:eastAsia="Segoe UI" w:hAnsi="Aptos" w:cs="Segoe UI"/>
                <w:color w:val="0F1115"/>
                <w:sz w:val="18"/>
                <w:szCs w:val="18"/>
                <w:lang w:val="es-ES"/>
              </w:rPr>
              <w:t xml:space="preserve"> </w:t>
            </w:r>
          </w:p>
        </w:tc>
        <w:tc>
          <w:tcPr>
            <w:tcW w:w="3747" w:type="dxa"/>
          </w:tcPr>
          <w:p w14:paraId="47242CF5"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 xml:space="preserve">Superficie sujeta a restauración </w:t>
            </w:r>
          </w:p>
        </w:tc>
      </w:tr>
      <w:tr w:rsidR="00EF4A3C" w:rsidRPr="00CA5012" w14:paraId="7A4485C1" w14:textId="77777777" w:rsidTr="00CA5012">
        <w:tc>
          <w:tcPr>
            <w:tcW w:w="4410" w:type="dxa"/>
          </w:tcPr>
          <w:p w14:paraId="7330ED1A" w14:textId="77777777" w:rsidR="00EF4A3C" w:rsidRPr="00CA5012" w:rsidRDefault="00EF4A3C" w:rsidP="00B93410">
            <w:pPr>
              <w:rPr>
                <w:rFonts w:ascii="Aptos" w:hAnsi="Aptos"/>
                <w:sz w:val="18"/>
                <w:szCs w:val="18"/>
                <w:lang w:val="es-ES"/>
              </w:rPr>
            </w:pPr>
            <w:proofErr w:type="spellStart"/>
            <w:r w:rsidRPr="00CA5012">
              <w:rPr>
                <w:rFonts w:ascii="Aptos" w:eastAsia="Segoe UI" w:hAnsi="Aptos" w:cs="Segoe UI"/>
                <w:color w:val="0F1115"/>
                <w:sz w:val="18"/>
                <w:szCs w:val="18"/>
                <w:lang w:val="es-ES"/>
              </w:rPr>
              <w:t>Year</w:t>
            </w:r>
            <w:proofErr w:type="spellEnd"/>
          </w:p>
        </w:tc>
        <w:tc>
          <w:tcPr>
            <w:tcW w:w="3747" w:type="dxa"/>
          </w:tcPr>
          <w:p w14:paraId="4D095667"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Año</w:t>
            </w:r>
          </w:p>
        </w:tc>
      </w:tr>
      <w:tr w:rsidR="00EF4A3C" w:rsidRPr="00CA5012" w14:paraId="381FF128" w14:textId="77777777" w:rsidTr="00CA5012">
        <w:tc>
          <w:tcPr>
            <w:tcW w:w="4410" w:type="dxa"/>
          </w:tcPr>
          <w:p w14:paraId="043C3409"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2020</w:t>
            </w:r>
          </w:p>
        </w:tc>
        <w:tc>
          <w:tcPr>
            <w:tcW w:w="3747" w:type="dxa"/>
          </w:tcPr>
          <w:p w14:paraId="6DDFA73E"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2020</w:t>
            </w:r>
          </w:p>
        </w:tc>
      </w:tr>
      <w:tr w:rsidR="00EF4A3C" w:rsidRPr="00CA5012" w14:paraId="6D1FD694" w14:textId="77777777" w:rsidTr="00CA5012">
        <w:tc>
          <w:tcPr>
            <w:tcW w:w="4410" w:type="dxa"/>
          </w:tcPr>
          <w:p w14:paraId="305B5253"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2021</w:t>
            </w:r>
          </w:p>
        </w:tc>
        <w:tc>
          <w:tcPr>
            <w:tcW w:w="3747" w:type="dxa"/>
          </w:tcPr>
          <w:p w14:paraId="0BD107AB"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2021</w:t>
            </w:r>
          </w:p>
        </w:tc>
      </w:tr>
      <w:tr w:rsidR="00EF4A3C" w:rsidRPr="00CA5012" w14:paraId="71BED156" w14:textId="77777777" w:rsidTr="00CA5012">
        <w:tc>
          <w:tcPr>
            <w:tcW w:w="4410" w:type="dxa"/>
          </w:tcPr>
          <w:p w14:paraId="04EA05C8"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2022</w:t>
            </w:r>
          </w:p>
        </w:tc>
        <w:tc>
          <w:tcPr>
            <w:tcW w:w="3747" w:type="dxa"/>
          </w:tcPr>
          <w:p w14:paraId="60387A75"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2022</w:t>
            </w:r>
          </w:p>
        </w:tc>
      </w:tr>
      <w:tr w:rsidR="00EF4A3C" w:rsidRPr="00CA5012" w14:paraId="094093B0" w14:textId="77777777" w:rsidTr="00CA5012">
        <w:tc>
          <w:tcPr>
            <w:tcW w:w="4410" w:type="dxa"/>
          </w:tcPr>
          <w:p w14:paraId="69CF31BA"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2023</w:t>
            </w:r>
          </w:p>
        </w:tc>
        <w:tc>
          <w:tcPr>
            <w:tcW w:w="3747" w:type="dxa"/>
          </w:tcPr>
          <w:p w14:paraId="0D54CCC7"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2023</w:t>
            </w:r>
          </w:p>
        </w:tc>
      </w:tr>
      <w:tr w:rsidR="00EF4A3C" w:rsidRPr="00CA5012" w14:paraId="7C72F753" w14:textId="77777777" w:rsidTr="00CA5012">
        <w:tc>
          <w:tcPr>
            <w:tcW w:w="4410" w:type="dxa"/>
          </w:tcPr>
          <w:p w14:paraId="60473E1A"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2024</w:t>
            </w:r>
          </w:p>
        </w:tc>
        <w:tc>
          <w:tcPr>
            <w:tcW w:w="3747" w:type="dxa"/>
          </w:tcPr>
          <w:p w14:paraId="5E264005"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2024</w:t>
            </w:r>
          </w:p>
        </w:tc>
      </w:tr>
      <w:tr w:rsidR="00EF4A3C" w:rsidRPr="00CA5012" w14:paraId="43305F54" w14:textId="77777777" w:rsidTr="00CA5012">
        <w:tc>
          <w:tcPr>
            <w:tcW w:w="4410" w:type="dxa"/>
          </w:tcPr>
          <w:p w14:paraId="17F646A3"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2025</w:t>
            </w:r>
          </w:p>
        </w:tc>
        <w:tc>
          <w:tcPr>
            <w:tcW w:w="3747" w:type="dxa"/>
          </w:tcPr>
          <w:p w14:paraId="6992E38C"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2025</w:t>
            </w:r>
          </w:p>
        </w:tc>
      </w:tr>
      <w:tr w:rsidR="00EF4A3C" w:rsidRPr="00CA5012" w14:paraId="5C979707" w14:textId="77777777" w:rsidTr="00CA5012">
        <w:tc>
          <w:tcPr>
            <w:tcW w:w="4410" w:type="dxa"/>
          </w:tcPr>
          <w:p w14:paraId="144082C6"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0</w:t>
            </w:r>
          </w:p>
        </w:tc>
        <w:tc>
          <w:tcPr>
            <w:tcW w:w="3747" w:type="dxa"/>
          </w:tcPr>
          <w:p w14:paraId="1ACD99F2"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0</w:t>
            </w:r>
          </w:p>
        </w:tc>
      </w:tr>
      <w:tr w:rsidR="00EF4A3C" w:rsidRPr="00CA5012" w14:paraId="7619E69B" w14:textId="77777777" w:rsidTr="00CA5012">
        <w:tc>
          <w:tcPr>
            <w:tcW w:w="4410" w:type="dxa"/>
          </w:tcPr>
          <w:p w14:paraId="492257DD"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50</w:t>
            </w:r>
          </w:p>
        </w:tc>
        <w:tc>
          <w:tcPr>
            <w:tcW w:w="3747" w:type="dxa"/>
          </w:tcPr>
          <w:p w14:paraId="0F6378B1"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50</w:t>
            </w:r>
          </w:p>
        </w:tc>
      </w:tr>
      <w:tr w:rsidR="00EF4A3C" w:rsidRPr="00CA5012" w14:paraId="7958265F" w14:textId="77777777" w:rsidTr="00CA5012">
        <w:tc>
          <w:tcPr>
            <w:tcW w:w="4410" w:type="dxa"/>
          </w:tcPr>
          <w:p w14:paraId="46EA2AB9"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100</w:t>
            </w:r>
          </w:p>
        </w:tc>
        <w:tc>
          <w:tcPr>
            <w:tcW w:w="3747" w:type="dxa"/>
          </w:tcPr>
          <w:p w14:paraId="4750945A"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100</w:t>
            </w:r>
          </w:p>
        </w:tc>
      </w:tr>
      <w:tr w:rsidR="00EF4A3C" w:rsidRPr="00CA5012" w14:paraId="6ECDE0A4" w14:textId="77777777" w:rsidTr="00CA5012">
        <w:tc>
          <w:tcPr>
            <w:tcW w:w="4410" w:type="dxa"/>
          </w:tcPr>
          <w:p w14:paraId="3044E22B"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150</w:t>
            </w:r>
          </w:p>
        </w:tc>
        <w:tc>
          <w:tcPr>
            <w:tcW w:w="3747" w:type="dxa"/>
          </w:tcPr>
          <w:p w14:paraId="07875B80"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150</w:t>
            </w:r>
          </w:p>
        </w:tc>
      </w:tr>
      <w:tr w:rsidR="00EF4A3C" w:rsidRPr="00CA5012" w14:paraId="7DAF751C" w14:textId="77777777" w:rsidTr="00CA5012">
        <w:tc>
          <w:tcPr>
            <w:tcW w:w="4410" w:type="dxa"/>
          </w:tcPr>
          <w:p w14:paraId="24FF2700"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200</w:t>
            </w:r>
          </w:p>
        </w:tc>
        <w:tc>
          <w:tcPr>
            <w:tcW w:w="3747" w:type="dxa"/>
          </w:tcPr>
          <w:p w14:paraId="7D0681D3"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200</w:t>
            </w:r>
          </w:p>
        </w:tc>
      </w:tr>
      <w:tr w:rsidR="00EF4A3C" w:rsidRPr="00CA5012" w14:paraId="11F810F0" w14:textId="77777777" w:rsidTr="00CA5012">
        <w:tc>
          <w:tcPr>
            <w:tcW w:w="4410" w:type="dxa"/>
          </w:tcPr>
          <w:p w14:paraId="7DB4209B"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w:t>
            </w:r>
            <w:proofErr w:type="spellStart"/>
            <w:r w:rsidRPr="00CA5012">
              <w:rPr>
                <w:rFonts w:ascii="Aptos" w:eastAsia="Segoe UI" w:hAnsi="Aptos" w:cs="Segoe UI"/>
                <w:color w:val="0F1115"/>
                <w:sz w:val="18"/>
                <w:szCs w:val="18"/>
                <w:lang w:val="es-ES"/>
              </w:rPr>
              <w:t>million</w:t>
            </w:r>
            <w:proofErr w:type="spellEnd"/>
            <w:r w:rsidRPr="00CA5012">
              <w:rPr>
                <w:rFonts w:ascii="Aptos" w:eastAsia="Segoe UI" w:hAnsi="Aptos" w:cs="Segoe UI"/>
                <w:color w:val="0F1115"/>
                <w:sz w:val="18"/>
                <w:szCs w:val="18"/>
                <w:lang w:val="es-ES"/>
              </w:rPr>
              <w:t xml:space="preserve"> </w:t>
            </w:r>
            <w:proofErr w:type="spellStart"/>
            <w:r w:rsidRPr="00CA5012">
              <w:rPr>
                <w:rFonts w:ascii="Aptos" w:eastAsia="Segoe UI" w:hAnsi="Aptos" w:cs="Segoe UI"/>
                <w:color w:val="0F1115"/>
                <w:sz w:val="18"/>
                <w:szCs w:val="18"/>
                <w:lang w:val="es-ES"/>
              </w:rPr>
              <w:t>hectares</w:t>
            </w:r>
            <w:proofErr w:type="spellEnd"/>
            <w:r w:rsidRPr="00CA5012">
              <w:rPr>
                <w:rFonts w:ascii="Aptos" w:eastAsia="Segoe UI" w:hAnsi="Aptos" w:cs="Segoe UI"/>
                <w:color w:val="0F1115"/>
                <w:sz w:val="18"/>
                <w:szCs w:val="18"/>
                <w:lang w:val="es-ES"/>
              </w:rPr>
              <w:t>)</w:t>
            </w:r>
          </w:p>
        </w:tc>
        <w:tc>
          <w:tcPr>
            <w:tcW w:w="3747" w:type="dxa"/>
          </w:tcPr>
          <w:p w14:paraId="34789BA6"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(millones de hectáreas)</w:t>
            </w:r>
          </w:p>
        </w:tc>
      </w:tr>
      <w:tr w:rsidR="00EF4A3C" w:rsidRPr="00CA5012" w14:paraId="4806C477" w14:textId="77777777" w:rsidTr="00CA5012">
        <w:tc>
          <w:tcPr>
            <w:tcW w:w="4410" w:type="dxa"/>
          </w:tcPr>
          <w:p w14:paraId="688A108D"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 xml:space="preserve">Party </w:t>
            </w:r>
            <w:proofErr w:type="spellStart"/>
            <w:r w:rsidRPr="00CA5012">
              <w:rPr>
                <w:rFonts w:ascii="Aptos" w:eastAsia="Segoe UI" w:hAnsi="Aptos" w:cs="Segoe UI"/>
                <w:color w:val="0F1115"/>
                <w:sz w:val="18"/>
                <w:szCs w:val="18"/>
                <w:lang w:val="es-ES"/>
              </w:rPr>
              <w:t>count</w:t>
            </w:r>
            <w:proofErr w:type="spellEnd"/>
            <w:r w:rsidRPr="00CA5012">
              <w:rPr>
                <w:rFonts w:ascii="Aptos" w:eastAsia="Segoe UI" w:hAnsi="Aptos" w:cs="Segoe UI"/>
                <w:color w:val="0F1115"/>
                <w:sz w:val="18"/>
                <w:szCs w:val="18"/>
                <w:lang w:val="es-ES"/>
              </w:rPr>
              <w:t xml:space="preserve"> </w:t>
            </w:r>
            <w:proofErr w:type="spellStart"/>
            <w:r w:rsidRPr="00CA5012">
              <w:rPr>
                <w:rFonts w:ascii="Aptos" w:eastAsia="Segoe UI" w:hAnsi="Aptos" w:cs="Segoe UI"/>
                <w:color w:val="0F1115"/>
                <w:sz w:val="18"/>
                <w:szCs w:val="18"/>
                <w:lang w:val="es-ES"/>
              </w:rPr>
              <w:t>by</w:t>
            </w:r>
            <w:proofErr w:type="spellEnd"/>
            <w:r w:rsidRPr="00CA5012">
              <w:rPr>
                <w:rFonts w:ascii="Aptos" w:eastAsia="Segoe UI" w:hAnsi="Aptos" w:cs="Segoe UI"/>
                <w:color w:val="0F1115"/>
                <w:sz w:val="18"/>
                <w:szCs w:val="18"/>
                <w:lang w:val="es-ES"/>
              </w:rPr>
              <w:t xml:space="preserve"> </w:t>
            </w:r>
            <w:proofErr w:type="spellStart"/>
            <w:r w:rsidRPr="00CA5012">
              <w:rPr>
                <w:rFonts w:ascii="Aptos" w:eastAsia="Segoe UI" w:hAnsi="Aptos" w:cs="Segoe UI"/>
                <w:color w:val="0F1115"/>
                <w:sz w:val="18"/>
                <w:szCs w:val="18"/>
                <w:lang w:val="es-ES"/>
              </w:rPr>
              <w:t>region</w:t>
            </w:r>
            <w:proofErr w:type="spellEnd"/>
          </w:p>
        </w:tc>
        <w:tc>
          <w:tcPr>
            <w:tcW w:w="3747" w:type="dxa"/>
          </w:tcPr>
          <w:p w14:paraId="629D4FAE"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Número de Partes por región</w:t>
            </w:r>
          </w:p>
        </w:tc>
      </w:tr>
      <w:tr w:rsidR="00EF4A3C" w:rsidRPr="00CA5012" w14:paraId="49248637" w14:textId="77777777" w:rsidTr="00CA5012">
        <w:tc>
          <w:tcPr>
            <w:tcW w:w="4410" w:type="dxa"/>
          </w:tcPr>
          <w:p w14:paraId="4B91D6F1" w14:textId="77777777" w:rsidR="00EF4A3C" w:rsidRPr="00CA5012" w:rsidRDefault="00EF4A3C" w:rsidP="00B93410">
            <w:pPr>
              <w:rPr>
                <w:rFonts w:ascii="Aptos" w:hAnsi="Aptos"/>
                <w:sz w:val="18"/>
                <w:szCs w:val="18"/>
                <w:lang w:val="es-ES"/>
              </w:rPr>
            </w:pPr>
            <w:proofErr w:type="spellStart"/>
            <w:r w:rsidRPr="00CA5012">
              <w:rPr>
                <w:rFonts w:ascii="Aptos" w:eastAsia="Segoe UI" w:hAnsi="Aptos" w:cs="Segoe UI"/>
                <w:color w:val="0F1115"/>
                <w:sz w:val="18"/>
                <w:szCs w:val="18"/>
                <w:lang w:val="es-ES"/>
              </w:rPr>
              <w:t>Region</w:t>
            </w:r>
            <w:proofErr w:type="spellEnd"/>
          </w:p>
        </w:tc>
        <w:tc>
          <w:tcPr>
            <w:tcW w:w="3747" w:type="dxa"/>
          </w:tcPr>
          <w:p w14:paraId="69219A2C"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Región</w:t>
            </w:r>
          </w:p>
        </w:tc>
      </w:tr>
      <w:tr w:rsidR="00EF4A3C" w:rsidRPr="00CA5012" w14:paraId="18B370B3" w14:textId="77777777" w:rsidTr="00CA5012">
        <w:tc>
          <w:tcPr>
            <w:tcW w:w="4410" w:type="dxa"/>
          </w:tcPr>
          <w:p w14:paraId="72C6905A"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lastRenderedPageBreak/>
              <w:t>African States</w:t>
            </w:r>
          </w:p>
        </w:tc>
        <w:tc>
          <w:tcPr>
            <w:tcW w:w="3747" w:type="dxa"/>
          </w:tcPr>
          <w:p w14:paraId="61A1D69F"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Estados de África</w:t>
            </w:r>
          </w:p>
        </w:tc>
      </w:tr>
      <w:tr w:rsidR="00EF4A3C" w:rsidRPr="00CA5012" w14:paraId="3D721E2E" w14:textId="77777777" w:rsidTr="00CA5012">
        <w:tc>
          <w:tcPr>
            <w:tcW w:w="4410" w:type="dxa"/>
          </w:tcPr>
          <w:p w14:paraId="45BEDB5A"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Asia- Pacific States</w:t>
            </w:r>
          </w:p>
        </w:tc>
        <w:tc>
          <w:tcPr>
            <w:tcW w:w="3747" w:type="dxa"/>
          </w:tcPr>
          <w:p w14:paraId="260C35A1"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Estados de Asia y el Pacífico</w:t>
            </w:r>
          </w:p>
        </w:tc>
      </w:tr>
      <w:tr w:rsidR="00EF4A3C" w:rsidRPr="00CA5012" w14:paraId="3BFBC4E6" w14:textId="77777777" w:rsidTr="00CA5012">
        <w:tc>
          <w:tcPr>
            <w:tcW w:w="4410" w:type="dxa"/>
          </w:tcPr>
          <w:p w14:paraId="40FF3E5C" w14:textId="77777777" w:rsidR="00EF4A3C" w:rsidRPr="00CA5012" w:rsidRDefault="00EF4A3C" w:rsidP="00B93410">
            <w:pPr>
              <w:rPr>
                <w:rFonts w:ascii="Aptos" w:hAnsi="Aptos"/>
                <w:sz w:val="18"/>
                <w:szCs w:val="18"/>
                <w:lang w:val="en-US"/>
              </w:rPr>
            </w:pPr>
            <w:r w:rsidRPr="00CA5012">
              <w:rPr>
                <w:rFonts w:ascii="Aptos" w:eastAsia="Segoe UI" w:hAnsi="Aptos" w:cs="Segoe UI"/>
                <w:color w:val="0F1115"/>
                <w:sz w:val="18"/>
                <w:szCs w:val="18"/>
                <w:lang w:val="en-US"/>
              </w:rPr>
              <w:t>Latin American and Caribbean States</w:t>
            </w:r>
          </w:p>
        </w:tc>
        <w:tc>
          <w:tcPr>
            <w:tcW w:w="3747" w:type="dxa"/>
          </w:tcPr>
          <w:p w14:paraId="33CC3436"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Estados de América Latina y el Caribe</w:t>
            </w:r>
          </w:p>
        </w:tc>
      </w:tr>
      <w:tr w:rsidR="00EF4A3C" w:rsidRPr="00CA5012" w14:paraId="7C0159AF" w14:textId="77777777" w:rsidTr="00CA5012">
        <w:tc>
          <w:tcPr>
            <w:tcW w:w="4410" w:type="dxa"/>
          </w:tcPr>
          <w:p w14:paraId="33A81CE7"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Eastern European States</w:t>
            </w:r>
          </w:p>
        </w:tc>
        <w:tc>
          <w:tcPr>
            <w:tcW w:w="3747" w:type="dxa"/>
          </w:tcPr>
          <w:p w14:paraId="276F8300"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Estados de Europa Oriental</w:t>
            </w:r>
          </w:p>
        </w:tc>
      </w:tr>
      <w:tr w:rsidR="00EF4A3C" w:rsidRPr="00CA5012" w14:paraId="7C26D477" w14:textId="77777777" w:rsidTr="00CA5012">
        <w:tc>
          <w:tcPr>
            <w:tcW w:w="4410" w:type="dxa"/>
          </w:tcPr>
          <w:p w14:paraId="0BB0108C" w14:textId="77777777" w:rsidR="00EF4A3C" w:rsidRPr="00CA5012" w:rsidRDefault="00EF4A3C" w:rsidP="00B93410">
            <w:pPr>
              <w:rPr>
                <w:rFonts w:ascii="Aptos" w:hAnsi="Aptos"/>
                <w:sz w:val="18"/>
                <w:szCs w:val="18"/>
                <w:lang w:val="en-US"/>
              </w:rPr>
            </w:pPr>
            <w:r w:rsidRPr="00CA5012">
              <w:rPr>
                <w:rFonts w:ascii="Aptos" w:eastAsia="Segoe UI" w:hAnsi="Aptos" w:cs="Segoe UI"/>
                <w:color w:val="0F1115"/>
                <w:sz w:val="18"/>
                <w:szCs w:val="18"/>
                <w:lang w:val="en-US"/>
              </w:rPr>
              <w:t>Western European and other States</w:t>
            </w:r>
          </w:p>
        </w:tc>
        <w:tc>
          <w:tcPr>
            <w:tcW w:w="3747" w:type="dxa"/>
          </w:tcPr>
          <w:p w14:paraId="6F21BB99" w14:textId="77777777" w:rsidR="00EF4A3C" w:rsidRPr="00CA5012" w:rsidRDefault="00EF4A3C" w:rsidP="00B93410">
            <w:pPr>
              <w:rPr>
                <w:rFonts w:ascii="Aptos" w:hAnsi="Aptos"/>
                <w:sz w:val="18"/>
                <w:szCs w:val="18"/>
                <w:lang w:val="es-ES"/>
              </w:rPr>
            </w:pPr>
            <w:r w:rsidRPr="00CA5012">
              <w:rPr>
                <w:rFonts w:ascii="Aptos" w:hAnsi="Aptos"/>
                <w:color w:val="0F1115"/>
                <w:sz w:val="18"/>
                <w:szCs w:val="18"/>
                <w:lang w:val="es-ES"/>
              </w:rPr>
              <w:t>Estados de Europa Occidental y otros Estados</w:t>
            </w:r>
          </w:p>
        </w:tc>
      </w:tr>
      <w:tr w:rsidR="00EF4A3C" w:rsidRPr="00CA5012" w14:paraId="1C4EEE95" w14:textId="77777777" w:rsidTr="00CA5012">
        <w:tc>
          <w:tcPr>
            <w:tcW w:w="4410" w:type="dxa"/>
          </w:tcPr>
          <w:p w14:paraId="57C761E7" w14:textId="77777777" w:rsidR="00EF4A3C" w:rsidRPr="00CA5012" w:rsidRDefault="00EF4A3C" w:rsidP="00B93410">
            <w:pPr>
              <w:rPr>
                <w:rFonts w:ascii="Aptos" w:hAnsi="Aptos"/>
                <w:sz w:val="18"/>
                <w:szCs w:val="18"/>
                <w:lang w:val="es-ES"/>
              </w:rPr>
            </w:pPr>
            <w:r w:rsidRPr="00CA5012">
              <w:rPr>
                <w:rFonts w:ascii="Aptos" w:eastAsia="Segoe UI" w:hAnsi="Aptos" w:cs="Segoe UI"/>
                <w:color w:val="0F1115"/>
                <w:sz w:val="18"/>
                <w:szCs w:val="18"/>
                <w:lang w:val="es-ES"/>
              </w:rPr>
              <w:t xml:space="preserve">Party </w:t>
            </w:r>
            <w:proofErr w:type="spellStart"/>
            <w:r w:rsidRPr="00CA5012">
              <w:rPr>
                <w:rFonts w:ascii="Aptos" w:eastAsia="Segoe UI" w:hAnsi="Aptos" w:cs="Segoe UI"/>
                <w:color w:val="0F1115"/>
                <w:sz w:val="18"/>
                <w:szCs w:val="18"/>
                <w:lang w:val="es-ES"/>
              </w:rPr>
              <w:t>count</w:t>
            </w:r>
            <w:proofErr w:type="spellEnd"/>
            <w:r w:rsidRPr="00CA5012">
              <w:rPr>
                <w:rFonts w:ascii="Aptos" w:eastAsia="Segoe UI" w:hAnsi="Aptos" w:cs="Segoe UI"/>
                <w:color w:val="0F1115"/>
                <w:sz w:val="18"/>
                <w:szCs w:val="18"/>
                <w:lang w:val="es-ES"/>
              </w:rPr>
              <w:t>: 51</w:t>
            </w:r>
          </w:p>
        </w:tc>
        <w:tc>
          <w:tcPr>
            <w:tcW w:w="3747" w:type="dxa"/>
          </w:tcPr>
          <w:p w14:paraId="5FFD87C8" w14:textId="77777777" w:rsidR="00EF4A3C" w:rsidRPr="00CA5012" w:rsidRDefault="00EF4A3C" w:rsidP="00B93410">
            <w:pPr>
              <w:rPr>
                <w:rFonts w:ascii="Aptos" w:eastAsia="Segoe UI" w:hAnsi="Aptos" w:cs="Segoe UI"/>
                <w:color w:val="0F1115"/>
                <w:sz w:val="18"/>
                <w:szCs w:val="18"/>
                <w:lang w:val="es-ES"/>
              </w:rPr>
            </w:pPr>
            <w:r w:rsidRPr="00CA5012">
              <w:rPr>
                <w:rFonts w:ascii="Aptos" w:hAnsi="Aptos"/>
                <w:color w:val="0F1115"/>
                <w:sz w:val="18"/>
                <w:szCs w:val="18"/>
                <w:lang w:val="es-ES"/>
              </w:rPr>
              <w:t>Número de Partes: 51</w:t>
            </w:r>
          </w:p>
        </w:tc>
      </w:tr>
    </w:tbl>
    <w:p w14:paraId="36182626" w14:textId="77777777" w:rsidR="00CA5012" w:rsidRPr="00CA5012" w:rsidRDefault="00CA5012" w:rsidP="00CA5012">
      <w:pPr>
        <w:rPr>
          <w:lang w:val="es-ES" w:eastAsia="ja-JP"/>
        </w:rPr>
      </w:pPr>
    </w:p>
    <w:p w14:paraId="6FB63E90" w14:textId="3AC48A93" w:rsidR="001E7E5B" w:rsidRPr="005E3D50" w:rsidRDefault="001E7E5B" w:rsidP="001E7E5B">
      <w:pPr>
        <w:keepNext/>
        <w:rPr>
          <w:rFonts w:ascii="Aptos" w:hAnsi="Aptos"/>
          <w:sz w:val="20"/>
          <w:szCs w:val="20"/>
          <w:lang w:val="es-ES"/>
        </w:rPr>
      </w:pPr>
      <w:r w:rsidRPr="005E3D50">
        <w:rPr>
          <w:rFonts w:ascii="Aptos" w:hAnsi="Aptos"/>
          <w:sz w:val="20"/>
          <w:szCs w:val="20"/>
          <w:lang w:val="es-ES"/>
        </w:rPr>
        <w:t>Figura 12</w:t>
      </w:r>
    </w:p>
    <w:p w14:paraId="3D8AFCFE" w14:textId="013BBA01" w:rsidR="001E7E5B" w:rsidRPr="005E3D50" w:rsidRDefault="001E7E5B" w:rsidP="001E7E5B">
      <w:pPr>
        <w:keepNext/>
        <w:rPr>
          <w:rFonts w:ascii="Aptos" w:hAnsi="Aptos"/>
          <w:i/>
          <w:iCs/>
          <w:sz w:val="20"/>
          <w:szCs w:val="20"/>
          <w:lang w:val="es-ES"/>
        </w:rPr>
      </w:pPr>
      <w:r w:rsidRPr="005E3D50">
        <w:rPr>
          <w:rFonts w:ascii="Aptos" w:hAnsi="Aptos"/>
          <w:b/>
          <w:bCs/>
          <w:sz w:val="20"/>
          <w:szCs w:val="20"/>
          <w:lang w:val="es-ES"/>
        </w:rPr>
        <w:t>Porcentaje de indicadores armonizados con la meta 2 del Marco que sugieren tendencias de mejora, estables y negativas, respectivamente</w:t>
      </w:r>
      <w:r w:rsidRPr="005E3D50">
        <w:rPr>
          <w:rFonts w:ascii="Aptos" w:hAnsi="Aptos"/>
          <w:i/>
          <w:iCs/>
          <w:sz w:val="20"/>
          <w:szCs w:val="20"/>
          <w:lang w:val="es-ES"/>
        </w:rPr>
        <w:t xml:space="preserve"> </w:t>
      </w:r>
    </w:p>
    <w:p w14:paraId="71DABDF4" w14:textId="77777777" w:rsidR="001E7E5B" w:rsidRPr="005E3D50" w:rsidRDefault="001E7E5B" w:rsidP="00344E1F">
      <w:pPr>
        <w:keepNext/>
        <w:rPr>
          <w:rFonts w:ascii="Aptos" w:hAnsi="Aptos"/>
          <w:lang w:val="es-ES"/>
        </w:rPr>
      </w:pPr>
    </w:p>
    <w:p w14:paraId="2AE77017" w14:textId="5BD28535" w:rsidR="00E318A4" w:rsidRPr="005E3D50" w:rsidRDefault="00344E1F" w:rsidP="00C96507">
      <w:pPr>
        <w:pStyle w:val="Caption"/>
        <w:keepNext/>
        <w:rPr>
          <w:lang w:val="es-ES"/>
        </w:rPr>
      </w:pPr>
      <w:bookmarkStart w:id="134" w:name="_Ref230007982"/>
      <w:r w:rsidRPr="005E3D50">
        <w:rPr>
          <w:rFonts w:ascii="Aptos" w:hAnsi="Aptos"/>
          <w:noProof/>
          <w:lang w:val="en-US" w:eastAsia="en-US"/>
        </w:rPr>
        <w:drawing>
          <wp:inline distT="0" distB="0" distL="0" distR="0" wp14:anchorId="7C07687C" wp14:editId="4340536F">
            <wp:extent cx="5724525" cy="2457450"/>
            <wp:effectExtent l="0" t="0" r="0" b="0"/>
            <wp:docPr id="135725658" name="drawing">
              <a:extLst xmlns:a="http://schemas.openxmlformats.org/drawingml/2006/main">
                <a:ext uri="{FF2B5EF4-FFF2-40B4-BE49-F238E27FC236}">
                  <a16:creationId xmlns:a16="http://schemas.microsoft.com/office/drawing/2014/main" id="{AB7224A6-B767-41DC-8728-8C3D130044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5658"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24525" cy="2457450"/>
                    </a:xfrm>
                    <a:prstGeom prst="rect">
                      <a:avLst/>
                    </a:prstGeom>
                  </pic:spPr>
                </pic:pic>
              </a:graphicData>
            </a:graphic>
          </wp:inline>
        </w:drawing>
      </w:r>
    </w:p>
    <w:p w14:paraId="019FD963" w14:textId="77777777" w:rsidR="00173006" w:rsidRPr="005E3D50" w:rsidRDefault="00173006" w:rsidP="00173006">
      <w:pPr>
        <w:pStyle w:val="Caption"/>
        <w:rPr>
          <w:rFonts w:ascii="Aptos" w:hAnsi="Aptos"/>
          <w:i w:val="0"/>
          <w:sz w:val="16"/>
          <w:szCs w:val="16"/>
          <w:lang w:val="es-ES"/>
        </w:rPr>
      </w:pPr>
      <w:bookmarkStart w:id="135" w:name="_Ref230458725"/>
      <w:r w:rsidRPr="005E3D50">
        <w:rPr>
          <w:rFonts w:ascii="Aptos" w:hAnsi="Aptos"/>
          <w:sz w:val="16"/>
          <w:szCs w:val="16"/>
          <w:lang w:val="es-ES"/>
        </w:rPr>
        <w:t xml:space="preserve">Nota: </w:t>
      </w:r>
      <w:r w:rsidRPr="005E3D50">
        <w:rPr>
          <w:rFonts w:ascii="Aptos" w:hAnsi="Aptos"/>
          <w:i w:val="0"/>
          <w:sz w:val="16"/>
          <w:szCs w:val="16"/>
          <w:lang w:val="es-ES"/>
        </w:rPr>
        <w:t>Las proporciones están ponderadas por Parte. Las tendencias incluyen datos correspondientes al indicador de cabecera 2.1 de 51 Partes, además de 1 indicador de componente, 2 indicadores complementarios y 82 indicadores nacionales de un total de 25 Partes. El gráfico circular muestra la distribución de las Partes que presentaron indicadores para la meta 2,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6A0" w:firstRow="1" w:lastRow="0" w:firstColumn="1" w:lastColumn="0" w:noHBand="1" w:noVBand="1"/>
      </w:tblPr>
      <w:tblGrid>
        <w:gridCol w:w="4320"/>
        <w:gridCol w:w="4320"/>
      </w:tblGrid>
      <w:tr w:rsidR="000651FD" w:rsidRPr="009D32F0" w14:paraId="0A5E945A" w14:textId="77777777" w:rsidTr="00907C66">
        <w:tc>
          <w:tcPr>
            <w:tcW w:w="8640" w:type="dxa"/>
            <w:gridSpan w:val="2"/>
          </w:tcPr>
          <w:p w14:paraId="297BB86A" w14:textId="248DAB06" w:rsidR="000651FD" w:rsidRDefault="000651FD"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12</w:t>
            </w:r>
          </w:p>
        </w:tc>
      </w:tr>
      <w:bookmarkEnd w:id="134"/>
      <w:bookmarkEnd w:id="135"/>
      <w:tr w:rsidR="000651FD" w:rsidRPr="009D32F0" w14:paraId="33AE50E7" w14:textId="77777777" w:rsidTr="009D32F0">
        <w:tc>
          <w:tcPr>
            <w:tcW w:w="4320" w:type="dxa"/>
          </w:tcPr>
          <w:p w14:paraId="760BE555"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 xml:space="preserve">English </w:t>
            </w:r>
          </w:p>
        </w:tc>
        <w:tc>
          <w:tcPr>
            <w:tcW w:w="4320" w:type="dxa"/>
          </w:tcPr>
          <w:p w14:paraId="26DAD1C6" w14:textId="597B2A43" w:rsidR="000651FD" w:rsidRPr="009D32F0" w:rsidRDefault="000651FD" w:rsidP="00B93410">
            <w:pPr>
              <w:rPr>
                <w:rFonts w:ascii="Aptos" w:hAnsi="Aptos"/>
                <w:sz w:val="18"/>
                <w:szCs w:val="18"/>
                <w:lang w:val="es-ES"/>
              </w:rPr>
            </w:pPr>
            <w:r>
              <w:rPr>
                <w:rFonts w:ascii="Aptos" w:eastAsia="Segoe UI" w:hAnsi="Aptos" w:cs="Segoe UI"/>
                <w:color w:val="0F1115"/>
                <w:sz w:val="18"/>
                <w:szCs w:val="18"/>
                <w:lang w:val="es-ES"/>
              </w:rPr>
              <w:t>Español</w:t>
            </w:r>
          </w:p>
        </w:tc>
      </w:tr>
      <w:tr w:rsidR="000651FD" w:rsidRPr="009D32F0" w14:paraId="5983013E" w14:textId="77777777" w:rsidTr="009D32F0">
        <w:tc>
          <w:tcPr>
            <w:tcW w:w="4320" w:type="dxa"/>
          </w:tcPr>
          <w:p w14:paraId="5BF38910" w14:textId="77777777" w:rsidR="000651FD" w:rsidRPr="009D32F0" w:rsidRDefault="000651FD" w:rsidP="00B93410">
            <w:pPr>
              <w:rPr>
                <w:rFonts w:ascii="Aptos" w:hAnsi="Aptos"/>
                <w:sz w:val="18"/>
                <w:szCs w:val="18"/>
                <w:lang w:val="es-ES"/>
              </w:rPr>
            </w:pPr>
            <w:proofErr w:type="spellStart"/>
            <w:r w:rsidRPr="009D32F0">
              <w:rPr>
                <w:rFonts w:ascii="Aptos" w:eastAsia="Segoe UI" w:hAnsi="Aptos" w:cs="Segoe UI"/>
                <w:color w:val="0F1115"/>
                <w:sz w:val="18"/>
                <w:szCs w:val="18"/>
                <w:lang w:val="es-ES"/>
              </w:rPr>
              <w:t>Region</w:t>
            </w:r>
            <w:proofErr w:type="spellEnd"/>
          </w:p>
        </w:tc>
        <w:tc>
          <w:tcPr>
            <w:tcW w:w="4320" w:type="dxa"/>
          </w:tcPr>
          <w:p w14:paraId="3DE3716C"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Región</w:t>
            </w:r>
          </w:p>
        </w:tc>
      </w:tr>
      <w:tr w:rsidR="000651FD" w:rsidRPr="009D32F0" w14:paraId="69632184" w14:textId="77777777" w:rsidTr="009D32F0">
        <w:tc>
          <w:tcPr>
            <w:tcW w:w="4320" w:type="dxa"/>
          </w:tcPr>
          <w:p w14:paraId="7BC2EB2F"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African States</w:t>
            </w:r>
          </w:p>
        </w:tc>
        <w:tc>
          <w:tcPr>
            <w:tcW w:w="4320" w:type="dxa"/>
          </w:tcPr>
          <w:p w14:paraId="2BDA1BA4"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Estados de África</w:t>
            </w:r>
          </w:p>
        </w:tc>
      </w:tr>
      <w:tr w:rsidR="000651FD" w:rsidRPr="009D32F0" w14:paraId="3C5AE14D" w14:textId="77777777" w:rsidTr="009D32F0">
        <w:tc>
          <w:tcPr>
            <w:tcW w:w="4320" w:type="dxa"/>
          </w:tcPr>
          <w:p w14:paraId="5E707D23"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Asia- Pacific States</w:t>
            </w:r>
          </w:p>
        </w:tc>
        <w:tc>
          <w:tcPr>
            <w:tcW w:w="4320" w:type="dxa"/>
          </w:tcPr>
          <w:p w14:paraId="343DA7CB"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Estados de Asia y el Pacífico</w:t>
            </w:r>
          </w:p>
        </w:tc>
      </w:tr>
      <w:tr w:rsidR="000651FD" w:rsidRPr="009D32F0" w14:paraId="025C63E1" w14:textId="77777777" w:rsidTr="009D32F0">
        <w:tc>
          <w:tcPr>
            <w:tcW w:w="4320" w:type="dxa"/>
          </w:tcPr>
          <w:p w14:paraId="6AA7CEF3" w14:textId="77777777" w:rsidR="000651FD" w:rsidRPr="009D32F0" w:rsidRDefault="000651FD" w:rsidP="00B93410">
            <w:pPr>
              <w:rPr>
                <w:rFonts w:ascii="Aptos" w:hAnsi="Aptos"/>
                <w:sz w:val="18"/>
                <w:szCs w:val="18"/>
                <w:lang w:val="en-US"/>
              </w:rPr>
            </w:pPr>
            <w:r w:rsidRPr="009D32F0">
              <w:rPr>
                <w:rFonts w:ascii="Aptos" w:eastAsia="Segoe UI" w:hAnsi="Aptos" w:cs="Segoe UI"/>
                <w:color w:val="0F1115"/>
                <w:sz w:val="18"/>
                <w:szCs w:val="18"/>
                <w:lang w:val="en-US"/>
              </w:rPr>
              <w:t>Latin American and Caribbean States</w:t>
            </w:r>
          </w:p>
        </w:tc>
        <w:tc>
          <w:tcPr>
            <w:tcW w:w="4320" w:type="dxa"/>
          </w:tcPr>
          <w:p w14:paraId="5E266779"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Estados de América Latina y el Caribe</w:t>
            </w:r>
          </w:p>
        </w:tc>
      </w:tr>
      <w:tr w:rsidR="000651FD" w:rsidRPr="009D32F0" w14:paraId="6E4AC4E1" w14:textId="77777777" w:rsidTr="009D32F0">
        <w:tc>
          <w:tcPr>
            <w:tcW w:w="4320" w:type="dxa"/>
          </w:tcPr>
          <w:p w14:paraId="49BFBD50"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Eastern European States</w:t>
            </w:r>
          </w:p>
        </w:tc>
        <w:tc>
          <w:tcPr>
            <w:tcW w:w="4320" w:type="dxa"/>
          </w:tcPr>
          <w:p w14:paraId="24BC7E6C"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Estados de Europa Oriental</w:t>
            </w:r>
          </w:p>
        </w:tc>
      </w:tr>
      <w:tr w:rsidR="000651FD" w:rsidRPr="009D32F0" w14:paraId="467B21EA" w14:textId="77777777" w:rsidTr="009D32F0">
        <w:tc>
          <w:tcPr>
            <w:tcW w:w="4320" w:type="dxa"/>
          </w:tcPr>
          <w:p w14:paraId="7236E8CF" w14:textId="77777777" w:rsidR="000651FD" w:rsidRPr="009D32F0" w:rsidRDefault="000651FD" w:rsidP="00B93410">
            <w:pPr>
              <w:rPr>
                <w:rFonts w:ascii="Aptos" w:hAnsi="Aptos"/>
                <w:sz w:val="18"/>
                <w:szCs w:val="18"/>
                <w:lang w:val="en-US"/>
              </w:rPr>
            </w:pPr>
            <w:r w:rsidRPr="009D32F0">
              <w:rPr>
                <w:rFonts w:ascii="Aptos" w:eastAsia="Segoe UI" w:hAnsi="Aptos" w:cs="Segoe UI"/>
                <w:color w:val="0F1115"/>
                <w:sz w:val="18"/>
                <w:szCs w:val="18"/>
                <w:lang w:val="en-US"/>
              </w:rPr>
              <w:t>Western European and other States</w:t>
            </w:r>
          </w:p>
        </w:tc>
        <w:tc>
          <w:tcPr>
            <w:tcW w:w="4320" w:type="dxa"/>
          </w:tcPr>
          <w:p w14:paraId="478B4FA4"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Estados de Europa Occidental y otros Estados</w:t>
            </w:r>
          </w:p>
        </w:tc>
      </w:tr>
      <w:tr w:rsidR="000651FD" w:rsidRPr="009D32F0" w14:paraId="15507DF4" w14:textId="77777777" w:rsidTr="009D32F0">
        <w:tc>
          <w:tcPr>
            <w:tcW w:w="4320" w:type="dxa"/>
          </w:tcPr>
          <w:p w14:paraId="77C545B2"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0%</w:t>
            </w:r>
          </w:p>
        </w:tc>
        <w:tc>
          <w:tcPr>
            <w:tcW w:w="4320" w:type="dxa"/>
          </w:tcPr>
          <w:p w14:paraId="60B18537"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0 %</w:t>
            </w:r>
          </w:p>
        </w:tc>
      </w:tr>
      <w:tr w:rsidR="000651FD" w:rsidRPr="009D32F0" w14:paraId="66B153C2" w14:textId="77777777" w:rsidTr="009D32F0">
        <w:tc>
          <w:tcPr>
            <w:tcW w:w="4320" w:type="dxa"/>
          </w:tcPr>
          <w:p w14:paraId="379888ED"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25%</w:t>
            </w:r>
          </w:p>
        </w:tc>
        <w:tc>
          <w:tcPr>
            <w:tcW w:w="4320" w:type="dxa"/>
          </w:tcPr>
          <w:p w14:paraId="126C7AD7"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25 %</w:t>
            </w:r>
          </w:p>
        </w:tc>
      </w:tr>
      <w:tr w:rsidR="000651FD" w:rsidRPr="009D32F0" w14:paraId="2EB1CB29" w14:textId="77777777" w:rsidTr="009D32F0">
        <w:tc>
          <w:tcPr>
            <w:tcW w:w="4320" w:type="dxa"/>
          </w:tcPr>
          <w:p w14:paraId="2E0A5780"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50%</w:t>
            </w:r>
          </w:p>
        </w:tc>
        <w:tc>
          <w:tcPr>
            <w:tcW w:w="4320" w:type="dxa"/>
          </w:tcPr>
          <w:p w14:paraId="6A1B26F1"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50 %</w:t>
            </w:r>
          </w:p>
        </w:tc>
      </w:tr>
      <w:tr w:rsidR="000651FD" w:rsidRPr="009D32F0" w14:paraId="06AD626B" w14:textId="77777777" w:rsidTr="009D32F0">
        <w:tc>
          <w:tcPr>
            <w:tcW w:w="4320" w:type="dxa"/>
          </w:tcPr>
          <w:p w14:paraId="22ED35F9"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75%</w:t>
            </w:r>
          </w:p>
        </w:tc>
        <w:tc>
          <w:tcPr>
            <w:tcW w:w="4320" w:type="dxa"/>
          </w:tcPr>
          <w:p w14:paraId="6321119B"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75 %</w:t>
            </w:r>
          </w:p>
        </w:tc>
      </w:tr>
      <w:tr w:rsidR="000651FD" w:rsidRPr="009D32F0" w14:paraId="514D5B8F" w14:textId="77777777" w:rsidTr="009D32F0">
        <w:tc>
          <w:tcPr>
            <w:tcW w:w="4320" w:type="dxa"/>
          </w:tcPr>
          <w:p w14:paraId="186F692B"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100%</w:t>
            </w:r>
          </w:p>
        </w:tc>
        <w:tc>
          <w:tcPr>
            <w:tcW w:w="4320" w:type="dxa"/>
          </w:tcPr>
          <w:p w14:paraId="35712962"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100 %</w:t>
            </w:r>
          </w:p>
        </w:tc>
      </w:tr>
      <w:tr w:rsidR="000651FD" w:rsidRPr="009D32F0" w14:paraId="01156C63" w14:textId="77777777" w:rsidTr="009D32F0">
        <w:tc>
          <w:tcPr>
            <w:tcW w:w="4320" w:type="dxa"/>
          </w:tcPr>
          <w:p w14:paraId="64287426" w14:textId="77777777" w:rsidR="000651FD" w:rsidRPr="009D32F0" w:rsidRDefault="000651FD" w:rsidP="00B93410">
            <w:pPr>
              <w:rPr>
                <w:rFonts w:ascii="Aptos" w:hAnsi="Aptos"/>
                <w:sz w:val="18"/>
                <w:szCs w:val="18"/>
                <w:lang w:val="es-ES"/>
              </w:rPr>
            </w:pPr>
            <w:proofErr w:type="spellStart"/>
            <w:r w:rsidRPr="009D32F0">
              <w:rPr>
                <w:rFonts w:ascii="Aptos" w:eastAsia="Segoe UI" w:hAnsi="Aptos" w:cs="Segoe UI"/>
                <w:color w:val="0F1115"/>
                <w:sz w:val="18"/>
                <w:szCs w:val="18"/>
                <w:lang w:val="es-ES"/>
              </w:rPr>
              <w:t>Proportion</w:t>
            </w:r>
            <w:proofErr w:type="spellEnd"/>
          </w:p>
        </w:tc>
        <w:tc>
          <w:tcPr>
            <w:tcW w:w="4320" w:type="dxa"/>
          </w:tcPr>
          <w:p w14:paraId="46B74D18"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Proporción</w:t>
            </w:r>
          </w:p>
        </w:tc>
      </w:tr>
      <w:tr w:rsidR="000651FD" w:rsidRPr="009D32F0" w14:paraId="5D9A7AF5" w14:textId="77777777" w:rsidTr="009D32F0">
        <w:tc>
          <w:tcPr>
            <w:tcW w:w="4320" w:type="dxa"/>
          </w:tcPr>
          <w:p w14:paraId="47C61FF3"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 xml:space="preserve">Current </w:t>
            </w:r>
            <w:proofErr w:type="gramStart"/>
            <w:r w:rsidRPr="009D32F0">
              <w:rPr>
                <w:rFonts w:ascii="Aptos" w:eastAsia="Segoe UI" w:hAnsi="Aptos" w:cs="Segoe UI"/>
                <w:color w:val="0F1115"/>
                <w:sz w:val="18"/>
                <w:szCs w:val="18"/>
                <w:lang w:val="es-ES"/>
              </w:rPr>
              <w:t>Status</w:t>
            </w:r>
            <w:proofErr w:type="gramEnd"/>
          </w:p>
        </w:tc>
        <w:tc>
          <w:tcPr>
            <w:tcW w:w="4320" w:type="dxa"/>
          </w:tcPr>
          <w:p w14:paraId="3026DA89"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Estado actual</w:t>
            </w:r>
          </w:p>
        </w:tc>
      </w:tr>
      <w:tr w:rsidR="000651FD" w:rsidRPr="009D32F0" w14:paraId="1EA5E60D" w14:textId="77777777" w:rsidTr="009D32F0">
        <w:tc>
          <w:tcPr>
            <w:tcW w:w="4320" w:type="dxa"/>
          </w:tcPr>
          <w:p w14:paraId="68128854" w14:textId="77777777" w:rsidR="000651FD" w:rsidRPr="009D32F0" w:rsidRDefault="000651FD" w:rsidP="00B93410">
            <w:pPr>
              <w:rPr>
                <w:rFonts w:ascii="Aptos" w:hAnsi="Aptos"/>
                <w:sz w:val="18"/>
                <w:szCs w:val="18"/>
                <w:lang w:val="es-ES"/>
              </w:rPr>
            </w:pPr>
            <w:proofErr w:type="spellStart"/>
            <w:r w:rsidRPr="009D32F0">
              <w:rPr>
                <w:rFonts w:ascii="Aptos" w:eastAsia="Segoe UI" w:hAnsi="Aptos" w:cs="Segoe UI"/>
                <w:color w:val="0F1115"/>
                <w:sz w:val="18"/>
                <w:szCs w:val="18"/>
                <w:lang w:val="es-ES"/>
              </w:rPr>
              <w:t>improving</w:t>
            </w:r>
            <w:proofErr w:type="spellEnd"/>
          </w:p>
        </w:tc>
        <w:tc>
          <w:tcPr>
            <w:tcW w:w="4320" w:type="dxa"/>
          </w:tcPr>
          <w:p w14:paraId="0E063181"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mejorando</w:t>
            </w:r>
          </w:p>
        </w:tc>
      </w:tr>
      <w:tr w:rsidR="000651FD" w:rsidRPr="009D32F0" w14:paraId="0D82850F" w14:textId="77777777" w:rsidTr="009D32F0">
        <w:tc>
          <w:tcPr>
            <w:tcW w:w="4320" w:type="dxa"/>
          </w:tcPr>
          <w:p w14:paraId="42C986CD" w14:textId="77777777" w:rsidR="000651FD" w:rsidRPr="009D32F0" w:rsidRDefault="000651FD" w:rsidP="00B93410">
            <w:pPr>
              <w:rPr>
                <w:rFonts w:ascii="Aptos" w:hAnsi="Aptos"/>
                <w:sz w:val="18"/>
                <w:szCs w:val="18"/>
                <w:lang w:val="es-ES"/>
              </w:rPr>
            </w:pPr>
            <w:proofErr w:type="spellStart"/>
            <w:r w:rsidRPr="009D32F0">
              <w:rPr>
                <w:rFonts w:ascii="Aptos" w:eastAsia="Segoe UI" w:hAnsi="Aptos" w:cs="Segoe UI"/>
                <w:color w:val="0F1115"/>
                <w:sz w:val="18"/>
                <w:szCs w:val="18"/>
                <w:lang w:val="es-ES"/>
              </w:rPr>
              <w:lastRenderedPageBreak/>
              <w:t>stable</w:t>
            </w:r>
            <w:proofErr w:type="spellEnd"/>
          </w:p>
        </w:tc>
        <w:tc>
          <w:tcPr>
            <w:tcW w:w="4320" w:type="dxa"/>
          </w:tcPr>
          <w:p w14:paraId="07882866"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estable</w:t>
            </w:r>
          </w:p>
        </w:tc>
      </w:tr>
      <w:tr w:rsidR="000651FD" w:rsidRPr="009D32F0" w14:paraId="310B906F" w14:textId="77777777" w:rsidTr="009D32F0">
        <w:tc>
          <w:tcPr>
            <w:tcW w:w="4320" w:type="dxa"/>
          </w:tcPr>
          <w:p w14:paraId="5A8BE8E3" w14:textId="77777777" w:rsidR="000651FD" w:rsidRPr="009D32F0" w:rsidRDefault="000651FD" w:rsidP="00B93410">
            <w:pPr>
              <w:rPr>
                <w:rFonts w:ascii="Aptos" w:hAnsi="Aptos"/>
                <w:sz w:val="18"/>
                <w:szCs w:val="18"/>
                <w:lang w:val="es-ES"/>
              </w:rPr>
            </w:pPr>
            <w:proofErr w:type="spellStart"/>
            <w:r w:rsidRPr="009D32F0">
              <w:rPr>
                <w:rFonts w:ascii="Aptos" w:eastAsia="Segoe UI" w:hAnsi="Aptos" w:cs="Segoe UI"/>
                <w:color w:val="0F1115"/>
                <w:sz w:val="18"/>
                <w:szCs w:val="18"/>
                <w:lang w:val="es-ES"/>
              </w:rPr>
              <w:t>moving</w:t>
            </w:r>
            <w:proofErr w:type="spellEnd"/>
            <w:r w:rsidRPr="009D32F0">
              <w:rPr>
                <w:rFonts w:ascii="Aptos" w:eastAsia="Segoe UI" w:hAnsi="Aptos" w:cs="Segoe UI"/>
                <w:color w:val="0F1115"/>
                <w:sz w:val="18"/>
                <w:szCs w:val="18"/>
                <w:lang w:val="es-ES"/>
              </w:rPr>
              <w:t xml:space="preserve"> </w:t>
            </w:r>
            <w:proofErr w:type="spellStart"/>
            <w:r w:rsidRPr="009D32F0">
              <w:rPr>
                <w:rFonts w:ascii="Aptos" w:eastAsia="Segoe UI" w:hAnsi="Aptos" w:cs="Segoe UI"/>
                <w:color w:val="0F1115"/>
                <w:sz w:val="18"/>
                <w:szCs w:val="18"/>
                <w:lang w:val="es-ES"/>
              </w:rPr>
              <w:t>away</w:t>
            </w:r>
            <w:proofErr w:type="spellEnd"/>
          </w:p>
        </w:tc>
        <w:tc>
          <w:tcPr>
            <w:tcW w:w="4320" w:type="dxa"/>
          </w:tcPr>
          <w:p w14:paraId="55FB9EE5" w14:textId="77777777" w:rsidR="000651FD" w:rsidRPr="009D32F0" w:rsidRDefault="000651FD" w:rsidP="00B93410">
            <w:pPr>
              <w:rPr>
                <w:rFonts w:ascii="Aptos" w:hAnsi="Aptos"/>
                <w:sz w:val="18"/>
                <w:szCs w:val="18"/>
                <w:lang w:val="es-ES"/>
              </w:rPr>
            </w:pPr>
            <w:r w:rsidRPr="009D32F0">
              <w:rPr>
                <w:rFonts w:ascii="Aptos" w:hAnsi="Aptos"/>
                <w:color w:val="0F1115"/>
                <w:sz w:val="18"/>
                <w:szCs w:val="18"/>
                <w:lang w:val="es-ES"/>
              </w:rPr>
              <w:t>alejándose</w:t>
            </w:r>
          </w:p>
        </w:tc>
      </w:tr>
      <w:tr w:rsidR="000651FD" w:rsidRPr="009D32F0" w14:paraId="2D03045F" w14:textId="77777777" w:rsidTr="009D32F0">
        <w:tc>
          <w:tcPr>
            <w:tcW w:w="4320" w:type="dxa"/>
          </w:tcPr>
          <w:p w14:paraId="4CC10508" w14:textId="77777777" w:rsidR="000651FD" w:rsidRPr="009D32F0" w:rsidRDefault="000651FD" w:rsidP="00B93410">
            <w:pPr>
              <w:rPr>
                <w:rFonts w:ascii="Aptos" w:hAnsi="Aptos"/>
                <w:sz w:val="18"/>
                <w:szCs w:val="18"/>
                <w:lang w:val="es-ES"/>
              </w:rPr>
            </w:pPr>
            <w:r w:rsidRPr="009D32F0">
              <w:rPr>
                <w:rFonts w:ascii="Aptos" w:eastAsia="Segoe UI" w:hAnsi="Aptos" w:cs="Segoe UI"/>
                <w:color w:val="0F1115"/>
                <w:sz w:val="18"/>
                <w:szCs w:val="18"/>
                <w:lang w:val="es-ES"/>
              </w:rPr>
              <w:t xml:space="preserve">Party </w:t>
            </w:r>
            <w:proofErr w:type="spellStart"/>
            <w:r w:rsidRPr="009D32F0">
              <w:rPr>
                <w:rFonts w:ascii="Aptos" w:eastAsia="Segoe UI" w:hAnsi="Aptos" w:cs="Segoe UI"/>
                <w:color w:val="0F1115"/>
                <w:sz w:val="18"/>
                <w:szCs w:val="18"/>
                <w:lang w:val="es-ES"/>
              </w:rPr>
              <w:t>count</w:t>
            </w:r>
            <w:proofErr w:type="spellEnd"/>
            <w:r w:rsidRPr="009D32F0">
              <w:rPr>
                <w:rFonts w:ascii="Aptos" w:eastAsia="Segoe UI" w:hAnsi="Aptos" w:cs="Segoe UI"/>
                <w:color w:val="0F1115"/>
                <w:sz w:val="18"/>
                <w:szCs w:val="18"/>
                <w:lang w:val="es-ES"/>
              </w:rPr>
              <w:t>: 51</w:t>
            </w:r>
          </w:p>
        </w:tc>
        <w:tc>
          <w:tcPr>
            <w:tcW w:w="4320" w:type="dxa"/>
          </w:tcPr>
          <w:p w14:paraId="65273AAE" w14:textId="77777777" w:rsidR="000651FD" w:rsidRPr="009D32F0" w:rsidRDefault="000651FD" w:rsidP="00B93410">
            <w:pPr>
              <w:rPr>
                <w:rFonts w:ascii="Aptos" w:eastAsia="Segoe UI" w:hAnsi="Aptos" w:cs="Segoe UI"/>
                <w:color w:val="0F1115"/>
                <w:sz w:val="18"/>
                <w:szCs w:val="18"/>
                <w:lang w:val="es-ES"/>
              </w:rPr>
            </w:pPr>
            <w:r w:rsidRPr="009D32F0">
              <w:rPr>
                <w:rFonts w:ascii="Aptos" w:hAnsi="Aptos"/>
                <w:color w:val="0F1115"/>
                <w:sz w:val="18"/>
                <w:szCs w:val="18"/>
                <w:lang w:val="es-ES"/>
              </w:rPr>
              <w:t>Número de Partes: 51</w:t>
            </w:r>
          </w:p>
        </w:tc>
      </w:tr>
    </w:tbl>
    <w:p w14:paraId="62A8CA9D" w14:textId="77777777" w:rsidR="001E7E5B" w:rsidRPr="005E3D50" w:rsidRDefault="001E7E5B" w:rsidP="0063282C">
      <w:pPr>
        <w:pStyle w:val="Caption"/>
        <w:rPr>
          <w:i w:val="0"/>
          <w:iCs w:val="0"/>
          <w:lang w:val="es-ES"/>
        </w:rPr>
      </w:pPr>
    </w:p>
    <w:p w14:paraId="24D1AFCA" w14:textId="77777777" w:rsidR="006E10A4" w:rsidRPr="005E3D50" w:rsidRDefault="006E10A4" w:rsidP="00597FE0">
      <w:pPr>
        <w:pStyle w:val="Heading5"/>
        <w:rPr>
          <w:lang w:val="es-ES"/>
        </w:rPr>
      </w:pPr>
    </w:p>
    <w:p w14:paraId="1109CCA4" w14:textId="4C355795" w:rsidR="00241203" w:rsidRPr="005E3D50" w:rsidRDefault="00597FE0" w:rsidP="00597FE0">
      <w:pPr>
        <w:pStyle w:val="Heading5"/>
        <w:rPr>
          <w:lang w:val="es-ES"/>
        </w:rPr>
      </w:pPr>
      <w:bookmarkStart w:id="136" w:name="_Toc235821067"/>
      <w:r w:rsidRPr="005E3D50">
        <w:rPr>
          <w:lang w:val="es-ES"/>
        </w:rPr>
        <w:t>Autoevaluación de progresos</w:t>
      </w:r>
      <w:bookmarkEnd w:id="136"/>
    </w:p>
    <w:p w14:paraId="09E4300C" w14:textId="77777777" w:rsidR="00987CE5" w:rsidRPr="005E3D50" w:rsidRDefault="00987CE5" w:rsidP="007B7D34">
      <w:pPr>
        <w:rPr>
          <w:lang w:val="es-ES"/>
        </w:rPr>
      </w:pPr>
    </w:p>
    <w:p w14:paraId="5A7502AD" w14:textId="4A6499BC" w:rsidR="007B7D34" w:rsidRPr="005E3D50" w:rsidRDefault="007B7D34" w:rsidP="007B7D34">
      <w:pPr>
        <w:rPr>
          <w:i/>
          <w:lang w:val="es-ES"/>
        </w:rPr>
      </w:pPr>
      <w:r w:rsidRPr="005E3D50">
        <w:rPr>
          <w:lang w:val="es-ES"/>
        </w:rPr>
        <w:t>Según la autoevaluación proporcionada por las Partes en sus informes nacionales para cada una de sus metas nacionales, el 43 % de las metas nacionales presentadas como estrechamente armonizadas con la meta 2 están en vías de alcanzarse, mientras que el 53 % muestran progresos insuficientes o ningún cambio significativo (véase la figura 13). Esta evaluación es relativamente positiva en comparación con la de otras metas del Marco.</w:t>
      </w:r>
    </w:p>
    <w:p w14:paraId="782326BA" w14:textId="0F378FB0" w:rsidR="00DD3F2F" w:rsidRPr="005E3D50" w:rsidRDefault="00DD3F2F" w:rsidP="00597FE0">
      <w:pPr>
        <w:rPr>
          <w:lang w:val="es-ES"/>
        </w:rPr>
      </w:pPr>
    </w:p>
    <w:p w14:paraId="6808C7EB" w14:textId="576F511B" w:rsidR="00FD293F" w:rsidRPr="005E3D50" w:rsidRDefault="00FD293F" w:rsidP="00FD293F">
      <w:pPr>
        <w:rPr>
          <w:sz w:val="20"/>
          <w:szCs w:val="20"/>
          <w:lang w:val="es-ES"/>
        </w:rPr>
      </w:pPr>
      <w:bookmarkStart w:id="137" w:name="_Ref230460036"/>
      <w:r w:rsidRPr="005E3D50">
        <w:rPr>
          <w:sz w:val="20"/>
          <w:szCs w:val="20"/>
          <w:lang w:val="es-ES"/>
        </w:rPr>
        <w:t>Figura 13</w:t>
      </w:r>
      <w:bookmarkEnd w:id="137"/>
    </w:p>
    <w:p w14:paraId="6969BB8A" w14:textId="037C004D" w:rsidR="00FD293F" w:rsidRPr="005E3D50" w:rsidRDefault="00FD293F" w:rsidP="00597FE0">
      <w:pPr>
        <w:rPr>
          <w:lang w:val="es-ES"/>
        </w:rPr>
      </w:pPr>
      <w:r w:rsidRPr="005E3D50">
        <w:rPr>
          <w:b/>
          <w:bCs/>
          <w:sz w:val="20"/>
          <w:szCs w:val="20"/>
          <w:lang w:val="es-ES"/>
        </w:rPr>
        <w:t xml:space="preserve">Progresos indicados por las autoevaluaciones para todas las metas nacionales presentadas como estrechamente armonizadas con la meta 2 del Marco </w:t>
      </w:r>
    </w:p>
    <w:p w14:paraId="4FC7C0AC" w14:textId="77777777" w:rsidR="00066372" w:rsidRPr="005E3D50" w:rsidRDefault="00066372" w:rsidP="00A76652">
      <w:pPr>
        <w:keepNext/>
        <w:rPr>
          <w:lang w:val="es-ES"/>
        </w:rPr>
      </w:pPr>
    </w:p>
    <w:p w14:paraId="55A75CBD" w14:textId="5D8B9B0A" w:rsidR="00B37A19" w:rsidRPr="005E3D50" w:rsidRDefault="004104BF" w:rsidP="00A76652">
      <w:pPr>
        <w:keepNext/>
        <w:rPr>
          <w:lang w:val="es-ES"/>
        </w:rPr>
      </w:pPr>
      <w:r w:rsidRPr="005E3D50">
        <w:rPr>
          <w:rFonts w:ascii="Aptos" w:hAnsi="Aptos"/>
          <w:noProof/>
          <w:lang w:val="en-US"/>
        </w:rPr>
        <w:drawing>
          <wp:inline distT="0" distB="0" distL="0" distR="0" wp14:anchorId="0CD14439" wp14:editId="356B5079">
            <wp:extent cx="5731510" cy="2292350"/>
            <wp:effectExtent l="0" t="0" r="0" b="6350"/>
            <wp:docPr id="1673583179" name="Picture 1">
              <a:extLst xmlns:a="http://schemas.openxmlformats.org/drawingml/2006/main">
                <a:ext uri="{FF2B5EF4-FFF2-40B4-BE49-F238E27FC236}">
                  <a16:creationId xmlns:a16="http://schemas.microsoft.com/office/drawing/2014/main" id="{EFB715B5-39CA-4309-BD79-3F64FE595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3179" name="Picture 167358317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D3771DB" w14:textId="77777777" w:rsidR="00066372" w:rsidRPr="005E3D50" w:rsidRDefault="00066372" w:rsidP="00066372">
      <w:pPr>
        <w:pStyle w:val="Caption"/>
        <w:rPr>
          <w:i w:val="0"/>
          <w:iCs w:val="0"/>
          <w:sz w:val="16"/>
          <w:szCs w:val="16"/>
          <w:lang w:val="es-ES"/>
        </w:rPr>
      </w:pPr>
      <w:r w:rsidRPr="005E3D50">
        <w:rPr>
          <w:sz w:val="16"/>
          <w:szCs w:val="16"/>
          <w:lang w:val="es-ES"/>
        </w:rPr>
        <w:t>Nota:</w:t>
      </w:r>
      <w:r w:rsidRPr="005E3D50">
        <w:rPr>
          <w:i w:val="0"/>
          <w:iCs w:val="0"/>
          <w:sz w:val="16"/>
          <w:szCs w:val="16"/>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 </w:t>
      </w:r>
      <w:r w:rsidRPr="005E3D50">
        <w:rPr>
          <w:rFonts w:ascii="Aptos" w:hAnsi="Aptos"/>
          <w:i w:val="0"/>
          <w:iCs w:val="0"/>
          <w:sz w:val="16"/>
          <w:szCs w:val="16"/>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6A0" w:firstRow="1" w:lastRow="0" w:firstColumn="1" w:lastColumn="0" w:noHBand="1" w:noVBand="1"/>
      </w:tblPr>
      <w:tblGrid>
        <w:gridCol w:w="4230"/>
        <w:gridCol w:w="4412"/>
      </w:tblGrid>
      <w:tr w:rsidR="000651FD" w:rsidRPr="00E944B1" w14:paraId="77B08C51" w14:textId="77777777" w:rsidTr="0029658B">
        <w:tc>
          <w:tcPr>
            <w:tcW w:w="8642" w:type="dxa"/>
            <w:gridSpan w:val="2"/>
          </w:tcPr>
          <w:p w14:paraId="2667D058" w14:textId="4A9A8B22" w:rsidR="000651FD" w:rsidRDefault="000651FD"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13</w:t>
            </w:r>
          </w:p>
        </w:tc>
      </w:tr>
      <w:tr w:rsidR="000651FD" w:rsidRPr="00E944B1" w14:paraId="76034CDA" w14:textId="77777777" w:rsidTr="00B55557">
        <w:tc>
          <w:tcPr>
            <w:tcW w:w="4230" w:type="dxa"/>
          </w:tcPr>
          <w:p w14:paraId="2DFFB8C9"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 xml:space="preserve">English </w:t>
            </w:r>
          </w:p>
        </w:tc>
        <w:tc>
          <w:tcPr>
            <w:tcW w:w="4412" w:type="dxa"/>
          </w:tcPr>
          <w:p w14:paraId="641ADFA9" w14:textId="6136FEBF" w:rsidR="000651FD" w:rsidRPr="00B55557" w:rsidRDefault="000651FD" w:rsidP="00B93410">
            <w:pPr>
              <w:rPr>
                <w:rFonts w:ascii="Aptos" w:hAnsi="Aptos"/>
                <w:sz w:val="18"/>
                <w:szCs w:val="18"/>
                <w:lang w:val="es-ES"/>
              </w:rPr>
            </w:pPr>
            <w:r>
              <w:rPr>
                <w:rFonts w:ascii="Aptos" w:eastAsia="Segoe UI" w:hAnsi="Aptos" w:cs="Segoe UI"/>
                <w:color w:val="0F1115"/>
                <w:sz w:val="18"/>
                <w:szCs w:val="18"/>
                <w:lang w:val="es-ES"/>
              </w:rPr>
              <w:t>Español</w:t>
            </w:r>
          </w:p>
        </w:tc>
      </w:tr>
      <w:tr w:rsidR="000651FD" w:rsidRPr="00E944B1" w14:paraId="7229759E" w14:textId="77777777" w:rsidTr="00B55557">
        <w:tc>
          <w:tcPr>
            <w:tcW w:w="4230" w:type="dxa"/>
          </w:tcPr>
          <w:p w14:paraId="25F6AC5D" w14:textId="77777777" w:rsidR="000651FD" w:rsidRPr="00B55557" w:rsidRDefault="000651FD" w:rsidP="00B93410">
            <w:pPr>
              <w:rPr>
                <w:rFonts w:ascii="Aptos" w:hAnsi="Aptos"/>
                <w:sz w:val="18"/>
                <w:szCs w:val="18"/>
                <w:lang w:val="es-ES"/>
              </w:rPr>
            </w:pPr>
            <w:proofErr w:type="spellStart"/>
            <w:r w:rsidRPr="00B55557">
              <w:rPr>
                <w:rFonts w:ascii="Aptos" w:eastAsia="Segoe UI" w:hAnsi="Aptos" w:cs="Segoe UI"/>
                <w:color w:val="0F1115"/>
                <w:sz w:val="18"/>
                <w:szCs w:val="18"/>
                <w:lang w:val="es-ES"/>
              </w:rPr>
              <w:t>Region</w:t>
            </w:r>
            <w:proofErr w:type="spellEnd"/>
          </w:p>
        </w:tc>
        <w:tc>
          <w:tcPr>
            <w:tcW w:w="4412" w:type="dxa"/>
          </w:tcPr>
          <w:p w14:paraId="442FA067"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Región</w:t>
            </w:r>
          </w:p>
        </w:tc>
      </w:tr>
      <w:tr w:rsidR="000651FD" w:rsidRPr="00E944B1" w14:paraId="7D111269" w14:textId="77777777" w:rsidTr="00B55557">
        <w:tc>
          <w:tcPr>
            <w:tcW w:w="4230" w:type="dxa"/>
          </w:tcPr>
          <w:p w14:paraId="70AE2BBA"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African States</w:t>
            </w:r>
          </w:p>
        </w:tc>
        <w:tc>
          <w:tcPr>
            <w:tcW w:w="4412" w:type="dxa"/>
          </w:tcPr>
          <w:p w14:paraId="61EA8584"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Estados de África</w:t>
            </w:r>
          </w:p>
        </w:tc>
      </w:tr>
      <w:tr w:rsidR="000651FD" w:rsidRPr="00E944B1" w14:paraId="16865285" w14:textId="77777777" w:rsidTr="00B55557">
        <w:tc>
          <w:tcPr>
            <w:tcW w:w="4230" w:type="dxa"/>
          </w:tcPr>
          <w:p w14:paraId="6FEA9B1E"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Asia-Pacific States</w:t>
            </w:r>
          </w:p>
        </w:tc>
        <w:tc>
          <w:tcPr>
            <w:tcW w:w="4412" w:type="dxa"/>
          </w:tcPr>
          <w:p w14:paraId="02306B05"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Estados de Asia y el Pacífico</w:t>
            </w:r>
          </w:p>
        </w:tc>
      </w:tr>
      <w:tr w:rsidR="000651FD" w:rsidRPr="00E944B1" w14:paraId="01FFEE8F" w14:textId="77777777" w:rsidTr="00B55557">
        <w:tc>
          <w:tcPr>
            <w:tcW w:w="4230" w:type="dxa"/>
          </w:tcPr>
          <w:p w14:paraId="57D4DD6F" w14:textId="77777777" w:rsidR="000651FD" w:rsidRPr="00B55557" w:rsidRDefault="000651FD" w:rsidP="00B93410">
            <w:pPr>
              <w:rPr>
                <w:rFonts w:ascii="Aptos" w:hAnsi="Aptos"/>
                <w:sz w:val="18"/>
                <w:szCs w:val="18"/>
                <w:lang w:val="en-US"/>
              </w:rPr>
            </w:pPr>
            <w:r w:rsidRPr="00B55557">
              <w:rPr>
                <w:rFonts w:ascii="Aptos" w:eastAsia="Segoe UI" w:hAnsi="Aptos" w:cs="Segoe UI"/>
                <w:color w:val="0F1115"/>
                <w:sz w:val="18"/>
                <w:szCs w:val="18"/>
                <w:lang w:val="en-US"/>
              </w:rPr>
              <w:lastRenderedPageBreak/>
              <w:t>Latin American and Caribbean States</w:t>
            </w:r>
          </w:p>
        </w:tc>
        <w:tc>
          <w:tcPr>
            <w:tcW w:w="4412" w:type="dxa"/>
          </w:tcPr>
          <w:p w14:paraId="02AB559C"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Estados de América Latina y el Caribe</w:t>
            </w:r>
          </w:p>
        </w:tc>
      </w:tr>
      <w:tr w:rsidR="000651FD" w:rsidRPr="00E944B1" w14:paraId="7E0763DD" w14:textId="77777777" w:rsidTr="00B55557">
        <w:tc>
          <w:tcPr>
            <w:tcW w:w="4230" w:type="dxa"/>
          </w:tcPr>
          <w:p w14:paraId="1CEEC655"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Eastern European States</w:t>
            </w:r>
          </w:p>
        </w:tc>
        <w:tc>
          <w:tcPr>
            <w:tcW w:w="4412" w:type="dxa"/>
          </w:tcPr>
          <w:p w14:paraId="491321E0"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Estados de Europa Oriental</w:t>
            </w:r>
          </w:p>
        </w:tc>
      </w:tr>
      <w:tr w:rsidR="000651FD" w:rsidRPr="00E944B1" w14:paraId="181AE9A6" w14:textId="77777777" w:rsidTr="00B55557">
        <w:tc>
          <w:tcPr>
            <w:tcW w:w="4230" w:type="dxa"/>
          </w:tcPr>
          <w:p w14:paraId="19AAFD67" w14:textId="77777777" w:rsidR="000651FD" w:rsidRPr="00B55557" w:rsidRDefault="000651FD" w:rsidP="00B93410">
            <w:pPr>
              <w:rPr>
                <w:rFonts w:ascii="Aptos" w:hAnsi="Aptos"/>
                <w:sz w:val="18"/>
                <w:szCs w:val="18"/>
                <w:lang w:val="en-US"/>
              </w:rPr>
            </w:pPr>
            <w:r w:rsidRPr="00B55557">
              <w:rPr>
                <w:rFonts w:ascii="Aptos" w:eastAsia="Segoe UI" w:hAnsi="Aptos" w:cs="Segoe UI"/>
                <w:color w:val="0F1115"/>
                <w:sz w:val="18"/>
                <w:szCs w:val="18"/>
                <w:lang w:val="en-US"/>
              </w:rPr>
              <w:t>Western European and other States</w:t>
            </w:r>
          </w:p>
        </w:tc>
        <w:tc>
          <w:tcPr>
            <w:tcW w:w="4412" w:type="dxa"/>
          </w:tcPr>
          <w:p w14:paraId="69485CBF"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Estados de Europa Occidental y otros Estados</w:t>
            </w:r>
          </w:p>
        </w:tc>
      </w:tr>
      <w:tr w:rsidR="000651FD" w:rsidRPr="00E944B1" w14:paraId="1CF0D3FA" w14:textId="77777777" w:rsidTr="00B55557">
        <w:tc>
          <w:tcPr>
            <w:tcW w:w="4230" w:type="dxa"/>
          </w:tcPr>
          <w:p w14:paraId="30AEC0F7"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0%</w:t>
            </w:r>
          </w:p>
        </w:tc>
        <w:tc>
          <w:tcPr>
            <w:tcW w:w="4412" w:type="dxa"/>
          </w:tcPr>
          <w:p w14:paraId="547EBBA0"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0 %</w:t>
            </w:r>
          </w:p>
        </w:tc>
      </w:tr>
      <w:tr w:rsidR="000651FD" w:rsidRPr="00E944B1" w14:paraId="14A7062C" w14:textId="77777777" w:rsidTr="00B55557">
        <w:tc>
          <w:tcPr>
            <w:tcW w:w="4230" w:type="dxa"/>
          </w:tcPr>
          <w:p w14:paraId="6086E0FC"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25%</w:t>
            </w:r>
          </w:p>
        </w:tc>
        <w:tc>
          <w:tcPr>
            <w:tcW w:w="4412" w:type="dxa"/>
          </w:tcPr>
          <w:p w14:paraId="1F40D138"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25 %</w:t>
            </w:r>
          </w:p>
        </w:tc>
      </w:tr>
      <w:tr w:rsidR="000651FD" w:rsidRPr="00E944B1" w14:paraId="28B024DB" w14:textId="77777777" w:rsidTr="00B55557">
        <w:tc>
          <w:tcPr>
            <w:tcW w:w="4230" w:type="dxa"/>
          </w:tcPr>
          <w:p w14:paraId="4F27D1CA"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50%</w:t>
            </w:r>
          </w:p>
        </w:tc>
        <w:tc>
          <w:tcPr>
            <w:tcW w:w="4412" w:type="dxa"/>
          </w:tcPr>
          <w:p w14:paraId="683A893F"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50 %</w:t>
            </w:r>
          </w:p>
        </w:tc>
      </w:tr>
      <w:tr w:rsidR="000651FD" w:rsidRPr="00E944B1" w14:paraId="69550B97" w14:textId="77777777" w:rsidTr="00B55557">
        <w:tc>
          <w:tcPr>
            <w:tcW w:w="4230" w:type="dxa"/>
          </w:tcPr>
          <w:p w14:paraId="1B03DD15"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75%</w:t>
            </w:r>
          </w:p>
        </w:tc>
        <w:tc>
          <w:tcPr>
            <w:tcW w:w="4412" w:type="dxa"/>
          </w:tcPr>
          <w:p w14:paraId="49C6C3DF"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75 %</w:t>
            </w:r>
          </w:p>
        </w:tc>
      </w:tr>
      <w:tr w:rsidR="000651FD" w:rsidRPr="00E944B1" w14:paraId="70BD45C3" w14:textId="77777777" w:rsidTr="00B55557">
        <w:tc>
          <w:tcPr>
            <w:tcW w:w="4230" w:type="dxa"/>
          </w:tcPr>
          <w:p w14:paraId="6F2D9AC3"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100%</w:t>
            </w:r>
          </w:p>
        </w:tc>
        <w:tc>
          <w:tcPr>
            <w:tcW w:w="4412" w:type="dxa"/>
          </w:tcPr>
          <w:p w14:paraId="7B86782D"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100 %</w:t>
            </w:r>
          </w:p>
        </w:tc>
      </w:tr>
      <w:tr w:rsidR="000651FD" w:rsidRPr="00E944B1" w14:paraId="45938468" w14:textId="77777777" w:rsidTr="00B55557">
        <w:tc>
          <w:tcPr>
            <w:tcW w:w="4230" w:type="dxa"/>
          </w:tcPr>
          <w:p w14:paraId="79FCD304" w14:textId="77777777" w:rsidR="000651FD" w:rsidRPr="00B55557" w:rsidRDefault="000651FD" w:rsidP="00B93410">
            <w:pPr>
              <w:rPr>
                <w:rFonts w:ascii="Aptos" w:hAnsi="Aptos"/>
                <w:sz w:val="18"/>
                <w:szCs w:val="18"/>
                <w:lang w:val="es-ES"/>
              </w:rPr>
            </w:pPr>
            <w:proofErr w:type="spellStart"/>
            <w:r w:rsidRPr="00B55557">
              <w:rPr>
                <w:rFonts w:ascii="Aptos" w:eastAsia="Segoe UI" w:hAnsi="Aptos" w:cs="Segoe UI"/>
                <w:color w:val="0F1115"/>
                <w:sz w:val="18"/>
                <w:szCs w:val="18"/>
                <w:lang w:val="es-ES"/>
              </w:rPr>
              <w:t>Percentage</w:t>
            </w:r>
            <w:proofErr w:type="spellEnd"/>
            <w:r w:rsidRPr="00B55557">
              <w:rPr>
                <w:rFonts w:ascii="Aptos" w:eastAsia="Segoe UI" w:hAnsi="Aptos" w:cs="Segoe UI"/>
                <w:color w:val="0F1115"/>
                <w:sz w:val="18"/>
                <w:szCs w:val="18"/>
                <w:lang w:val="es-ES"/>
              </w:rPr>
              <w:t xml:space="preserve"> of </w:t>
            </w:r>
            <w:proofErr w:type="spellStart"/>
            <w:r w:rsidRPr="00B55557">
              <w:rPr>
                <w:rFonts w:ascii="Aptos" w:eastAsia="Segoe UI" w:hAnsi="Aptos" w:cs="Segoe UI"/>
                <w:color w:val="0F1115"/>
                <w:sz w:val="18"/>
                <w:szCs w:val="18"/>
                <w:lang w:val="es-ES"/>
              </w:rPr>
              <w:t>national</w:t>
            </w:r>
            <w:proofErr w:type="spellEnd"/>
            <w:r w:rsidRPr="00B55557">
              <w:rPr>
                <w:rFonts w:ascii="Aptos" w:eastAsia="Segoe UI" w:hAnsi="Aptos" w:cs="Segoe UI"/>
                <w:color w:val="0F1115"/>
                <w:sz w:val="18"/>
                <w:szCs w:val="18"/>
                <w:lang w:val="es-ES"/>
              </w:rPr>
              <w:t xml:space="preserve"> targets</w:t>
            </w:r>
          </w:p>
        </w:tc>
        <w:tc>
          <w:tcPr>
            <w:tcW w:w="4412" w:type="dxa"/>
          </w:tcPr>
          <w:p w14:paraId="6D50888D"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Porcentaje de metas nacionales</w:t>
            </w:r>
          </w:p>
        </w:tc>
      </w:tr>
      <w:tr w:rsidR="000651FD" w:rsidRPr="00E944B1" w14:paraId="455D0585" w14:textId="77777777" w:rsidTr="00B55557">
        <w:tc>
          <w:tcPr>
            <w:tcW w:w="4230" w:type="dxa"/>
          </w:tcPr>
          <w:p w14:paraId="300635C8" w14:textId="77777777" w:rsidR="000651FD" w:rsidRPr="00B55557" w:rsidRDefault="000651FD" w:rsidP="00B93410">
            <w:pPr>
              <w:rPr>
                <w:rFonts w:ascii="Aptos" w:hAnsi="Aptos"/>
                <w:sz w:val="18"/>
                <w:szCs w:val="18"/>
                <w:lang w:val="es-ES"/>
              </w:rPr>
            </w:pPr>
            <w:proofErr w:type="spellStart"/>
            <w:r w:rsidRPr="00B55557">
              <w:rPr>
                <w:rFonts w:ascii="Aptos" w:eastAsia="Segoe UI" w:hAnsi="Aptos" w:cs="Segoe UI"/>
                <w:color w:val="0F1115"/>
                <w:sz w:val="18"/>
                <w:szCs w:val="18"/>
                <w:lang w:val="es-ES"/>
              </w:rPr>
              <w:t>Progress</w:t>
            </w:r>
            <w:proofErr w:type="spellEnd"/>
            <w:r w:rsidRPr="00B55557">
              <w:rPr>
                <w:rFonts w:ascii="Aptos" w:eastAsia="Segoe UI" w:hAnsi="Aptos" w:cs="Segoe UI"/>
                <w:color w:val="0F1115"/>
                <w:sz w:val="18"/>
                <w:szCs w:val="18"/>
                <w:lang w:val="es-ES"/>
              </w:rPr>
              <w:t xml:space="preserve"> Level</w:t>
            </w:r>
          </w:p>
        </w:tc>
        <w:tc>
          <w:tcPr>
            <w:tcW w:w="4412" w:type="dxa"/>
          </w:tcPr>
          <w:p w14:paraId="1CD8D480"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Nivel de progreso</w:t>
            </w:r>
          </w:p>
        </w:tc>
      </w:tr>
      <w:tr w:rsidR="000651FD" w:rsidRPr="00E944B1" w14:paraId="3A323F8A" w14:textId="77777777" w:rsidTr="00B55557">
        <w:tc>
          <w:tcPr>
            <w:tcW w:w="4230" w:type="dxa"/>
          </w:tcPr>
          <w:p w14:paraId="32E0D422" w14:textId="77777777" w:rsidR="000651FD" w:rsidRPr="00B55557" w:rsidRDefault="000651FD" w:rsidP="00B93410">
            <w:pPr>
              <w:rPr>
                <w:rFonts w:ascii="Aptos" w:hAnsi="Aptos"/>
                <w:sz w:val="18"/>
                <w:szCs w:val="18"/>
                <w:lang w:val="es-ES"/>
              </w:rPr>
            </w:pPr>
            <w:proofErr w:type="spellStart"/>
            <w:r w:rsidRPr="00B55557">
              <w:rPr>
                <w:rFonts w:ascii="Aptos" w:eastAsia="Segoe UI" w:hAnsi="Aptos" w:cs="Segoe UI"/>
                <w:color w:val="0F1115"/>
                <w:sz w:val="18"/>
                <w:szCs w:val="18"/>
                <w:lang w:val="es-ES"/>
              </w:rPr>
              <w:t>Achieved</w:t>
            </w:r>
            <w:proofErr w:type="spellEnd"/>
          </w:p>
        </w:tc>
        <w:tc>
          <w:tcPr>
            <w:tcW w:w="4412" w:type="dxa"/>
          </w:tcPr>
          <w:p w14:paraId="2D4E918B"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Alcanzada</w:t>
            </w:r>
          </w:p>
        </w:tc>
      </w:tr>
      <w:tr w:rsidR="000651FD" w:rsidRPr="00E944B1" w14:paraId="4F522868" w14:textId="77777777" w:rsidTr="00B55557">
        <w:tc>
          <w:tcPr>
            <w:tcW w:w="4230" w:type="dxa"/>
          </w:tcPr>
          <w:p w14:paraId="37EB4BF6" w14:textId="77777777" w:rsidR="000651FD" w:rsidRPr="00B55557" w:rsidRDefault="000651FD" w:rsidP="00B93410">
            <w:pPr>
              <w:rPr>
                <w:rFonts w:ascii="Aptos" w:hAnsi="Aptos"/>
                <w:sz w:val="18"/>
                <w:szCs w:val="18"/>
                <w:lang w:val="en-US"/>
              </w:rPr>
            </w:pPr>
            <w:r w:rsidRPr="00B55557">
              <w:rPr>
                <w:rFonts w:ascii="Aptos" w:eastAsia="Segoe UI" w:hAnsi="Aptos" w:cs="Segoe UI"/>
                <w:color w:val="0F1115"/>
                <w:sz w:val="18"/>
                <w:szCs w:val="18"/>
                <w:lang w:val="en-US"/>
              </w:rPr>
              <w:t>On track to achieve target</w:t>
            </w:r>
          </w:p>
        </w:tc>
        <w:tc>
          <w:tcPr>
            <w:tcW w:w="4412" w:type="dxa"/>
          </w:tcPr>
          <w:p w14:paraId="538C7ADC"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En vías de alcanzar la meta</w:t>
            </w:r>
          </w:p>
        </w:tc>
      </w:tr>
      <w:tr w:rsidR="000651FD" w:rsidRPr="00E944B1" w14:paraId="21BE3036" w14:textId="77777777" w:rsidTr="00B55557">
        <w:tc>
          <w:tcPr>
            <w:tcW w:w="4230" w:type="dxa"/>
          </w:tcPr>
          <w:p w14:paraId="74443D33" w14:textId="77777777" w:rsidR="000651FD" w:rsidRPr="00B55557" w:rsidRDefault="000651FD" w:rsidP="00B93410">
            <w:pPr>
              <w:rPr>
                <w:rFonts w:ascii="Aptos" w:hAnsi="Aptos"/>
                <w:sz w:val="18"/>
                <w:szCs w:val="18"/>
                <w:lang w:val="en-US"/>
              </w:rPr>
            </w:pPr>
            <w:r w:rsidRPr="00B55557">
              <w:rPr>
                <w:rFonts w:ascii="Aptos" w:eastAsia="Segoe UI" w:hAnsi="Aptos" w:cs="Segoe UI"/>
                <w:color w:val="0F1115"/>
                <w:sz w:val="18"/>
                <w:szCs w:val="18"/>
                <w:lang w:val="en-US"/>
              </w:rPr>
              <w:t>Progress towards target but at an insufficient rate</w:t>
            </w:r>
          </w:p>
        </w:tc>
        <w:tc>
          <w:tcPr>
            <w:tcW w:w="4412" w:type="dxa"/>
          </w:tcPr>
          <w:p w14:paraId="73E13514"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 xml:space="preserve">Se ha progresado hacia la </w:t>
            </w:r>
            <w:proofErr w:type="gramStart"/>
            <w:r w:rsidRPr="00B55557">
              <w:rPr>
                <w:rFonts w:ascii="Aptos" w:hAnsi="Aptos"/>
                <w:color w:val="0F1115"/>
                <w:sz w:val="18"/>
                <w:szCs w:val="18"/>
                <w:lang w:val="es-ES"/>
              </w:rPr>
              <w:t>meta</w:t>
            </w:r>
            <w:proofErr w:type="gramEnd"/>
            <w:r w:rsidRPr="00B55557">
              <w:rPr>
                <w:rFonts w:ascii="Aptos" w:hAnsi="Aptos"/>
                <w:color w:val="0F1115"/>
                <w:sz w:val="18"/>
                <w:szCs w:val="18"/>
                <w:lang w:val="es-ES"/>
              </w:rPr>
              <w:t xml:space="preserve"> pero a un ritmo insuficiente</w:t>
            </w:r>
          </w:p>
        </w:tc>
      </w:tr>
      <w:tr w:rsidR="000651FD" w:rsidRPr="00E944B1" w14:paraId="0E2F1F9D" w14:textId="77777777" w:rsidTr="00B55557">
        <w:tc>
          <w:tcPr>
            <w:tcW w:w="4230" w:type="dxa"/>
          </w:tcPr>
          <w:p w14:paraId="41ABC08F"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 xml:space="preserve">No </w:t>
            </w:r>
            <w:proofErr w:type="spellStart"/>
            <w:r w:rsidRPr="00B55557">
              <w:rPr>
                <w:rFonts w:ascii="Aptos" w:eastAsia="Segoe UI" w:hAnsi="Aptos" w:cs="Segoe UI"/>
                <w:color w:val="0F1115"/>
                <w:sz w:val="18"/>
                <w:szCs w:val="18"/>
                <w:lang w:val="es-ES"/>
              </w:rPr>
              <w:t>significant</w:t>
            </w:r>
            <w:proofErr w:type="spellEnd"/>
            <w:r w:rsidRPr="00B55557">
              <w:rPr>
                <w:rFonts w:ascii="Aptos" w:eastAsia="Segoe UI" w:hAnsi="Aptos" w:cs="Segoe UI"/>
                <w:color w:val="0F1115"/>
                <w:sz w:val="18"/>
                <w:szCs w:val="18"/>
                <w:lang w:val="es-ES"/>
              </w:rPr>
              <w:t xml:space="preserve"> </w:t>
            </w:r>
            <w:proofErr w:type="spellStart"/>
            <w:r w:rsidRPr="00B55557">
              <w:rPr>
                <w:rFonts w:ascii="Aptos" w:eastAsia="Segoe UI" w:hAnsi="Aptos" w:cs="Segoe UI"/>
                <w:color w:val="0F1115"/>
                <w:sz w:val="18"/>
                <w:szCs w:val="18"/>
                <w:lang w:val="es-ES"/>
              </w:rPr>
              <w:t>change</w:t>
            </w:r>
            <w:proofErr w:type="spellEnd"/>
          </w:p>
        </w:tc>
        <w:tc>
          <w:tcPr>
            <w:tcW w:w="4412" w:type="dxa"/>
          </w:tcPr>
          <w:p w14:paraId="1E506B3F"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No hay cambios significativos</w:t>
            </w:r>
          </w:p>
        </w:tc>
      </w:tr>
      <w:tr w:rsidR="000651FD" w:rsidRPr="00E944B1" w14:paraId="5395C3B1" w14:textId="77777777" w:rsidTr="00B55557">
        <w:tc>
          <w:tcPr>
            <w:tcW w:w="4230" w:type="dxa"/>
          </w:tcPr>
          <w:p w14:paraId="674ECAAC"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Unknown</w:t>
            </w:r>
          </w:p>
        </w:tc>
        <w:tc>
          <w:tcPr>
            <w:tcW w:w="4412" w:type="dxa"/>
          </w:tcPr>
          <w:p w14:paraId="236ACF0C" w14:textId="77777777" w:rsidR="000651FD" w:rsidRPr="00B55557" w:rsidRDefault="000651FD" w:rsidP="00B93410">
            <w:pPr>
              <w:rPr>
                <w:rFonts w:ascii="Aptos" w:hAnsi="Aptos"/>
                <w:sz w:val="18"/>
                <w:szCs w:val="18"/>
                <w:lang w:val="es-ES"/>
              </w:rPr>
            </w:pPr>
            <w:r w:rsidRPr="00B55557">
              <w:rPr>
                <w:rFonts w:ascii="Aptos" w:hAnsi="Aptos"/>
                <w:color w:val="0F1115"/>
                <w:sz w:val="18"/>
                <w:szCs w:val="18"/>
                <w:lang w:val="es-ES"/>
              </w:rPr>
              <w:t>Se desconoce</w:t>
            </w:r>
          </w:p>
        </w:tc>
      </w:tr>
      <w:tr w:rsidR="000651FD" w:rsidRPr="00E944B1" w14:paraId="42A4F3C5" w14:textId="77777777" w:rsidTr="00B55557">
        <w:tc>
          <w:tcPr>
            <w:tcW w:w="4230" w:type="dxa"/>
          </w:tcPr>
          <w:p w14:paraId="02F3064D" w14:textId="77777777" w:rsidR="000651FD" w:rsidRPr="00B55557" w:rsidRDefault="000651FD" w:rsidP="00B93410">
            <w:pPr>
              <w:rPr>
                <w:rFonts w:ascii="Aptos" w:hAnsi="Aptos"/>
                <w:sz w:val="18"/>
                <w:szCs w:val="18"/>
                <w:lang w:val="es-ES"/>
              </w:rPr>
            </w:pPr>
            <w:r w:rsidRPr="00B55557">
              <w:rPr>
                <w:rFonts w:ascii="Aptos" w:eastAsia="Segoe UI" w:hAnsi="Aptos" w:cs="Segoe UI"/>
                <w:color w:val="0F1115"/>
                <w:sz w:val="18"/>
                <w:szCs w:val="18"/>
                <w:lang w:val="es-ES"/>
              </w:rPr>
              <w:t xml:space="preserve">Party </w:t>
            </w:r>
            <w:proofErr w:type="spellStart"/>
            <w:r w:rsidRPr="00B55557">
              <w:rPr>
                <w:rFonts w:ascii="Aptos" w:eastAsia="Segoe UI" w:hAnsi="Aptos" w:cs="Segoe UI"/>
                <w:color w:val="0F1115"/>
                <w:sz w:val="18"/>
                <w:szCs w:val="18"/>
                <w:lang w:val="es-ES"/>
              </w:rPr>
              <w:t>count</w:t>
            </w:r>
            <w:proofErr w:type="spellEnd"/>
            <w:r w:rsidRPr="00B55557">
              <w:rPr>
                <w:rFonts w:ascii="Aptos" w:eastAsia="Segoe UI" w:hAnsi="Aptos" w:cs="Segoe UI"/>
                <w:color w:val="0F1115"/>
                <w:sz w:val="18"/>
                <w:szCs w:val="18"/>
                <w:lang w:val="es-ES"/>
              </w:rPr>
              <w:t>: 104</w:t>
            </w:r>
          </w:p>
        </w:tc>
        <w:tc>
          <w:tcPr>
            <w:tcW w:w="4412" w:type="dxa"/>
          </w:tcPr>
          <w:p w14:paraId="4F9FDB17" w14:textId="77777777" w:rsidR="000651FD" w:rsidRPr="00B55557" w:rsidRDefault="000651FD" w:rsidP="00B93410">
            <w:pPr>
              <w:rPr>
                <w:rFonts w:ascii="Aptos" w:eastAsia="Segoe UI" w:hAnsi="Aptos" w:cs="Segoe UI"/>
                <w:color w:val="0F1115"/>
                <w:sz w:val="18"/>
                <w:szCs w:val="18"/>
                <w:lang w:val="es-ES"/>
              </w:rPr>
            </w:pPr>
            <w:r w:rsidRPr="00B55557">
              <w:rPr>
                <w:rFonts w:ascii="Aptos" w:hAnsi="Aptos"/>
                <w:color w:val="0F1115"/>
                <w:sz w:val="18"/>
                <w:szCs w:val="18"/>
                <w:lang w:val="es-ES"/>
              </w:rPr>
              <w:t>Número de Partes: 104</w:t>
            </w:r>
          </w:p>
        </w:tc>
      </w:tr>
    </w:tbl>
    <w:p w14:paraId="76A32800" w14:textId="67CBF72B" w:rsidR="00AB1068" w:rsidRPr="005E3D50" w:rsidRDefault="00AB1068" w:rsidP="00597FE0">
      <w:pPr>
        <w:rPr>
          <w:lang w:val="es-ES"/>
        </w:rPr>
      </w:pPr>
    </w:p>
    <w:p w14:paraId="4EEC4E05" w14:textId="106C6B28" w:rsidR="00FC7784" w:rsidRPr="005E3D50" w:rsidRDefault="00FC7784" w:rsidP="00FC7784">
      <w:pPr>
        <w:pStyle w:val="Heading5"/>
        <w:rPr>
          <w:lang w:val="es-ES"/>
        </w:rPr>
      </w:pPr>
      <w:bookmarkStart w:id="138" w:name="_Toc230151249"/>
      <w:bookmarkStart w:id="139" w:name="_Toc235821068"/>
      <w:r w:rsidRPr="005E3D50">
        <w:rPr>
          <w:lang w:val="es-ES"/>
        </w:rPr>
        <w:t>Medidas, logros y dificultades en la implementación</w:t>
      </w:r>
      <w:bookmarkEnd w:id="138"/>
      <w:bookmarkEnd w:id="139"/>
    </w:p>
    <w:p w14:paraId="3A77A07B" w14:textId="77777777" w:rsidR="006C01DD" w:rsidRPr="005E3D50" w:rsidRDefault="006C01DD" w:rsidP="00FC7784">
      <w:pPr>
        <w:pStyle w:val="Heading6"/>
        <w:rPr>
          <w:lang w:val="es-ES"/>
        </w:rPr>
      </w:pPr>
      <w:bookmarkStart w:id="140" w:name="_Toc230151250"/>
      <w:bookmarkStart w:id="141" w:name="_Toc235821069"/>
    </w:p>
    <w:p w14:paraId="15363753" w14:textId="5669F8B8" w:rsidR="00FC7784" w:rsidRPr="005E3D50" w:rsidRDefault="00FC7784" w:rsidP="00FC7784">
      <w:pPr>
        <w:pStyle w:val="Heading6"/>
        <w:rPr>
          <w:lang w:val="es-ES"/>
        </w:rPr>
      </w:pPr>
      <w:r w:rsidRPr="005E3D50">
        <w:rPr>
          <w:lang w:val="es-ES"/>
        </w:rPr>
        <w:t xml:space="preserve">Resumen de medidas en apoyo de la meta </w:t>
      </w:r>
      <w:bookmarkEnd w:id="140"/>
      <w:r w:rsidRPr="005E3D50">
        <w:rPr>
          <w:lang w:val="es-ES"/>
        </w:rPr>
        <w:t>2</w:t>
      </w:r>
      <w:bookmarkEnd w:id="141"/>
      <w:r w:rsidRPr="005E3D50">
        <w:rPr>
          <w:lang w:val="es-ES"/>
        </w:rPr>
        <w:t xml:space="preserve"> del Marco</w:t>
      </w:r>
    </w:p>
    <w:p w14:paraId="343D62B7" w14:textId="77777777" w:rsidR="006C01DD" w:rsidRPr="005E3D50" w:rsidRDefault="006C01DD" w:rsidP="006C01DD">
      <w:pPr>
        <w:rPr>
          <w:lang w:val="es-ES"/>
        </w:rPr>
      </w:pPr>
    </w:p>
    <w:p w14:paraId="174E3BAB" w14:textId="583CC324" w:rsidR="00BF7443" w:rsidRPr="005E3D50" w:rsidRDefault="00BF7443" w:rsidP="00BF7443">
      <w:pPr>
        <w:rPr>
          <w:lang w:val="es-ES"/>
        </w:rPr>
      </w:pPr>
      <w:bookmarkStart w:id="142" w:name="_Toc230151251"/>
      <w:r w:rsidRPr="005E3D50">
        <w:rPr>
          <w:lang w:val="es-ES"/>
        </w:rPr>
        <w:t>Casi todas las Partes señalan algún tipo de medida relacionada con la restauración de los ecosistemas. Por lo general, esas medidas abarcan la restauración de múltiples tipos de ecosistemas, tales como bosques, humedales, ecosistemas costeros y marinos, pastizales y sistemas de agua dulce. Muchos informes nacionales también describen actividades de investigación, seguimiento y recopilación de datos relacionadas con la meta 2, lo que refleja una inversión generalizada en la evaluación de la degradación, el relevamiento de la restauración y el desarrollo de sistemas de seguimiento conexos. La escala de la restauración varía desde la implementación a pequeña escala en el contexto de proyectos individuales hasta programas gubernamentales a gran escala destinados a alcanzar metas de alcance nacional (véanse los recuadros 9 y 10).</w:t>
      </w:r>
    </w:p>
    <w:p w14:paraId="50EE4C0E" w14:textId="35E4484D" w:rsidR="005E307C" w:rsidRPr="005E3D50" w:rsidRDefault="00FC7784" w:rsidP="00A43E80">
      <w:pPr>
        <w:pStyle w:val="Heading6"/>
        <w:rPr>
          <w:lang w:val="es-ES"/>
        </w:rPr>
      </w:pPr>
      <w:bookmarkStart w:id="143" w:name="_Toc235821070"/>
      <w:r w:rsidRPr="005E3D50">
        <w:rPr>
          <w:lang w:val="es-ES"/>
        </w:rPr>
        <w:t>Ejemplos de logros y progresos en la implementación</w:t>
      </w:r>
      <w:bookmarkEnd w:id="142"/>
      <w:bookmarkEnd w:id="143"/>
    </w:p>
    <w:p w14:paraId="01E52153" w14:textId="75B5A89A" w:rsidR="005D701B" w:rsidRPr="005E3D50" w:rsidRDefault="005D701B" w:rsidP="00EB59EE">
      <w:pPr>
        <w:pStyle w:val="Caption"/>
        <w:rPr>
          <w:b/>
          <w:i w:val="0"/>
          <w:sz w:val="20"/>
          <w:szCs w:val="20"/>
          <w:lang w:val="es-ES"/>
        </w:rPr>
      </w:pPr>
    </w:p>
    <w:tbl>
      <w:tblPr>
        <w:tblStyle w:val="TableGrid"/>
        <w:tblW w:w="0" w:type="auto"/>
        <w:tblLook w:val="04A0" w:firstRow="1" w:lastRow="0" w:firstColumn="1" w:lastColumn="0" w:noHBand="0" w:noVBand="1"/>
      </w:tblPr>
      <w:tblGrid>
        <w:gridCol w:w="9350"/>
      </w:tblGrid>
      <w:tr w:rsidR="00322D64" w:rsidRPr="00942359" w14:paraId="370AFE08" w14:textId="77777777" w:rsidTr="0052172E">
        <w:tc>
          <w:tcPr>
            <w:tcW w:w="9350" w:type="dxa"/>
            <w:shd w:val="clear" w:color="auto" w:fill="D1D1D1" w:themeFill="background2" w:themeFillShade="E6"/>
          </w:tcPr>
          <w:p w14:paraId="60B1429B" w14:textId="62DEE0E7" w:rsidR="004F7176" w:rsidRPr="005E3D50" w:rsidRDefault="004F7176" w:rsidP="00946386">
            <w:pPr>
              <w:pStyle w:val="Caption"/>
              <w:keepNext/>
              <w:rPr>
                <w:i w:val="0"/>
                <w:iCs w:val="0"/>
                <w:sz w:val="20"/>
                <w:szCs w:val="20"/>
                <w:lang w:val="es-ES"/>
              </w:rPr>
            </w:pPr>
            <w:r w:rsidRPr="005E3D50">
              <w:rPr>
                <w:i w:val="0"/>
                <w:sz w:val="20"/>
                <w:szCs w:val="20"/>
                <w:lang w:val="es-ES"/>
              </w:rPr>
              <w:lastRenderedPageBreak/>
              <w:t>Recuadro 9</w:t>
            </w:r>
          </w:p>
          <w:p w14:paraId="70558A06" w14:textId="0B552AEC" w:rsidR="00322D64" w:rsidRPr="005E3D50" w:rsidRDefault="004F7176" w:rsidP="00B60665">
            <w:pPr>
              <w:rPr>
                <w:rStyle w:val="eop"/>
                <w:b/>
                <w:sz w:val="20"/>
                <w:szCs w:val="20"/>
                <w:lang w:val="es-ES"/>
              </w:rPr>
            </w:pPr>
            <w:proofErr w:type="spellStart"/>
            <w:r w:rsidRPr="005E3D50">
              <w:rPr>
                <w:b/>
                <w:sz w:val="20"/>
                <w:szCs w:val="20"/>
                <w:lang w:val="es-ES"/>
              </w:rPr>
              <w:t>Rehumectación</w:t>
            </w:r>
            <w:proofErr w:type="spellEnd"/>
            <w:r w:rsidRPr="005E3D50">
              <w:rPr>
                <w:b/>
                <w:sz w:val="20"/>
                <w:szCs w:val="20"/>
                <w:lang w:val="es-ES"/>
              </w:rPr>
              <w:t xml:space="preserve"> de turberas y </w:t>
            </w:r>
            <w:proofErr w:type="spellStart"/>
            <w:r w:rsidRPr="005E3D50">
              <w:rPr>
                <w:b/>
                <w:sz w:val="20"/>
                <w:szCs w:val="20"/>
                <w:lang w:val="es-ES"/>
              </w:rPr>
              <w:t>paludicultura</w:t>
            </w:r>
            <w:proofErr w:type="spellEnd"/>
            <w:r w:rsidRPr="005E3D50">
              <w:rPr>
                <w:b/>
                <w:sz w:val="20"/>
                <w:szCs w:val="20"/>
                <w:lang w:val="es-ES"/>
              </w:rPr>
              <w:t xml:space="preserve"> para la restauración ecológica y la acción climática en Alemania</w:t>
            </w:r>
          </w:p>
          <w:p w14:paraId="7436FCED" w14:textId="77777777" w:rsidR="004F7176" w:rsidRPr="005E3D50" w:rsidRDefault="004F7176" w:rsidP="004F7176">
            <w:pPr>
              <w:rPr>
                <w:sz w:val="20"/>
                <w:szCs w:val="20"/>
                <w:lang w:val="es-ES"/>
              </w:rPr>
            </w:pPr>
          </w:p>
          <w:p w14:paraId="7AD79282" w14:textId="77777777" w:rsidR="00327588" w:rsidRPr="005E3D50" w:rsidRDefault="00327588" w:rsidP="00327588">
            <w:pPr>
              <w:spacing w:line="276" w:lineRule="auto"/>
              <w:rPr>
                <w:rFonts w:cs="Calibri"/>
                <w:color w:val="212121"/>
                <w:sz w:val="20"/>
                <w:szCs w:val="20"/>
                <w:lang w:val="es-ES"/>
              </w:rPr>
            </w:pPr>
            <w:r w:rsidRPr="005E3D50">
              <w:rPr>
                <w:color w:val="212121"/>
                <w:sz w:val="20"/>
                <w:szCs w:val="20"/>
                <w:lang w:val="es-ES"/>
              </w:rPr>
              <w:t xml:space="preserve">El drenaje a gran escala de las turberas en Alemania ha provocado un aumento de la mineralización de la turba, lo que ha dado lugar a un incremento considerable de las emisiones de gases de efecto invernadero, la pérdida de diversidad biológica y el declive de funciones de los ecosistemas como la retención y el suministro de agua. La producción agrícola convencional en suelos de turba drenados también ha demostrado ser insostenible desde el punto de vista ambiental, mientras que las alternativas económicamente viables para la gestión de turberas húmedas siguen siendo limitadas. En respuesta a esta situación, Alemania está promoviendo la </w:t>
            </w:r>
            <w:proofErr w:type="spellStart"/>
            <w:r w:rsidRPr="005E3D50">
              <w:rPr>
                <w:color w:val="212121"/>
                <w:sz w:val="20"/>
                <w:szCs w:val="20"/>
                <w:lang w:val="es-ES"/>
              </w:rPr>
              <w:t>rehumectación</w:t>
            </w:r>
            <w:proofErr w:type="spellEnd"/>
            <w:r w:rsidRPr="005E3D50">
              <w:rPr>
                <w:color w:val="212121"/>
                <w:sz w:val="20"/>
                <w:szCs w:val="20"/>
                <w:lang w:val="es-ES"/>
              </w:rPr>
              <w:t xml:space="preserve"> de turberas y la </w:t>
            </w:r>
            <w:proofErr w:type="spellStart"/>
            <w:r w:rsidRPr="005E3D50">
              <w:rPr>
                <w:color w:val="212121"/>
                <w:sz w:val="20"/>
                <w:szCs w:val="20"/>
                <w:lang w:val="es-ES"/>
              </w:rPr>
              <w:t>paludicultura</w:t>
            </w:r>
            <w:proofErr w:type="spellEnd"/>
            <w:r w:rsidRPr="005E3D50">
              <w:rPr>
                <w:color w:val="212121"/>
                <w:sz w:val="20"/>
                <w:szCs w:val="20"/>
                <w:lang w:val="es-ES"/>
              </w:rPr>
              <w:t xml:space="preserve"> (agricultura y silvicultura en turberas </w:t>
            </w:r>
            <w:proofErr w:type="spellStart"/>
            <w:r w:rsidRPr="005E3D50">
              <w:rPr>
                <w:color w:val="212121"/>
                <w:sz w:val="20"/>
                <w:szCs w:val="20"/>
                <w:lang w:val="es-ES"/>
              </w:rPr>
              <w:t>rehumectadas</w:t>
            </w:r>
            <w:proofErr w:type="spellEnd"/>
            <w:r w:rsidRPr="005E3D50">
              <w:rPr>
                <w:color w:val="212121"/>
                <w:sz w:val="20"/>
                <w:szCs w:val="20"/>
                <w:lang w:val="es-ES"/>
              </w:rPr>
              <w:t>) como un enfoque integrado para la restauración ecológica, la mitigación del cambio climático y el desarrollo rural sostenible.</w:t>
            </w:r>
          </w:p>
          <w:p w14:paraId="3B1C6E0D" w14:textId="77777777" w:rsidR="00327588" w:rsidRPr="005E3D50" w:rsidRDefault="00327588" w:rsidP="00327588">
            <w:pPr>
              <w:spacing w:line="276" w:lineRule="auto"/>
              <w:rPr>
                <w:rFonts w:cs="Calibri"/>
                <w:color w:val="212121"/>
                <w:sz w:val="20"/>
                <w:szCs w:val="20"/>
                <w:lang w:val="es-ES"/>
              </w:rPr>
            </w:pPr>
          </w:p>
          <w:p w14:paraId="4CB6C70F" w14:textId="1A4E826F" w:rsidR="00327588" w:rsidRPr="005E3D50" w:rsidRDefault="00327588" w:rsidP="00327588">
            <w:pPr>
              <w:spacing w:line="276" w:lineRule="auto"/>
              <w:rPr>
                <w:rFonts w:cs="Calibri"/>
                <w:color w:val="212121"/>
                <w:sz w:val="20"/>
                <w:szCs w:val="20"/>
                <w:lang w:val="es-ES"/>
              </w:rPr>
            </w:pPr>
            <w:r w:rsidRPr="005E3D50">
              <w:rPr>
                <w:color w:val="212121"/>
                <w:sz w:val="20"/>
                <w:szCs w:val="20"/>
                <w:lang w:val="es-ES"/>
              </w:rPr>
              <w:t xml:space="preserve">En el marco del Plan de </w:t>
            </w:r>
            <w:r w:rsidR="00660D69" w:rsidRPr="005E3D50">
              <w:rPr>
                <w:color w:val="212121"/>
                <w:sz w:val="20"/>
                <w:szCs w:val="20"/>
                <w:lang w:val="es-ES"/>
              </w:rPr>
              <w:t>a</w:t>
            </w:r>
            <w:r w:rsidRPr="005E3D50">
              <w:rPr>
                <w:color w:val="212121"/>
                <w:sz w:val="20"/>
                <w:szCs w:val="20"/>
                <w:lang w:val="es-ES"/>
              </w:rPr>
              <w:t xml:space="preserve">cción </w:t>
            </w:r>
            <w:r w:rsidR="00660D69" w:rsidRPr="005E3D50">
              <w:rPr>
                <w:color w:val="212121"/>
                <w:sz w:val="20"/>
                <w:szCs w:val="20"/>
                <w:lang w:val="es-ES"/>
              </w:rPr>
              <w:t>f</w:t>
            </w:r>
            <w:r w:rsidRPr="005E3D50">
              <w:rPr>
                <w:color w:val="212121"/>
                <w:sz w:val="20"/>
                <w:szCs w:val="20"/>
                <w:lang w:val="es-ES"/>
              </w:rPr>
              <w:t xml:space="preserve">ederal sobre </w:t>
            </w:r>
            <w:r w:rsidR="00660D69" w:rsidRPr="005E3D50">
              <w:rPr>
                <w:color w:val="212121"/>
                <w:sz w:val="20"/>
                <w:szCs w:val="20"/>
                <w:lang w:val="es-ES"/>
              </w:rPr>
              <w:t>s</w:t>
            </w:r>
            <w:r w:rsidRPr="005E3D50">
              <w:rPr>
                <w:color w:val="212121"/>
                <w:sz w:val="20"/>
                <w:szCs w:val="20"/>
                <w:lang w:val="es-ES"/>
              </w:rPr>
              <w:t xml:space="preserve">oluciones </w:t>
            </w:r>
            <w:r w:rsidR="00660D69" w:rsidRPr="005E3D50">
              <w:rPr>
                <w:color w:val="212121"/>
                <w:sz w:val="20"/>
                <w:szCs w:val="20"/>
                <w:lang w:val="es-ES"/>
              </w:rPr>
              <w:t>b</w:t>
            </w:r>
            <w:r w:rsidRPr="005E3D50">
              <w:rPr>
                <w:color w:val="212121"/>
                <w:sz w:val="20"/>
                <w:szCs w:val="20"/>
                <w:lang w:val="es-ES"/>
              </w:rPr>
              <w:t xml:space="preserve">asadas en la </w:t>
            </w:r>
            <w:r w:rsidR="00660D69" w:rsidRPr="005E3D50">
              <w:rPr>
                <w:color w:val="212121"/>
                <w:sz w:val="20"/>
                <w:szCs w:val="20"/>
                <w:lang w:val="es-ES"/>
              </w:rPr>
              <w:t>n</w:t>
            </w:r>
            <w:r w:rsidRPr="005E3D50">
              <w:rPr>
                <w:color w:val="212121"/>
                <w:sz w:val="20"/>
                <w:szCs w:val="20"/>
                <w:lang w:val="es-ES"/>
              </w:rPr>
              <w:t xml:space="preserve">aturaleza para el </w:t>
            </w:r>
            <w:r w:rsidR="00660D69" w:rsidRPr="005E3D50">
              <w:rPr>
                <w:color w:val="212121"/>
                <w:sz w:val="20"/>
                <w:szCs w:val="20"/>
                <w:lang w:val="es-ES"/>
              </w:rPr>
              <w:t>c</w:t>
            </w:r>
            <w:r w:rsidRPr="005E3D50">
              <w:rPr>
                <w:color w:val="212121"/>
                <w:sz w:val="20"/>
                <w:szCs w:val="20"/>
                <w:lang w:val="es-ES"/>
              </w:rPr>
              <w:t xml:space="preserve">lima y la </w:t>
            </w:r>
            <w:r w:rsidR="00660D69" w:rsidRPr="005E3D50">
              <w:rPr>
                <w:color w:val="212121"/>
                <w:sz w:val="20"/>
                <w:szCs w:val="20"/>
                <w:lang w:val="es-ES"/>
              </w:rPr>
              <w:t>b</w:t>
            </w:r>
            <w:r w:rsidRPr="005E3D50">
              <w:rPr>
                <w:color w:val="212121"/>
                <w:sz w:val="20"/>
                <w:szCs w:val="20"/>
                <w:lang w:val="es-ES"/>
              </w:rPr>
              <w:t xml:space="preserve">iodiversidad, la restauración de ecosistemas de turberas degradados es una medida clave para reducir las emisiones del sector del uso de la tierraᵃ. Los proyectos piloto y de demostración en curso que evalúan la viabilidad de las prácticas de </w:t>
            </w:r>
            <w:proofErr w:type="spellStart"/>
            <w:r w:rsidRPr="005E3D50">
              <w:rPr>
                <w:color w:val="212121"/>
                <w:sz w:val="20"/>
                <w:szCs w:val="20"/>
                <w:lang w:val="es-ES"/>
              </w:rPr>
              <w:t>paludicultura</w:t>
            </w:r>
            <w:proofErr w:type="spellEnd"/>
            <w:r w:rsidRPr="005E3D50">
              <w:rPr>
                <w:color w:val="212121"/>
                <w:sz w:val="20"/>
                <w:szCs w:val="20"/>
                <w:lang w:val="es-ES"/>
              </w:rPr>
              <w:t xml:space="preserve"> y las cadenas de valor conexas proporcionan una base sólida para ampliar la aplicación de la </w:t>
            </w:r>
            <w:proofErr w:type="spellStart"/>
            <w:r w:rsidRPr="005E3D50">
              <w:rPr>
                <w:color w:val="212121"/>
                <w:sz w:val="20"/>
                <w:szCs w:val="20"/>
                <w:lang w:val="es-ES"/>
              </w:rPr>
              <w:t>paludicultura</w:t>
            </w:r>
            <w:proofErr w:type="spellEnd"/>
            <w:r w:rsidRPr="005E3D50">
              <w:rPr>
                <w:color w:val="212121"/>
                <w:sz w:val="20"/>
                <w:szCs w:val="20"/>
                <w:lang w:val="es-ES"/>
              </w:rPr>
              <w:t xml:space="preserve">. Sobre la base de estas experiencias, el régimen de ayudas estatales para la </w:t>
            </w:r>
            <w:proofErr w:type="spellStart"/>
            <w:r w:rsidRPr="005E3D50">
              <w:rPr>
                <w:color w:val="212121"/>
                <w:sz w:val="20"/>
                <w:szCs w:val="20"/>
                <w:lang w:val="es-ES"/>
              </w:rPr>
              <w:t>rehumectación</w:t>
            </w:r>
            <w:proofErr w:type="spellEnd"/>
            <w:r w:rsidRPr="005E3D50">
              <w:rPr>
                <w:color w:val="212121"/>
                <w:sz w:val="20"/>
                <w:szCs w:val="20"/>
                <w:lang w:val="es-ES"/>
              </w:rPr>
              <w:t xml:space="preserve"> de turberas destinadas a usos agrícolas apoya el establecimiento de sistemas productivos de uso de la tierra compatibles con condiciones de humedad. Un componente fundamental del proceso de ampliación son las denominadas </w:t>
            </w:r>
            <w:r w:rsidR="00F95EF3">
              <w:rPr>
                <w:color w:val="212121"/>
                <w:sz w:val="20"/>
                <w:szCs w:val="20"/>
                <w:lang w:val="es-ES"/>
              </w:rPr>
              <w:t>“</w:t>
            </w:r>
            <w:r w:rsidRPr="005E3D50">
              <w:rPr>
                <w:color w:val="212121"/>
                <w:sz w:val="20"/>
                <w:szCs w:val="20"/>
                <w:lang w:val="es-ES"/>
              </w:rPr>
              <w:t>regiones faro</w:t>
            </w:r>
            <w:r w:rsidR="00F95EF3">
              <w:rPr>
                <w:color w:val="212121"/>
                <w:sz w:val="20"/>
                <w:szCs w:val="20"/>
                <w:lang w:val="es-ES"/>
              </w:rPr>
              <w:t>”</w:t>
            </w:r>
            <w:r w:rsidRPr="005E3D50">
              <w:rPr>
                <w:color w:val="212121"/>
                <w:sz w:val="20"/>
                <w:szCs w:val="20"/>
                <w:lang w:val="es-ES"/>
              </w:rPr>
              <w:t>, con una superficie de turberas de al menos 5.000 hectáreas. El cultivo de especies adaptadas a los humedales, como el carrizo (</w:t>
            </w:r>
            <w:proofErr w:type="spellStart"/>
            <w:r w:rsidRPr="005E3D50">
              <w:rPr>
                <w:i/>
                <w:iCs/>
                <w:color w:val="212121"/>
                <w:sz w:val="20"/>
                <w:szCs w:val="20"/>
                <w:lang w:val="es-ES"/>
              </w:rPr>
              <w:t>Phragmites</w:t>
            </w:r>
            <w:proofErr w:type="spellEnd"/>
            <w:r w:rsidRPr="005E3D50">
              <w:rPr>
                <w:i/>
                <w:iCs/>
                <w:color w:val="212121"/>
                <w:sz w:val="20"/>
                <w:szCs w:val="20"/>
                <w:lang w:val="es-ES"/>
              </w:rPr>
              <w:t xml:space="preserve"> </w:t>
            </w:r>
            <w:proofErr w:type="spellStart"/>
            <w:r w:rsidRPr="005E3D50">
              <w:rPr>
                <w:i/>
                <w:iCs/>
                <w:color w:val="212121"/>
                <w:sz w:val="20"/>
                <w:szCs w:val="20"/>
                <w:lang w:val="es-ES"/>
              </w:rPr>
              <w:t>australis</w:t>
            </w:r>
            <w:proofErr w:type="spellEnd"/>
            <w:r w:rsidRPr="005E3D50">
              <w:rPr>
                <w:color w:val="212121"/>
                <w:sz w:val="20"/>
                <w:szCs w:val="20"/>
                <w:lang w:val="es-ES"/>
              </w:rPr>
              <w:t>), las eneas (</w:t>
            </w:r>
            <w:proofErr w:type="spellStart"/>
            <w:r w:rsidRPr="005E3D50">
              <w:rPr>
                <w:i/>
                <w:iCs/>
                <w:color w:val="212121"/>
                <w:sz w:val="20"/>
                <w:szCs w:val="20"/>
                <w:lang w:val="es-ES"/>
              </w:rPr>
              <w:t>Typha</w:t>
            </w:r>
            <w:proofErr w:type="spellEnd"/>
            <w:r w:rsidRPr="005E3D50">
              <w:rPr>
                <w:i/>
                <w:iCs/>
                <w:color w:val="212121"/>
                <w:sz w:val="20"/>
                <w:szCs w:val="20"/>
                <w:lang w:val="es-ES"/>
              </w:rPr>
              <w:t xml:space="preserve"> </w:t>
            </w:r>
            <w:proofErr w:type="spellStart"/>
            <w:r w:rsidRPr="005E3D50">
              <w:rPr>
                <w:iCs/>
                <w:color w:val="212121"/>
                <w:sz w:val="20"/>
                <w:szCs w:val="20"/>
                <w:lang w:val="es-ES"/>
              </w:rPr>
              <w:t>spp</w:t>
            </w:r>
            <w:proofErr w:type="spellEnd"/>
            <w:r w:rsidRPr="005E3D50">
              <w:rPr>
                <w:iCs/>
                <w:color w:val="212121"/>
                <w:sz w:val="20"/>
                <w:szCs w:val="20"/>
                <w:lang w:val="es-ES"/>
              </w:rPr>
              <w:t>.</w:t>
            </w:r>
            <w:r w:rsidRPr="005E3D50">
              <w:rPr>
                <w:color w:val="212121"/>
                <w:sz w:val="20"/>
                <w:szCs w:val="20"/>
                <w:lang w:val="es-ES"/>
              </w:rPr>
              <w:t xml:space="preserve">), las ciperáceas y los musgos de turbera, ofrece opciones prometedoras para la producción de biomasa en sitios </w:t>
            </w:r>
            <w:proofErr w:type="spellStart"/>
            <w:r w:rsidRPr="005E3D50">
              <w:rPr>
                <w:color w:val="212121"/>
                <w:sz w:val="20"/>
                <w:szCs w:val="20"/>
                <w:lang w:val="es-ES"/>
              </w:rPr>
              <w:t>rehumectados</w:t>
            </w:r>
            <w:proofErr w:type="spellEnd"/>
            <w:r w:rsidRPr="005E3D50">
              <w:rPr>
                <w:color w:val="212121"/>
                <w:sz w:val="20"/>
                <w:szCs w:val="20"/>
                <w:lang w:val="es-ES"/>
              </w:rPr>
              <w:t>.</w:t>
            </w:r>
          </w:p>
          <w:p w14:paraId="1AFF583A" w14:textId="77777777" w:rsidR="00327588" w:rsidRPr="005E3D50" w:rsidRDefault="00327588" w:rsidP="00327588">
            <w:pPr>
              <w:spacing w:line="276" w:lineRule="auto"/>
              <w:rPr>
                <w:rFonts w:cs="Calibri"/>
                <w:color w:val="212121"/>
                <w:sz w:val="20"/>
                <w:szCs w:val="20"/>
                <w:lang w:val="es-ES"/>
              </w:rPr>
            </w:pPr>
          </w:p>
          <w:p w14:paraId="50E87160" w14:textId="77777777" w:rsidR="00327588" w:rsidRPr="005E3D50" w:rsidRDefault="00327588" w:rsidP="00327588">
            <w:pPr>
              <w:spacing w:line="276" w:lineRule="auto"/>
              <w:rPr>
                <w:rStyle w:val="apple-converted-space"/>
                <w:rFonts w:cs="Calibri"/>
                <w:color w:val="212121"/>
                <w:sz w:val="20"/>
                <w:szCs w:val="20"/>
                <w:lang w:val="es-ES"/>
              </w:rPr>
            </w:pPr>
            <w:r w:rsidRPr="005E3D50">
              <w:rPr>
                <w:color w:val="212121"/>
                <w:sz w:val="20"/>
                <w:szCs w:val="20"/>
                <w:lang w:val="es-ES"/>
              </w:rPr>
              <w:t xml:space="preserve">Además de las iniciativas de restauración, el programa apoya la investigación y la ampliación del aprovechamiento material de la biomasa de la </w:t>
            </w:r>
            <w:proofErr w:type="spellStart"/>
            <w:r w:rsidRPr="005E3D50">
              <w:rPr>
                <w:color w:val="212121"/>
                <w:sz w:val="20"/>
                <w:szCs w:val="20"/>
                <w:lang w:val="es-ES"/>
              </w:rPr>
              <w:t>paludicultura</w:t>
            </w:r>
            <w:proofErr w:type="spellEnd"/>
            <w:r w:rsidRPr="005E3D50">
              <w:rPr>
                <w:color w:val="212121"/>
                <w:sz w:val="20"/>
                <w:szCs w:val="20"/>
                <w:lang w:val="es-ES"/>
              </w:rPr>
              <w:t>, así como el desarrollo de productos comercializables, entre ellos materiales aislantes, envases, sustitutos de la turba para horticultura, bioplásticos, productos medicinales naturales y textiles.</w:t>
            </w:r>
            <w:r w:rsidRPr="005E3D50">
              <w:rPr>
                <w:rStyle w:val="apple-converted-space"/>
                <w:color w:val="212121"/>
                <w:sz w:val="20"/>
                <w:szCs w:val="20"/>
                <w:lang w:val="es-ES"/>
              </w:rPr>
              <w:t> </w:t>
            </w:r>
          </w:p>
          <w:p w14:paraId="4010A23D" w14:textId="77777777" w:rsidR="004305F6" w:rsidRPr="005E3D50" w:rsidRDefault="004305F6" w:rsidP="00B925E5">
            <w:pPr>
              <w:spacing w:line="276" w:lineRule="auto"/>
              <w:rPr>
                <w:rFonts w:cs="Calibri"/>
                <w:color w:val="212121"/>
                <w:sz w:val="20"/>
                <w:szCs w:val="20"/>
                <w:lang w:val="es-ES"/>
              </w:rPr>
            </w:pPr>
          </w:p>
          <w:p w14:paraId="28810AF6" w14:textId="39641417" w:rsidR="00661CFF" w:rsidRPr="005E3D50" w:rsidRDefault="00661CFF" w:rsidP="00B925E5">
            <w:pPr>
              <w:spacing w:line="276" w:lineRule="auto"/>
              <w:rPr>
                <w:rFonts w:cs="Calibri"/>
                <w:color w:val="212121"/>
                <w:sz w:val="20"/>
                <w:szCs w:val="20"/>
                <w:lang w:val="es-ES"/>
              </w:rPr>
            </w:pPr>
            <w:r w:rsidRPr="005E3D50">
              <w:rPr>
                <w:color w:val="212121"/>
                <w:sz w:val="20"/>
                <w:szCs w:val="20"/>
                <w:lang w:val="es-ES"/>
              </w:rPr>
              <w:t xml:space="preserve">El programa tiene por objeto generar beneficios tanto ambientales como socioeconómicos. La </w:t>
            </w:r>
            <w:proofErr w:type="spellStart"/>
            <w:r w:rsidRPr="005E3D50">
              <w:rPr>
                <w:color w:val="212121"/>
                <w:sz w:val="20"/>
                <w:szCs w:val="20"/>
                <w:lang w:val="es-ES"/>
              </w:rPr>
              <w:t>rehumectación</w:t>
            </w:r>
            <w:proofErr w:type="spellEnd"/>
            <w:r w:rsidRPr="005E3D50">
              <w:rPr>
                <w:color w:val="212121"/>
                <w:sz w:val="20"/>
                <w:szCs w:val="20"/>
                <w:lang w:val="es-ES"/>
              </w:rPr>
              <w:t xml:space="preserve"> de turberas reduce las emisiones de gases de efecto invernadero y favorece la recuperación de la biodiversidad y las funciones de los ecosistemas. Al mismo tiempo, la </w:t>
            </w:r>
            <w:proofErr w:type="spellStart"/>
            <w:r w:rsidRPr="005E3D50">
              <w:rPr>
                <w:color w:val="212121"/>
                <w:sz w:val="20"/>
                <w:szCs w:val="20"/>
                <w:lang w:val="es-ES"/>
              </w:rPr>
              <w:t>paludicultura</w:t>
            </w:r>
            <w:proofErr w:type="spellEnd"/>
            <w:r w:rsidRPr="005E3D50">
              <w:rPr>
                <w:color w:val="212121"/>
                <w:sz w:val="20"/>
                <w:szCs w:val="20"/>
                <w:lang w:val="es-ES"/>
              </w:rPr>
              <w:t xml:space="preserve"> demuestra que la restauración ecológica y el uso productivo de la tierra pueden coexistir en un mismo paisaje. Este caso ilustra cómo las políticas de restauración de los ecosistemas pueden integrar la mitigación del cambio climático, la conservación de la biodiversidad y el desarrollo económico sostenible en un único marco de uso de la tierra.</w:t>
            </w:r>
          </w:p>
          <w:p w14:paraId="73299ADC" w14:textId="77777777" w:rsidR="00614CF1" w:rsidRPr="005E3D50" w:rsidRDefault="00614CF1" w:rsidP="00B925E5">
            <w:pPr>
              <w:spacing w:line="276" w:lineRule="auto"/>
              <w:rPr>
                <w:rFonts w:ascii="Calibri" w:hAnsi="Calibri" w:cs="Calibri"/>
                <w:color w:val="212121"/>
                <w:sz w:val="22"/>
                <w:szCs w:val="22"/>
                <w:lang w:val="es-ES"/>
              </w:rPr>
            </w:pPr>
          </w:p>
          <w:p w14:paraId="53613CDB" w14:textId="160AC7E1" w:rsidR="00614CF1" w:rsidRPr="005E3D50" w:rsidRDefault="00614CF1" w:rsidP="00B925E5">
            <w:pPr>
              <w:spacing w:line="276" w:lineRule="auto"/>
              <w:rPr>
                <w:rFonts w:cs="Calibri"/>
                <w:color w:val="212121"/>
                <w:sz w:val="20"/>
                <w:szCs w:val="20"/>
                <w:lang w:val="es-ES"/>
              </w:rPr>
            </w:pPr>
            <w:r w:rsidRPr="005E3D50">
              <w:rPr>
                <w:i/>
                <w:color w:val="212121"/>
                <w:sz w:val="20"/>
                <w:szCs w:val="20"/>
                <w:lang w:val="es-ES"/>
              </w:rPr>
              <w:t>Metas pertinentes:</w:t>
            </w:r>
            <w:r w:rsidRPr="005E3D50">
              <w:rPr>
                <w:rFonts w:ascii="Calibri" w:hAnsi="Calibri"/>
                <w:i/>
                <w:iCs/>
                <w:color w:val="212121"/>
                <w:sz w:val="22"/>
                <w:szCs w:val="22"/>
                <w:lang w:val="es-ES"/>
              </w:rPr>
              <w:t xml:space="preserve"> </w:t>
            </w:r>
            <w:r w:rsidRPr="005E3D50">
              <w:rPr>
                <w:color w:val="212121"/>
                <w:sz w:val="20"/>
                <w:szCs w:val="20"/>
                <w:lang w:val="es-ES"/>
              </w:rPr>
              <w:t>1, 2, 3, 8, 9 y 11.</w:t>
            </w:r>
          </w:p>
          <w:p w14:paraId="788A3264" w14:textId="77777777" w:rsidR="00B145D5" w:rsidRPr="005E3D50" w:rsidRDefault="00B145D5" w:rsidP="00B925E5">
            <w:pPr>
              <w:spacing w:line="276" w:lineRule="auto"/>
              <w:rPr>
                <w:rFonts w:ascii="Calibri" w:hAnsi="Calibri" w:cs="Calibri"/>
                <w:i/>
                <w:iCs/>
                <w:color w:val="212121"/>
                <w:sz w:val="22"/>
                <w:szCs w:val="22"/>
                <w:lang w:val="es-ES"/>
              </w:rPr>
            </w:pPr>
          </w:p>
          <w:p w14:paraId="14C3054B" w14:textId="37B855EE" w:rsidR="00B145D5" w:rsidRPr="005E3D50" w:rsidRDefault="00022D94" w:rsidP="00B925E5">
            <w:pPr>
              <w:spacing w:line="276" w:lineRule="auto"/>
              <w:rPr>
                <w:rFonts w:cs="Calibri"/>
                <w:color w:val="212121"/>
                <w:sz w:val="20"/>
                <w:szCs w:val="20"/>
                <w:lang w:val="es-ES"/>
              </w:rPr>
            </w:pPr>
            <w:r w:rsidRPr="005E3D50">
              <w:rPr>
                <w:i/>
                <w:iCs/>
                <w:color w:val="212121"/>
                <w:sz w:val="20"/>
                <w:szCs w:val="20"/>
                <w:lang w:val="es-ES"/>
              </w:rPr>
              <w:t>Fuente</w:t>
            </w:r>
            <w:r w:rsidRPr="005E3D50">
              <w:rPr>
                <w:i/>
                <w:color w:val="212121"/>
                <w:sz w:val="20"/>
                <w:szCs w:val="20"/>
                <w:lang w:val="es-ES"/>
              </w:rPr>
              <w:t xml:space="preserve">: </w:t>
            </w:r>
            <w:r w:rsidRPr="005E3D50">
              <w:rPr>
                <w:color w:val="212121"/>
                <w:sz w:val="20"/>
                <w:szCs w:val="20"/>
                <w:lang w:val="es-ES"/>
              </w:rPr>
              <w:t>Alemania, séptimo informe nacional presentado al Convenio.</w:t>
            </w:r>
          </w:p>
          <w:p w14:paraId="551FFA94" w14:textId="74D09E81" w:rsidR="008452B7" w:rsidRPr="00673184" w:rsidRDefault="50787B76" w:rsidP="008452B7">
            <w:pPr>
              <w:pStyle w:val="FootnoteText"/>
              <w:rPr>
                <w:sz w:val="16"/>
                <w:szCs w:val="16"/>
                <w:lang w:val="fr-FR"/>
              </w:rPr>
            </w:pPr>
            <w:proofErr w:type="spellStart"/>
            <w:proofErr w:type="gramStart"/>
            <w:r w:rsidRPr="00673184">
              <w:rPr>
                <w:rFonts w:ascii="Calibri" w:hAnsi="Calibri"/>
                <w:color w:val="212121"/>
                <w:sz w:val="18"/>
                <w:szCs w:val="18"/>
                <w:vertAlign w:val="superscript"/>
                <w:lang w:val="fr-FR"/>
              </w:rPr>
              <w:t>a</w:t>
            </w:r>
            <w:proofErr w:type="spellEnd"/>
            <w:proofErr w:type="gramEnd"/>
            <w:r w:rsidRPr="00673184">
              <w:rPr>
                <w:color w:val="212121"/>
                <w:sz w:val="18"/>
                <w:szCs w:val="18"/>
                <w:lang w:val="fr-FR"/>
              </w:rPr>
              <w:t xml:space="preserve"> </w:t>
            </w:r>
            <w:proofErr w:type="spellStart"/>
            <w:r w:rsidRPr="00673184">
              <w:rPr>
                <w:color w:val="212121"/>
                <w:sz w:val="18"/>
                <w:szCs w:val="18"/>
                <w:lang w:val="fr-FR"/>
              </w:rPr>
              <w:t>Véase</w:t>
            </w:r>
            <w:proofErr w:type="spellEnd"/>
            <w:r w:rsidRPr="00673184">
              <w:rPr>
                <w:color w:val="212121"/>
                <w:sz w:val="18"/>
                <w:szCs w:val="18"/>
                <w:lang w:val="fr-FR"/>
              </w:rPr>
              <w:t xml:space="preserve"> </w:t>
            </w:r>
            <w:hyperlink r:id="rId61">
              <w:r w:rsidRPr="00673184">
                <w:rPr>
                  <w:rStyle w:val="Hyperlink"/>
                  <w:sz w:val="18"/>
                  <w:szCs w:val="18"/>
                  <w:lang w:val="fr-FR"/>
                </w:rPr>
                <w:t>https://moor.fnr.de/moore-schuetzen/moorbodenschutz</w:t>
              </w:r>
            </w:hyperlink>
            <w:r w:rsidRPr="00673184">
              <w:rPr>
                <w:sz w:val="16"/>
                <w:szCs w:val="16"/>
                <w:lang w:val="fr-FR"/>
              </w:rPr>
              <w:t>.</w:t>
            </w:r>
          </w:p>
          <w:p w14:paraId="20A00C77" w14:textId="3A2C9071" w:rsidR="00661CFF" w:rsidRPr="00673184" w:rsidRDefault="00661CFF" w:rsidP="00B60665">
            <w:pPr>
              <w:rPr>
                <w:lang w:val="fr-FR"/>
              </w:rPr>
            </w:pPr>
          </w:p>
        </w:tc>
      </w:tr>
      <w:tr w:rsidR="007A6144" w:rsidRPr="005E3D50" w14:paraId="5D2AC61C" w14:textId="77777777" w:rsidTr="00A43E80">
        <w:tc>
          <w:tcPr>
            <w:tcW w:w="9350" w:type="dxa"/>
            <w:shd w:val="clear" w:color="auto" w:fill="D1D1D1" w:themeFill="background2" w:themeFillShade="E6"/>
          </w:tcPr>
          <w:p w14:paraId="207D1F22" w14:textId="140C9A15" w:rsidR="004F7176" w:rsidRPr="005E3D50" w:rsidRDefault="004F7176" w:rsidP="004F7176">
            <w:pPr>
              <w:pStyle w:val="Caption"/>
              <w:keepNext/>
              <w:rPr>
                <w:i w:val="0"/>
                <w:iCs w:val="0"/>
                <w:sz w:val="20"/>
                <w:szCs w:val="20"/>
                <w:lang w:val="es-ES"/>
              </w:rPr>
            </w:pPr>
            <w:r w:rsidRPr="005E3D50">
              <w:rPr>
                <w:i w:val="0"/>
                <w:sz w:val="20"/>
                <w:szCs w:val="20"/>
                <w:lang w:val="es-ES"/>
              </w:rPr>
              <w:lastRenderedPageBreak/>
              <w:t xml:space="preserve">Recuadro 10 </w:t>
            </w:r>
          </w:p>
          <w:p w14:paraId="506E829B" w14:textId="4A2367C2" w:rsidR="00D84836" w:rsidRPr="005E3D50" w:rsidRDefault="004F7176" w:rsidP="00D84836">
            <w:pPr>
              <w:spacing w:line="276" w:lineRule="auto"/>
              <w:rPr>
                <w:b/>
                <w:sz w:val="20"/>
                <w:szCs w:val="20"/>
                <w:lang w:val="es-ES"/>
              </w:rPr>
            </w:pPr>
            <w:r w:rsidRPr="005E3D50">
              <w:rPr>
                <w:b/>
                <w:bCs/>
                <w:sz w:val="20"/>
                <w:szCs w:val="20"/>
                <w:lang w:val="es-ES"/>
              </w:rPr>
              <w:t xml:space="preserve">Integración de los pueblos indígenas y las comunidades locales en la restauración de los ecosistemas en el marco del plan nacional del Brasil para la recuperación de la vegetación </w:t>
            </w:r>
            <w:r w:rsidR="00640BD1" w:rsidRPr="005E3D50">
              <w:rPr>
                <w:b/>
                <w:bCs/>
                <w:sz w:val="20"/>
                <w:szCs w:val="20"/>
                <w:lang w:val="es-ES"/>
              </w:rPr>
              <w:t>autóctona</w:t>
            </w:r>
          </w:p>
          <w:p w14:paraId="03F65017" w14:textId="77777777" w:rsidR="004F7176" w:rsidRPr="005E3D50" w:rsidRDefault="004F7176" w:rsidP="004F7176">
            <w:pPr>
              <w:spacing w:line="276" w:lineRule="auto"/>
              <w:rPr>
                <w:sz w:val="22"/>
                <w:szCs w:val="22"/>
                <w:lang w:val="es-ES"/>
              </w:rPr>
            </w:pPr>
          </w:p>
          <w:p w14:paraId="3823C2BC" w14:textId="06CBDA33" w:rsidR="00772EED" w:rsidRPr="005E3D50" w:rsidRDefault="00772EED" w:rsidP="00772EED">
            <w:pPr>
              <w:spacing w:line="276" w:lineRule="auto"/>
              <w:rPr>
                <w:sz w:val="20"/>
                <w:szCs w:val="20"/>
                <w:lang w:val="es-ES"/>
              </w:rPr>
            </w:pPr>
            <w:r w:rsidRPr="005E3D50">
              <w:rPr>
                <w:sz w:val="20"/>
                <w:szCs w:val="20"/>
                <w:lang w:val="es-ES"/>
              </w:rPr>
              <w:t xml:space="preserve">El plan nacional para la recuperación de la vegetación </w:t>
            </w:r>
            <w:r w:rsidR="00640BD1" w:rsidRPr="005E3D50">
              <w:rPr>
                <w:sz w:val="20"/>
                <w:szCs w:val="20"/>
                <w:lang w:val="es-ES"/>
              </w:rPr>
              <w:t>autóctona</w:t>
            </w:r>
            <w:r w:rsidRPr="005E3D50">
              <w:rPr>
                <w:sz w:val="20"/>
                <w:szCs w:val="20"/>
                <w:lang w:val="es-ES"/>
              </w:rPr>
              <w:t xml:space="preserve"> 2025-2028 del Brasil demuestra cómo la restauración de los ecosistemas a gran escala puede integrarse con una gobernanza inclusiva y la participación de los pueblos indígenas y las comunidades locales. El plan tiene por objeto restaurar 12 millones de hectáreas de vegetación </w:t>
            </w:r>
            <w:r w:rsidR="00621CD7" w:rsidRPr="005E3D50">
              <w:rPr>
                <w:sz w:val="20"/>
                <w:szCs w:val="20"/>
                <w:lang w:val="es-ES"/>
              </w:rPr>
              <w:t xml:space="preserve">autóctona </w:t>
            </w:r>
            <w:r w:rsidRPr="005E3D50">
              <w:rPr>
                <w:sz w:val="20"/>
                <w:szCs w:val="20"/>
                <w:lang w:val="es-ES"/>
              </w:rPr>
              <w:t>para 2030 en los seis principales biomas del Brasil: la Amazonía, los bosques y sabanas del Cerrado, la Mata Atlántica, la Caatinga semiárida, los humedales del Pantanal y los pastizales de la Pampa. Combina ambiciosas metas nacionales de restauración con mecanismos que reconocen los conocimientos tradicionales, los derechos territoriales y las prácticas de restauración dirigidas por las comunidades.</w:t>
            </w:r>
          </w:p>
          <w:p w14:paraId="4EF26BD4" w14:textId="77777777" w:rsidR="00772EED" w:rsidRPr="005E3D50" w:rsidRDefault="00772EED" w:rsidP="00772EED">
            <w:pPr>
              <w:spacing w:line="276" w:lineRule="auto"/>
              <w:rPr>
                <w:sz w:val="20"/>
                <w:szCs w:val="20"/>
                <w:lang w:val="es-ES"/>
              </w:rPr>
            </w:pPr>
          </w:p>
          <w:p w14:paraId="451F936F" w14:textId="13E2D7A6" w:rsidR="00772EED" w:rsidRPr="005E3D50" w:rsidRDefault="00772EED" w:rsidP="00772EED">
            <w:pPr>
              <w:spacing w:line="276" w:lineRule="auto"/>
              <w:rPr>
                <w:sz w:val="20"/>
                <w:szCs w:val="20"/>
                <w:lang w:val="es-ES"/>
              </w:rPr>
            </w:pPr>
            <w:r w:rsidRPr="005E3D50">
              <w:rPr>
                <w:sz w:val="20"/>
                <w:szCs w:val="20"/>
                <w:lang w:val="es-ES"/>
              </w:rPr>
              <w:t xml:space="preserve">Además, el plan promueve la recuperación de áreas de preservación permanente, reservas legales y áreas de uso restringido, al tiempo que fomenta la restauración de paisajes agrícolas degradados mediante sistemas agroforestales, la integración de cultivos, ganadería y bosques y el cultivo de especies de árboles </w:t>
            </w:r>
            <w:r w:rsidR="00621CD7" w:rsidRPr="005E3D50">
              <w:rPr>
                <w:sz w:val="20"/>
                <w:szCs w:val="20"/>
                <w:lang w:val="es-ES"/>
              </w:rPr>
              <w:t>autóctonos</w:t>
            </w:r>
            <w:r w:rsidRPr="005E3D50">
              <w:rPr>
                <w:sz w:val="20"/>
                <w:szCs w:val="20"/>
                <w:lang w:val="es-ES"/>
              </w:rPr>
              <w:t xml:space="preserve">. Las iniciativas de restauración se extienden a tierras públicas, incluidas las unidades de conservación, los territorios indígenas y otras áreas gestionadas colectivamente. Entre las medidas de apoyo figuran el desarrollo de redes de recolectores de semillas </w:t>
            </w:r>
            <w:r w:rsidR="00621CD7" w:rsidRPr="005E3D50">
              <w:rPr>
                <w:sz w:val="20"/>
                <w:szCs w:val="20"/>
                <w:lang w:val="es-ES"/>
              </w:rPr>
              <w:t>autóctonas</w:t>
            </w:r>
            <w:r w:rsidRPr="005E3D50">
              <w:rPr>
                <w:sz w:val="20"/>
                <w:szCs w:val="20"/>
                <w:lang w:val="es-ES"/>
              </w:rPr>
              <w:t xml:space="preserve">, viveros de plantas </w:t>
            </w:r>
            <w:r w:rsidR="00621CD7" w:rsidRPr="005E3D50">
              <w:rPr>
                <w:sz w:val="20"/>
                <w:szCs w:val="20"/>
                <w:lang w:val="es-ES"/>
              </w:rPr>
              <w:t>autóctonas</w:t>
            </w:r>
            <w:r w:rsidRPr="005E3D50">
              <w:rPr>
                <w:sz w:val="20"/>
                <w:szCs w:val="20"/>
                <w:lang w:val="es-ES"/>
              </w:rPr>
              <w:t>, cadenas de suministro para la restauración y sistemas de seguimiento integrados.</w:t>
            </w:r>
          </w:p>
          <w:p w14:paraId="6767E6FC" w14:textId="77777777" w:rsidR="00772EED" w:rsidRPr="005E3D50" w:rsidRDefault="00772EED" w:rsidP="00772EED">
            <w:pPr>
              <w:spacing w:line="276" w:lineRule="auto"/>
              <w:rPr>
                <w:sz w:val="20"/>
                <w:szCs w:val="20"/>
                <w:lang w:val="es-ES"/>
              </w:rPr>
            </w:pPr>
          </w:p>
          <w:p w14:paraId="18152D56" w14:textId="284B0F2B" w:rsidR="00772EED" w:rsidRPr="005E3D50" w:rsidRDefault="00772EED" w:rsidP="00772EED">
            <w:pPr>
              <w:spacing w:line="276" w:lineRule="auto"/>
              <w:rPr>
                <w:sz w:val="20"/>
                <w:szCs w:val="20"/>
                <w:lang w:val="es-ES"/>
              </w:rPr>
            </w:pPr>
            <w:r w:rsidRPr="005E3D50">
              <w:rPr>
                <w:sz w:val="20"/>
                <w:szCs w:val="20"/>
                <w:lang w:val="es-ES"/>
              </w:rPr>
              <w:t xml:space="preserve">En la implementación del plan participa una amplia gama de actores que operan en múltiples niveles de gobernanza. Los ministerios federales, entre ellos el Ministerio de Medio Ambiente y Cambio Climático, el Ministerio de Agricultura, Ganadería y Abastecimiento de Alimentos, el Ministerio de Hacienda, el Ministerio de Planificación, Presupuesto y Gestión y el Ministerio de Gestión e Innovación en los Servicios Públicos, desempeñan funciones fundamentales en la coordinación y la implementación de las políticas. Las redes de restauración a nivel de bioma, como la Alianza para la Restauración de la Amazonía y el Pacto para la Restauración de la Mata Atlántica, y las coaliciones regionales de restauración del Cerrado, la Caatinga, el Pantanal y la Pampa, aportan conocimientos técnicos especializados e </w:t>
            </w:r>
            <w:r w:rsidR="00C20AC5">
              <w:rPr>
                <w:sz w:val="20"/>
                <w:szCs w:val="20"/>
                <w:lang w:val="es-ES"/>
              </w:rPr>
              <w:t>implicación</w:t>
            </w:r>
            <w:r w:rsidRPr="005E3D50">
              <w:rPr>
                <w:sz w:val="20"/>
                <w:szCs w:val="20"/>
                <w:lang w:val="es-ES"/>
              </w:rPr>
              <w:t xml:space="preserve"> de los interesados, con un alto grado de participación de la sociedad civil. La participación se extiende a los pueblos indígenas y a comunidades como los </w:t>
            </w:r>
            <w:proofErr w:type="spellStart"/>
            <w:r w:rsidRPr="005E3D50">
              <w:rPr>
                <w:i/>
                <w:iCs/>
                <w:sz w:val="20"/>
                <w:szCs w:val="20"/>
                <w:lang w:val="es-ES"/>
              </w:rPr>
              <w:t>quilombolas</w:t>
            </w:r>
            <w:proofErr w:type="spellEnd"/>
            <w:r w:rsidRPr="005E3D50">
              <w:rPr>
                <w:sz w:val="20"/>
                <w:szCs w:val="20"/>
                <w:lang w:val="es-ES"/>
              </w:rPr>
              <w:t xml:space="preserve"> (descendientes afrobrasileños), los </w:t>
            </w:r>
            <w:proofErr w:type="spellStart"/>
            <w:r w:rsidRPr="005E3D50">
              <w:rPr>
                <w:i/>
                <w:iCs/>
                <w:sz w:val="20"/>
                <w:szCs w:val="20"/>
                <w:lang w:val="es-ES"/>
              </w:rPr>
              <w:t>geraizeiros</w:t>
            </w:r>
            <w:proofErr w:type="spellEnd"/>
            <w:r w:rsidRPr="005E3D50">
              <w:rPr>
                <w:sz w:val="20"/>
                <w:szCs w:val="20"/>
                <w:lang w:val="es-ES"/>
              </w:rPr>
              <w:t xml:space="preserve"> (pastores tradicionales del Cerrado) y los </w:t>
            </w:r>
            <w:proofErr w:type="spellStart"/>
            <w:r w:rsidRPr="005E3D50">
              <w:rPr>
                <w:i/>
                <w:iCs/>
                <w:sz w:val="20"/>
                <w:szCs w:val="20"/>
                <w:lang w:val="es-ES"/>
              </w:rPr>
              <w:t>caatingueiros</w:t>
            </w:r>
            <w:proofErr w:type="spellEnd"/>
            <w:r w:rsidRPr="005E3D50">
              <w:rPr>
                <w:sz w:val="20"/>
                <w:szCs w:val="20"/>
                <w:lang w:val="es-ES"/>
              </w:rPr>
              <w:t xml:space="preserve"> (comunidades tradicionales de tierras secas), así como a las mujeres, la juventud y las personas mayores.</w:t>
            </w:r>
          </w:p>
          <w:p w14:paraId="7F790345" w14:textId="77777777" w:rsidR="00772EED" w:rsidRPr="005E3D50" w:rsidRDefault="00772EED" w:rsidP="00772EED">
            <w:pPr>
              <w:spacing w:line="276" w:lineRule="auto"/>
              <w:rPr>
                <w:sz w:val="20"/>
                <w:szCs w:val="20"/>
                <w:lang w:val="es-ES"/>
              </w:rPr>
            </w:pPr>
          </w:p>
          <w:p w14:paraId="607F75C3" w14:textId="77777777" w:rsidR="00772EED" w:rsidRPr="005E3D50" w:rsidRDefault="00772EED" w:rsidP="00772EED">
            <w:pPr>
              <w:spacing w:line="276" w:lineRule="auto"/>
              <w:rPr>
                <w:sz w:val="20"/>
                <w:szCs w:val="20"/>
                <w:lang w:val="es-ES"/>
              </w:rPr>
            </w:pPr>
            <w:r w:rsidRPr="005E3D50">
              <w:rPr>
                <w:sz w:val="20"/>
                <w:szCs w:val="20"/>
                <w:lang w:val="es-ES"/>
              </w:rPr>
              <w:t>Desde su puesta en marcha inicial en 2017 y su posterior actualización para 2025-2028, el plan ha integrado financiación pública y privada, investigación científica, innovación tecnológica, seguimiento espacial y conocimientos ecológicos tradicionales en un marco unificado de restauración. Demuestra cómo la restauración de los ecosistemas puede generar múltiples beneficios, que contribuyen a la mitigación del cambio climático y la adaptación a él, la conservación de la biodiversidad, la conectividad de los paisajes y los medios de vida sostenibles, además de crear oportunidades de empleo verde y fortalecer la generación de ingresos de las comunidades.</w:t>
            </w:r>
          </w:p>
          <w:p w14:paraId="6FBDCE1A" w14:textId="77777777" w:rsidR="006A41C4" w:rsidRPr="005E3D50" w:rsidRDefault="006A41C4" w:rsidP="00D84836">
            <w:pPr>
              <w:spacing w:line="276" w:lineRule="auto"/>
              <w:rPr>
                <w:i/>
                <w:sz w:val="20"/>
                <w:szCs w:val="20"/>
                <w:lang w:val="es-ES"/>
              </w:rPr>
            </w:pPr>
          </w:p>
          <w:p w14:paraId="008C0AAE" w14:textId="6012A077" w:rsidR="006A41C4" w:rsidRPr="005E3D50" w:rsidRDefault="006A41C4" w:rsidP="00D84836">
            <w:pPr>
              <w:spacing w:line="276" w:lineRule="auto"/>
              <w:rPr>
                <w:sz w:val="20"/>
                <w:szCs w:val="20"/>
                <w:lang w:val="es-ES"/>
              </w:rPr>
            </w:pPr>
            <w:r w:rsidRPr="005E3D50">
              <w:rPr>
                <w:i/>
                <w:sz w:val="20"/>
                <w:szCs w:val="20"/>
                <w:lang w:val="es-ES"/>
              </w:rPr>
              <w:t xml:space="preserve">Metas pertinentes: </w:t>
            </w:r>
            <w:r w:rsidRPr="005E3D50">
              <w:rPr>
                <w:sz w:val="20"/>
                <w:szCs w:val="20"/>
                <w:lang w:val="es-ES"/>
              </w:rPr>
              <w:t>1, 2, 3, 8, 9, 10, 11, 14, 21 y 22.</w:t>
            </w:r>
          </w:p>
          <w:p w14:paraId="44CC8314" w14:textId="394C5E56" w:rsidR="007A6144" w:rsidRPr="005E3D50" w:rsidRDefault="005C5B6A" w:rsidP="005755F9">
            <w:pPr>
              <w:rPr>
                <w:i/>
                <w:iCs/>
                <w:sz w:val="22"/>
                <w:szCs w:val="22"/>
                <w:lang w:val="es-ES"/>
              </w:rPr>
            </w:pPr>
            <w:r w:rsidRPr="005E3D50">
              <w:rPr>
                <w:i/>
                <w:iCs/>
                <w:sz w:val="20"/>
                <w:szCs w:val="20"/>
                <w:lang w:val="es-ES"/>
              </w:rPr>
              <w:t xml:space="preserve">Fuentes: </w:t>
            </w:r>
            <w:r w:rsidRPr="005E3D50">
              <w:rPr>
                <w:sz w:val="20"/>
                <w:szCs w:val="20"/>
                <w:lang w:val="es-ES"/>
              </w:rPr>
              <w:t>Brasil, Ministerio de Relaciones Exteriores, 2025; MMA, 2024.</w:t>
            </w:r>
          </w:p>
          <w:p w14:paraId="03C950BB" w14:textId="65489881" w:rsidR="00C57D84" w:rsidRPr="005E3D50" w:rsidRDefault="00C57D84" w:rsidP="005755F9">
            <w:pPr>
              <w:rPr>
                <w:i/>
                <w:iCs/>
                <w:sz w:val="22"/>
                <w:szCs w:val="22"/>
                <w:lang w:val="es-ES"/>
              </w:rPr>
            </w:pPr>
          </w:p>
        </w:tc>
      </w:tr>
    </w:tbl>
    <w:p w14:paraId="3CBC790C" w14:textId="77777777" w:rsidR="0052172E" w:rsidRPr="005E3D50" w:rsidRDefault="0052172E" w:rsidP="00FC7784">
      <w:pPr>
        <w:pStyle w:val="Heading6"/>
        <w:rPr>
          <w:lang w:val="es-ES"/>
        </w:rPr>
      </w:pPr>
      <w:bookmarkStart w:id="144" w:name="_Toc230151252"/>
      <w:bookmarkStart w:id="145" w:name="_Toc235821071"/>
    </w:p>
    <w:bookmarkEnd w:id="144"/>
    <w:bookmarkEnd w:id="145"/>
    <w:p w14:paraId="69EB8473" w14:textId="32DA8107" w:rsidR="00FC7784" w:rsidRPr="005E3D50" w:rsidRDefault="008622F7" w:rsidP="00FC7784">
      <w:pPr>
        <w:pStyle w:val="Heading6"/>
        <w:rPr>
          <w:lang w:val="es-ES"/>
        </w:rPr>
      </w:pPr>
      <w:r>
        <w:rPr>
          <w:lang w:val="es-ES"/>
        </w:rPr>
        <w:t>Dificultades</w:t>
      </w:r>
    </w:p>
    <w:p w14:paraId="1D8835F3" w14:textId="77777777" w:rsidR="0067222D" w:rsidRPr="005E3D50" w:rsidRDefault="0067222D" w:rsidP="0067222D">
      <w:pPr>
        <w:rPr>
          <w:lang w:val="es-ES"/>
        </w:rPr>
      </w:pPr>
    </w:p>
    <w:p w14:paraId="296DDA4A" w14:textId="6E6B1818" w:rsidR="0067222D" w:rsidRPr="005E3D50" w:rsidRDefault="0067222D" w:rsidP="0067222D">
      <w:pPr>
        <w:rPr>
          <w:lang w:val="es-ES"/>
        </w:rPr>
      </w:pPr>
      <w:r w:rsidRPr="005E3D50">
        <w:rPr>
          <w:lang w:val="es-ES"/>
        </w:rPr>
        <w:t>Muchas Partes informan que la financiación disponible para la restauración de los ecosistemas representa solo una fracción de los recursos necesarios para alcanzar las metas nacionales. Este déficit se ve agravado por el desajuste entre los ciclos de financiación a corto plazo basados en proyectos, los largos plazos que requiere la recuperación ecológica y las limitaciones de la capacidad sectorial para ejecutar proyectos de restauración. Algunos sistemas de presentación de informes dan prioridad a los productos, tales como el número de árboles plantados, en lugar de a los resultados ecológicos verificados o la recuperación, lo que entraña el riesgo de sobreestimar los logros mientras la integridad ecológica continúa disminuyendo. La responsabilidad por la restauración suele estar fragmentada entre distintos organismos, ministerios y sectores. Esto puede dar lugar a políticas contradictorias y decisiones incompatibles sobre el uso de la tierra y del mar, así como a una recopilación de datos no armonizada, lo que puede dificultar la presentación de informes coherente. Los avances logrados mediante la restauración pueden verse menoscabados por impulsores y causas subyacentes que continúan degradando los ecosistemas. Entre esas causas subyacentes, las Partes incluyen los efectos de la pobreza y los conflictos.</w:t>
      </w:r>
    </w:p>
    <w:p w14:paraId="0B450F2A" w14:textId="16A7204C" w:rsidR="00B47293" w:rsidRPr="005E3D50" w:rsidRDefault="7B4D3CFD" w:rsidP="00B47293">
      <w:pPr>
        <w:rPr>
          <w:lang w:val="es-ES"/>
        </w:rPr>
      </w:pPr>
      <w:r w:rsidRPr="005E3D50">
        <w:rPr>
          <w:lang w:val="es-ES"/>
        </w:rPr>
        <w:t xml:space="preserve"> </w:t>
      </w:r>
    </w:p>
    <w:p w14:paraId="73637A7F" w14:textId="5E669EE3" w:rsidR="00FC7784" w:rsidRPr="005E3D50" w:rsidRDefault="00125C8E" w:rsidP="00FC7784">
      <w:pPr>
        <w:pStyle w:val="Heading5"/>
        <w:rPr>
          <w:lang w:val="es-ES"/>
        </w:rPr>
      </w:pPr>
      <w:bookmarkStart w:id="146" w:name="_Toc230151253"/>
      <w:bookmarkStart w:id="147" w:name="_Toc235821072"/>
      <w:r w:rsidRPr="005E3D50">
        <w:rPr>
          <w:lang w:val="es-ES"/>
        </w:rPr>
        <w:t>Contribuciones de actores distintos de los Gobiernos nacionales</w:t>
      </w:r>
      <w:bookmarkEnd w:id="146"/>
      <w:bookmarkEnd w:id="147"/>
    </w:p>
    <w:p w14:paraId="352E2048" w14:textId="77777777" w:rsidR="00846AA2" w:rsidRPr="005E3D50" w:rsidRDefault="00846AA2" w:rsidP="00846AA2">
      <w:pPr>
        <w:rPr>
          <w:lang w:val="es-ES"/>
        </w:rPr>
      </w:pPr>
    </w:p>
    <w:p w14:paraId="68593022" w14:textId="59C4FB34" w:rsidR="00287FBD" w:rsidRPr="005E3D50" w:rsidRDefault="00287FBD" w:rsidP="00287FBD">
      <w:pPr>
        <w:pStyle w:val="Heading6"/>
        <w:rPr>
          <w:lang w:val="es-ES"/>
        </w:rPr>
      </w:pPr>
      <w:bookmarkStart w:id="148" w:name="_Toc235821073"/>
      <w:r w:rsidRPr="005E3D50">
        <w:rPr>
          <w:lang w:val="es-ES"/>
        </w:rPr>
        <w:t>Compromisos presentados directamente a través de la herramienta de presentación de informes en línea</w:t>
      </w:r>
      <w:bookmarkEnd w:id="148"/>
    </w:p>
    <w:p w14:paraId="0B866180" w14:textId="77777777" w:rsidR="0098237B" w:rsidRPr="005E3D50" w:rsidRDefault="0098237B" w:rsidP="0098237B">
      <w:pPr>
        <w:rPr>
          <w:lang w:val="es-ES"/>
        </w:rPr>
      </w:pPr>
    </w:p>
    <w:p w14:paraId="738A2A0A" w14:textId="678FCF01" w:rsidR="00DD0A7F" w:rsidRPr="005E3D50" w:rsidRDefault="00DD0A7F" w:rsidP="00A1537A">
      <w:pPr>
        <w:rPr>
          <w:lang w:val="es-ES"/>
        </w:rPr>
      </w:pPr>
      <w:r w:rsidRPr="005E3D50">
        <w:rPr>
          <w:lang w:val="es-ES"/>
        </w:rPr>
        <w:t xml:space="preserve">De los 180 compromisos sustantivos presentados directamente por actores distintos de los Gobiernos nacionales, 13 están asociados principalmente con la meta 2, de los cuales 12 corresponden a ONG y 1 a una institución académica y de investigación. Los compromisos abordan la restauración a múltiples escalas, tanto locales como mundiales, y abarcan una amplia variedad de tipos de ecosistemas, desde humedales urbanos hasta bosques, sabanas, pastizales, ríos, manglares y marismas costeras, entre otros. Incluyen programas de restauración en Europa, África, Asia, Oceanía y América del Sur (véase el recuadro 11). </w:t>
      </w:r>
    </w:p>
    <w:p w14:paraId="47C969A5" w14:textId="108A1184" w:rsidR="00CD535D" w:rsidRPr="005E3D50" w:rsidRDefault="00CD535D" w:rsidP="00A1537A">
      <w:pPr>
        <w:rPr>
          <w:lang w:val="es-ES"/>
        </w:rPr>
      </w:pPr>
    </w:p>
    <w:p w14:paraId="1BCEA330" w14:textId="407513D6" w:rsidR="0052172E" w:rsidRPr="005E3D50" w:rsidRDefault="0052172E" w:rsidP="00A1537A">
      <w:pPr>
        <w:rPr>
          <w:lang w:val="es-ES"/>
        </w:rPr>
      </w:pPr>
    </w:p>
    <w:p w14:paraId="6686D055" w14:textId="460389F3" w:rsidR="0052172E" w:rsidRPr="005E3D50" w:rsidRDefault="0052172E" w:rsidP="00A1537A">
      <w:pPr>
        <w:rPr>
          <w:lang w:val="es-ES"/>
        </w:rPr>
      </w:pPr>
    </w:p>
    <w:p w14:paraId="10D0061F" w14:textId="77777777" w:rsidR="0052172E" w:rsidRPr="005E3D50" w:rsidRDefault="0052172E" w:rsidP="00A1537A">
      <w:pPr>
        <w:rPr>
          <w:lang w:val="es-ES"/>
        </w:rPr>
      </w:pPr>
    </w:p>
    <w:tbl>
      <w:tblPr>
        <w:tblStyle w:val="TableGrid"/>
        <w:tblW w:w="0" w:type="auto"/>
        <w:tblLook w:val="04A0" w:firstRow="1" w:lastRow="0" w:firstColumn="1" w:lastColumn="0" w:noHBand="0" w:noVBand="1"/>
      </w:tblPr>
      <w:tblGrid>
        <w:gridCol w:w="9016"/>
      </w:tblGrid>
      <w:tr w:rsidR="00FE7509" w:rsidRPr="005E3D50" w14:paraId="0E7B6C7A" w14:textId="77777777" w:rsidTr="6A186FBE">
        <w:tc>
          <w:tcPr>
            <w:tcW w:w="9016" w:type="dxa"/>
            <w:shd w:val="clear" w:color="auto" w:fill="E8E8E8" w:themeFill="background2"/>
          </w:tcPr>
          <w:p w14:paraId="3E1263B0" w14:textId="4AF6713E" w:rsidR="005A6CDB" w:rsidRPr="005E3D50" w:rsidRDefault="005A6CDB" w:rsidP="005A6CDB">
            <w:pPr>
              <w:pStyle w:val="Caption"/>
              <w:keepNext/>
              <w:rPr>
                <w:i w:val="0"/>
                <w:iCs w:val="0"/>
                <w:sz w:val="20"/>
                <w:szCs w:val="20"/>
                <w:lang w:val="es-ES"/>
              </w:rPr>
            </w:pPr>
            <w:bookmarkStart w:id="149" w:name="_Ref230800965"/>
            <w:r w:rsidRPr="005E3D50">
              <w:rPr>
                <w:i w:val="0"/>
                <w:sz w:val="20"/>
                <w:szCs w:val="20"/>
                <w:lang w:val="es-ES"/>
              </w:rPr>
              <w:t>Recuadro 11</w:t>
            </w:r>
            <w:bookmarkEnd w:id="149"/>
            <w:r w:rsidRPr="005E3D50">
              <w:rPr>
                <w:i w:val="0"/>
                <w:sz w:val="20"/>
                <w:szCs w:val="20"/>
                <w:lang w:val="es-ES"/>
              </w:rPr>
              <w:t xml:space="preserve"> </w:t>
            </w:r>
          </w:p>
          <w:p w14:paraId="10D45D77" w14:textId="62873F63" w:rsidR="005A6CDB" w:rsidRPr="005E3D50" w:rsidRDefault="005A6CDB" w:rsidP="005A6CDB">
            <w:pPr>
              <w:rPr>
                <w:b/>
                <w:sz w:val="20"/>
                <w:szCs w:val="20"/>
                <w:lang w:val="es-ES"/>
              </w:rPr>
            </w:pPr>
            <w:r w:rsidRPr="005E3D50">
              <w:rPr>
                <w:b/>
                <w:sz w:val="20"/>
                <w:szCs w:val="20"/>
                <w:lang w:val="es-ES"/>
              </w:rPr>
              <w:t>Una organización no gubernamental mundial que apoya la restauración en nueve países de África</w:t>
            </w:r>
          </w:p>
          <w:p w14:paraId="48186CCD" w14:textId="77777777" w:rsidR="005A6CDB" w:rsidRPr="005E3D50" w:rsidRDefault="005A6CDB" w:rsidP="005A6CDB">
            <w:pPr>
              <w:rPr>
                <w:rFonts w:ascii="Aptos" w:eastAsia="Aptos" w:hAnsi="Aptos" w:cs="Aptos"/>
                <w:sz w:val="20"/>
                <w:szCs w:val="20"/>
                <w:lang w:val="es-ES"/>
              </w:rPr>
            </w:pPr>
          </w:p>
          <w:p w14:paraId="0CB15578" w14:textId="69EDEDB5" w:rsidR="007E2156" w:rsidRPr="005E3D50" w:rsidRDefault="007E2156" w:rsidP="007E2156">
            <w:pPr>
              <w:rPr>
                <w:rFonts w:ascii="Aptos" w:eastAsia="Aptos" w:hAnsi="Aptos" w:cs="Aptos"/>
                <w:sz w:val="20"/>
                <w:szCs w:val="20"/>
                <w:lang w:val="es-ES"/>
              </w:rPr>
            </w:pPr>
            <w:r w:rsidRPr="005E3D50">
              <w:rPr>
                <w:rFonts w:ascii="Aptos" w:hAnsi="Aptos"/>
                <w:sz w:val="20"/>
                <w:szCs w:val="20"/>
                <w:lang w:val="es-ES"/>
              </w:rPr>
              <w:t xml:space="preserve">La iniciativa de Restauración de Paisajes Forestales impulsada por el Fondo Mundial para la Naturaleza (WWF) es un compromiso multinacional para restaurar 13,5 millones de hectáreas de paisajes degradados y deforestados para 2030 en nueve países de África: Camerún, Kenya, Madagascar, Mozambique, la República Democrática del Congo, la República Unida de </w:t>
            </w:r>
            <w:proofErr w:type="spellStart"/>
            <w:r w:rsidRPr="005E3D50">
              <w:rPr>
                <w:rFonts w:ascii="Aptos" w:hAnsi="Aptos"/>
                <w:sz w:val="20"/>
                <w:szCs w:val="20"/>
                <w:lang w:val="es-ES"/>
              </w:rPr>
              <w:t>Tanzanía</w:t>
            </w:r>
            <w:proofErr w:type="spellEnd"/>
            <w:r w:rsidRPr="005E3D50">
              <w:rPr>
                <w:rFonts w:ascii="Aptos" w:hAnsi="Aptos"/>
                <w:sz w:val="20"/>
                <w:szCs w:val="20"/>
                <w:lang w:val="es-ES"/>
              </w:rPr>
              <w:t xml:space="preserve">, Uganda, Zambia y Zimbabwe. </w:t>
            </w:r>
            <w:r w:rsidR="000E7DEC">
              <w:rPr>
                <w:rFonts w:ascii="Aptos" w:hAnsi="Aptos"/>
                <w:sz w:val="20"/>
                <w:szCs w:val="20"/>
                <w:lang w:val="es-ES"/>
              </w:rPr>
              <w:t>Puesta en marcha</w:t>
            </w:r>
            <w:r w:rsidRPr="005E3D50">
              <w:rPr>
                <w:rFonts w:ascii="Aptos" w:hAnsi="Aptos"/>
                <w:sz w:val="20"/>
                <w:szCs w:val="20"/>
                <w:lang w:val="es-ES"/>
              </w:rPr>
              <w:t xml:space="preserve"> en octubre de 2021, la iniciativa se apoya en tres pilares estratégicos: reformas normativas, de gobernanza e institucionales; mecanismos financieros y de mercado, </w:t>
            </w:r>
            <w:r w:rsidR="00CD5C5F" w:rsidRPr="005E3D50">
              <w:rPr>
                <w:rFonts w:ascii="Aptos" w:hAnsi="Aptos"/>
                <w:sz w:val="20"/>
                <w:szCs w:val="20"/>
                <w:lang w:val="es-ES"/>
              </w:rPr>
              <w:t>y</w:t>
            </w:r>
            <w:r w:rsidRPr="005E3D50">
              <w:rPr>
                <w:rFonts w:ascii="Aptos" w:hAnsi="Aptos"/>
                <w:sz w:val="20"/>
                <w:szCs w:val="20"/>
                <w:lang w:val="es-ES"/>
              </w:rPr>
              <w:t xml:space="preserve"> una ejecución transformadora sobre el terreno. En 2025, aproximadamente 3 millones de hectáreas ya estaban siendo objeto de restauración efectiva. La iniciativa crea carteras de proyectos de inversión, moviliza financiación público-privada, que incluye alianzas con el Banco Africano de Desarrollo, la FAO y el PNUMA, y fomenta cadenas de valor que contribuyen a la restauración en los sectores del bambú, la miel, la madera sostenible y las especias ecológicas. Los sistemas digitales de seguimiento permiten hacer un seguimiento de la recuperación de los ecosistemas en tiempo real. Con un presupuesto básico de 38 millones de dólares </w:t>
            </w:r>
            <w:r w:rsidR="00D72DB0" w:rsidRPr="005E3D50">
              <w:rPr>
                <w:rFonts w:ascii="Aptos" w:hAnsi="Aptos"/>
                <w:sz w:val="20"/>
                <w:szCs w:val="20"/>
                <w:lang w:val="es-ES"/>
              </w:rPr>
              <w:t>de los Estados Unidos</w:t>
            </w:r>
            <w:r w:rsidRPr="005E3D50">
              <w:rPr>
                <w:rFonts w:ascii="Aptos" w:hAnsi="Aptos"/>
                <w:sz w:val="20"/>
                <w:szCs w:val="20"/>
                <w:lang w:val="es-ES"/>
              </w:rPr>
              <w:t xml:space="preserve"> y una secretaría albergada por WWF Tanzania, la iniciativa considera la equidad de género, los medios de vida de las comunidades y los derechos territoriales de los pueblos indígenas como pilares no negociables para lograr que la restauración tenga efectos duraderos.</w:t>
            </w:r>
          </w:p>
          <w:p w14:paraId="0A288D3A" w14:textId="77777777" w:rsidR="003F1036" w:rsidRPr="005E3D50" w:rsidRDefault="003F1036" w:rsidP="003278C4">
            <w:pPr>
              <w:spacing w:after="320"/>
              <w:jc w:val="both"/>
              <w:rPr>
                <w:i/>
                <w:sz w:val="20"/>
                <w:szCs w:val="20"/>
                <w:lang w:val="es-ES"/>
              </w:rPr>
            </w:pPr>
          </w:p>
          <w:p w14:paraId="39827043" w14:textId="3C71428B" w:rsidR="00E56393" w:rsidRPr="005E3D50" w:rsidRDefault="00E56393" w:rsidP="003278C4">
            <w:pPr>
              <w:spacing w:after="320"/>
              <w:jc w:val="both"/>
              <w:rPr>
                <w:i/>
                <w:sz w:val="20"/>
                <w:szCs w:val="20"/>
                <w:lang w:val="es-ES"/>
              </w:rPr>
            </w:pPr>
            <w:r w:rsidRPr="005E3D50">
              <w:rPr>
                <w:i/>
                <w:sz w:val="20"/>
                <w:szCs w:val="20"/>
                <w:lang w:val="es-ES"/>
              </w:rPr>
              <w:t xml:space="preserve">Metas pertinentes: </w:t>
            </w:r>
            <w:r w:rsidRPr="005E3D50">
              <w:rPr>
                <w:sz w:val="20"/>
                <w:szCs w:val="20"/>
                <w:lang w:val="es-ES"/>
              </w:rPr>
              <w:t>2, 9, 14, 19, 22 y 23.</w:t>
            </w:r>
          </w:p>
          <w:p w14:paraId="0EB9F1BC" w14:textId="135E03EF" w:rsidR="001A37B8" w:rsidRPr="005E3D50" w:rsidRDefault="799E27C9" w:rsidP="00FF5091">
            <w:pPr>
              <w:spacing w:after="320"/>
              <w:rPr>
                <w:i/>
                <w:iCs/>
                <w:lang w:val="es-ES"/>
              </w:rPr>
            </w:pPr>
            <w:r w:rsidRPr="005E3D50">
              <w:rPr>
                <w:i/>
                <w:iCs/>
                <w:sz w:val="20"/>
                <w:szCs w:val="20"/>
                <w:lang w:val="es-ES"/>
              </w:rPr>
              <w:t>Fuente:</w:t>
            </w:r>
            <w:r w:rsidRPr="005E3D50">
              <w:rPr>
                <w:i/>
                <w:iCs/>
                <w:sz w:val="22"/>
                <w:szCs w:val="22"/>
                <w:lang w:val="es-ES"/>
              </w:rPr>
              <w:t xml:space="preserve"> </w:t>
            </w:r>
            <w:r w:rsidRPr="005E3D50">
              <w:rPr>
                <w:sz w:val="20"/>
                <w:szCs w:val="20"/>
                <w:lang w:val="es-ES"/>
              </w:rPr>
              <w:t>Compromiso de WWF, como se señala en la herramienta de presentación de informes en línea del Convenio</w:t>
            </w:r>
            <w:r w:rsidR="00FF5091">
              <w:rPr>
                <w:sz w:val="20"/>
                <w:szCs w:val="20"/>
                <w:lang w:val="es-ES"/>
              </w:rPr>
              <w:t xml:space="preserve"> </w:t>
            </w:r>
            <w:r w:rsidRPr="005E3D50">
              <w:rPr>
                <w:sz w:val="20"/>
                <w:szCs w:val="20"/>
                <w:lang w:val="es-ES"/>
              </w:rPr>
              <w:t xml:space="preserve">(disponible en </w:t>
            </w:r>
            <w:hyperlink r:id="rId62">
              <w:r w:rsidRPr="005E3D50">
                <w:rPr>
                  <w:rStyle w:val="Hyperlink"/>
                  <w:sz w:val="20"/>
                  <w:szCs w:val="20"/>
                  <w:lang w:val="es-ES"/>
                </w:rPr>
                <w:t>https://ort.cbd.int/database/293975</w:t>
              </w:r>
            </w:hyperlink>
            <w:r w:rsidRPr="005E3D50">
              <w:rPr>
                <w:sz w:val="20"/>
                <w:szCs w:val="20"/>
                <w:lang w:val="es-ES"/>
              </w:rPr>
              <w:t>).</w:t>
            </w:r>
          </w:p>
        </w:tc>
      </w:tr>
    </w:tbl>
    <w:p w14:paraId="60829A13" w14:textId="149BF202" w:rsidR="00A1537A" w:rsidRPr="005E3D50" w:rsidRDefault="00A1537A" w:rsidP="00A1537A">
      <w:pPr>
        <w:rPr>
          <w:lang w:val="es-ES"/>
        </w:rPr>
      </w:pPr>
    </w:p>
    <w:p w14:paraId="1BF2B2F3" w14:textId="0B8B156C" w:rsidR="00A1537A" w:rsidRPr="005E3D50" w:rsidRDefault="00455F5D" w:rsidP="00A1537A">
      <w:pPr>
        <w:pStyle w:val="Heading6"/>
        <w:rPr>
          <w:lang w:val="es-ES"/>
        </w:rPr>
      </w:pPr>
      <w:bookmarkStart w:id="150" w:name="_Toc235821074"/>
      <w:r w:rsidRPr="005E3D50">
        <w:rPr>
          <w:lang w:val="es-ES"/>
        </w:rPr>
        <w:t>Contribuciones integradas en los informes nacionales</w:t>
      </w:r>
      <w:bookmarkEnd w:id="150"/>
    </w:p>
    <w:p w14:paraId="698390F0" w14:textId="77777777" w:rsidR="003F062D" w:rsidRPr="005E3D50" w:rsidRDefault="003F062D" w:rsidP="003F062D">
      <w:pPr>
        <w:rPr>
          <w:lang w:val="es-ES"/>
        </w:rPr>
      </w:pPr>
    </w:p>
    <w:p w14:paraId="5921363C" w14:textId="77777777" w:rsidR="00F168E8" w:rsidRPr="005E3D50" w:rsidRDefault="00F168E8" w:rsidP="00F168E8">
      <w:pPr>
        <w:rPr>
          <w:lang w:val="es-ES"/>
        </w:rPr>
      </w:pPr>
      <w:r w:rsidRPr="005E3D50">
        <w:rPr>
          <w:lang w:val="es-ES"/>
        </w:rPr>
        <w:t xml:space="preserve">La función de los actores distintos de los Gobiernos nacionales que se menciona con mayor frecuencia en los informes nacionales con respecto a la meta 2 está relacionada con la financiación y la cofinanciación de proyectos de restauración de los ecosistemas. Los asociados internacionales, tales como el FMAM, el Fondo Verde para el Clima y el Banco Mundial y, en menor medida, los actores del sector </w:t>
      </w:r>
      <w:proofErr w:type="gramStart"/>
      <w:r w:rsidRPr="005E3D50">
        <w:rPr>
          <w:lang w:val="es-ES"/>
        </w:rPr>
        <w:t>privado,</w:t>
      </w:r>
      <w:proofErr w:type="gramEnd"/>
      <w:r w:rsidRPr="005E3D50">
        <w:rPr>
          <w:lang w:val="es-ES"/>
        </w:rPr>
        <w:t xml:space="preserve"> son los que se mencionan con mayor frecuencia como fuentes de financiación externa para los programas de restauración. Varias Partes señalan que la cofinanciación internacional es una condición propicia para la restauración a gran escala. En lo que respecta a la ejecución e implementación directas de los programas de restauración, en numerosos </w:t>
      </w:r>
      <w:r w:rsidRPr="005E3D50">
        <w:rPr>
          <w:lang w:val="es-ES"/>
        </w:rPr>
        <w:lastRenderedPageBreak/>
        <w:t>informes se reconocen las contribuciones de ONG, gobiernos subnacionales, pueblos indígenas y comunidades locales, grupos comunitarios y actores sectoriales, como las pesquerías comunitarias y los grupos de usuarios de los bosques. En menor medida, se señala que los actores del sector privado participan en la implementación de actividades como la plantación, la restauración de hábitats y la eliminación de especies exóticas invasoras. Se suele informar que la comunidad científica y el mundo académico, junto con los asociados internacionales y las ONG, aportan asistencia técnica, proporcionan conocimientos y establecen normas para la restauración.</w:t>
      </w:r>
    </w:p>
    <w:p w14:paraId="1A955EED" w14:textId="77777777" w:rsidR="00287FBD" w:rsidRPr="005E3D50" w:rsidRDefault="00287FBD" w:rsidP="00FC7784">
      <w:pPr>
        <w:rPr>
          <w:lang w:val="es-ES"/>
        </w:rPr>
      </w:pPr>
    </w:p>
    <w:p w14:paraId="2514728A" w14:textId="690D8EB0" w:rsidR="00C63700" w:rsidRPr="005E3D50" w:rsidRDefault="00C63700" w:rsidP="00C63700">
      <w:pPr>
        <w:pStyle w:val="Heading5"/>
        <w:rPr>
          <w:lang w:val="es-ES"/>
        </w:rPr>
      </w:pPr>
      <w:bookmarkStart w:id="151" w:name="_Toc235821075"/>
      <w:bookmarkStart w:id="152" w:name="_Ref236076994"/>
      <w:r w:rsidRPr="005E3D50">
        <w:rPr>
          <w:lang w:val="es-ES"/>
        </w:rPr>
        <w:t>Ejemplos de vínculos con otros acuerdos, procesos y organizaciones</w:t>
      </w:r>
      <w:bookmarkEnd w:id="151"/>
      <w:bookmarkEnd w:id="152"/>
      <w:r w:rsidRPr="005E3D50">
        <w:rPr>
          <w:lang w:val="es-ES"/>
        </w:rPr>
        <w:t xml:space="preserve"> </w:t>
      </w:r>
    </w:p>
    <w:p w14:paraId="489FA803" w14:textId="77777777" w:rsidR="00F168E8" w:rsidRPr="005E3D50" w:rsidRDefault="00F168E8" w:rsidP="00F168E8">
      <w:pPr>
        <w:rPr>
          <w:lang w:val="es-ES"/>
        </w:rPr>
      </w:pPr>
    </w:p>
    <w:p w14:paraId="5232AEAB" w14:textId="46F1A04D" w:rsidR="0018279A" w:rsidRPr="005E3D50" w:rsidRDefault="00B93798" w:rsidP="0018279A">
      <w:pPr>
        <w:rPr>
          <w:lang w:val="es-ES"/>
        </w:rPr>
      </w:pPr>
      <w:r w:rsidRPr="005E3D50">
        <w:rPr>
          <w:lang w:val="es-ES"/>
        </w:rPr>
        <w:t>El Decenio de las Naciones Unidas sobre la Restauración de los Ecosistemas (2021-2030) es una colaboración entre múltiples organismos de las Naciones Unidas y acuerdos ambientales multilaterales, liderada por el PNUMA y la FAO, y con la participación de las tres convenciones de Río (Convenio sobre la Diversidad Biológica, Convención Marco de las Naciones Unidas sobre el Cambio Climático (CMNUCC) y la CLD)</w:t>
      </w:r>
      <w:r w:rsidR="00227F93" w:rsidRPr="005E3D50">
        <w:rPr>
          <w:rStyle w:val="FootnoteReference"/>
          <w:lang w:val="es-ES"/>
        </w:rPr>
        <w:footnoteReference w:id="15"/>
      </w:r>
      <w:r w:rsidRPr="005E3D50">
        <w:rPr>
          <w:lang w:val="es-ES"/>
        </w:rPr>
        <w:t>. La iniciativa se centra en mejorar y apoyar los compromisos existentes y la implementación de las convenciones de Río y los Objetivos de Desarrollo Sostenible mediante la creación de un movimiento mundial, la generación de apoyo político y la creación de capacidad. El Grupo de trabajo sobre seguimiento del Decenio de las Naciones Unidas sobre la Restauración de los Ecosistemas (2021-2030), liderado por la FAO, ha elaborado el Marco para el seguimiento de la restauración de los ecosistemas (FERM)</w:t>
      </w:r>
      <w:r w:rsidR="00F849D0" w:rsidRPr="005E3D50">
        <w:rPr>
          <w:rStyle w:val="FootnoteReference"/>
          <w:lang w:val="es-ES"/>
        </w:rPr>
        <w:footnoteReference w:id="16"/>
      </w:r>
      <w:r w:rsidRPr="005E3D50">
        <w:rPr>
          <w:lang w:val="es-ES"/>
        </w:rPr>
        <w:t xml:space="preserve"> (véase también la sección sobre los indicadores de la meta 2 más arriba) con el fin de hacer un seguimiento y una presentación de informes transparentes acerca de los progresos en materia de restauración durante el Decenio de las Naciones Unidas (FAO, 2025a, 2025b; y PNUMA, 2025a).</w:t>
      </w:r>
    </w:p>
    <w:p w14:paraId="192A211C" w14:textId="07C20E9F" w:rsidR="00EF7348" w:rsidRPr="005E3D50" w:rsidRDefault="00350DC9" w:rsidP="00EF7348">
      <w:pPr>
        <w:rPr>
          <w:lang w:val="es-ES"/>
        </w:rPr>
      </w:pPr>
      <w:r w:rsidRPr="005E3D50">
        <w:rPr>
          <w:lang w:val="es-ES"/>
        </w:rPr>
        <w:t xml:space="preserve">La Secretaría de la Convención de las Naciones Unidas de Lucha contra la Desertificación (CLD) es el organismo custodio del indicador 15.3.1 de los Objetivos de Desarrollo Sostenible (proporción de tierras degradadas en comparación con la superficie total), que también es un indicador de componente para la meta 2. Proporciona conocimientos técnicos especializados para la planificación, la implementación y el seguimiento de los compromisos en materia de ecosistemas en el marco de la meta 2 y ayuda a impulsar el intercambio de datos, la interoperabilidad de las herramientas y los esfuerzos conjuntos </w:t>
      </w:r>
      <w:r w:rsidRPr="005E3D50">
        <w:rPr>
          <w:lang w:val="es-ES"/>
        </w:rPr>
        <w:lastRenderedPageBreak/>
        <w:t>de creación de capacidad a fin de fortalecer el seguimiento y la presentación de informes de los países acerca de la degradación y la restauración de las tierras y los ecosistemas. La Secretaría de la CLD también tiene como objetivo colaborar con los centros regionales para apoyar el seguimiento nacional de la degradación de las tierras, lo que podría fortalecer las sinergias con la Secretaría del Convenio sobre la Diversidad Biológica, siguiendo el modelo de sus centros regionales y subregionales de apoyo a la cooperación científica y técnica (Sims y otros, 2021; Teich y otros, 2025; CLD, 2025).</w:t>
      </w:r>
    </w:p>
    <w:p w14:paraId="58B6048C" w14:textId="141AFFD6" w:rsidR="00C8028D" w:rsidRPr="005E3D50" w:rsidRDefault="00C8028D" w:rsidP="00C8028D">
      <w:pPr>
        <w:rPr>
          <w:lang w:val="es-ES"/>
        </w:rPr>
      </w:pPr>
      <w:r w:rsidRPr="005E3D50">
        <w:rPr>
          <w:lang w:val="es-ES"/>
        </w:rPr>
        <w:t>La Secretaría de la Convención relativa a los Humedales de Importancia Internacional especialmente como Hábitat de Aves Acuáticas ha estimado que al menos 123 millones de hectáreas de humedales deben estar siendo objeto de restauración para 2030 a fin de alcanzar el compromiso de restauración del 30 % establecido en la meta 2. Esta cifra, que se basa en la superficie de humedales convertidos a la agricultura y otros usos de la tierra desde 1970 (aproximadamente 411 millones de hectáreas), probablemente sea una subestimación ya que no incluye los esfuerzos necesarios para restaurar los humedales degradados con características ecológicas deterioradas. En 2025, el 45 % de las Partes Contratantes en la Convención sobre los Humedales habían establecido metas nacionales de restauración de humedales, de las cuales el 21 % habían comunicado el establecimiento parcial de metas nacionales de restauración y el 16 % se encontraban en la etapa de planificación. Las medidas de restauración constituyen uno de los principales focos de atención de las actividades en el marco de la Convención sobre los Humedales, que también incluyen sinergias con otros acuerdos ambientales multilaterales, tales como la Convención Marco sobre el Cambio Climático (CMNUCC), en la restauración de los manglares (véase el recuadro 12) (Convención sobre los Humedales, 2025a, 2025b y 2025c).</w:t>
      </w:r>
    </w:p>
    <w:tbl>
      <w:tblPr>
        <w:tblStyle w:val="TableGrid"/>
        <w:tblW w:w="0" w:type="auto"/>
        <w:tblLook w:val="04A0" w:firstRow="1" w:lastRow="0" w:firstColumn="1" w:lastColumn="0" w:noHBand="0" w:noVBand="1"/>
      </w:tblPr>
      <w:tblGrid>
        <w:gridCol w:w="9016"/>
      </w:tblGrid>
      <w:tr w:rsidR="00072EF7" w:rsidRPr="00942359" w14:paraId="79D0742C" w14:textId="77777777" w:rsidTr="00F41BAC">
        <w:tc>
          <w:tcPr>
            <w:tcW w:w="9016" w:type="dxa"/>
            <w:shd w:val="clear" w:color="auto" w:fill="D1D1D1" w:themeFill="background2" w:themeFillShade="E6"/>
          </w:tcPr>
          <w:p w14:paraId="4CE23DCE" w14:textId="61857F84" w:rsidR="00C01030" w:rsidRPr="005E3D50" w:rsidRDefault="00C01030" w:rsidP="00C01030">
            <w:pPr>
              <w:pStyle w:val="Caption"/>
              <w:keepNext/>
              <w:rPr>
                <w:i w:val="0"/>
                <w:iCs w:val="0"/>
                <w:sz w:val="20"/>
                <w:szCs w:val="20"/>
                <w:lang w:val="es-ES"/>
              </w:rPr>
            </w:pPr>
            <w:bookmarkStart w:id="153" w:name="_Ref231284483"/>
            <w:r w:rsidRPr="005E3D50">
              <w:rPr>
                <w:i w:val="0"/>
                <w:sz w:val="20"/>
                <w:szCs w:val="20"/>
                <w:lang w:val="es-ES"/>
              </w:rPr>
              <w:lastRenderedPageBreak/>
              <w:t>Recuadro 12</w:t>
            </w:r>
            <w:bookmarkEnd w:id="153"/>
          </w:p>
          <w:p w14:paraId="22E74A25" w14:textId="1E69DD2E" w:rsidR="00AA0B95" w:rsidRPr="005E3D50" w:rsidRDefault="00C01030" w:rsidP="00AA0B95">
            <w:pPr>
              <w:spacing w:line="276" w:lineRule="auto"/>
              <w:rPr>
                <w:b/>
                <w:sz w:val="20"/>
                <w:szCs w:val="20"/>
                <w:lang w:val="es-ES"/>
              </w:rPr>
            </w:pPr>
            <w:proofErr w:type="spellStart"/>
            <w:r w:rsidRPr="005E3D50">
              <w:rPr>
                <w:b/>
                <w:sz w:val="20"/>
                <w:szCs w:val="20"/>
                <w:lang w:val="es-ES"/>
              </w:rPr>
              <w:t>Mangrove</w:t>
            </w:r>
            <w:proofErr w:type="spellEnd"/>
            <w:r w:rsidRPr="005E3D50">
              <w:rPr>
                <w:b/>
                <w:sz w:val="20"/>
                <w:szCs w:val="20"/>
                <w:lang w:val="es-ES"/>
              </w:rPr>
              <w:t xml:space="preserve"> </w:t>
            </w:r>
            <w:proofErr w:type="spellStart"/>
            <w:r w:rsidRPr="005E3D50">
              <w:rPr>
                <w:b/>
                <w:sz w:val="20"/>
                <w:szCs w:val="20"/>
                <w:lang w:val="es-ES"/>
              </w:rPr>
              <w:t>Breakthrough</w:t>
            </w:r>
            <w:proofErr w:type="spellEnd"/>
            <w:r w:rsidRPr="005E3D50">
              <w:rPr>
                <w:b/>
                <w:sz w:val="20"/>
                <w:szCs w:val="20"/>
                <w:lang w:val="es-ES"/>
              </w:rPr>
              <w:t>: sinergias entre las metas sobre biodiversidad, humedales y cambio climático</w:t>
            </w:r>
          </w:p>
          <w:p w14:paraId="4B25A544" w14:textId="77777777" w:rsidR="00C01030" w:rsidRPr="005E3D50" w:rsidRDefault="00C01030" w:rsidP="00C01030">
            <w:pPr>
              <w:spacing w:line="276" w:lineRule="auto"/>
              <w:rPr>
                <w:sz w:val="22"/>
                <w:szCs w:val="22"/>
                <w:lang w:val="es-ES"/>
              </w:rPr>
            </w:pPr>
          </w:p>
          <w:p w14:paraId="674ADBB3" w14:textId="559C406E" w:rsidR="005C5F6C" w:rsidRPr="005E3D50" w:rsidRDefault="005C5F6C" w:rsidP="005C5F6C">
            <w:pPr>
              <w:spacing w:line="276" w:lineRule="auto"/>
              <w:rPr>
                <w:sz w:val="20"/>
                <w:szCs w:val="20"/>
                <w:lang w:val="es-ES"/>
              </w:rPr>
            </w:pPr>
            <w:r w:rsidRPr="005E3D50">
              <w:rPr>
                <w:sz w:val="20"/>
                <w:szCs w:val="20"/>
                <w:lang w:val="es-ES"/>
              </w:rPr>
              <w:t xml:space="preserve">La iniciativa </w:t>
            </w:r>
            <w:proofErr w:type="spellStart"/>
            <w:r w:rsidRPr="005E3D50">
              <w:rPr>
                <w:sz w:val="20"/>
                <w:szCs w:val="20"/>
                <w:lang w:val="es-ES"/>
              </w:rPr>
              <w:t>Mangrove</w:t>
            </w:r>
            <w:proofErr w:type="spellEnd"/>
            <w:r w:rsidRPr="005E3D50">
              <w:rPr>
                <w:sz w:val="20"/>
                <w:szCs w:val="20"/>
                <w:lang w:val="es-ES"/>
              </w:rPr>
              <w:t xml:space="preserve"> </w:t>
            </w:r>
            <w:proofErr w:type="spellStart"/>
            <w:r w:rsidRPr="005E3D50">
              <w:rPr>
                <w:sz w:val="20"/>
                <w:szCs w:val="20"/>
                <w:lang w:val="es-ES"/>
              </w:rPr>
              <w:t>Breakthrough</w:t>
            </w:r>
            <w:proofErr w:type="spellEnd"/>
            <w:r w:rsidRPr="005E3D50">
              <w:rPr>
                <w:sz w:val="20"/>
                <w:szCs w:val="20"/>
                <w:lang w:val="es-ES"/>
              </w:rPr>
              <w:t xml:space="preserve"> tiene por objeto restaurar al menos la mitad de todos los manglares perdidos recientementeᵃ. Sobre la base de los mapas de extensión y cambios proporcionados por Global </w:t>
            </w:r>
            <w:proofErr w:type="spellStart"/>
            <w:r w:rsidRPr="005E3D50">
              <w:rPr>
                <w:sz w:val="20"/>
                <w:szCs w:val="20"/>
                <w:lang w:val="es-ES"/>
              </w:rPr>
              <w:t>Mangrove</w:t>
            </w:r>
            <w:proofErr w:type="spellEnd"/>
            <w:r w:rsidRPr="005E3D50">
              <w:rPr>
                <w:sz w:val="20"/>
                <w:szCs w:val="20"/>
                <w:lang w:val="es-ES"/>
              </w:rPr>
              <w:t xml:space="preserve"> Watchᵇ, se estima que 818.300 hectáreas de manglares son “restaurables”. Suponiendo que se apliquen prácticas de restauración con base científica y que estas den lugar a una restauración duradera, restaurar la mitad de las pérdidas recientes representaría más de 409.000 hectáreas para 2030, es decir, unas 51.000 hectáreas por año, lo que supondría una contribución importante a la implementación de la meta 2. Los miembros de </w:t>
            </w:r>
            <w:proofErr w:type="spellStart"/>
            <w:r w:rsidRPr="005E3D50">
              <w:rPr>
                <w:sz w:val="20"/>
                <w:szCs w:val="20"/>
                <w:lang w:val="es-ES"/>
              </w:rPr>
              <w:t>Mangrove</w:t>
            </w:r>
            <w:proofErr w:type="spellEnd"/>
            <w:r w:rsidRPr="005E3D50">
              <w:rPr>
                <w:sz w:val="20"/>
                <w:szCs w:val="20"/>
                <w:lang w:val="es-ES"/>
              </w:rPr>
              <w:t xml:space="preserve"> </w:t>
            </w:r>
            <w:proofErr w:type="spellStart"/>
            <w:r w:rsidRPr="005E3D50">
              <w:rPr>
                <w:sz w:val="20"/>
                <w:szCs w:val="20"/>
                <w:lang w:val="es-ES"/>
              </w:rPr>
              <w:t>Breakthrough</w:t>
            </w:r>
            <w:proofErr w:type="spellEnd"/>
            <w:r w:rsidRPr="005E3D50">
              <w:rPr>
                <w:sz w:val="20"/>
                <w:szCs w:val="20"/>
                <w:lang w:val="es-ES"/>
              </w:rPr>
              <w:t xml:space="preserve"> supervisan 66.141 hectáreas de manglares sujetas a diversas formas de protección, restauración o influencia en las políticas. Estas acciones directas han salvaguardado 25 millones de toneladas de carbono</w:t>
            </w:r>
            <w:r w:rsidR="00C94D38" w:rsidRPr="005E3D50">
              <w:rPr>
                <w:sz w:val="20"/>
                <w:szCs w:val="20"/>
                <w:lang w:val="es-ES"/>
              </w:rPr>
              <w:t xml:space="preserve"> adicionales</w:t>
            </w:r>
            <w:r w:rsidRPr="005E3D50">
              <w:rPr>
                <w:sz w:val="20"/>
                <w:szCs w:val="20"/>
                <w:lang w:val="es-ES"/>
              </w:rPr>
              <w:t xml:space="preserve">. Más de 30 Gobiernos han respaldado oficialmente la iniciativa </w:t>
            </w:r>
            <w:proofErr w:type="spellStart"/>
            <w:r w:rsidRPr="005E3D50">
              <w:rPr>
                <w:sz w:val="20"/>
                <w:szCs w:val="20"/>
                <w:lang w:val="es-ES"/>
              </w:rPr>
              <w:t>Mangrove</w:t>
            </w:r>
            <w:proofErr w:type="spellEnd"/>
            <w:r w:rsidRPr="005E3D50">
              <w:rPr>
                <w:sz w:val="20"/>
                <w:szCs w:val="20"/>
                <w:lang w:val="es-ES"/>
              </w:rPr>
              <w:t xml:space="preserve"> </w:t>
            </w:r>
            <w:proofErr w:type="spellStart"/>
            <w:r w:rsidRPr="005E3D50">
              <w:rPr>
                <w:sz w:val="20"/>
                <w:szCs w:val="20"/>
                <w:lang w:val="es-ES"/>
              </w:rPr>
              <w:t>Breakthrough</w:t>
            </w:r>
            <w:proofErr w:type="spellEnd"/>
            <w:r w:rsidRPr="005E3D50">
              <w:rPr>
                <w:sz w:val="20"/>
                <w:szCs w:val="20"/>
                <w:lang w:val="es-ES"/>
              </w:rPr>
              <w:t xml:space="preserve"> y trabajarán para incluir metas específicas, medibles y con base científica para los manglares en las actualizaciones de sus contribuciones determinadas a nivel nacional en el marco de la CMNUCC.</w:t>
            </w:r>
          </w:p>
          <w:p w14:paraId="1449AB6E" w14:textId="77777777" w:rsidR="00B851E6" w:rsidRPr="005E3D50" w:rsidRDefault="00B851E6" w:rsidP="00AA0B95">
            <w:pPr>
              <w:spacing w:line="276" w:lineRule="auto"/>
              <w:rPr>
                <w:sz w:val="22"/>
                <w:szCs w:val="22"/>
                <w:lang w:val="es-ES"/>
              </w:rPr>
            </w:pPr>
          </w:p>
          <w:p w14:paraId="30ADE604" w14:textId="23488391" w:rsidR="00B851E6" w:rsidRPr="005E3D50" w:rsidRDefault="00B851E6" w:rsidP="00AA0B95">
            <w:pPr>
              <w:spacing w:line="276" w:lineRule="auto"/>
              <w:rPr>
                <w:sz w:val="20"/>
                <w:szCs w:val="20"/>
                <w:lang w:val="es-ES"/>
              </w:rPr>
            </w:pPr>
            <w:r w:rsidRPr="005E3D50">
              <w:rPr>
                <w:i/>
                <w:sz w:val="20"/>
                <w:szCs w:val="20"/>
                <w:lang w:val="es-ES"/>
              </w:rPr>
              <w:t xml:space="preserve">Metas pertinentes: </w:t>
            </w:r>
            <w:r w:rsidRPr="005E3D50">
              <w:rPr>
                <w:sz w:val="20"/>
                <w:szCs w:val="20"/>
                <w:lang w:val="es-ES"/>
              </w:rPr>
              <w:t>2 y 8.</w:t>
            </w:r>
          </w:p>
          <w:p w14:paraId="278C2BDC" w14:textId="114A0D4F" w:rsidR="00080447" w:rsidRPr="005E3D50" w:rsidRDefault="00080447" w:rsidP="00AA0B95">
            <w:pPr>
              <w:spacing w:line="276" w:lineRule="auto"/>
              <w:rPr>
                <w:sz w:val="20"/>
                <w:szCs w:val="20"/>
                <w:lang w:val="es-ES"/>
              </w:rPr>
            </w:pPr>
            <w:r w:rsidRPr="005E3D50">
              <w:rPr>
                <w:i/>
                <w:sz w:val="20"/>
                <w:szCs w:val="20"/>
                <w:lang w:val="es-ES"/>
              </w:rPr>
              <w:t xml:space="preserve">Fuentes: </w:t>
            </w:r>
            <w:r w:rsidRPr="005E3D50">
              <w:rPr>
                <w:sz w:val="20"/>
                <w:szCs w:val="20"/>
                <w:lang w:val="es-ES"/>
              </w:rPr>
              <w:t>Convención sobre los Humedales, 2025a y CMNUCC, 2024a.</w:t>
            </w:r>
          </w:p>
          <w:p w14:paraId="5E1CEA55" w14:textId="77777777" w:rsidR="000B78E4" w:rsidRPr="005E3D50" w:rsidRDefault="000B78E4" w:rsidP="00AA0B95">
            <w:pPr>
              <w:spacing w:line="276" w:lineRule="auto"/>
              <w:rPr>
                <w:i/>
                <w:iCs/>
                <w:sz w:val="22"/>
                <w:szCs w:val="22"/>
                <w:lang w:val="es-ES"/>
              </w:rPr>
            </w:pPr>
          </w:p>
          <w:p w14:paraId="6439CB6F" w14:textId="604033F5" w:rsidR="000B78E4" w:rsidRPr="0059394F" w:rsidRDefault="000B78E4" w:rsidP="00AA0B95">
            <w:pPr>
              <w:spacing w:line="276" w:lineRule="auto"/>
              <w:rPr>
                <w:sz w:val="16"/>
                <w:szCs w:val="16"/>
                <w:lang w:val="pt-BR"/>
              </w:rPr>
            </w:pPr>
            <w:r w:rsidRPr="0059394F">
              <w:rPr>
                <w:sz w:val="16"/>
                <w:szCs w:val="16"/>
                <w:vertAlign w:val="superscript"/>
                <w:lang w:val="pt-BR"/>
              </w:rPr>
              <w:t>a</w:t>
            </w:r>
            <w:r w:rsidRPr="0059394F">
              <w:rPr>
                <w:sz w:val="16"/>
                <w:szCs w:val="16"/>
                <w:lang w:val="pt-BR"/>
              </w:rPr>
              <w:t xml:space="preserve"> </w:t>
            </w:r>
            <w:proofErr w:type="spellStart"/>
            <w:r w:rsidRPr="0059394F">
              <w:rPr>
                <w:sz w:val="16"/>
                <w:szCs w:val="16"/>
                <w:lang w:val="pt-BR"/>
              </w:rPr>
              <w:t>Véase</w:t>
            </w:r>
            <w:proofErr w:type="spellEnd"/>
            <w:r w:rsidRPr="0059394F">
              <w:rPr>
                <w:sz w:val="16"/>
                <w:szCs w:val="16"/>
                <w:lang w:val="pt-BR"/>
              </w:rPr>
              <w:t xml:space="preserve"> </w:t>
            </w:r>
            <w:r>
              <w:fldChar w:fldCharType="begin"/>
            </w:r>
            <w:r w:rsidRPr="00942359">
              <w:rPr>
                <w:lang w:val="fr-FR"/>
              </w:rPr>
              <w:instrText>HYPERLINK "http://www.mangrovebreakthrough.com/"</w:instrText>
            </w:r>
            <w:r>
              <w:fldChar w:fldCharType="separate"/>
            </w:r>
            <w:r w:rsidRPr="0059394F">
              <w:rPr>
                <w:rStyle w:val="Hyperlink"/>
                <w:sz w:val="16"/>
                <w:szCs w:val="16"/>
                <w:lang w:val="pt-BR"/>
              </w:rPr>
              <w:t>www.mangrovebreakthrough.com/</w:t>
            </w:r>
            <w:r>
              <w:fldChar w:fldCharType="end"/>
            </w:r>
            <w:r w:rsidRPr="0059394F">
              <w:rPr>
                <w:sz w:val="16"/>
                <w:szCs w:val="16"/>
                <w:lang w:val="pt-BR"/>
              </w:rPr>
              <w:t>.</w:t>
            </w:r>
          </w:p>
          <w:p w14:paraId="0664F001" w14:textId="1A163A3D" w:rsidR="000B78E4" w:rsidRPr="00673184" w:rsidRDefault="000B78E4" w:rsidP="000B78E4">
            <w:pPr>
              <w:pStyle w:val="FootnoteText"/>
              <w:rPr>
                <w:sz w:val="16"/>
                <w:szCs w:val="16"/>
                <w:lang w:val="fr-FR"/>
              </w:rPr>
            </w:pPr>
            <w:proofErr w:type="gramStart"/>
            <w:r w:rsidRPr="00673184">
              <w:rPr>
                <w:sz w:val="16"/>
                <w:szCs w:val="16"/>
                <w:vertAlign w:val="superscript"/>
                <w:lang w:val="fr-FR"/>
              </w:rPr>
              <w:t>b</w:t>
            </w:r>
            <w:proofErr w:type="gramEnd"/>
            <w:r w:rsidRPr="00673184">
              <w:rPr>
                <w:sz w:val="16"/>
                <w:szCs w:val="16"/>
                <w:lang w:val="fr-FR"/>
              </w:rPr>
              <w:t xml:space="preserve"> </w:t>
            </w:r>
            <w:proofErr w:type="spellStart"/>
            <w:r w:rsidRPr="00673184">
              <w:rPr>
                <w:sz w:val="16"/>
                <w:szCs w:val="16"/>
                <w:lang w:val="fr-FR"/>
              </w:rPr>
              <w:t>Véase</w:t>
            </w:r>
            <w:proofErr w:type="spellEnd"/>
            <w:r w:rsidRPr="00673184">
              <w:rPr>
                <w:sz w:val="16"/>
                <w:szCs w:val="16"/>
                <w:lang w:val="fr-FR"/>
              </w:rPr>
              <w:t xml:space="preserve"> </w:t>
            </w:r>
            <w:hyperlink r:id="rId63" w:history="1">
              <w:r w:rsidRPr="00673184">
                <w:rPr>
                  <w:rStyle w:val="Hyperlink"/>
                  <w:sz w:val="16"/>
                  <w:szCs w:val="16"/>
                  <w:lang w:val="fr-FR"/>
                </w:rPr>
                <w:t>www.globalmangrovewatch.org/</w:t>
              </w:r>
            </w:hyperlink>
            <w:r w:rsidRPr="00673184">
              <w:rPr>
                <w:sz w:val="16"/>
                <w:szCs w:val="16"/>
                <w:lang w:val="fr-FR"/>
              </w:rPr>
              <w:t>.</w:t>
            </w:r>
          </w:p>
          <w:p w14:paraId="117641A8" w14:textId="69581D3E" w:rsidR="000B78E4" w:rsidRPr="00673184" w:rsidRDefault="000B78E4" w:rsidP="00AA0B95">
            <w:pPr>
              <w:spacing w:line="276" w:lineRule="auto"/>
              <w:rPr>
                <w:sz w:val="16"/>
                <w:szCs w:val="16"/>
                <w:lang w:val="fr-FR"/>
              </w:rPr>
            </w:pPr>
          </w:p>
          <w:p w14:paraId="7BB56AD5" w14:textId="3E3995C7" w:rsidR="00B46A05" w:rsidRPr="00673184" w:rsidRDefault="00B46A05" w:rsidP="00825DF3">
            <w:pPr>
              <w:rPr>
                <w:lang w:val="fr-FR"/>
              </w:rPr>
            </w:pPr>
          </w:p>
        </w:tc>
      </w:tr>
    </w:tbl>
    <w:p w14:paraId="67465115" w14:textId="77777777" w:rsidR="00214053" w:rsidRPr="00673184" w:rsidRDefault="00214053" w:rsidP="00FC7784">
      <w:pPr>
        <w:rPr>
          <w:lang w:val="fr-FR"/>
        </w:rPr>
      </w:pPr>
    </w:p>
    <w:p w14:paraId="6021A616" w14:textId="77777777" w:rsidR="004D6445" w:rsidRPr="00673184" w:rsidRDefault="004D6445" w:rsidP="00DA5236">
      <w:pPr>
        <w:pStyle w:val="Heading4"/>
        <w:spacing w:line="276" w:lineRule="auto"/>
        <w:rPr>
          <w:lang w:val="fr-FR"/>
        </w:rPr>
      </w:pPr>
    </w:p>
    <w:p w14:paraId="225D7402" w14:textId="344DBFF5" w:rsidR="003377A7" w:rsidRPr="005E3D50" w:rsidRDefault="00120352" w:rsidP="74032CC2">
      <w:pPr>
        <w:pStyle w:val="Heading4"/>
        <w:spacing w:line="276" w:lineRule="auto"/>
        <w:rPr>
          <w:rFonts w:ascii="Aptos" w:eastAsia="Aptos" w:hAnsi="Aptos" w:cs="Aptos"/>
          <w:i w:val="0"/>
          <w:iCs w:val="0"/>
          <w:color w:val="000000" w:themeColor="text1"/>
          <w:lang w:val="es-ES"/>
        </w:rPr>
      </w:pPr>
      <w:bookmarkStart w:id="154" w:name="_Toc235821076"/>
      <w:bookmarkStart w:id="155" w:name="_Toc239069197"/>
      <w:bookmarkStart w:id="156" w:name="_Toc242882975"/>
      <w:r w:rsidRPr="005E3D50">
        <w:rPr>
          <w:b/>
          <w:bCs/>
          <w:i w:val="0"/>
          <w:iCs w:val="0"/>
          <w:lang w:val="es-ES"/>
        </w:rPr>
        <w:t>Meta 3</w:t>
      </w:r>
      <w:r w:rsidRPr="005E3D50">
        <w:rPr>
          <w:lang w:val="es-ES"/>
        </w:rPr>
        <w:t xml:space="preserve">. </w:t>
      </w:r>
      <w:r w:rsidRPr="005E3D50">
        <w:rPr>
          <w:i w:val="0"/>
          <w:iCs w:val="0"/>
          <w:lang w:val="es-ES"/>
        </w:rPr>
        <w:t>Conservar y gestionar eficazmente al menos el 30 % de las zonas terrestres y de aguas continentales y el 30 % de las zonas marinas y costeras.</w:t>
      </w:r>
      <w:bookmarkEnd w:id="154"/>
      <w:bookmarkEnd w:id="155"/>
      <w:bookmarkEnd w:id="156"/>
    </w:p>
    <w:p w14:paraId="58E337A5" w14:textId="77777777" w:rsidR="004A7503" w:rsidRPr="005E3D50" w:rsidRDefault="004A7503" w:rsidP="004A7503">
      <w:pPr>
        <w:rPr>
          <w:b/>
          <w:bCs/>
          <w:i/>
          <w:iCs/>
          <w:sz w:val="22"/>
          <w:szCs w:val="22"/>
          <w:lang w:val="es-ES"/>
        </w:rPr>
      </w:pPr>
    </w:p>
    <w:p w14:paraId="5B43E86D" w14:textId="11F23CC4" w:rsidR="004A7503" w:rsidRPr="005E3D50" w:rsidRDefault="004A7503" w:rsidP="004A7503">
      <w:pPr>
        <w:rPr>
          <w:sz w:val="22"/>
          <w:szCs w:val="22"/>
          <w:lang w:val="es-ES"/>
        </w:rPr>
      </w:pPr>
      <w:r w:rsidRPr="005E3D50">
        <w:rPr>
          <w:b/>
          <w:bCs/>
          <w:sz w:val="22"/>
          <w:szCs w:val="22"/>
          <w:lang w:val="es-ES"/>
        </w:rPr>
        <w:t>Texto de la meta</w:t>
      </w:r>
      <w:r w:rsidRPr="005E3D50">
        <w:rPr>
          <w:b/>
          <w:sz w:val="22"/>
          <w:szCs w:val="22"/>
          <w:lang w:val="es-ES"/>
        </w:rPr>
        <w:t>.</w:t>
      </w:r>
      <w:r w:rsidRPr="005E3D50">
        <w:rPr>
          <w:b/>
          <w:bCs/>
          <w:sz w:val="22"/>
          <w:szCs w:val="22"/>
          <w:lang w:val="es-ES"/>
        </w:rPr>
        <w:t xml:space="preserve"> </w:t>
      </w:r>
      <w:r w:rsidRPr="005E3D50">
        <w:rPr>
          <w:i/>
          <w:iCs/>
          <w:sz w:val="22"/>
          <w:szCs w:val="22"/>
          <w:lang w:val="es-ES"/>
        </w:rPr>
        <w:t>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p w14:paraId="2003D286" w14:textId="77777777" w:rsidR="004A7503" w:rsidRPr="005E3D50" w:rsidRDefault="004A7503" w:rsidP="004A7503">
      <w:pPr>
        <w:rPr>
          <w:lang w:val="es-ES"/>
        </w:rPr>
      </w:pPr>
    </w:p>
    <w:p w14:paraId="4E197B42" w14:textId="20816C28" w:rsidR="001A1397" w:rsidRPr="005E3D50" w:rsidRDefault="002A0888" w:rsidP="1D6A2DD3">
      <w:pPr>
        <w:pStyle w:val="Heading5"/>
        <w:rPr>
          <w:rFonts w:ascii="Aptos" w:eastAsia="Aptos" w:hAnsi="Aptos" w:cs="Aptos"/>
          <w:i/>
          <w:iCs/>
          <w:color w:val="000000" w:themeColor="text1"/>
          <w:lang w:val="es-ES"/>
        </w:rPr>
      </w:pPr>
      <w:bookmarkStart w:id="157" w:name="_Toc235821077"/>
      <w:r w:rsidRPr="005E3D50">
        <w:rPr>
          <w:lang w:val="es-ES"/>
        </w:rPr>
        <w:t>Panorama general de los progresos</w:t>
      </w:r>
      <w:bookmarkEnd w:id="157"/>
    </w:p>
    <w:tbl>
      <w:tblPr>
        <w:tblStyle w:val="TableGrid"/>
        <w:tblW w:w="0" w:type="auto"/>
        <w:tblLook w:val="04A0" w:firstRow="1" w:lastRow="0" w:firstColumn="1" w:lastColumn="0" w:noHBand="0" w:noVBand="1"/>
      </w:tblPr>
      <w:tblGrid>
        <w:gridCol w:w="9350"/>
      </w:tblGrid>
      <w:tr w:rsidR="008964BB" w:rsidRPr="005E3D50" w14:paraId="22C222F3" w14:textId="77777777" w:rsidTr="00217FA8">
        <w:tc>
          <w:tcPr>
            <w:tcW w:w="12753" w:type="dxa"/>
            <w:shd w:val="clear" w:color="auto" w:fill="D1D1D1" w:themeFill="background2" w:themeFillShade="E6"/>
          </w:tcPr>
          <w:p w14:paraId="35498D5F" w14:textId="77777777" w:rsidR="00217FA8" w:rsidRPr="005E3D50" w:rsidRDefault="00217FA8" w:rsidP="00B60665">
            <w:pPr>
              <w:rPr>
                <w:rFonts w:ascii="Aptos" w:eastAsia="Times New Roman" w:hAnsi="Aptos" w:cs="Calibri"/>
                <w:color w:val="000000"/>
                <w:lang w:val="es-ES"/>
              </w:rPr>
            </w:pPr>
          </w:p>
          <w:p w14:paraId="63886059" w14:textId="109D78F4" w:rsidR="000D7364" w:rsidRPr="005E3D50" w:rsidRDefault="000D7364" w:rsidP="000D7364">
            <w:pPr>
              <w:rPr>
                <w:rFonts w:ascii="Aptos" w:eastAsia="Times New Roman" w:hAnsi="Aptos" w:cs="Calibri"/>
                <w:color w:val="000000"/>
                <w:lang w:val="es-ES"/>
              </w:rPr>
            </w:pPr>
            <w:r w:rsidRPr="005E3D50">
              <w:rPr>
                <w:rFonts w:ascii="Aptos" w:hAnsi="Aptos"/>
                <w:color w:val="000000"/>
                <w:lang w:val="es-ES"/>
              </w:rPr>
              <w:t xml:space="preserve">Las Partes siguen logrando progresos en la ampliación y la gestión de áreas protegidas, en especial en las zonas marinas y costeras, pero la ambición y la implementación actuales siguen siendo insuficientes para </w:t>
            </w:r>
            <w:r w:rsidR="00BB0824" w:rsidRPr="005E3D50">
              <w:rPr>
                <w:rFonts w:ascii="Aptos" w:hAnsi="Aptos"/>
                <w:color w:val="000000"/>
                <w:lang w:val="es-ES"/>
              </w:rPr>
              <w:t>cumplir</w:t>
            </w:r>
            <w:r w:rsidRPr="005E3D50">
              <w:rPr>
                <w:rFonts w:ascii="Aptos" w:hAnsi="Aptos"/>
                <w:color w:val="000000"/>
                <w:lang w:val="es-ES"/>
              </w:rPr>
              <w:t xml:space="preserve"> plenamente todos los aspectos de la meta 3. Además, las Partes siguen avanzando en la designación de zonas terrestres y de aguas continentales, así como de zonas marinas y costeras, </w:t>
            </w:r>
            <w:r w:rsidR="00612163" w:rsidRPr="005E3D50">
              <w:rPr>
                <w:rFonts w:ascii="Aptos" w:hAnsi="Aptos"/>
                <w:color w:val="000000"/>
                <w:lang w:val="es-ES"/>
              </w:rPr>
              <w:t>con miras a</w:t>
            </w:r>
            <w:r w:rsidRPr="005E3D50">
              <w:rPr>
                <w:rFonts w:ascii="Aptos" w:hAnsi="Aptos"/>
                <w:color w:val="000000"/>
                <w:lang w:val="es-ES"/>
              </w:rPr>
              <w:t xml:space="preserve"> lograr resultados eficaces de conservación y gestión, y se encuentran en una fase inicial de implementación y seguimiento de otras medidas de conservación </w:t>
            </w:r>
            <w:r w:rsidR="00805789" w:rsidRPr="005E3D50">
              <w:rPr>
                <w:rFonts w:ascii="Aptos" w:hAnsi="Aptos"/>
                <w:color w:val="000000"/>
                <w:lang w:val="es-ES"/>
              </w:rPr>
              <w:t xml:space="preserve">eficaces </w:t>
            </w:r>
            <w:r w:rsidRPr="005E3D50">
              <w:rPr>
                <w:rFonts w:ascii="Aptos" w:hAnsi="Aptos"/>
                <w:color w:val="000000"/>
                <w:lang w:val="es-ES"/>
              </w:rPr>
              <w:t xml:space="preserve">basadas en áreas (OMEC), aunque las limitaciones metodológicas afectan la capacidad de evaluar con precisión estos progresos. </w:t>
            </w:r>
            <w:r w:rsidR="00240B80" w:rsidRPr="005E3D50">
              <w:rPr>
                <w:rFonts w:ascii="Aptos" w:hAnsi="Aptos"/>
                <w:color w:val="000000"/>
                <w:lang w:val="es-ES"/>
              </w:rPr>
              <w:t>Sin embargo, l</w:t>
            </w:r>
            <w:r w:rsidRPr="005E3D50">
              <w:rPr>
                <w:rFonts w:ascii="Aptos" w:hAnsi="Aptos"/>
                <w:color w:val="000000"/>
                <w:lang w:val="es-ES"/>
              </w:rPr>
              <w:t xml:space="preserve">as metas nacionales están menos armonizadas con los aspectos cualitativos de la meta 3, y el seguimiento y la presentación de informes sobre algunos elementos de la meta siguen siendo </w:t>
            </w:r>
            <w:r w:rsidR="001601EA" w:rsidRPr="005E3D50">
              <w:rPr>
                <w:rFonts w:ascii="Aptos" w:hAnsi="Aptos"/>
                <w:color w:val="000000"/>
                <w:lang w:val="es-ES"/>
              </w:rPr>
              <w:t>limitados</w:t>
            </w:r>
            <w:r w:rsidRPr="005E3D50">
              <w:rPr>
                <w:rFonts w:ascii="Aptos" w:hAnsi="Aptos"/>
                <w:color w:val="000000"/>
                <w:lang w:val="es-ES"/>
              </w:rPr>
              <w:t xml:space="preserve">, incluidos los relacionados con la gobernanza equitativa de las áreas protegidas y </w:t>
            </w:r>
            <w:r w:rsidR="001601EA" w:rsidRPr="005E3D50">
              <w:rPr>
                <w:rFonts w:ascii="Aptos" w:hAnsi="Aptos"/>
                <w:color w:val="000000"/>
                <w:lang w:val="es-ES"/>
              </w:rPr>
              <w:t xml:space="preserve">otras medidas de conservación </w:t>
            </w:r>
            <w:r w:rsidR="00612163" w:rsidRPr="005E3D50">
              <w:rPr>
                <w:rFonts w:ascii="Aptos" w:hAnsi="Aptos"/>
                <w:color w:val="000000"/>
                <w:lang w:val="es-ES"/>
              </w:rPr>
              <w:t>eficaces basadas en áreas</w:t>
            </w:r>
            <w:r w:rsidRPr="005E3D50">
              <w:rPr>
                <w:rFonts w:ascii="Aptos" w:hAnsi="Aptos"/>
                <w:color w:val="000000"/>
                <w:lang w:val="es-ES"/>
              </w:rPr>
              <w:t>, el reconocimiento de los territorios indígenas y locales y la integración en paisajes terrestres y marinos más amplios. Las Partes enfrentan importantes dificultades con respecto a la implementación, sobre todo debido a la falta de financiación y de capacidad.</w:t>
            </w:r>
          </w:p>
          <w:p w14:paraId="391CD91E" w14:textId="6584DE1B" w:rsidR="00217FA8" w:rsidRPr="005E3D50" w:rsidRDefault="00217FA8" w:rsidP="00B60665">
            <w:pPr>
              <w:rPr>
                <w:lang w:val="es-ES"/>
              </w:rPr>
            </w:pPr>
          </w:p>
        </w:tc>
      </w:tr>
    </w:tbl>
    <w:p w14:paraId="143B1B60" w14:textId="77777777" w:rsidR="008D612D" w:rsidRPr="005E3D50" w:rsidRDefault="008D612D" w:rsidP="008D612D">
      <w:pPr>
        <w:rPr>
          <w:lang w:val="es-ES"/>
        </w:rPr>
      </w:pPr>
    </w:p>
    <w:p w14:paraId="1C2B5C5E" w14:textId="59F4823E" w:rsidR="000D7364" w:rsidRPr="005E3D50" w:rsidRDefault="000D7364" w:rsidP="000D7364">
      <w:pPr>
        <w:pStyle w:val="Heading5"/>
        <w:rPr>
          <w:lang w:val="es-ES"/>
        </w:rPr>
      </w:pPr>
      <w:r w:rsidRPr="005E3D50">
        <w:rPr>
          <w:lang w:val="es-ES"/>
        </w:rPr>
        <w:t>Grado en que las Partes cubren el alcance de la meta 3 del Marco en sus metas nacionales</w:t>
      </w:r>
    </w:p>
    <w:p w14:paraId="20C3ABBF" w14:textId="77777777" w:rsidR="00FD4429" w:rsidRPr="005E3D50" w:rsidRDefault="00FD4429" w:rsidP="00FD4429">
      <w:pPr>
        <w:pStyle w:val="Caption"/>
        <w:rPr>
          <w:lang w:val="es-ES"/>
        </w:rPr>
      </w:pPr>
    </w:p>
    <w:p w14:paraId="0D3DD37D" w14:textId="4ACCB7BD" w:rsidR="00330A88" w:rsidRPr="005E3D50" w:rsidRDefault="00FD4429" w:rsidP="00FD4429">
      <w:pPr>
        <w:pStyle w:val="Caption"/>
        <w:rPr>
          <w:i w:val="0"/>
          <w:iCs w:val="0"/>
          <w:sz w:val="20"/>
          <w:szCs w:val="20"/>
          <w:lang w:val="es-ES"/>
        </w:rPr>
      </w:pPr>
      <w:bookmarkStart w:id="158" w:name="_Ref230170581"/>
      <w:r w:rsidRPr="005E3D50">
        <w:rPr>
          <w:i w:val="0"/>
          <w:sz w:val="20"/>
          <w:szCs w:val="20"/>
          <w:lang w:val="es-ES"/>
        </w:rPr>
        <w:t>Cuadro 8</w:t>
      </w:r>
      <w:bookmarkEnd w:id="158"/>
    </w:p>
    <w:p w14:paraId="277DD0E5" w14:textId="72E1C0EE" w:rsidR="00FD4429" w:rsidRPr="005E3D50" w:rsidRDefault="00FD4429" w:rsidP="00FD4429">
      <w:pPr>
        <w:pStyle w:val="Caption"/>
        <w:rPr>
          <w:b/>
          <w:i w:val="0"/>
          <w:sz w:val="20"/>
          <w:szCs w:val="20"/>
          <w:vertAlign w:val="superscript"/>
          <w:lang w:val="es-ES"/>
        </w:rPr>
      </w:pPr>
      <w:r w:rsidRPr="005E3D50">
        <w:rPr>
          <w:b/>
          <w:i w:val="0"/>
          <w:sz w:val="20"/>
          <w:szCs w:val="20"/>
          <w:lang w:val="es-ES"/>
        </w:rPr>
        <w:t xml:space="preserve">Elementos de la meta 3 del Marco y cómo se abordan en las metas </w:t>
      </w:r>
      <w:proofErr w:type="spellStart"/>
      <w:r w:rsidRPr="005E3D50">
        <w:rPr>
          <w:b/>
          <w:i w:val="0"/>
          <w:sz w:val="20"/>
          <w:szCs w:val="20"/>
          <w:lang w:val="es-ES"/>
        </w:rPr>
        <w:t>nacionales</w:t>
      </w:r>
      <w:r w:rsidRPr="005E3D50">
        <w:rPr>
          <w:b/>
          <w:bCs/>
          <w:i w:val="0"/>
          <w:iCs w:val="0"/>
          <w:sz w:val="20"/>
          <w:szCs w:val="20"/>
          <w:vertAlign w:val="superscript"/>
          <w:lang w:val="es-ES"/>
        </w:rPr>
        <w:t>a</w:t>
      </w:r>
      <w:proofErr w:type="spellEnd"/>
      <w:r w:rsidRPr="005E3D50">
        <w:rPr>
          <w:b/>
          <w:i w:val="0"/>
          <w:sz w:val="20"/>
          <w:szCs w:val="20"/>
          <w:lang w:val="es-ES"/>
        </w:rPr>
        <w:t>.</w:t>
      </w:r>
    </w:p>
    <w:tbl>
      <w:tblPr>
        <w:tblStyle w:val="TableGrid"/>
        <w:tblW w:w="0" w:type="auto"/>
        <w:tblLook w:val="04A0" w:firstRow="1" w:lastRow="0" w:firstColumn="1" w:lastColumn="0" w:noHBand="0" w:noVBand="1"/>
      </w:tblPr>
      <w:tblGrid>
        <w:gridCol w:w="8500"/>
        <w:gridCol w:w="516"/>
      </w:tblGrid>
      <w:tr w:rsidR="004F4A85" w:rsidRPr="005E3D50" w14:paraId="2EB3F163" w14:textId="77777777" w:rsidTr="00A94E13">
        <w:tc>
          <w:tcPr>
            <w:tcW w:w="8500" w:type="dxa"/>
          </w:tcPr>
          <w:p w14:paraId="0D632666" w14:textId="2FCAB2FB" w:rsidR="00BF437D" w:rsidRPr="005E3D50" w:rsidRDefault="005D6179" w:rsidP="004B34D4">
            <w:pPr>
              <w:rPr>
                <w:sz w:val="20"/>
                <w:szCs w:val="20"/>
                <w:lang w:val="es-ES"/>
              </w:rPr>
            </w:pPr>
            <w:r w:rsidRPr="005E3D50">
              <w:rPr>
                <w:sz w:val="20"/>
                <w:szCs w:val="20"/>
                <w:lang w:val="es-ES"/>
              </w:rPr>
              <w:t>Al menos un 30 % de las zonas terrestres están incluidas en sistemas de áreas protegidas y otras medidas de conservación eficaces basadas en áreas (OMEC)</w:t>
            </w:r>
          </w:p>
        </w:tc>
        <w:tc>
          <w:tcPr>
            <w:tcW w:w="516" w:type="dxa"/>
            <w:shd w:val="clear" w:color="auto" w:fill="92D050"/>
          </w:tcPr>
          <w:p w14:paraId="2FC4DF36" w14:textId="4991A33D" w:rsidR="004F4A85" w:rsidRPr="005E3D50" w:rsidRDefault="001F501A" w:rsidP="004B34D4">
            <w:pPr>
              <w:rPr>
                <w:sz w:val="20"/>
                <w:szCs w:val="20"/>
                <w:lang w:val="es-ES"/>
              </w:rPr>
            </w:pPr>
            <w:r w:rsidRPr="005E3D50">
              <w:rPr>
                <w:sz w:val="20"/>
                <w:szCs w:val="20"/>
                <w:lang w:val="es-ES"/>
              </w:rPr>
              <w:t>78</w:t>
            </w:r>
          </w:p>
        </w:tc>
      </w:tr>
      <w:tr w:rsidR="005D636D" w:rsidRPr="005E3D50" w14:paraId="48341207" w14:textId="77777777" w:rsidTr="00EA7DF2">
        <w:tc>
          <w:tcPr>
            <w:tcW w:w="8500" w:type="dxa"/>
          </w:tcPr>
          <w:p w14:paraId="645B3859" w14:textId="4F6A5313" w:rsidR="00BF437D" w:rsidRPr="005E3D50" w:rsidRDefault="005D636D" w:rsidP="004B34D4">
            <w:pPr>
              <w:rPr>
                <w:sz w:val="20"/>
                <w:szCs w:val="20"/>
                <w:lang w:val="es-ES"/>
              </w:rPr>
            </w:pPr>
            <w:r w:rsidRPr="005E3D50">
              <w:rPr>
                <w:sz w:val="20"/>
                <w:szCs w:val="20"/>
                <w:lang w:val="es-ES"/>
              </w:rPr>
              <w:t>Al menos un 30 % de las zonas de aguas continentales están incluidas en áreas protegidas y OMEC</w:t>
            </w:r>
          </w:p>
        </w:tc>
        <w:tc>
          <w:tcPr>
            <w:tcW w:w="516" w:type="dxa"/>
            <w:shd w:val="clear" w:color="auto" w:fill="92D050"/>
          </w:tcPr>
          <w:p w14:paraId="1A8DAD0A" w14:textId="509F1DF4" w:rsidR="005D636D" w:rsidRPr="005E3D50" w:rsidRDefault="003E0EBB" w:rsidP="004B34D4">
            <w:pPr>
              <w:rPr>
                <w:sz w:val="20"/>
                <w:szCs w:val="20"/>
                <w:lang w:val="es-ES"/>
              </w:rPr>
            </w:pPr>
            <w:r w:rsidRPr="005E3D50">
              <w:rPr>
                <w:sz w:val="20"/>
                <w:szCs w:val="20"/>
                <w:lang w:val="es-ES"/>
              </w:rPr>
              <w:t>64</w:t>
            </w:r>
          </w:p>
        </w:tc>
      </w:tr>
      <w:tr w:rsidR="004F4A85" w:rsidRPr="005E3D50" w14:paraId="47E29192" w14:textId="77777777" w:rsidTr="00400247">
        <w:tc>
          <w:tcPr>
            <w:tcW w:w="8500" w:type="dxa"/>
          </w:tcPr>
          <w:p w14:paraId="4840237A" w14:textId="6C0887EE" w:rsidR="004F4A85" w:rsidRPr="005E3D50" w:rsidRDefault="005B30ED" w:rsidP="004B34D4">
            <w:pPr>
              <w:rPr>
                <w:sz w:val="20"/>
                <w:szCs w:val="20"/>
                <w:lang w:val="es-ES"/>
              </w:rPr>
            </w:pPr>
            <w:r w:rsidRPr="005E3D50">
              <w:rPr>
                <w:sz w:val="20"/>
                <w:szCs w:val="20"/>
                <w:lang w:val="es-ES"/>
              </w:rPr>
              <w:t>Al menos un 30 % de las zonas marinas y costeras están incluidas en sistemas de áreas protegidas y OMEC</w:t>
            </w:r>
          </w:p>
        </w:tc>
        <w:tc>
          <w:tcPr>
            <w:tcW w:w="516" w:type="dxa"/>
            <w:shd w:val="clear" w:color="auto" w:fill="92D050"/>
          </w:tcPr>
          <w:p w14:paraId="5F9DE838" w14:textId="24802BD2" w:rsidR="004F4A85" w:rsidRPr="005E3D50" w:rsidRDefault="00E17F07" w:rsidP="004B34D4">
            <w:pPr>
              <w:rPr>
                <w:sz w:val="20"/>
                <w:szCs w:val="20"/>
                <w:lang w:val="es-ES"/>
              </w:rPr>
            </w:pPr>
            <w:r w:rsidRPr="005E3D50">
              <w:rPr>
                <w:sz w:val="20"/>
                <w:szCs w:val="20"/>
                <w:lang w:val="es-ES"/>
              </w:rPr>
              <w:t>72</w:t>
            </w:r>
          </w:p>
        </w:tc>
      </w:tr>
      <w:tr w:rsidR="004F4A85" w:rsidRPr="005E3D50" w14:paraId="787B3156" w14:textId="77777777" w:rsidTr="00CD2CB9">
        <w:tc>
          <w:tcPr>
            <w:tcW w:w="8500" w:type="dxa"/>
          </w:tcPr>
          <w:p w14:paraId="59F77716" w14:textId="7CA7A457" w:rsidR="004F4A85" w:rsidRPr="005E3D50" w:rsidRDefault="002A67E7" w:rsidP="004B34D4">
            <w:pPr>
              <w:rPr>
                <w:sz w:val="20"/>
                <w:szCs w:val="20"/>
                <w:lang w:val="es-ES"/>
              </w:rPr>
            </w:pPr>
            <w:r w:rsidRPr="005E3D50">
              <w:rPr>
                <w:sz w:val="20"/>
                <w:szCs w:val="20"/>
                <w:lang w:val="es-ES"/>
              </w:rPr>
              <w:t>Las zonas de particular importancia para la biodiversidad y las funciones y los servicios de los ecosistemas están incluidos en sistemas de áreas protegidas y OMEC</w:t>
            </w:r>
          </w:p>
        </w:tc>
        <w:tc>
          <w:tcPr>
            <w:tcW w:w="516" w:type="dxa"/>
            <w:shd w:val="clear" w:color="auto" w:fill="FFFF00"/>
          </w:tcPr>
          <w:p w14:paraId="05A07A29" w14:textId="576D4091" w:rsidR="004F4A85" w:rsidRPr="005E3D50" w:rsidRDefault="002F23E9" w:rsidP="004B34D4">
            <w:pPr>
              <w:rPr>
                <w:sz w:val="20"/>
                <w:szCs w:val="20"/>
                <w:lang w:val="es-ES"/>
              </w:rPr>
            </w:pPr>
            <w:r w:rsidRPr="005E3D50">
              <w:rPr>
                <w:sz w:val="20"/>
                <w:szCs w:val="20"/>
                <w:lang w:val="es-ES"/>
              </w:rPr>
              <w:t>43</w:t>
            </w:r>
          </w:p>
        </w:tc>
      </w:tr>
      <w:tr w:rsidR="004F4A85" w:rsidRPr="005E3D50" w14:paraId="76CFE120" w14:textId="77777777" w:rsidTr="002F462F">
        <w:tc>
          <w:tcPr>
            <w:tcW w:w="8500" w:type="dxa"/>
          </w:tcPr>
          <w:p w14:paraId="202193CC" w14:textId="0031A7F0" w:rsidR="004F4A85" w:rsidRPr="005E3D50" w:rsidRDefault="00CB0220" w:rsidP="004B34D4">
            <w:pPr>
              <w:rPr>
                <w:sz w:val="20"/>
                <w:szCs w:val="20"/>
                <w:lang w:val="es-ES"/>
              </w:rPr>
            </w:pPr>
            <w:r w:rsidRPr="005E3D50">
              <w:rPr>
                <w:sz w:val="20"/>
                <w:szCs w:val="20"/>
                <w:lang w:val="es-ES"/>
              </w:rPr>
              <w:t>Las áreas protegidas y OMEC se conservan y gestionan eficazmente</w:t>
            </w:r>
          </w:p>
          <w:p w14:paraId="4502C677" w14:textId="75667512" w:rsidR="00C1405E" w:rsidRPr="005E3D50" w:rsidRDefault="00C1405E" w:rsidP="004B34D4">
            <w:pPr>
              <w:rPr>
                <w:sz w:val="20"/>
                <w:szCs w:val="20"/>
                <w:lang w:val="es-ES"/>
              </w:rPr>
            </w:pPr>
          </w:p>
        </w:tc>
        <w:tc>
          <w:tcPr>
            <w:tcW w:w="516" w:type="dxa"/>
            <w:shd w:val="clear" w:color="auto" w:fill="FFFF00"/>
          </w:tcPr>
          <w:p w14:paraId="16849189" w14:textId="6C781096" w:rsidR="004F4A85" w:rsidRPr="005E3D50" w:rsidRDefault="00B63D83" w:rsidP="004B34D4">
            <w:pPr>
              <w:rPr>
                <w:sz w:val="20"/>
                <w:szCs w:val="20"/>
                <w:lang w:val="es-ES"/>
              </w:rPr>
            </w:pPr>
            <w:r w:rsidRPr="005E3D50">
              <w:rPr>
                <w:sz w:val="20"/>
                <w:szCs w:val="20"/>
                <w:lang w:val="es-ES"/>
              </w:rPr>
              <w:t>57</w:t>
            </w:r>
          </w:p>
        </w:tc>
      </w:tr>
      <w:tr w:rsidR="004F4A85" w:rsidRPr="005E3D50" w14:paraId="3C4C1970" w14:textId="77777777" w:rsidTr="00F902D6">
        <w:tc>
          <w:tcPr>
            <w:tcW w:w="8500" w:type="dxa"/>
          </w:tcPr>
          <w:p w14:paraId="4B8E6BA5" w14:textId="77777777" w:rsidR="00C1405E" w:rsidRPr="005E3D50" w:rsidRDefault="00C1405E" w:rsidP="004B34D4">
            <w:pPr>
              <w:rPr>
                <w:sz w:val="20"/>
                <w:szCs w:val="20"/>
                <w:lang w:val="es-ES"/>
              </w:rPr>
            </w:pPr>
            <w:r w:rsidRPr="005E3D50">
              <w:rPr>
                <w:sz w:val="20"/>
                <w:szCs w:val="20"/>
                <w:lang w:val="es-ES"/>
              </w:rPr>
              <w:t>Las áreas protegidas y OMEC son ecológicamente representativas</w:t>
            </w:r>
          </w:p>
          <w:p w14:paraId="1FFC76D9" w14:textId="6C4AFD08" w:rsidR="00BF437D" w:rsidRPr="005E3D50" w:rsidRDefault="00BF437D" w:rsidP="004B34D4">
            <w:pPr>
              <w:rPr>
                <w:sz w:val="20"/>
                <w:szCs w:val="20"/>
                <w:lang w:val="es-ES"/>
              </w:rPr>
            </w:pPr>
          </w:p>
        </w:tc>
        <w:tc>
          <w:tcPr>
            <w:tcW w:w="516" w:type="dxa"/>
            <w:shd w:val="clear" w:color="auto" w:fill="FFFF00"/>
          </w:tcPr>
          <w:p w14:paraId="33681DCD" w14:textId="3550315D" w:rsidR="004F4A85" w:rsidRPr="005E3D50" w:rsidRDefault="00CC18EF" w:rsidP="004B34D4">
            <w:pPr>
              <w:rPr>
                <w:sz w:val="20"/>
                <w:szCs w:val="20"/>
                <w:lang w:val="es-ES"/>
              </w:rPr>
            </w:pPr>
            <w:r w:rsidRPr="005E3D50">
              <w:rPr>
                <w:sz w:val="20"/>
                <w:szCs w:val="20"/>
                <w:lang w:val="es-ES"/>
              </w:rPr>
              <w:t>40</w:t>
            </w:r>
          </w:p>
        </w:tc>
      </w:tr>
      <w:tr w:rsidR="004F4A85" w:rsidRPr="005E3D50" w14:paraId="697C6F17" w14:textId="77777777" w:rsidTr="006F3FAE">
        <w:tc>
          <w:tcPr>
            <w:tcW w:w="8500" w:type="dxa"/>
          </w:tcPr>
          <w:p w14:paraId="0B538C39" w14:textId="0F31063A" w:rsidR="004F4A85" w:rsidRPr="005E3D50" w:rsidRDefault="005C0408" w:rsidP="004B34D4">
            <w:pPr>
              <w:rPr>
                <w:sz w:val="20"/>
                <w:szCs w:val="20"/>
                <w:lang w:val="es-ES"/>
              </w:rPr>
            </w:pPr>
            <w:r w:rsidRPr="005E3D50">
              <w:rPr>
                <w:sz w:val="20"/>
                <w:szCs w:val="20"/>
                <w:lang w:val="es-ES"/>
              </w:rPr>
              <w:t>Las áreas protegidas y OMEC están bien conectadas</w:t>
            </w:r>
          </w:p>
          <w:p w14:paraId="4E78C0F8" w14:textId="0F705311" w:rsidR="005C0408" w:rsidRPr="005E3D50" w:rsidRDefault="005C0408" w:rsidP="004B34D4">
            <w:pPr>
              <w:rPr>
                <w:lang w:val="es-ES"/>
              </w:rPr>
            </w:pPr>
          </w:p>
        </w:tc>
        <w:tc>
          <w:tcPr>
            <w:tcW w:w="516" w:type="dxa"/>
            <w:shd w:val="clear" w:color="auto" w:fill="FFFF00"/>
          </w:tcPr>
          <w:p w14:paraId="098FB76C" w14:textId="100F2438" w:rsidR="004F4A85" w:rsidRPr="005E3D50" w:rsidRDefault="00FF0419" w:rsidP="004B34D4">
            <w:pPr>
              <w:rPr>
                <w:sz w:val="20"/>
                <w:szCs w:val="20"/>
                <w:lang w:val="es-ES"/>
              </w:rPr>
            </w:pPr>
            <w:r w:rsidRPr="005E3D50">
              <w:rPr>
                <w:sz w:val="20"/>
                <w:szCs w:val="20"/>
                <w:lang w:val="es-ES"/>
              </w:rPr>
              <w:t>46</w:t>
            </w:r>
          </w:p>
        </w:tc>
      </w:tr>
      <w:tr w:rsidR="004F4A85" w:rsidRPr="005E3D50" w14:paraId="50FBEF32" w14:textId="77777777" w:rsidTr="00092495">
        <w:tc>
          <w:tcPr>
            <w:tcW w:w="8500" w:type="dxa"/>
          </w:tcPr>
          <w:p w14:paraId="1105A4D7" w14:textId="7AA69692" w:rsidR="004F4A85" w:rsidRPr="005E3D50" w:rsidRDefault="005C0408" w:rsidP="004B34D4">
            <w:pPr>
              <w:rPr>
                <w:sz w:val="20"/>
                <w:szCs w:val="20"/>
                <w:lang w:val="es-ES"/>
              </w:rPr>
            </w:pPr>
            <w:r w:rsidRPr="005E3D50">
              <w:rPr>
                <w:sz w:val="20"/>
                <w:szCs w:val="20"/>
                <w:lang w:val="es-ES"/>
              </w:rPr>
              <w:t>Las áreas protegidas y OMEC están gobernadas equitativamente</w:t>
            </w:r>
          </w:p>
          <w:p w14:paraId="65BEC2C9" w14:textId="377EE0EF" w:rsidR="005C0408" w:rsidRPr="005E3D50" w:rsidRDefault="005C0408" w:rsidP="004B34D4">
            <w:pPr>
              <w:rPr>
                <w:lang w:val="es-ES"/>
              </w:rPr>
            </w:pPr>
          </w:p>
        </w:tc>
        <w:tc>
          <w:tcPr>
            <w:tcW w:w="516" w:type="dxa"/>
            <w:shd w:val="clear" w:color="auto" w:fill="FFC000"/>
          </w:tcPr>
          <w:p w14:paraId="62437568" w14:textId="10205792" w:rsidR="004F4A85" w:rsidRPr="005E3D50" w:rsidRDefault="00952D75" w:rsidP="004B34D4">
            <w:pPr>
              <w:rPr>
                <w:sz w:val="20"/>
                <w:szCs w:val="20"/>
                <w:lang w:val="es-ES"/>
              </w:rPr>
            </w:pPr>
            <w:r w:rsidRPr="005E3D50">
              <w:rPr>
                <w:sz w:val="20"/>
                <w:szCs w:val="20"/>
                <w:lang w:val="es-ES"/>
              </w:rPr>
              <w:t>37</w:t>
            </w:r>
          </w:p>
        </w:tc>
      </w:tr>
      <w:tr w:rsidR="004F4A85" w:rsidRPr="005E3D50" w14:paraId="477832DA" w14:textId="77777777" w:rsidTr="00D577BF">
        <w:tc>
          <w:tcPr>
            <w:tcW w:w="8500" w:type="dxa"/>
          </w:tcPr>
          <w:p w14:paraId="6C1437E3" w14:textId="786D1B1C" w:rsidR="00BF437D" w:rsidRPr="005E3D50" w:rsidRDefault="00135652" w:rsidP="004B34D4">
            <w:pPr>
              <w:rPr>
                <w:sz w:val="20"/>
                <w:szCs w:val="20"/>
                <w:lang w:val="es-ES"/>
              </w:rPr>
            </w:pPr>
            <w:r w:rsidRPr="005E3D50">
              <w:rPr>
                <w:sz w:val="20"/>
                <w:szCs w:val="20"/>
                <w:lang w:val="es-ES"/>
              </w:rPr>
              <w:t>Las áreas protegidas y OMEC están integradas a los paisajes terrestres, marinos y oceánicos más amplios</w:t>
            </w:r>
          </w:p>
        </w:tc>
        <w:tc>
          <w:tcPr>
            <w:tcW w:w="516" w:type="dxa"/>
            <w:shd w:val="clear" w:color="auto" w:fill="FFC000"/>
          </w:tcPr>
          <w:p w14:paraId="5EB100CA" w14:textId="2C41D0C9" w:rsidR="004F4A85" w:rsidRPr="005E3D50" w:rsidRDefault="00042A2F" w:rsidP="004B34D4">
            <w:pPr>
              <w:rPr>
                <w:sz w:val="20"/>
                <w:szCs w:val="20"/>
                <w:lang w:val="es-ES"/>
              </w:rPr>
            </w:pPr>
            <w:r w:rsidRPr="005E3D50">
              <w:rPr>
                <w:sz w:val="20"/>
                <w:szCs w:val="20"/>
                <w:lang w:val="es-ES"/>
              </w:rPr>
              <w:t>32</w:t>
            </w:r>
          </w:p>
        </w:tc>
      </w:tr>
      <w:tr w:rsidR="004F4A85" w:rsidRPr="005E3D50" w14:paraId="5BFF74D6" w14:textId="77777777" w:rsidTr="00A21E4B">
        <w:tc>
          <w:tcPr>
            <w:tcW w:w="8500" w:type="dxa"/>
          </w:tcPr>
          <w:p w14:paraId="6943BD7E" w14:textId="0890D0A4" w:rsidR="004F4A85" w:rsidRPr="005E3D50" w:rsidRDefault="008E51CD" w:rsidP="004B34D4">
            <w:pPr>
              <w:rPr>
                <w:sz w:val="20"/>
                <w:szCs w:val="20"/>
                <w:lang w:val="es-ES"/>
              </w:rPr>
            </w:pPr>
            <w:r w:rsidRPr="005E3D50">
              <w:rPr>
                <w:sz w:val="20"/>
                <w:szCs w:val="20"/>
                <w:lang w:val="es-ES"/>
              </w:rPr>
              <w:lastRenderedPageBreak/>
              <w:t>Toda utilización sostenible en las áreas protegidas y OMEC es plenamente coherente con la obtención de resultados de conservación</w:t>
            </w:r>
          </w:p>
        </w:tc>
        <w:tc>
          <w:tcPr>
            <w:tcW w:w="516" w:type="dxa"/>
            <w:shd w:val="clear" w:color="auto" w:fill="FFC000"/>
          </w:tcPr>
          <w:p w14:paraId="66C984FB" w14:textId="360788ED" w:rsidR="004F4A85" w:rsidRPr="005E3D50" w:rsidRDefault="00421662" w:rsidP="004B34D4">
            <w:pPr>
              <w:rPr>
                <w:sz w:val="20"/>
                <w:szCs w:val="20"/>
                <w:lang w:val="es-ES"/>
              </w:rPr>
            </w:pPr>
            <w:r w:rsidRPr="005E3D50">
              <w:rPr>
                <w:sz w:val="20"/>
                <w:szCs w:val="20"/>
                <w:lang w:val="es-ES"/>
              </w:rPr>
              <w:t>26</w:t>
            </w:r>
          </w:p>
        </w:tc>
      </w:tr>
      <w:tr w:rsidR="004F4A85" w:rsidRPr="005E3D50" w14:paraId="5BC60D47" w14:textId="77777777" w:rsidTr="00AB1FD1">
        <w:tc>
          <w:tcPr>
            <w:tcW w:w="8500" w:type="dxa"/>
          </w:tcPr>
          <w:p w14:paraId="723225E8" w14:textId="7577EA3D" w:rsidR="000D3230" w:rsidRPr="005E3D50" w:rsidRDefault="00AC7A23" w:rsidP="004B34D4">
            <w:pPr>
              <w:rPr>
                <w:sz w:val="20"/>
                <w:szCs w:val="20"/>
                <w:lang w:val="es-ES"/>
              </w:rPr>
            </w:pPr>
            <w:r w:rsidRPr="005E3D50">
              <w:rPr>
                <w:sz w:val="20"/>
                <w:szCs w:val="20"/>
                <w:lang w:val="es-ES"/>
              </w:rPr>
              <w:t>Las áreas protegidas y OMEC reconocen y respetan los derechos de los pueblos indígenas y las comunidades locales, incluidos aquellos relativos a sus territorios tradicionales</w:t>
            </w:r>
          </w:p>
        </w:tc>
        <w:tc>
          <w:tcPr>
            <w:tcW w:w="516" w:type="dxa"/>
            <w:shd w:val="clear" w:color="auto" w:fill="FFC000"/>
          </w:tcPr>
          <w:p w14:paraId="08E53244" w14:textId="3B2C27D5" w:rsidR="004F4A85" w:rsidRPr="005E3D50" w:rsidRDefault="006F30CE" w:rsidP="006374DD">
            <w:pPr>
              <w:keepNext/>
              <w:rPr>
                <w:sz w:val="20"/>
                <w:szCs w:val="20"/>
                <w:lang w:val="es-ES"/>
              </w:rPr>
            </w:pPr>
            <w:r w:rsidRPr="005E3D50">
              <w:rPr>
                <w:sz w:val="20"/>
                <w:szCs w:val="20"/>
                <w:lang w:val="es-ES"/>
              </w:rPr>
              <w:t>33</w:t>
            </w:r>
          </w:p>
        </w:tc>
      </w:tr>
      <w:tr w:rsidR="006B61C6" w:rsidRPr="005E3D50" w14:paraId="39F290DB" w14:textId="77777777">
        <w:tc>
          <w:tcPr>
            <w:tcW w:w="9016" w:type="dxa"/>
            <w:gridSpan w:val="2"/>
          </w:tcPr>
          <w:p w14:paraId="26295F03" w14:textId="77777777" w:rsidR="00F05F5E" w:rsidRDefault="00F05F5E" w:rsidP="006B61C6">
            <w:pPr>
              <w:pStyle w:val="p1"/>
              <w:keepNext/>
              <w:rPr>
                <w:rFonts w:asciiTheme="minorHAnsi" w:hAnsiTheme="minorHAnsi"/>
                <w:b/>
                <w:bCs/>
                <w:sz w:val="22"/>
                <w:szCs w:val="22"/>
                <w:lang w:val="es-ES"/>
              </w:rPr>
            </w:pPr>
          </w:p>
          <w:p w14:paraId="1DB5DF8F" w14:textId="5A0FAB3E" w:rsidR="006B61C6" w:rsidRPr="005E3D50" w:rsidRDefault="006B61C6" w:rsidP="006B61C6">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48 % de estos elementos en sus metas nacionales</w:t>
            </w:r>
          </w:p>
          <w:p w14:paraId="143114AB" w14:textId="77777777" w:rsidR="006B61C6" w:rsidRPr="005E3D50" w:rsidRDefault="006B61C6" w:rsidP="006B61C6">
            <w:pPr>
              <w:keepNext/>
              <w:tabs>
                <w:tab w:val="left" w:pos="501"/>
              </w:tabs>
              <w:rPr>
                <w:sz w:val="20"/>
                <w:szCs w:val="20"/>
                <w:lang w:val="es-ES"/>
              </w:rPr>
            </w:pPr>
          </w:p>
        </w:tc>
      </w:tr>
    </w:tbl>
    <w:p w14:paraId="332F348C" w14:textId="7BA35815" w:rsidR="008A31F8" w:rsidRPr="005E3D50" w:rsidRDefault="008A31F8" w:rsidP="008A31F8">
      <w:pPr>
        <w:pStyle w:val="Caption"/>
        <w:rPr>
          <w:lang w:val="es-ES"/>
        </w:rPr>
      </w:pPr>
      <w:r w:rsidRPr="005E3D50">
        <w:rPr>
          <w:lang w:val="es-ES"/>
        </w:rPr>
        <w:t xml:space="preserve"> </w:t>
      </w:r>
    </w:p>
    <w:p w14:paraId="1AF91589" w14:textId="1BD3E0B5" w:rsidR="00331D4A" w:rsidRPr="005E3D50" w:rsidRDefault="00331D4A" w:rsidP="00331D4A">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369D0085" w14:textId="412E988B" w:rsidR="00A42F16" w:rsidRPr="005E3D50" w:rsidRDefault="00A42F16" w:rsidP="00E0756E">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w:t>
      </w:r>
      <w:r w:rsidR="00E0756E" w:rsidRPr="005E3D50">
        <w:rPr>
          <w:rFonts w:ascii="Aptos" w:hAnsi="Aptos"/>
          <w:sz w:val="16"/>
          <w:szCs w:val="16"/>
          <w:lang w:val="es-ES"/>
        </w:rPr>
        <w:t xml:space="preserve"> </w:t>
      </w:r>
      <w:r w:rsidRPr="005E3D50">
        <w:rPr>
          <w:rFonts w:ascii="Aptos" w:hAnsi="Aptos"/>
          <w:sz w:val="16"/>
          <w:szCs w:val="16"/>
          <w:lang w:val="es-ES"/>
        </w:rPr>
        <w:t xml:space="preserve">Mundial de Biodiversidad de Kunming-Montreal (véanse el anexo I del documento </w:t>
      </w:r>
      <w:hyperlink r:id="rId64" w:history="1">
        <w:r w:rsidRPr="005E3D50">
          <w:rPr>
            <w:rStyle w:val="Hyperlink"/>
            <w:rFonts w:ascii="Aptos" w:hAnsi="Aptos"/>
            <w:sz w:val="16"/>
            <w:szCs w:val="16"/>
            <w:lang w:val="es-ES"/>
          </w:rPr>
          <w:t>CBD/COP/16/INF/4</w:t>
        </w:r>
      </w:hyperlink>
      <w:r w:rsidRPr="005E3D50">
        <w:rPr>
          <w:sz w:val="16"/>
          <w:szCs w:val="16"/>
          <w:lang w:val="es-ES"/>
        </w:rPr>
        <w:t xml:space="preserve">, </w:t>
      </w:r>
      <w:r w:rsidRPr="005E3D50">
        <w:rPr>
          <w:rFonts w:ascii="Aptos" w:hAnsi="Aptos"/>
          <w:sz w:val="16"/>
          <w:szCs w:val="16"/>
          <w:lang w:val="es-ES"/>
        </w:rPr>
        <w:t>y Affinito y otros, 2025). En el documento </w:t>
      </w:r>
      <w:hyperlink r:id="rId65" w:history="1">
        <w:r w:rsidRPr="005E3D50">
          <w:rPr>
            <w:rStyle w:val="Hyperlink"/>
            <w:rFonts w:ascii="Aptos" w:hAnsi="Aptos"/>
            <w:sz w:val="16"/>
            <w:szCs w:val="16"/>
            <w:lang w:val="es-ES"/>
          </w:rPr>
          <w:t>CBD/SBI/7/INF/22</w:t>
        </w:r>
      </w:hyperlink>
      <w:r w:rsidRPr="005E3D50">
        <w:rPr>
          <w:rFonts w:ascii="Aptos" w:hAnsi="Aptos"/>
          <w:sz w:val="16"/>
          <w:szCs w:val="16"/>
          <w:lang w:val="es-ES"/>
        </w:rPr>
        <w:t xml:space="preserve"> se expone en detalle la metodología empleada para el análisis de las metas nacionales.</w:t>
      </w:r>
      <w:r w:rsidRPr="005E3D50">
        <w:rPr>
          <w:rStyle w:val="normaltextrun"/>
          <w:rFonts w:ascii="Aptos" w:hAnsi="Aptos"/>
          <w:sz w:val="16"/>
          <w:szCs w:val="16"/>
          <w:lang w:val="es-ES"/>
        </w:rPr>
        <w:t> </w:t>
      </w:r>
    </w:p>
    <w:p w14:paraId="4029CB87" w14:textId="77777777" w:rsidR="00A42F16" w:rsidRPr="005E3D50" w:rsidRDefault="00A42F16" w:rsidP="00E0756E">
      <w:pPr>
        <w:spacing w:after="0"/>
        <w:rPr>
          <w:sz w:val="16"/>
          <w:szCs w:val="16"/>
          <w:lang w:val="es-ES"/>
        </w:rPr>
      </w:pPr>
    </w:p>
    <w:p w14:paraId="039D1486" w14:textId="3755B954" w:rsidR="001414F9" w:rsidRPr="005E3D50" w:rsidRDefault="001414F9" w:rsidP="001414F9">
      <w:pPr>
        <w:rPr>
          <w:sz w:val="16"/>
          <w:szCs w:val="16"/>
          <w:lang w:val="es-ES"/>
        </w:rPr>
      </w:pPr>
      <w:r w:rsidRPr="005E3D50">
        <w:rPr>
          <w:sz w:val="16"/>
          <w:szCs w:val="16"/>
          <w:lang w:val="es-ES"/>
        </w:rPr>
        <w:tab/>
        <w:t xml:space="preserve"> </w:t>
      </w:r>
    </w:p>
    <w:p w14:paraId="5D71AA63" w14:textId="63EA6DD1" w:rsidR="00F57935" w:rsidRPr="005E3D50" w:rsidRDefault="004F0F39" w:rsidP="00563BD4">
      <w:pPr>
        <w:rPr>
          <w:lang w:val="es-ES"/>
        </w:rPr>
      </w:pPr>
      <w:r w:rsidRPr="005E3D50">
        <w:rPr>
          <w:lang w:val="es-ES"/>
        </w:rPr>
        <w:t>Los distintos elementos de la meta 3 son abordados de manera muy desigual por las Partes en sus metas nacionales. Más de tres cuartos de las Partes (78 %) tienen metas nacionales que abordan en cierta medida las áreas protegidas y otras medidas eficaces de conservación basadas en áreas (OMEC) en las zonas terrestres, mientras que menos de dos tercios (64 %) tienen metas nacionales equivalentes relacionadas con las zonas de aguas continentales. Entre las Partes con litoral, el 72 % tienen metas nacionales que abordan en cierta medida las áreas protegidas y OMEC de las zonas marinas y costeras (véase el cuadro 8).</w:t>
      </w:r>
    </w:p>
    <w:p w14:paraId="2EE85D9F" w14:textId="40B9F419" w:rsidR="00A24B04" w:rsidRPr="005E3D50" w:rsidRDefault="00A24B04" w:rsidP="00A24B04">
      <w:pPr>
        <w:spacing w:line="276" w:lineRule="auto"/>
        <w:rPr>
          <w:lang w:val="es-ES"/>
        </w:rPr>
      </w:pPr>
      <w:r w:rsidRPr="005E3D50">
        <w:rPr>
          <w:lang w:val="es-ES"/>
        </w:rPr>
        <w:t xml:space="preserve">Los elementos cualitativos de la meta se abordan </w:t>
      </w:r>
      <w:r w:rsidR="005C24FB" w:rsidRPr="005E3D50">
        <w:rPr>
          <w:lang w:val="es-ES"/>
        </w:rPr>
        <w:t>en menor medida</w:t>
      </w:r>
      <w:r w:rsidRPr="005E3D50">
        <w:rPr>
          <w:lang w:val="es-ES"/>
        </w:rPr>
        <w:t xml:space="preserve"> que </w:t>
      </w:r>
      <w:r w:rsidR="005C24FB" w:rsidRPr="005E3D50">
        <w:rPr>
          <w:lang w:val="es-ES"/>
        </w:rPr>
        <w:t>los aspectos</w:t>
      </w:r>
      <w:r w:rsidRPr="005E3D50">
        <w:rPr>
          <w:lang w:val="es-ES"/>
        </w:rPr>
        <w:t xml:space="preserve"> cuantitativ</w:t>
      </w:r>
      <w:r w:rsidR="005C24FB" w:rsidRPr="005E3D50">
        <w:rPr>
          <w:lang w:val="es-ES"/>
        </w:rPr>
        <w:t>o</w:t>
      </w:r>
      <w:r w:rsidRPr="005E3D50">
        <w:rPr>
          <w:lang w:val="es-ES"/>
        </w:rPr>
        <w:t xml:space="preserve">s </w:t>
      </w:r>
      <w:r w:rsidR="005C24FB" w:rsidRPr="005E3D50">
        <w:rPr>
          <w:lang w:val="es-ES"/>
        </w:rPr>
        <w:t>de</w:t>
      </w:r>
      <w:r w:rsidRPr="005E3D50">
        <w:rPr>
          <w:lang w:val="es-ES"/>
        </w:rPr>
        <w:t xml:space="preserve"> la </w:t>
      </w:r>
      <w:r w:rsidR="005C24FB" w:rsidRPr="005E3D50">
        <w:rPr>
          <w:lang w:val="es-ES"/>
        </w:rPr>
        <w:t>superficie</w:t>
      </w:r>
      <w:r w:rsidRPr="005E3D50">
        <w:rPr>
          <w:lang w:val="es-ES"/>
        </w:rPr>
        <w:t>. Una proporción menor de Partes tienen metas nacionales que abordan los elementos de la meta 3 relativos a si las zonas de particular importancia para la biodiversidad y las funciones y los servicios de los ecosistemas están incluid</w:t>
      </w:r>
      <w:r w:rsidR="005C24FB" w:rsidRPr="005E3D50">
        <w:rPr>
          <w:lang w:val="es-ES"/>
        </w:rPr>
        <w:t>a</w:t>
      </w:r>
      <w:r w:rsidRPr="005E3D50">
        <w:rPr>
          <w:lang w:val="es-ES"/>
        </w:rPr>
        <w:t>s en áreas protegidas u OMEC, y si esas zonas se conservan y gestionan eficazmente, son ecológicamente representativas y están bien conectadas. Una proporción aún menor de Partes tienen metas nacionales que abordan si las áreas protegidas y OMEC están gobernadas de forma equitativa, si están integradas en paisajes terrestres, marinos y oceánicos más amplios y si reconocen y respetan los derechos de los pueblos indígenas y las comunidades locales, incluidos aquellos relativos a sus territorios tradicionales (reconociendo que este último elemento no se considera pertinente por todas las Partes en función de su contexto nacional). El elemento abordado por el menor número de Partes (26 %) se refiere a si el uso sostenible en las áreas protegidas es plenamente coherente con los resultados de la conservación.</w:t>
      </w:r>
    </w:p>
    <w:p w14:paraId="3A18E93D" w14:textId="77777777" w:rsidR="00126931" w:rsidRPr="005E3D50" w:rsidRDefault="008A2FB1" w:rsidP="00F86581">
      <w:pPr>
        <w:rPr>
          <w:lang w:val="es-ES"/>
        </w:rPr>
      </w:pPr>
      <w:r w:rsidRPr="005E3D50">
        <w:rPr>
          <w:lang w:val="es-ES"/>
        </w:rPr>
        <w:t xml:space="preserve">Los elementos cuantitativos de la meta 3, consistentes en garantizar que para 2030 al menos un 30 % de las zonas terrestres, de aguas continentales y marinas y costeras se </w:t>
      </w:r>
      <w:r w:rsidRPr="005E3D50">
        <w:rPr>
          <w:lang w:val="es-ES"/>
        </w:rPr>
        <w:lastRenderedPageBreak/>
        <w:t>conserven y gestionen eficazmente, tienen alcance mundial, y el Marco no sugiere que cada Parte debe establecer metas nacionales del mismo nivel. Sin embargo, la gran mayoría de las Partes han definido metas nacionales cuantitativas para establecer áreas protegidas y OMEC en zonas terrestres y de aguas continentales (87 % y 86 %, respectivamente), y una proporción aún mayor de las Partes con litoral (89 %) han definido metas nacionales cuantitativas para conservar las zonas marinas y costeras. De las Partes que tienen metas nacionales cuantitativas, algo más de dos tercios se han comprometido a conservar al menos el 30 % de las zonas terrestres y de aguas continentales para 2030, mientras que una proporción ligeramente inferior a dos tercios (62 %) de las Partes con litoral han establecido metas para conservar al menos el 30 % de las zonas marinas y costeras bajo su jurisdicción. Las demás Partes han establecido metas nacionales cuantitativas inferiores al 30 %, han establecido metas nacionales para determinados tipos de ecosistemas o han expresado sus metas nacionales en hectáreas en lugar de porcentajes.</w:t>
      </w:r>
    </w:p>
    <w:p w14:paraId="0D5F429A" w14:textId="35E4D147" w:rsidR="00CF6A6D" w:rsidRPr="005E3D50" w:rsidRDefault="00267233" w:rsidP="002F0959">
      <w:pPr>
        <w:pStyle w:val="Caption"/>
        <w:rPr>
          <w:rFonts w:ascii="Aptos" w:hAnsi="Aptos"/>
          <w:i w:val="0"/>
          <w:color w:val="000000" w:themeColor="text1"/>
          <w:sz w:val="24"/>
          <w:szCs w:val="24"/>
          <w:lang w:val="es-ES"/>
        </w:rPr>
      </w:pPr>
      <w:r w:rsidRPr="005E3D50">
        <w:rPr>
          <w:i w:val="0"/>
          <w:sz w:val="24"/>
          <w:szCs w:val="24"/>
          <w:lang w:val="es-ES"/>
        </w:rPr>
        <w:t>Un análisis separado de las metas nacionales indica que, en el caso de las zonas terrestres y de aguas continentales, los compromisos actuales de las Partes llevarían la superficie total conservada a aproximadamente el 27,5 % para 2030. Si se alcanzaran todas estas metas nacionales, ello supondría que la tasa de expansión de la superficie conservada entre 2020 y 2030 se quintuplicaría en comparación con la década anterior. Este análisis no tiene en cuenta las metas nacionales de las Partes que expresaron su intención de aumentar las áreas conservadas en términos cualitativos en lugar de cuantitativos, ni las de aquellas Partes que aún no habían presentado metas nacionales en el momento en que se realizó el análisis (Immerzeel y otros, 2026).</w:t>
      </w:r>
    </w:p>
    <w:p w14:paraId="020984D1" w14:textId="77777777" w:rsidR="00E3247F" w:rsidRPr="005E3D50" w:rsidRDefault="00E3247F" w:rsidP="006C0F01">
      <w:pPr>
        <w:rPr>
          <w:lang w:val="es-ES" w:eastAsia="ja-JP"/>
        </w:rPr>
      </w:pPr>
    </w:p>
    <w:p w14:paraId="368C7FA3" w14:textId="6CBF0DCD" w:rsidR="006C0F01" w:rsidRPr="005E3D50" w:rsidRDefault="006C0F01" w:rsidP="006C0F01">
      <w:pPr>
        <w:pStyle w:val="Heading5"/>
        <w:rPr>
          <w:lang w:val="es-ES"/>
        </w:rPr>
      </w:pPr>
      <w:bookmarkStart w:id="159" w:name="_Toc230151244"/>
      <w:bookmarkStart w:id="160" w:name="_Toc235821079"/>
      <w:r w:rsidRPr="005E3D50">
        <w:rPr>
          <w:lang w:val="es-ES"/>
        </w:rPr>
        <w:t>Indicadores de progresos</w:t>
      </w:r>
      <w:bookmarkEnd w:id="159"/>
      <w:bookmarkEnd w:id="160"/>
    </w:p>
    <w:p w14:paraId="1603157F" w14:textId="77777777" w:rsidR="00C6338C" w:rsidRPr="005E3D50" w:rsidRDefault="00C6338C" w:rsidP="00E51CFC">
      <w:pPr>
        <w:pStyle w:val="Caption"/>
        <w:rPr>
          <w:lang w:val="es-ES"/>
        </w:rPr>
      </w:pPr>
    </w:p>
    <w:p w14:paraId="5034DB52" w14:textId="293ADB2D" w:rsidR="00C6338C" w:rsidRPr="005E3D50" w:rsidRDefault="00E51CFC" w:rsidP="00E51CFC">
      <w:pPr>
        <w:pStyle w:val="Caption"/>
        <w:rPr>
          <w:i w:val="0"/>
          <w:iCs w:val="0"/>
          <w:sz w:val="20"/>
          <w:szCs w:val="20"/>
          <w:lang w:val="es-ES"/>
        </w:rPr>
      </w:pPr>
      <w:bookmarkStart w:id="161" w:name="_Ref238992789"/>
      <w:r w:rsidRPr="005E3D50">
        <w:rPr>
          <w:i w:val="0"/>
          <w:sz w:val="20"/>
          <w:szCs w:val="20"/>
          <w:lang w:val="es-ES"/>
        </w:rPr>
        <w:t>Cuadro 9</w:t>
      </w:r>
      <w:bookmarkEnd w:id="161"/>
    </w:p>
    <w:p w14:paraId="2D427F53" w14:textId="6A9FBEB4" w:rsidR="009B30CA" w:rsidRPr="005E3D50" w:rsidRDefault="00E51CFC" w:rsidP="00E51CFC">
      <w:pPr>
        <w:pStyle w:val="Caption"/>
        <w:rPr>
          <w:rFonts w:ascii="Aptos" w:hAnsi="Aptos"/>
          <w:sz w:val="20"/>
          <w:szCs w:val="20"/>
          <w:lang w:val="es-ES"/>
        </w:rPr>
      </w:pPr>
      <w:r w:rsidRPr="005E3D50">
        <w:rPr>
          <w:b/>
          <w:bCs/>
          <w:i w:val="0"/>
          <w:iCs w:val="0"/>
          <w:sz w:val="20"/>
          <w:szCs w:val="20"/>
          <w:lang w:val="es-ES"/>
        </w:rPr>
        <w:t>Tablero de puntuación para indicadores de la meta 3 del Marco</w:t>
      </w:r>
      <w:r w:rsidRPr="005E3D50">
        <w:rPr>
          <w:sz w:val="20"/>
          <w:szCs w:val="20"/>
          <w:lang w:val="es-ES"/>
        </w:rPr>
        <w:t xml:space="preserve"> </w:t>
      </w:r>
    </w:p>
    <w:tbl>
      <w:tblPr>
        <w:tblW w:w="10300" w:type="dxa"/>
        <w:tblLook w:val="04A0" w:firstRow="1" w:lastRow="0" w:firstColumn="1" w:lastColumn="0" w:noHBand="0" w:noVBand="1"/>
      </w:tblPr>
      <w:tblGrid>
        <w:gridCol w:w="3240"/>
        <w:gridCol w:w="3240"/>
        <w:gridCol w:w="600"/>
        <w:gridCol w:w="2620"/>
        <w:gridCol w:w="600"/>
      </w:tblGrid>
      <w:tr w:rsidR="009B30CA" w:rsidRPr="005E3D50" w14:paraId="2CA3C58F" w14:textId="77777777" w:rsidTr="28D2E3A4">
        <w:trPr>
          <w:trHeight w:val="631"/>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B705C" w14:textId="77777777" w:rsidR="009B30CA" w:rsidRPr="005E3D50" w:rsidRDefault="009B30CA">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16B27821" w14:textId="77777777" w:rsidR="009B30CA" w:rsidRPr="005E3D50" w:rsidRDefault="009B30CA">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220" w:type="dxa"/>
            <w:gridSpan w:val="2"/>
            <w:tcBorders>
              <w:top w:val="single" w:sz="4" w:space="0" w:color="auto"/>
              <w:left w:val="nil"/>
              <w:bottom w:val="single" w:sz="4" w:space="0" w:color="auto"/>
              <w:right w:val="single" w:sz="4" w:space="0" w:color="auto"/>
            </w:tcBorders>
            <w:vAlign w:val="center"/>
          </w:tcPr>
          <w:p w14:paraId="57B74375" w14:textId="77777777" w:rsidR="009B30CA" w:rsidRPr="005E3D50" w:rsidRDefault="009B30CA">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Resultados del indicador</w:t>
            </w:r>
          </w:p>
        </w:tc>
      </w:tr>
      <w:tr w:rsidR="009B30CA" w:rsidRPr="005E3D50" w14:paraId="459C64E8" w14:textId="77777777" w:rsidTr="008979C8">
        <w:trPr>
          <w:trHeight w:val="53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EC190" w14:textId="7B78899F" w:rsidR="009B30CA" w:rsidRPr="005E3D50" w:rsidRDefault="00AE554E" w:rsidP="00A35431">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de cabecera 3.1: cobertura de áreas protegidas y otras medidas de conservación eficaces basadas en áreas</w:t>
            </w:r>
          </w:p>
        </w:tc>
        <w:tc>
          <w:tcPr>
            <w:tcW w:w="3240" w:type="dxa"/>
            <w:tcBorders>
              <w:top w:val="single" w:sz="4" w:space="0" w:color="auto"/>
              <w:left w:val="nil"/>
              <w:bottom w:val="single" w:sz="4" w:space="0" w:color="auto"/>
              <w:right w:val="single" w:sz="4" w:space="0" w:color="auto"/>
            </w:tcBorders>
            <w:hideMark/>
          </w:tcPr>
          <w:p w14:paraId="79B47724" w14:textId="7BA90E69" w:rsidR="009B30CA" w:rsidRPr="005E3D50" w:rsidRDefault="009B30CA" w:rsidP="00A35431">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78 % de las Partes que presentaron información, que abarcan el 54 % de la superficie terrestre y 39 % de la superficie marina</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B4BAB5F" w14:textId="77777777" w:rsidR="009B30CA" w:rsidRPr="005E3D50" w:rsidRDefault="009B30CA" w:rsidP="00A35431">
            <w:pPr>
              <w:spacing w:after="0" w:line="240" w:lineRule="auto"/>
              <w:rPr>
                <w:rFonts w:ascii="Aptos" w:eastAsia="Times New Roman" w:hAnsi="Aptos" w:cs="Times New Roman"/>
                <w:color w:val="000000"/>
                <w:kern w:val="0"/>
                <w:sz w:val="20"/>
                <w:szCs w:val="20"/>
                <w:lang w:val="es-ES"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40FA28C3" w14:textId="15BF506F" w:rsidR="009B30CA" w:rsidRPr="005E3D50" w:rsidRDefault="009B30CA" w:rsidP="00A35431">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sz w:val="20"/>
                <w:szCs w:val="20"/>
                <w:lang w:val="es-ES"/>
              </w:rPr>
              <w:t xml:space="preserve">La cobertura aumentó desde 2020 (el 16,7 % de las Partes que presentaron información sobre las zonas marinas y costeras, y el 19,5 % de las Partes que presentaron información sobre las zonas terrestres y de aguas continentales, lo </w:t>
            </w:r>
            <w:r w:rsidRPr="005E3D50">
              <w:rPr>
                <w:rFonts w:ascii="Aptos" w:hAnsi="Aptos"/>
                <w:sz w:val="20"/>
                <w:szCs w:val="20"/>
                <w:lang w:val="es-ES"/>
              </w:rPr>
              <w:lastRenderedPageBreak/>
              <w:t>que supone un incremento del 2,9 % y del 2,2 %, respectivamente), pero aún está muy lejos de la meta del 30 %</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57FAA518" w14:textId="77777777" w:rsidR="009B30CA" w:rsidRPr="005E3D50" w:rsidRDefault="009B30CA">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B30CA" w:rsidRPr="005E3D50" w14:paraId="4817A1C1" w14:textId="77777777">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D7F44C" w14:textId="77777777" w:rsidR="009B30CA" w:rsidRPr="005E3D50" w:rsidRDefault="009B30CA" w:rsidP="00764108">
            <w:pPr>
              <w:spacing w:after="0" w:line="240" w:lineRule="auto"/>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3240" w:type="dxa"/>
            <w:tcBorders>
              <w:top w:val="nil"/>
              <w:left w:val="nil"/>
              <w:bottom w:val="single" w:sz="4" w:space="0" w:color="auto"/>
              <w:right w:val="single" w:sz="4" w:space="0" w:color="auto"/>
            </w:tcBorders>
            <w:hideMark/>
          </w:tcPr>
          <w:p w14:paraId="46C3BD2F" w14:textId="656A7A85" w:rsidR="009B30CA" w:rsidRPr="005E3D50" w:rsidRDefault="009B30CA" w:rsidP="00764108">
            <w:pPr>
              <w:spacing w:after="0" w:line="240" w:lineRule="auto"/>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85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66 % de las Partes cuyos informes nacionales están considerados en el informe mundial</w:t>
            </w:r>
          </w:p>
        </w:tc>
        <w:tc>
          <w:tcPr>
            <w:tcW w:w="600" w:type="dxa"/>
            <w:tcBorders>
              <w:top w:val="nil"/>
              <w:left w:val="nil"/>
              <w:bottom w:val="single" w:sz="4" w:space="0" w:color="auto"/>
              <w:right w:val="single" w:sz="4" w:space="0" w:color="auto"/>
            </w:tcBorders>
            <w:shd w:val="clear" w:color="auto" w:fill="92D050"/>
            <w:vAlign w:val="center"/>
            <w:hideMark/>
          </w:tcPr>
          <w:p w14:paraId="5E3D890B" w14:textId="77777777" w:rsidR="009B30CA" w:rsidRPr="005E3D50" w:rsidRDefault="009B30CA" w:rsidP="00764108">
            <w:pPr>
              <w:spacing w:after="0" w:line="240" w:lineRule="auto"/>
              <w:rPr>
                <w:rFonts w:ascii="Aptos" w:eastAsia="Times New Roman" w:hAnsi="Aptos" w:cs="Times New Roman"/>
                <w:color w:val="000000"/>
                <w:kern w:val="0"/>
                <w:sz w:val="20"/>
                <w:szCs w:val="20"/>
                <w:lang w:val="es-ES" w:eastAsia="en-CA"/>
                <w14:ligatures w14:val="none"/>
              </w:rPr>
            </w:pPr>
          </w:p>
        </w:tc>
        <w:tc>
          <w:tcPr>
            <w:tcW w:w="2620" w:type="dxa"/>
            <w:tcBorders>
              <w:top w:val="nil"/>
              <w:left w:val="nil"/>
              <w:bottom w:val="single" w:sz="4" w:space="0" w:color="auto"/>
              <w:right w:val="single" w:sz="4" w:space="0" w:color="auto"/>
            </w:tcBorders>
            <w:vAlign w:val="center"/>
            <w:hideMark/>
          </w:tcPr>
          <w:p w14:paraId="4C3D50F4" w14:textId="77777777" w:rsidR="00396816" w:rsidRPr="005E3D50" w:rsidRDefault="00396816" w:rsidP="00396816">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25 % registran tendencias positivas</w:t>
            </w:r>
          </w:p>
          <w:p w14:paraId="39A3D8B5" w14:textId="67576CEA" w:rsidR="009B30CA" w:rsidRPr="005E3D50" w:rsidRDefault="009B30CA" w:rsidP="00396816">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5 % registran tendencias negativas</w:t>
            </w:r>
          </w:p>
        </w:tc>
        <w:tc>
          <w:tcPr>
            <w:tcW w:w="600" w:type="dxa"/>
            <w:tcBorders>
              <w:top w:val="nil"/>
              <w:left w:val="nil"/>
              <w:bottom w:val="single" w:sz="4" w:space="0" w:color="auto"/>
              <w:right w:val="single" w:sz="4" w:space="0" w:color="auto"/>
            </w:tcBorders>
            <w:shd w:val="clear" w:color="auto" w:fill="FFC000"/>
            <w:vAlign w:val="center"/>
            <w:hideMark/>
          </w:tcPr>
          <w:p w14:paraId="5DBD73FD" w14:textId="77777777" w:rsidR="009B30CA" w:rsidRPr="005E3D50" w:rsidRDefault="009B30CA">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B30CA" w:rsidRPr="005E3D50" w14:paraId="1F421BBB" w14:textId="77777777" w:rsidTr="28D2E3A4">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tcPr>
          <w:p w14:paraId="4DA531B8" w14:textId="77777777" w:rsidR="009B30CA" w:rsidRPr="005E3D50" w:rsidRDefault="009B30CA">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Observaciones sobre los biomas</w:t>
            </w:r>
          </w:p>
        </w:tc>
        <w:tc>
          <w:tcPr>
            <w:tcW w:w="7060" w:type="dxa"/>
            <w:gridSpan w:val="4"/>
            <w:tcBorders>
              <w:top w:val="nil"/>
              <w:left w:val="nil"/>
              <w:bottom w:val="single" w:sz="4" w:space="0" w:color="auto"/>
              <w:right w:val="single" w:sz="4" w:space="0" w:color="auto"/>
            </w:tcBorders>
            <w:vAlign w:val="center"/>
          </w:tcPr>
          <w:p w14:paraId="73CD1F99" w14:textId="6C62C1D5" w:rsidR="009B30CA" w:rsidRPr="005E3D50" w:rsidRDefault="009B30CA" w:rsidP="00E606C4">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Toda la información correspondiente a esta meta se ha presentado por separado para las zonas terrestres y las zonas marinas y costeras. Los datos disponibles eran insuficientes para realizar un desglose adicional por zonas de aguas continentales u OMEC.</w:t>
            </w:r>
          </w:p>
        </w:tc>
      </w:tr>
    </w:tbl>
    <w:p w14:paraId="16EE85A1" w14:textId="77777777" w:rsidR="00AE554E" w:rsidRPr="005E3D50" w:rsidRDefault="00AE554E" w:rsidP="00CF2B14">
      <w:pPr>
        <w:pStyle w:val="Caption"/>
        <w:rPr>
          <w:lang w:val="es-ES"/>
        </w:rPr>
      </w:pPr>
    </w:p>
    <w:p w14:paraId="5730F4E3" w14:textId="77777777" w:rsidR="008858E3" w:rsidRPr="005E3D50" w:rsidRDefault="008858E3" w:rsidP="008858E3">
      <w:pPr>
        <w:pStyle w:val="Caption"/>
        <w:rPr>
          <w:lang w:val="es-ES"/>
        </w:rPr>
      </w:pPr>
    </w:p>
    <w:p w14:paraId="4483490A" w14:textId="3C594B50" w:rsidR="008858E3" w:rsidRPr="005E3D50" w:rsidRDefault="008858E3" w:rsidP="008858E3">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605FD310" w14:textId="77777777" w:rsidR="008858E3" w:rsidRPr="005E3D50" w:rsidRDefault="008858E3" w:rsidP="008858E3">
      <w:pPr>
        <w:rPr>
          <w:lang w:val="es-ES" w:eastAsia="ja-JP"/>
        </w:rPr>
      </w:pPr>
    </w:p>
    <w:p w14:paraId="2C929AF2" w14:textId="1C0E4796" w:rsidR="00080A85" w:rsidRPr="005E3D50" w:rsidRDefault="00BD32CB" w:rsidP="00EA652B">
      <w:pPr>
        <w:pStyle w:val="Caption"/>
        <w:rPr>
          <w:i w:val="0"/>
          <w:color w:val="000000" w:themeColor="text1"/>
          <w:sz w:val="24"/>
          <w:szCs w:val="24"/>
          <w:lang w:val="es-ES"/>
        </w:rPr>
      </w:pPr>
      <w:r w:rsidRPr="005E3D50">
        <w:rPr>
          <w:i w:val="0"/>
          <w:sz w:val="24"/>
          <w:szCs w:val="24"/>
          <w:lang w:val="es-ES"/>
        </w:rPr>
        <w:t>De las 196 Partes en el Convenio, 100 presentaron datos sobre el indicador de cabecera 3.1 (cobertura de áreas protegidas y OMEC) en informes nacionales recibidos a tiempo para ser tenidos en cuenta en el informe mundial (véase el cuadro 9). Dentro de las jurisdicciones de estas Partes que presentaron información, la cobertura de las zonas marinas y costeras es actualmente del 16,7 %, y la cobertura de sus zonas terrestres y aguas continentales es del 19,5 % (véase la figura 14).</w:t>
      </w:r>
      <w:r w:rsidRPr="005E3D50">
        <w:rPr>
          <w:i w:val="0"/>
          <w:color w:val="000000" w:themeColor="text1"/>
          <w:sz w:val="24"/>
          <w:szCs w:val="24"/>
          <w:lang w:val="es-ES"/>
        </w:rPr>
        <w:t xml:space="preserve"> </w:t>
      </w:r>
      <w:r w:rsidRPr="005E3D50">
        <w:rPr>
          <w:i w:val="0"/>
          <w:sz w:val="24"/>
          <w:szCs w:val="24"/>
          <w:lang w:val="es-ES"/>
        </w:rPr>
        <w:t>Como complemento de esta información, la Base de Datos Mundial sobre Áreas Protegidas y Conservadas (WDPCA) indica que la cobertura mundial de las zonas terrestres y de aguas continentales es actualmente del 18,4 % y que la cobertura de las zonas marinas y costeras bajo jurisdicción nacional es del 23,2 % (véase la figura 15), pero es de solo el 10 % en el océano mundial, incluidas las zonas situadas fuera de la jurisdicción nacional (véase la figura 16)</w:t>
      </w:r>
      <w:r w:rsidR="00024039" w:rsidRPr="005E3D50">
        <w:rPr>
          <w:rStyle w:val="FootnoteReference"/>
          <w:i w:val="0"/>
          <w:color w:val="000000" w:themeColor="text1"/>
          <w:sz w:val="24"/>
          <w:szCs w:val="24"/>
          <w:lang w:val="es-ES"/>
        </w:rPr>
        <w:footnoteReference w:id="17"/>
      </w:r>
      <w:r w:rsidRPr="005E3D50">
        <w:rPr>
          <w:i w:val="0"/>
          <w:sz w:val="24"/>
          <w:szCs w:val="24"/>
          <w:lang w:val="es-ES"/>
        </w:rPr>
        <w:t>.</w:t>
      </w:r>
      <w:r w:rsidRPr="005E3D50">
        <w:rPr>
          <w:i w:val="0"/>
          <w:color w:val="000000" w:themeColor="text1"/>
          <w:sz w:val="24"/>
          <w:szCs w:val="24"/>
          <w:lang w:val="es-ES"/>
        </w:rPr>
        <w:t xml:space="preserve"> </w:t>
      </w:r>
    </w:p>
    <w:p w14:paraId="0CD65EB6" w14:textId="10EED13E" w:rsidR="00B568C2" w:rsidRPr="005E3D50" w:rsidRDefault="00B568C2" w:rsidP="00B568C2">
      <w:pPr>
        <w:pStyle w:val="NormalWeb"/>
        <w:rPr>
          <w:rFonts w:asciiTheme="minorHAnsi" w:hAnsiTheme="minorHAnsi"/>
          <w:lang w:val="es-ES"/>
        </w:rPr>
      </w:pPr>
      <w:r w:rsidRPr="005E3D50">
        <w:rPr>
          <w:rFonts w:asciiTheme="minorHAnsi" w:hAnsiTheme="minorHAnsi"/>
          <w:lang w:val="es-ES"/>
        </w:rPr>
        <w:lastRenderedPageBreak/>
        <w:t xml:space="preserve">Entre las razones </w:t>
      </w:r>
      <w:r w:rsidR="0046425C" w:rsidRPr="005E3D50">
        <w:rPr>
          <w:rFonts w:asciiTheme="minorHAnsi" w:hAnsiTheme="minorHAnsi"/>
          <w:lang w:val="es-ES"/>
        </w:rPr>
        <w:t>señaladas</w:t>
      </w:r>
      <w:r w:rsidRPr="005E3D50">
        <w:rPr>
          <w:rFonts w:asciiTheme="minorHAnsi" w:hAnsiTheme="minorHAnsi"/>
          <w:lang w:val="es-ES"/>
        </w:rPr>
        <w:t xml:space="preserve"> por las Partes para no presentar información sobre el indicador de cabecera de la meta 3 figuran las dificultades relacionadas con la inclusión de las OMEC. Otros desafíos técnicos incluyen tener en cuenta la superposición de áreas protegidas, los cambios en las metodologías de cálculo a través del tiempo y las dificultades para reconocer la protección en tierras privadas. </w:t>
      </w:r>
    </w:p>
    <w:p w14:paraId="44A02647" w14:textId="77777777" w:rsidR="00B93AA7" w:rsidRPr="005E3D50" w:rsidRDefault="00B93AA7" w:rsidP="00B93AA7">
      <w:pPr>
        <w:pStyle w:val="NormalWeb"/>
        <w:rPr>
          <w:rFonts w:asciiTheme="minorHAnsi" w:hAnsiTheme="minorHAnsi"/>
          <w:lang w:val="es-ES"/>
        </w:rPr>
      </w:pPr>
      <w:r w:rsidRPr="005E3D50">
        <w:rPr>
          <w:rFonts w:asciiTheme="minorHAnsi" w:hAnsiTheme="minorHAnsi"/>
          <w:lang w:val="es-ES"/>
        </w:rPr>
        <w:t xml:space="preserve">Entre las Partes que presentaron datos disponibles para su análisis en el informe mundial, se han registrado avances cuantificables en la cobertura territorial, ya que las zonas terrestres protegidas y conservadas aumentaron más de un 2 % y las zonas marinas aumentaron casi un 3 % entre 2020 y 2025. Si se utiliza la edición de 2020 de la WDPCA como referencia, la cobertura de las zonas protegidas y conservadas de esas Partes que presentaron información aumentaría de alrededor del 17 % de las zonas terrestres y el 18 % de las zonas marinas bajo jurisdicción nacional a más del 20 % en ambos casos. </w:t>
      </w:r>
    </w:p>
    <w:p w14:paraId="38F5DF00" w14:textId="2811037C" w:rsidR="00C42A7C" w:rsidRPr="005E3D50" w:rsidRDefault="00236C35" w:rsidP="00C42A7C">
      <w:pPr>
        <w:pStyle w:val="NormalWeb"/>
        <w:rPr>
          <w:rFonts w:asciiTheme="minorHAnsi" w:hAnsiTheme="minorHAnsi"/>
          <w:lang w:val="es-ES"/>
        </w:rPr>
      </w:pPr>
      <w:r w:rsidRPr="005E3D50">
        <w:rPr>
          <w:rFonts w:asciiTheme="minorHAnsi" w:hAnsiTheme="minorHAnsi"/>
          <w:lang w:val="es-ES"/>
        </w:rPr>
        <w:t>Como se señaló anteriormente, la meta 3 incluye numerosos elementos además de la extensión de las zonas protegidas y conservadas, y muchos de esos elementos se han recogido en los indicadores adicionales comunicados por las Partes (véase la figura 17).</w:t>
      </w:r>
      <w:r w:rsidRPr="005E3D50">
        <w:rPr>
          <w:rFonts w:asciiTheme="minorHAnsi" w:hAnsiTheme="minorHAnsi"/>
          <w:color w:val="000000" w:themeColor="text1"/>
          <w:lang w:val="es-ES"/>
        </w:rPr>
        <w:t xml:space="preserve"> </w:t>
      </w:r>
      <w:r w:rsidRPr="005E3D50">
        <w:rPr>
          <w:rFonts w:asciiTheme="minorHAnsi" w:hAnsiTheme="minorHAnsi"/>
          <w:lang w:val="es-ES"/>
        </w:rPr>
        <w:t xml:space="preserve">Entre ellos se incluyen indicadores sobre la eficacia de la conservación (por ejemplo, el nivel de protección o el porcentaje de áreas “altamente protegidas”), la eficacia de la gestión y los esfuerzos por ampliar las áreas protegidas; sin embargo, otros elementos, como la protección de zonas de particular importancia para la biodiversidad y las funciones y los servicios de los ecosistemas, el uso sostenible dentro de las áreas protegidas y el reconocimiento y respeto de los derechos de los pueblos indígenas y las comunidades locales, incluidos aquellos relativos a sus territorios tradicionales, no estaban contemplados en ninguno de los indicadores incluidos en los informes nacionales. </w:t>
      </w:r>
    </w:p>
    <w:p w14:paraId="2E4631BA" w14:textId="2833B3E7" w:rsidR="00D805AE" w:rsidRPr="005E3D50" w:rsidRDefault="00D805AE">
      <w:pPr>
        <w:rPr>
          <w:rFonts w:eastAsia="Times New Roman" w:cs="Times New Roman"/>
          <w:kern w:val="0"/>
          <w:lang w:val="es-ES"/>
          <w14:ligatures w14:val="none"/>
        </w:rPr>
      </w:pPr>
    </w:p>
    <w:p w14:paraId="414A915D" w14:textId="32EB018A" w:rsidR="00BD34EE" w:rsidRPr="005E3D50" w:rsidRDefault="00BD34EE" w:rsidP="00C42A7C">
      <w:pPr>
        <w:pStyle w:val="NormalWeb"/>
        <w:rPr>
          <w:rFonts w:asciiTheme="minorHAnsi" w:hAnsiTheme="minorHAnsi"/>
          <w:sz w:val="20"/>
          <w:szCs w:val="20"/>
          <w:lang w:val="es-ES"/>
        </w:rPr>
      </w:pPr>
      <w:r w:rsidRPr="005E3D50">
        <w:rPr>
          <w:rFonts w:asciiTheme="minorHAnsi" w:hAnsiTheme="minorHAnsi"/>
          <w:sz w:val="20"/>
          <w:szCs w:val="20"/>
          <w:lang w:val="es-ES"/>
        </w:rPr>
        <w:t>Figura 14</w:t>
      </w:r>
    </w:p>
    <w:p w14:paraId="36FB461B" w14:textId="13747E61" w:rsidR="00BD34EE" w:rsidRPr="005E3D50" w:rsidRDefault="00BD34EE" w:rsidP="00C42A7C">
      <w:pPr>
        <w:pStyle w:val="NormalWeb"/>
        <w:rPr>
          <w:rFonts w:asciiTheme="minorHAnsi" w:hAnsiTheme="minorHAnsi"/>
          <w:b/>
          <w:bCs/>
          <w:sz w:val="20"/>
          <w:szCs w:val="20"/>
          <w:lang w:val="es-ES"/>
        </w:rPr>
      </w:pPr>
      <w:bookmarkStart w:id="162" w:name="_Ref235130111"/>
      <w:bookmarkStart w:id="163" w:name="_Ref235701094"/>
      <w:r w:rsidRPr="005E3D50">
        <w:rPr>
          <w:rFonts w:asciiTheme="minorHAnsi" w:hAnsiTheme="minorHAnsi"/>
          <w:b/>
          <w:bCs/>
          <w:sz w:val="20"/>
          <w:szCs w:val="20"/>
          <w:lang w:val="es-ES"/>
        </w:rPr>
        <w:t>Indicador de cabecera 3.1: cobertura de áreas protegidas y otras medidas de conservación eficaces basadas en áreas (en los informes nacionales)</w:t>
      </w:r>
    </w:p>
    <w:p w14:paraId="72F93383" w14:textId="4B78DD70" w:rsidR="003F3BF1" w:rsidRPr="005E3D50" w:rsidRDefault="00BD3910" w:rsidP="004C2CF6">
      <w:pPr>
        <w:pStyle w:val="Caption"/>
        <w:rPr>
          <w:lang w:val="es-ES"/>
        </w:rPr>
      </w:pPr>
      <w:r w:rsidRPr="005E3D50">
        <w:rPr>
          <w:noProof/>
          <w:lang w:val="en-US" w:eastAsia="en-US"/>
        </w:rPr>
        <w:lastRenderedPageBreak/>
        <w:drawing>
          <wp:inline distT="0" distB="0" distL="0" distR="0" wp14:anchorId="13FC39B9" wp14:editId="0E120A2A">
            <wp:extent cx="5943600" cy="3343275"/>
            <wp:effectExtent l="0" t="0" r="0" b="0"/>
            <wp:docPr id="12007858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5828" name="Picture 1200785828"/>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642A0EB" w14:textId="77777777" w:rsidR="00D56883" w:rsidRPr="005E3D50" w:rsidRDefault="00D56883" w:rsidP="00D56883">
      <w:pPr>
        <w:rPr>
          <w:rFonts w:ascii="Aptos" w:hAnsi="Aptos"/>
          <w:sz w:val="16"/>
          <w:szCs w:val="16"/>
          <w:lang w:val="es-ES"/>
        </w:rPr>
      </w:pPr>
      <w:r w:rsidRPr="005E3D50">
        <w:rPr>
          <w:rFonts w:ascii="Arial" w:hAnsi="Arial"/>
          <w:i/>
          <w:iCs/>
          <w:sz w:val="16"/>
          <w:szCs w:val="16"/>
          <w:lang w:val="es-ES"/>
        </w:rPr>
        <w:t>Nota:</w:t>
      </w:r>
      <w:r w:rsidRPr="005E3D50">
        <w:rPr>
          <w:rFonts w:ascii="Arial" w:hAnsi="Arial"/>
          <w:sz w:val="16"/>
          <w:szCs w:val="16"/>
          <w:lang w:val="es-ES"/>
        </w:rPr>
        <w:t xml:space="preserve"> La figura incluye únicamente los datos del indicador comunicados por las Partes en sus informes nacionales.</w:t>
      </w:r>
      <w:r w:rsidRPr="005E3D50">
        <w:rPr>
          <w:rFonts w:ascii="Aptos" w:hAnsi="Aptos"/>
          <w:sz w:val="16"/>
          <w:szCs w:val="16"/>
          <w:lang w:val="es-ES"/>
        </w:rPr>
        <w:t xml:space="preserve"> El gráfico de barras de la derecha muestra la distribución de las Partes que proporcionaron datos para el gráfico,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w:t>
      </w:r>
      <w:r w:rsidRPr="005E3D50">
        <w:rPr>
          <w:sz w:val="16"/>
          <w:szCs w:val="16"/>
          <w:lang w:val="es-ES"/>
        </w:rPr>
        <w:t>Las áreas de color gris oscuro de los gráficos circulares muestran la representatividad de los datos presentados como proporción de las zonas marinas y costeras bajo jurisdicción nacional de todas las Partes (arriba) o de las zonas terrestres y de aguas continentales de todas las Partes (abajo).</w:t>
      </w:r>
    </w:p>
    <w:tbl>
      <w:tblPr>
        <w:tblStyle w:val="TableGrid"/>
        <w:tblW w:w="9357" w:type="dxa"/>
        <w:tblLook w:val="06A0" w:firstRow="1" w:lastRow="0" w:firstColumn="1" w:lastColumn="0" w:noHBand="1" w:noVBand="1"/>
      </w:tblPr>
      <w:tblGrid>
        <w:gridCol w:w="4738"/>
        <w:gridCol w:w="4619"/>
      </w:tblGrid>
      <w:tr w:rsidR="002B1D2B" w:rsidRPr="004A7200" w14:paraId="14E7324A" w14:textId="77777777" w:rsidTr="002B1D2B">
        <w:trPr>
          <w:trHeight w:val="219"/>
        </w:trPr>
        <w:tc>
          <w:tcPr>
            <w:tcW w:w="9357" w:type="dxa"/>
            <w:gridSpan w:val="2"/>
          </w:tcPr>
          <w:p w14:paraId="7E0EB29D" w14:textId="4A129021"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Figure 14</w:t>
            </w:r>
          </w:p>
        </w:tc>
      </w:tr>
      <w:tr w:rsidR="0019162B" w:rsidRPr="004A7200" w14:paraId="16A12C5B" w14:textId="77777777" w:rsidTr="002B1D2B">
        <w:trPr>
          <w:trHeight w:val="219"/>
        </w:trPr>
        <w:tc>
          <w:tcPr>
            <w:tcW w:w="4738" w:type="dxa"/>
          </w:tcPr>
          <w:p w14:paraId="20C2FB76"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 xml:space="preserve">English </w:t>
            </w:r>
          </w:p>
        </w:tc>
        <w:tc>
          <w:tcPr>
            <w:tcW w:w="4619" w:type="dxa"/>
          </w:tcPr>
          <w:p w14:paraId="65FF8514" w14:textId="15001582" w:rsidR="0019162B" w:rsidRPr="004A7200" w:rsidRDefault="001916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19162B" w:rsidRPr="004A7200" w14:paraId="7574A413" w14:textId="77777777" w:rsidTr="002B1D2B">
        <w:trPr>
          <w:trHeight w:val="448"/>
        </w:trPr>
        <w:tc>
          <w:tcPr>
            <w:tcW w:w="4738" w:type="dxa"/>
          </w:tcPr>
          <w:p w14:paraId="73D9F3CA"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Marine and coastal areas (under national jurisdiction)</w:t>
            </w:r>
          </w:p>
        </w:tc>
        <w:tc>
          <w:tcPr>
            <w:tcW w:w="4619" w:type="dxa"/>
          </w:tcPr>
          <w:p w14:paraId="2415DAB9"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Zonas marinas y costeras (bajo jurisdicción nacional)</w:t>
            </w:r>
          </w:p>
        </w:tc>
      </w:tr>
      <w:tr w:rsidR="0019162B" w:rsidRPr="004A7200" w14:paraId="67AE69B3" w14:textId="77777777" w:rsidTr="002B1D2B">
        <w:trPr>
          <w:trHeight w:val="219"/>
        </w:trPr>
        <w:tc>
          <w:tcPr>
            <w:tcW w:w="4738" w:type="dxa"/>
          </w:tcPr>
          <w:p w14:paraId="7CA45B96" w14:textId="77777777" w:rsidR="0019162B" w:rsidRPr="004A7200" w:rsidRDefault="0019162B" w:rsidP="00B93410">
            <w:pPr>
              <w:rPr>
                <w:rFonts w:ascii="Aptos" w:hAnsi="Aptos"/>
                <w:sz w:val="18"/>
                <w:szCs w:val="18"/>
                <w:lang w:val="es-ES"/>
              </w:rPr>
            </w:pPr>
            <w:proofErr w:type="spellStart"/>
            <w:r w:rsidRPr="004A7200">
              <w:rPr>
                <w:rFonts w:ascii="Aptos" w:eastAsia="Segoe UI" w:hAnsi="Aptos" w:cs="Segoe UI"/>
                <w:color w:val="0F1115"/>
                <w:sz w:val="18"/>
                <w:szCs w:val="18"/>
                <w:lang w:val="es-ES"/>
              </w:rPr>
              <w:t>Terrestrial</w:t>
            </w:r>
            <w:proofErr w:type="spellEnd"/>
            <w:r w:rsidRPr="004A7200">
              <w:rPr>
                <w:rFonts w:ascii="Aptos" w:eastAsia="Segoe UI" w:hAnsi="Aptos" w:cs="Segoe UI"/>
                <w:color w:val="0F1115"/>
                <w:sz w:val="18"/>
                <w:szCs w:val="18"/>
                <w:lang w:val="es-ES"/>
              </w:rPr>
              <w:t xml:space="preserve"> and </w:t>
            </w:r>
            <w:proofErr w:type="spellStart"/>
            <w:r w:rsidRPr="004A7200">
              <w:rPr>
                <w:rFonts w:ascii="Aptos" w:eastAsia="Segoe UI" w:hAnsi="Aptos" w:cs="Segoe UI"/>
                <w:color w:val="0F1115"/>
                <w:sz w:val="18"/>
                <w:szCs w:val="18"/>
                <w:lang w:val="es-ES"/>
              </w:rPr>
              <w:t>inland</w:t>
            </w:r>
            <w:proofErr w:type="spellEnd"/>
            <w:r w:rsidRPr="004A7200">
              <w:rPr>
                <w:rFonts w:ascii="Aptos" w:eastAsia="Segoe UI" w:hAnsi="Aptos" w:cs="Segoe UI"/>
                <w:color w:val="0F1115"/>
                <w:sz w:val="18"/>
                <w:szCs w:val="18"/>
                <w:lang w:val="es-ES"/>
              </w:rPr>
              <w:t xml:space="preserve"> </w:t>
            </w:r>
            <w:proofErr w:type="spellStart"/>
            <w:r w:rsidRPr="004A7200">
              <w:rPr>
                <w:rFonts w:ascii="Aptos" w:eastAsia="Segoe UI" w:hAnsi="Aptos" w:cs="Segoe UI"/>
                <w:color w:val="0F1115"/>
                <w:sz w:val="18"/>
                <w:szCs w:val="18"/>
                <w:lang w:val="es-ES"/>
              </w:rPr>
              <w:t>waters</w:t>
            </w:r>
            <w:proofErr w:type="spellEnd"/>
          </w:p>
        </w:tc>
        <w:tc>
          <w:tcPr>
            <w:tcW w:w="4619" w:type="dxa"/>
          </w:tcPr>
          <w:p w14:paraId="65862E63"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Zonas terrestres y de aguas continentales</w:t>
            </w:r>
          </w:p>
        </w:tc>
      </w:tr>
      <w:tr w:rsidR="0019162B" w:rsidRPr="004A7200" w14:paraId="121B4878" w14:textId="77777777" w:rsidTr="002B1D2B">
        <w:trPr>
          <w:trHeight w:val="438"/>
        </w:trPr>
        <w:tc>
          <w:tcPr>
            <w:tcW w:w="4738" w:type="dxa"/>
          </w:tcPr>
          <w:p w14:paraId="5FEB13EE"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All marine and coastal areas (under national jurisdiction)</w:t>
            </w:r>
          </w:p>
        </w:tc>
        <w:tc>
          <w:tcPr>
            <w:tcW w:w="4619" w:type="dxa"/>
          </w:tcPr>
          <w:p w14:paraId="50D8394E"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Todas las zonas marinas y costeras (bajo jurisdicción nacional)</w:t>
            </w:r>
          </w:p>
        </w:tc>
      </w:tr>
      <w:tr w:rsidR="0019162B" w:rsidRPr="004A7200" w14:paraId="051FC6A9" w14:textId="77777777" w:rsidTr="002B1D2B">
        <w:trPr>
          <w:trHeight w:val="448"/>
        </w:trPr>
        <w:tc>
          <w:tcPr>
            <w:tcW w:w="4738" w:type="dxa"/>
          </w:tcPr>
          <w:p w14:paraId="188BAAA7"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All terrestrial and inland waters</w:t>
            </w:r>
          </w:p>
        </w:tc>
        <w:tc>
          <w:tcPr>
            <w:tcW w:w="4619" w:type="dxa"/>
          </w:tcPr>
          <w:p w14:paraId="65C3018F"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Todas las zonas terrestres y de aguas continentales</w:t>
            </w:r>
          </w:p>
        </w:tc>
      </w:tr>
      <w:tr w:rsidR="0019162B" w:rsidRPr="004A7200" w14:paraId="1E3E73F4" w14:textId="77777777" w:rsidTr="002B1D2B">
        <w:trPr>
          <w:trHeight w:val="219"/>
        </w:trPr>
        <w:tc>
          <w:tcPr>
            <w:tcW w:w="4738" w:type="dxa"/>
          </w:tcPr>
          <w:p w14:paraId="515F080E" w14:textId="77777777" w:rsidR="0019162B" w:rsidRPr="004A7200" w:rsidRDefault="0019162B" w:rsidP="00B93410">
            <w:pPr>
              <w:rPr>
                <w:rFonts w:ascii="Aptos" w:hAnsi="Aptos"/>
                <w:sz w:val="18"/>
                <w:szCs w:val="18"/>
                <w:lang w:val="es-ES"/>
              </w:rPr>
            </w:pPr>
            <w:proofErr w:type="spellStart"/>
            <w:r w:rsidRPr="004A7200">
              <w:rPr>
                <w:rFonts w:ascii="Aptos" w:eastAsia="Segoe UI" w:hAnsi="Aptos" w:cs="Segoe UI"/>
                <w:color w:val="0F1115"/>
                <w:sz w:val="18"/>
                <w:szCs w:val="18"/>
                <w:lang w:val="es-ES"/>
              </w:rPr>
              <w:t>Protected</w:t>
            </w:r>
            <w:proofErr w:type="spellEnd"/>
            <w:r w:rsidRPr="004A7200">
              <w:rPr>
                <w:rFonts w:ascii="Aptos" w:eastAsia="Segoe UI" w:hAnsi="Aptos" w:cs="Segoe UI"/>
                <w:color w:val="0F1115"/>
                <w:sz w:val="18"/>
                <w:szCs w:val="18"/>
                <w:lang w:val="es-ES"/>
              </w:rPr>
              <w:t xml:space="preserve"> </w:t>
            </w:r>
            <w:proofErr w:type="spellStart"/>
            <w:r w:rsidRPr="004A7200">
              <w:rPr>
                <w:rFonts w:ascii="Aptos" w:eastAsia="Segoe UI" w:hAnsi="Aptos" w:cs="Segoe UI"/>
                <w:color w:val="0F1115"/>
                <w:sz w:val="18"/>
                <w:szCs w:val="18"/>
                <w:lang w:val="es-ES"/>
              </w:rPr>
              <w:t>area</w:t>
            </w:r>
            <w:proofErr w:type="spellEnd"/>
            <w:r w:rsidRPr="004A7200">
              <w:rPr>
                <w:rFonts w:ascii="Aptos" w:eastAsia="Segoe UI" w:hAnsi="Aptos" w:cs="Segoe UI"/>
                <w:color w:val="0F1115"/>
                <w:sz w:val="18"/>
                <w:szCs w:val="18"/>
                <w:lang w:val="es-ES"/>
              </w:rPr>
              <w:t xml:space="preserve"> </w:t>
            </w:r>
            <w:proofErr w:type="spellStart"/>
            <w:r w:rsidRPr="004A7200">
              <w:rPr>
                <w:rFonts w:ascii="Aptos" w:eastAsia="Segoe UI" w:hAnsi="Aptos" w:cs="Segoe UI"/>
                <w:color w:val="0F1115"/>
                <w:sz w:val="18"/>
                <w:szCs w:val="18"/>
                <w:lang w:val="es-ES"/>
              </w:rPr>
              <w:t>coverage</w:t>
            </w:r>
            <w:proofErr w:type="spellEnd"/>
            <w:r w:rsidRPr="004A7200">
              <w:rPr>
                <w:rFonts w:ascii="Aptos" w:eastAsia="Segoe UI" w:hAnsi="Aptos" w:cs="Segoe UI"/>
                <w:color w:val="0F1115"/>
                <w:sz w:val="18"/>
                <w:szCs w:val="18"/>
                <w:lang w:val="es-ES"/>
              </w:rPr>
              <w:t xml:space="preserve"> (%)</w:t>
            </w:r>
          </w:p>
        </w:tc>
        <w:tc>
          <w:tcPr>
            <w:tcW w:w="4619" w:type="dxa"/>
          </w:tcPr>
          <w:p w14:paraId="5010594B" w14:textId="77777777" w:rsidR="0019162B" w:rsidRPr="004A7200" w:rsidRDefault="0019162B" w:rsidP="00B93410">
            <w:pPr>
              <w:rPr>
                <w:rFonts w:ascii="Aptos" w:hAnsi="Aptos"/>
                <w:sz w:val="18"/>
                <w:szCs w:val="18"/>
                <w:lang w:val="pt-BR"/>
              </w:rPr>
            </w:pPr>
            <w:r w:rsidRPr="004A7200">
              <w:rPr>
                <w:rFonts w:ascii="Aptos" w:hAnsi="Aptos"/>
                <w:color w:val="0F1115"/>
                <w:sz w:val="18"/>
                <w:szCs w:val="18"/>
                <w:lang w:val="pt-BR"/>
              </w:rPr>
              <w:t xml:space="preserve">Cobertura de </w:t>
            </w:r>
            <w:proofErr w:type="spellStart"/>
            <w:r w:rsidRPr="004A7200">
              <w:rPr>
                <w:rFonts w:ascii="Aptos" w:hAnsi="Aptos"/>
                <w:color w:val="0F1115"/>
                <w:sz w:val="18"/>
                <w:szCs w:val="18"/>
                <w:lang w:val="pt-BR"/>
              </w:rPr>
              <w:t>las</w:t>
            </w:r>
            <w:proofErr w:type="spellEnd"/>
            <w:r w:rsidRPr="004A7200">
              <w:rPr>
                <w:rFonts w:ascii="Aptos" w:hAnsi="Aptos"/>
                <w:color w:val="0F1115"/>
                <w:sz w:val="18"/>
                <w:szCs w:val="18"/>
                <w:lang w:val="pt-BR"/>
              </w:rPr>
              <w:t xml:space="preserve"> áreas protegidas (%)</w:t>
            </w:r>
          </w:p>
        </w:tc>
      </w:tr>
      <w:tr w:rsidR="0019162B" w:rsidRPr="004A7200" w14:paraId="60E34658" w14:textId="77777777" w:rsidTr="002B1D2B">
        <w:trPr>
          <w:trHeight w:val="219"/>
        </w:trPr>
        <w:tc>
          <w:tcPr>
            <w:tcW w:w="4738" w:type="dxa"/>
          </w:tcPr>
          <w:p w14:paraId="77EF16AA"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0</w:t>
            </w:r>
          </w:p>
        </w:tc>
        <w:tc>
          <w:tcPr>
            <w:tcW w:w="4619" w:type="dxa"/>
          </w:tcPr>
          <w:p w14:paraId="76241269"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0</w:t>
            </w:r>
          </w:p>
        </w:tc>
      </w:tr>
      <w:tr w:rsidR="0019162B" w:rsidRPr="004A7200" w14:paraId="2DF69ED7" w14:textId="77777777" w:rsidTr="002B1D2B">
        <w:trPr>
          <w:trHeight w:val="219"/>
        </w:trPr>
        <w:tc>
          <w:tcPr>
            <w:tcW w:w="4738" w:type="dxa"/>
          </w:tcPr>
          <w:p w14:paraId="6CA05D9F"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10</w:t>
            </w:r>
          </w:p>
        </w:tc>
        <w:tc>
          <w:tcPr>
            <w:tcW w:w="4619" w:type="dxa"/>
          </w:tcPr>
          <w:p w14:paraId="5B2B7A10"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10</w:t>
            </w:r>
          </w:p>
        </w:tc>
      </w:tr>
      <w:tr w:rsidR="0019162B" w:rsidRPr="004A7200" w14:paraId="3B5F3F4E" w14:textId="77777777" w:rsidTr="002B1D2B">
        <w:trPr>
          <w:trHeight w:val="219"/>
        </w:trPr>
        <w:tc>
          <w:tcPr>
            <w:tcW w:w="4738" w:type="dxa"/>
          </w:tcPr>
          <w:p w14:paraId="34F700C1"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w:t>
            </w:r>
          </w:p>
        </w:tc>
        <w:tc>
          <w:tcPr>
            <w:tcW w:w="4619" w:type="dxa"/>
          </w:tcPr>
          <w:p w14:paraId="66D603DE"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w:t>
            </w:r>
          </w:p>
        </w:tc>
      </w:tr>
      <w:tr w:rsidR="0019162B" w:rsidRPr="004A7200" w14:paraId="0B7C73FE" w14:textId="77777777" w:rsidTr="002B1D2B">
        <w:trPr>
          <w:trHeight w:val="228"/>
        </w:trPr>
        <w:tc>
          <w:tcPr>
            <w:tcW w:w="4738" w:type="dxa"/>
          </w:tcPr>
          <w:p w14:paraId="055E04B3"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30</w:t>
            </w:r>
          </w:p>
        </w:tc>
        <w:tc>
          <w:tcPr>
            <w:tcW w:w="4619" w:type="dxa"/>
          </w:tcPr>
          <w:p w14:paraId="4A3918E2"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30</w:t>
            </w:r>
          </w:p>
        </w:tc>
      </w:tr>
      <w:tr w:rsidR="0019162B" w:rsidRPr="004A7200" w14:paraId="6324DBF1" w14:textId="77777777" w:rsidTr="002B1D2B">
        <w:trPr>
          <w:trHeight w:val="219"/>
        </w:trPr>
        <w:tc>
          <w:tcPr>
            <w:tcW w:w="4738" w:type="dxa"/>
          </w:tcPr>
          <w:p w14:paraId="35D6B431"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50</w:t>
            </w:r>
          </w:p>
        </w:tc>
        <w:tc>
          <w:tcPr>
            <w:tcW w:w="4619" w:type="dxa"/>
          </w:tcPr>
          <w:p w14:paraId="187F351A"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50</w:t>
            </w:r>
          </w:p>
        </w:tc>
      </w:tr>
      <w:tr w:rsidR="0019162B" w:rsidRPr="004A7200" w14:paraId="37359847" w14:textId="77777777" w:rsidTr="002B1D2B">
        <w:trPr>
          <w:trHeight w:val="219"/>
        </w:trPr>
        <w:tc>
          <w:tcPr>
            <w:tcW w:w="4738" w:type="dxa"/>
          </w:tcPr>
          <w:p w14:paraId="37280E38"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100</w:t>
            </w:r>
          </w:p>
        </w:tc>
        <w:tc>
          <w:tcPr>
            <w:tcW w:w="4619" w:type="dxa"/>
          </w:tcPr>
          <w:p w14:paraId="07DFFE90"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100</w:t>
            </w:r>
          </w:p>
        </w:tc>
      </w:tr>
      <w:tr w:rsidR="0019162B" w:rsidRPr="004A7200" w14:paraId="46EFDFF1" w14:textId="77777777" w:rsidTr="002B1D2B">
        <w:trPr>
          <w:trHeight w:val="219"/>
        </w:trPr>
        <w:tc>
          <w:tcPr>
            <w:tcW w:w="4738" w:type="dxa"/>
          </w:tcPr>
          <w:p w14:paraId="42C6EB2B"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150</w:t>
            </w:r>
          </w:p>
        </w:tc>
        <w:tc>
          <w:tcPr>
            <w:tcW w:w="4619" w:type="dxa"/>
          </w:tcPr>
          <w:p w14:paraId="33AE75F4"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150</w:t>
            </w:r>
          </w:p>
        </w:tc>
      </w:tr>
      <w:tr w:rsidR="0019162B" w:rsidRPr="004A7200" w14:paraId="5CE4AAD2" w14:textId="77777777" w:rsidTr="002B1D2B">
        <w:trPr>
          <w:trHeight w:val="219"/>
        </w:trPr>
        <w:tc>
          <w:tcPr>
            <w:tcW w:w="4738" w:type="dxa"/>
          </w:tcPr>
          <w:p w14:paraId="6A778C49"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200</w:t>
            </w:r>
          </w:p>
        </w:tc>
        <w:tc>
          <w:tcPr>
            <w:tcW w:w="4619" w:type="dxa"/>
          </w:tcPr>
          <w:p w14:paraId="04FC44B6"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200</w:t>
            </w:r>
          </w:p>
        </w:tc>
      </w:tr>
      <w:tr w:rsidR="0019162B" w:rsidRPr="004A7200" w14:paraId="08BEFA81" w14:textId="77777777" w:rsidTr="002B1D2B">
        <w:trPr>
          <w:trHeight w:val="228"/>
        </w:trPr>
        <w:tc>
          <w:tcPr>
            <w:tcW w:w="4738" w:type="dxa"/>
          </w:tcPr>
          <w:p w14:paraId="25C4C344" w14:textId="77777777" w:rsidR="0019162B" w:rsidRPr="004A7200" w:rsidRDefault="0019162B" w:rsidP="00B93410">
            <w:pPr>
              <w:rPr>
                <w:rFonts w:ascii="Aptos" w:hAnsi="Aptos"/>
                <w:sz w:val="18"/>
                <w:szCs w:val="18"/>
                <w:lang w:val="es-ES"/>
              </w:rPr>
            </w:pPr>
            <w:proofErr w:type="spellStart"/>
            <w:r w:rsidRPr="004A7200">
              <w:rPr>
                <w:rFonts w:ascii="Aptos" w:eastAsia="Segoe UI" w:hAnsi="Aptos" w:cs="Segoe UI"/>
                <w:color w:val="0F1115"/>
                <w:sz w:val="18"/>
                <w:szCs w:val="18"/>
                <w:lang w:val="es-ES"/>
              </w:rPr>
              <w:t>Year</w:t>
            </w:r>
            <w:proofErr w:type="spellEnd"/>
          </w:p>
        </w:tc>
        <w:tc>
          <w:tcPr>
            <w:tcW w:w="4619" w:type="dxa"/>
          </w:tcPr>
          <w:p w14:paraId="550054B8"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Año</w:t>
            </w:r>
          </w:p>
        </w:tc>
      </w:tr>
      <w:tr w:rsidR="0019162B" w:rsidRPr="004A7200" w14:paraId="652D0267" w14:textId="77777777" w:rsidTr="002B1D2B">
        <w:trPr>
          <w:trHeight w:val="219"/>
        </w:trPr>
        <w:tc>
          <w:tcPr>
            <w:tcW w:w="4738" w:type="dxa"/>
          </w:tcPr>
          <w:p w14:paraId="1709E8F5"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2020</w:t>
            </w:r>
          </w:p>
        </w:tc>
        <w:tc>
          <w:tcPr>
            <w:tcW w:w="4619" w:type="dxa"/>
          </w:tcPr>
          <w:p w14:paraId="21F23D79"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2020</w:t>
            </w:r>
          </w:p>
        </w:tc>
      </w:tr>
      <w:tr w:rsidR="0019162B" w:rsidRPr="004A7200" w14:paraId="76D70384" w14:textId="77777777" w:rsidTr="002B1D2B">
        <w:trPr>
          <w:trHeight w:val="219"/>
        </w:trPr>
        <w:tc>
          <w:tcPr>
            <w:tcW w:w="4738" w:type="dxa"/>
          </w:tcPr>
          <w:p w14:paraId="5265313B"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2021</w:t>
            </w:r>
          </w:p>
        </w:tc>
        <w:tc>
          <w:tcPr>
            <w:tcW w:w="4619" w:type="dxa"/>
          </w:tcPr>
          <w:p w14:paraId="11E41A70"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2021</w:t>
            </w:r>
          </w:p>
        </w:tc>
      </w:tr>
      <w:tr w:rsidR="0019162B" w:rsidRPr="004A7200" w14:paraId="3FB58DCF" w14:textId="77777777" w:rsidTr="002B1D2B">
        <w:trPr>
          <w:trHeight w:val="219"/>
        </w:trPr>
        <w:tc>
          <w:tcPr>
            <w:tcW w:w="4738" w:type="dxa"/>
          </w:tcPr>
          <w:p w14:paraId="1A2470C4"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2022</w:t>
            </w:r>
          </w:p>
        </w:tc>
        <w:tc>
          <w:tcPr>
            <w:tcW w:w="4619" w:type="dxa"/>
          </w:tcPr>
          <w:p w14:paraId="185CEB24"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2022</w:t>
            </w:r>
          </w:p>
        </w:tc>
      </w:tr>
      <w:tr w:rsidR="0019162B" w:rsidRPr="004A7200" w14:paraId="22351E6D" w14:textId="77777777" w:rsidTr="002B1D2B">
        <w:trPr>
          <w:trHeight w:val="219"/>
        </w:trPr>
        <w:tc>
          <w:tcPr>
            <w:tcW w:w="4738" w:type="dxa"/>
          </w:tcPr>
          <w:p w14:paraId="3D361AE5"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2023</w:t>
            </w:r>
          </w:p>
        </w:tc>
        <w:tc>
          <w:tcPr>
            <w:tcW w:w="4619" w:type="dxa"/>
          </w:tcPr>
          <w:p w14:paraId="2DE76C5E"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2023</w:t>
            </w:r>
          </w:p>
        </w:tc>
      </w:tr>
      <w:tr w:rsidR="0019162B" w:rsidRPr="004A7200" w14:paraId="7125D705" w14:textId="77777777" w:rsidTr="002B1D2B">
        <w:trPr>
          <w:trHeight w:val="228"/>
        </w:trPr>
        <w:tc>
          <w:tcPr>
            <w:tcW w:w="4738" w:type="dxa"/>
          </w:tcPr>
          <w:p w14:paraId="3E08014F"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2024</w:t>
            </w:r>
          </w:p>
        </w:tc>
        <w:tc>
          <w:tcPr>
            <w:tcW w:w="4619" w:type="dxa"/>
          </w:tcPr>
          <w:p w14:paraId="024D78F4"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2024</w:t>
            </w:r>
          </w:p>
        </w:tc>
      </w:tr>
      <w:tr w:rsidR="0019162B" w:rsidRPr="004A7200" w14:paraId="4D4BA89D" w14:textId="77777777" w:rsidTr="002B1D2B">
        <w:trPr>
          <w:trHeight w:val="219"/>
        </w:trPr>
        <w:tc>
          <w:tcPr>
            <w:tcW w:w="4738" w:type="dxa"/>
          </w:tcPr>
          <w:p w14:paraId="25BE7CF1"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lastRenderedPageBreak/>
              <w:t>2025</w:t>
            </w:r>
          </w:p>
        </w:tc>
        <w:tc>
          <w:tcPr>
            <w:tcW w:w="4619" w:type="dxa"/>
          </w:tcPr>
          <w:p w14:paraId="58D70E47"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2025</w:t>
            </w:r>
          </w:p>
        </w:tc>
      </w:tr>
      <w:tr w:rsidR="0019162B" w:rsidRPr="004A7200" w14:paraId="6610A4B2" w14:textId="77777777" w:rsidTr="002B1D2B">
        <w:trPr>
          <w:trHeight w:val="438"/>
        </w:trPr>
        <w:tc>
          <w:tcPr>
            <w:tcW w:w="4738" w:type="dxa"/>
          </w:tcPr>
          <w:p w14:paraId="3F0BE275"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Corresponds to 16.7% of the reported area (plus 2.9% since 2020)</w:t>
            </w:r>
          </w:p>
        </w:tc>
        <w:tc>
          <w:tcPr>
            <w:tcW w:w="4619" w:type="dxa"/>
          </w:tcPr>
          <w:p w14:paraId="5FD76A2A"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Corresponde al 16,7 % de la superficie comunicada (más 2,9 % desde 2020)</w:t>
            </w:r>
          </w:p>
        </w:tc>
      </w:tr>
      <w:tr w:rsidR="0019162B" w:rsidRPr="004A7200" w14:paraId="3E98197D" w14:textId="77777777" w:rsidTr="002B1D2B">
        <w:trPr>
          <w:trHeight w:val="448"/>
        </w:trPr>
        <w:tc>
          <w:tcPr>
            <w:tcW w:w="4738" w:type="dxa"/>
          </w:tcPr>
          <w:p w14:paraId="241EF801"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Corresponds to 19.5% of the reported area (plus 2.2% since 2020)</w:t>
            </w:r>
          </w:p>
        </w:tc>
        <w:tc>
          <w:tcPr>
            <w:tcW w:w="4619" w:type="dxa"/>
          </w:tcPr>
          <w:p w14:paraId="0868FBFF"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Corresponde al 19,5% de la superficie comunicada (más 2,2% desde 2020)</w:t>
            </w:r>
          </w:p>
        </w:tc>
      </w:tr>
      <w:tr w:rsidR="0019162B" w:rsidRPr="004A7200" w14:paraId="2806070D" w14:textId="77777777" w:rsidTr="002B1D2B">
        <w:trPr>
          <w:trHeight w:val="219"/>
        </w:trPr>
        <w:tc>
          <w:tcPr>
            <w:tcW w:w="4738" w:type="dxa"/>
          </w:tcPr>
          <w:p w14:paraId="3ACDBF19"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 xml:space="preserve">Party </w:t>
            </w:r>
            <w:proofErr w:type="spellStart"/>
            <w:r w:rsidRPr="004A7200">
              <w:rPr>
                <w:rFonts w:ascii="Aptos" w:eastAsia="Segoe UI" w:hAnsi="Aptos" w:cs="Segoe UI"/>
                <w:color w:val="0F1115"/>
                <w:sz w:val="18"/>
                <w:szCs w:val="18"/>
                <w:lang w:val="es-ES"/>
              </w:rPr>
              <w:t>count</w:t>
            </w:r>
            <w:proofErr w:type="spellEnd"/>
            <w:r w:rsidRPr="004A7200">
              <w:rPr>
                <w:rFonts w:ascii="Aptos" w:eastAsia="Segoe UI" w:hAnsi="Aptos" w:cs="Segoe UI"/>
                <w:color w:val="0F1115"/>
                <w:sz w:val="18"/>
                <w:szCs w:val="18"/>
                <w:lang w:val="es-ES"/>
              </w:rPr>
              <w:t xml:space="preserve"> </w:t>
            </w:r>
            <w:proofErr w:type="spellStart"/>
            <w:r w:rsidRPr="004A7200">
              <w:rPr>
                <w:rFonts w:ascii="Aptos" w:eastAsia="Segoe UI" w:hAnsi="Aptos" w:cs="Segoe UI"/>
                <w:color w:val="0F1115"/>
                <w:sz w:val="18"/>
                <w:szCs w:val="18"/>
                <w:lang w:val="es-ES"/>
              </w:rPr>
              <w:t>by</w:t>
            </w:r>
            <w:proofErr w:type="spellEnd"/>
            <w:r w:rsidRPr="004A7200">
              <w:rPr>
                <w:rFonts w:ascii="Aptos" w:eastAsia="Segoe UI" w:hAnsi="Aptos" w:cs="Segoe UI"/>
                <w:color w:val="0F1115"/>
                <w:sz w:val="18"/>
                <w:szCs w:val="18"/>
                <w:lang w:val="es-ES"/>
              </w:rPr>
              <w:t xml:space="preserve"> </w:t>
            </w:r>
            <w:proofErr w:type="spellStart"/>
            <w:r w:rsidRPr="004A7200">
              <w:rPr>
                <w:rFonts w:ascii="Aptos" w:eastAsia="Segoe UI" w:hAnsi="Aptos" w:cs="Segoe UI"/>
                <w:color w:val="0F1115"/>
                <w:sz w:val="18"/>
                <w:szCs w:val="18"/>
                <w:lang w:val="es-ES"/>
              </w:rPr>
              <w:t>region</w:t>
            </w:r>
            <w:proofErr w:type="spellEnd"/>
          </w:p>
        </w:tc>
        <w:tc>
          <w:tcPr>
            <w:tcW w:w="4619" w:type="dxa"/>
          </w:tcPr>
          <w:p w14:paraId="27ACB770"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Número de Partes por región</w:t>
            </w:r>
          </w:p>
        </w:tc>
      </w:tr>
      <w:tr w:rsidR="0019162B" w:rsidRPr="004A7200" w14:paraId="52DEF2FA" w14:textId="77777777" w:rsidTr="002B1D2B">
        <w:trPr>
          <w:trHeight w:val="219"/>
        </w:trPr>
        <w:tc>
          <w:tcPr>
            <w:tcW w:w="4738" w:type="dxa"/>
          </w:tcPr>
          <w:p w14:paraId="36A34FAC" w14:textId="77777777" w:rsidR="0019162B" w:rsidRPr="004A7200" w:rsidRDefault="0019162B" w:rsidP="00B93410">
            <w:pPr>
              <w:rPr>
                <w:rFonts w:ascii="Aptos" w:hAnsi="Aptos"/>
                <w:sz w:val="18"/>
                <w:szCs w:val="18"/>
                <w:lang w:val="es-ES"/>
              </w:rPr>
            </w:pPr>
            <w:proofErr w:type="spellStart"/>
            <w:r w:rsidRPr="004A7200">
              <w:rPr>
                <w:rFonts w:ascii="Aptos" w:eastAsia="Segoe UI" w:hAnsi="Aptos" w:cs="Segoe UI"/>
                <w:color w:val="0F1115"/>
                <w:sz w:val="18"/>
                <w:szCs w:val="18"/>
                <w:lang w:val="es-ES"/>
              </w:rPr>
              <w:t>Region</w:t>
            </w:r>
            <w:proofErr w:type="spellEnd"/>
          </w:p>
        </w:tc>
        <w:tc>
          <w:tcPr>
            <w:tcW w:w="4619" w:type="dxa"/>
          </w:tcPr>
          <w:p w14:paraId="71AE9D8C"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Región</w:t>
            </w:r>
          </w:p>
        </w:tc>
      </w:tr>
      <w:tr w:rsidR="0019162B" w:rsidRPr="004A7200" w14:paraId="299CD595" w14:textId="77777777" w:rsidTr="002B1D2B">
        <w:trPr>
          <w:trHeight w:val="219"/>
        </w:trPr>
        <w:tc>
          <w:tcPr>
            <w:tcW w:w="4738" w:type="dxa"/>
          </w:tcPr>
          <w:p w14:paraId="2E2B1E3D"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African States</w:t>
            </w:r>
          </w:p>
        </w:tc>
        <w:tc>
          <w:tcPr>
            <w:tcW w:w="4619" w:type="dxa"/>
          </w:tcPr>
          <w:p w14:paraId="319B3068"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Estados de África</w:t>
            </w:r>
          </w:p>
        </w:tc>
      </w:tr>
      <w:tr w:rsidR="0019162B" w:rsidRPr="004A7200" w14:paraId="701F91C0" w14:textId="77777777" w:rsidTr="002B1D2B">
        <w:trPr>
          <w:trHeight w:val="219"/>
        </w:trPr>
        <w:tc>
          <w:tcPr>
            <w:tcW w:w="4738" w:type="dxa"/>
          </w:tcPr>
          <w:p w14:paraId="0CDE165E"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Asia-Pacific States</w:t>
            </w:r>
          </w:p>
        </w:tc>
        <w:tc>
          <w:tcPr>
            <w:tcW w:w="4619" w:type="dxa"/>
          </w:tcPr>
          <w:p w14:paraId="1A815ED3"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Estados de Asia y el Pacífico</w:t>
            </w:r>
          </w:p>
        </w:tc>
      </w:tr>
      <w:tr w:rsidR="0019162B" w:rsidRPr="004A7200" w14:paraId="4DC52809" w14:textId="77777777" w:rsidTr="002B1D2B">
        <w:trPr>
          <w:trHeight w:val="228"/>
        </w:trPr>
        <w:tc>
          <w:tcPr>
            <w:tcW w:w="4738" w:type="dxa"/>
          </w:tcPr>
          <w:p w14:paraId="31EAB264"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Latin American and Caribbean States</w:t>
            </w:r>
          </w:p>
        </w:tc>
        <w:tc>
          <w:tcPr>
            <w:tcW w:w="4619" w:type="dxa"/>
          </w:tcPr>
          <w:p w14:paraId="63083AD0"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Estados de América Latina y el Caribe</w:t>
            </w:r>
          </w:p>
        </w:tc>
      </w:tr>
      <w:tr w:rsidR="0019162B" w:rsidRPr="004A7200" w14:paraId="41E92355" w14:textId="77777777" w:rsidTr="002B1D2B">
        <w:trPr>
          <w:trHeight w:val="219"/>
        </w:trPr>
        <w:tc>
          <w:tcPr>
            <w:tcW w:w="4738" w:type="dxa"/>
          </w:tcPr>
          <w:p w14:paraId="01C3CB7A"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Eastern European States</w:t>
            </w:r>
          </w:p>
        </w:tc>
        <w:tc>
          <w:tcPr>
            <w:tcW w:w="4619" w:type="dxa"/>
          </w:tcPr>
          <w:p w14:paraId="15DFB32B"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Estados de Europa Oriental</w:t>
            </w:r>
          </w:p>
        </w:tc>
      </w:tr>
      <w:tr w:rsidR="0019162B" w:rsidRPr="004A7200" w14:paraId="582091CD" w14:textId="77777777" w:rsidTr="002B1D2B">
        <w:trPr>
          <w:trHeight w:val="438"/>
        </w:trPr>
        <w:tc>
          <w:tcPr>
            <w:tcW w:w="4738" w:type="dxa"/>
          </w:tcPr>
          <w:p w14:paraId="38EF3C4C" w14:textId="77777777" w:rsidR="0019162B" w:rsidRPr="004A7200" w:rsidRDefault="0019162B" w:rsidP="00B93410">
            <w:pPr>
              <w:rPr>
                <w:rFonts w:ascii="Aptos" w:hAnsi="Aptos"/>
                <w:sz w:val="18"/>
                <w:szCs w:val="18"/>
                <w:lang w:val="en-US"/>
              </w:rPr>
            </w:pPr>
            <w:r w:rsidRPr="004A7200">
              <w:rPr>
                <w:rFonts w:ascii="Aptos" w:eastAsia="Segoe UI" w:hAnsi="Aptos" w:cs="Segoe UI"/>
                <w:color w:val="0F1115"/>
                <w:sz w:val="18"/>
                <w:szCs w:val="18"/>
                <w:lang w:val="en-US"/>
              </w:rPr>
              <w:t>Western European and other States</w:t>
            </w:r>
          </w:p>
        </w:tc>
        <w:tc>
          <w:tcPr>
            <w:tcW w:w="4619" w:type="dxa"/>
          </w:tcPr>
          <w:p w14:paraId="76027A73" w14:textId="77777777" w:rsidR="0019162B" w:rsidRPr="004A7200" w:rsidRDefault="0019162B" w:rsidP="00B93410">
            <w:pPr>
              <w:rPr>
                <w:rFonts w:ascii="Aptos" w:hAnsi="Aptos"/>
                <w:sz w:val="18"/>
                <w:szCs w:val="18"/>
                <w:lang w:val="es-ES"/>
              </w:rPr>
            </w:pPr>
            <w:r w:rsidRPr="004A7200">
              <w:rPr>
                <w:rFonts w:ascii="Aptos" w:hAnsi="Aptos"/>
                <w:color w:val="0F1115"/>
                <w:sz w:val="18"/>
                <w:szCs w:val="18"/>
                <w:lang w:val="es-ES"/>
              </w:rPr>
              <w:t>Estados de Europa Occidental y otros Estados</w:t>
            </w:r>
          </w:p>
        </w:tc>
      </w:tr>
      <w:tr w:rsidR="0019162B" w:rsidRPr="004A7200" w14:paraId="15007EA2" w14:textId="77777777" w:rsidTr="002B1D2B">
        <w:trPr>
          <w:trHeight w:val="219"/>
        </w:trPr>
        <w:tc>
          <w:tcPr>
            <w:tcW w:w="4738" w:type="dxa"/>
          </w:tcPr>
          <w:p w14:paraId="5D882E1D" w14:textId="77777777" w:rsidR="0019162B" w:rsidRPr="004A7200" w:rsidRDefault="0019162B" w:rsidP="00B93410">
            <w:pPr>
              <w:rPr>
                <w:rFonts w:ascii="Aptos" w:hAnsi="Aptos"/>
                <w:sz w:val="18"/>
                <w:szCs w:val="18"/>
                <w:lang w:val="es-ES"/>
              </w:rPr>
            </w:pPr>
            <w:r w:rsidRPr="004A7200">
              <w:rPr>
                <w:rFonts w:ascii="Aptos" w:eastAsia="Segoe UI" w:hAnsi="Aptos" w:cs="Segoe UI"/>
                <w:color w:val="0F1115"/>
                <w:sz w:val="18"/>
                <w:szCs w:val="18"/>
                <w:lang w:val="es-ES"/>
              </w:rPr>
              <w:t xml:space="preserve">Party </w:t>
            </w:r>
            <w:proofErr w:type="spellStart"/>
            <w:r w:rsidRPr="004A7200">
              <w:rPr>
                <w:rFonts w:ascii="Aptos" w:eastAsia="Segoe UI" w:hAnsi="Aptos" w:cs="Segoe UI"/>
                <w:color w:val="0F1115"/>
                <w:sz w:val="18"/>
                <w:szCs w:val="18"/>
                <w:lang w:val="es-ES"/>
              </w:rPr>
              <w:t>count</w:t>
            </w:r>
            <w:proofErr w:type="spellEnd"/>
            <w:r w:rsidRPr="004A7200">
              <w:rPr>
                <w:rFonts w:ascii="Aptos" w:eastAsia="Segoe UI" w:hAnsi="Aptos" w:cs="Segoe UI"/>
                <w:color w:val="0F1115"/>
                <w:sz w:val="18"/>
                <w:szCs w:val="18"/>
                <w:lang w:val="es-ES"/>
              </w:rPr>
              <w:t>: 78</w:t>
            </w:r>
          </w:p>
        </w:tc>
        <w:tc>
          <w:tcPr>
            <w:tcW w:w="4619" w:type="dxa"/>
          </w:tcPr>
          <w:p w14:paraId="4876EA1F" w14:textId="77777777" w:rsidR="0019162B" w:rsidRPr="004A7200" w:rsidRDefault="0019162B" w:rsidP="00B93410">
            <w:pPr>
              <w:rPr>
                <w:rFonts w:ascii="Aptos" w:eastAsia="Segoe UI" w:hAnsi="Aptos" w:cs="Segoe UI"/>
                <w:color w:val="0F1115"/>
                <w:sz w:val="18"/>
                <w:szCs w:val="18"/>
                <w:lang w:val="es-ES"/>
              </w:rPr>
            </w:pPr>
            <w:r w:rsidRPr="004A7200">
              <w:rPr>
                <w:rFonts w:ascii="Aptos" w:hAnsi="Aptos"/>
                <w:color w:val="0F1115"/>
                <w:sz w:val="18"/>
                <w:szCs w:val="18"/>
                <w:lang w:val="es-ES"/>
              </w:rPr>
              <w:t>Número de Partes: 78</w:t>
            </w:r>
          </w:p>
        </w:tc>
      </w:tr>
    </w:tbl>
    <w:p w14:paraId="4B3105D0" w14:textId="185B1A6B" w:rsidR="00D805AE" w:rsidRPr="005E3D50" w:rsidRDefault="00D805AE">
      <w:pPr>
        <w:rPr>
          <w:rFonts w:ascii="Aptos" w:hAnsi="Aptos"/>
          <w:sz w:val="16"/>
          <w:szCs w:val="16"/>
          <w:lang w:val="es-ES"/>
        </w:rPr>
      </w:pPr>
    </w:p>
    <w:bookmarkEnd w:id="162"/>
    <w:bookmarkEnd w:id="163"/>
    <w:p w14:paraId="6ACCA1C2" w14:textId="3F89F5ED" w:rsidR="00C40E1D" w:rsidRPr="005E3D50" w:rsidRDefault="0066420D" w:rsidP="00C40E1D">
      <w:pPr>
        <w:rPr>
          <w:rFonts w:ascii="Aptos" w:hAnsi="Aptos"/>
          <w:i/>
          <w:iCs/>
          <w:sz w:val="16"/>
          <w:szCs w:val="16"/>
          <w:lang w:val="es-ES"/>
        </w:rPr>
      </w:pPr>
      <w:r w:rsidRPr="005E3D50">
        <w:rPr>
          <w:rFonts w:ascii="Aptos" w:hAnsi="Aptos"/>
          <w:sz w:val="20"/>
          <w:szCs w:val="20"/>
          <w:lang w:val="es-ES"/>
        </w:rPr>
        <w:t>Figura 15</w:t>
      </w:r>
    </w:p>
    <w:p w14:paraId="2EFCA44E" w14:textId="00D9608A" w:rsidR="00C40E1D" w:rsidRPr="005E3D50" w:rsidRDefault="00C40E1D" w:rsidP="00C40E1D">
      <w:pPr>
        <w:rPr>
          <w:b/>
          <w:bCs/>
          <w:sz w:val="20"/>
          <w:szCs w:val="20"/>
          <w:lang w:val="es-ES"/>
        </w:rPr>
      </w:pPr>
      <w:r w:rsidRPr="005E3D50">
        <w:rPr>
          <w:b/>
          <w:bCs/>
          <w:sz w:val="20"/>
          <w:szCs w:val="20"/>
          <w:lang w:val="es-ES"/>
        </w:rPr>
        <w:t>Indicador de cabecera 3.1:</w:t>
      </w:r>
      <w:r w:rsidRPr="005E3D50">
        <w:rPr>
          <w:rFonts w:ascii="Arial" w:hAnsi="Arial"/>
          <w:b/>
          <w:bCs/>
          <w:sz w:val="20"/>
          <w:szCs w:val="20"/>
          <w:lang w:val="es-ES"/>
        </w:rPr>
        <w:t> </w:t>
      </w:r>
      <w:r w:rsidRPr="005E3D50">
        <w:rPr>
          <w:b/>
          <w:bCs/>
          <w:sz w:val="20"/>
          <w:szCs w:val="20"/>
          <w:lang w:val="es-ES"/>
        </w:rPr>
        <w:t>cobertura de áreas protegidas y otras medidas eficaces de conservación basadas en áreas según la Base de Datos Mundial sobre Áreas Protegidas y Conservadas (para las zonas marinas y costeras bajo la jurisdicción nacional y las zonas terrestres y de aguas continentales)</w:t>
      </w:r>
    </w:p>
    <w:p w14:paraId="76A18F20" w14:textId="77777777" w:rsidR="00C40E1D" w:rsidRPr="005E3D50" w:rsidRDefault="00C40E1D" w:rsidP="00D56883">
      <w:pPr>
        <w:rPr>
          <w:sz w:val="16"/>
          <w:szCs w:val="16"/>
          <w:lang w:val="es-ES" w:eastAsia="ja-JP"/>
        </w:rPr>
      </w:pPr>
    </w:p>
    <w:p w14:paraId="2824E6B5" w14:textId="62F5AEE0" w:rsidR="003F3BF1" w:rsidRPr="005E3D50" w:rsidRDefault="005833DE" w:rsidP="00866D95">
      <w:pPr>
        <w:pStyle w:val="Caption"/>
        <w:rPr>
          <w:rFonts w:ascii="Aptos" w:hAnsi="Aptos"/>
          <w:lang w:val="es-ES"/>
        </w:rPr>
      </w:pPr>
      <w:bookmarkStart w:id="164" w:name="_Ref235700647"/>
      <w:r w:rsidRPr="005E3D50">
        <w:rPr>
          <w:noProof/>
          <w:lang w:val="en-US" w:eastAsia="en-US"/>
        </w:rPr>
        <w:drawing>
          <wp:inline distT="0" distB="0" distL="0" distR="0" wp14:anchorId="1916EE18" wp14:editId="708A1F20">
            <wp:extent cx="5943600" cy="3343275"/>
            <wp:effectExtent l="0" t="0" r="0" b="0"/>
            <wp:docPr id="3439858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85835" name="Picture 34398583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67D4E6E" w14:textId="77777777" w:rsidR="00F8063D" w:rsidRPr="005E3D50" w:rsidRDefault="00F8063D" w:rsidP="00F8063D">
      <w:pPr>
        <w:rPr>
          <w:lang w:val="es-ES" w:eastAsia="ja-JP"/>
        </w:rPr>
      </w:pPr>
    </w:p>
    <w:p w14:paraId="33A1A99A" w14:textId="77777777" w:rsidR="00FC2E31" w:rsidRPr="005E3D50" w:rsidRDefault="00F8063D" w:rsidP="00F8063D">
      <w:pPr>
        <w:pStyle w:val="Caption"/>
        <w:rPr>
          <w:rFonts w:eastAsiaTheme="minorHAnsi"/>
          <w:i w:val="0"/>
          <w:iCs w:val="0"/>
          <w:color w:val="auto"/>
          <w:kern w:val="2"/>
          <w:sz w:val="16"/>
          <w:szCs w:val="16"/>
          <w:lang w:val="es-ES"/>
          <w14:ligatures w14:val="standardContextual"/>
        </w:rPr>
      </w:pPr>
      <w:r w:rsidRPr="005E3D50">
        <w:rPr>
          <w:rFonts w:ascii="Aptos" w:hAnsi="Aptos"/>
          <w:sz w:val="16"/>
          <w:szCs w:val="16"/>
          <w:lang w:val="es-ES"/>
        </w:rPr>
        <w:t xml:space="preserve">Nota: </w:t>
      </w:r>
      <w:r w:rsidRPr="005E3D50">
        <w:rPr>
          <w:rFonts w:ascii="Aptos" w:hAnsi="Aptos"/>
          <w:i w:val="0"/>
          <w:iCs w:val="0"/>
          <w:sz w:val="16"/>
          <w:szCs w:val="16"/>
          <w:lang w:val="es-ES"/>
        </w:rPr>
        <w:t>Basado únicamente en los datos presentados a la WDPCA.</w:t>
      </w:r>
      <w:r w:rsidRPr="005E3D50">
        <w:rPr>
          <w:rFonts w:ascii="Arial" w:hAnsi="Arial"/>
          <w:i w:val="0"/>
          <w:iCs w:val="0"/>
          <w:sz w:val="16"/>
          <w:szCs w:val="16"/>
          <w:lang w:val="es-ES"/>
        </w:rPr>
        <w:t> </w:t>
      </w:r>
      <w:r w:rsidRPr="005E3D50">
        <w:rPr>
          <w:rFonts w:ascii="Aptos" w:hAnsi="Aptos"/>
          <w:i w:val="0"/>
          <w:iCs w:val="0"/>
          <w:sz w:val="16"/>
          <w:szCs w:val="16"/>
          <w:lang w:val="es-ES"/>
        </w:rPr>
        <w:t>Los valores del indicador muestran la proporción total de cada tipo de zona sujeta a conservación. Los valores representan el 100 % de las zonas terrestres y marinas de todas las Partes (véanse los gráficos circulares y de barras completamente sombreados de la derecha).</w:t>
      </w:r>
      <w:r w:rsidRPr="005E3D50">
        <w:rPr>
          <w:rFonts w:ascii="Arial" w:hAnsi="Arial"/>
          <w:i w:val="0"/>
          <w:iCs w:val="0"/>
          <w:sz w:val="16"/>
          <w:szCs w:val="16"/>
          <w:lang w:val="es-ES"/>
        </w:rPr>
        <w:t> </w:t>
      </w:r>
      <w:r w:rsidRPr="005E3D50">
        <w:rPr>
          <w:rFonts w:ascii="Aptos" w:hAnsi="Aptos"/>
          <w:i w:val="0"/>
          <w:iCs w:val="0"/>
          <w:sz w:val="16"/>
          <w:szCs w:val="16"/>
          <w:lang w:val="es-ES"/>
        </w:rPr>
        <w:t> </w:t>
      </w:r>
    </w:p>
    <w:tbl>
      <w:tblPr>
        <w:tblStyle w:val="TableGrid"/>
        <w:tblW w:w="9149" w:type="dxa"/>
        <w:tblLook w:val="06A0" w:firstRow="1" w:lastRow="0" w:firstColumn="1" w:lastColumn="0" w:noHBand="1" w:noVBand="1"/>
      </w:tblPr>
      <w:tblGrid>
        <w:gridCol w:w="4632"/>
        <w:gridCol w:w="4517"/>
      </w:tblGrid>
      <w:tr w:rsidR="002B1D2B" w:rsidRPr="00FC2E31" w14:paraId="47D3322A" w14:textId="77777777" w:rsidTr="002B1D2B">
        <w:trPr>
          <w:trHeight w:val="222"/>
        </w:trPr>
        <w:tc>
          <w:tcPr>
            <w:tcW w:w="9149" w:type="dxa"/>
            <w:gridSpan w:val="2"/>
          </w:tcPr>
          <w:p w14:paraId="03434C4F" w14:textId="5466C241"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Figure 15</w:t>
            </w:r>
          </w:p>
        </w:tc>
      </w:tr>
      <w:tr w:rsidR="002B1D2B" w:rsidRPr="00FC2E31" w14:paraId="128B7121" w14:textId="77777777" w:rsidTr="002B1D2B">
        <w:trPr>
          <w:trHeight w:val="231"/>
        </w:trPr>
        <w:tc>
          <w:tcPr>
            <w:tcW w:w="4632" w:type="dxa"/>
          </w:tcPr>
          <w:p w14:paraId="44755016"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 xml:space="preserve">English </w:t>
            </w:r>
          </w:p>
        </w:tc>
        <w:tc>
          <w:tcPr>
            <w:tcW w:w="4516" w:type="dxa"/>
          </w:tcPr>
          <w:p w14:paraId="2EF54601" w14:textId="73C8235D" w:rsidR="002B1D2B" w:rsidRPr="00FC2E31"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FC2E31" w14:paraId="0EF1F53F" w14:textId="77777777" w:rsidTr="002B1D2B">
        <w:trPr>
          <w:trHeight w:val="444"/>
        </w:trPr>
        <w:tc>
          <w:tcPr>
            <w:tcW w:w="4632" w:type="dxa"/>
          </w:tcPr>
          <w:p w14:paraId="5F309970" w14:textId="77777777" w:rsidR="002B1D2B" w:rsidRPr="00FC2E31" w:rsidRDefault="002B1D2B" w:rsidP="00B93410">
            <w:pPr>
              <w:rPr>
                <w:rFonts w:ascii="Aptos" w:hAnsi="Aptos"/>
                <w:sz w:val="18"/>
                <w:szCs w:val="18"/>
                <w:lang w:val="en-US"/>
              </w:rPr>
            </w:pPr>
            <w:r w:rsidRPr="00FC2E31">
              <w:rPr>
                <w:rFonts w:ascii="Aptos" w:eastAsia="Segoe UI" w:hAnsi="Aptos" w:cs="Segoe UI"/>
                <w:color w:val="0F1115"/>
                <w:sz w:val="18"/>
                <w:szCs w:val="18"/>
                <w:lang w:val="en-US"/>
              </w:rPr>
              <w:lastRenderedPageBreak/>
              <w:t>Marine and coastal areas (under national jurisdiction)</w:t>
            </w:r>
          </w:p>
        </w:tc>
        <w:tc>
          <w:tcPr>
            <w:tcW w:w="4516" w:type="dxa"/>
          </w:tcPr>
          <w:p w14:paraId="43C59BAC"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Zonas marinas y costeras (bajo jurisdicción nacional)</w:t>
            </w:r>
          </w:p>
        </w:tc>
      </w:tr>
      <w:tr w:rsidR="002B1D2B" w:rsidRPr="00FC2E31" w14:paraId="3BA639A7" w14:textId="77777777" w:rsidTr="002B1D2B">
        <w:trPr>
          <w:trHeight w:val="231"/>
        </w:trPr>
        <w:tc>
          <w:tcPr>
            <w:tcW w:w="4632" w:type="dxa"/>
          </w:tcPr>
          <w:p w14:paraId="65216967" w14:textId="77777777" w:rsidR="002B1D2B" w:rsidRPr="00FC2E31" w:rsidRDefault="002B1D2B" w:rsidP="00B93410">
            <w:pPr>
              <w:rPr>
                <w:rFonts w:ascii="Aptos" w:hAnsi="Aptos"/>
                <w:sz w:val="18"/>
                <w:szCs w:val="18"/>
                <w:lang w:val="es-ES"/>
              </w:rPr>
            </w:pPr>
            <w:proofErr w:type="spellStart"/>
            <w:r w:rsidRPr="00FC2E31">
              <w:rPr>
                <w:rFonts w:ascii="Aptos" w:eastAsia="Segoe UI" w:hAnsi="Aptos" w:cs="Segoe UI"/>
                <w:color w:val="0F1115"/>
                <w:sz w:val="18"/>
                <w:szCs w:val="18"/>
                <w:lang w:val="es-ES"/>
              </w:rPr>
              <w:t>Terrestrial</w:t>
            </w:r>
            <w:proofErr w:type="spellEnd"/>
            <w:r w:rsidRPr="00FC2E31">
              <w:rPr>
                <w:rFonts w:ascii="Aptos" w:eastAsia="Segoe UI" w:hAnsi="Aptos" w:cs="Segoe UI"/>
                <w:color w:val="0F1115"/>
                <w:sz w:val="18"/>
                <w:szCs w:val="18"/>
                <w:lang w:val="es-ES"/>
              </w:rPr>
              <w:t xml:space="preserve"> and </w:t>
            </w:r>
            <w:proofErr w:type="spellStart"/>
            <w:r w:rsidRPr="00FC2E31">
              <w:rPr>
                <w:rFonts w:ascii="Aptos" w:eastAsia="Segoe UI" w:hAnsi="Aptos" w:cs="Segoe UI"/>
                <w:color w:val="0F1115"/>
                <w:sz w:val="18"/>
                <w:szCs w:val="18"/>
                <w:lang w:val="es-ES"/>
              </w:rPr>
              <w:t>inland</w:t>
            </w:r>
            <w:proofErr w:type="spellEnd"/>
            <w:r w:rsidRPr="00FC2E31">
              <w:rPr>
                <w:rFonts w:ascii="Aptos" w:eastAsia="Segoe UI" w:hAnsi="Aptos" w:cs="Segoe UI"/>
                <w:color w:val="0F1115"/>
                <w:sz w:val="18"/>
                <w:szCs w:val="18"/>
                <w:lang w:val="es-ES"/>
              </w:rPr>
              <w:t xml:space="preserve"> </w:t>
            </w:r>
            <w:proofErr w:type="spellStart"/>
            <w:r w:rsidRPr="00FC2E31">
              <w:rPr>
                <w:rFonts w:ascii="Aptos" w:eastAsia="Segoe UI" w:hAnsi="Aptos" w:cs="Segoe UI"/>
                <w:color w:val="0F1115"/>
                <w:sz w:val="18"/>
                <w:szCs w:val="18"/>
                <w:lang w:val="es-ES"/>
              </w:rPr>
              <w:t>waters</w:t>
            </w:r>
            <w:proofErr w:type="spellEnd"/>
          </w:p>
        </w:tc>
        <w:tc>
          <w:tcPr>
            <w:tcW w:w="4516" w:type="dxa"/>
          </w:tcPr>
          <w:p w14:paraId="5AF9C923"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Zonas terrestres y de aguas continentales</w:t>
            </w:r>
          </w:p>
        </w:tc>
      </w:tr>
      <w:tr w:rsidR="002B1D2B" w:rsidRPr="00FC2E31" w14:paraId="42E5C8EA" w14:textId="77777777" w:rsidTr="002B1D2B">
        <w:trPr>
          <w:trHeight w:val="444"/>
        </w:trPr>
        <w:tc>
          <w:tcPr>
            <w:tcW w:w="4632" w:type="dxa"/>
          </w:tcPr>
          <w:p w14:paraId="2B2AB45E" w14:textId="77777777" w:rsidR="002B1D2B" w:rsidRPr="00FC2E31" w:rsidRDefault="002B1D2B" w:rsidP="00B93410">
            <w:pPr>
              <w:rPr>
                <w:rFonts w:ascii="Aptos" w:hAnsi="Aptos"/>
                <w:sz w:val="18"/>
                <w:szCs w:val="18"/>
                <w:lang w:val="en-US"/>
              </w:rPr>
            </w:pPr>
            <w:r w:rsidRPr="00FC2E31">
              <w:rPr>
                <w:rFonts w:ascii="Aptos" w:eastAsia="Segoe UI" w:hAnsi="Aptos" w:cs="Segoe UI"/>
                <w:color w:val="0F1115"/>
                <w:sz w:val="18"/>
                <w:szCs w:val="18"/>
                <w:lang w:val="en-US"/>
              </w:rPr>
              <w:t>All marine and coastal areas (under national jurisdiction)</w:t>
            </w:r>
          </w:p>
        </w:tc>
        <w:tc>
          <w:tcPr>
            <w:tcW w:w="4516" w:type="dxa"/>
          </w:tcPr>
          <w:p w14:paraId="7AA5BA37"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Todas las zonas marinas y costeras (bajo jurisdicción nacional)</w:t>
            </w:r>
          </w:p>
        </w:tc>
      </w:tr>
      <w:tr w:rsidR="002B1D2B" w:rsidRPr="00FC2E31" w14:paraId="5B1E78CF" w14:textId="77777777" w:rsidTr="002B1D2B">
        <w:trPr>
          <w:trHeight w:val="444"/>
        </w:trPr>
        <w:tc>
          <w:tcPr>
            <w:tcW w:w="4632" w:type="dxa"/>
          </w:tcPr>
          <w:p w14:paraId="7C60551F" w14:textId="77777777" w:rsidR="002B1D2B" w:rsidRPr="00FC2E31" w:rsidRDefault="002B1D2B" w:rsidP="00B93410">
            <w:pPr>
              <w:rPr>
                <w:rFonts w:ascii="Aptos" w:hAnsi="Aptos"/>
                <w:sz w:val="18"/>
                <w:szCs w:val="18"/>
                <w:lang w:val="en-US"/>
              </w:rPr>
            </w:pPr>
            <w:r w:rsidRPr="00FC2E31">
              <w:rPr>
                <w:rFonts w:ascii="Aptos" w:eastAsia="Segoe UI" w:hAnsi="Aptos" w:cs="Segoe UI"/>
                <w:color w:val="0F1115"/>
                <w:sz w:val="18"/>
                <w:szCs w:val="18"/>
                <w:lang w:val="en-US"/>
              </w:rPr>
              <w:t>All terrestrial and inland waters</w:t>
            </w:r>
          </w:p>
        </w:tc>
        <w:tc>
          <w:tcPr>
            <w:tcW w:w="4516" w:type="dxa"/>
          </w:tcPr>
          <w:p w14:paraId="690E0D3B"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Todas las zonas terrestres y de aguas continentales</w:t>
            </w:r>
          </w:p>
        </w:tc>
      </w:tr>
      <w:tr w:rsidR="002B1D2B" w:rsidRPr="00FC2E31" w14:paraId="4895AF19" w14:textId="77777777" w:rsidTr="002B1D2B">
        <w:trPr>
          <w:trHeight w:val="222"/>
        </w:trPr>
        <w:tc>
          <w:tcPr>
            <w:tcW w:w="4632" w:type="dxa"/>
          </w:tcPr>
          <w:p w14:paraId="0EC1EAA0" w14:textId="77777777" w:rsidR="002B1D2B" w:rsidRPr="00FC2E31" w:rsidRDefault="002B1D2B" w:rsidP="00B93410">
            <w:pPr>
              <w:rPr>
                <w:rFonts w:ascii="Aptos" w:hAnsi="Aptos"/>
                <w:sz w:val="18"/>
                <w:szCs w:val="18"/>
                <w:lang w:val="es-ES"/>
              </w:rPr>
            </w:pPr>
            <w:proofErr w:type="spellStart"/>
            <w:r w:rsidRPr="00FC2E31">
              <w:rPr>
                <w:rFonts w:ascii="Aptos" w:eastAsia="Segoe UI" w:hAnsi="Aptos" w:cs="Segoe UI"/>
                <w:color w:val="0F1115"/>
                <w:sz w:val="18"/>
                <w:szCs w:val="18"/>
                <w:lang w:val="es-ES"/>
              </w:rPr>
              <w:t>Protected</w:t>
            </w:r>
            <w:proofErr w:type="spellEnd"/>
            <w:r w:rsidRPr="00FC2E31">
              <w:rPr>
                <w:rFonts w:ascii="Aptos" w:eastAsia="Segoe UI" w:hAnsi="Aptos" w:cs="Segoe UI"/>
                <w:color w:val="0F1115"/>
                <w:sz w:val="18"/>
                <w:szCs w:val="18"/>
                <w:lang w:val="es-ES"/>
              </w:rPr>
              <w:t xml:space="preserve"> </w:t>
            </w:r>
            <w:proofErr w:type="spellStart"/>
            <w:r w:rsidRPr="00FC2E31">
              <w:rPr>
                <w:rFonts w:ascii="Aptos" w:eastAsia="Segoe UI" w:hAnsi="Aptos" w:cs="Segoe UI"/>
                <w:color w:val="0F1115"/>
                <w:sz w:val="18"/>
                <w:szCs w:val="18"/>
                <w:lang w:val="es-ES"/>
              </w:rPr>
              <w:t>area</w:t>
            </w:r>
            <w:proofErr w:type="spellEnd"/>
            <w:r w:rsidRPr="00FC2E31">
              <w:rPr>
                <w:rFonts w:ascii="Aptos" w:eastAsia="Segoe UI" w:hAnsi="Aptos" w:cs="Segoe UI"/>
                <w:color w:val="0F1115"/>
                <w:sz w:val="18"/>
                <w:szCs w:val="18"/>
                <w:lang w:val="es-ES"/>
              </w:rPr>
              <w:t xml:space="preserve"> </w:t>
            </w:r>
            <w:proofErr w:type="spellStart"/>
            <w:r w:rsidRPr="00FC2E31">
              <w:rPr>
                <w:rFonts w:ascii="Aptos" w:eastAsia="Segoe UI" w:hAnsi="Aptos" w:cs="Segoe UI"/>
                <w:color w:val="0F1115"/>
                <w:sz w:val="18"/>
                <w:szCs w:val="18"/>
                <w:lang w:val="es-ES"/>
              </w:rPr>
              <w:t>coverage</w:t>
            </w:r>
            <w:proofErr w:type="spellEnd"/>
            <w:r w:rsidRPr="00FC2E31">
              <w:rPr>
                <w:rFonts w:ascii="Aptos" w:eastAsia="Segoe UI" w:hAnsi="Aptos" w:cs="Segoe UI"/>
                <w:color w:val="0F1115"/>
                <w:sz w:val="18"/>
                <w:szCs w:val="18"/>
                <w:lang w:val="es-ES"/>
              </w:rPr>
              <w:t xml:space="preserve"> (%)</w:t>
            </w:r>
          </w:p>
        </w:tc>
        <w:tc>
          <w:tcPr>
            <w:tcW w:w="4516" w:type="dxa"/>
          </w:tcPr>
          <w:p w14:paraId="711B8A4D" w14:textId="77777777" w:rsidR="002B1D2B" w:rsidRPr="00FC2E31" w:rsidRDefault="002B1D2B" w:rsidP="00B93410">
            <w:pPr>
              <w:rPr>
                <w:rFonts w:ascii="Aptos" w:hAnsi="Aptos"/>
                <w:sz w:val="18"/>
                <w:szCs w:val="18"/>
                <w:lang w:val="pt-BR"/>
              </w:rPr>
            </w:pPr>
            <w:r w:rsidRPr="00FC2E31">
              <w:rPr>
                <w:rFonts w:ascii="Aptos" w:hAnsi="Aptos"/>
                <w:color w:val="0F1115"/>
                <w:sz w:val="18"/>
                <w:szCs w:val="18"/>
                <w:lang w:val="pt-BR"/>
              </w:rPr>
              <w:t xml:space="preserve">Cobertura de </w:t>
            </w:r>
            <w:proofErr w:type="spellStart"/>
            <w:r w:rsidRPr="00FC2E31">
              <w:rPr>
                <w:rFonts w:ascii="Aptos" w:hAnsi="Aptos"/>
                <w:color w:val="0F1115"/>
                <w:sz w:val="18"/>
                <w:szCs w:val="18"/>
                <w:lang w:val="pt-BR"/>
              </w:rPr>
              <w:t>las</w:t>
            </w:r>
            <w:proofErr w:type="spellEnd"/>
            <w:r w:rsidRPr="00FC2E31">
              <w:rPr>
                <w:rFonts w:ascii="Aptos" w:hAnsi="Aptos"/>
                <w:color w:val="0F1115"/>
                <w:sz w:val="18"/>
                <w:szCs w:val="18"/>
                <w:lang w:val="pt-BR"/>
              </w:rPr>
              <w:t xml:space="preserve"> áreas protegidas (%)</w:t>
            </w:r>
          </w:p>
        </w:tc>
      </w:tr>
      <w:tr w:rsidR="002B1D2B" w:rsidRPr="00FC2E31" w14:paraId="7EFE4F21" w14:textId="77777777" w:rsidTr="002B1D2B">
        <w:trPr>
          <w:trHeight w:val="231"/>
        </w:trPr>
        <w:tc>
          <w:tcPr>
            <w:tcW w:w="4632" w:type="dxa"/>
          </w:tcPr>
          <w:p w14:paraId="76C8D6AE"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0</w:t>
            </w:r>
          </w:p>
        </w:tc>
        <w:tc>
          <w:tcPr>
            <w:tcW w:w="4516" w:type="dxa"/>
          </w:tcPr>
          <w:p w14:paraId="32B2589D"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0</w:t>
            </w:r>
          </w:p>
        </w:tc>
      </w:tr>
      <w:tr w:rsidR="002B1D2B" w:rsidRPr="00FC2E31" w14:paraId="4A9B68E3" w14:textId="77777777" w:rsidTr="002B1D2B">
        <w:trPr>
          <w:trHeight w:val="222"/>
        </w:trPr>
        <w:tc>
          <w:tcPr>
            <w:tcW w:w="4632" w:type="dxa"/>
          </w:tcPr>
          <w:p w14:paraId="0283EEF7"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10</w:t>
            </w:r>
          </w:p>
        </w:tc>
        <w:tc>
          <w:tcPr>
            <w:tcW w:w="4516" w:type="dxa"/>
          </w:tcPr>
          <w:p w14:paraId="39569B95"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10</w:t>
            </w:r>
          </w:p>
        </w:tc>
      </w:tr>
      <w:tr w:rsidR="002B1D2B" w:rsidRPr="00FC2E31" w14:paraId="0AFBD314" w14:textId="77777777" w:rsidTr="002B1D2B">
        <w:trPr>
          <w:trHeight w:val="222"/>
        </w:trPr>
        <w:tc>
          <w:tcPr>
            <w:tcW w:w="4632" w:type="dxa"/>
          </w:tcPr>
          <w:p w14:paraId="587DE8E5"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w:t>
            </w:r>
          </w:p>
        </w:tc>
        <w:tc>
          <w:tcPr>
            <w:tcW w:w="4516" w:type="dxa"/>
          </w:tcPr>
          <w:p w14:paraId="021F6F41"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w:t>
            </w:r>
          </w:p>
        </w:tc>
      </w:tr>
      <w:tr w:rsidR="002B1D2B" w:rsidRPr="00FC2E31" w14:paraId="0FD65457" w14:textId="77777777" w:rsidTr="002B1D2B">
        <w:trPr>
          <w:trHeight w:val="222"/>
        </w:trPr>
        <w:tc>
          <w:tcPr>
            <w:tcW w:w="4632" w:type="dxa"/>
          </w:tcPr>
          <w:p w14:paraId="3C724F0F"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30</w:t>
            </w:r>
          </w:p>
        </w:tc>
        <w:tc>
          <w:tcPr>
            <w:tcW w:w="4516" w:type="dxa"/>
          </w:tcPr>
          <w:p w14:paraId="653726B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30</w:t>
            </w:r>
          </w:p>
        </w:tc>
      </w:tr>
      <w:tr w:rsidR="002B1D2B" w:rsidRPr="00FC2E31" w14:paraId="20919686" w14:textId="77777777" w:rsidTr="002B1D2B">
        <w:trPr>
          <w:trHeight w:val="222"/>
        </w:trPr>
        <w:tc>
          <w:tcPr>
            <w:tcW w:w="4632" w:type="dxa"/>
          </w:tcPr>
          <w:p w14:paraId="2010AE48"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50</w:t>
            </w:r>
          </w:p>
        </w:tc>
        <w:tc>
          <w:tcPr>
            <w:tcW w:w="4516" w:type="dxa"/>
          </w:tcPr>
          <w:p w14:paraId="7D3620B4"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50</w:t>
            </w:r>
          </w:p>
        </w:tc>
      </w:tr>
      <w:tr w:rsidR="002B1D2B" w:rsidRPr="00FC2E31" w14:paraId="43BDA173" w14:textId="77777777" w:rsidTr="002B1D2B">
        <w:trPr>
          <w:trHeight w:val="231"/>
        </w:trPr>
        <w:tc>
          <w:tcPr>
            <w:tcW w:w="4632" w:type="dxa"/>
          </w:tcPr>
          <w:p w14:paraId="4DB22771"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100</w:t>
            </w:r>
          </w:p>
        </w:tc>
        <w:tc>
          <w:tcPr>
            <w:tcW w:w="4516" w:type="dxa"/>
          </w:tcPr>
          <w:p w14:paraId="08EE9458"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100</w:t>
            </w:r>
          </w:p>
        </w:tc>
      </w:tr>
      <w:tr w:rsidR="002B1D2B" w:rsidRPr="00FC2E31" w14:paraId="76F0FF3F" w14:textId="77777777" w:rsidTr="002B1D2B">
        <w:trPr>
          <w:trHeight w:val="222"/>
        </w:trPr>
        <w:tc>
          <w:tcPr>
            <w:tcW w:w="4632" w:type="dxa"/>
          </w:tcPr>
          <w:p w14:paraId="3C691821"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150</w:t>
            </w:r>
          </w:p>
        </w:tc>
        <w:tc>
          <w:tcPr>
            <w:tcW w:w="4516" w:type="dxa"/>
          </w:tcPr>
          <w:p w14:paraId="75451985"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150</w:t>
            </w:r>
          </w:p>
        </w:tc>
      </w:tr>
      <w:tr w:rsidR="002B1D2B" w:rsidRPr="00FC2E31" w14:paraId="0F582299" w14:textId="77777777" w:rsidTr="002B1D2B">
        <w:trPr>
          <w:trHeight w:val="222"/>
        </w:trPr>
        <w:tc>
          <w:tcPr>
            <w:tcW w:w="4632" w:type="dxa"/>
          </w:tcPr>
          <w:p w14:paraId="543CAD59"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200</w:t>
            </w:r>
          </w:p>
        </w:tc>
        <w:tc>
          <w:tcPr>
            <w:tcW w:w="4516" w:type="dxa"/>
          </w:tcPr>
          <w:p w14:paraId="135DC4EB"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200</w:t>
            </w:r>
          </w:p>
        </w:tc>
      </w:tr>
      <w:tr w:rsidR="002B1D2B" w:rsidRPr="00FC2E31" w14:paraId="311604A9" w14:textId="77777777" w:rsidTr="002B1D2B">
        <w:trPr>
          <w:trHeight w:val="222"/>
        </w:trPr>
        <w:tc>
          <w:tcPr>
            <w:tcW w:w="4632" w:type="dxa"/>
          </w:tcPr>
          <w:p w14:paraId="3B72A8C9" w14:textId="77777777" w:rsidR="002B1D2B" w:rsidRPr="00FC2E31" w:rsidRDefault="002B1D2B" w:rsidP="00B93410">
            <w:pPr>
              <w:rPr>
                <w:rFonts w:ascii="Aptos" w:hAnsi="Aptos"/>
                <w:sz w:val="18"/>
                <w:szCs w:val="18"/>
                <w:lang w:val="es-ES"/>
              </w:rPr>
            </w:pPr>
            <w:proofErr w:type="spellStart"/>
            <w:r w:rsidRPr="00FC2E31">
              <w:rPr>
                <w:rFonts w:ascii="Aptos" w:eastAsia="Segoe UI" w:hAnsi="Aptos" w:cs="Segoe UI"/>
                <w:color w:val="0F1115"/>
                <w:sz w:val="18"/>
                <w:szCs w:val="18"/>
                <w:lang w:val="es-ES"/>
              </w:rPr>
              <w:t>Year</w:t>
            </w:r>
            <w:proofErr w:type="spellEnd"/>
          </w:p>
        </w:tc>
        <w:tc>
          <w:tcPr>
            <w:tcW w:w="4516" w:type="dxa"/>
          </w:tcPr>
          <w:p w14:paraId="243F7270"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Año</w:t>
            </w:r>
          </w:p>
        </w:tc>
      </w:tr>
      <w:tr w:rsidR="002B1D2B" w:rsidRPr="00FC2E31" w14:paraId="1D4F4CA2" w14:textId="77777777" w:rsidTr="002B1D2B">
        <w:trPr>
          <w:trHeight w:val="222"/>
        </w:trPr>
        <w:tc>
          <w:tcPr>
            <w:tcW w:w="4632" w:type="dxa"/>
          </w:tcPr>
          <w:p w14:paraId="683B9F59"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2010</w:t>
            </w:r>
          </w:p>
        </w:tc>
        <w:tc>
          <w:tcPr>
            <w:tcW w:w="4516" w:type="dxa"/>
          </w:tcPr>
          <w:p w14:paraId="47AEF08E"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2010</w:t>
            </w:r>
          </w:p>
        </w:tc>
      </w:tr>
      <w:tr w:rsidR="002B1D2B" w:rsidRPr="00FC2E31" w14:paraId="10D952B3" w14:textId="77777777" w:rsidTr="002B1D2B">
        <w:trPr>
          <w:trHeight w:val="231"/>
        </w:trPr>
        <w:tc>
          <w:tcPr>
            <w:tcW w:w="4632" w:type="dxa"/>
          </w:tcPr>
          <w:p w14:paraId="37F17B74"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2011</w:t>
            </w:r>
          </w:p>
        </w:tc>
        <w:tc>
          <w:tcPr>
            <w:tcW w:w="4516" w:type="dxa"/>
          </w:tcPr>
          <w:p w14:paraId="232D0303"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2011</w:t>
            </w:r>
          </w:p>
        </w:tc>
      </w:tr>
      <w:tr w:rsidR="002B1D2B" w:rsidRPr="00FC2E31" w14:paraId="67C13A95" w14:textId="77777777" w:rsidTr="002B1D2B">
        <w:trPr>
          <w:trHeight w:val="222"/>
        </w:trPr>
        <w:tc>
          <w:tcPr>
            <w:tcW w:w="4632" w:type="dxa"/>
          </w:tcPr>
          <w:p w14:paraId="309995E4"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2012</w:t>
            </w:r>
          </w:p>
        </w:tc>
        <w:tc>
          <w:tcPr>
            <w:tcW w:w="4516" w:type="dxa"/>
          </w:tcPr>
          <w:p w14:paraId="7D274CFB"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2012</w:t>
            </w:r>
          </w:p>
        </w:tc>
      </w:tr>
      <w:tr w:rsidR="002B1D2B" w:rsidRPr="00FC2E31" w14:paraId="0910F331" w14:textId="77777777" w:rsidTr="002B1D2B">
        <w:trPr>
          <w:trHeight w:val="222"/>
        </w:trPr>
        <w:tc>
          <w:tcPr>
            <w:tcW w:w="4632" w:type="dxa"/>
          </w:tcPr>
          <w:p w14:paraId="182F30BA"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2013</w:t>
            </w:r>
          </w:p>
        </w:tc>
        <w:tc>
          <w:tcPr>
            <w:tcW w:w="4516" w:type="dxa"/>
          </w:tcPr>
          <w:p w14:paraId="4350AD30"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2013</w:t>
            </w:r>
          </w:p>
        </w:tc>
      </w:tr>
      <w:tr w:rsidR="002B1D2B" w:rsidRPr="00FC2E31" w14:paraId="248A3815" w14:textId="77777777" w:rsidTr="002B1D2B">
        <w:trPr>
          <w:trHeight w:val="222"/>
        </w:trPr>
        <w:tc>
          <w:tcPr>
            <w:tcW w:w="4632" w:type="dxa"/>
          </w:tcPr>
          <w:p w14:paraId="5B0D5013"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2014</w:t>
            </w:r>
          </w:p>
        </w:tc>
        <w:tc>
          <w:tcPr>
            <w:tcW w:w="4516" w:type="dxa"/>
          </w:tcPr>
          <w:p w14:paraId="39DB138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2014</w:t>
            </w:r>
          </w:p>
        </w:tc>
      </w:tr>
      <w:tr w:rsidR="002B1D2B" w:rsidRPr="00FC2E31" w14:paraId="6432C42C" w14:textId="77777777" w:rsidTr="002B1D2B">
        <w:trPr>
          <w:trHeight w:val="222"/>
        </w:trPr>
        <w:tc>
          <w:tcPr>
            <w:tcW w:w="4632" w:type="dxa"/>
          </w:tcPr>
          <w:p w14:paraId="4FAFB5EB"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2015</w:t>
            </w:r>
          </w:p>
        </w:tc>
        <w:tc>
          <w:tcPr>
            <w:tcW w:w="4516" w:type="dxa"/>
          </w:tcPr>
          <w:p w14:paraId="1853DC2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2015</w:t>
            </w:r>
          </w:p>
        </w:tc>
      </w:tr>
      <w:tr w:rsidR="002B1D2B" w:rsidRPr="00FC2E31" w14:paraId="0D81B80E" w14:textId="77777777" w:rsidTr="002B1D2B">
        <w:trPr>
          <w:trHeight w:val="231"/>
        </w:trPr>
        <w:tc>
          <w:tcPr>
            <w:tcW w:w="4632" w:type="dxa"/>
          </w:tcPr>
          <w:p w14:paraId="3BCB0530"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2016</w:t>
            </w:r>
          </w:p>
        </w:tc>
        <w:tc>
          <w:tcPr>
            <w:tcW w:w="4516" w:type="dxa"/>
          </w:tcPr>
          <w:p w14:paraId="4573FB6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2016</w:t>
            </w:r>
          </w:p>
        </w:tc>
      </w:tr>
      <w:tr w:rsidR="002B1D2B" w:rsidRPr="00FC2E31" w14:paraId="4B073F11" w14:textId="77777777" w:rsidTr="002B1D2B">
        <w:trPr>
          <w:trHeight w:val="222"/>
        </w:trPr>
        <w:tc>
          <w:tcPr>
            <w:tcW w:w="4632" w:type="dxa"/>
          </w:tcPr>
          <w:p w14:paraId="49A7180B"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2017</w:t>
            </w:r>
          </w:p>
        </w:tc>
        <w:tc>
          <w:tcPr>
            <w:tcW w:w="4516" w:type="dxa"/>
          </w:tcPr>
          <w:p w14:paraId="36ED5CA0"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2017</w:t>
            </w:r>
          </w:p>
        </w:tc>
      </w:tr>
      <w:tr w:rsidR="002B1D2B" w:rsidRPr="00FC2E31" w14:paraId="0C1DBB78" w14:textId="77777777" w:rsidTr="002B1D2B">
        <w:trPr>
          <w:trHeight w:val="222"/>
        </w:trPr>
        <w:tc>
          <w:tcPr>
            <w:tcW w:w="4632" w:type="dxa"/>
          </w:tcPr>
          <w:p w14:paraId="79BB2A1E"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2018</w:t>
            </w:r>
          </w:p>
        </w:tc>
        <w:tc>
          <w:tcPr>
            <w:tcW w:w="4516" w:type="dxa"/>
          </w:tcPr>
          <w:p w14:paraId="4DF6B229"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2018</w:t>
            </w:r>
          </w:p>
        </w:tc>
      </w:tr>
      <w:tr w:rsidR="002B1D2B" w:rsidRPr="00FC2E31" w14:paraId="1D9E7EB1" w14:textId="77777777" w:rsidTr="002B1D2B">
        <w:trPr>
          <w:trHeight w:val="222"/>
        </w:trPr>
        <w:tc>
          <w:tcPr>
            <w:tcW w:w="4632" w:type="dxa"/>
          </w:tcPr>
          <w:p w14:paraId="7FB83D25"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2019</w:t>
            </w:r>
          </w:p>
        </w:tc>
        <w:tc>
          <w:tcPr>
            <w:tcW w:w="4516" w:type="dxa"/>
          </w:tcPr>
          <w:p w14:paraId="50AD262D"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2019</w:t>
            </w:r>
          </w:p>
        </w:tc>
      </w:tr>
      <w:tr w:rsidR="002B1D2B" w:rsidRPr="00FC2E31" w14:paraId="2A3B1081" w14:textId="77777777" w:rsidTr="002B1D2B">
        <w:trPr>
          <w:trHeight w:val="222"/>
        </w:trPr>
        <w:tc>
          <w:tcPr>
            <w:tcW w:w="4632" w:type="dxa"/>
          </w:tcPr>
          <w:p w14:paraId="12657AD0"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2020</w:t>
            </w:r>
          </w:p>
        </w:tc>
        <w:tc>
          <w:tcPr>
            <w:tcW w:w="4516" w:type="dxa"/>
          </w:tcPr>
          <w:p w14:paraId="527D4133"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2020</w:t>
            </w:r>
          </w:p>
        </w:tc>
      </w:tr>
      <w:tr w:rsidR="002B1D2B" w:rsidRPr="00FC2E31" w14:paraId="7F4B496D" w14:textId="77777777" w:rsidTr="002B1D2B">
        <w:trPr>
          <w:trHeight w:val="231"/>
        </w:trPr>
        <w:tc>
          <w:tcPr>
            <w:tcW w:w="4632" w:type="dxa"/>
          </w:tcPr>
          <w:p w14:paraId="6CB17588"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2021</w:t>
            </w:r>
          </w:p>
        </w:tc>
        <w:tc>
          <w:tcPr>
            <w:tcW w:w="4516" w:type="dxa"/>
          </w:tcPr>
          <w:p w14:paraId="38ED365C"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2021</w:t>
            </w:r>
          </w:p>
        </w:tc>
      </w:tr>
      <w:tr w:rsidR="002B1D2B" w:rsidRPr="00FC2E31" w14:paraId="26A93FF5" w14:textId="77777777" w:rsidTr="002B1D2B">
        <w:trPr>
          <w:trHeight w:val="222"/>
        </w:trPr>
        <w:tc>
          <w:tcPr>
            <w:tcW w:w="4632" w:type="dxa"/>
          </w:tcPr>
          <w:p w14:paraId="4B1157A3"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2022</w:t>
            </w:r>
          </w:p>
        </w:tc>
        <w:tc>
          <w:tcPr>
            <w:tcW w:w="4516" w:type="dxa"/>
          </w:tcPr>
          <w:p w14:paraId="0D198252"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2022</w:t>
            </w:r>
          </w:p>
        </w:tc>
      </w:tr>
      <w:tr w:rsidR="002B1D2B" w:rsidRPr="00FC2E31" w14:paraId="01D406BE" w14:textId="77777777" w:rsidTr="002B1D2B">
        <w:trPr>
          <w:trHeight w:val="222"/>
        </w:trPr>
        <w:tc>
          <w:tcPr>
            <w:tcW w:w="4632" w:type="dxa"/>
          </w:tcPr>
          <w:p w14:paraId="26222095"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2023</w:t>
            </w:r>
          </w:p>
        </w:tc>
        <w:tc>
          <w:tcPr>
            <w:tcW w:w="4516" w:type="dxa"/>
          </w:tcPr>
          <w:p w14:paraId="46FA0D10"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2023</w:t>
            </w:r>
          </w:p>
        </w:tc>
      </w:tr>
      <w:tr w:rsidR="002B1D2B" w:rsidRPr="00FC2E31" w14:paraId="50110BB8" w14:textId="77777777" w:rsidTr="002B1D2B">
        <w:trPr>
          <w:trHeight w:val="222"/>
        </w:trPr>
        <w:tc>
          <w:tcPr>
            <w:tcW w:w="4632" w:type="dxa"/>
          </w:tcPr>
          <w:p w14:paraId="0724D672"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2024</w:t>
            </w:r>
          </w:p>
        </w:tc>
        <w:tc>
          <w:tcPr>
            <w:tcW w:w="4516" w:type="dxa"/>
          </w:tcPr>
          <w:p w14:paraId="0EF45FE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2024</w:t>
            </w:r>
          </w:p>
        </w:tc>
      </w:tr>
      <w:tr w:rsidR="002B1D2B" w:rsidRPr="00FC2E31" w14:paraId="211749ED" w14:textId="77777777" w:rsidTr="002B1D2B">
        <w:trPr>
          <w:trHeight w:val="231"/>
        </w:trPr>
        <w:tc>
          <w:tcPr>
            <w:tcW w:w="4632" w:type="dxa"/>
          </w:tcPr>
          <w:p w14:paraId="234488E2"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2025</w:t>
            </w:r>
          </w:p>
        </w:tc>
        <w:tc>
          <w:tcPr>
            <w:tcW w:w="4516" w:type="dxa"/>
          </w:tcPr>
          <w:p w14:paraId="74B3642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2025</w:t>
            </w:r>
          </w:p>
        </w:tc>
      </w:tr>
      <w:tr w:rsidR="002B1D2B" w:rsidRPr="00FC2E31" w14:paraId="25841D8C" w14:textId="77777777" w:rsidTr="002B1D2B">
        <w:trPr>
          <w:trHeight w:val="222"/>
        </w:trPr>
        <w:tc>
          <w:tcPr>
            <w:tcW w:w="4632" w:type="dxa"/>
          </w:tcPr>
          <w:p w14:paraId="4720A386" w14:textId="77777777" w:rsidR="002B1D2B" w:rsidRPr="00FC2E31" w:rsidRDefault="002B1D2B" w:rsidP="00B93410">
            <w:pPr>
              <w:rPr>
                <w:rFonts w:ascii="Aptos" w:hAnsi="Aptos"/>
                <w:sz w:val="18"/>
                <w:szCs w:val="18"/>
                <w:lang w:val="es-ES"/>
              </w:rPr>
            </w:pPr>
            <w:proofErr w:type="spellStart"/>
            <w:r w:rsidRPr="00FC2E31">
              <w:rPr>
                <w:rFonts w:ascii="Aptos" w:eastAsia="Segoe UI" w:hAnsi="Aptos" w:cs="Segoe UI"/>
                <w:color w:val="0F1115"/>
                <w:sz w:val="18"/>
                <w:szCs w:val="18"/>
                <w:lang w:val="es-ES"/>
              </w:rPr>
              <w:t>Parties</w:t>
            </w:r>
            <w:proofErr w:type="spellEnd"/>
            <w:r w:rsidRPr="00FC2E31">
              <w:rPr>
                <w:rFonts w:ascii="Aptos" w:eastAsia="Segoe UI" w:hAnsi="Aptos" w:cs="Segoe UI"/>
                <w:color w:val="0F1115"/>
                <w:sz w:val="18"/>
                <w:szCs w:val="18"/>
                <w:lang w:val="es-ES"/>
              </w:rPr>
              <w:t xml:space="preserve"> </w:t>
            </w:r>
            <w:proofErr w:type="spellStart"/>
            <w:r w:rsidRPr="00FC2E31">
              <w:rPr>
                <w:rFonts w:ascii="Aptos" w:eastAsia="Segoe UI" w:hAnsi="Aptos" w:cs="Segoe UI"/>
                <w:color w:val="0F1115"/>
                <w:sz w:val="18"/>
                <w:szCs w:val="18"/>
                <w:lang w:val="es-ES"/>
              </w:rPr>
              <w:t>covered</w:t>
            </w:r>
            <w:proofErr w:type="spellEnd"/>
          </w:p>
        </w:tc>
        <w:tc>
          <w:tcPr>
            <w:tcW w:w="4516" w:type="dxa"/>
          </w:tcPr>
          <w:p w14:paraId="2F77E475"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Partes cubiertas</w:t>
            </w:r>
          </w:p>
        </w:tc>
      </w:tr>
      <w:tr w:rsidR="002B1D2B" w:rsidRPr="00FC2E31" w14:paraId="24527215" w14:textId="77777777" w:rsidTr="002B1D2B">
        <w:trPr>
          <w:trHeight w:val="222"/>
        </w:trPr>
        <w:tc>
          <w:tcPr>
            <w:tcW w:w="4632" w:type="dxa"/>
          </w:tcPr>
          <w:p w14:paraId="18D1BE75" w14:textId="77777777" w:rsidR="002B1D2B" w:rsidRPr="00FC2E31" w:rsidRDefault="002B1D2B" w:rsidP="00B93410">
            <w:pPr>
              <w:rPr>
                <w:rFonts w:ascii="Aptos" w:hAnsi="Aptos"/>
                <w:sz w:val="18"/>
                <w:szCs w:val="18"/>
                <w:lang w:val="es-ES"/>
              </w:rPr>
            </w:pPr>
            <w:proofErr w:type="spellStart"/>
            <w:r w:rsidRPr="00FC2E31">
              <w:rPr>
                <w:rFonts w:ascii="Aptos" w:eastAsia="Segoe UI" w:hAnsi="Aptos" w:cs="Segoe UI"/>
                <w:color w:val="0F1115"/>
                <w:sz w:val="18"/>
                <w:szCs w:val="18"/>
                <w:lang w:val="es-ES"/>
              </w:rPr>
              <w:t>Region</w:t>
            </w:r>
            <w:proofErr w:type="spellEnd"/>
          </w:p>
        </w:tc>
        <w:tc>
          <w:tcPr>
            <w:tcW w:w="4516" w:type="dxa"/>
          </w:tcPr>
          <w:p w14:paraId="0B2BA480"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Región</w:t>
            </w:r>
          </w:p>
        </w:tc>
      </w:tr>
      <w:tr w:rsidR="002B1D2B" w:rsidRPr="00FC2E31" w14:paraId="307D44A1" w14:textId="77777777" w:rsidTr="002B1D2B">
        <w:trPr>
          <w:trHeight w:val="222"/>
        </w:trPr>
        <w:tc>
          <w:tcPr>
            <w:tcW w:w="4632" w:type="dxa"/>
          </w:tcPr>
          <w:p w14:paraId="3CE53DD9"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African States</w:t>
            </w:r>
          </w:p>
        </w:tc>
        <w:tc>
          <w:tcPr>
            <w:tcW w:w="4516" w:type="dxa"/>
          </w:tcPr>
          <w:p w14:paraId="0EECE0EB"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Estados de África</w:t>
            </w:r>
          </w:p>
        </w:tc>
      </w:tr>
      <w:tr w:rsidR="002B1D2B" w:rsidRPr="00FC2E31" w14:paraId="0A506DAE" w14:textId="77777777" w:rsidTr="002B1D2B">
        <w:trPr>
          <w:trHeight w:val="222"/>
        </w:trPr>
        <w:tc>
          <w:tcPr>
            <w:tcW w:w="4632" w:type="dxa"/>
          </w:tcPr>
          <w:p w14:paraId="3C893154"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Asia-Pacific States</w:t>
            </w:r>
          </w:p>
        </w:tc>
        <w:tc>
          <w:tcPr>
            <w:tcW w:w="4516" w:type="dxa"/>
          </w:tcPr>
          <w:p w14:paraId="55BB3797"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Estados de Asia y el Pacífico</w:t>
            </w:r>
          </w:p>
        </w:tc>
      </w:tr>
      <w:tr w:rsidR="002B1D2B" w:rsidRPr="00FC2E31" w14:paraId="1806ACBF" w14:textId="77777777" w:rsidTr="002B1D2B">
        <w:trPr>
          <w:trHeight w:val="231"/>
        </w:trPr>
        <w:tc>
          <w:tcPr>
            <w:tcW w:w="4632" w:type="dxa"/>
          </w:tcPr>
          <w:p w14:paraId="08451D56" w14:textId="77777777" w:rsidR="002B1D2B" w:rsidRPr="00FC2E31" w:rsidRDefault="002B1D2B" w:rsidP="00B93410">
            <w:pPr>
              <w:rPr>
                <w:rFonts w:ascii="Aptos" w:hAnsi="Aptos"/>
                <w:sz w:val="18"/>
                <w:szCs w:val="18"/>
                <w:lang w:val="en-US"/>
              </w:rPr>
            </w:pPr>
            <w:r w:rsidRPr="00FC2E31">
              <w:rPr>
                <w:rFonts w:ascii="Aptos" w:eastAsia="Segoe UI" w:hAnsi="Aptos" w:cs="Segoe UI"/>
                <w:color w:val="0F1115"/>
                <w:sz w:val="18"/>
                <w:szCs w:val="18"/>
                <w:lang w:val="en-US"/>
              </w:rPr>
              <w:t>Latin American and Caribbean States</w:t>
            </w:r>
          </w:p>
        </w:tc>
        <w:tc>
          <w:tcPr>
            <w:tcW w:w="4516" w:type="dxa"/>
          </w:tcPr>
          <w:p w14:paraId="024E7C64"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Estados de América Latina y el Caribe</w:t>
            </w:r>
          </w:p>
        </w:tc>
      </w:tr>
      <w:tr w:rsidR="002B1D2B" w:rsidRPr="00FC2E31" w14:paraId="7199033C" w14:textId="77777777" w:rsidTr="002B1D2B">
        <w:trPr>
          <w:trHeight w:val="222"/>
        </w:trPr>
        <w:tc>
          <w:tcPr>
            <w:tcW w:w="4632" w:type="dxa"/>
          </w:tcPr>
          <w:p w14:paraId="3B2E0A99"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Eastern European States</w:t>
            </w:r>
          </w:p>
        </w:tc>
        <w:tc>
          <w:tcPr>
            <w:tcW w:w="4516" w:type="dxa"/>
          </w:tcPr>
          <w:p w14:paraId="1D0C07EE"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Estados de Europa Oriental</w:t>
            </w:r>
          </w:p>
        </w:tc>
      </w:tr>
      <w:tr w:rsidR="002B1D2B" w:rsidRPr="00FC2E31" w14:paraId="2E306A56" w14:textId="77777777" w:rsidTr="002B1D2B">
        <w:trPr>
          <w:trHeight w:val="444"/>
        </w:trPr>
        <w:tc>
          <w:tcPr>
            <w:tcW w:w="4632" w:type="dxa"/>
          </w:tcPr>
          <w:p w14:paraId="1877D103" w14:textId="77777777" w:rsidR="002B1D2B" w:rsidRPr="00FC2E31" w:rsidRDefault="002B1D2B" w:rsidP="00B93410">
            <w:pPr>
              <w:rPr>
                <w:rFonts w:ascii="Aptos" w:hAnsi="Aptos"/>
                <w:sz w:val="18"/>
                <w:szCs w:val="18"/>
                <w:lang w:val="en-US"/>
              </w:rPr>
            </w:pPr>
            <w:r w:rsidRPr="00FC2E31">
              <w:rPr>
                <w:rFonts w:ascii="Aptos" w:eastAsia="Segoe UI" w:hAnsi="Aptos" w:cs="Segoe UI"/>
                <w:color w:val="0F1115"/>
                <w:sz w:val="18"/>
                <w:szCs w:val="18"/>
                <w:lang w:val="en-US"/>
              </w:rPr>
              <w:t>Western European and other States</w:t>
            </w:r>
          </w:p>
        </w:tc>
        <w:tc>
          <w:tcPr>
            <w:tcW w:w="4516" w:type="dxa"/>
          </w:tcPr>
          <w:p w14:paraId="764773BF" w14:textId="77777777" w:rsidR="002B1D2B" w:rsidRPr="00FC2E31" w:rsidRDefault="002B1D2B" w:rsidP="00B93410">
            <w:pPr>
              <w:rPr>
                <w:rFonts w:ascii="Aptos" w:hAnsi="Aptos"/>
                <w:sz w:val="18"/>
                <w:szCs w:val="18"/>
                <w:lang w:val="es-ES"/>
              </w:rPr>
            </w:pPr>
            <w:r w:rsidRPr="00FC2E31">
              <w:rPr>
                <w:rFonts w:ascii="Aptos" w:hAnsi="Aptos"/>
                <w:color w:val="0F1115"/>
                <w:sz w:val="18"/>
                <w:szCs w:val="18"/>
                <w:lang w:val="es-ES"/>
              </w:rPr>
              <w:t>Estados de Europa Occidental y otros Estados</w:t>
            </w:r>
          </w:p>
        </w:tc>
      </w:tr>
      <w:tr w:rsidR="002B1D2B" w:rsidRPr="00FC2E31" w14:paraId="51BE4047" w14:textId="77777777" w:rsidTr="002B1D2B">
        <w:trPr>
          <w:trHeight w:val="222"/>
        </w:trPr>
        <w:tc>
          <w:tcPr>
            <w:tcW w:w="4632" w:type="dxa"/>
          </w:tcPr>
          <w:p w14:paraId="5CFF22D6" w14:textId="77777777" w:rsidR="002B1D2B" w:rsidRPr="00FC2E31" w:rsidRDefault="002B1D2B" w:rsidP="00B93410">
            <w:pPr>
              <w:rPr>
                <w:rFonts w:ascii="Aptos" w:hAnsi="Aptos"/>
                <w:sz w:val="18"/>
                <w:szCs w:val="18"/>
                <w:lang w:val="es-ES"/>
              </w:rPr>
            </w:pPr>
            <w:r w:rsidRPr="00FC2E31">
              <w:rPr>
                <w:rFonts w:ascii="Aptos" w:eastAsia="Segoe UI" w:hAnsi="Aptos" w:cs="Segoe UI"/>
                <w:color w:val="0F1115"/>
                <w:sz w:val="18"/>
                <w:szCs w:val="18"/>
                <w:lang w:val="es-ES"/>
              </w:rPr>
              <w:t xml:space="preserve">Party </w:t>
            </w:r>
            <w:proofErr w:type="spellStart"/>
            <w:r w:rsidRPr="00FC2E31">
              <w:rPr>
                <w:rFonts w:ascii="Aptos" w:eastAsia="Segoe UI" w:hAnsi="Aptos" w:cs="Segoe UI"/>
                <w:color w:val="0F1115"/>
                <w:sz w:val="18"/>
                <w:szCs w:val="18"/>
                <w:lang w:val="es-ES"/>
              </w:rPr>
              <w:t>count</w:t>
            </w:r>
            <w:proofErr w:type="spellEnd"/>
            <w:r w:rsidRPr="00FC2E31">
              <w:rPr>
                <w:rFonts w:ascii="Aptos" w:eastAsia="Segoe UI" w:hAnsi="Aptos" w:cs="Segoe UI"/>
                <w:color w:val="0F1115"/>
                <w:sz w:val="18"/>
                <w:szCs w:val="18"/>
                <w:lang w:val="es-ES"/>
              </w:rPr>
              <w:t>: 196</w:t>
            </w:r>
          </w:p>
        </w:tc>
        <w:tc>
          <w:tcPr>
            <w:tcW w:w="4516" w:type="dxa"/>
          </w:tcPr>
          <w:p w14:paraId="3235B71A" w14:textId="77777777" w:rsidR="002B1D2B" w:rsidRPr="00FC2E31" w:rsidRDefault="002B1D2B" w:rsidP="00B93410">
            <w:pPr>
              <w:rPr>
                <w:rFonts w:ascii="Aptos" w:eastAsia="Segoe UI" w:hAnsi="Aptos" w:cs="Segoe UI"/>
                <w:color w:val="0F1115"/>
                <w:sz w:val="18"/>
                <w:szCs w:val="18"/>
                <w:lang w:val="es-ES"/>
              </w:rPr>
            </w:pPr>
            <w:r w:rsidRPr="00FC2E31">
              <w:rPr>
                <w:rFonts w:ascii="Aptos" w:hAnsi="Aptos"/>
                <w:color w:val="0F1115"/>
                <w:sz w:val="18"/>
                <w:szCs w:val="18"/>
                <w:lang w:val="es-ES"/>
              </w:rPr>
              <w:t>Número de Partes: 196</w:t>
            </w:r>
          </w:p>
        </w:tc>
      </w:tr>
    </w:tbl>
    <w:p w14:paraId="1BC856A4" w14:textId="02849701" w:rsidR="00F8063D" w:rsidRPr="005E3D50" w:rsidRDefault="00F8063D" w:rsidP="00F8063D">
      <w:pPr>
        <w:pStyle w:val="Caption"/>
        <w:rPr>
          <w:rFonts w:eastAsiaTheme="minorHAnsi"/>
          <w:i w:val="0"/>
          <w:iCs w:val="0"/>
          <w:color w:val="auto"/>
          <w:kern w:val="2"/>
          <w:sz w:val="16"/>
          <w:szCs w:val="16"/>
          <w:lang w:val="es-ES"/>
          <w14:ligatures w14:val="standardContextual"/>
        </w:rPr>
      </w:pPr>
    </w:p>
    <w:p w14:paraId="26734DD2" w14:textId="77777777" w:rsidR="00F8063D" w:rsidRPr="005E3D50" w:rsidRDefault="00F8063D" w:rsidP="00F8063D">
      <w:pPr>
        <w:rPr>
          <w:lang w:val="es-ES" w:eastAsia="ja-JP"/>
        </w:rPr>
      </w:pPr>
    </w:p>
    <w:bookmarkEnd w:id="164"/>
    <w:p w14:paraId="06A7E11B" w14:textId="6B13435E" w:rsidR="00DA633A" w:rsidRPr="005E3D50" w:rsidRDefault="004C2CF6" w:rsidP="00F8063D">
      <w:pPr>
        <w:rPr>
          <w:iCs/>
          <w:sz w:val="20"/>
          <w:szCs w:val="20"/>
          <w:lang w:val="es-ES"/>
        </w:rPr>
      </w:pPr>
      <w:r w:rsidRPr="005E3D50">
        <w:rPr>
          <w:sz w:val="20"/>
          <w:szCs w:val="20"/>
          <w:lang w:val="es-ES"/>
        </w:rPr>
        <w:t>Figura 16</w:t>
      </w:r>
    </w:p>
    <w:p w14:paraId="6933BD5B" w14:textId="59F223BD" w:rsidR="00DA633A" w:rsidRPr="005E3D50" w:rsidRDefault="00DA633A" w:rsidP="00F8063D">
      <w:pPr>
        <w:rPr>
          <w:b/>
          <w:bCs/>
          <w:iCs/>
          <w:sz w:val="20"/>
          <w:szCs w:val="20"/>
          <w:lang w:val="es-ES"/>
        </w:rPr>
      </w:pPr>
      <w:r w:rsidRPr="005E3D50">
        <w:rPr>
          <w:b/>
          <w:bCs/>
          <w:iCs/>
          <w:sz w:val="20"/>
          <w:szCs w:val="20"/>
          <w:lang w:val="es-ES"/>
        </w:rPr>
        <w:t>Indicador de cabecera 3.1:</w:t>
      </w:r>
      <w:r w:rsidRPr="005E3D50">
        <w:rPr>
          <w:rFonts w:ascii="Arial" w:hAnsi="Arial"/>
          <w:b/>
          <w:bCs/>
          <w:iCs/>
          <w:sz w:val="20"/>
          <w:szCs w:val="20"/>
          <w:lang w:val="es-ES"/>
        </w:rPr>
        <w:t> </w:t>
      </w:r>
      <w:r w:rsidRPr="005E3D50">
        <w:rPr>
          <w:b/>
          <w:bCs/>
          <w:sz w:val="20"/>
          <w:szCs w:val="20"/>
          <w:lang w:val="es-ES"/>
        </w:rPr>
        <w:t>cobertura de áreas protegidas y otras medidas eficaces de conservación basadas en áreas según la Base de Datos Mundial sobre Áreas Protegidas y Conservadas (para todas las zonas marinas y costeras, incluidas las zonas situadas fuera de la jurisdicción nacional)</w:t>
      </w:r>
    </w:p>
    <w:p w14:paraId="0BC8560A" w14:textId="3FF5779C" w:rsidR="003F3BF1" w:rsidRPr="005E3D50" w:rsidRDefault="006077FD" w:rsidP="002B3A85">
      <w:pPr>
        <w:rPr>
          <w:i/>
          <w:iCs/>
          <w:sz w:val="18"/>
          <w:szCs w:val="18"/>
          <w:lang w:val="es-ES"/>
        </w:rPr>
      </w:pPr>
      <w:r w:rsidRPr="005E3D50">
        <w:rPr>
          <w:i/>
          <w:iCs/>
          <w:noProof/>
          <w:sz w:val="18"/>
          <w:szCs w:val="18"/>
          <w:lang w:val="en-US"/>
        </w:rPr>
        <w:lastRenderedPageBreak/>
        <w:drawing>
          <wp:inline distT="0" distB="0" distL="0" distR="0" wp14:anchorId="2F36AE1E" wp14:editId="5EFE5D1D">
            <wp:extent cx="4233477" cy="3290131"/>
            <wp:effectExtent l="0" t="0" r="0" b="0"/>
            <wp:docPr id="268097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97849" name="Picture 268097849"/>
                    <pic:cNvPicPr/>
                  </pic:nvPicPr>
                  <pic:blipFill rotWithShape="1">
                    <a:blip r:embed="rId68" cstate="print">
                      <a:extLst>
                        <a:ext uri="{28A0092B-C50C-407E-A947-70E740481C1C}">
                          <a14:useLocalDpi xmlns:a14="http://schemas.microsoft.com/office/drawing/2010/main" val="0"/>
                        </a:ext>
                      </a:extLst>
                    </a:blip>
                    <a:srcRect r="27622"/>
                    <a:stretch>
                      <a:fillRect/>
                    </a:stretch>
                  </pic:blipFill>
                  <pic:spPr bwMode="auto">
                    <a:xfrm>
                      <a:off x="0" y="0"/>
                      <a:ext cx="4254805" cy="3306706"/>
                    </a:xfrm>
                    <a:prstGeom prst="rect">
                      <a:avLst/>
                    </a:prstGeom>
                    <a:ln>
                      <a:noFill/>
                    </a:ln>
                    <a:extLst>
                      <a:ext uri="{53640926-AAD7-44D8-BBD7-CCE9431645EC}">
                        <a14:shadowObscured xmlns:a14="http://schemas.microsoft.com/office/drawing/2010/main"/>
                      </a:ext>
                    </a:extLst>
                  </pic:spPr>
                </pic:pic>
              </a:graphicData>
            </a:graphic>
          </wp:inline>
        </w:drawing>
      </w:r>
    </w:p>
    <w:p w14:paraId="69E90565" w14:textId="77777777" w:rsidR="007F083F" w:rsidRPr="005E3D50" w:rsidRDefault="007F083F" w:rsidP="007F083F">
      <w:pPr>
        <w:rPr>
          <w:rFonts w:ascii="Aptos" w:hAnsi="Aptos"/>
          <w:b/>
          <w:bCs/>
          <w:sz w:val="18"/>
          <w:szCs w:val="18"/>
          <w:lang w:val="es-ES"/>
        </w:rPr>
      </w:pPr>
      <w:r w:rsidRPr="005E3D50">
        <w:rPr>
          <w:i/>
          <w:iCs/>
          <w:sz w:val="18"/>
          <w:szCs w:val="18"/>
          <w:lang w:val="es-ES"/>
        </w:rPr>
        <w:t>Nota</w:t>
      </w:r>
      <w:r w:rsidRPr="005E3D50">
        <w:rPr>
          <w:sz w:val="18"/>
          <w:szCs w:val="18"/>
          <w:lang w:val="es-ES"/>
        </w:rPr>
        <w:t>: Basado solo en los datos comunicados a la Base de Datos Mundial sobre Áreas Protegidas y Conservadas (WDPCA).</w:t>
      </w:r>
      <w:r w:rsidRPr="005E3D50">
        <w:rPr>
          <w:rFonts w:ascii="Aptos" w:hAnsi="Aptos"/>
          <w:b/>
          <w:bCs/>
          <w:sz w:val="18"/>
          <w:szCs w:val="18"/>
          <w:lang w:val="es-ES"/>
        </w:rPr>
        <w:t xml:space="preserve"> </w:t>
      </w:r>
      <w:r w:rsidRPr="005E3D50">
        <w:rPr>
          <w:rFonts w:ascii="Aptos" w:hAnsi="Aptos"/>
          <w:sz w:val="18"/>
          <w:szCs w:val="18"/>
          <w:lang w:val="es-ES"/>
        </w:rPr>
        <w:t>Los valores del indicador muestran la proporción total de zonas sujetas a conservación. Los valores representan el 100 % de las zonas marinas y costeras de todas las Partes (véanse los gráficos circulares y de barras completamente sombreados de la derecha).</w:t>
      </w:r>
      <w:r w:rsidRPr="005E3D50">
        <w:rPr>
          <w:rFonts w:ascii="Arial" w:hAnsi="Arial"/>
          <w:sz w:val="18"/>
          <w:szCs w:val="18"/>
          <w:lang w:val="es-ES"/>
        </w:rPr>
        <w:t> </w:t>
      </w:r>
      <w:r w:rsidRPr="005E3D50">
        <w:rPr>
          <w:rFonts w:ascii="Aptos" w:hAnsi="Aptos"/>
          <w:sz w:val="18"/>
          <w:szCs w:val="18"/>
          <w:lang w:val="es-ES"/>
        </w:rPr>
        <w:t> </w:t>
      </w:r>
    </w:p>
    <w:tbl>
      <w:tblPr>
        <w:tblStyle w:val="TableGrid"/>
        <w:tblW w:w="0" w:type="auto"/>
        <w:tblLook w:val="06A0" w:firstRow="1" w:lastRow="0" w:firstColumn="1" w:lastColumn="0" w:noHBand="1" w:noVBand="1"/>
      </w:tblPr>
      <w:tblGrid>
        <w:gridCol w:w="4050"/>
        <w:gridCol w:w="4415"/>
      </w:tblGrid>
      <w:tr w:rsidR="002B1D2B" w:rsidRPr="0049658F" w14:paraId="2D16F423" w14:textId="77777777" w:rsidTr="0044657F">
        <w:tc>
          <w:tcPr>
            <w:tcW w:w="8465" w:type="dxa"/>
            <w:gridSpan w:val="2"/>
          </w:tcPr>
          <w:p w14:paraId="713C3054" w14:textId="69011B67"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Figure 16</w:t>
            </w:r>
          </w:p>
        </w:tc>
      </w:tr>
      <w:tr w:rsidR="002B1D2B" w:rsidRPr="0049658F" w14:paraId="26DD8CCC" w14:textId="77777777" w:rsidTr="0049658F">
        <w:tc>
          <w:tcPr>
            <w:tcW w:w="4050" w:type="dxa"/>
          </w:tcPr>
          <w:p w14:paraId="19D9A89B"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 xml:space="preserve">English </w:t>
            </w:r>
          </w:p>
        </w:tc>
        <w:tc>
          <w:tcPr>
            <w:tcW w:w="4415" w:type="dxa"/>
          </w:tcPr>
          <w:p w14:paraId="6F623D7B" w14:textId="36F211CE" w:rsidR="002B1D2B" w:rsidRPr="0049658F"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49658F" w14:paraId="5E757C66" w14:textId="77777777" w:rsidTr="0049658F">
        <w:tc>
          <w:tcPr>
            <w:tcW w:w="4050" w:type="dxa"/>
          </w:tcPr>
          <w:p w14:paraId="739E0D27" w14:textId="77777777" w:rsidR="002B1D2B" w:rsidRPr="0049658F" w:rsidRDefault="002B1D2B" w:rsidP="00B93410">
            <w:pPr>
              <w:rPr>
                <w:rFonts w:ascii="Aptos" w:hAnsi="Aptos"/>
                <w:sz w:val="18"/>
                <w:szCs w:val="18"/>
                <w:lang w:val="en-US"/>
              </w:rPr>
            </w:pPr>
            <w:r w:rsidRPr="0049658F">
              <w:rPr>
                <w:rFonts w:ascii="Aptos" w:eastAsia="Segoe UI" w:hAnsi="Aptos" w:cs="Segoe UI"/>
                <w:color w:val="0F1115"/>
                <w:sz w:val="18"/>
                <w:szCs w:val="18"/>
                <w:lang w:val="en-US"/>
              </w:rPr>
              <w:t>Marine and coastal areas (under and beyond national jurisdiction)</w:t>
            </w:r>
          </w:p>
        </w:tc>
        <w:tc>
          <w:tcPr>
            <w:tcW w:w="4415" w:type="dxa"/>
          </w:tcPr>
          <w:p w14:paraId="51CDC7C4"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Zonas marinas y costeras (dentro y fuera de la jurisdicción nacional)</w:t>
            </w:r>
          </w:p>
        </w:tc>
      </w:tr>
      <w:tr w:rsidR="002B1D2B" w:rsidRPr="0049658F" w14:paraId="052B87F8" w14:textId="77777777" w:rsidTr="0049658F">
        <w:tc>
          <w:tcPr>
            <w:tcW w:w="4050" w:type="dxa"/>
          </w:tcPr>
          <w:p w14:paraId="0DBC27AB" w14:textId="77777777" w:rsidR="002B1D2B" w:rsidRPr="0049658F" w:rsidRDefault="002B1D2B" w:rsidP="00B93410">
            <w:pPr>
              <w:rPr>
                <w:rFonts w:ascii="Aptos" w:hAnsi="Aptos"/>
                <w:sz w:val="18"/>
                <w:szCs w:val="18"/>
                <w:lang w:val="en-US"/>
              </w:rPr>
            </w:pPr>
            <w:r w:rsidRPr="0049658F">
              <w:rPr>
                <w:rFonts w:ascii="Aptos" w:eastAsia="Segoe UI" w:hAnsi="Aptos" w:cs="Segoe UI"/>
                <w:color w:val="0F1115"/>
                <w:sz w:val="18"/>
                <w:szCs w:val="18"/>
                <w:lang w:val="en-US"/>
              </w:rPr>
              <w:t>All marine and coastal areas</w:t>
            </w:r>
          </w:p>
        </w:tc>
        <w:tc>
          <w:tcPr>
            <w:tcW w:w="4415" w:type="dxa"/>
          </w:tcPr>
          <w:p w14:paraId="3D948127"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Todas las zonas marinas y costeras</w:t>
            </w:r>
          </w:p>
        </w:tc>
      </w:tr>
      <w:tr w:rsidR="002B1D2B" w:rsidRPr="0049658F" w14:paraId="3CCE82C7" w14:textId="77777777" w:rsidTr="0049658F">
        <w:tc>
          <w:tcPr>
            <w:tcW w:w="4050" w:type="dxa"/>
          </w:tcPr>
          <w:p w14:paraId="4C3F6DB9" w14:textId="77777777" w:rsidR="002B1D2B" w:rsidRPr="0049658F" w:rsidRDefault="002B1D2B" w:rsidP="00B93410">
            <w:pPr>
              <w:rPr>
                <w:rFonts w:ascii="Aptos" w:hAnsi="Aptos"/>
                <w:sz w:val="18"/>
                <w:szCs w:val="18"/>
                <w:lang w:val="es-ES"/>
              </w:rPr>
            </w:pPr>
            <w:proofErr w:type="spellStart"/>
            <w:r w:rsidRPr="0049658F">
              <w:rPr>
                <w:rFonts w:ascii="Aptos" w:eastAsia="Segoe UI" w:hAnsi="Aptos" w:cs="Segoe UI"/>
                <w:color w:val="0F1115"/>
                <w:sz w:val="18"/>
                <w:szCs w:val="18"/>
                <w:lang w:val="es-ES"/>
              </w:rPr>
              <w:t>Protected</w:t>
            </w:r>
            <w:proofErr w:type="spellEnd"/>
            <w:r w:rsidRPr="0049658F">
              <w:rPr>
                <w:rFonts w:ascii="Aptos" w:eastAsia="Segoe UI" w:hAnsi="Aptos" w:cs="Segoe UI"/>
                <w:color w:val="0F1115"/>
                <w:sz w:val="18"/>
                <w:szCs w:val="18"/>
                <w:lang w:val="es-ES"/>
              </w:rPr>
              <w:t xml:space="preserve"> </w:t>
            </w:r>
            <w:proofErr w:type="spellStart"/>
            <w:r w:rsidRPr="0049658F">
              <w:rPr>
                <w:rFonts w:ascii="Aptos" w:eastAsia="Segoe UI" w:hAnsi="Aptos" w:cs="Segoe UI"/>
                <w:color w:val="0F1115"/>
                <w:sz w:val="18"/>
                <w:szCs w:val="18"/>
                <w:lang w:val="es-ES"/>
              </w:rPr>
              <w:t>area</w:t>
            </w:r>
            <w:proofErr w:type="spellEnd"/>
            <w:r w:rsidRPr="0049658F">
              <w:rPr>
                <w:rFonts w:ascii="Aptos" w:eastAsia="Segoe UI" w:hAnsi="Aptos" w:cs="Segoe UI"/>
                <w:color w:val="0F1115"/>
                <w:sz w:val="18"/>
                <w:szCs w:val="18"/>
                <w:lang w:val="es-ES"/>
              </w:rPr>
              <w:t xml:space="preserve"> </w:t>
            </w:r>
            <w:proofErr w:type="spellStart"/>
            <w:r w:rsidRPr="0049658F">
              <w:rPr>
                <w:rFonts w:ascii="Aptos" w:eastAsia="Segoe UI" w:hAnsi="Aptos" w:cs="Segoe UI"/>
                <w:color w:val="0F1115"/>
                <w:sz w:val="18"/>
                <w:szCs w:val="18"/>
                <w:lang w:val="es-ES"/>
              </w:rPr>
              <w:t>coverage</w:t>
            </w:r>
            <w:proofErr w:type="spellEnd"/>
            <w:r w:rsidRPr="0049658F">
              <w:rPr>
                <w:rFonts w:ascii="Aptos" w:eastAsia="Segoe UI" w:hAnsi="Aptos" w:cs="Segoe UI"/>
                <w:color w:val="0F1115"/>
                <w:sz w:val="18"/>
                <w:szCs w:val="18"/>
                <w:lang w:val="es-ES"/>
              </w:rPr>
              <w:t xml:space="preserve"> (%)</w:t>
            </w:r>
          </w:p>
        </w:tc>
        <w:tc>
          <w:tcPr>
            <w:tcW w:w="4415" w:type="dxa"/>
          </w:tcPr>
          <w:p w14:paraId="0183EAAC" w14:textId="77777777" w:rsidR="002B1D2B" w:rsidRPr="0049658F" w:rsidRDefault="002B1D2B" w:rsidP="00B93410">
            <w:pPr>
              <w:rPr>
                <w:rFonts w:ascii="Aptos" w:hAnsi="Aptos"/>
                <w:sz w:val="18"/>
                <w:szCs w:val="18"/>
                <w:lang w:val="pt-BR"/>
              </w:rPr>
            </w:pPr>
            <w:r w:rsidRPr="0049658F">
              <w:rPr>
                <w:rFonts w:ascii="Aptos" w:hAnsi="Aptos"/>
                <w:color w:val="0F1115"/>
                <w:sz w:val="18"/>
                <w:szCs w:val="18"/>
                <w:lang w:val="pt-BR"/>
              </w:rPr>
              <w:t xml:space="preserve">Cobertura de </w:t>
            </w:r>
            <w:proofErr w:type="spellStart"/>
            <w:r w:rsidRPr="0049658F">
              <w:rPr>
                <w:rFonts w:ascii="Aptos" w:hAnsi="Aptos"/>
                <w:color w:val="0F1115"/>
                <w:sz w:val="18"/>
                <w:szCs w:val="18"/>
                <w:lang w:val="pt-BR"/>
              </w:rPr>
              <w:t>las</w:t>
            </w:r>
            <w:proofErr w:type="spellEnd"/>
            <w:r w:rsidRPr="0049658F">
              <w:rPr>
                <w:rFonts w:ascii="Aptos" w:hAnsi="Aptos"/>
                <w:color w:val="0F1115"/>
                <w:sz w:val="18"/>
                <w:szCs w:val="18"/>
                <w:lang w:val="pt-BR"/>
              </w:rPr>
              <w:t xml:space="preserve"> áreas protegidas (%)</w:t>
            </w:r>
          </w:p>
        </w:tc>
      </w:tr>
      <w:tr w:rsidR="002B1D2B" w:rsidRPr="0049658F" w14:paraId="73F4FF9E" w14:textId="77777777" w:rsidTr="0049658F">
        <w:tc>
          <w:tcPr>
            <w:tcW w:w="4050" w:type="dxa"/>
          </w:tcPr>
          <w:p w14:paraId="030A2E8A"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0</w:t>
            </w:r>
          </w:p>
        </w:tc>
        <w:tc>
          <w:tcPr>
            <w:tcW w:w="4415" w:type="dxa"/>
          </w:tcPr>
          <w:p w14:paraId="2242B3B6"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0</w:t>
            </w:r>
          </w:p>
        </w:tc>
      </w:tr>
      <w:tr w:rsidR="002B1D2B" w:rsidRPr="0049658F" w14:paraId="722788BE" w14:textId="77777777" w:rsidTr="0049658F">
        <w:tc>
          <w:tcPr>
            <w:tcW w:w="4050" w:type="dxa"/>
          </w:tcPr>
          <w:p w14:paraId="1276DBB8"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10</w:t>
            </w:r>
          </w:p>
        </w:tc>
        <w:tc>
          <w:tcPr>
            <w:tcW w:w="4415" w:type="dxa"/>
          </w:tcPr>
          <w:p w14:paraId="031906D3"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10</w:t>
            </w:r>
          </w:p>
        </w:tc>
      </w:tr>
      <w:tr w:rsidR="002B1D2B" w:rsidRPr="0049658F" w14:paraId="6B7B1E40" w14:textId="77777777" w:rsidTr="0049658F">
        <w:tc>
          <w:tcPr>
            <w:tcW w:w="4050" w:type="dxa"/>
          </w:tcPr>
          <w:p w14:paraId="67B12C36"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w:t>
            </w:r>
          </w:p>
        </w:tc>
        <w:tc>
          <w:tcPr>
            <w:tcW w:w="4415" w:type="dxa"/>
          </w:tcPr>
          <w:p w14:paraId="5285A0EA"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w:t>
            </w:r>
          </w:p>
        </w:tc>
      </w:tr>
      <w:tr w:rsidR="002B1D2B" w:rsidRPr="0049658F" w14:paraId="128E0367" w14:textId="77777777" w:rsidTr="0049658F">
        <w:tc>
          <w:tcPr>
            <w:tcW w:w="4050" w:type="dxa"/>
          </w:tcPr>
          <w:p w14:paraId="76966802"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30</w:t>
            </w:r>
          </w:p>
        </w:tc>
        <w:tc>
          <w:tcPr>
            <w:tcW w:w="4415" w:type="dxa"/>
          </w:tcPr>
          <w:p w14:paraId="1782DE11"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30</w:t>
            </w:r>
          </w:p>
        </w:tc>
      </w:tr>
      <w:tr w:rsidR="002B1D2B" w:rsidRPr="0049658F" w14:paraId="3BF8FE01" w14:textId="77777777" w:rsidTr="0049658F">
        <w:tc>
          <w:tcPr>
            <w:tcW w:w="4050" w:type="dxa"/>
          </w:tcPr>
          <w:p w14:paraId="47955E97"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50</w:t>
            </w:r>
          </w:p>
        </w:tc>
        <w:tc>
          <w:tcPr>
            <w:tcW w:w="4415" w:type="dxa"/>
          </w:tcPr>
          <w:p w14:paraId="30836651"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50</w:t>
            </w:r>
          </w:p>
        </w:tc>
      </w:tr>
      <w:tr w:rsidR="002B1D2B" w:rsidRPr="0049658F" w14:paraId="159557FA" w14:textId="77777777" w:rsidTr="0049658F">
        <w:tc>
          <w:tcPr>
            <w:tcW w:w="4050" w:type="dxa"/>
          </w:tcPr>
          <w:p w14:paraId="46BC629E"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100</w:t>
            </w:r>
          </w:p>
        </w:tc>
        <w:tc>
          <w:tcPr>
            <w:tcW w:w="4415" w:type="dxa"/>
          </w:tcPr>
          <w:p w14:paraId="40018698"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100</w:t>
            </w:r>
          </w:p>
        </w:tc>
      </w:tr>
      <w:tr w:rsidR="002B1D2B" w:rsidRPr="0049658F" w14:paraId="1C0BF6CD" w14:textId="77777777" w:rsidTr="0049658F">
        <w:tc>
          <w:tcPr>
            <w:tcW w:w="4050" w:type="dxa"/>
          </w:tcPr>
          <w:p w14:paraId="0D59EBA5"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150</w:t>
            </w:r>
          </w:p>
        </w:tc>
        <w:tc>
          <w:tcPr>
            <w:tcW w:w="4415" w:type="dxa"/>
          </w:tcPr>
          <w:p w14:paraId="055EAC7D"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150</w:t>
            </w:r>
          </w:p>
        </w:tc>
      </w:tr>
      <w:tr w:rsidR="002B1D2B" w:rsidRPr="0049658F" w14:paraId="6DEF5F85" w14:textId="77777777" w:rsidTr="0049658F">
        <w:tc>
          <w:tcPr>
            <w:tcW w:w="4050" w:type="dxa"/>
          </w:tcPr>
          <w:p w14:paraId="53B254B8"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200</w:t>
            </w:r>
          </w:p>
        </w:tc>
        <w:tc>
          <w:tcPr>
            <w:tcW w:w="4415" w:type="dxa"/>
          </w:tcPr>
          <w:p w14:paraId="1C2FB996"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200</w:t>
            </w:r>
          </w:p>
        </w:tc>
      </w:tr>
      <w:tr w:rsidR="002B1D2B" w:rsidRPr="0049658F" w14:paraId="1C9FF7B2" w14:textId="77777777" w:rsidTr="0049658F">
        <w:tc>
          <w:tcPr>
            <w:tcW w:w="4050" w:type="dxa"/>
          </w:tcPr>
          <w:p w14:paraId="413B529F" w14:textId="77777777" w:rsidR="002B1D2B" w:rsidRPr="0049658F" w:rsidRDefault="002B1D2B" w:rsidP="00B93410">
            <w:pPr>
              <w:rPr>
                <w:rFonts w:ascii="Aptos" w:hAnsi="Aptos"/>
                <w:sz w:val="18"/>
                <w:szCs w:val="18"/>
                <w:lang w:val="es-ES"/>
              </w:rPr>
            </w:pPr>
            <w:proofErr w:type="spellStart"/>
            <w:r w:rsidRPr="0049658F">
              <w:rPr>
                <w:rFonts w:ascii="Aptos" w:eastAsia="Segoe UI" w:hAnsi="Aptos" w:cs="Segoe UI"/>
                <w:color w:val="0F1115"/>
                <w:sz w:val="18"/>
                <w:szCs w:val="18"/>
                <w:lang w:val="es-ES"/>
              </w:rPr>
              <w:t>Year</w:t>
            </w:r>
            <w:proofErr w:type="spellEnd"/>
          </w:p>
        </w:tc>
        <w:tc>
          <w:tcPr>
            <w:tcW w:w="4415" w:type="dxa"/>
          </w:tcPr>
          <w:p w14:paraId="754CC149"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Año</w:t>
            </w:r>
          </w:p>
        </w:tc>
      </w:tr>
      <w:tr w:rsidR="002B1D2B" w:rsidRPr="0049658F" w14:paraId="76F84235" w14:textId="77777777" w:rsidTr="0049658F">
        <w:tc>
          <w:tcPr>
            <w:tcW w:w="4050" w:type="dxa"/>
          </w:tcPr>
          <w:p w14:paraId="2ECD2C25"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2010</w:t>
            </w:r>
          </w:p>
        </w:tc>
        <w:tc>
          <w:tcPr>
            <w:tcW w:w="4415" w:type="dxa"/>
          </w:tcPr>
          <w:p w14:paraId="5BE18D58"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2010</w:t>
            </w:r>
          </w:p>
        </w:tc>
      </w:tr>
      <w:tr w:rsidR="002B1D2B" w:rsidRPr="0049658F" w14:paraId="2093450E" w14:textId="77777777" w:rsidTr="0049658F">
        <w:tc>
          <w:tcPr>
            <w:tcW w:w="4050" w:type="dxa"/>
          </w:tcPr>
          <w:p w14:paraId="7951856C"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2011</w:t>
            </w:r>
          </w:p>
        </w:tc>
        <w:tc>
          <w:tcPr>
            <w:tcW w:w="4415" w:type="dxa"/>
          </w:tcPr>
          <w:p w14:paraId="065907F7"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2011</w:t>
            </w:r>
          </w:p>
        </w:tc>
      </w:tr>
      <w:tr w:rsidR="002B1D2B" w:rsidRPr="0049658F" w14:paraId="44FCEAD0" w14:textId="77777777" w:rsidTr="0049658F">
        <w:tc>
          <w:tcPr>
            <w:tcW w:w="4050" w:type="dxa"/>
          </w:tcPr>
          <w:p w14:paraId="6E536154"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2012</w:t>
            </w:r>
          </w:p>
        </w:tc>
        <w:tc>
          <w:tcPr>
            <w:tcW w:w="4415" w:type="dxa"/>
          </w:tcPr>
          <w:p w14:paraId="39DF423D"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2012</w:t>
            </w:r>
          </w:p>
        </w:tc>
      </w:tr>
      <w:tr w:rsidR="002B1D2B" w:rsidRPr="0049658F" w14:paraId="3DD11036" w14:textId="77777777" w:rsidTr="0049658F">
        <w:tc>
          <w:tcPr>
            <w:tcW w:w="4050" w:type="dxa"/>
          </w:tcPr>
          <w:p w14:paraId="7B22781D"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2013</w:t>
            </w:r>
          </w:p>
        </w:tc>
        <w:tc>
          <w:tcPr>
            <w:tcW w:w="4415" w:type="dxa"/>
          </w:tcPr>
          <w:p w14:paraId="66B80CD4"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2013</w:t>
            </w:r>
          </w:p>
        </w:tc>
      </w:tr>
      <w:tr w:rsidR="002B1D2B" w:rsidRPr="0049658F" w14:paraId="3B2120F8" w14:textId="77777777" w:rsidTr="0049658F">
        <w:tc>
          <w:tcPr>
            <w:tcW w:w="4050" w:type="dxa"/>
          </w:tcPr>
          <w:p w14:paraId="5CE614A9"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2014</w:t>
            </w:r>
          </w:p>
        </w:tc>
        <w:tc>
          <w:tcPr>
            <w:tcW w:w="4415" w:type="dxa"/>
          </w:tcPr>
          <w:p w14:paraId="7DE451C0"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2014</w:t>
            </w:r>
          </w:p>
        </w:tc>
      </w:tr>
      <w:tr w:rsidR="002B1D2B" w:rsidRPr="0049658F" w14:paraId="084A4569" w14:textId="77777777" w:rsidTr="0049658F">
        <w:tc>
          <w:tcPr>
            <w:tcW w:w="4050" w:type="dxa"/>
          </w:tcPr>
          <w:p w14:paraId="2B8F4C91"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2015</w:t>
            </w:r>
          </w:p>
        </w:tc>
        <w:tc>
          <w:tcPr>
            <w:tcW w:w="4415" w:type="dxa"/>
          </w:tcPr>
          <w:p w14:paraId="5708D117"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2015</w:t>
            </w:r>
          </w:p>
        </w:tc>
      </w:tr>
      <w:tr w:rsidR="002B1D2B" w:rsidRPr="0049658F" w14:paraId="29E889FD" w14:textId="77777777" w:rsidTr="0049658F">
        <w:tc>
          <w:tcPr>
            <w:tcW w:w="4050" w:type="dxa"/>
          </w:tcPr>
          <w:p w14:paraId="0178CB50"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2016</w:t>
            </w:r>
          </w:p>
        </w:tc>
        <w:tc>
          <w:tcPr>
            <w:tcW w:w="4415" w:type="dxa"/>
          </w:tcPr>
          <w:p w14:paraId="74E2551F"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2016</w:t>
            </w:r>
          </w:p>
        </w:tc>
      </w:tr>
      <w:tr w:rsidR="002B1D2B" w:rsidRPr="0049658F" w14:paraId="3248479C" w14:textId="77777777" w:rsidTr="0049658F">
        <w:tc>
          <w:tcPr>
            <w:tcW w:w="4050" w:type="dxa"/>
          </w:tcPr>
          <w:p w14:paraId="4D682BE9"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2017</w:t>
            </w:r>
          </w:p>
        </w:tc>
        <w:tc>
          <w:tcPr>
            <w:tcW w:w="4415" w:type="dxa"/>
          </w:tcPr>
          <w:p w14:paraId="140C2DDE"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2017</w:t>
            </w:r>
          </w:p>
        </w:tc>
      </w:tr>
      <w:tr w:rsidR="002B1D2B" w:rsidRPr="0049658F" w14:paraId="1002C94E" w14:textId="77777777" w:rsidTr="0049658F">
        <w:tc>
          <w:tcPr>
            <w:tcW w:w="4050" w:type="dxa"/>
          </w:tcPr>
          <w:p w14:paraId="267256E3"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2018</w:t>
            </w:r>
          </w:p>
        </w:tc>
        <w:tc>
          <w:tcPr>
            <w:tcW w:w="4415" w:type="dxa"/>
          </w:tcPr>
          <w:p w14:paraId="3E20EBCC"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2018</w:t>
            </w:r>
          </w:p>
        </w:tc>
      </w:tr>
      <w:tr w:rsidR="002B1D2B" w:rsidRPr="0049658F" w14:paraId="3E88AFB3" w14:textId="77777777" w:rsidTr="0049658F">
        <w:tc>
          <w:tcPr>
            <w:tcW w:w="4050" w:type="dxa"/>
          </w:tcPr>
          <w:p w14:paraId="281B3313"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2019</w:t>
            </w:r>
          </w:p>
        </w:tc>
        <w:tc>
          <w:tcPr>
            <w:tcW w:w="4415" w:type="dxa"/>
          </w:tcPr>
          <w:p w14:paraId="77F2F407"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2019</w:t>
            </w:r>
          </w:p>
        </w:tc>
      </w:tr>
      <w:tr w:rsidR="002B1D2B" w:rsidRPr="0049658F" w14:paraId="4E940DD3" w14:textId="77777777" w:rsidTr="0049658F">
        <w:tc>
          <w:tcPr>
            <w:tcW w:w="4050" w:type="dxa"/>
          </w:tcPr>
          <w:p w14:paraId="6D091752"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2020</w:t>
            </w:r>
          </w:p>
        </w:tc>
        <w:tc>
          <w:tcPr>
            <w:tcW w:w="4415" w:type="dxa"/>
          </w:tcPr>
          <w:p w14:paraId="0E32D14C"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2020</w:t>
            </w:r>
          </w:p>
        </w:tc>
      </w:tr>
      <w:tr w:rsidR="002B1D2B" w:rsidRPr="0049658F" w14:paraId="316977DA" w14:textId="77777777" w:rsidTr="0049658F">
        <w:tc>
          <w:tcPr>
            <w:tcW w:w="4050" w:type="dxa"/>
          </w:tcPr>
          <w:p w14:paraId="493BC5EF"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2021</w:t>
            </w:r>
          </w:p>
        </w:tc>
        <w:tc>
          <w:tcPr>
            <w:tcW w:w="4415" w:type="dxa"/>
          </w:tcPr>
          <w:p w14:paraId="284D1D4A"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2021</w:t>
            </w:r>
          </w:p>
        </w:tc>
      </w:tr>
      <w:tr w:rsidR="002B1D2B" w:rsidRPr="0049658F" w14:paraId="5752F8D3" w14:textId="77777777" w:rsidTr="0049658F">
        <w:tc>
          <w:tcPr>
            <w:tcW w:w="4050" w:type="dxa"/>
          </w:tcPr>
          <w:p w14:paraId="29A95CDD"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lastRenderedPageBreak/>
              <w:t>2022</w:t>
            </w:r>
          </w:p>
        </w:tc>
        <w:tc>
          <w:tcPr>
            <w:tcW w:w="4415" w:type="dxa"/>
          </w:tcPr>
          <w:p w14:paraId="1D1F5D82"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2022</w:t>
            </w:r>
          </w:p>
        </w:tc>
      </w:tr>
      <w:tr w:rsidR="002B1D2B" w:rsidRPr="0049658F" w14:paraId="37E19AD6" w14:textId="77777777" w:rsidTr="0049658F">
        <w:tc>
          <w:tcPr>
            <w:tcW w:w="4050" w:type="dxa"/>
          </w:tcPr>
          <w:p w14:paraId="7045218F"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2023</w:t>
            </w:r>
          </w:p>
        </w:tc>
        <w:tc>
          <w:tcPr>
            <w:tcW w:w="4415" w:type="dxa"/>
          </w:tcPr>
          <w:p w14:paraId="35667D4C"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2023</w:t>
            </w:r>
          </w:p>
        </w:tc>
      </w:tr>
      <w:tr w:rsidR="002B1D2B" w:rsidRPr="0049658F" w14:paraId="08C22F9C" w14:textId="77777777" w:rsidTr="0049658F">
        <w:tc>
          <w:tcPr>
            <w:tcW w:w="4050" w:type="dxa"/>
          </w:tcPr>
          <w:p w14:paraId="780E071C"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2024</w:t>
            </w:r>
          </w:p>
        </w:tc>
        <w:tc>
          <w:tcPr>
            <w:tcW w:w="4415" w:type="dxa"/>
          </w:tcPr>
          <w:p w14:paraId="471EEEF6"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2024</w:t>
            </w:r>
          </w:p>
        </w:tc>
      </w:tr>
      <w:tr w:rsidR="002B1D2B" w:rsidRPr="0049658F" w14:paraId="50E47811" w14:textId="77777777" w:rsidTr="0049658F">
        <w:tc>
          <w:tcPr>
            <w:tcW w:w="4050" w:type="dxa"/>
          </w:tcPr>
          <w:p w14:paraId="1E0268FE"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2025</w:t>
            </w:r>
          </w:p>
        </w:tc>
        <w:tc>
          <w:tcPr>
            <w:tcW w:w="4415" w:type="dxa"/>
          </w:tcPr>
          <w:p w14:paraId="774C9B08"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2025</w:t>
            </w:r>
          </w:p>
        </w:tc>
      </w:tr>
      <w:tr w:rsidR="002B1D2B" w:rsidRPr="0049658F" w14:paraId="4C54736B" w14:textId="77777777" w:rsidTr="0049658F">
        <w:tc>
          <w:tcPr>
            <w:tcW w:w="4050" w:type="dxa"/>
          </w:tcPr>
          <w:p w14:paraId="7358D361" w14:textId="77777777" w:rsidR="002B1D2B" w:rsidRPr="0049658F" w:rsidRDefault="002B1D2B" w:rsidP="00B93410">
            <w:pPr>
              <w:rPr>
                <w:rFonts w:ascii="Aptos" w:hAnsi="Aptos"/>
                <w:sz w:val="18"/>
                <w:szCs w:val="18"/>
                <w:lang w:val="es-ES"/>
              </w:rPr>
            </w:pPr>
            <w:proofErr w:type="spellStart"/>
            <w:r w:rsidRPr="0049658F">
              <w:rPr>
                <w:rFonts w:ascii="Aptos" w:eastAsia="Segoe UI" w:hAnsi="Aptos" w:cs="Segoe UI"/>
                <w:color w:val="0F1115"/>
                <w:sz w:val="18"/>
                <w:szCs w:val="18"/>
                <w:lang w:val="es-ES"/>
              </w:rPr>
              <w:t>Parties</w:t>
            </w:r>
            <w:proofErr w:type="spellEnd"/>
            <w:r w:rsidRPr="0049658F">
              <w:rPr>
                <w:rFonts w:ascii="Aptos" w:eastAsia="Segoe UI" w:hAnsi="Aptos" w:cs="Segoe UI"/>
                <w:color w:val="0F1115"/>
                <w:sz w:val="18"/>
                <w:szCs w:val="18"/>
                <w:lang w:val="es-ES"/>
              </w:rPr>
              <w:t xml:space="preserve"> </w:t>
            </w:r>
            <w:proofErr w:type="spellStart"/>
            <w:r w:rsidRPr="0049658F">
              <w:rPr>
                <w:rFonts w:ascii="Aptos" w:eastAsia="Segoe UI" w:hAnsi="Aptos" w:cs="Segoe UI"/>
                <w:color w:val="0F1115"/>
                <w:sz w:val="18"/>
                <w:szCs w:val="18"/>
                <w:lang w:val="es-ES"/>
              </w:rPr>
              <w:t>covered</w:t>
            </w:r>
            <w:proofErr w:type="spellEnd"/>
          </w:p>
        </w:tc>
        <w:tc>
          <w:tcPr>
            <w:tcW w:w="4415" w:type="dxa"/>
          </w:tcPr>
          <w:p w14:paraId="3F020A5D"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Partes cubiertas</w:t>
            </w:r>
          </w:p>
        </w:tc>
      </w:tr>
      <w:tr w:rsidR="002B1D2B" w:rsidRPr="0049658F" w14:paraId="5A4ECF06" w14:textId="77777777" w:rsidTr="0049658F">
        <w:tc>
          <w:tcPr>
            <w:tcW w:w="4050" w:type="dxa"/>
          </w:tcPr>
          <w:p w14:paraId="508D3221" w14:textId="77777777" w:rsidR="002B1D2B" w:rsidRPr="0049658F" w:rsidRDefault="002B1D2B" w:rsidP="00B93410">
            <w:pPr>
              <w:rPr>
                <w:rFonts w:ascii="Aptos" w:hAnsi="Aptos"/>
                <w:sz w:val="18"/>
                <w:szCs w:val="18"/>
                <w:lang w:val="es-ES"/>
              </w:rPr>
            </w:pPr>
            <w:proofErr w:type="spellStart"/>
            <w:r w:rsidRPr="0049658F">
              <w:rPr>
                <w:rFonts w:ascii="Aptos" w:eastAsia="Segoe UI" w:hAnsi="Aptos" w:cs="Segoe UI"/>
                <w:color w:val="0F1115"/>
                <w:sz w:val="18"/>
                <w:szCs w:val="18"/>
                <w:lang w:val="es-ES"/>
              </w:rPr>
              <w:t>Region</w:t>
            </w:r>
            <w:proofErr w:type="spellEnd"/>
          </w:p>
        </w:tc>
        <w:tc>
          <w:tcPr>
            <w:tcW w:w="4415" w:type="dxa"/>
          </w:tcPr>
          <w:p w14:paraId="1871A189"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Región</w:t>
            </w:r>
          </w:p>
        </w:tc>
      </w:tr>
      <w:tr w:rsidR="002B1D2B" w:rsidRPr="0049658F" w14:paraId="291EE75F" w14:textId="77777777" w:rsidTr="0049658F">
        <w:tc>
          <w:tcPr>
            <w:tcW w:w="4050" w:type="dxa"/>
          </w:tcPr>
          <w:p w14:paraId="0148781B"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African States</w:t>
            </w:r>
          </w:p>
        </w:tc>
        <w:tc>
          <w:tcPr>
            <w:tcW w:w="4415" w:type="dxa"/>
          </w:tcPr>
          <w:p w14:paraId="4E763D6A"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Estados de África</w:t>
            </w:r>
          </w:p>
        </w:tc>
      </w:tr>
      <w:tr w:rsidR="002B1D2B" w:rsidRPr="0049658F" w14:paraId="70B955F0" w14:textId="77777777" w:rsidTr="0049658F">
        <w:tc>
          <w:tcPr>
            <w:tcW w:w="4050" w:type="dxa"/>
          </w:tcPr>
          <w:p w14:paraId="6A3D7FCC"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Asia-Pacific States</w:t>
            </w:r>
          </w:p>
        </w:tc>
        <w:tc>
          <w:tcPr>
            <w:tcW w:w="4415" w:type="dxa"/>
          </w:tcPr>
          <w:p w14:paraId="1A66B1A2"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Estados de Asia y el Pacífico</w:t>
            </w:r>
          </w:p>
        </w:tc>
      </w:tr>
      <w:tr w:rsidR="002B1D2B" w:rsidRPr="0049658F" w14:paraId="28CB4AFC" w14:textId="77777777" w:rsidTr="0049658F">
        <w:tc>
          <w:tcPr>
            <w:tcW w:w="4050" w:type="dxa"/>
          </w:tcPr>
          <w:p w14:paraId="7C453A94" w14:textId="77777777" w:rsidR="002B1D2B" w:rsidRPr="0049658F" w:rsidRDefault="002B1D2B" w:rsidP="00B93410">
            <w:pPr>
              <w:rPr>
                <w:rFonts w:ascii="Aptos" w:hAnsi="Aptos"/>
                <w:sz w:val="18"/>
                <w:szCs w:val="18"/>
                <w:lang w:val="en-US"/>
              </w:rPr>
            </w:pPr>
            <w:r w:rsidRPr="0049658F">
              <w:rPr>
                <w:rFonts w:ascii="Aptos" w:eastAsia="Segoe UI" w:hAnsi="Aptos" w:cs="Segoe UI"/>
                <w:color w:val="0F1115"/>
                <w:sz w:val="18"/>
                <w:szCs w:val="18"/>
                <w:lang w:val="en-US"/>
              </w:rPr>
              <w:t>Latin American and Caribbean States</w:t>
            </w:r>
          </w:p>
        </w:tc>
        <w:tc>
          <w:tcPr>
            <w:tcW w:w="4415" w:type="dxa"/>
          </w:tcPr>
          <w:p w14:paraId="597CEE35"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Estados de América Latina y el Caribe</w:t>
            </w:r>
          </w:p>
        </w:tc>
      </w:tr>
      <w:tr w:rsidR="002B1D2B" w:rsidRPr="0049658F" w14:paraId="2E0971D5" w14:textId="77777777" w:rsidTr="0049658F">
        <w:tc>
          <w:tcPr>
            <w:tcW w:w="4050" w:type="dxa"/>
          </w:tcPr>
          <w:p w14:paraId="51AFFA49"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Eastern European States</w:t>
            </w:r>
          </w:p>
        </w:tc>
        <w:tc>
          <w:tcPr>
            <w:tcW w:w="4415" w:type="dxa"/>
          </w:tcPr>
          <w:p w14:paraId="03C8163A"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Estados de Europa Oriental</w:t>
            </w:r>
          </w:p>
        </w:tc>
      </w:tr>
      <w:tr w:rsidR="002B1D2B" w:rsidRPr="0049658F" w14:paraId="5F5DB752" w14:textId="77777777" w:rsidTr="0049658F">
        <w:tc>
          <w:tcPr>
            <w:tcW w:w="4050" w:type="dxa"/>
          </w:tcPr>
          <w:p w14:paraId="0B84AA7F" w14:textId="77777777" w:rsidR="002B1D2B" w:rsidRPr="0049658F" w:rsidRDefault="002B1D2B" w:rsidP="00B93410">
            <w:pPr>
              <w:rPr>
                <w:rFonts w:ascii="Aptos" w:hAnsi="Aptos"/>
                <w:sz w:val="18"/>
                <w:szCs w:val="18"/>
                <w:lang w:val="en-US"/>
              </w:rPr>
            </w:pPr>
            <w:r w:rsidRPr="0049658F">
              <w:rPr>
                <w:rFonts w:ascii="Aptos" w:eastAsia="Segoe UI" w:hAnsi="Aptos" w:cs="Segoe UI"/>
                <w:color w:val="0F1115"/>
                <w:sz w:val="18"/>
                <w:szCs w:val="18"/>
                <w:lang w:val="en-US"/>
              </w:rPr>
              <w:t>Western European and other States</w:t>
            </w:r>
          </w:p>
        </w:tc>
        <w:tc>
          <w:tcPr>
            <w:tcW w:w="4415" w:type="dxa"/>
          </w:tcPr>
          <w:p w14:paraId="76E58CF6" w14:textId="77777777" w:rsidR="002B1D2B" w:rsidRPr="0049658F" w:rsidRDefault="002B1D2B" w:rsidP="00B93410">
            <w:pPr>
              <w:rPr>
                <w:rFonts w:ascii="Aptos" w:hAnsi="Aptos"/>
                <w:sz w:val="18"/>
                <w:szCs w:val="18"/>
                <w:lang w:val="es-ES"/>
              </w:rPr>
            </w:pPr>
            <w:r w:rsidRPr="0049658F">
              <w:rPr>
                <w:rFonts w:ascii="Aptos" w:hAnsi="Aptos"/>
                <w:color w:val="0F1115"/>
                <w:sz w:val="18"/>
                <w:szCs w:val="18"/>
                <w:lang w:val="es-ES"/>
              </w:rPr>
              <w:t>Estados de Europa Occidental y otros Estados</w:t>
            </w:r>
          </w:p>
        </w:tc>
      </w:tr>
      <w:tr w:rsidR="002B1D2B" w:rsidRPr="0049658F" w14:paraId="1E7E683C" w14:textId="77777777" w:rsidTr="0049658F">
        <w:tc>
          <w:tcPr>
            <w:tcW w:w="4050" w:type="dxa"/>
          </w:tcPr>
          <w:p w14:paraId="4A1C81A8" w14:textId="77777777" w:rsidR="002B1D2B" w:rsidRPr="0049658F" w:rsidRDefault="002B1D2B" w:rsidP="00B93410">
            <w:pPr>
              <w:rPr>
                <w:rFonts w:ascii="Aptos" w:hAnsi="Aptos"/>
                <w:sz w:val="18"/>
                <w:szCs w:val="18"/>
                <w:lang w:val="es-ES"/>
              </w:rPr>
            </w:pPr>
            <w:r w:rsidRPr="0049658F">
              <w:rPr>
                <w:rFonts w:ascii="Aptos" w:eastAsia="Segoe UI" w:hAnsi="Aptos" w:cs="Segoe UI"/>
                <w:color w:val="0F1115"/>
                <w:sz w:val="18"/>
                <w:szCs w:val="18"/>
                <w:lang w:val="es-ES"/>
              </w:rPr>
              <w:t xml:space="preserve">Party </w:t>
            </w:r>
            <w:proofErr w:type="spellStart"/>
            <w:r w:rsidRPr="0049658F">
              <w:rPr>
                <w:rFonts w:ascii="Aptos" w:eastAsia="Segoe UI" w:hAnsi="Aptos" w:cs="Segoe UI"/>
                <w:color w:val="0F1115"/>
                <w:sz w:val="18"/>
                <w:szCs w:val="18"/>
                <w:lang w:val="es-ES"/>
              </w:rPr>
              <w:t>count</w:t>
            </w:r>
            <w:proofErr w:type="spellEnd"/>
            <w:r w:rsidRPr="0049658F">
              <w:rPr>
                <w:rFonts w:ascii="Aptos" w:eastAsia="Segoe UI" w:hAnsi="Aptos" w:cs="Segoe UI"/>
                <w:color w:val="0F1115"/>
                <w:sz w:val="18"/>
                <w:szCs w:val="18"/>
                <w:lang w:val="es-ES"/>
              </w:rPr>
              <w:t>: 196</w:t>
            </w:r>
          </w:p>
        </w:tc>
        <w:tc>
          <w:tcPr>
            <w:tcW w:w="4415" w:type="dxa"/>
          </w:tcPr>
          <w:p w14:paraId="7322F0D7" w14:textId="77777777" w:rsidR="002B1D2B" w:rsidRPr="0049658F" w:rsidRDefault="002B1D2B" w:rsidP="00B93410">
            <w:pPr>
              <w:rPr>
                <w:rFonts w:ascii="Aptos" w:eastAsia="Segoe UI" w:hAnsi="Aptos" w:cs="Segoe UI"/>
                <w:color w:val="0F1115"/>
                <w:sz w:val="18"/>
                <w:szCs w:val="18"/>
                <w:lang w:val="es-ES"/>
              </w:rPr>
            </w:pPr>
            <w:r w:rsidRPr="0049658F">
              <w:rPr>
                <w:rFonts w:ascii="Aptos" w:hAnsi="Aptos"/>
                <w:color w:val="0F1115"/>
                <w:sz w:val="18"/>
                <w:szCs w:val="18"/>
                <w:lang w:val="es-ES"/>
              </w:rPr>
              <w:t>Número de Partes: 196</w:t>
            </w:r>
          </w:p>
        </w:tc>
      </w:tr>
    </w:tbl>
    <w:p w14:paraId="6F09A745" w14:textId="7EE341C3" w:rsidR="00916B32" w:rsidRPr="005E3D50" w:rsidRDefault="00916B32" w:rsidP="00916B32">
      <w:pPr>
        <w:rPr>
          <w:lang w:val="es-ES"/>
        </w:rPr>
      </w:pPr>
    </w:p>
    <w:p w14:paraId="1F5E9C9F" w14:textId="79F29A7D" w:rsidR="007F083F" w:rsidRPr="005E3D50" w:rsidRDefault="007F083F" w:rsidP="00916B32">
      <w:pPr>
        <w:rPr>
          <w:sz w:val="20"/>
          <w:szCs w:val="20"/>
          <w:lang w:val="es-ES"/>
        </w:rPr>
      </w:pPr>
      <w:r w:rsidRPr="005E3D50">
        <w:rPr>
          <w:sz w:val="20"/>
          <w:szCs w:val="20"/>
          <w:lang w:val="es-ES"/>
        </w:rPr>
        <w:t xml:space="preserve">Figura 17 </w:t>
      </w:r>
    </w:p>
    <w:p w14:paraId="7A6C9DF7" w14:textId="4AE65445" w:rsidR="007F083F" w:rsidRPr="005E3D50" w:rsidRDefault="007F083F" w:rsidP="00916B32">
      <w:pPr>
        <w:rPr>
          <w:b/>
          <w:bCs/>
          <w:sz w:val="20"/>
          <w:szCs w:val="20"/>
          <w:lang w:val="es-ES"/>
        </w:rPr>
      </w:pPr>
      <w:r w:rsidRPr="005E3D50">
        <w:rPr>
          <w:rFonts w:ascii="Aptos" w:hAnsi="Aptos"/>
          <w:b/>
          <w:bCs/>
          <w:sz w:val="20"/>
          <w:szCs w:val="20"/>
          <w:lang w:val="es-ES"/>
        </w:rPr>
        <w:t>Porcentaje de indicadores armonizados con la meta 3 del Marco que sugieren tendencias de mejora, estables y negativas, respectivamente</w:t>
      </w:r>
    </w:p>
    <w:p w14:paraId="49FFAB4D" w14:textId="302105A6" w:rsidR="00286EB4" w:rsidRPr="005E3D50" w:rsidRDefault="00492806" w:rsidP="00866D95">
      <w:pPr>
        <w:pStyle w:val="Caption"/>
        <w:rPr>
          <w:lang w:val="es-ES"/>
        </w:rPr>
      </w:pPr>
      <w:bookmarkStart w:id="165" w:name="_Ref235129411"/>
      <w:r w:rsidRPr="005E3D50">
        <w:rPr>
          <w:noProof/>
          <w:lang w:val="en-US" w:eastAsia="en-US"/>
        </w:rPr>
        <w:drawing>
          <wp:inline distT="0" distB="0" distL="0" distR="0" wp14:anchorId="74375A31" wp14:editId="6F5EE480">
            <wp:extent cx="5731510" cy="2456180"/>
            <wp:effectExtent l="0" t="0" r="0" b="0"/>
            <wp:docPr id="1245917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17813" name="Picture 1245917813"/>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65"/>
    <w:p w14:paraId="5CACF806" w14:textId="77777777" w:rsidR="00CD7996" w:rsidRPr="005E3D50" w:rsidRDefault="00CD7996" w:rsidP="00916B32">
      <w:pPr>
        <w:rPr>
          <w:lang w:val="es-ES"/>
        </w:rPr>
      </w:pPr>
    </w:p>
    <w:p w14:paraId="1D137302" w14:textId="77777777" w:rsidR="00DD73CA" w:rsidRPr="005E3D50" w:rsidRDefault="00DD73CA" w:rsidP="00DD73CA">
      <w:pPr>
        <w:pStyle w:val="Caption"/>
        <w:rPr>
          <w:rFonts w:ascii="Aptos" w:hAnsi="Aptos"/>
          <w:i w:val="0"/>
          <w:sz w:val="16"/>
          <w:szCs w:val="16"/>
          <w:lang w:val="es-ES"/>
        </w:rPr>
      </w:pPr>
      <w:r w:rsidRPr="005E3D50">
        <w:rPr>
          <w:rFonts w:ascii="Aptos" w:hAnsi="Aptos"/>
          <w:sz w:val="16"/>
          <w:szCs w:val="16"/>
          <w:lang w:val="es-ES"/>
        </w:rPr>
        <w:t>Nota:</w:t>
      </w:r>
      <w:r w:rsidRPr="005E3D50">
        <w:rPr>
          <w:rFonts w:ascii="Aptos" w:hAnsi="Aptos"/>
          <w:i w:val="0"/>
          <w:iCs w:val="0"/>
          <w:sz w:val="16"/>
          <w:szCs w:val="16"/>
          <w:lang w:val="es-ES"/>
        </w:rPr>
        <w:t xml:space="preserve"> Las proporciones están ponderadas por Parte. Las tendencias incluyen datos correspondientes a un indicador de cabecera de 79 Partes y 1 indicador de componente, 2 indicadores complementarios y 92 indicadores nacionales de un total de 27 Partes. El gráfico circular muestra la distribución de las Partes que presentaron indicadores para la meta 3,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8690" w:type="dxa"/>
        <w:tblLook w:val="06A0" w:firstRow="1" w:lastRow="0" w:firstColumn="1" w:lastColumn="0" w:noHBand="1" w:noVBand="1"/>
      </w:tblPr>
      <w:tblGrid>
        <w:gridCol w:w="4410"/>
        <w:gridCol w:w="4280"/>
      </w:tblGrid>
      <w:tr w:rsidR="002B1D2B" w:rsidRPr="00E9146E" w14:paraId="27666100" w14:textId="77777777" w:rsidTr="002B1D2B">
        <w:tc>
          <w:tcPr>
            <w:tcW w:w="4410" w:type="dxa"/>
          </w:tcPr>
          <w:p w14:paraId="7A3C4EB7" w14:textId="1683DCC7" w:rsidR="002B1D2B" w:rsidRPr="00E9146E"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17</w:t>
            </w:r>
          </w:p>
        </w:tc>
        <w:tc>
          <w:tcPr>
            <w:tcW w:w="4280" w:type="dxa"/>
          </w:tcPr>
          <w:p w14:paraId="76A4B2A5" w14:textId="77777777" w:rsidR="002B1D2B" w:rsidRDefault="002B1D2B" w:rsidP="00B93410">
            <w:pPr>
              <w:rPr>
                <w:rFonts w:ascii="Aptos" w:eastAsia="Segoe UI" w:hAnsi="Aptos" w:cs="Segoe UI"/>
                <w:color w:val="0F1115"/>
                <w:sz w:val="18"/>
                <w:szCs w:val="18"/>
                <w:lang w:val="es-ES"/>
              </w:rPr>
            </w:pPr>
          </w:p>
        </w:tc>
      </w:tr>
      <w:tr w:rsidR="002B1D2B" w:rsidRPr="00E9146E" w14:paraId="75C917A4" w14:textId="77777777" w:rsidTr="002B1D2B">
        <w:tc>
          <w:tcPr>
            <w:tcW w:w="4410" w:type="dxa"/>
          </w:tcPr>
          <w:p w14:paraId="15C1BDAA"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 xml:space="preserve">English </w:t>
            </w:r>
          </w:p>
        </w:tc>
        <w:tc>
          <w:tcPr>
            <w:tcW w:w="4280" w:type="dxa"/>
          </w:tcPr>
          <w:p w14:paraId="66B98250" w14:textId="7D7CB77A" w:rsidR="002B1D2B" w:rsidRPr="00E9146E"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E9146E" w14:paraId="4E7D05C3" w14:textId="77777777" w:rsidTr="002B1D2B">
        <w:tc>
          <w:tcPr>
            <w:tcW w:w="4410" w:type="dxa"/>
          </w:tcPr>
          <w:p w14:paraId="795BC922" w14:textId="77777777" w:rsidR="002B1D2B" w:rsidRPr="00E9146E" w:rsidRDefault="002B1D2B" w:rsidP="00B93410">
            <w:pPr>
              <w:rPr>
                <w:rFonts w:ascii="Aptos" w:hAnsi="Aptos"/>
                <w:sz w:val="18"/>
                <w:szCs w:val="18"/>
                <w:lang w:val="es-ES"/>
              </w:rPr>
            </w:pPr>
            <w:proofErr w:type="spellStart"/>
            <w:r w:rsidRPr="00E9146E">
              <w:rPr>
                <w:rFonts w:ascii="Aptos" w:eastAsia="Segoe UI" w:hAnsi="Aptos" w:cs="Segoe UI"/>
                <w:color w:val="0F1115"/>
                <w:sz w:val="18"/>
                <w:szCs w:val="18"/>
                <w:lang w:val="es-ES"/>
              </w:rPr>
              <w:t>Region</w:t>
            </w:r>
            <w:proofErr w:type="spellEnd"/>
          </w:p>
        </w:tc>
        <w:tc>
          <w:tcPr>
            <w:tcW w:w="4280" w:type="dxa"/>
          </w:tcPr>
          <w:p w14:paraId="7BB449B8"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Región</w:t>
            </w:r>
          </w:p>
        </w:tc>
      </w:tr>
      <w:tr w:rsidR="002B1D2B" w:rsidRPr="00E9146E" w14:paraId="39B1AA3A" w14:textId="77777777" w:rsidTr="002B1D2B">
        <w:tc>
          <w:tcPr>
            <w:tcW w:w="4410" w:type="dxa"/>
          </w:tcPr>
          <w:p w14:paraId="62A73CD8"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African States</w:t>
            </w:r>
          </w:p>
        </w:tc>
        <w:tc>
          <w:tcPr>
            <w:tcW w:w="4280" w:type="dxa"/>
          </w:tcPr>
          <w:p w14:paraId="46C2C94F"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Estados de África</w:t>
            </w:r>
          </w:p>
        </w:tc>
      </w:tr>
      <w:tr w:rsidR="002B1D2B" w:rsidRPr="00E9146E" w14:paraId="478E4840" w14:textId="77777777" w:rsidTr="002B1D2B">
        <w:tc>
          <w:tcPr>
            <w:tcW w:w="4410" w:type="dxa"/>
          </w:tcPr>
          <w:p w14:paraId="6F884EF2"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Asia- Pacific States</w:t>
            </w:r>
          </w:p>
        </w:tc>
        <w:tc>
          <w:tcPr>
            <w:tcW w:w="4280" w:type="dxa"/>
          </w:tcPr>
          <w:p w14:paraId="1E9EA78B"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Estados de Asia y el Pacífico</w:t>
            </w:r>
          </w:p>
        </w:tc>
      </w:tr>
      <w:tr w:rsidR="002B1D2B" w:rsidRPr="00E9146E" w14:paraId="501AD99B" w14:textId="77777777" w:rsidTr="002B1D2B">
        <w:tc>
          <w:tcPr>
            <w:tcW w:w="4410" w:type="dxa"/>
          </w:tcPr>
          <w:p w14:paraId="3B00E054" w14:textId="77777777" w:rsidR="002B1D2B" w:rsidRPr="00E9146E" w:rsidRDefault="002B1D2B" w:rsidP="00B93410">
            <w:pPr>
              <w:rPr>
                <w:rFonts w:ascii="Aptos" w:hAnsi="Aptos"/>
                <w:sz w:val="18"/>
                <w:szCs w:val="18"/>
                <w:lang w:val="en-US"/>
              </w:rPr>
            </w:pPr>
            <w:r w:rsidRPr="00E9146E">
              <w:rPr>
                <w:rFonts w:ascii="Aptos" w:eastAsia="Segoe UI" w:hAnsi="Aptos" w:cs="Segoe UI"/>
                <w:color w:val="0F1115"/>
                <w:sz w:val="18"/>
                <w:szCs w:val="18"/>
                <w:lang w:val="en-US"/>
              </w:rPr>
              <w:t>Latin American and Caribbean States</w:t>
            </w:r>
          </w:p>
        </w:tc>
        <w:tc>
          <w:tcPr>
            <w:tcW w:w="4280" w:type="dxa"/>
          </w:tcPr>
          <w:p w14:paraId="3D3908FE"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Estados de América Latina y el Caribe</w:t>
            </w:r>
          </w:p>
        </w:tc>
      </w:tr>
      <w:tr w:rsidR="002B1D2B" w:rsidRPr="00E9146E" w14:paraId="601CF83A" w14:textId="77777777" w:rsidTr="002B1D2B">
        <w:tc>
          <w:tcPr>
            <w:tcW w:w="4410" w:type="dxa"/>
          </w:tcPr>
          <w:p w14:paraId="70274BB5"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Eastern European States</w:t>
            </w:r>
          </w:p>
        </w:tc>
        <w:tc>
          <w:tcPr>
            <w:tcW w:w="4280" w:type="dxa"/>
          </w:tcPr>
          <w:p w14:paraId="389FA8D6"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Estados de Europa Oriental</w:t>
            </w:r>
          </w:p>
        </w:tc>
      </w:tr>
      <w:tr w:rsidR="002B1D2B" w:rsidRPr="00E9146E" w14:paraId="6E125498" w14:textId="77777777" w:rsidTr="002B1D2B">
        <w:tc>
          <w:tcPr>
            <w:tcW w:w="4410" w:type="dxa"/>
          </w:tcPr>
          <w:p w14:paraId="069D7316" w14:textId="77777777" w:rsidR="002B1D2B" w:rsidRPr="00E9146E" w:rsidRDefault="002B1D2B" w:rsidP="00B93410">
            <w:pPr>
              <w:rPr>
                <w:rFonts w:ascii="Aptos" w:hAnsi="Aptos"/>
                <w:sz w:val="18"/>
                <w:szCs w:val="18"/>
                <w:lang w:val="en-US"/>
              </w:rPr>
            </w:pPr>
            <w:r w:rsidRPr="00E9146E">
              <w:rPr>
                <w:rFonts w:ascii="Aptos" w:eastAsia="Segoe UI" w:hAnsi="Aptos" w:cs="Segoe UI"/>
                <w:color w:val="0F1115"/>
                <w:sz w:val="18"/>
                <w:szCs w:val="18"/>
                <w:lang w:val="en-US"/>
              </w:rPr>
              <w:t>Western European and other States</w:t>
            </w:r>
          </w:p>
        </w:tc>
        <w:tc>
          <w:tcPr>
            <w:tcW w:w="4280" w:type="dxa"/>
          </w:tcPr>
          <w:p w14:paraId="00C704DD"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Estados de Europa Occidental y otros Estados</w:t>
            </w:r>
          </w:p>
        </w:tc>
      </w:tr>
      <w:tr w:rsidR="002B1D2B" w:rsidRPr="00E9146E" w14:paraId="55D1D005" w14:textId="77777777" w:rsidTr="002B1D2B">
        <w:tc>
          <w:tcPr>
            <w:tcW w:w="4410" w:type="dxa"/>
          </w:tcPr>
          <w:p w14:paraId="65A13BDE"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0%</w:t>
            </w:r>
          </w:p>
        </w:tc>
        <w:tc>
          <w:tcPr>
            <w:tcW w:w="4280" w:type="dxa"/>
          </w:tcPr>
          <w:p w14:paraId="2B617BA9"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0 %</w:t>
            </w:r>
          </w:p>
        </w:tc>
      </w:tr>
      <w:tr w:rsidR="002B1D2B" w:rsidRPr="00E9146E" w14:paraId="61FBF24B" w14:textId="77777777" w:rsidTr="002B1D2B">
        <w:tc>
          <w:tcPr>
            <w:tcW w:w="4410" w:type="dxa"/>
          </w:tcPr>
          <w:p w14:paraId="6D2157CD"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25%</w:t>
            </w:r>
          </w:p>
        </w:tc>
        <w:tc>
          <w:tcPr>
            <w:tcW w:w="4280" w:type="dxa"/>
          </w:tcPr>
          <w:p w14:paraId="26B0A6CE"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25 %</w:t>
            </w:r>
          </w:p>
        </w:tc>
      </w:tr>
      <w:tr w:rsidR="002B1D2B" w:rsidRPr="00E9146E" w14:paraId="159DC638" w14:textId="77777777" w:rsidTr="002B1D2B">
        <w:tc>
          <w:tcPr>
            <w:tcW w:w="4410" w:type="dxa"/>
          </w:tcPr>
          <w:p w14:paraId="06E60173"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50%</w:t>
            </w:r>
          </w:p>
        </w:tc>
        <w:tc>
          <w:tcPr>
            <w:tcW w:w="4280" w:type="dxa"/>
          </w:tcPr>
          <w:p w14:paraId="74846183"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50 %</w:t>
            </w:r>
          </w:p>
        </w:tc>
      </w:tr>
      <w:tr w:rsidR="002B1D2B" w:rsidRPr="00E9146E" w14:paraId="57EB6954" w14:textId="77777777" w:rsidTr="002B1D2B">
        <w:tc>
          <w:tcPr>
            <w:tcW w:w="4410" w:type="dxa"/>
          </w:tcPr>
          <w:p w14:paraId="42848CFE"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lastRenderedPageBreak/>
              <w:t>75%</w:t>
            </w:r>
          </w:p>
        </w:tc>
        <w:tc>
          <w:tcPr>
            <w:tcW w:w="4280" w:type="dxa"/>
          </w:tcPr>
          <w:p w14:paraId="0F234A70"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75 %</w:t>
            </w:r>
          </w:p>
        </w:tc>
      </w:tr>
      <w:tr w:rsidR="002B1D2B" w:rsidRPr="00E9146E" w14:paraId="689552EE" w14:textId="77777777" w:rsidTr="002B1D2B">
        <w:tc>
          <w:tcPr>
            <w:tcW w:w="4410" w:type="dxa"/>
          </w:tcPr>
          <w:p w14:paraId="64781F8F"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100%</w:t>
            </w:r>
          </w:p>
        </w:tc>
        <w:tc>
          <w:tcPr>
            <w:tcW w:w="4280" w:type="dxa"/>
          </w:tcPr>
          <w:p w14:paraId="1B3C04EA"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100 %</w:t>
            </w:r>
          </w:p>
        </w:tc>
      </w:tr>
      <w:tr w:rsidR="002B1D2B" w:rsidRPr="00E9146E" w14:paraId="5AC688C9" w14:textId="77777777" w:rsidTr="002B1D2B">
        <w:tc>
          <w:tcPr>
            <w:tcW w:w="4410" w:type="dxa"/>
          </w:tcPr>
          <w:p w14:paraId="3D4D75A3" w14:textId="77777777" w:rsidR="002B1D2B" w:rsidRPr="00E9146E" w:rsidRDefault="002B1D2B" w:rsidP="00B93410">
            <w:pPr>
              <w:rPr>
                <w:rFonts w:ascii="Aptos" w:hAnsi="Aptos"/>
                <w:sz w:val="18"/>
                <w:szCs w:val="18"/>
                <w:lang w:val="es-ES"/>
              </w:rPr>
            </w:pPr>
            <w:proofErr w:type="spellStart"/>
            <w:r w:rsidRPr="00E9146E">
              <w:rPr>
                <w:rFonts w:ascii="Aptos" w:eastAsia="Segoe UI" w:hAnsi="Aptos" w:cs="Segoe UI"/>
                <w:color w:val="0F1115"/>
                <w:sz w:val="18"/>
                <w:szCs w:val="18"/>
                <w:lang w:val="es-ES"/>
              </w:rPr>
              <w:t>Proportion</w:t>
            </w:r>
            <w:proofErr w:type="spellEnd"/>
          </w:p>
        </w:tc>
        <w:tc>
          <w:tcPr>
            <w:tcW w:w="4280" w:type="dxa"/>
          </w:tcPr>
          <w:p w14:paraId="15398596"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Proporción</w:t>
            </w:r>
          </w:p>
        </w:tc>
      </w:tr>
      <w:tr w:rsidR="002B1D2B" w:rsidRPr="00E9146E" w14:paraId="1B866BF4" w14:textId="77777777" w:rsidTr="002B1D2B">
        <w:tc>
          <w:tcPr>
            <w:tcW w:w="4410" w:type="dxa"/>
          </w:tcPr>
          <w:p w14:paraId="2AA2B47E"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 xml:space="preserve">Current </w:t>
            </w:r>
            <w:proofErr w:type="gramStart"/>
            <w:r w:rsidRPr="00E9146E">
              <w:rPr>
                <w:rFonts w:ascii="Aptos" w:eastAsia="Segoe UI" w:hAnsi="Aptos" w:cs="Segoe UI"/>
                <w:color w:val="0F1115"/>
                <w:sz w:val="18"/>
                <w:szCs w:val="18"/>
                <w:lang w:val="es-ES"/>
              </w:rPr>
              <w:t>Status</w:t>
            </w:r>
            <w:proofErr w:type="gramEnd"/>
          </w:p>
        </w:tc>
        <w:tc>
          <w:tcPr>
            <w:tcW w:w="4280" w:type="dxa"/>
          </w:tcPr>
          <w:p w14:paraId="2D511B05"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Estado actual</w:t>
            </w:r>
          </w:p>
        </w:tc>
      </w:tr>
      <w:tr w:rsidR="002B1D2B" w:rsidRPr="00E9146E" w14:paraId="6CCCA91D" w14:textId="77777777" w:rsidTr="002B1D2B">
        <w:tc>
          <w:tcPr>
            <w:tcW w:w="4410" w:type="dxa"/>
          </w:tcPr>
          <w:p w14:paraId="7F12F3F7" w14:textId="77777777" w:rsidR="002B1D2B" w:rsidRPr="00E9146E" w:rsidRDefault="002B1D2B" w:rsidP="00B93410">
            <w:pPr>
              <w:rPr>
                <w:rFonts w:ascii="Aptos" w:hAnsi="Aptos"/>
                <w:sz w:val="18"/>
                <w:szCs w:val="18"/>
                <w:lang w:val="es-ES"/>
              </w:rPr>
            </w:pPr>
            <w:proofErr w:type="spellStart"/>
            <w:r w:rsidRPr="00E9146E">
              <w:rPr>
                <w:rFonts w:ascii="Aptos" w:eastAsia="Segoe UI" w:hAnsi="Aptos" w:cs="Segoe UI"/>
                <w:color w:val="0F1115"/>
                <w:sz w:val="18"/>
                <w:szCs w:val="18"/>
                <w:lang w:val="es-ES"/>
              </w:rPr>
              <w:t>improving</w:t>
            </w:r>
            <w:proofErr w:type="spellEnd"/>
          </w:p>
        </w:tc>
        <w:tc>
          <w:tcPr>
            <w:tcW w:w="4280" w:type="dxa"/>
          </w:tcPr>
          <w:p w14:paraId="38FA138C"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mejorando</w:t>
            </w:r>
          </w:p>
        </w:tc>
      </w:tr>
      <w:tr w:rsidR="002B1D2B" w:rsidRPr="00E9146E" w14:paraId="567400BA" w14:textId="77777777" w:rsidTr="002B1D2B">
        <w:tc>
          <w:tcPr>
            <w:tcW w:w="4410" w:type="dxa"/>
          </w:tcPr>
          <w:p w14:paraId="1E7D7EAF" w14:textId="77777777" w:rsidR="002B1D2B" w:rsidRPr="00E9146E" w:rsidRDefault="002B1D2B" w:rsidP="00B93410">
            <w:pPr>
              <w:rPr>
                <w:rFonts w:ascii="Aptos" w:hAnsi="Aptos"/>
                <w:sz w:val="18"/>
                <w:szCs w:val="18"/>
                <w:lang w:val="es-ES"/>
              </w:rPr>
            </w:pPr>
            <w:proofErr w:type="spellStart"/>
            <w:r w:rsidRPr="00E9146E">
              <w:rPr>
                <w:rFonts w:ascii="Aptos" w:eastAsia="Segoe UI" w:hAnsi="Aptos" w:cs="Segoe UI"/>
                <w:color w:val="0F1115"/>
                <w:sz w:val="18"/>
                <w:szCs w:val="18"/>
                <w:lang w:val="es-ES"/>
              </w:rPr>
              <w:t>stable</w:t>
            </w:r>
            <w:proofErr w:type="spellEnd"/>
          </w:p>
        </w:tc>
        <w:tc>
          <w:tcPr>
            <w:tcW w:w="4280" w:type="dxa"/>
          </w:tcPr>
          <w:p w14:paraId="4748FF39"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estable</w:t>
            </w:r>
          </w:p>
        </w:tc>
      </w:tr>
      <w:tr w:rsidR="002B1D2B" w:rsidRPr="00E9146E" w14:paraId="1E07F3DF" w14:textId="77777777" w:rsidTr="002B1D2B">
        <w:tc>
          <w:tcPr>
            <w:tcW w:w="4410" w:type="dxa"/>
          </w:tcPr>
          <w:p w14:paraId="0AED31C0" w14:textId="77777777" w:rsidR="002B1D2B" w:rsidRPr="00E9146E" w:rsidRDefault="002B1D2B" w:rsidP="00B93410">
            <w:pPr>
              <w:rPr>
                <w:rFonts w:ascii="Aptos" w:hAnsi="Aptos"/>
                <w:sz w:val="18"/>
                <w:szCs w:val="18"/>
                <w:lang w:val="es-ES"/>
              </w:rPr>
            </w:pPr>
            <w:proofErr w:type="spellStart"/>
            <w:r w:rsidRPr="00E9146E">
              <w:rPr>
                <w:rFonts w:ascii="Aptos" w:eastAsia="Segoe UI" w:hAnsi="Aptos" w:cs="Segoe UI"/>
                <w:color w:val="0F1115"/>
                <w:sz w:val="18"/>
                <w:szCs w:val="18"/>
                <w:lang w:val="es-ES"/>
              </w:rPr>
              <w:t>moving</w:t>
            </w:r>
            <w:proofErr w:type="spellEnd"/>
            <w:r w:rsidRPr="00E9146E">
              <w:rPr>
                <w:rFonts w:ascii="Aptos" w:eastAsia="Segoe UI" w:hAnsi="Aptos" w:cs="Segoe UI"/>
                <w:color w:val="0F1115"/>
                <w:sz w:val="18"/>
                <w:szCs w:val="18"/>
                <w:lang w:val="es-ES"/>
              </w:rPr>
              <w:t xml:space="preserve"> </w:t>
            </w:r>
            <w:proofErr w:type="spellStart"/>
            <w:r w:rsidRPr="00E9146E">
              <w:rPr>
                <w:rFonts w:ascii="Aptos" w:eastAsia="Segoe UI" w:hAnsi="Aptos" w:cs="Segoe UI"/>
                <w:color w:val="0F1115"/>
                <w:sz w:val="18"/>
                <w:szCs w:val="18"/>
                <w:lang w:val="es-ES"/>
              </w:rPr>
              <w:t>away</w:t>
            </w:r>
            <w:proofErr w:type="spellEnd"/>
          </w:p>
        </w:tc>
        <w:tc>
          <w:tcPr>
            <w:tcW w:w="4280" w:type="dxa"/>
          </w:tcPr>
          <w:p w14:paraId="433687E3" w14:textId="77777777" w:rsidR="002B1D2B" w:rsidRPr="00E9146E" w:rsidRDefault="002B1D2B" w:rsidP="00B93410">
            <w:pPr>
              <w:rPr>
                <w:rFonts w:ascii="Aptos" w:hAnsi="Aptos"/>
                <w:sz w:val="18"/>
                <w:szCs w:val="18"/>
                <w:lang w:val="es-ES"/>
              </w:rPr>
            </w:pPr>
            <w:r w:rsidRPr="00E9146E">
              <w:rPr>
                <w:rFonts w:ascii="Aptos" w:hAnsi="Aptos"/>
                <w:color w:val="0F1115"/>
                <w:sz w:val="18"/>
                <w:szCs w:val="18"/>
                <w:lang w:val="es-ES"/>
              </w:rPr>
              <w:t>alejándose</w:t>
            </w:r>
          </w:p>
        </w:tc>
      </w:tr>
      <w:tr w:rsidR="002B1D2B" w:rsidRPr="00E9146E" w14:paraId="7726DFF8" w14:textId="77777777" w:rsidTr="002B1D2B">
        <w:tc>
          <w:tcPr>
            <w:tcW w:w="4410" w:type="dxa"/>
          </w:tcPr>
          <w:p w14:paraId="1543A3B4" w14:textId="77777777" w:rsidR="002B1D2B" w:rsidRPr="00E9146E" w:rsidRDefault="002B1D2B" w:rsidP="00B93410">
            <w:pPr>
              <w:rPr>
                <w:rFonts w:ascii="Aptos" w:hAnsi="Aptos"/>
                <w:sz w:val="18"/>
                <w:szCs w:val="18"/>
                <w:lang w:val="es-ES"/>
              </w:rPr>
            </w:pPr>
            <w:r w:rsidRPr="00E9146E">
              <w:rPr>
                <w:rFonts w:ascii="Aptos" w:eastAsia="Segoe UI" w:hAnsi="Aptos" w:cs="Segoe UI"/>
                <w:color w:val="0F1115"/>
                <w:sz w:val="18"/>
                <w:szCs w:val="18"/>
                <w:lang w:val="es-ES"/>
              </w:rPr>
              <w:t xml:space="preserve">Party </w:t>
            </w:r>
            <w:proofErr w:type="spellStart"/>
            <w:r w:rsidRPr="00E9146E">
              <w:rPr>
                <w:rFonts w:ascii="Aptos" w:eastAsia="Segoe UI" w:hAnsi="Aptos" w:cs="Segoe UI"/>
                <w:color w:val="0F1115"/>
                <w:sz w:val="18"/>
                <w:szCs w:val="18"/>
                <w:lang w:val="es-ES"/>
              </w:rPr>
              <w:t>count</w:t>
            </w:r>
            <w:proofErr w:type="spellEnd"/>
            <w:r w:rsidRPr="00E9146E">
              <w:rPr>
                <w:rFonts w:ascii="Aptos" w:eastAsia="Segoe UI" w:hAnsi="Aptos" w:cs="Segoe UI"/>
                <w:color w:val="0F1115"/>
                <w:sz w:val="18"/>
                <w:szCs w:val="18"/>
                <w:lang w:val="es-ES"/>
              </w:rPr>
              <w:t>: 85</w:t>
            </w:r>
          </w:p>
        </w:tc>
        <w:tc>
          <w:tcPr>
            <w:tcW w:w="4280" w:type="dxa"/>
          </w:tcPr>
          <w:p w14:paraId="3E37A0F6" w14:textId="77777777" w:rsidR="002B1D2B" w:rsidRPr="00E9146E" w:rsidRDefault="002B1D2B" w:rsidP="00B93410">
            <w:pPr>
              <w:rPr>
                <w:rFonts w:ascii="Aptos" w:eastAsia="Segoe UI" w:hAnsi="Aptos" w:cs="Segoe UI"/>
                <w:color w:val="0F1115"/>
                <w:sz w:val="18"/>
                <w:szCs w:val="18"/>
                <w:lang w:val="es-ES"/>
              </w:rPr>
            </w:pPr>
            <w:r w:rsidRPr="00E9146E">
              <w:rPr>
                <w:rFonts w:ascii="Aptos" w:hAnsi="Aptos"/>
                <w:color w:val="0F1115"/>
                <w:sz w:val="18"/>
                <w:szCs w:val="18"/>
                <w:lang w:val="es-ES"/>
              </w:rPr>
              <w:t>Número de Partes: 85</w:t>
            </w:r>
          </w:p>
        </w:tc>
      </w:tr>
    </w:tbl>
    <w:p w14:paraId="60CC6A36" w14:textId="77777777" w:rsidR="00DD73CA" w:rsidRPr="005E3D50" w:rsidRDefault="00DD73CA" w:rsidP="00916B32">
      <w:pPr>
        <w:rPr>
          <w:lang w:val="es-ES"/>
        </w:rPr>
      </w:pPr>
    </w:p>
    <w:p w14:paraId="0ACD8F79" w14:textId="008D175E" w:rsidR="006C0F01" w:rsidRPr="005E3D50" w:rsidRDefault="006C0F01" w:rsidP="00A1328A">
      <w:pPr>
        <w:pStyle w:val="Heading5"/>
        <w:rPr>
          <w:lang w:val="es-ES"/>
        </w:rPr>
      </w:pPr>
      <w:bookmarkStart w:id="166" w:name="_Toc235821080"/>
      <w:r w:rsidRPr="005E3D50">
        <w:rPr>
          <w:lang w:val="es-ES"/>
        </w:rPr>
        <w:t>Autoevaluación de progresos</w:t>
      </w:r>
      <w:bookmarkEnd w:id="166"/>
    </w:p>
    <w:p w14:paraId="54A5307B" w14:textId="3F193C49" w:rsidR="00846541" w:rsidRPr="005E3D50" w:rsidRDefault="00846541" w:rsidP="00846541">
      <w:pPr>
        <w:rPr>
          <w:lang w:val="es-ES"/>
        </w:rPr>
      </w:pPr>
      <w:r w:rsidRPr="005E3D50">
        <w:rPr>
          <w:lang w:val="es-ES"/>
        </w:rPr>
        <w:t xml:space="preserve">Según la autoevaluación realizada por las Partes de los progresos en el logro de cada una de sus metas nacionales, el 47 % de las metas nacionales presentadas como estrechamente armonizadas con la meta 3 están en vías de alcanzarse, mientras que el 3 % ya se alcanzaron y el 50 % muestran progresos insuficientes o ningún progreso significativo (véase la figura 18). </w:t>
      </w:r>
    </w:p>
    <w:p w14:paraId="2000E4C5" w14:textId="4A319774" w:rsidR="00742970" w:rsidRPr="005E3D50" w:rsidRDefault="00742970" w:rsidP="006C0F01">
      <w:pPr>
        <w:rPr>
          <w:rFonts w:ascii="Aptos" w:hAnsi="Aptos"/>
          <w:lang w:val="es-ES"/>
        </w:rPr>
      </w:pPr>
      <w:bookmarkStart w:id="167" w:name="_Ref230618391"/>
      <w:r w:rsidRPr="005E3D50">
        <w:rPr>
          <w:rFonts w:ascii="Aptos" w:hAnsi="Aptos"/>
          <w:sz w:val="20"/>
          <w:szCs w:val="20"/>
          <w:lang w:val="es-ES"/>
        </w:rPr>
        <w:t>Figura 18</w:t>
      </w:r>
      <w:bookmarkEnd w:id="167"/>
      <w:r w:rsidRPr="005E3D50">
        <w:rPr>
          <w:rFonts w:ascii="Aptos" w:hAnsi="Aptos"/>
          <w:lang w:val="es-ES"/>
        </w:rPr>
        <w:t xml:space="preserve"> </w:t>
      </w:r>
    </w:p>
    <w:p w14:paraId="4BF36CE3" w14:textId="2D7BE25B" w:rsidR="00846541" w:rsidRPr="005E3D50" w:rsidRDefault="00742970" w:rsidP="006C0F01">
      <w:pPr>
        <w:rPr>
          <w:rStyle w:val="normaltextrun"/>
          <w:rFonts w:ascii="Aptos" w:hAnsi="Aptos"/>
          <w:b/>
          <w:sz w:val="20"/>
          <w:szCs w:val="20"/>
          <w:lang w:val="es-ES"/>
        </w:rPr>
      </w:pPr>
      <w:r w:rsidRPr="005E3D50">
        <w:rPr>
          <w:rFonts w:ascii="Aptos" w:hAnsi="Aptos"/>
          <w:b/>
          <w:bCs/>
          <w:sz w:val="20"/>
          <w:szCs w:val="20"/>
          <w:lang w:val="es-ES"/>
        </w:rPr>
        <w:t>Progresos indicados por las autoevaluaciones para todas las metas nacionales presentadas como estrechamente armonizadas con la meta 3 del Marco</w:t>
      </w:r>
    </w:p>
    <w:p w14:paraId="152BBB59" w14:textId="77777777" w:rsidR="00742970" w:rsidRPr="005E3D50" w:rsidRDefault="00742970" w:rsidP="006C0F01">
      <w:pPr>
        <w:rPr>
          <w:rStyle w:val="normaltextrun"/>
          <w:rFonts w:ascii="Aptos" w:hAnsi="Aptos"/>
          <w:lang w:val="es-ES"/>
        </w:rPr>
      </w:pPr>
    </w:p>
    <w:p w14:paraId="0DF0C596" w14:textId="4E82BC2B" w:rsidR="00286EB4" w:rsidRPr="005E3D50" w:rsidRDefault="00E576B8" w:rsidP="006C0F01">
      <w:pPr>
        <w:rPr>
          <w:rStyle w:val="normaltextrun"/>
          <w:rFonts w:ascii="Aptos" w:hAnsi="Aptos"/>
          <w:lang w:val="es-ES"/>
        </w:rPr>
      </w:pPr>
      <w:r w:rsidRPr="005E3D50">
        <w:rPr>
          <w:rFonts w:ascii="Aptos" w:hAnsi="Aptos"/>
          <w:noProof/>
          <w:lang w:val="en-US"/>
        </w:rPr>
        <w:drawing>
          <wp:inline distT="0" distB="0" distL="0" distR="0" wp14:anchorId="26BC29BE" wp14:editId="1B9A382A">
            <wp:extent cx="5731510" cy="2292350"/>
            <wp:effectExtent l="0" t="0" r="0" b="6350"/>
            <wp:docPr id="137538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81267" name="Picture 137538126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A3B27C4" w14:textId="77777777" w:rsidR="001416C4" w:rsidRPr="005E3D50" w:rsidRDefault="001416C4" w:rsidP="001416C4">
      <w:pPr>
        <w:pStyle w:val="Caption"/>
        <w:rPr>
          <w:i w:val="0"/>
          <w:iCs w:val="0"/>
          <w:sz w:val="16"/>
          <w:szCs w:val="16"/>
          <w:lang w:val="es-ES"/>
        </w:rPr>
      </w:pPr>
      <w:r w:rsidRPr="005E3D50">
        <w:rPr>
          <w:sz w:val="16"/>
          <w:szCs w:val="16"/>
          <w:lang w:val="es-ES"/>
        </w:rPr>
        <w:t>Nota:</w:t>
      </w:r>
      <w:r w:rsidRPr="005E3D50">
        <w:rPr>
          <w:i w:val="0"/>
          <w:iCs w:val="0"/>
          <w:sz w:val="16"/>
          <w:szCs w:val="16"/>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 </w:t>
      </w:r>
      <w:r w:rsidRPr="005E3D50">
        <w:rPr>
          <w:rFonts w:ascii="Aptos" w:hAnsi="Aptos"/>
          <w:i w:val="0"/>
          <w:iCs w:val="0"/>
          <w:sz w:val="16"/>
          <w:szCs w:val="16"/>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8821" w:type="dxa"/>
        <w:tblLook w:val="06A0" w:firstRow="1" w:lastRow="0" w:firstColumn="1" w:lastColumn="0" w:noHBand="1" w:noVBand="1"/>
      </w:tblPr>
      <w:tblGrid>
        <w:gridCol w:w="4140"/>
        <w:gridCol w:w="4681"/>
      </w:tblGrid>
      <w:tr w:rsidR="002B1D2B" w:rsidRPr="00E944B1" w14:paraId="623D3C09" w14:textId="77777777" w:rsidTr="00CB6671">
        <w:tc>
          <w:tcPr>
            <w:tcW w:w="8821" w:type="dxa"/>
            <w:gridSpan w:val="2"/>
          </w:tcPr>
          <w:p w14:paraId="123DA706" w14:textId="48741746"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18</w:t>
            </w:r>
          </w:p>
        </w:tc>
      </w:tr>
      <w:tr w:rsidR="002B1D2B" w:rsidRPr="00E944B1" w14:paraId="16AE6A60" w14:textId="77777777" w:rsidTr="002B1D2B">
        <w:tc>
          <w:tcPr>
            <w:tcW w:w="4140" w:type="dxa"/>
          </w:tcPr>
          <w:p w14:paraId="3135A7E4"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 xml:space="preserve">English </w:t>
            </w:r>
          </w:p>
        </w:tc>
        <w:tc>
          <w:tcPr>
            <w:tcW w:w="4681" w:type="dxa"/>
          </w:tcPr>
          <w:p w14:paraId="14F50430" w14:textId="3E42F145" w:rsidR="002B1D2B" w:rsidRPr="00E62B0D"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E944B1" w14:paraId="27886CB7" w14:textId="77777777" w:rsidTr="002B1D2B">
        <w:tc>
          <w:tcPr>
            <w:tcW w:w="4140" w:type="dxa"/>
          </w:tcPr>
          <w:p w14:paraId="6737E33E" w14:textId="77777777" w:rsidR="002B1D2B" w:rsidRPr="00E62B0D" w:rsidRDefault="002B1D2B" w:rsidP="00B93410">
            <w:pPr>
              <w:rPr>
                <w:rFonts w:ascii="Aptos" w:hAnsi="Aptos"/>
                <w:sz w:val="18"/>
                <w:szCs w:val="18"/>
                <w:lang w:val="es-ES"/>
              </w:rPr>
            </w:pPr>
            <w:proofErr w:type="spellStart"/>
            <w:r w:rsidRPr="00E62B0D">
              <w:rPr>
                <w:rFonts w:ascii="Aptos" w:eastAsia="Segoe UI" w:hAnsi="Aptos" w:cs="Segoe UI"/>
                <w:color w:val="0F1115"/>
                <w:sz w:val="18"/>
                <w:szCs w:val="18"/>
                <w:lang w:val="es-ES"/>
              </w:rPr>
              <w:t>Region</w:t>
            </w:r>
            <w:proofErr w:type="spellEnd"/>
          </w:p>
        </w:tc>
        <w:tc>
          <w:tcPr>
            <w:tcW w:w="4681" w:type="dxa"/>
          </w:tcPr>
          <w:p w14:paraId="74ACE2DF"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Región</w:t>
            </w:r>
          </w:p>
        </w:tc>
      </w:tr>
      <w:tr w:rsidR="002B1D2B" w:rsidRPr="00E944B1" w14:paraId="55C26C20" w14:textId="77777777" w:rsidTr="002B1D2B">
        <w:tc>
          <w:tcPr>
            <w:tcW w:w="4140" w:type="dxa"/>
          </w:tcPr>
          <w:p w14:paraId="45767DD0"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African States</w:t>
            </w:r>
          </w:p>
        </w:tc>
        <w:tc>
          <w:tcPr>
            <w:tcW w:w="4681" w:type="dxa"/>
          </w:tcPr>
          <w:p w14:paraId="42B93210"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Estados de África</w:t>
            </w:r>
          </w:p>
        </w:tc>
      </w:tr>
      <w:tr w:rsidR="002B1D2B" w:rsidRPr="00E944B1" w14:paraId="7718ACCD" w14:textId="77777777" w:rsidTr="002B1D2B">
        <w:tc>
          <w:tcPr>
            <w:tcW w:w="4140" w:type="dxa"/>
          </w:tcPr>
          <w:p w14:paraId="01267264"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Asia- Pacific States</w:t>
            </w:r>
          </w:p>
        </w:tc>
        <w:tc>
          <w:tcPr>
            <w:tcW w:w="4681" w:type="dxa"/>
          </w:tcPr>
          <w:p w14:paraId="0917F4D8"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Estados de Asia y el Pacífico</w:t>
            </w:r>
          </w:p>
        </w:tc>
      </w:tr>
      <w:tr w:rsidR="002B1D2B" w:rsidRPr="00E944B1" w14:paraId="157A0C89" w14:textId="77777777" w:rsidTr="002B1D2B">
        <w:tc>
          <w:tcPr>
            <w:tcW w:w="4140" w:type="dxa"/>
          </w:tcPr>
          <w:p w14:paraId="028E9B3A" w14:textId="77777777" w:rsidR="002B1D2B" w:rsidRPr="00E62B0D" w:rsidRDefault="002B1D2B" w:rsidP="00B93410">
            <w:pPr>
              <w:rPr>
                <w:rFonts w:ascii="Aptos" w:hAnsi="Aptos"/>
                <w:sz w:val="18"/>
                <w:szCs w:val="18"/>
                <w:lang w:val="en-US"/>
              </w:rPr>
            </w:pPr>
            <w:r w:rsidRPr="00E62B0D">
              <w:rPr>
                <w:rFonts w:ascii="Aptos" w:eastAsia="Segoe UI" w:hAnsi="Aptos" w:cs="Segoe UI"/>
                <w:color w:val="0F1115"/>
                <w:sz w:val="18"/>
                <w:szCs w:val="18"/>
                <w:lang w:val="en-US"/>
              </w:rPr>
              <w:t>Latin American and Caribbean States</w:t>
            </w:r>
          </w:p>
        </w:tc>
        <w:tc>
          <w:tcPr>
            <w:tcW w:w="4681" w:type="dxa"/>
          </w:tcPr>
          <w:p w14:paraId="73155C12"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Estados de América Latina y el Caribe</w:t>
            </w:r>
          </w:p>
        </w:tc>
      </w:tr>
      <w:tr w:rsidR="002B1D2B" w:rsidRPr="00E944B1" w14:paraId="0BA8490C" w14:textId="77777777" w:rsidTr="002B1D2B">
        <w:tc>
          <w:tcPr>
            <w:tcW w:w="4140" w:type="dxa"/>
          </w:tcPr>
          <w:p w14:paraId="5454729F"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lastRenderedPageBreak/>
              <w:t>Eastern European States</w:t>
            </w:r>
          </w:p>
        </w:tc>
        <w:tc>
          <w:tcPr>
            <w:tcW w:w="4681" w:type="dxa"/>
          </w:tcPr>
          <w:p w14:paraId="599030AD"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Estados de Europa Oriental</w:t>
            </w:r>
          </w:p>
        </w:tc>
      </w:tr>
      <w:tr w:rsidR="002B1D2B" w:rsidRPr="00E944B1" w14:paraId="5EFEBD26" w14:textId="77777777" w:rsidTr="002B1D2B">
        <w:tc>
          <w:tcPr>
            <w:tcW w:w="4140" w:type="dxa"/>
          </w:tcPr>
          <w:p w14:paraId="73FAC445" w14:textId="77777777" w:rsidR="002B1D2B" w:rsidRPr="00E62B0D" w:rsidRDefault="002B1D2B" w:rsidP="00B93410">
            <w:pPr>
              <w:rPr>
                <w:rFonts w:ascii="Aptos" w:hAnsi="Aptos"/>
                <w:sz w:val="18"/>
                <w:szCs w:val="18"/>
                <w:lang w:val="en-US"/>
              </w:rPr>
            </w:pPr>
            <w:r w:rsidRPr="00E62B0D">
              <w:rPr>
                <w:rFonts w:ascii="Aptos" w:eastAsia="Segoe UI" w:hAnsi="Aptos" w:cs="Segoe UI"/>
                <w:color w:val="0F1115"/>
                <w:sz w:val="18"/>
                <w:szCs w:val="18"/>
                <w:lang w:val="en-US"/>
              </w:rPr>
              <w:t>Western European and other States</w:t>
            </w:r>
          </w:p>
        </w:tc>
        <w:tc>
          <w:tcPr>
            <w:tcW w:w="4681" w:type="dxa"/>
          </w:tcPr>
          <w:p w14:paraId="0730321A"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Estados de Europa Occidental y otros Estados</w:t>
            </w:r>
          </w:p>
        </w:tc>
      </w:tr>
      <w:tr w:rsidR="002B1D2B" w:rsidRPr="00E944B1" w14:paraId="2B6DFCD2" w14:textId="77777777" w:rsidTr="002B1D2B">
        <w:tc>
          <w:tcPr>
            <w:tcW w:w="4140" w:type="dxa"/>
          </w:tcPr>
          <w:p w14:paraId="60A9FA97"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0%</w:t>
            </w:r>
          </w:p>
        </w:tc>
        <w:tc>
          <w:tcPr>
            <w:tcW w:w="4681" w:type="dxa"/>
          </w:tcPr>
          <w:p w14:paraId="4DD2CF78"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0 %</w:t>
            </w:r>
          </w:p>
        </w:tc>
      </w:tr>
      <w:tr w:rsidR="002B1D2B" w:rsidRPr="00E944B1" w14:paraId="34B95750" w14:textId="77777777" w:rsidTr="002B1D2B">
        <w:tc>
          <w:tcPr>
            <w:tcW w:w="4140" w:type="dxa"/>
          </w:tcPr>
          <w:p w14:paraId="5CA201F9"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25%</w:t>
            </w:r>
          </w:p>
        </w:tc>
        <w:tc>
          <w:tcPr>
            <w:tcW w:w="4681" w:type="dxa"/>
          </w:tcPr>
          <w:p w14:paraId="6A936C94"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25 %</w:t>
            </w:r>
          </w:p>
        </w:tc>
      </w:tr>
      <w:tr w:rsidR="002B1D2B" w:rsidRPr="00E944B1" w14:paraId="3B84C637" w14:textId="77777777" w:rsidTr="002B1D2B">
        <w:tc>
          <w:tcPr>
            <w:tcW w:w="4140" w:type="dxa"/>
          </w:tcPr>
          <w:p w14:paraId="442FD9D1"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50%</w:t>
            </w:r>
          </w:p>
        </w:tc>
        <w:tc>
          <w:tcPr>
            <w:tcW w:w="4681" w:type="dxa"/>
          </w:tcPr>
          <w:p w14:paraId="732708AD"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50 %</w:t>
            </w:r>
          </w:p>
        </w:tc>
      </w:tr>
      <w:tr w:rsidR="002B1D2B" w:rsidRPr="00E944B1" w14:paraId="76591471" w14:textId="77777777" w:rsidTr="002B1D2B">
        <w:tc>
          <w:tcPr>
            <w:tcW w:w="4140" w:type="dxa"/>
          </w:tcPr>
          <w:p w14:paraId="0DAA669B"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75%</w:t>
            </w:r>
          </w:p>
        </w:tc>
        <w:tc>
          <w:tcPr>
            <w:tcW w:w="4681" w:type="dxa"/>
          </w:tcPr>
          <w:p w14:paraId="420C8BB9"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75 %</w:t>
            </w:r>
          </w:p>
        </w:tc>
      </w:tr>
      <w:tr w:rsidR="002B1D2B" w:rsidRPr="00E944B1" w14:paraId="4C7D268C" w14:textId="77777777" w:rsidTr="002B1D2B">
        <w:tc>
          <w:tcPr>
            <w:tcW w:w="4140" w:type="dxa"/>
          </w:tcPr>
          <w:p w14:paraId="7FD7D0F1"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100%</w:t>
            </w:r>
          </w:p>
        </w:tc>
        <w:tc>
          <w:tcPr>
            <w:tcW w:w="4681" w:type="dxa"/>
          </w:tcPr>
          <w:p w14:paraId="772B2025"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100 %</w:t>
            </w:r>
          </w:p>
        </w:tc>
      </w:tr>
      <w:tr w:rsidR="002B1D2B" w:rsidRPr="00E944B1" w14:paraId="1E690192" w14:textId="77777777" w:rsidTr="002B1D2B">
        <w:tc>
          <w:tcPr>
            <w:tcW w:w="4140" w:type="dxa"/>
          </w:tcPr>
          <w:p w14:paraId="4BBE61BB" w14:textId="77777777" w:rsidR="002B1D2B" w:rsidRPr="00E62B0D" w:rsidRDefault="002B1D2B" w:rsidP="00B93410">
            <w:pPr>
              <w:rPr>
                <w:rFonts w:ascii="Aptos" w:hAnsi="Aptos"/>
                <w:sz w:val="18"/>
                <w:szCs w:val="18"/>
                <w:lang w:val="es-ES"/>
              </w:rPr>
            </w:pPr>
            <w:proofErr w:type="spellStart"/>
            <w:r w:rsidRPr="00E62B0D">
              <w:rPr>
                <w:rFonts w:ascii="Aptos" w:eastAsia="Segoe UI" w:hAnsi="Aptos" w:cs="Segoe UI"/>
                <w:color w:val="0F1115"/>
                <w:sz w:val="18"/>
                <w:szCs w:val="18"/>
                <w:lang w:val="es-ES"/>
              </w:rPr>
              <w:t>Percentage</w:t>
            </w:r>
            <w:proofErr w:type="spellEnd"/>
            <w:r w:rsidRPr="00E62B0D">
              <w:rPr>
                <w:rFonts w:ascii="Aptos" w:eastAsia="Segoe UI" w:hAnsi="Aptos" w:cs="Segoe UI"/>
                <w:color w:val="0F1115"/>
                <w:sz w:val="18"/>
                <w:szCs w:val="18"/>
                <w:lang w:val="es-ES"/>
              </w:rPr>
              <w:t xml:space="preserve"> of </w:t>
            </w:r>
            <w:proofErr w:type="spellStart"/>
            <w:r w:rsidRPr="00E62B0D">
              <w:rPr>
                <w:rFonts w:ascii="Aptos" w:eastAsia="Segoe UI" w:hAnsi="Aptos" w:cs="Segoe UI"/>
                <w:color w:val="0F1115"/>
                <w:sz w:val="18"/>
                <w:szCs w:val="18"/>
                <w:lang w:val="es-ES"/>
              </w:rPr>
              <w:t>national</w:t>
            </w:r>
            <w:proofErr w:type="spellEnd"/>
            <w:r w:rsidRPr="00E62B0D">
              <w:rPr>
                <w:rFonts w:ascii="Aptos" w:eastAsia="Segoe UI" w:hAnsi="Aptos" w:cs="Segoe UI"/>
                <w:color w:val="0F1115"/>
                <w:sz w:val="18"/>
                <w:szCs w:val="18"/>
                <w:lang w:val="es-ES"/>
              </w:rPr>
              <w:t xml:space="preserve"> targets</w:t>
            </w:r>
          </w:p>
        </w:tc>
        <w:tc>
          <w:tcPr>
            <w:tcW w:w="4681" w:type="dxa"/>
          </w:tcPr>
          <w:p w14:paraId="185C0CF0"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Porcentaje de metas nacionales</w:t>
            </w:r>
          </w:p>
        </w:tc>
      </w:tr>
      <w:tr w:rsidR="002B1D2B" w:rsidRPr="00E944B1" w14:paraId="1A245B17" w14:textId="77777777" w:rsidTr="002B1D2B">
        <w:tc>
          <w:tcPr>
            <w:tcW w:w="4140" w:type="dxa"/>
          </w:tcPr>
          <w:p w14:paraId="405829C9" w14:textId="77777777" w:rsidR="002B1D2B" w:rsidRPr="00E62B0D" w:rsidRDefault="002B1D2B" w:rsidP="00B93410">
            <w:pPr>
              <w:rPr>
                <w:rFonts w:ascii="Aptos" w:hAnsi="Aptos"/>
                <w:sz w:val="18"/>
                <w:szCs w:val="18"/>
                <w:lang w:val="es-ES"/>
              </w:rPr>
            </w:pPr>
            <w:proofErr w:type="spellStart"/>
            <w:r w:rsidRPr="00E62B0D">
              <w:rPr>
                <w:rFonts w:ascii="Aptos" w:eastAsia="Segoe UI" w:hAnsi="Aptos" w:cs="Segoe UI"/>
                <w:color w:val="0F1115"/>
                <w:sz w:val="18"/>
                <w:szCs w:val="18"/>
                <w:lang w:val="es-ES"/>
              </w:rPr>
              <w:t>Progress</w:t>
            </w:r>
            <w:proofErr w:type="spellEnd"/>
            <w:r w:rsidRPr="00E62B0D">
              <w:rPr>
                <w:rFonts w:ascii="Aptos" w:eastAsia="Segoe UI" w:hAnsi="Aptos" w:cs="Segoe UI"/>
                <w:color w:val="0F1115"/>
                <w:sz w:val="18"/>
                <w:szCs w:val="18"/>
                <w:lang w:val="es-ES"/>
              </w:rPr>
              <w:t xml:space="preserve"> Level</w:t>
            </w:r>
          </w:p>
        </w:tc>
        <w:tc>
          <w:tcPr>
            <w:tcW w:w="4681" w:type="dxa"/>
          </w:tcPr>
          <w:p w14:paraId="60724094"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Nivel de progreso</w:t>
            </w:r>
          </w:p>
        </w:tc>
      </w:tr>
      <w:tr w:rsidR="002B1D2B" w:rsidRPr="00E944B1" w14:paraId="2BE93B53" w14:textId="77777777" w:rsidTr="002B1D2B">
        <w:tc>
          <w:tcPr>
            <w:tcW w:w="4140" w:type="dxa"/>
          </w:tcPr>
          <w:p w14:paraId="1856C026" w14:textId="77777777" w:rsidR="002B1D2B" w:rsidRPr="00E62B0D" w:rsidRDefault="002B1D2B" w:rsidP="00B93410">
            <w:pPr>
              <w:rPr>
                <w:rFonts w:ascii="Aptos" w:hAnsi="Aptos"/>
                <w:sz w:val="18"/>
                <w:szCs w:val="18"/>
                <w:lang w:val="es-ES"/>
              </w:rPr>
            </w:pPr>
            <w:proofErr w:type="spellStart"/>
            <w:r w:rsidRPr="00E62B0D">
              <w:rPr>
                <w:rFonts w:ascii="Aptos" w:eastAsia="Segoe UI" w:hAnsi="Aptos" w:cs="Segoe UI"/>
                <w:color w:val="0F1115"/>
                <w:sz w:val="18"/>
                <w:szCs w:val="18"/>
                <w:lang w:val="es-ES"/>
              </w:rPr>
              <w:t>Achieved</w:t>
            </w:r>
            <w:proofErr w:type="spellEnd"/>
          </w:p>
        </w:tc>
        <w:tc>
          <w:tcPr>
            <w:tcW w:w="4681" w:type="dxa"/>
          </w:tcPr>
          <w:p w14:paraId="140F5980"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Alcanzada</w:t>
            </w:r>
          </w:p>
        </w:tc>
      </w:tr>
      <w:tr w:rsidR="002B1D2B" w:rsidRPr="00E944B1" w14:paraId="3A0F57ED" w14:textId="77777777" w:rsidTr="002B1D2B">
        <w:tc>
          <w:tcPr>
            <w:tcW w:w="4140" w:type="dxa"/>
          </w:tcPr>
          <w:p w14:paraId="600146D2" w14:textId="77777777" w:rsidR="002B1D2B" w:rsidRPr="00E62B0D" w:rsidRDefault="002B1D2B" w:rsidP="00B93410">
            <w:pPr>
              <w:rPr>
                <w:rFonts w:ascii="Aptos" w:hAnsi="Aptos"/>
                <w:sz w:val="18"/>
                <w:szCs w:val="18"/>
                <w:lang w:val="en-US"/>
              </w:rPr>
            </w:pPr>
            <w:r w:rsidRPr="00E62B0D">
              <w:rPr>
                <w:rFonts w:ascii="Aptos" w:eastAsia="Segoe UI" w:hAnsi="Aptos" w:cs="Segoe UI"/>
                <w:color w:val="0F1115"/>
                <w:sz w:val="18"/>
                <w:szCs w:val="18"/>
                <w:lang w:val="en-US"/>
              </w:rPr>
              <w:t>On track to achieve target</w:t>
            </w:r>
          </w:p>
        </w:tc>
        <w:tc>
          <w:tcPr>
            <w:tcW w:w="4681" w:type="dxa"/>
          </w:tcPr>
          <w:p w14:paraId="74960373"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En vías de alcanzar la meta</w:t>
            </w:r>
          </w:p>
        </w:tc>
      </w:tr>
      <w:tr w:rsidR="002B1D2B" w:rsidRPr="00E944B1" w14:paraId="37987F3B" w14:textId="77777777" w:rsidTr="002B1D2B">
        <w:tc>
          <w:tcPr>
            <w:tcW w:w="4140" w:type="dxa"/>
          </w:tcPr>
          <w:p w14:paraId="7A8F2F99" w14:textId="77777777" w:rsidR="002B1D2B" w:rsidRPr="00E62B0D" w:rsidRDefault="002B1D2B" w:rsidP="00B93410">
            <w:pPr>
              <w:rPr>
                <w:rFonts w:ascii="Aptos" w:hAnsi="Aptos"/>
                <w:sz w:val="18"/>
                <w:szCs w:val="18"/>
                <w:lang w:val="en-US"/>
              </w:rPr>
            </w:pPr>
            <w:r w:rsidRPr="00E62B0D">
              <w:rPr>
                <w:rFonts w:ascii="Aptos" w:eastAsia="Segoe UI" w:hAnsi="Aptos" w:cs="Segoe UI"/>
                <w:color w:val="0F1115"/>
                <w:sz w:val="18"/>
                <w:szCs w:val="18"/>
                <w:lang w:val="en-US"/>
              </w:rPr>
              <w:t>Progress towards target but at an insufficient rate</w:t>
            </w:r>
          </w:p>
        </w:tc>
        <w:tc>
          <w:tcPr>
            <w:tcW w:w="4681" w:type="dxa"/>
          </w:tcPr>
          <w:p w14:paraId="60B91647"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 xml:space="preserve">Se ha progresado hacia la </w:t>
            </w:r>
            <w:proofErr w:type="gramStart"/>
            <w:r w:rsidRPr="00E62B0D">
              <w:rPr>
                <w:rFonts w:ascii="Aptos" w:hAnsi="Aptos"/>
                <w:color w:val="0F1115"/>
                <w:sz w:val="18"/>
                <w:szCs w:val="18"/>
                <w:lang w:val="es-ES"/>
              </w:rPr>
              <w:t>meta</w:t>
            </w:r>
            <w:proofErr w:type="gramEnd"/>
            <w:r w:rsidRPr="00E62B0D">
              <w:rPr>
                <w:rFonts w:ascii="Aptos" w:hAnsi="Aptos"/>
                <w:color w:val="0F1115"/>
                <w:sz w:val="18"/>
                <w:szCs w:val="18"/>
                <w:lang w:val="es-ES"/>
              </w:rPr>
              <w:t xml:space="preserve"> pero a un ritmo insuficiente</w:t>
            </w:r>
          </w:p>
        </w:tc>
      </w:tr>
      <w:tr w:rsidR="002B1D2B" w:rsidRPr="00E944B1" w14:paraId="006A4E41" w14:textId="77777777" w:rsidTr="002B1D2B">
        <w:tc>
          <w:tcPr>
            <w:tcW w:w="4140" w:type="dxa"/>
          </w:tcPr>
          <w:p w14:paraId="24E613D3"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 xml:space="preserve">No </w:t>
            </w:r>
            <w:proofErr w:type="spellStart"/>
            <w:r w:rsidRPr="00E62B0D">
              <w:rPr>
                <w:rFonts w:ascii="Aptos" w:eastAsia="Segoe UI" w:hAnsi="Aptos" w:cs="Segoe UI"/>
                <w:color w:val="0F1115"/>
                <w:sz w:val="18"/>
                <w:szCs w:val="18"/>
                <w:lang w:val="es-ES"/>
              </w:rPr>
              <w:t>significant</w:t>
            </w:r>
            <w:proofErr w:type="spellEnd"/>
            <w:r w:rsidRPr="00E62B0D">
              <w:rPr>
                <w:rFonts w:ascii="Aptos" w:eastAsia="Segoe UI" w:hAnsi="Aptos" w:cs="Segoe UI"/>
                <w:color w:val="0F1115"/>
                <w:sz w:val="18"/>
                <w:szCs w:val="18"/>
                <w:lang w:val="es-ES"/>
              </w:rPr>
              <w:t xml:space="preserve"> </w:t>
            </w:r>
            <w:proofErr w:type="spellStart"/>
            <w:r w:rsidRPr="00E62B0D">
              <w:rPr>
                <w:rFonts w:ascii="Aptos" w:eastAsia="Segoe UI" w:hAnsi="Aptos" w:cs="Segoe UI"/>
                <w:color w:val="0F1115"/>
                <w:sz w:val="18"/>
                <w:szCs w:val="18"/>
                <w:lang w:val="es-ES"/>
              </w:rPr>
              <w:t>change</w:t>
            </w:r>
            <w:proofErr w:type="spellEnd"/>
          </w:p>
        </w:tc>
        <w:tc>
          <w:tcPr>
            <w:tcW w:w="4681" w:type="dxa"/>
          </w:tcPr>
          <w:p w14:paraId="542A9386"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No hay cambios significativos</w:t>
            </w:r>
          </w:p>
        </w:tc>
      </w:tr>
      <w:tr w:rsidR="002B1D2B" w:rsidRPr="00E944B1" w14:paraId="70BE3C80" w14:textId="77777777" w:rsidTr="002B1D2B">
        <w:tc>
          <w:tcPr>
            <w:tcW w:w="4140" w:type="dxa"/>
          </w:tcPr>
          <w:p w14:paraId="4901C3E8"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Unknown</w:t>
            </w:r>
          </w:p>
        </w:tc>
        <w:tc>
          <w:tcPr>
            <w:tcW w:w="4681" w:type="dxa"/>
          </w:tcPr>
          <w:p w14:paraId="0CB40205" w14:textId="77777777" w:rsidR="002B1D2B" w:rsidRPr="00E62B0D" w:rsidRDefault="002B1D2B" w:rsidP="00B93410">
            <w:pPr>
              <w:rPr>
                <w:rFonts w:ascii="Aptos" w:hAnsi="Aptos"/>
                <w:sz w:val="18"/>
                <w:szCs w:val="18"/>
                <w:lang w:val="es-ES"/>
              </w:rPr>
            </w:pPr>
            <w:r w:rsidRPr="00E62B0D">
              <w:rPr>
                <w:rFonts w:ascii="Aptos" w:hAnsi="Aptos"/>
                <w:color w:val="0F1115"/>
                <w:sz w:val="18"/>
                <w:szCs w:val="18"/>
                <w:lang w:val="es-ES"/>
              </w:rPr>
              <w:t>Se desconoce</w:t>
            </w:r>
          </w:p>
        </w:tc>
      </w:tr>
      <w:tr w:rsidR="002B1D2B" w:rsidRPr="00E944B1" w14:paraId="6CAE81B4" w14:textId="77777777" w:rsidTr="002B1D2B">
        <w:tc>
          <w:tcPr>
            <w:tcW w:w="4140" w:type="dxa"/>
          </w:tcPr>
          <w:p w14:paraId="766173A3" w14:textId="77777777" w:rsidR="002B1D2B" w:rsidRPr="00E62B0D" w:rsidRDefault="002B1D2B" w:rsidP="00B93410">
            <w:pPr>
              <w:rPr>
                <w:rFonts w:ascii="Aptos" w:hAnsi="Aptos"/>
                <w:sz w:val="18"/>
                <w:szCs w:val="18"/>
                <w:lang w:val="es-ES"/>
              </w:rPr>
            </w:pPr>
            <w:r w:rsidRPr="00E62B0D">
              <w:rPr>
                <w:rFonts w:ascii="Aptos" w:eastAsia="Segoe UI" w:hAnsi="Aptos" w:cs="Segoe UI"/>
                <w:color w:val="0F1115"/>
                <w:sz w:val="18"/>
                <w:szCs w:val="18"/>
                <w:lang w:val="es-ES"/>
              </w:rPr>
              <w:t xml:space="preserve">Party </w:t>
            </w:r>
            <w:proofErr w:type="spellStart"/>
            <w:r w:rsidRPr="00E62B0D">
              <w:rPr>
                <w:rFonts w:ascii="Aptos" w:eastAsia="Segoe UI" w:hAnsi="Aptos" w:cs="Segoe UI"/>
                <w:color w:val="0F1115"/>
                <w:sz w:val="18"/>
                <w:szCs w:val="18"/>
                <w:lang w:val="es-ES"/>
              </w:rPr>
              <w:t>count</w:t>
            </w:r>
            <w:proofErr w:type="spellEnd"/>
            <w:r w:rsidRPr="00E62B0D">
              <w:rPr>
                <w:rFonts w:ascii="Aptos" w:eastAsia="Segoe UI" w:hAnsi="Aptos" w:cs="Segoe UI"/>
                <w:color w:val="0F1115"/>
                <w:sz w:val="18"/>
                <w:szCs w:val="18"/>
                <w:lang w:val="es-ES"/>
              </w:rPr>
              <w:t>: 103</w:t>
            </w:r>
          </w:p>
        </w:tc>
        <w:tc>
          <w:tcPr>
            <w:tcW w:w="4681" w:type="dxa"/>
          </w:tcPr>
          <w:p w14:paraId="3FD86BDB" w14:textId="77777777" w:rsidR="002B1D2B" w:rsidRPr="00E62B0D" w:rsidRDefault="002B1D2B" w:rsidP="00B93410">
            <w:pPr>
              <w:rPr>
                <w:rFonts w:ascii="Aptos" w:eastAsia="Segoe UI" w:hAnsi="Aptos" w:cs="Segoe UI"/>
                <w:color w:val="0F1115"/>
                <w:sz w:val="18"/>
                <w:szCs w:val="18"/>
                <w:lang w:val="es-ES"/>
              </w:rPr>
            </w:pPr>
            <w:r w:rsidRPr="00E62B0D">
              <w:rPr>
                <w:rFonts w:ascii="Aptos" w:hAnsi="Aptos"/>
                <w:color w:val="0F1115"/>
                <w:sz w:val="18"/>
                <w:szCs w:val="18"/>
                <w:lang w:val="es-ES"/>
              </w:rPr>
              <w:t>Número de Partes: 103</w:t>
            </w:r>
          </w:p>
        </w:tc>
      </w:tr>
    </w:tbl>
    <w:p w14:paraId="284BC2B9" w14:textId="77777777" w:rsidR="00E576B8" w:rsidRPr="005E3D50" w:rsidRDefault="00E576B8" w:rsidP="006C0F01">
      <w:pPr>
        <w:rPr>
          <w:lang w:val="es-ES"/>
        </w:rPr>
      </w:pPr>
    </w:p>
    <w:p w14:paraId="7774212B" w14:textId="4F505081" w:rsidR="006C0F01" w:rsidRPr="005E3D50" w:rsidRDefault="006C0F01" w:rsidP="006C0F01">
      <w:pPr>
        <w:pStyle w:val="Heading5"/>
        <w:rPr>
          <w:lang w:val="es-ES"/>
        </w:rPr>
      </w:pPr>
      <w:bookmarkStart w:id="168" w:name="_Toc235821081"/>
      <w:r w:rsidRPr="005E3D50">
        <w:rPr>
          <w:lang w:val="es-ES"/>
        </w:rPr>
        <w:t>Medidas, logros y dificultades en la implementación</w:t>
      </w:r>
      <w:bookmarkEnd w:id="168"/>
    </w:p>
    <w:p w14:paraId="2BBB9B19" w14:textId="77777777" w:rsidR="00026D18" w:rsidRPr="005E3D50" w:rsidRDefault="00026D18" w:rsidP="00026D18">
      <w:pPr>
        <w:rPr>
          <w:lang w:val="es-ES"/>
        </w:rPr>
      </w:pPr>
    </w:p>
    <w:p w14:paraId="757155BB" w14:textId="515C8B18" w:rsidR="006C0F01" w:rsidRPr="005E3D50" w:rsidRDefault="006C0F01" w:rsidP="006C0F01">
      <w:pPr>
        <w:pStyle w:val="Heading6"/>
        <w:rPr>
          <w:lang w:val="es-ES"/>
        </w:rPr>
      </w:pPr>
      <w:bookmarkStart w:id="169" w:name="_Toc235821082"/>
      <w:r w:rsidRPr="005E3D50">
        <w:rPr>
          <w:lang w:val="es-ES"/>
        </w:rPr>
        <w:t>Resumen de medidas en apoyo de la meta 3</w:t>
      </w:r>
      <w:bookmarkEnd w:id="169"/>
      <w:r w:rsidRPr="005E3D50">
        <w:rPr>
          <w:lang w:val="es-ES"/>
        </w:rPr>
        <w:t xml:space="preserve"> del Marco</w:t>
      </w:r>
    </w:p>
    <w:p w14:paraId="20895389" w14:textId="77777777" w:rsidR="00026D18" w:rsidRPr="005E3D50" w:rsidRDefault="00026D18" w:rsidP="00026D18">
      <w:pPr>
        <w:rPr>
          <w:lang w:val="es-ES"/>
        </w:rPr>
      </w:pPr>
    </w:p>
    <w:p w14:paraId="3DE9ECEE" w14:textId="6693EC36" w:rsidR="00474949" w:rsidRPr="005E3D50" w:rsidRDefault="001766FD" w:rsidP="00474949">
      <w:pPr>
        <w:rPr>
          <w:lang w:val="es-ES"/>
        </w:rPr>
      </w:pPr>
      <w:r w:rsidRPr="005E3D50">
        <w:rPr>
          <w:lang w:val="es-ES"/>
        </w:rPr>
        <w:t>Casi todas las Partes señalan medidas para designar nuevas áreas protegidas, ampliar las redes existentes o identificar otras medidas de conservación eficaces basadas en áreas (OMEC). Al menos 40 Partes señalan procesos en curso relacionados con OMEC, que abarcan desde la elaboración de un marco para reconocerlas hasta su designación formal y la presentación de información a la Base de Datos Mundial sobre Áreas Protegidas y Conservadas (WDPCA). Muchas Partes señalan el uso de diversas herramientas, algunas elaboradas a nivel mundial y otras a nivel nacional, para evaluar la eficacia de la gestión y la conservación de las áreas protegidas</w:t>
      </w:r>
      <w:r w:rsidR="00FB256E" w:rsidRPr="005E3D50">
        <w:rPr>
          <w:rStyle w:val="FootnoteReference"/>
          <w:lang w:val="es-ES"/>
        </w:rPr>
        <w:footnoteReference w:id="18"/>
      </w:r>
      <w:r w:rsidRPr="005E3D50">
        <w:rPr>
          <w:lang w:val="es-ES"/>
        </w:rPr>
        <w:t xml:space="preserve">. La conservación comunitaria y la cogestión de áreas protegidas se señalan con frecuencia, especialmente entre los países en desarrollo y los pequeños Estados insulares en desarrollo. Muchas Partes señalan actividades de seguimiento de especies y ecosistemas para apoyar la gestión de las áreas protegidas existentes e identificar posibles nuevas áreas para su protección. Aunque las medidas económicas y financieras son la categoría que se menciona con menos frecuencia en relación con la meta 3, entre los ejemplos figuran fondos de dotación específicos, canjes de deuda por naturaleza, pagos por servicios de los ecosistemas, remuneración a ciudadanos para que actúen como guardas ecológicos y reparto de los ingresos </w:t>
      </w:r>
      <w:r w:rsidRPr="005E3D50">
        <w:rPr>
          <w:lang w:val="es-ES"/>
        </w:rPr>
        <w:lastRenderedPageBreak/>
        <w:t>procedentes de las tasas de acceso a los parques y del turismo (véanse los recuadros 13 y 14).</w:t>
      </w:r>
    </w:p>
    <w:p w14:paraId="17F2D36F" w14:textId="77777777" w:rsidR="006C0F01" w:rsidRPr="005E3D50" w:rsidRDefault="006C0F01" w:rsidP="006C0F01">
      <w:pPr>
        <w:rPr>
          <w:lang w:val="es-ES"/>
        </w:rPr>
      </w:pPr>
    </w:p>
    <w:p w14:paraId="59A5FD66" w14:textId="612B52EB" w:rsidR="006C0F01" w:rsidRPr="005E3D50" w:rsidRDefault="006C0F01" w:rsidP="006C0F01">
      <w:pPr>
        <w:pStyle w:val="Heading6"/>
        <w:rPr>
          <w:lang w:val="es-ES"/>
        </w:rPr>
      </w:pPr>
      <w:bookmarkStart w:id="170" w:name="_Toc235821083"/>
      <w:r w:rsidRPr="005E3D50">
        <w:rPr>
          <w:lang w:val="es-ES"/>
        </w:rPr>
        <w:t>Ejemplos de logros y progresos en la implementación</w:t>
      </w:r>
      <w:bookmarkEnd w:id="170"/>
    </w:p>
    <w:p w14:paraId="2ECF32F6" w14:textId="77777777" w:rsidR="006831DD" w:rsidRPr="005E3D50" w:rsidRDefault="006831DD" w:rsidP="006831DD">
      <w:pPr>
        <w:rPr>
          <w:lang w:val="es-ES"/>
        </w:rPr>
      </w:pPr>
    </w:p>
    <w:p w14:paraId="36B59189" w14:textId="6523FA6B" w:rsidR="00307842" w:rsidRPr="005E3D50" w:rsidRDefault="00307842" w:rsidP="00866D95">
      <w:pPr>
        <w:pStyle w:val="Caption"/>
        <w:rPr>
          <w:b/>
          <w:i w:val="0"/>
          <w:lang w:val="es-ES"/>
        </w:rPr>
      </w:pPr>
    </w:p>
    <w:tbl>
      <w:tblPr>
        <w:tblStyle w:val="TableGrid"/>
        <w:tblW w:w="0" w:type="auto"/>
        <w:tblLook w:val="04A0" w:firstRow="1" w:lastRow="0" w:firstColumn="1" w:lastColumn="0" w:noHBand="0" w:noVBand="1"/>
      </w:tblPr>
      <w:tblGrid>
        <w:gridCol w:w="9350"/>
      </w:tblGrid>
      <w:tr w:rsidR="00600B0B" w:rsidRPr="005E3D50" w14:paraId="505526FC" w14:textId="77777777" w:rsidTr="000323E4">
        <w:tc>
          <w:tcPr>
            <w:tcW w:w="11902" w:type="dxa"/>
            <w:shd w:val="clear" w:color="auto" w:fill="D1D1D1" w:themeFill="background2" w:themeFillShade="E6"/>
          </w:tcPr>
          <w:p w14:paraId="304AD30F" w14:textId="30418E20" w:rsidR="003742D8" w:rsidRPr="005E3D50" w:rsidRDefault="003742D8" w:rsidP="003742D8">
            <w:pPr>
              <w:pStyle w:val="Caption"/>
              <w:rPr>
                <w:i w:val="0"/>
                <w:iCs w:val="0"/>
                <w:sz w:val="20"/>
                <w:szCs w:val="20"/>
                <w:lang w:val="es-ES"/>
              </w:rPr>
            </w:pPr>
            <w:bookmarkStart w:id="171" w:name="_Ref235160605"/>
            <w:r w:rsidRPr="005E3D50">
              <w:rPr>
                <w:i w:val="0"/>
                <w:sz w:val="20"/>
                <w:szCs w:val="20"/>
                <w:lang w:val="es-ES"/>
              </w:rPr>
              <w:t>Recuadro 13</w:t>
            </w:r>
            <w:bookmarkEnd w:id="171"/>
          </w:p>
          <w:p w14:paraId="05811B01" w14:textId="418FA76A" w:rsidR="00600B0B" w:rsidRPr="005E3D50" w:rsidRDefault="003742D8" w:rsidP="00600B0B">
            <w:pPr>
              <w:rPr>
                <w:b/>
                <w:sz w:val="20"/>
                <w:szCs w:val="20"/>
                <w:lang w:val="es-ES"/>
              </w:rPr>
            </w:pPr>
            <w:r w:rsidRPr="005E3D50">
              <w:rPr>
                <w:b/>
                <w:sz w:val="20"/>
                <w:szCs w:val="20"/>
                <w:lang w:val="es-ES"/>
              </w:rPr>
              <w:t>Marco jurídico unificado y gobernanza “de la cresta al arrecife” en Seychelles, superando las metas “del 30 % para 2030” como modelo para los pequeños Estados insulares en desarrollo</w:t>
            </w:r>
          </w:p>
          <w:p w14:paraId="568DD546" w14:textId="77777777" w:rsidR="003742D8" w:rsidRPr="005E3D50" w:rsidRDefault="003742D8" w:rsidP="003742D8">
            <w:pPr>
              <w:rPr>
                <w:i/>
                <w:iCs/>
                <w:sz w:val="22"/>
                <w:szCs w:val="22"/>
                <w:lang w:val="es-ES"/>
              </w:rPr>
            </w:pPr>
          </w:p>
          <w:p w14:paraId="694C41CE" w14:textId="227156DB" w:rsidR="007C2EF2" w:rsidRPr="005E3D50" w:rsidRDefault="007C2EF2" w:rsidP="007C2EF2">
            <w:pPr>
              <w:pStyle w:val="wordsection1"/>
              <w:spacing w:before="0" w:beforeAutospacing="0" w:after="0" w:afterAutospacing="0"/>
              <w:rPr>
                <w:rFonts w:ascii="Aptos" w:hAnsi="Aptos"/>
                <w:sz w:val="20"/>
                <w:szCs w:val="20"/>
                <w:lang w:val="es-ES"/>
              </w:rPr>
            </w:pPr>
            <w:r w:rsidRPr="005E3D50">
              <w:rPr>
                <w:rFonts w:ascii="Aptos" w:hAnsi="Aptos"/>
                <w:sz w:val="20"/>
                <w:szCs w:val="20"/>
                <w:lang w:val="es-ES"/>
              </w:rPr>
              <w:t>Seychelles ha demostrado cómo un pequeño Estado insular en desarrollo puede fortalecer la conservación de la biodiversidad mediante una gobernanza integrada, reforma</w:t>
            </w:r>
            <w:r w:rsidR="0087169F" w:rsidRPr="005E3D50">
              <w:rPr>
                <w:rFonts w:ascii="Aptos" w:hAnsi="Aptos"/>
                <w:sz w:val="20"/>
                <w:szCs w:val="20"/>
                <w:lang w:val="es-ES"/>
              </w:rPr>
              <w:t>s</w:t>
            </w:r>
            <w:r w:rsidRPr="005E3D50">
              <w:rPr>
                <w:rFonts w:ascii="Aptos" w:hAnsi="Aptos"/>
                <w:sz w:val="20"/>
                <w:szCs w:val="20"/>
                <w:lang w:val="es-ES"/>
              </w:rPr>
              <w:t xml:space="preserve"> jurídica</w:t>
            </w:r>
            <w:r w:rsidR="0087169F" w:rsidRPr="005E3D50">
              <w:rPr>
                <w:rFonts w:ascii="Aptos" w:hAnsi="Aptos"/>
                <w:sz w:val="20"/>
                <w:szCs w:val="20"/>
                <w:lang w:val="es-ES"/>
              </w:rPr>
              <w:t>s</w:t>
            </w:r>
            <w:r w:rsidRPr="005E3D50">
              <w:rPr>
                <w:rFonts w:ascii="Aptos" w:hAnsi="Aptos"/>
                <w:sz w:val="20"/>
                <w:szCs w:val="20"/>
                <w:lang w:val="es-ES"/>
              </w:rPr>
              <w:t xml:space="preserve"> y planificación espacial basada en los ecosistemas. El país ha adoptado un enfoque integral “de la cresta al arrecife” que vincula la gestión terrestre, costera y marina en un marco normativo unificado, apoyando la ampliación y la gestión eficaz de las zonas protegidas y conservadas. Mediante la Ley de </w:t>
            </w:r>
            <w:r w:rsidR="00FD71BF" w:rsidRPr="005E3D50">
              <w:rPr>
                <w:rFonts w:ascii="Aptos" w:hAnsi="Aptos"/>
                <w:sz w:val="20"/>
                <w:szCs w:val="20"/>
                <w:lang w:val="es-ES"/>
              </w:rPr>
              <w:t xml:space="preserve">Reservas Naturales </w:t>
            </w:r>
            <w:r w:rsidR="003404D0" w:rsidRPr="005E3D50">
              <w:rPr>
                <w:rFonts w:ascii="Aptos" w:hAnsi="Aptos"/>
                <w:sz w:val="20"/>
                <w:szCs w:val="20"/>
                <w:lang w:val="es-ES"/>
              </w:rPr>
              <w:t xml:space="preserve">y </w:t>
            </w:r>
            <w:r w:rsidR="00FD71BF" w:rsidRPr="005E3D50">
              <w:rPr>
                <w:rFonts w:ascii="Aptos" w:hAnsi="Aptos"/>
                <w:sz w:val="20"/>
                <w:szCs w:val="20"/>
                <w:lang w:val="es-ES"/>
              </w:rPr>
              <w:t xml:space="preserve">Conservación </w:t>
            </w:r>
            <w:r w:rsidRPr="005E3D50">
              <w:rPr>
                <w:rFonts w:ascii="Aptos" w:hAnsi="Aptos"/>
                <w:sz w:val="20"/>
                <w:szCs w:val="20"/>
                <w:lang w:val="es-ES"/>
              </w:rPr>
              <w:t>(2022) y el plan espacial marino de Seychelles de 2025, el país ha modernizado su legislación en materia de conservación, ha mejorado la coherencia normativa y ha incorporado la gestión basada en los ecosistemas en los procesos nacionales de planificación.</w:t>
            </w:r>
          </w:p>
          <w:p w14:paraId="1964A35B" w14:textId="77777777" w:rsidR="000323E4" w:rsidRPr="005E3D50" w:rsidRDefault="000323E4" w:rsidP="000323E4">
            <w:pPr>
              <w:pStyle w:val="wordsection1"/>
              <w:spacing w:before="0" w:beforeAutospacing="0" w:after="0" w:afterAutospacing="0"/>
              <w:jc w:val="both"/>
              <w:rPr>
                <w:rFonts w:ascii="Aptos" w:hAnsi="Aptos"/>
                <w:sz w:val="20"/>
                <w:szCs w:val="20"/>
                <w:lang w:val="es-ES"/>
              </w:rPr>
            </w:pPr>
          </w:p>
          <w:p w14:paraId="2F7FC1A5" w14:textId="77777777" w:rsidR="00032F5F" w:rsidRPr="005E3D50" w:rsidRDefault="00032F5F" w:rsidP="008768AF">
            <w:pPr>
              <w:pStyle w:val="wordsection1"/>
              <w:spacing w:before="0" w:beforeAutospacing="0" w:after="0" w:afterAutospacing="0"/>
              <w:rPr>
                <w:rFonts w:ascii="Aptos" w:hAnsi="Aptos"/>
                <w:sz w:val="20"/>
                <w:szCs w:val="20"/>
                <w:lang w:val="es-ES"/>
              </w:rPr>
            </w:pPr>
            <w:r w:rsidRPr="005E3D50">
              <w:rPr>
                <w:rFonts w:ascii="Aptos" w:hAnsi="Aptos"/>
                <w:sz w:val="20"/>
                <w:szCs w:val="20"/>
                <w:lang w:val="es-ES"/>
              </w:rPr>
              <w:t>La iniciativa ha estado dirigida principalmente por ministerios y organismos del Gobierno nacional, que han coordinado las reformas jurídicas, las evaluaciones de la conservación, la ampliación de las áreas protegidas y la evaluación de la eficacia de la gestión. El desarrollo del plan espacial marino también incorporó análisis basados en datos científicos y una amplia participación de los interesados para apoyar la toma de decisiones con base empírica en múltiples sectores.</w:t>
            </w:r>
          </w:p>
          <w:p w14:paraId="53349F3F" w14:textId="77777777" w:rsidR="000323E4" w:rsidRPr="005E3D50" w:rsidRDefault="000323E4" w:rsidP="008768AF">
            <w:pPr>
              <w:pStyle w:val="wordsection1"/>
              <w:spacing w:before="0" w:beforeAutospacing="0" w:after="0" w:afterAutospacing="0"/>
              <w:rPr>
                <w:rFonts w:ascii="Aptos" w:hAnsi="Aptos"/>
                <w:sz w:val="20"/>
                <w:szCs w:val="20"/>
                <w:lang w:val="es-ES"/>
              </w:rPr>
            </w:pPr>
          </w:p>
          <w:p w14:paraId="24CE1898" w14:textId="77777777" w:rsidR="000323E4" w:rsidRPr="005E3D50" w:rsidRDefault="000323E4" w:rsidP="00101BC8">
            <w:pPr>
              <w:pStyle w:val="wordsection1"/>
              <w:spacing w:before="0" w:beforeAutospacing="0" w:after="0" w:afterAutospacing="0"/>
              <w:rPr>
                <w:rFonts w:ascii="Aptos" w:hAnsi="Aptos"/>
                <w:sz w:val="20"/>
                <w:szCs w:val="20"/>
                <w:lang w:val="es-ES"/>
              </w:rPr>
            </w:pPr>
            <w:r w:rsidRPr="005E3D50">
              <w:rPr>
                <w:rFonts w:ascii="Aptos" w:hAnsi="Aptos"/>
                <w:sz w:val="20"/>
                <w:szCs w:val="20"/>
                <w:lang w:val="es-ES"/>
              </w:rPr>
              <w:t xml:space="preserve">La implementación se ha llevado a cabo a nivel nacional y abarca bosques, hábitats costeros, arrecifes de coral, ecosistemas de </w:t>
            </w:r>
            <w:proofErr w:type="gramStart"/>
            <w:r w:rsidRPr="005E3D50">
              <w:rPr>
                <w:rFonts w:ascii="Aptos" w:hAnsi="Aptos"/>
                <w:sz w:val="20"/>
                <w:szCs w:val="20"/>
                <w:lang w:val="es-ES"/>
              </w:rPr>
              <w:t>praderas marinas y entornos marinos</w:t>
            </w:r>
            <w:proofErr w:type="gramEnd"/>
            <w:r w:rsidRPr="005E3D50">
              <w:rPr>
                <w:rFonts w:ascii="Aptos" w:hAnsi="Aptos"/>
                <w:sz w:val="20"/>
                <w:szCs w:val="20"/>
                <w:lang w:val="es-ES"/>
              </w:rPr>
              <w:t xml:space="preserve"> alejados de la costa. Entre las principales medidas figuran la introducción de una planificación espacial marina jurídicamente vinculante, la determinación y gestión de zonas de importancia ecológica, el establecimiento de corredores ecológicos y la designación de zonas de protección estacional para especies amenazadas. Seychelles también ha realizado evaluaciones de la eficacia de la gestión de las áreas protegidas para fortalecer la gobernanza y mejorar el desempeño de la gestión.</w:t>
            </w:r>
          </w:p>
          <w:p w14:paraId="1192377E" w14:textId="77777777" w:rsidR="000323E4" w:rsidRPr="005E3D50" w:rsidRDefault="000323E4" w:rsidP="00101BC8">
            <w:pPr>
              <w:pStyle w:val="wordsection1"/>
              <w:spacing w:before="0" w:beforeAutospacing="0" w:after="0" w:afterAutospacing="0"/>
              <w:rPr>
                <w:rFonts w:ascii="Aptos" w:hAnsi="Aptos"/>
                <w:sz w:val="20"/>
                <w:szCs w:val="20"/>
                <w:lang w:val="es-ES"/>
              </w:rPr>
            </w:pPr>
          </w:p>
          <w:p w14:paraId="3167A00F" w14:textId="5D96EF15" w:rsidR="000323E4" w:rsidRPr="005E3D50" w:rsidRDefault="000323E4" w:rsidP="00101BC8">
            <w:pPr>
              <w:pStyle w:val="wordsection1"/>
              <w:spacing w:before="0" w:beforeAutospacing="0" w:after="0" w:afterAutospacing="0"/>
              <w:rPr>
                <w:rFonts w:ascii="Aptos" w:hAnsi="Aptos"/>
                <w:sz w:val="20"/>
                <w:szCs w:val="20"/>
                <w:lang w:val="es-ES"/>
              </w:rPr>
            </w:pPr>
            <w:r w:rsidRPr="005E3D50">
              <w:rPr>
                <w:rFonts w:ascii="Aptos" w:hAnsi="Aptos"/>
                <w:sz w:val="20"/>
                <w:szCs w:val="20"/>
                <w:lang w:val="es-ES"/>
              </w:rPr>
              <w:t xml:space="preserve">Estas medidas se </w:t>
            </w:r>
            <w:r w:rsidR="00FE646F" w:rsidRPr="005E3D50">
              <w:rPr>
                <w:rFonts w:ascii="Aptos" w:hAnsi="Aptos"/>
                <w:sz w:val="20"/>
                <w:szCs w:val="20"/>
                <w:lang w:val="es-ES"/>
              </w:rPr>
              <w:t>diseñaron</w:t>
            </w:r>
            <w:r w:rsidRPr="005E3D50">
              <w:rPr>
                <w:rFonts w:ascii="Aptos" w:hAnsi="Aptos"/>
                <w:sz w:val="20"/>
                <w:szCs w:val="20"/>
                <w:lang w:val="es-ES"/>
              </w:rPr>
              <w:t xml:space="preserve"> para abordar varios desafíos interrelacionados. Seychelles depende en gran medida de la pesca marina y el turismo, cuenta con recursos financieros y técnicos limitados y es cada vez más vulnerable a los efectos del cambio climático, entre ellos el blanqueamiento de los corales, la elevación del nivel del mar y los fenómenos meteorológicos extremos. El marco integrado ofrece un mecanismo para equilibrar los objetivos de conservación y de desarrollo, al tiempo que se mejora la resiliencia ecológica en los ecosistemas interconectados.</w:t>
            </w:r>
          </w:p>
          <w:p w14:paraId="6F743DA2" w14:textId="77777777" w:rsidR="000323E4" w:rsidRPr="005E3D50" w:rsidRDefault="000323E4" w:rsidP="00101BC8">
            <w:pPr>
              <w:pStyle w:val="wordsection1"/>
              <w:spacing w:before="0" w:beforeAutospacing="0" w:after="0" w:afterAutospacing="0"/>
              <w:rPr>
                <w:rFonts w:ascii="Aptos" w:hAnsi="Aptos"/>
                <w:sz w:val="20"/>
                <w:szCs w:val="20"/>
                <w:lang w:val="es-ES"/>
              </w:rPr>
            </w:pPr>
          </w:p>
          <w:p w14:paraId="596D560D" w14:textId="77777777" w:rsidR="000323E4" w:rsidRPr="005E3D50" w:rsidRDefault="000323E4" w:rsidP="00101BC8">
            <w:pPr>
              <w:pStyle w:val="wordsection1"/>
              <w:spacing w:before="0" w:beforeAutospacing="0" w:after="0" w:afterAutospacing="0"/>
              <w:rPr>
                <w:rFonts w:ascii="Aptos" w:hAnsi="Aptos"/>
                <w:sz w:val="20"/>
                <w:szCs w:val="20"/>
                <w:lang w:val="es-ES"/>
              </w:rPr>
            </w:pPr>
            <w:r w:rsidRPr="005E3D50">
              <w:rPr>
                <w:rFonts w:ascii="Aptos" w:hAnsi="Aptos"/>
                <w:sz w:val="20"/>
                <w:szCs w:val="20"/>
                <w:lang w:val="es-ES"/>
              </w:rPr>
              <w:t>Estas medidas han superado las metas mundiales de conservación del 30 % para 2030, alcanzando una cobertura de protección y conservación del 48,1 % de las zonas terrestres y del 32,6 % de las zonas marinas bajo la jurisdicción de Seychelles. Más allá de estos logros cuantitativos, la iniciativa ha reforzado la conectividad de los ecosistemas, ha mejorado la protección de las especies, ha aumentado la resiliencia climática y ha establecido un modelo de gobernanza para otros pequeños Estados insulares en desarrollo que procuran integrar la conservación terrestre y marina en un único marco nacional.</w:t>
            </w:r>
          </w:p>
          <w:p w14:paraId="7B17B00B" w14:textId="77777777" w:rsidR="0035306F" w:rsidRPr="005E3D50" w:rsidRDefault="0035306F" w:rsidP="00101BC8">
            <w:pPr>
              <w:pStyle w:val="wordsection1"/>
              <w:spacing w:before="0" w:beforeAutospacing="0" w:after="0" w:afterAutospacing="0"/>
              <w:rPr>
                <w:rFonts w:ascii="Aptos" w:hAnsi="Aptos"/>
                <w:i/>
                <w:sz w:val="20"/>
                <w:szCs w:val="20"/>
                <w:lang w:val="es-ES"/>
              </w:rPr>
            </w:pPr>
          </w:p>
          <w:p w14:paraId="17393D6D" w14:textId="7AAD357A" w:rsidR="0035306F" w:rsidRPr="005E3D50" w:rsidRDefault="00022C17" w:rsidP="000323E4">
            <w:pPr>
              <w:pStyle w:val="wordsection1"/>
              <w:spacing w:before="0" w:beforeAutospacing="0" w:after="0" w:afterAutospacing="0"/>
              <w:jc w:val="both"/>
              <w:rPr>
                <w:rFonts w:ascii="Aptos" w:hAnsi="Aptos"/>
                <w:sz w:val="20"/>
                <w:szCs w:val="20"/>
                <w:lang w:val="es-ES"/>
              </w:rPr>
            </w:pPr>
            <w:r w:rsidRPr="005E3D50">
              <w:rPr>
                <w:rFonts w:ascii="Aptos" w:hAnsi="Aptos"/>
                <w:i/>
                <w:sz w:val="20"/>
                <w:szCs w:val="20"/>
                <w:lang w:val="es-ES"/>
              </w:rPr>
              <w:lastRenderedPageBreak/>
              <w:t xml:space="preserve">Metas pertinentes: </w:t>
            </w:r>
            <w:r w:rsidRPr="005E3D50">
              <w:rPr>
                <w:rFonts w:ascii="Aptos" w:hAnsi="Aptos"/>
                <w:sz w:val="20"/>
                <w:szCs w:val="20"/>
                <w:lang w:val="es-ES"/>
              </w:rPr>
              <w:t>1, 3, 4, 8, 11 y 21.</w:t>
            </w:r>
          </w:p>
          <w:p w14:paraId="1B7EE12E" w14:textId="706F5C51" w:rsidR="00022C17" w:rsidRPr="005E3D50" w:rsidRDefault="00022C17" w:rsidP="000323E4">
            <w:pPr>
              <w:pStyle w:val="wordsection1"/>
              <w:spacing w:before="0" w:beforeAutospacing="0" w:after="0" w:afterAutospacing="0"/>
              <w:jc w:val="both"/>
              <w:rPr>
                <w:rFonts w:ascii="Aptos" w:hAnsi="Aptos"/>
                <w:sz w:val="20"/>
                <w:szCs w:val="20"/>
                <w:lang w:val="es-ES"/>
              </w:rPr>
            </w:pPr>
            <w:r w:rsidRPr="005E3D50">
              <w:rPr>
                <w:rFonts w:ascii="Aptos" w:hAnsi="Aptos"/>
                <w:i/>
                <w:sz w:val="20"/>
                <w:szCs w:val="20"/>
                <w:lang w:val="es-ES"/>
              </w:rPr>
              <w:t xml:space="preserve">Fuente: </w:t>
            </w:r>
            <w:r w:rsidRPr="005E3D50">
              <w:rPr>
                <w:rFonts w:ascii="Aptos" w:hAnsi="Aptos"/>
                <w:sz w:val="20"/>
                <w:szCs w:val="20"/>
                <w:lang w:val="es-ES"/>
              </w:rPr>
              <w:t>Seychelles, séptimo informe nacional presentado al Convenio.</w:t>
            </w:r>
          </w:p>
          <w:p w14:paraId="623FE8A6" w14:textId="77777777" w:rsidR="000323E4" w:rsidRPr="005E3D50" w:rsidRDefault="000323E4" w:rsidP="000323E4">
            <w:pPr>
              <w:pStyle w:val="wordsection1"/>
              <w:spacing w:before="0" w:beforeAutospacing="0" w:after="0" w:afterAutospacing="0"/>
              <w:jc w:val="both"/>
              <w:rPr>
                <w:rFonts w:ascii="Aptos" w:hAnsi="Aptos"/>
                <w:sz w:val="20"/>
                <w:szCs w:val="20"/>
                <w:lang w:val="es-ES"/>
              </w:rPr>
            </w:pPr>
          </w:p>
          <w:p w14:paraId="21D93512" w14:textId="1ADE3E46" w:rsidR="00600B0B" w:rsidRPr="005E3D50" w:rsidRDefault="00600B0B" w:rsidP="00600B0B">
            <w:pPr>
              <w:rPr>
                <w:sz w:val="22"/>
                <w:szCs w:val="22"/>
                <w:lang w:val="es-ES"/>
              </w:rPr>
            </w:pPr>
          </w:p>
          <w:p w14:paraId="53DC9536" w14:textId="54CF6271" w:rsidR="00600B0B" w:rsidRPr="005E3D50" w:rsidRDefault="00600B0B" w:rsidP="00B60665">
            <w:pPr>
              <w:rPr>
                <w:lang w:val="es-ES"/>
              </w:rPr>
            </w:pPr>
          </w:p>
        </w:tc>
      </w:tr>
    </w:tbl>
    <w:p w14:paraId="7F02D093" w14:textId="5F6A5F42" w:rsidR="00C26F18" w:rsidRPr="005E3D50" w:rsidRDefault="00C26F18" w:rsidP="006C0F01">
      <w:pPr>
        <w:rPr>
          <w:sz w:val="20"/>
          <w:szCs w:val="20"/>
          <w:lang w:val="es-ES"/>
        </w:rPr>
      </w:pPr>
    </w:p>
    <w:tbl>
      <w:tblPr>
        <w:tblStyle w:val="TableGrid"/>
        <w:tblW w:w="0" w:type="auto"/>
        <w:tblLook w:val="04A0" w:firstRow="1" w:lastRow="0" w:firstColumn="1" w:lastColumn="0" w:noHBand="0" w:noVBand="1"/>
      </w:tblPr>
      <w:tblGrid>
        <w:gridCol w:w="9350"/>
      </w:tblGrid>
      <w:tr w:rsidR="00022C17" w:rsidRPr="005E3D50" w14:paraId="1C82A321" w14:textId="77777777" w:rsidTr="00F15EE6">
        <w:trPr>
          <w:trHeight w:val="379"/>
        </w:trPr>
        <w:tc>
          <w:tcPr>
            <w:tcW w:w="9350" w:type="dxa"/>
            <w:shd w:val="clear" w:color="auto" w:fill="D1D1D1" w:themeFill="background2" w:themeFillShade="E6"/>
          </w:tcPr>
          <w:p w14:paraId="2F95817A" w14:textId="3AC89C4C" w:rsidR="000C2749" w:rsidRPr="005E3D50" w:rsidRDefault="000C2749" w:rsidP="000C2749">
            <w:pPr>
              <w:pStyle w:val="Caption"/>
              <w:keepNext/>
              <w:rPr>
                <w:i w:val="0"/>
                <w:iCs w:val="0"/>
                <w:sz w:val="20"/>
                <w:szCs w:val="20"/>
                <w:lang w:val="es-ES"/>
              </w:rPr>
            </w:pPr>
            <w:r w:rsidRPr="005E3D50">
              <w:rPr>
                <w:i w:val="0"/>
                <w:sz w:val="20"/>
                <w:szCs w:val="20"/>
                <w:lang w:val="es-ES"/>
              </w:rPr>
              <w:lastRenderedPageBreak/>
              <w:t xml:space="preserve">Recuadro 14 </w:t>
            </w:r>
          </w:p>
          <w:p w14:paraId="478BE2F4" w14:textId="15950395" w:rsidR="00F159C4" w:rsidRPr="005E3D50" w:rsidRDefault="000C2749" w:rsidP="00F159C4">
            <w:pPr>
              <w:rPr>
                <w:b/>
                <w:sz w:val="20"/>
                <w:szCs w:val="20"/>
                <w:lang w:val="es-ES"/>
              </w:rPr>
            </w:pPr>
            <w:r w:rsidRPr="005E3D50">
              <w:rPr>
                <w:b/>
                <w:sz w:val="20"/>
                <w:szCs w:val="20"/>
                <w:lang w:val="es-ES"/>
              </w:rPr>
              <w:t>Mejora de la gobernanza mediante la herramienta de seguimiento de la eficacia de la gestión y la conservación sistemática de las Áreas Clave para la Biodiversidad en los Emiratos Árabes Unidos</w:t>
            </w:r>
          </w:p>
          <w:p w14:paraId="641F85D1" w14:textId="77777777" w:rsidR="003742D8" w:rsidRPr="005E3D50" w:rsidRDefault="003742D8" w:rsidP="000C2749">
            <w:pPr>
              <w:rPr>
                <w:rFonts w:ascii="Aptos" w:hAnsi="Aptos"/>
                <w:color w:val="212121"/>
                <w:lang w:val="es-ES"/>
              </w:rPr>
            </w:pPr>
          </w:p>
          <w:p w14:paraId="61998F55" w14:textId="77777777" w:rsidR="00912710" w:rsidRPr="005E3D50" w:rsidRDefault="00912710" w:rsidP="00912710">
            <w:pPr>
              <w:rPr>
                <w:rFonts w:ascii="Aptos" w:hAnsi="Aptos"/>
                <w:color w:val="212121"/>
                <w:sz w:val="20"/>
                <w:szCs w:val="20"/>
                <w:lang w:val="es-ES"/>
              </w:rPr>
            </w:pPr>
            <w:r w:rsidRPr="005E3D50">
              <w:rPr>
                <w:rFonts w:ascii="Aptos" w:hAnsi="Aptos"/>
                <w:color w:val="212121"/>
                <w:sz w:val="20"/>
                <w:szCs w:val="20"/>
                <w:lang w:val="es-ES"/>
              </w:rPr>
              <w:t>Desde 2014, los Emiratos Árabes Unidos han ampliado su red de áreas protegidas hasta alcanzar 54 lugares designados oficialmente, que incluyen 35 áreas protegidas terrestres y 19 áreas protegidas marinas, que actualmente abarcan más del 20 % de la superficie terrestre nacional y casi el 18 % de las aguas marinas y costeras. Esta ampliación contribuye a los objetivos de conservación del país para 2030 y abarca ecosistemas desérticos del interior, humedales, hábitats costeros y entornos marinos alejados de la costa.</w:t>
            </w:r>
          </w:p>
          <w:p w14:paraId="5B1C8B37" w14:textId="77777777" w:rsidR="00912710" w:rsidRPr="005E3D50" w:rsidRDefault="00912710" w:rsidP="00912710">
            <w:pPr>
              <w:rPr>
                <w:rFonts w:ascii="Aptos" w:hAnsi="Aptos"/>
                <w:color w:val="212121"/>
                <w:sz w:val="20"/>
                <w:szCs w:val="20"/>
                <w:lang w:val="es-ES"/>
              </w:rPr>
            </w:pPr>
          </w:p>
          <w:p w14:paraId="716BCA3F" w14:textId="54B76C02" w:rsidR="0009535B" w:rsidRPr="005E3D50" w:rsidRDefault="00912710" w:rsidP="0009535B">
            <w:pPr>
              <w:rPr>
                <w:rFonts w:ascii="Aptos" w:hAnsi="Aptos"/>
                <w:color w:val="212121"/>
                <w:sz w:val="20"/>
                <w:szCs w:val="20"/>
                <w:lang w:val="es-ES"/>
              </w:rPr>
            </w:pPr>
            <w:r w:rsidRPr="005E3D50">
              <w:rPr>
                <w:sz w:val="20"/>
                <w:szCs w:val="20"/>
                <w:lang w:val="es-ES"/>
              </w:rPr>
              <w:t>Como parte de su estrategia, los Emiratos Árabes Unidos han adoptado la Herramienta de seguimiento de la eficacia de la gestión (</w:t>
            </w:r>
            <w:proofErr w:type="spellStart"/>
            <w:r w:rsidRPr="005E3D50">
              <w:rPr>
                <w:sz w:val="20"/>
                <w:szCs w:val="20"/>
                <w:lang w:val="es-ES"/>
              </w:rPr>
              <w:t>Stolton</w:t>
            </w:r>
            <w:proofErr w:type="spellEnd"/>
            <w:r w:rsidRPr="005E3D50">
              <w:rPr>
                <w:sz w:val="20"/>
                <w:szCs w:val="20"/>
                <w:lang w:val="es-ES"/>
              </w:rPr>
              <w:t xml:space="preserve"> y otros, 2021) como mecanismo nacional para abordar y reforzar la gestión de las áreas protegidas, al tiempo que impulsan la planificación sistemática de la conservación y la protección de las Áreas Clave para la Biodiversidad (UICN, 2016).</w:t>
            </w:r>
          </w:p>
          <w:p w14:paraId="0C991A92" w14:textId="4F3ACFA4" w:rsidR="004A2653" w:rsidRPr="005E3D50" w:rsidRDefault="004A2653" w:rsidP="00F159C4">
            <w:pPr>
              <w:rPr>
                <w:rFonts w:ascii="Aptos" w:hAnsi="Aptos"/>
                <w:color w:val="212121"/>
                <w:sz w:val="20"/>
                <w:szCs w:val="20"/>
                <w:lang w:val="es-ES"/>
              </w:rPr>
            </w:pPr>
          </w:p>
          <w:p w14:paraId="77B605A1" w14:textId="31F13823" w:rsidR="00242BE4" w:rsidRPr="005E3D50" w:rsidRDefault="00242BE4" w:rsidP="00242BE4">
            <w:pPr>
              <w:rPr>
                <w:rFonts w:ascii="Aptos" w:hAnsi="Aptos"/>
                <w:color w:val="212121"/>
                <w:sz w:val="20"/>
                <w:szCs w:val="20"/>
                <w:lang w:val="es-ES"/>
              </w:rPr>
            </w:pPr>
            <w:r w:rsidRPr="005E3D50">
              <w:rPr>
                <w:rFonts w:ascii="Aptos" w:hAnsi="Aptos"/>
                <w:color w:val="212121"/>
                <w:sz w:val="20"/>
                <w:szCs w:val="20"/>
                <w:lang w:val="es-ES"/>
              </w:rPr>
              <w:t>Sobre la base de este enfoque sistemático, los Emiratos Árabes Unidos también fueron uno de los primeros países en realizar una evaluación exhaustiva de sus Áreas Clave para la Biodiversidad, que se completó y publicó en la Base de Datos Mundial de Áreas Clave para la Biodiversidad en 2023. Científicos de los Emiratos Árabes Unidos, en colaboración con la UICN, identificaron nueve Áreas Clave para la Biodiversidad a escala mundial que cumplen los requisitos para ser consideradas sitios importantes para las poblaciones de 22 especies de aves, mamíferos y reptiles. Esta evaluación proporcionó una base científica sólida para la planificación nacional de la conservación, lo que contribuyó a priorizar la ampliación de las áreas protegidas, mejorar la gestión de los sitios y reforzar la armonización con las normas mundiales de conservación de la biodiversidad.</w:t>
            </w:r>
          </w:p>
          <w:p w14:paraId="4E58BAAA" w14:textId="77777777" w:rsidR="004A2653" w:rsidRPr="005E3D50" w:rsidRDefault="004A2653" w:rsidP="00F159C4">
            <w:pPr>
              <w:rPr>
                <w:rFonts w:ascii="Aptos" w:hAnsi="Aptos"/>
                <w:color w:val="212121"/>
                <w:sz w:val="20"/>
                <w:szCs w:val="20"/>
                <w:lang w:val="es-ES"/>
              </w:rPr>
            </w:pPr>
          </w:p>
          <w:p w14:paraId="52CE4CB8" w14:textId="77777777" w:rsidR="007B634C" w:rsidRPr="005E3D50" w:rsidRDefault="007B634C" w:rsidP="007B634C">
            <w:pPr>
              <w:rPr>
                <w:rFonts w:ascii="Aptos" w:hAnsi="Aptos"/>
                <w:color w:val="212121"/>
                <w:sz w:val="20"/>
                <w:szCs w:val="20"/>
                <w:lang w:val="es-ES"/>
              </w:rPr>
            </w:pPr>
            <w:r w:rsidRPr="005E3D50">
              <w:rPr>
                <w:rFonts w:ascii="Aptos" w:hAnsi="Aptos"/>
                <w:color w:val="212121"/>
                <w:sz w:val="20"/>
                <w:szCs w:val="20"/>
                <w:lang w:val="es-ES"/>
              </w:rPr>
              <w:t>Un componente fundamental de la iniciativa es la institucionalización de evaluaciones bienales mediante la Herramienta de seguimiento de la eficacia de la gestión, que proporcionan una base empírica normalizada para determinar las deficiencias en la gestión, priorizar las intervenciones y mejorar los mecanismos de gobernanza. Este enfoque sistemático ha contribuido al aumento de la puntuación media nacional de eficacia de la gestión, del 57 % en 2014 a más del 74 % en 2024, lo que refleja un progreso sustancial en la gestión de las áreas protegidas.</w:t>
            </w:r>
          </w:p>
          <w:p w14:paraId="1A2F8221" w14:textId="77777777" w:rsidR="004A2653" w:rsidRPr="005E3D50" w:rsidRDefault="004A2653" w:rsidP="00F159C4">
            <w:pPr>
              <w:rPr>
                <w:rFonts w:ascii="Aptos" w:hAnsi="Aptos"/>
                <w:color w:val="212121"/>
                <w:sz w:val="20"/>
                <w:szCs w:val="20"/>
                <w:lang w:val="es-ES"/>
              </w:rPr>
            </w:pPr>
          </w:p>
          <w:p w14:paraId="1A634980" w14:textId="6A4D1F4D" w:rsidR="002D1C98" w:rsidRPr="005E3D50" w:rsidRDefault="002D1C98" w:rsidP="002D1C98">
            <w:pPr>
              <w:rPr>
                <w:rFonts w:ascii="Aptos" w:hAnsi="Aptos"/>
                <w:color w:val="212121"/>
                <w:sz w:val="20"/>
                <w:szCs w:val="20"/>
                <w:lang w:val="es-ES"/>
              </w:rPr>
            </w:pPr>
            <w:r w:rsidRPr="005E3D50">
              <w:rPr>
                <w:rFonts w:ascii="Aptos" w:hAnsi="Aptos"/>
                <w:color w:val="212121"/>
                <w:sz w:val="20"/>
                <w:szCs w:val="20"/>
                <w:lang w:val="es-ES"/>
              </w:rPr>
              <w:t xml:space="preserve">La iniciativa ha estado dirigida por las autoridades ambientales nacionales responsables de la formulación de políticas sobre biodiversidad, la planificación espacial y el establecimiento de normas de evaluación unificadas. </w:t>
            </w:r>
            <w:r w:rsidRPr="005E3D50">
              <w:rPr>
                <w:sz w:val="20"/>
                <w:szCs w:val="20"/>
                <w:lang w:val="es-ES"/>
              </w:rPr>
              <w:t>Las organizaciones internacionales de conservación han apoyado la integración de las áreas protegidas en marcos mundiales de conservación, entre ellos la Base de Datos Mundial sobre Áreas Protegidas y Conservadas (WDPCA), los sitios incluidos en la Lista de Ramsar de Humedales de Importancia Internacional conforme a la Convención relativa a los Humedales de Importancia Internacional especialmente como Hábitat de Aves Acuáticas (sitios Ramsar), la Red Mundial de Reservas de Biosfera de la UNESCO, la Lista Verde de Áreas Protegidas y Conservadas de la UICN y el proceso de descripción de áreas marinas de importancia ecológica o biológica.</w:t>
            </w:r>
          </w:p>
          <w:p w14:paraId="203B10B1" w14:textId="77777777" w:rsidR="004A2653" w:rsidRPr="005E3D50" w:rsidRDefault="004A2653" w:rsidP="00F159C4">
            <w:pPr>
              <w:rPr>
                <w:rFonts w:ascii="Aptos" w:hAnsi="Aptos"/>
                <w:color w:val="212121"/>
                <w:sz w:val="20"/>
                <w:szCs w:val="20"/>
                <w:lang w:val="es-ES"/>
              </w:rPr>
            </w:pPr>
          </w:p>
          <w:p w14:paraId="4DF4677A" w14:textId="77777777" w:rsidR="008D2740" w:rsidRPr="005E3D50" w:rsidRDefault="008D2740" w:rsidP="008D2740">
            <w:pPr>
              <w:rPr>
                <w:rFonts w:ascii="Aptos" w:hAnsi="Aptos"/>
                <w:color w:val="212121"/>
                <w:sz w:val="20"/>
                <w:szCs w:val="20"/>
                <w:lang w:val="es-ES"/>
              </w:rPr>
            </w:pPr>
            <w:r w:rsidRPr="005E3D50">
              <w:rPr>
                <w:rFonts w:ascii="Aptos" w:hAnsi="Aptos"/>
                <w:color w:val="212121"/>
                <w:sz w:val="20"/>
                <w:szCs w:val="20"/>
                <w:lang w:val="es-ES"/>
              </w:rPr>
              <w:t>La implementación se ha visto respaldada por medidas normativas y de planificación espacial complementarias que integran los objetivos de biodiversidad en la planificación del uso de la tierra, la restauración de los ecosistemas y las estrategias de desarrollo urbano. Los Emiratos Árabes Unidos también han introducido innovaciones tecnológicas, como la restauración ecológica con asistencia de drones y sistemas de seguimiento basados en inteligencia artificial, con el fin de mejorar la gestión de la conservación en entornos áridos y costeros que plantean dificultades.</w:t>
            </w:r>
          </w:p>
          <w:p w14:paraId="24CD48EE" w14:textId="77777777" w:rsidR="00207D2B" w:rsidRPr="005E3D50" w:rsidRDefault="00207D2B" w:rsidP="00F159C4">
            <w:pPr>
              <w:rPr>
                <w:rFonts w:ascii="Aptos" w:hAnsi="Aptos"/>
                <w:color w:val="212121"/>
                <w:sz w:val="20"/>
                <w:szCs w:val="20"/>
                <w:lang w:val="es-ES"/>
              </w:rPr>
            </w:pPr>
          </w:p>
          <w:p w14:paraId="13AE8395" w14:textId="6DDF3805" w:rsidR="008B6909" w:rsidRPr="005E3D50" w:rsidRDefault="00207D2B" w:rsidP="00207D2B">
            <w:pPr>
              <w:rPr>
                <w:rFonts w:ascii="Aptos" w:hAnsi="Aptos"/>
                <w:color w:val="212121"/>
                <w:sz w:val="20"/>
                <w:szCs w:val="20"/>
                <w:lang w:val="es-ES"/>
              </w:rPr>
            </w:pPr>
            <w:r w:rsidRPr="005E3D50">
              <w:rPr>
                <w:rFonts w:ascii="Aptos" w:hAnsi="Aptos"/>
                <w:i/>
                <w:color w:val="212121"/>
                <w:sz w:val="20"/>
                <w:szCs w:val="20"/>
                <w:lang w:val="es-ES"/>
              </w:rPr>
              <w:t xml:space="preserve">Metas pertinentes: </w:t>
            </w:r>
            <w:r w:rsidRPr="005E3D50">
              <w:rPr>
                <w:rFonts w:ascii="Aptos" w:hAnsi="Aptos"/>
                <w:color w:val="212121"/>
                <w:sz w:val="20"/>
                <w:szCs w:val="20"/>
                <w:lang w:val="es-ES"/>
              </w:rPr>
              <w:t>1,</w:t>
            </w:r>
            <w:r w:rsidR="005B0B90" w:rsidRPr="005E3D50">
              <w:rPr>
                <w:rFonts w:ascii="Aptos" w:hAnsi="Aptos"/>
                <w:color w:val="212121"/>
                <w:sz w:val="20"/>
                <w:szCs w:val="20"/>
                <w:lang w:val="es-ES"/>
              </w:rPr>
              <w:t xml:space="preserve"> </w:t>
            </w:r>
            <w:r w:rsidRPr="005E3D50">
              <w:rPr>
                <w:rFonts w:ascii="Aptos" w:hAnsi="Aptos"/>
                <w:color w:val="212121"/>
                <w:sz w:val="20"/>
                <w:szCs w:val="20"/>
                <w:lang w:val="es-ES"/>
              </w:rPr>
              <w:t>3,</w:t>
            </w:r>
            <w:r w:rsidR="005B0B90" w:rsidRPr="005E3D50">
              <w:rPr>
                <w:rFonts w:ascii="Aptos" w:hAnsi="Aptos"/>
                <w:color w:val="212121"/>
                <w:sz w:val="20"/>
                <w:szCs w:val="20"/>
                <w:lang w:val="es-ES"/>
              </w:rPr>
              <w:t xml:space="preserve"> </w:t>
            </w:r>
            <w:r w:rsidRPr="005E3D50">
              <w:rPr>
                <w:rFonts w:ascii="Aptos" w:hAnsi="Aptos"/>
                <w:color w:val="212121"/>
                <w:sz w:val="20"/>
                <w:szCs w:val="20"/>
                <w:lang w:val="es-ES"/>
              </w:rPr>
              <w:t>4 y 21.</w:t>
            </w:r>
          </w:p>
          <w:p w14:paraId="69DD5B6E" w14:textId="77777777" w:rsidR="002330BF" w:rsidRPr="005E3D50" w:rsidRDefault="002330BF" w:rsidP="00207D2B">
            <w:pPr>
              <w:rPr>
                <w:rFonts w:ascii="Aptos" w:hAnsi="Aptos"/>
                <w:i/>
                <w:color w:val="212121"/>
                <w:sz w:val="20"/>
                <w:szCs w:val="20"/>
                <w:lang w:val="es-ES"/>
              </w:rPr>
            </w:pPr>
          </w:p>
          <w:p w14:paraId="53C3E059" w14:textId="7A78B928" w:rsidR="00365923" w:rsidRPr="005E3D50" w:rsidRDefault="00365923" w:rsidP="00207D2B">
            <w:pPr>
              <w:rPr>
                <w:lang w:val="es-ES"/>
              </w:rPr>
            </w:pPr>
            <w:r w:rsidRPr="005E3D50">
              <w:rPr>
                <w:i/>
                <w:sz w:val="20"/>
                <w:szCs w:val="20"/>
                <w:lang w:val="es-ES"/>
              </w:rPr>
              <w:t xml:space="preserve">Fuente: </w:t>
            </w:r>
            <w:r w:rsidRPr="005E3D50">
              <w:rPr>
                <w:sz w:val="20"/>
                <w:szCs w:val="20"/>
                <w:lang w:val="es-ES"/>
              </w:rPr>
              <w:t>Emiratos Árabes Unidos, séptimo informe nacional presentado al Convenio.</w:t>
            </w:r>
          </w:p>
        </w:tc>
      </w:tr>
    </w:tbl>
    <w:p w14:paraId="54F1B1F5" w14:textId="1722A727" w:rsidR="006C0F01" w:rsidRPr="005E3D50" w:rsidRDefault="006C0F01" w:rsidP="006C0F01">
      <w:pPr>
        <w:pStyle w:val="Heading6"/>
        <w:rPr>
          <w:lang w:val="es-ES"/>
        </w:rPr>
      </w:pPr>
      <w:bookmarkStart w:id="172" w:name="_Toc235821084"/>
      <w:r w:rsidRPr="005E3D50">
        <w:rPr>
          <w:lang w:val="es-ES"/>
        </w:rPr>
        <w:lastRenderedPageBreak/>
        <w:t>D</w:t>
      </w:r>
      <w:r w:rsidR="00A17A1E">
        <w:rPr>
          <w:lang w:val="es-ES"/>
        </w:rPr>
        <w:t>ificultades</w:t>
      </w:r>
      <w:bookmarkEnd w:id="172"/>
    </w:p>
    <w:p w14:paraId="67BDAD9A" w14:textId="77777777" w:rsidR="00E337BC" w:rsidRPr="005E3D50" w:rsidRDefault="00E337BC" w:rsidP="00E337BC">
      <w:pPr>
        <w:tabs>
          <w:tab w:val="left" w:pos="0"/>
          <w:tab w:val="left" w:pos="720"/>
        </w:tabs>
        <w:spacing w:line="276" w:lineRule="auto"/>
        <w:rPr>
          <w:rFonts w:ascii="Aptos" w:eastAsia="Aptos" w:hAnsi="Aptos" w:cs="Aptos"/>
          <w:lang w:val="es-ES"/>
        </w:rPr>
      </w:pPr>
    </w:p>
    <w:p w14:paraId="0455C43B" w14:textId="1DC1B7E7" w:rsidR="00E337BC" w:rsidRPr="005E3D50" w:rsidRDefault="00E337BC" w:rsidP="00E337BC">
      <w:pPr>
        <w:tabs>
          <w:tab w:val="left" w:pos="0"/>
          <w:tab w:val="left" w:pos="720"/>
        </w:tabs>
        <w:spacing w:line="276" w:lineRule="auto"/>
        <w:rPr>
          <w:rFonts w:ascii="Aptos" w:eastAsia="Aptos" w:hAnsi="Aptos" w:cs="Aptos"/>
          <w:lang w:val="es-ES"/>
        </w:rPr>
      </w:pPr>
      <w:r w:rsidRPr="005E3D50">
        <w:rPr>
          <w:rFonts w:ascii="Aptos" w:hAnsi="Aptos"/>
          <w:lang w:val="es-ES"/>
        </w:rPr>
        <w:t xml:space="preserve">Las limitaciones de capacidad y de recursos financieros son </w:t>
      </w:r>
      <w:r w:rsidR="00A17A1E">
        <w:rPr>
          <w:rFonts w:ascii="Aptos" w:hAnsi="Aptos"/>
          <w:lang w:val="es-ES"/>
        </w:rPr>
        <w:t>las dificultades</w:t>
      </w:r>
      <w:r w:rsidRPr="005E3D50">
        <w:rPr>
          <w:rFonts w:ascii="Aptos" w:hAnsi="Aptos"/>
          <w:lang w:val="es-ES"/>
        </w:rPr>
        <w:t xml:space="preserve"> señalad</w:t>
      </w:r>
      <w:r w:rsidR="00A17A1E">
        <w:rPr>
          <w:rFonts w:ascii="Aptos" w:hAnsi="Aptos"/>
          <w:lang w:val="es-ES"/>
        </w:rPr>
        <w:t>a</w:t>
      </w:r>
      <w:r w:rsidRPr="005E3D50">
        <w:rPr>
          <w:rFonts w:ascii="Aptos" w:hAnsi="Aptos"/>
          <w:lang w:val="es-ES"/>
        </w:rPr>
        <w:t>s con mayor frecuencia en relación con la meta 3. Las Partes informan que la conservación de la biodiversidad no es una prioridad en los presupuestos de los gobiernos centrales, lo que genera una brecha entre las asignaciones actuales y las necesidades reales. Las Partes, en particular los países menos adelantados y los pequeños Estados insulares en desarrollo, señalan que dependen en gran medida de los asociados internacionales y de la financiación de los donantes. Esto genera el riesgo de una interrupción abrupta de la financiación, en la que los esfuerzos de conservación se estancan cuando expiran las donaciones basadas en proyectos. Las Partes señalan limitaciones de capacidad que van desde una grave escasez de personal hasta desafíos estructurales en materia de gobernanza. Un</w:t>
      </w:r>
      <w:r w:rsidR="00B87782">
        <w:rPr>
          <w:rFonts w:ascii="Aptos" w:hAnsi="Aptos"/>
          <w:lang w:val="es-ES"/>
        </w:rPr>
        <w:t>a</w:t>
      </w:r>
      <w:r w:rsidRPr="005E3D50">
        <w:rPr>
          <w:rFonts w:ascii="Aptos" w:hAnsi="Aptos"/>
          <w:lang w:val="es-ES"/>
        </w:rPr>
        <w:t xml:space="preserve"> </w:t>
      </w:r>
      <w:r w:rsidR="00B87782">
        <w:rPr>
          <w:rFonts w:ascii="Aptos" w:hAnsi="Aptos"/>
          <w:lang w:val="es-ES"/>
        </w:rPr>
        <w:t>dificultad</w:t>
      </w:r>
      <w:r w:rsidRPr="005E3D50">
        <w:rPr>
          <w:rFonts w:ascii="Aptos" w:hAnsi="Aptos"/>
          <w:lang w:val="es-ES"/>
        </w:rPr>
        <w:t xml:space="preserve"> importante mencionad</w:t>
      </w:r>
      <w:r w:rsidR="00B87782">
        <w:rPr>
          <w:rFonts w:ascii="Aptos" w:hAnsi="Aptos"/>
          <w:lang w:val="es-ES"/>
        </w:rPr>
        <w:t>a</w:t>
      </w:r>
      <w:r w:rsidRPr="005E3D50">
        <w:rPr>
          <w:rFonts w:ascii="Aptos" w:hAnsi="Aptos"/>
          <w:lang w:val="es-ES"/>
        </w:rPr>
        <w:t xml:space="preserve"> por las Partes es la desconexión que existe entre la designación formal de un área protegida o conservada y su gestión. Algunas Partes señalan que, aunque puedan alcanzar la meta del 30 % de superficie en términos de designación formal, carecen de la supervisión operativa, los planes de gestión o el personal necesarios para que la protección o la conservación sean efectivas. Existe una escasez casi generalizada de personal calificado,</w:t>
      </w:r>
      <w:r w:rsidR="00D877FA" w:rsidRPr="005E3D50">
        <w:rPr>
          <w:rFonts w:ascii="Aptos" w:hAnsi="Aptos"/>
          <w:lang w:val="es-ES"/>
        </w:rPr>
        <w:t xml:space="preserve"> incluidos guardaparques, guard</w:t>
      </w:r>
      <w:r w:rsidRPr="005E3D50">
        <w:rPr>
          <w:rFonts w:ascii="Aptos" w:hAnsi="Aptos"/>
          <w:lang w:val="es-ES"/>
        </w:rPr>
        <w:t>as ecológicos y especialistas en ecología o taxonomía. La elevada rotación del personal especializado debilita aún más la memoria institucional y la continuidad. Un obstáculo importante para alcanzar el componente del 30 % de la meta 3 es la falta de marcos jurídicos nacionales que reconozcan otras medidas de conservación eficaces basadas en áreas (OMEC). Esto impide que muchas tierras comunitarias o privadas conservadas de manera eficaz se contabilicen formalmente en los totales nacionales. Las Partes también mencionan la falta de infraestructura técnica y de los valores de referencia necesarios para evaluar el estado de los ecosistemas o la eficacia de la gestión. Además, las Partes señalan que los tipos de biomas bajo su jurisdicción pueden agravar los desafíos relacionados con la meta 3. Por ejemplo, las carencias son particularmente graves en los ecosistemas áridos, marinos y de aguas profundas, donde el seguimiento es técnicamente complejo y costoso.</w:t>
      </w:r>
    </w:p>
    <w:p w14:paraId="5744D53A" w14:textId="77777777" w:rsidR="006C0F01" w:rsidRPr="005E3D50" w:rsidRDefault="006C0F01" w:rsidP="006C0F01">
      <w:pPr>
        <w:rPr>
          <w:lang w:val="es-ES"/>
        </w:rPr>
      </w:pPr>
    </w:p>
    <w:p w14:paraId="06B4E804" w14:textId="23219301" w:rsidR="006C0F01" w:rsidRPr="005E3D50" w:rsidRDefault="006C0F01" w:rsidP="006C0F01">
      <w:pPr>
        <w:pStyle w:val="Heading5"/>
        <w:rPr>
          <w:lang w:val="es-ES"/>
        </w:rPr>
      </w:pPr>
      <w:bookmarkStart w:id="173" w:name="_Toc235821085"/>
      <w:r w:rsidRPr="005E3D50">
        <w:rPr>
          <w:lang w:val="es-ES"/>
        </w:rPr>
        <w:t>Contribuciones de actores distintos de los Gobiernos nacionales</w:t>
      </w:r>
      <w:bookmarkEnd w:id="173"/>
    </w:p>
    <w:p w14:paraId="20BB71A6" w14:textId="77777777" w:rsidR="00813533" w:rsidRPr="005E3D50" w:rsidRDefault="00813533" w:rsidP="00813533">
      <w:pPr>
        <w:rPr>
          <w:lang w:val="es-ES"/>
        </w:rPr>
      </w:pPr>
    </w:p>
    <w:p w14:paraId="40249477" w14:textId="3A762799" w:rsidR="00206CE6" w:rsidRPr="005E3D50" w:rsidRDefault="00206CE6" w:rsidP="00DE5EE8">
      <w:pPr>
        <w:pStyle w:val="Heading6"/>
        <w:rPr>
          <w:lang w:val="es-ES"/>
        </w:rPr>
      </w:pPr>
      <w:bookmarkStart w:id="174" w:name="_Toc235821086"/>
      <w:r w:rsidRPr="005E3D50">
        <w:rPr>
          <w:lang w:val="es-ES"/>
        </w:rPr>
        <w:lastRenderedPageBreak/>
        <w:t>Compromisos presentados directamente a través de la herramienta de presentación de informes en línea</w:t>
      </w:r>
      <w:bookmarkEnd w:id="174"/>
    </w:p>
    <w:p w14:paraId="780FB182" w14:textId="77777777" w:rsidR="00813533" w:rsidRPr="005E3D50" w:rsidRDefault="00813533" w:rsidP="00813533">
      <w:pPr>
        <w:rPr>
          <w:lang w:val="es-ES"/>
        </w:rPr>
      </w:pPr>
    </w:p>
    <w:p w14:paraId="76E463DB" w14:textId="48115840" w:rsidR="005B6A56" w:rsidRPr="005E3D50" w:rsidRDefault="005B6A56" w:rsidP="00DE5EE8">
      <w:pPr>
        <w:rPr>
          <w:lang w:val="es-ES"/>
        </w:rPr>
      </w:pPr>
      <w:r w:rsidRPr="005E3D50">
        <w:rPr>
          <w:lang w:val="es-ES"/>
        </w:rPr>
        <w:t xml:space="preserve">De los 180 compromisos sustantivos presentados directamente por actores distintos de los Gobiernos nacionales, 17 están asociados principalmente con la meta 3, de los cuales 16 corresponden a ONG y 1 a un organismo bilateral para el desarrollo. Los compromisos se centran en gran medida en la gestión de áreas protegidas, la restauración de los ecosistemas y la conservación basada en áreas. Varios de los compromisos incluyen apoyo a enfoques de conservación comunitaria y al desarrollo de otras medidas de conservación eficaces basadas en áreas (OMEC) (véase el recuadro 15). Los compromisos abarcan Europa, África, América del Sur, Asia y Oceanía. </w:t>
      </w:r>
    </w:p>
    <w:p w14:paraId="5284D757" w14:textId="77777777" w:rsidR="00980E55" w:rsidRPr="005E3D50" w:rsidRDefault="00980E55" w:rsidP="00DE5EE8">
      <w:pPr>
        <w:rPr>
          <w:lang w:val="es-ES"/>
        </w:rPr>
      </w:pPr>
    </w:p>
    <w:p w14:paraId="7D6A7396" w14:textId="1B993FCC" w:rsidR="00D36000" w:rsidRPr="005E3D50" w:rsidRDefault="00F33FBF" w:rsidP="00F33FBF">
      <w:pPr>
        <w:pStyle w:val="Caption"/>
        <w:keepNext/>
        <w:rPr>
          <w:i w:val="0"/>
          <w:iCs w:val="0"/>
          <w:sz w:val="20"/>
          <w:szCs w:val="20"/>
          <w:lang w:val="es-ES"/>
        </w:rPr>
      </w:pPr>
      <w:bookmarkStart w:id="175" w:name="_Ref230803584"/>
      <w:r w:rsidRPr="005E3D50">
        <w:rPr>
          <w:i w:val="0"/>
          <w:sz w:val="20"/>
          <w:szCs w:val="20"/>
          <w:lang w:val="es-ES"/>
        </w:rPr>
        <w:t>Recuadro 15</w:t>
      </w:r>
      <w:bookmarkEnd w:id="175"/>
    </w:p>
    <w:p w14:paraId="62DF4F99" w14:textId="4A1DDB1F" w:rsidR="00980E55" w:rsidRPr="005E3D50" w:rsidRDefault="00980E55" w:rsidP="00980E55">
      <w:pPr>
        <w:rPr>
          <w:sz w:val="20"/>
          <w:szCs w:val="20"/>
          <w:lang w:val="es-ES"/>
        </w:rPr>
      </w:pPr>
      <w:r w:rsidRPr="005E3D50">
        <w:rPr>
          <w:b/>
          <w:bCs/>
          <w:sz w:val="20"/>
          <w:szCs w:val="20"/>
          <w:lang w:val="es-ES"/>
        </w:rPr>
        <w:t xml:space="preserve">Una organización no gubernamental nacional que promueve otras medidas de conservación eficaces basadas en áreas </w:t>
      </w:r>
      <w:r w:rsidR="00EC290C" w:rsidRPr="005E3D50">
        <w:rPr>
          <w:b/>
          <w:bCs/>
          <w:sz w:val="20"/>
          <w:szCs w:val="20"/>
          <w:lang w:val="es-ES"/>
        </w:rPr>
        <w:t xml:space="preserve">(OMEC) </w:t>
      </w:r>
      <w:r w:rsidRPr="005E3D50">
        <w:rPr>
          <w:b/>
          <w:bCs/>
          <w:sz w:val="20"/>
          <w:szCs w:val="20"/>
          <w:lang w:val="es-ES"/>
        </w:rPr>
        <w:t>voluntarias y áreas conservadas por comunidades en China</w:t>
      </w:r>
    </w:p>
    <w:tbl>
      <w:tblPr>
        <w:tblStyle w:val="TableGrid"/>
        <w:tblW w:w="0" w:type="auto"/>
        <w:tblLook w:val="04A0" w:firstRow="1" w:lastRow="0" w:firstColumn="1" w:lastColumn="0" w:noHBand="0" w:noVBand="1"/>
      </w:tblPr>
      <w:tblGrid>
        <w:gridCol w:w="9016"/>
      </w:tblGrid>
      <w:tr w:rsidR="00973E96" w:rsidRPr="005E3D50" w14:paraId="598F8E59" w14:textId="77777777" w:rsidTr="38573CF5">
        <w:tc>
          <w:tcPr>
            <w:tcW w:w="9016" w:type="dxa"/>
            <w:shd w:val="clear" w:color="auto" w:fill="E8E8E8" w:themeFill="background2"/>
          </w:tcPr>
          <w:p w14:paraId="70C205E5" w14:textId="26953C15" w:rsidR="00797E09" w:rsidRPr="005E3D50" w:rsidRDefault="00797E09" w:rsidP="00797E09">
            <w:pPr>
              <w:rPr>
                <w:lang w:val="es-ES"/>
              </w:rPr>
            </w:pPr>
          </w:p>
          <w:p w14:paraId="46F5E1B5" w14:textId="144F54A4" w:rsidR="00617836" w:rsidRPr="005E3D50" w:rsidRDefault="00F67284" w:rsidP="008043DA">
            <w:pPr>
              <w:spacing w:line="276" w:lineRule="auto"/>
              <w:rPr>
                <w:rFonts w:asciiTheme="majorHAnsi" w:eastAsia="Aptos" w:hAnsiTheme="majorHAnsi" w:cs="Aptos"/>
                <w:sz w:val="20"/>
                <w:szCs w:val="20"/>
                <w:lang w:val="es-ES"/>
              </w:rPr>
            </w:pPr>
            <w:r w:rsidRPr="005E3D50">
              <w:rPr>
                <w:rFonts w:asciiTheme="majorHAnsi" w:hAnsiTheme="majorHAnsi"/>
                <w:sz w:val="20"/>
                <w:szCs w:val="20"/>
                <w:lang w:val="es-ES"/>
              </w:rPr>
              <w:t xml:space="preserve">China OECM Partnership </w:t>
            </w:r>
            <w:r w:rsidR="008043DA" w:rsidRPr="005E3D50">
              <w:rPr>
                <w:rFonts w:asciiTheme="majorHAnsi" w:hAnsiTheme="majorHAnsi"/>
                <w:sz w:val="20"/>
                <w:szCs w:val="20"/>
                <w:lang w:val="es-ES"/>
              </w:rPr>
              <w:t>es una iniciativa de múltiples interesados comprometida con la promoción voluntaria de otras medidas de conservación eficaces basadas en áreas (OMEC), que en chino se denominan “áreas de coexistencia con la naturaleza”, en los paisajes terrestres y marinos de todo el país para 2030.</w:t>
            </w:r>
          </w:p>
          <w:p w14:paraId="28B3BB9B" w14:textId="77777777" w:rsidR="00617836" w:rsidRPr="005E3D50" w:rsidRDefault="00617836" w:rsidP="008043DA">
            <w:pPr>
              <w:spacing w:line="276" w:lineRule="auto"/>
              <w:rPr>
                <w:rFonts w:asciiTheme="majorHAnsi" w:eastAsia="Aptos" w:hAnsiTheme="majorHAnsi" w:cs="Aptos"/>
                <w:sz w:val="20"/>
                <w:szCs w:val="20"/>
                <w:lang w:val="es-ES"/>
              </w:rPr>
            </w:pPr>
          </w:p>
          <w:p w14:paraId="39060137" w14:textId="7BB8FE8B" w:rsidR="008043DA" w:rsidRPr="005E3D50" w:rsidRDefault="7558B7B6" w:rsidP="00BB1414">
            <w:pPr>
              <w:spacing w:line="276" w:lineRule="auto"/>
              <w:rPr>
                <w:rFonts w:asciiTheme="majorHAnsi" w:hAnsiTheme="majorHAnsi"/>
                <w:sz w:val="20"/>
                <w:szCs w:val="20"/>
                <w:lang w:val="es-ES"/>
              </w:rPr>
            </w:pPr>
            <w:r w:rsidRPr="005E3D50">
              <w:rPr>
                <w:rFonts w:asciiTheme="majorHAnsi" w:hAnsiTheme="majorHAnsi"/>
                <w:sz w:val="20"/>
                <w:szCs w:val="20"/>
                <w:lang w:val="es-ES"/>
              </w:rPr>
              <w:t xml:space="preserve">Con la orientación técnica del Grupo de </w:t>
            </w:r>
            <w:r w:rsidR="00B63B22" w:rsidRPr="005E3D50">
              <w:rPr>
                <w:rFonts w:asciiTheme="majorHAnsi" w:hAnsiTheme="majorHAnsi"/>
                <w:sz w:val="20"/>
                <w:szCs w:val="20"/>
                <w:lang w:val="es-ES"/>
              </w:rPr>
              <w:t>trabajo de expertos</w:t>
            </w:r>
            <w:r w:rsidRPr="005E3D50">
              <w:rPr>
                <w:rFonts w:asciiTheme="majorHAnsi" w:hAnsiTheme="majorHAnsi"/>
                <w:sz w:val="20"/>
                <w:szCs w:val="20"/>
                <w:lang w:val="es-ES"/>
              </w:rPr>
              <w:t xml:space="preserve"> </w:t>
            </w:r>
            <w:r w:rsidR="00BB1414" w:rsidRPr="005E3D50">
              <w:rPr>
                <w:rFonts w:asciiTheme="majorHAnsi" w:hAnsiTheme="majorHAnsi"/>
                <w:sz w:val="20"/>
                <w:szCs w:val="20"/>
                <w:lang w:val="es-ES"/>
              </w:rPr>
              <w:t xml:space="preserve">sobre OMEC </w:t>
            </w:r>
            <w:r w:rsidRPr="005E3D50">
              <w:rPr>
                <w:rFonts w:asciiTheme="majorHAnsi" w:hAnsiTheme="majorHAnsi"/>
                <w:sz w:val="20"/>
                <w:szCs w:val="20"/>
                <w:lang w:val="es-ES"/>
              </w:rPr>
              <w:t xml:space="preserve">de la UICN en China y promovida conjuntamente por el Shan Shui </w:t>
            </w:r>
            <w:r w:rsidR="00BB1414" w:rsidRPr="005E3D50">
              <w:rPr>
                <w:rFonts w:asciiTheme="majorHAnsi" w:hAnsiTheme="majorHAnsi"/>
                <w:sz w:val="20"/>
                <w:szCs w:val="20"/>
                <w:lang w:val="es-ES"/>
              </w:rPr>
              <w:t xml:space="preserve">Conservation Center </w:t>
            </w:r>
            <w:r w:rsidRPr="005E3D50">
              <w:rPr>
                <w:rFonts w:asciiTheme="majorHAnsi" w:hAnsiTheme="majorHAnsi"/>
                <w:sz w:val="20"/>
                <w:szCs w:val="20"/>
                <w:lang w:val="es-ES"/>
              </w:rPr>
              <w:t>y trece instituciones asociadas, la iniciativa tiene como objetivo el desarrollo de unas 100 OMEC que abarquen al menos 3.000 km</w:t>
            </w:r>
            <w:r w:rsidR="00BB1414" w:rsidRPr="005E3D50">
              <w:rPr>
                <w:rFonts w:asciiTheme="majorHAnsi" w:hAnsiTheme="majorHAnsi"/>
                <w:sz w:val="20"/>
                <w:szCs w:val="20"/>
                <w:lang w:val="es-ES"/>
              </w:rPr>
              <w:t>² y comprendan</w:t>
            </w:r>
            <w:r w:rsidRPr="005E3D50">
              <w:rPr>
                <w:rFonts w:asciiTheme="majorHAnsi" w:hAnsiTheme="majorHAnsi"/>
                <w:sz w:val="20"/>
                <w:szCs w:val="20"/>
                <w:lang w:val="es-ES"/>
              </w:rPr>
              <w:t xml:space="preserve"> bosques, praderas, humedales, parques urbanos, granjas ecológicas y campus universitarios. En 2025, </w:t>
            </w:r>
            <w:r w:rsidR="00E76CBF" w:rsidRPr="005E3D50">
              <w:rPr>
                <w:rFonts w:asciiTheme="majorHAnsi" w:hAnsiTheme="majorHAnsi"/>
                <w:sz w:val="20"/>
                <w:szCs w:val="20"/>
                <w:lang w:val="es-ES"/>
              </w:rPr>
              <w:t>dos rondas de identificación de casos habían dado como resultado</w:t>
            </w:r>
            <w:r w:rsidRPr="005E3D50">
              <w:rPr>
                <w:rFonts w:asciiTheme="majorHAnsi" w:hAnsiTheme="majorHAnsi"/>
                <w:sz w:val="20"/>
                <w:szCs w:val="20"/>
                <w:lang w:val="es-ES"/>
              </w:rPr>
              <w:t xml:space="preserve"> 85 posibles emplazamientos de OMEC que abarcaban 2.219 km², de los cuales el 78 % estaban gestionados por actores distintos de los Gobiernos nacionales, entre ellos comunidades locales, ONG, empresas y campus universitarios. Bajo la orientación del Ministerio de Ecología y Medio Ambiente de China, esta alianza combina la creación de capacidad, la promoción de políticas y una plataforma de conocimiento específica para integrar la conservación de la biodiversidad más allá del sistema formal de áreas protegidas.</w:t>
            </w:r>
          </w:p>
          <w:p w14:paraId="7106EAD3" w14:textId="77777777" w:rsidR="008E1741" w:rsidRPr="005E3D50" w:rsidRDefault="008E1741" w:rsidP="008043DA">
            <w:pPr>
              <w:spacing w:line="276" w:lineRule="auto"/>
              <w:rPr>
                <w:rFonts w:ascii="Aptos" w:eastAsia="Aptos" w:hAnsi="Aptos" w:cs="Aptos"/>
                <w:i/>
                <w:iCs/>
                <w:lang w:val="es-ES"/>
              </w:rPr>
            </w:pPr>
          </w:p>
          <w:p w14:paraId="04F67386" w14:textId="04035BC1" w:rsidR="008E1741" w:rsidRPr="005E3D50" w:rsidRDefault="008E1741" w:rsidP="008043DA">
            <w:pPr>
              <w:spacing w:line="276" w:lineRule="auto"/>
              <w:rPr>
                <w:rFonts w:ascii="Aptos" w:eastAsia="Aptos" w:hAnsi="Aptos" w:cs="Aptos"/>
                <w:i/>
                <w:sz w:val="20"/>
                <w:szCs w:val="20"/>
                <w:lang w:val="es-ES"/>
              </w:rPr>
            </w:pPr>
            <w:r w:rsidRPr="005E3D50">
              <w:rPr>
                <w:rFonts w:ascii="Aptos" w:hAnsi="Aptos"/>
                <w:i/>
                <w:sz w:val="20"/>
                <w:szCs w:val="20"/>
                <w:lang w:val="es-ES"/>
              </w:rPr>
              <w:t xml:space="preserve">Metas pertinentes: </w:t>
            </w:r>
            <w:r w:rsidRPr="005E3D50">
              <w:rPr>
                <w:rFonts w:ascii="Aptos" w:hAnsi="Aptos"/>
                <w:sz w:val="20"/>
                <w:szCs w:val="20"/>
                <w:lang w:val="es-ES"/>
              </w:rPr>
              <w:t>3, 4, 10, 11, 12, 20 y 22.</w:t>
            </w:r>
          </w:p>
          <w:p w14:paraId="5F371903" w14:textId="0ADA254A" w:rsidR="002046DF" w:rsidRPr="005E3D50" w:rsidRDefault="002046DF" w:rsidP="38573CF5">
            <w:pPr>
              <w:spacing w:line="276" w:lineRule="auto"/>
              <w:rPr>
                <w:rFonts w:ascii="Aptos" w:eastAsia="Aptos" w:hAnsi="Aptos" w:cs="Aptos"/>
                <w:i/>
                <w:iCs/>
                <w:sz w:val="20"/>
                <w:szCs w:val="20"/>
                <w:lang w:val="es-ES"/>
              </w:rPr>
            </w:pPr>
            <w:r w:rsidRPr="005E3D50">
              <w:rPr>
                <w:rFonts w:ascii="Aptos" w:hAnsi="Aptos"/>
                <w:i/>
                <w:iCs/>
                <w:sz w:val="20"/>
                <w:szCs w:val="20"/>
                <w:lang w:val="es-ES"/>
              </w:rPr>
              <w:t xml:space="preserve">Fuente: </w:t>
            </w:r>
            <w:r w:rsidR="00204D0F" w:rsidRPr="005E3D50">
              <w:rPr>
                <w:sz w:val="20"/>
                <w:szCs w:val="20"/>
                <w:lang w:val="es-ES"/>
              </w:rPr>
              <w:t>China OECM Partnership</w:t>
            </w:r>
            <w:r w:rsidRPr="005E3D50">
              <w:rPr>
                <w:rFonts w:ascii="Aptos" w:hAnsi="Aptos"/>
                <w:sz w:val="20"/>
                <w:szCs w:val="20"/>
                <w:lang w:val="es-ES"/>
              </w:rPr>
              <w:t xml:space="preserve">, </w:t>
            </w:r>
            <w:r w:rsidRPr="005E3D50">
              <w:rPr>
                <w:sz w:val="20"/>
                <w:szCs w:val="20"/>
                <w:lang w:val="es-ES"/>
              </w:rPr>
              <w:t xml:space="preserve">compromiso de interesados (véase </w:t>
            </w:r>
            <w:hyperlink r:id="rId71">
              <w:r w:rsidRPr="005E3D50">
                <w:rPr>
                  <w:rStyle w:val="Hyperlink"/>
                  <w:sz w:val="20"/>
                  <w:szCs w:val="20"/>
                  <w:lang w:val="es-ES"/>
                </w:rPr>
                <w:t>https://ort.cbd.int/database/293966</w:t>
              </w:r>
            </w:hyperlink>
            <w:r w:rsidRPr="005E3D50">
              <w:rPr>
                <w:sz w:val="20"/>
                <w:szCs w:val="20"/>
                <w:lang w:val="es-ES"/>
              </w:rPr>
              <w:t>).</w:t>
            </w:r>
          </w:p>
          <w:p w14:paraId="7EA9F7AC" w14:textId="6F449C69" w:rsidR="00C36C21" w:rsidRPr="005E3D50" w:rsidRDefault="00C36C21" w:rsidP="00C36C21">
            <w:pPr>
              <w:rPr>
                <w:lang w:val="es-ES"/>
              </w:rPr>
            </w:pPr>
          </w:p>
        </w:tc>
      </w:tr>
    </w:tbl>
    <w:p w14:paraId="4FF63509" w14:textId="29C5C4E8" w:rsidR="00DE5EE8" w:rsidRPr="005E3D50" w:rsidRDefault="00DE5EE8" w:rsidP="00DE5EE8">
      <w:pPr>
        <w:pStyle w:val="Heading6"/>
        <w:rPr>
          <w:i w:val="0"/>
          <w:iCs w:val="0"/>
          <w:lang w:val="es-ES"/>
        </w:rPr>
      </w:pPr>
    </w:p>
    <w:p w14:paraId="7094649C" w14:textId="271CC7CB" w:rsidR="00206CE6" w:rsidRPr="005E3D50" w:rsidRDefault="00125C8E" w:rsidP="00DE5EE8">
      <w:pPr>
        <w:pStyle w:val="Heading6"/>
        <w:rPr>
          <w:lang w:val="es-ES"/>
        </w:rPr>
      </w:pPr>
      <w:bookmarkStart w:id="176" w:name="_Toc235821087"/>
      <w:r w:rsidRPr="005E3D50">
        <w:rPr>
          <w:lang w:val="es-ES"/>
        </w:rPr>
        <w:t>Contribuciones integradas en los informes nacionales</w:t>
      </w:r>
      <w:bookmarkEnd w:id="176"/>
    </w:p>
    <w:p w14:paraId="0008012F" w14:textId="77777777" w:rsidR="006C29BC" w:rsidRPr="005E3D50" w:rsidRDefault="006C29BC" w:rsidP="00D01813">
      <w:pPr>
        <w:rPr>
          <w:lang w:val="es-ES"/>
        </w:rPr>
      </w:pPr>
    </w:p>
    <w:p w14:paraId="313A4A94" w14:textId="459C238E" w:rsidR="006D6A86" w:rsidRPr="005E3D50" w:rsidRDefault="006D6A86" w:rsidP="006D6A86">
      <w:pPr>
        <w:rPr>
          <w:lang w:val="es-ES"/>
        </w:rPr>
      </w:pPr>
      <w:r w:rsidRPr="005E3D50">
        <w:rPr>
          <w:lang w:val="es-ES"/>
        </w:rPr>
        <w:lastRenderedPageBreak/>
        <w:t xml:space="preserve">Según los informes, los actores distintos de los Gobiernos nacionales participan con mayor frecuencia en la implementación de la meta 3 desempeñando funciones de cogestión y gobernanza de las áreas protegidas y conservadas. Los actores que suelen desempeñar estas funciones son los pueblos indígenas y las comunidades locales, los gobiernos subnacionales y las ONG. Las Partes también señalan la participación de organizaciones no gubernamentales, pueblos indígenas y comunidades locales y asociados internacionales con funciones como la ejecución directa de programas de conservación, la gestión de sitios y las actividades de restauración. Se señala que las instituciones científicas y académicas atienden necesidades importantes en materia de seguimiento y conocimientos para la </w:t>
      </w:r>
      <w:r w:rsidR="00CA1909" w:rsidRPr="005E3D50">
        <w:rPr>
          <w:lang w:val="es-ES"/>
        </w:rPr>
        <w:t>consecución</w:t>
      </w:r>
      <w:r w:rsidRPr="005E3D50">
        <w:rPr>
          <w:lang w:val="es-ES"/>
        </w:rPr>
        <w:t xml:space="preserve"> de la meta 3. Además, se señalan funciones conexas de los pueblos indígenas y las comunidades locales a través de conocimientos tradicionales y seguimiento comunitario, y de las ONG, por ejemplo, mediante proyectos de ciencia ciudadana. </w:t>
      </w:r>
    </w:p>
    <w:p w14:paraId="30EA71B1" w14:textId="77777777" w:rsidR="00D01813" w:rsidRPr="005E3D50" w:rsidRDefault="00D01813" w:rsidP="00D01813">
      <w:pPr>
        <w:rPr>
          <w:lang w:val="es-ES"/>
        </w:rPr>
      </w:pPr>
    </w:p>
    <w:p w14:paraId="1C949E8A" w14:textId="5112A707" w:rsidR="00E071EB" w:rsidRPr="005E3D50" w:rsidRDefault="00E071EB" w:rsidP="00E071EB">
      <w:pPr>
        <w:pStyle w:val="Heading5"/>
        <w:rPr>
          <w:lang w:val="es-ES"/>
        </w:rPr>
      </w:pPr>
      <w:bookmarkStart w:id="177" w:name="_Toc235821088"/>
      <w:r w:rsidRPr="005E3D50">
        <w:rPr>
          <w:lang w:val="es-ES"/>
        </w:rPr>
        <w:t>Ejemplos de vínculos con otros acuerdos, procesos y organizaciones</w:t>
      </w:r>
      <w:bookmarkEnd w:id="177"/>
      <w:r w:rsidRPr="005E3D50">
        <w:rPr>
          <w:lang w:val="es-ES"/>
        </w:rPr>
        <w:t xml:space="preserve"> </w:t>
      </w:r>
    </w:p>
    <w:p w14:paraId="0292F182" w14:textId="77777777" w:rsidR="00D205B7" w:rsidRPr="005E3D50" w:rsidRDefault="00D205B7" w:rsidP="00D01813">
      <w:pPr>
        <w:rPr>
          <w:rFonts w:eastAsia="Times New Roman" w:cs="Times New Roman"/>
          <w:lang w:val="es-ES"/>
        </w:rPr>
      </w:pPr>
    </w:p>
    <w:p w14:paraId="70D69CF9" w14:textId="6A7BCE3E" w:rsidR="00D01813" w:rsidRPr="005E3D50" w:rsidRDefault="00D01813" w:rsidP="00D01813">
      <w:pPr>
        <w:rPr>
          <w:rFonts w:cs="Times New Roman"/>
          <w:lang w:val="es-ES"/>
        </w:rPr>
      </w:pPr>
      <w:r w:rsidRPr="005E3D50">
        <w:rPr>
          <w:lang w:val="es-ES"/>
        </w:rPr>
        <w:t xml:space="preserve">La Convención sobre la Conservación de las Especies Migratorias de Animales Silvestres puso en marcha la Alianza Mundial para la Conectividad Ecológica en la 14ª reunión de la Conferencia de las Partes, celebrada en febrero de 2024. En respuesta a una resolución sobre conectividad ecológica adoptada por la Convención, la Alianza reconoce que para lograr el elemento de conectividad de la meta 3 (también pertinente para las metas 1, 2 y 12) se requiere la cooperación y colaboración entre múltiples interesados y sectores y a través de las fronteras nacionales. La Alianza incluye otros tres acuerdos ambientales multilaterales (el Convenio sobre la Diversidad Biológica, la Convención de las Naciones Unidas de Lucha contra la Desertificación y la Convención sobre los Humedales), así como el Banco Mundial, el Centro Mundial de Vigilancia de la Conservación del PNUMA, Gobiernos Locales por la Sostenibilidad (ICLEI), BirdLife International y otras entidades. El objetivo de la Alianza es mantener, restaurar y mejorar la conectividad ecológica en todo el mundo mediante la mejora de los datos y los conocimientos sobre conectividad, el fortalecimiento de la legislación y las políticas y la movilización de medidas y apoyo. La Alianza fortalece la acción colectiva y coherente para mantener y mejorar la conectividad natural existente y para restaurar los ecosistemas fragmentados en los paisajes terrestres, los sistemas fluviales y los paisajes marinos. Entre las herramientas promovidas por la Alianza se encuentran los módulos del Atlas de la </w:t>
      </w:r>
      <w:r w:rsidR="00EA7214" w:rsidRPr="005E3D50">
        <w:rPr>
          <w:lang w:val="es-ES"/>
        </w:rPr>
        <w:t>migración animal</w:t>
      </w:r>
      <w:r w:rsidR="006C6FCE" w:rsidRPr="005E3D50">
        <w:rPr>
          <w:rStyle w:val="FootnoteReference"/>
          <w:rFonts w:cs="Times New Roman"/>
          <w:lang w:val="es-ES"/>
        </w:rPr>
        <w:footnoteReference w:id="19"/>
      </w:r>
      <w:r w:rsidRPr="005E3D50">
        <w:rPr>
          <w:lang w:val="es-ES"/>
        </w:rPr>
        <w:t xml:space="preserve">, que proporcionan </w:t>
      </w:r>
      <w:r w:rsidRPr="005E3D50">
        <w:rPr>
          <w:lang w:val="es-ES"/>
        </w:rPr>
        <w:lastRenderedPageBreak/>
        <w:t xml:space="preserve">mapas de migración actualizados para apoyar la planificación espacial y las medidas de conservación basadas en áreas (CMS, 2024 y 2025a). </w:t>
      </w:r>
    </w:p>
    <w:p w14:paraId="2CEE0D37" w14:textId="53C68C88" w:rsidR="00833B30" w:rsidRPr="005E3D50" w:rsidRDefault="00AE5B8B" w:rsidP="00833B30">
      <w:pPr>
        <w:rPr>
          <w:rFonts w:cs="Times New Roman"/>
          <w:lang w:val="es-ES"/>
        </w:rPr>
      </w:pPr>
      <w:r w:rsidRPr="005E3D50">
        <w:rPr>
          <w:lang w:val="es-ES"/>
        </w:rPr>
        <w:t>La Lista de Ramsar de Humedales de Importancia Internacional, comúnmente conocidos como sitios Ramsar, en el marco de la Convención sobre los Humedales, constituye la mayor red del mundo de sitios de importancia ecológica reconocidos internacionalmente y es un mecanismo importante para la implementación y el seguimiento de la meta 3. El Servicio de Información sobre Sitios Ramsar</w:t>
      </w:r>
      <w:r w:rsidRPr="005E3D50">
        <w:rPr>
          <w:rStyle w:val="FootnoteReference"/>
          <w:rFonts w:cs="Times New Roman"/>
          <w:lang w:val="es-ES"/>
        </w:rPr>
        <w:footnoteReference w:id="20"/>
      </w:r>
      <w:r w:rsidRPr="005E3D50">
        <w:rPr>
          <w:lang w:val="es-ES"/>
        </w:rPr>
        <w:t xml:space="preserve"> proporciona datos sobre las superficies que abarcan dichos sitios y otra información, tales como sus características ecológicas, los modelos de gobernanza y la planificación de su gestión, así como las amenazas que enfrentan y sus vínculos con otros sistemas de áreas protegidas. Los informes nacionales presentados a la Convención sobre los Humedales muestran que, para la 15ª reunión de su Conferencia de las Partes, celebrada en 2025, se habían añadido a la lista 221 nuevos humedales de importancia internacional desde 2015, lo que eleva el número total de sitios a 2.535, que abarcan casi 258 millones de hectáreas. Esto representa un aumento del 16 % en el número de sitios y del 24 % en la superficie con respecto a la década anterior. Se estima que tres cuartas partes de los sitios cuentan con planes de gestión eficaces que se están aplicando, lo que supone un aumento significativo con respecto a evaluaciones anteriores; sin embargo, menos de un tercio de las Partes Contratantes han evaluado la eficacia de la gestión de todos sus humedales de importancia internacional. En la </w:t>
      </w:r>
      <w:r w:rsidRPr="005E3D50">
        <w:rPr>
          <w:i/>
          <w:iCs/>
          <w:lang w:val="es-ES"/>
        </w:rPr>
        <w:t>Perspectiva mundial sobre los humedales</w:t>
      </w:r>
      <w:r w:rsidRPr="005E3D50">
        <w:rPr>
          <w:lang w:val="es-ES"/>
        </w:rPr>
        <w:t xml:space="preserve"> </w:t>
      </w:r>
      <w:r w:rsidRPr="005E3D50">
        <w:rPr>
          <w:i/>
          <w:iCs/>
          <w:lang w:val="es-ES"/>
        </w:rPr>
        <w:t>2025</w:t>
      </w:r>
      <w:r w:rsidRPr="005E3D50">
        <w:rPr>
          <w:lang w:val="es-ES"/>
        </w:rPr>
        <w:t xml:space="preserve"> se estima que, para alcanzar la meta 3 del Marco, es necesario gestionar eficazmente alrededor de 428 millones de hectáreas de humedales dentro de áreas protegidas </w:t>
      </w:r>
      <w:r w:rsidR="00E739B2" w:rsidRPr="005E3D50">
        <w:rPr>
          <w:lang w:val="es-ES"/>
        </w:rPr>
        <w:t>u</w:t>
      </w:r>
      <w:r w:rsidRPr="005E3D50">
        <w:rPr>
          <w:lang w:val="es-ES"/>
        </w:rPr>
        <w:t xml:space="preserve"> otras medidas eficaces de conservación basadas en áreas (OMEC) (Convención sobre los Humedales, 2025a, 2025d y 2025b). En la 15ª reunión de la Conferencia de las Partes en la Convención sobre los Humedales, celebrada en 2026, las Partes Contratantes reforzaron aún más la armonización con el Marco Mundial de Biodiversidad de Kunming-Montreal mediante la adopción de una resolución que reconocía la función de los humedales dentro de las OMEC, apoyando su identificación, la presentación de informes y su integración en los enfoques nacionales “del 30 % para 2030” junto con la red de sitios Ramsar.</w:t>
      </w:r>
    </w:p>
    <w:p w14:paraId="33571773" w14:textId="77777777" w:rsidR="00AF3652" w:rsidRPr="005E3D50" w:rsidRDefault="00AF3652" w:rsidP="00D01813">
      <w:pPr>
        <w:rPr>
          <w:rFonts w:cs="Times New Roman"/>
          <w:lang w:val="es-ES"/>
        </w:rPr>
      </w:pPr>
    </w:p>
    <w:p w14:paraId="665B3AB7" w14:textId="70BEDD2B" w:rsidR="00120352" w:rsidRPr="005E3D50" w:rsidRDefault="00120352" w:rsidP="74032CC2">
      <w:pPr>
        <w:pStyle w:val="Heading4"/>
        <w:rPr>
          <w:i w:val="0"/>
          <w:iCs w:val="0"/>
          <w:lang w:val="es-ES"/>
        </w:rPr>
      </w:pPr>
      <w:bookmarkStart w:id="178" w:name="_Toc235821089"/>
      <w:bookmarkStart w:id="179" w:name="_Toc239069198"/>
      <w:bookmarkStart w:id="180" w:name="_Toc242882976"/>
      <w:r w:rsidRPr="005E3D50">
        <w:rPr>
          <w:b/>
          <w:bCs/>
          <w:i w:val="0"/>
          <w:iCs w:val="0"/>
          <w:lang w:val="es-ES"/>
        </w:rPr>
        <w:t>Meta 4.</w:t>
      </w:r>
      <w:r w:rsidRPr="005E3D50">
        <w:rPr>
          <w:lang w:val="es-ES"/>
        </w:rPr>
        <w:t xml:space="preserve"> </w:t>
      </w:r>
      <w:r w:rsidRPr="005E3D50">
        <w:rPr>
          <w:i w:val="0"/>
          <w:iCs w:val="0"/>
          <w:lang w:val="es-ES"/>
        </w:rPr>
        <w:t>Detener la extinción de especies, proteger la diversidad genética y gestionar los conflictos entre los seres humanos y las especies silvestres</w:t>
      </w:r>
      <w:bookmarkEnd w:id="178"/>
      <w:bookmarkEnd w:id="179"/>
      <w:bookmarkEnd w:id="180"/>
    </w:p>
    <w:p w14:paraId="79D84C93" w14:textId="77777777" w:rsidR="00086E63" w:rsidRPr="005E3D50" w:rsidRDefault="00086E63" w:rsidP="00086E63">
      <w:pPr>
        <w:rPr>
          <w:lang w:val="es-ES"/>
        </w:rPr>
      </w:pPr>
    </w:p>
    <w:p w14:paraId="501BBB3D" w14:textId="23DC3B49" w:rsidR="00086E63" w:rsidRPr="005E3D50" w:rsidRDefault="00086E63" w:rsidP="00086E63">
      <w:pPr>
        <w:rPr>
          <w:i/>
          <w:iCs/>
          <w:sz w:val="22"/>
          <w:szCs w:val="22"/>
          <w:lang w:val="es-ES"/>
        </w:rPr>
      </w:pPr>
      <w:r w:rsidRPr="005E3D50">
        <w:rPr>
          <w:b/>
          <w:bCs/>
          <w:sz w:val="22"/>
          <w:szCs w:val="22"/>
          <w:lang w:val="es-ES"/>
        </w:rPr>
        <w:lastRenderedPageBreak/>
        <w:t>Texto de la meta</w:t>
      </w:r>
      <w:r w:rsidRPr="005E3D50">
        <w:rPr>
          <w:b/>
          <w:sz w:val="22"/>
          <w:szCs w:val="22"/>
          <w:lang w:val="es-ES"/>
        </w:rPr>
        <w:t>.</w:t>
      </w:r>
      <w:r w:rsidRPr="005E3D50">
        <w:rPr>
          <w:i/>
          <w:iCs/>
          <w:sz w:val="22"/>
          <w:szCs w:val="22"/>
          <w:lang w:val="es-ES"/>
        </w:rPr>
        <w:t xml:space="preserve"> 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in situ y ex situ, y gestionar eficazmente las interacciones entre los seres humanos y la fauna y flora silvestres, con miras a reducir al mínimo los conflictos entre los seres humanos y las especies silvestres en favor de la coexistencia.</w:t>
      </w:r>
    </w:p>
    <w:p w14:paraId="6AFD36F3" w14:textId="77777777" w:rsidR="00086E63" w:rsidRPr="005E3D50" w:rsidRDefault="00086E63" w:rsidP="00086E63">
      <w:pPr>
        <w:rPr>
          <w:lang w:val="es-ES"/>
        </w:rPr>
      </w:pPr>
    </w:p>
    <w:p w14:paraId="1EF6BA7A" w14:textId="3D6947FA" w:rsidR="00B85FFF" w:rsidRPr="005E3D50" w:rsidRDefault="001110C3" w:rsidP="00B85FFF">
      <w:pPr>
        <w:pStyle w:val="Heading5"/>
        <w:rPr>
          <w:lang w:val="es-ES"/>
        </w:rPr>
      </w:pPr>
      <w:r w:rsidRPr="005E3D50">
        <w:rPr>
          <w:lang w:val="es-ES"/>
        </w:rPr>
        <w:t>Panorama general de los progresos</w:t>
      </w:r>
    </w:p>
    <w:tbl>
      <w:tblPr>
        <w:tblStyle w:val="TableGrid"/>
        <w:tblW w:w="0" w:type="auto"/>
        <w:tblLook w:val="04A0" w:firstRow="1" w:lastRow="0" w:firstColumn="1" w:lastColumn="0" w:noHBand="0" w:noVBand="1"/>
      </w:tblPr>
      <w:tblGrid>
        <w:gridCol w:w="9016"/>
      </w:tblGrid>
      <w:tr w:rsidR="00B85FFF" w:rsidRPr="005E3D50" w14:paraId="165CCE13" w14:textId="77777777" w:rsidTr="00B85FFF">
        <w:tc>
          <w:tcPr>
            <w:tcW w:w="9016" w:type="dxa"/>
            <w:shd w:val="clear" w:color="auto" w:fill="D1D1D1" w:themeFill="background2" w:themeFillShade="E6"/>
          </w:tcPr>
          <w:p w14:paraId="1D12D0D2" w14:textId="77777777" w:rsidR="00086E63" w:rsidRPr="005E3D50" w:rsidRDefault="00086E63" w:rsidP="00B60665">
            <w:pPr>
              <w:rPr>
                <w:rFonts w:ascii="Aptos" w:eastAsia="Times New Roman" w:hAnsi="Aptos" w:cs="Calibri"/>
                <w:color w:val="000000"/>
                <w:lang w:val="es-ES"/>
              </w:rPr>
            </w:pPr>
          </w:p>
          <w:p w14:paraId="56F50298" w14:textId="2F229DA2" w:rsidR="00CD7821" w:rsidRPr="005E3D50" w:rsidRDefault="00205F06" w:rsidP="00CD7821">
            <w:pPr>
              <w:rPr>
                <w:rFonts w:ascii="Aptos" w:eastAsia="Times New Roman" w:hAnsi="Aptos" w:cs="Calibri"/>
                <w:color w:val="000000"/>
                <w:lang w:val="es-ES"/>
              </w:rPr>
            </w:pPr>
            <w:r w:rsidRPr="005E3D50">
              <w:rPr>
                <w:rFonts w:ascii="Aptos" w:hAnsi="Aptos"/>
                <w:color w:val="000000"/>
                <w:lang w:val="es-ES"/>
              </w:rPr>
              <w:t>Las pruebas</w:t>
            </w:r>
            <w:r w:rsidR="00CD7821" w:rsidRPr="005E3D50">
              <w:rPr>
                <w:rFonts w:ascii="Aptos" w:hAnsi="Aptos"/>
                <w:color w:val="000000"/>
                <w:lang w:val="es-ES"/>
              </w:rPr>
              <w:t xml:space="preserve"> disponibles indican que persisten las presiones sobre las especies amenazadas y los riesgos de extinción, pero la evaluación de los progresos colectivos sigue viéndose limitada por las desiguales capacidades nacionales de seguimiento, una cobertura taxonómica incompleta y la escasez de datos sobre la diversidad genética. Las metas nacionales abordan en general la conservación de especies; sin embargo, las cuestiones relativas al mantenimiento y la restauración de la diversidad genética entre las poblaciones de especies domesticadas y dentro de ellas, y a la gestión eficaz de las interacciones entre los seres humanos y la fauna y flora silvestres con miras a reducir al mínimo los conflictos </w:t>
            </w:r>
            <w:r w:rsidR="002576CE" w:rsidRPr="005E3D50">
              <w:rPr>
                <w:rFonts w:ascii="Aptos" w:hAnsi="Aptos"/>
                <w:color w:val="000000"/>
                <w:lang w:val="es-ES"/>
              </w:rPr>
              <w:t>entre los seres humanos y las especies silvestres en favor de</w:t>
            </w:r>
            <w:r w:rsidR="00CD7821" w:rsidRPr="005E3D50">
              <w:rPr>
                <w:rFonts w:ascii="Aptos" w:hAnsi="Aptos"/>
                <w:color w:val="000000"/>
                <w:lang w:val="es-ES"/>
              </w:rPr>
              <w:t xml:space="preserve"> la coexistencia, no se abordan en la misma medida. El fortalecimiento de los programas de recuperación de especies, la ampliación de los sistemas de seguimiento y </w:t>
            </w:r>
            <w:r w:rsidRPr="005E3D50">
              <w:rPr>
                <w:rFonts w:ascii="Aptos" w:hAnsi="Aptos"/>
                <w:color w:val="000000"/>
                <w:lang w:val="es-ES"/>
              </w:rPr>
              <w:t>el abordaje de</w:t>
            </w:r>
            <w:r w:rsidR="00CD7821" w:rsidRPr="005E3D50">
              <w:rPr>
                <w:rFonts w:ascii="Aptos" w:hAnsi="Aptos"/>
                <w:color w:val="000000"/>
                <w:lang w:val="es-ES"/>
              </w:rPr>
              <w:t xml:space="preserve"> los impulsores de la disminución de especies se han identificado como prioridades.</w:t>
            </w:r>
          </w:p>
          <w:p w14:paraId="7C3EF57E" w14:textId="44B85908" w:rsidR="00BC6F04" w:rsidRPr="005E3D50" w:rsidRDefault="00BC6F04" w:rsidP="00B60665">
            <w:pPr>
              <w:rPr>
                <w:lang w:val="es-ES"/>
              </w:rPr>
            </w:pPr>
          </w:p>
        </w:tc>
      </w:tr>
    </w:tbl>
    <w:p w14:paraId="29AB81E2" w14:textId="77777777" w:rsidR="00975CCA" w:rsidRPr="005E3D50" w:rsidRDefault="00975CCA" w:rsidP="006E369A">
      <w:pPr>
        <w:pStyle w:val="Heading5"/>
        <w:rPr>
          <w:lang w:val="es-ES"/>
        </w:rPr>
      </w:pPr>
    </w:p>
    <w:p w14:paraId="6585FCDE" w14:textId="66E11151" w:rsidR="00803A83" w:rsidRPr="005E3D50" w:rsidRDefault="00803A83" w:rsidP="00803A83">
      <w:pPr>
        <w:pStyle w:val="Heading5"/>
        <w:rPr>
          <w:lang w:val="es-ES"/>
        </w:rPr>
      </w:pPr>
      <w:r w:rsidRPr="005E3D50">
        <w:rPr>
          <w:lang w:val="es-ES"/>
        </w:rPr>
        <w:t>Grado en que las Partes cubren el alcance de la meta 4 del Marco en sus metas nacionales</w:t>
      </w:r>
    </w:p>
    <w:p w14:paraId="52488937" w14:textId="77777777" w:rsidR="00AF3652" w:rsidRPr="005E3D50" w:rsidRDefault="00AF3652" w:rsidP="00AF3652">
      <w:pPr>
        <w:rPr>
          <w:lang w:val="es-ES"/>
        </w:rPr>
      </w:pPr>
    </w:p>
    <w:p w14:paraId="27A83381" w14:textId="557B3CEF" w:rsidR="00316CF1" w:rsidRPr="005E3D50" w:rsidRDefault="005901A1" w:rsidP="005901A1">
      <w:pPr>
        <w:pStyle w:val="Caption"/>
        <w:rPr>
          <w:i w:val="0"/>
          <w:iCs w:val="0"/>
          <w:sz w:val="20"/>
          <w:szCs w:val="20"/>
          <w:lang w:val="es-ES"/>
        </w:rPr>
      </w:pPr>
      <w:bookmarkStart w:id="181" w:name="_Ref230690184"/>
      <w:r w:rsidRPr="005E3D50">
        <w:rPr>
          <w:i w:val="0"/>
          <w:sz w:val="20"/>
          <w:szCs w:val="20"/>
          <w:lang w:val="es-ES"/>
        </w:rPr>
        <w:t>Cuadro 10</w:t>
      </w:r>
      <w:bookmarkEnd w:id="181"/>
      <w:r w:rsidRPr="005E3D50">
        <w:rPr>
          <w:i w:val="0"/>
          <w:sz w:val="20"/>
          <w:szCs w:val="20"/>
          <w:lang w:val="es-ES"/>
        </w:rPr>
        <w:t xml:space="preserve"> </w:t>
      </w:r>
    </w:p>
    <w:p w14:paraId="227ADE4B" w14:textId="78643741" w:rsidR="009C2D72" w:rsidRPr="005E3D50" w:rsidRDefault="005901A1" w:rsidP="005901A1">
      <w:pPr>
        <w:pStyle w:val="Caption"/>
        <w:rPr>
          <w:i w:val="0"/>
          <w:sz w:val="22"/>
          <w:szCs w:val="22"/>
          <w:vertAlign w:val="superscript"/>
          <w:lang w:val="es-ES"/>
        </w:rPr>
      </w:pPr>
      <w:r w:rsidRPr="005E3D50">
        <w:rPr>
          <w:b/>
          <w:bCs/>
          <w:i w:val="0"/>
          <w:lang w:val="es-ES"/>
        </w:rPr>
        <w:t xml:space="preserve">Elementos de la meta 4 del Marco y cómo se abordan en las metas </w:t>
      </w:r>
      <w:proofErr w:type="spellStart"/>
      <w:r w:rsidRPr="005E3D50">
        <w:rPr>
          <w:b/>
          <w:bCs/>
          <w:i w:val="0"/>
          <w:lang w:val="es-ES"/>
        </w:rPr>
        <w:t>nacionales</w:t>
      </w:r>
      <w:r w:rsidRPr="005E3D50">
        <w:rPr>
          <w:b/>
          <w:bCs/>
          <w:i w:val="0"/>
          <w:iCs w:val="0"/>
          <w:vertAlign w:val="superscript"/>
          <w:lang w:val="es-ES"/>
        </w:rPr>
        <w:t>a</w:t>
      </w:r>
      <w:proofErr w:type="spellEnd"/>
      <w:r w:rsidRPr="005E3D50">
        <w:rPr>
          <w:b/>
          <w:bCs/>
          <w:i w:val="0"/>
          <w:lang w:val="es-ES"/>
        </w:rPr>
        <w:t>.</w:t>
      </w:r>
    </w:p>
    <w:tbl>
      <w:tblPr>
        <w:tblStyle w:val="TableGrid"/>
        <w:tblW w:w="0" w:type="auto"/>
        <w:tblLook w:val="04A0" w:firstRow="1" w:lastRow="0" w:firstColumn="1" w:lastColumn="0" w:noHBand="0" w:noVBand="1"/>
      </w:tblPr>
      <w:tblGrid>
        <w:gridCol w:w="8500"/>
        <w:gridCol w:w="516"/>
      </w:tblGrid>
      <w:tr w:rsidR="009C2D72" w:rsidRPr="005E3D50" w14:paraId="416930A8" w14:textId="77777777" w:rsidTr="00AE2A8C">
        <w:tc>
          <w:tcPr>
            <w:tcW w:w="8500" w:type="dxa"/>
          </w:tcPr>
          <w:p w14:paraId="1F7A6037" w14:textId="405B1A38" w:rsidR="009C2D72" w:rsidRPr="005E3D50" w:rsidRDefault="00AA0EB1" w:rsidP="006E369A">
            <w:pPr>
              <w:rPr>
                <w:sz w:val="20"/>
                <w:szCs w:val="20"/>
                <w:lang w:val="es-ES"/>
              </w:rPr>
            </w:pPr>
            <w:r w:rsidRPr="005E3D50">
              <w:rPr>
                <w:sz w:val="20"/>
                <w:szCs w:val="20"/>
                <w:lang w:val="es-ES"/>
              </w:rPr>
              <w:t xml:space="preserve">Garantizar que se adopten con urgencia medidas de gestión, entre otras cosas mediante prácticas sostenibles de gestión y conservación </w:t>
            </w:r>
            <w:r w:rsidRPr="005E3D50">
              <w:rPr>
                <w:i/>
                <w:iCs/>
                <w:sz w:val="20"/>
                <w:szCs w:val="20"/>
                <w:lang w:val="es-ES"/>
              </w:rPr>
              <w:t>in situ</w:t>
            </w:r>
            <w:r w:rsidRPr="005E3D50">
              <w:rPr>
                <w:sz w:val="20"/>
                <w:szCs w:val="20"/>
                <w:lang w:val="es-ES"/>
              </w:rPr>
              <w:t xml:space="preserve"> y </w:t>
            </w:r>
            <w:r w:rsidRPr="005E3D50">
              <w:rPr>
                <w:i/>
                <w:iCs/>
                <w:sz w:val="20"/>
                <w:szCs w:val="20"/>
                <w:lang w:val="es-ES"/>
              </w:rPr>
              <w:t>ex situ</w:t>
            </w:r>
          </w:p>
        </w:tc>
        <w:tc>
          <w:tcPr>
            <w:tcW w:w="516" w:type="dxa"/>
            <w:shd w:val="clear" w:color="auto" w:fill="00B050"/>
          </w:tcPr>
          <w:p w14:paraId="34C9EBD6" w14:textId="3C448612" w:rsidR="009C2D72" w:rsidRPr="005E3D50" w:rsidRDefault="00DB25D7" w:rsidP="006E369A">
            <w:pPr>
              <w:rPr>
                <w:sz w:val="20"/>
                <w:szCs w:val="20"/>
                <w:lang w:val="es-ES"/>
              </w:rPr>
            </w:pPr>
            <w:r w:rsidRPr="005E3D50">
              <w:rPr>
                <w:sz w:val="20"/>
                <w:szCs w:val="20"/>
                <w:lang w:val="es-ES"/>
              </w:rPr>
              <w:t>81</w:t>
            </w:r>
          </w:p>
        </w:tc>
      </w:tr>
      <w:tr w:rsidR="009C2D72" w:rsidRPr="005E3D50" w14:paraId="5F2AB26D" w14:textId="77777777" w:rsidTr="00990294">
        <w:tc>
          <w:tcPr>
            <w:tcW w:w="8500" w:type="dxa"/>
          </w:tcPr>
          <w:p w14:paraId="7B7C748B" w14:textId="69398380" w:rsidR="00BC0C54" w:rsidRPr="005E3D50" w:rsidRDefault="002947D7" w:rsidP="006E369A">
            <w:pPr>
              <w:rPr>
                <w:sz w:val="20"/>
                <w:szCs w:val="20"/>
                <w:lang w:val="es-ES"/>
              </w:rPr>
            </w:pPr>
            <w:r w:rsidRPr="005E3D50">
              <w:rPr>
                <w:sz w:val="20"/>
                <w:szCs w:val="20"/>
                <w:lang w:val="es-ES"/>
              </w:rPr>
              <w:t xml:space="preserve">Detener la extinción provocada por los seres humanos de las especies amenazadas conocidas </w:t>
            </w:r>
          </w:p>
        </w:tc>
        <w:tc>
          <w:tcPr>
            <w:tcW w:w="516" w:type="dxa"/>
            <w:shd w:val="clear" w:color="auto" w:fill="92D050"/>
          </w:tcPr>
          <w:p w14:paraId="708FFEB1" w14:textId="556AB60A" w:rsidR="009C2D72" w:rsidRPr="005E3D50" w:rsidRDefault="00990294" w:rsidP="006E369A">
            <w:pPr>
              <w:rPr>
                <w:sz w:val="20"/>
                <w:szCs w:val="20"/>
                <w:lang w:val="es-ES"/>
              </w:rPr>
            </w:pPr>
            <w:r w:rsidRPr="005E3D50">
              <w:rPr>
                <w:sz w:val="20"/>
                <w:szCs w:val="20"/>
                <w:lang w:val="es-ES"/>
              </w:rPr>
              <w:t>66</w:t>
            </w:r>
          </w:p>
        </w:tc>
      </w:tr>
      <w:tr w:rsidR="009C2D72" w:rsidRPr="005E3D50" w14:paraId="2EA46573" w14:textId="77777777" w:rsidTr="006265D1">
        <w:tc>
          <w:tcPr>
            <w:tcW w:w="8500" w:type="dxa"/>
          </w:tcPr>
          <w:p w14:paraId="040BEF9F" w14:textId="0DCCE3F3" w:rsidR="00BC0C54" w:rsidRPr="005E3D50" w:rsidRDefault="00BA463E" w:rsidP="006E369A">
            <w:pPr>
              <w:rPr>
                <w:sz w:val="20"/>
                <w:szCs w:val="20"/>
                <w:lang w:val="es-ES"/>
              </w:rPr>
            </w:pPr>
            <w:r w:rsidRPr="005E3D50">
              <w:rPr>
                <w:sz w:val="20"/>
                <w:szCs w:val="20"/>
                <w:lang w:val="es-ES"/>
              </w:rPr>
              <w:t xml:space="preserve">Permitir la recuperación y conservación de las especies, en particular las especies amenazadas, a fin de reducir significativamente el riesgo de extinción </w:t>
            </w:r>
          </w:p>
        </w:tc>
        <w:tc>
          <w:tcPr>
            <w:tcW w:w="516" w:type="dxa"/>
            <w:shd w:val="clear" w:color="auto" w:fill="00B050"/>
          </w:tcPr>
          <w:p w14:paraId="58F44914" w14:textId="4EA193AE" w:rsidR="009C2D72" w:rsidRPr="005E3D50" w:rsidRDefault="006265D1" w:rsidP="006E369A">
            <w:pPr>
              <w:rPr>
                <w:sz w:val="20"/>
                <w:szCs w:val="20"/>
                <w:lang w:val="es-ES"/>
              </w:rPr>
            </w:pPr>
            <w:r w:rsidRPr="005E3D50">
              <w:rPr>
                <w:sz w:val="20"/>
                <w:szCs w:val="20"/>
                <w:lang w:val="es-ES"/>
              </w:rPr>
              <w:t>90</w:t>
            </w:r>
          </w:p>
        </w:tc>
      </w:tr>
      <w:tr w:rsidR="009C2D72" w:rsidRPr="005E3D50" w14:paraId="405FDE13" w14:textId="77777777" w:rsidTr="00AA430A">
        <w:tc>
          <w:tcPr>
            <w:tcW w:w="8500" w:type="dxa"/>
          </w:tcPr>
          <w:p w14:paraId="73D4B6CE" w14:textId="6DD2636B" w:rsidR="009C2D72" w:rsidRPr="005E3D50" w:rsidRDefault="00061E49" w:rsidP="006E369A">
            <w:pPr>
              <w:rPr>
                <w:sz w:val="20"/>
                <w:szCs w:val="20"/>
                <w:lang w:val="es-ES"/>
              </w:rPr>
            </w:pPr>
            <w:r w:rsidRPr="005E3D50">
              <w:rPr>
                <w:sz w:val="20"/>
                <w:szCs w:val="20"/>
                <w:lang w:val="es-ES"/>
              </w:rPr>
              <w:t xml:space="preserve">Mantener y restaurar la diversidad genética entre las poblaciones de especies autóctonas y silvestres y dentro de ellas a fin de preservar su potencial de adaptación </w:t>
            </w:r>
          </w:p>
        </w:tc>
        <w:tc>
          <w:tcPr>
            <w:tcW w:w="516" w:type="dxa"/>
            <w:shd w:val="clear" w:color="auto" w:fill="92D050"/>
          </w:tcPr>
          <w:p w14:paraId="4275E85C" w14:textId="71CA33A5" w:rsidR="009C2D72" w:rsidRPr="005E3D50" w:rsidRDefault="00AA430A" w:rsidP="006E369A">
            <w:pPr>
              <w:rPr>
                <w:sz w:val="20"/>
                <w:szCs w:val="20"/>
                <w:lang w:val="es-ES"/>
              </w:rPr>
            </w:pPr>
            <w:r w:rsidRPr="005E3D50">
              <w:rPr>
                <w:sz w:val="20"/>
                <w:szCs w:val="20"/>
                <w:lang w:val="es-ES"/>
              </w:rPr>
              <w:t>73</w:t>
            </w:r>
          </w:p>
        </w:tc>
      </w:tr>
      <w:tr w:rsidR="009C2D72" w:rsidRPr="005E3D50" w14:paraId="4F9B0839" w14:textId="77777777" w:rsidTr="0054703D">
        <w:tc>
          <w:tcPr>
            <w:tcW w:w="8500" w:type="dxa"/>
          </w:tcPr>
          <w:p w14:paraId="38D751C6" w14:textId="298160F8" w:rsidR="009C2D72" w:rsidRPr="005E3D50" w:rsidRDefault="000E5BD6" w:rsidP="006E369A">
            <w:pPr>
              <w:rPr>
                <w:sz w:val="20"/>
                <w:szCs w:val="20"/>
                <w:lang w:val="es-ES"/>
              </w:rPr>
            </w:pPr>
            <w:r w:rsidRPr="005E3D50">
              <w:rPr>
                <w:sz w:val="20"/>
                <w:szCs w:val="20"/>
                <w:lang w:val="es-ES"/>
              </w:rPr>
              <w:t xml:space="preserve">Mantener y restaurar la diversidad genética entre las poblaciones de especies domesticadas y dentro de ellas a fin de preservar su potencial de adaptación </w:t>
            </w:r>
          </w:p>
        </w:tc>
        <w:tc>
          <w:tcPr>
            <w:tcW w:w="516" w:type="dxa"/>
            <w:shd w:val="clear" w:color="auto" w:fill="FFFF00"/>
          </w:tcPr>
          <w:p w14:paraId="3768EEB9" w14:textId="5ACFC822" w:rsidR="009C2D72" w:rsidRPr="005E3D50" w:rsidRDefault="0054703D" w:rsidP="006E369A">
            <w:pPr>
              <w:rPr>
                <w:sz w:val="20"/>
                <w:szCs w:val="20"/>
                <w:lang w:val="es-ES"/>
              </w:rPr>
            </w:pPr>
            <w:r w:rsidRPr="005E3D50">
              <w:rPr>
                <w:sz w:val="20"/>
                <w:szCs w:val="20"/>
                <w:lang w:val="es-ES"/>
              </w:rPr>
              <w:t>55</w:t>
            </w:r>
          </w:p>
        </w:tc>
      </w:tr>
      <w:tr w:rsidR="009C2D72" w:rsidRPr="005E3D50" w14:paraId="63E2569A" w14:textId="77777777" w:rsidTr="00DA2097">
        <w:tc>
          <w:tcPr>
            <w:tcW w:w="8500" w:type="dxa"/>
          </w:tcPr>
          <w:p w14:paraId="09974475" w14:textId="27FC3ACA" w:rsidR="009C2D72" w:rsidRPr="005E3D50" w:rsidRDefault="00BC0C54" w:rsidP="006E369A">
            <w:pPr>
              <w:rPr>
                <w:sz w:val="20"/>
                <w:szCs w:val="20"/>
                <w:lang w:val="es-ES"/>
              </w:rPr>
            </w:pPr>
            <w:r w:rsidRPr="005E3D50">
              <w:rPr>
                <w:sz w:val="20"/>
                <w:szCs w:val="20"/>
                <w:lang w:val="es-ES"/>
              </w:rPr>
              <w:lastRenderedPageBreak/>
              <w:t>Gestionar eficazmente las interacciones entre los seres humanos y la fauna y flora silvestres, con miras a reducir al mínimo los conflictos entre los seres humanos y las especies silvestres en favor de la coexistencia</w:t>
            </w:r>
          </w:p>
        </w:tc>
        <w:tc>
          <w:tcPr>
            <w:tcW w:w="516" w:type="dxa"/>
            <w:shd w:val="clear" w:color="auto" w:fill="FFFF00"/>
          </w:tcPr>
          <w:p w14:paraId="0B29F681" w14:textId="39F7C637" w:rsidR="009C2D72" w:rsidRPr="005E3D50" w:rsidRDefault="008D2634" w:rsidP="006E369A">
            <w:pPr>
              <w:rPr>
                <w:sz w:val="20"/>
                <w:szCs w:val="20"/>
                <w:lang w:val="es-ES"/>
              </w:rPr>
            </w:pPr>
            <w:r w:rsidRPr="005E3D50">
              <w:rPr>
                <w:sz w:val="20"/>
                <w:szCs w:val="20"/>
                <w:lang w:val="es-ES"/>
              </w:rPr>
              <w:t>56</w:t>
            </w:r>
          </w:p>
        </w:tc>
      </w:tr>
      <w:tr w:rsidR="00F03915" w:rsidRPr="005E3D50" w14:paraId="38566EAC" w14:textId="77777777">
        <w:tc>
          <w:tcPr>
            <w:tcW w:w="9016" w:type="dxa"/>
            <w:gridSpan w:val="2"/>
          </w:tcPr>
          <w:p w14:paraId="079F9229" w14:textId="04709B4E" w:rsidR="00693060" w:rsidRPr="005E3D50" w:rsidRDefault="00693060" w:rsidP="00693060">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70 % de estos elementos en sus metas nacionales</w:t>
            </w:r>
          </w:p>
          <w:p w14:paraId="0CD3E720" w14:textId="77777777" w:rsidR="00F03915" w:rsidRPr="005E3D50" w:rsidRDefault="00F03915" w:rsidP="006E369A">
            <w:pPr>
              <w:rPr>
                <w:sz w:val="20"/>
                <w:szCs w:val="20"/>
                <w:lang w:val="es-ES"/>
              </w:rPr>
            </w:pPr>
          </w:p>
        </w:tc>
      </w:tr>
    </w:tbl>
    <w:p w14:paraId="5E0A3F43" w14:textId="756D8F04" w:rsidR="00125297" w:rsidRPr="005E3D50" w:rsidRDefault="00125297" w:rsidP="00125297">
      <w:pPr>
        <w:pStyle w:val="Caption"/>
        <w:keepNext/>
        <w:rPr>
          <w:lang w:val="es-ES"/>
        </w:rPr>
      </w:pPr>
    </w:p>
    <w:p w14:paraId="59A1E4E1" w14:textId="0765011F" w:rsidR="000D1AF9" w:rsidRPr="005E3D50" w:rsidRDefault="000D1AF9" w:rsidP="000D1AF9">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32D6662E" w14:textId="0C5EE451" w:rsidR="000D1AF9" w:rsidRPr="005E3D50" w:rsidRDefault="000D1AF9" w:rsidP="000D1AF9">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72" w:history="1">
        <w:r w:rsidRPr="005E3D50">
          <w:rPr>
            <w:rStyle w:val="Hyperlink"/>
            <w:rFonts w:ascii="Aptos" w:hAnsi="Aptos"/>
            <w:sz w:val="16"/>
            <w:szCs w:val="16"/>
            <w:lang w:val="es-ES"/>
          </w:rPr>
          <w:t>CBD/COP/16/INF/4</w:t>
        </w:r>
      </w:hyperlink>
      <w:r w:rsidRPr="005E3D50">
        <w:rPr>
          <w:sz w:val="16"/>
          <w:szCs w:val="16"/>
          <w:lang w:val="es-ES"/>
        </w:rPr>
        <w:t xml:space="preserve">; </w:t>
      </w:r>
      <w:r w:rsidRPr="005E3D50">
        <w:rPr>
          <w:rFonts w:ascii="Aptos" w:hAnsi="Aptos"/>
          <w:sz w:val="16"/>
          <w:szCs w:val="16"/>
          <w:lang w:val="es-ES"/>
        </w:rPr>
        <w:t>y Affinito y otros, 2025). En el documento </w:t>
      </w:r>
      <w:hyperlink r:id="rId73" w:history="1">
        <w:r w:rsidRPr="005E3D50">
          <w:rPr>
            <w:rStyle w:val="Hyperlink"/>
            <w:rFonts w:ascii="Aptos" w:hAnsi="Aptos"/>
            <w:sz w:val="16"/>
            <w:szCs w:val="16"/>
            <w:lang w:val="es-ES"/>
          </w:rPr>
          <w:t>CBD/SBI/7/INF/22</w:t>
        </w:r>
      </w:hyperlink>
      <w:r w:rsidRPr="005E3D50">
        <w:rPr>
          <w:rFonts w:ascii="Aptos" w:hAnsi="Aptos"/>
          <w:sz w:val="16"/>
          <w:szCs w:val="16"/>
          <w:lang w:val="es-ES"/>
        </w:rPr>
        <w:t xml:space="preserve"> se expone en detalle la metodología empleada para el análisis de las metas nacionales.</w:t>
      </w:r>
    </w:p>
    <w:p w14:paraId="13204FCB" w14:textId="77777777" w:rsidR="000D1AF9" w:rsidRPr="005E3D50" w:rsidRDefault="000D1AF9" w:rsidP="000D1AF9">
      <w:pPr>
        <w:rPr>
          <w:lang w:val="es-ES" w:eastAsia="ja-JP"/>
        </w:rPr>
      </w:pPr>
    </w:p>
    <w:p w14:paraId="50F1555A" w14:textId="3AE9E881" w:rsidR="00B36945" w:rsidRPr="005E3D50" w:rsidRDefault="006E2168" w:rsidP="00B36945">
      <w:pPr>
        <w:rPr>
          <w:lang w:val="es-ES"/>
        </w:rPr>
      </w:pPr>
      <w:r w:rsidRPr="005E3D50">
        <w:rPr>
          <w:lang w:val="es-ES"/>
        </w:rPr>
        <w:t xml:space="preserve">La mayoría de los elementos de la meta 4 son abordados en cierta medida por un gran número de Partes en sus metas nacionales (véase el cuadro 10). Por ejemplo, el 90 % de las Partes abordan la reducción del riesgo de extinción facilitando la recuperación y la conservación de las especies, en particular las especies amenazadas, y el 81 % abordan medidas de gestión urgentes, entre otras cosas mediante prácticas sostenibles de gestión y conservación </w:t>
      </w:r>
      <w:r w:rsidRPr="005E3D50">
        <w:rPr>
          <w:i/>
          <w:iCs/>
          <w:lang w:val="es-ES"/>
        </w:rPr>
        <w:t>in situ</w:t>
      </w:r>
      <w:r w:rsidRPr="005E3D50">
        <w:rPr>
          <w:lang w:val="es-ES"/>
        </w:rPr>
        <w:t xml:space="preserve"> y </w:t>
      </w:r>
      <w:r w:rsidRPr="005E3D50">
        <w:rPr>
          <w:i/>
          <w:iCs/>
          <w:lang w:val="es-ES"/>
        </w:rPr>
        <w:t>ex situ</w:t>
      </w:r>
      <w:r w:rsidRPr="005E3D50">
        <w:rPr>
          <w:lang w:val="es-ES"/>
        </w:rPr>
        <w:t>. Más de dos tercios de las Partes han establecido metas nacionales destinadas a detener la extinción provocada por los seres humanos de especies amenazadas conocidas, y a mantener y restaurar la diversidad genética entre las poblaciones de especies autóctonas y silvestres y dentro de ellas. Una proporción menor de Partes aborda los elementos de la meta 4 relativos a mantener y restaurar la diversidad genética entre las poblaciones de especies domesticadas y dentro de ellas, y a gestionar eficazmente las interacciones entre los seres humanos y la fauna y flora silvestres con miras a reducir al mínimo los conflictos entre los seres humanos y las especies silvestres en favor de la coexistencia (el 55 % y el 56 % de las Partes, respectivamente).</w:t>
      </w:r>
    </w:p>
    <w:p w14:paraId="2CCFF632" w14:textId="55645162" w:rsidR="009D6940" w:rsidRPr="005E3D50" w:rsidRDefault="009D6940" w:rsidP="00B36945">
      <w:pPr>
        <w:rPr>
          <w:lang w:val="es-ES"/>
        </w:rPr>
      </w:pPr>
    </w:p>
    <w:p w14:paraId="06DFC7C0" w14:textId="12F71AE8" w:rsidR="006E369A" w:rsidRPr="005E3D50" w:rsidRDefault="006E369A" w:rsidP="006E369A">
      <w:pPr>
        <w:pStyle w:val="Heading5"/>
        <w:rPr>
          <w:lang w:val="es-ES"/>
        </w:rPr>
      </w:pPr>
      <w:bookmarkStart w:id="182" w:name="_Toc235821092"/>
      <w:r w:rsidRPr="005E3D50">
        <w:rPr>
          <w:lang w:val="es-ES"/>
        </w:rPr>
        <w:t>Indicadores de progresos</w:t>
      </w:r>
      <w:bookmarkEnd w:id="182"/>
    </w:p>
    <w:p w14:paraId="67F6174B" w14:textId="77777777" w:rsidR="00DA78A5" w:rsidRPr="005E3D50" w:rsidRDefault="00DA78A5" w:rsidP="00DA78A5">
      <w:pPr>
        <w:rPr>
          <w:lang w:val="es-ES"/>
        </w:rPr>
      </w:pPr>
    </w:p>
    <w:p w14:paraId="72C51848" w14:textId="00875D0C" w:rsidR="009976FD" w:rsidRPr="005E3D50" w:rsidRDefault="00DF1DCB" w:rsidP="00DF1DCB">
      <w:pPr>
        <w:pStyle w:val="Caption"/>
        <w:rPr>
          <w:i w:val="0"/>
          <w:iCs w:val="0"/>
          <w:sz w:val="20"/>
          <w:szCs w:val="20"/>
          <w:lang w:val="es-ES"/>
        </w:rPr>
      </w:pPr>
      <w:bookmarkStart w:id="183" w:name="_Ref238580670"/>
      <w:r w:rsidRPr="005E3D50">
        <w:rPr>
          <w:i w:val="0"/>
          <w:sz w:val="20"/>
          <w:szCs w:val="20"/>
          <w:lang w:val="es-ES"/>
        </w:rPr>
        <w:t>Cuadro 11</w:t>
      </w:r>
      <w:bookmarkEnd w:id="183"/>
      <w:r w:rsidRPr="005E3D50">
        <w:rPr>
          <w:i w:val="0"/>
          <w:iCs w:val="0"/>
          <w:sz w:val="20"/>
          <w:szCs w:val="20"/>
          <w:lang w:val="es-ES"/>
        </w:rPr>
        <w:t xml:space="preserve"> </w:t>
      </w:r>
    </w:p>
    <w:p w14:paraId="1A153530" w14:textId="66E897C6" w:rsidR="00DF1DCB" w:rsidRPr="005E3D50" w:rsidRDefault="00DF1DCB" w:rsidP="00DF1DCB">
      <w:pPr>
        <w:pStyle w:val="Caption"/>
        <w:rPr>
          <w:rFonts w:ascii="Aptos" w:hAnsi="Aptos"/>
          <w:sz w:val="20"/>
          <w:szCs w:val="20"/>
          <w:lang w:val="es-ES"/>
        </w:rPr>
      </w:pPr>
      <w:r w:rsidRPr="005E3D50">
        <w:rPr>
          <w:b/>
          <w:bCs/>
          <w:i w:val="0"/>
          <w:iCs w:val="0"/>
          <w:sz w:val="20"/>
          <w:szCs w:val="20"/>
          <w:lang w:val="es-ES"/>
        </w:rPr>
        <w:t>Tablero de puntuación para indicadores de la meta 4 del Marco</w:t>
      </w:r>
      <w:r w:rsidRPr="005E3D50">
        <w:rPr>
          <w:sz w:val="20"/>
          <w:szCs w:val="20"/>
          <w:lang w:val="es-ES"/>
        </w:rPr>
        <w:t xml:space="preserve"> </w:t>
      </w:r>
    </w:p>
    <w:tbl>
      <w:tblPr>
        <w:tblW w:w="9493" w:type="dxa"/>
        <w:tblLook w:val="04A0" w:firstRow="1" w:lastRow="0" w:firstColumn="1" w:lastColumn="0" w:noHBand="0" w:noVBand="1"/>
      </w:tblPr>
      <w:tblGrid>
        <w:gridCol w:w="3240"/>
        <w:gridCol w:w="2425"/>
        <w:gridCol w:w="567"/>
        <w:gridCol w:w="2694"/>
        <w:gridCol w:w="567"/>
      </w:tblGrid>
      <w:tr w:rsidR="00F235D3" w:rsidRPr="005E3D50" w14:paraId="473862CD" w14:textId="77777777">
        <w:trPr>
          <w:trHeight w:val="773"/>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F3DDF10" w14:textId="77777777" w:rsidR="00F235D3" w:rsidRPr="005E3D50" w:rsidRDefault="00F235D3" w:rsidP="00DF1DCB">
            <w:pPr>
              <w:spacing w:after="0" w:line="240" w:lineRule="auto"/>
              <w:rPr>
                <w:rFonts w:ascii="Aptos" w:eastAsia="Times New Roman" w:hAnsi="Aptos" w:cs="Times New Roman"/>
                <w:color w:val="000000"/>
                <w:kern w:val="0"/>
                <w:sz w:val="20"/>
                <w:szCs w:val="20"/>
                <w:lang w:val="es-ES"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03A37828"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261" w:type="dxa"/>
            <w:gridSpan w:val="2"/>
            <w:tcBorders>
              <w:top w:val="single" w:sz="4" w:space="0" w:color="auto"/>
              <w:left w:val="nil"/>
              <w:bottom w:val="single" w:sz="4" w:space="0" w:color="auto"/>
              <w:right w:val="single" w:sz="4" w:space="0" w:color="auto"/>
            </w:tcBorders>
            <w:vAlign w:val="center"/>
          </w:tcPr>
          <w:p w14:paraId="31453614"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Resultados del indicador</w:t>
            </w:r>
          </w:p>
        </w:tc>
      </w:tr>
      <w:tr w:rsidR="00F235D3" w:rsidRPr="005E3D50" w14:paraId="2E617AF5"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331B87" w14:textId="6A7442BA" w:rsidR="00F235D3" w:rsidRPr="005E3D50" w:rsidRDefault="00600955">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Indicador de cabecera A.3: Índice de la Lista Roja </w:t>
            </w:r>
          </w:p>
        </w:tc>
        <w:tc>
          <w:tcPr>
            <w:tcW w:w="2425" w:type="dxa"/>
            <w:tcBorders>
              <w:top w:val="single" w:sz="4" w:space="0" w:color="auto"/>
              <w:left w:val="nil"/>
              <w:bottom w:val="single" w:sz="4" w:space="0" w:color="auto"/>
              <w:right w:val="single" w:sz="4" w:space="0" w:color="auto"/>
            </w:tcBorders>
            <w:vAlign w:val="center"/>
            <w:hideMark/>
          </w:tcPr>
          <w:p w14:paraId="18B3E7B5" w14:textId="678D5260" w:rsidR="00F235D3" w:rsidRPr="005E3D50" w:rsidRDefault="00F235D3">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70 % de las Partes</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48CCC02D"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94" w:type="dxa"/>
            <w:tcBorders>
              <w:top w:val="single" w:sz="4" w:space="0" w:color="auto"/>
              <w:left w:val="nil"/>
              <w:bottom w:val="single" w:sz="4" w:space="0" w:color="auto"/>
              <w:right w:val="single" w:sz="4" w:space="0" w:color="auto"/>
            </w:tcBorders>
            <w:vAlign w:val="center"/>
            <w:hideMark/>
          </w:tcPr>
          <w:p w14:paraId="71D68AE2" w14:textId="1F28E8B4" w:rsidR="00A37747" w:rsidRPr="005E3D50" w:rsidRDefault="00A37747" w:rsidP="00A37747">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Índice de la Lista Roja mundial: 0,85 (intervalo: 0,65-0,99)</w:t>
            </w:r>
          </w:p>
          <w:p w14:paraId="4E9AE315" w14:textId="77777777" w:rsidR="00A37747" w:rsidRPr="005E3D50" w:rsidRDefault="00A37747" w:rsidP="00A37747">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lastRenderedPageBreak/>
              <w:t>Índice de la Lista Roja nacional: 0,8 (intervalo: 0,45-0,97)</w:t>
            </w:r>
          </w:p>
          <w:p w14:paraId="1B2C301A" w14:textId="27067486" w:rsidR="00F235D3" w:rsidRPr="005E3D50" w:rsidRDefault="00A37747">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(ambas tendencias en declive)</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93E1969"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F235D3" w:rsidRPr="005E3D50" w14:paraId="044057DA"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CB6CA1D" w14:textId="68E1EE42" w:rsidR="00F235D3" w:rsidRPr="005E3D50" w:rsidRDefault="00DC44B0">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de cabecera A.4: proporción de poblaciones dentro de especies con un tamaño de población efectivo mayor a 500</w:t>
            </w:r>
          </w:p>
        </w:tc>
        <w:tc>
          <w:tcPr>
            <w:tcW w:w="2425" w:type="dxa"/>
            <w:tcBorders>
              <w:top w:val="nil"/>
              <w:left w:val="nil"/>
              <w:bottom w:val="single" w:sz="4" w:space="0" w:color="auto"/>
              <w:right w:val="single" w:sz="4" w:space="0" w:color="auto"/>
            </w:tcBorders>
            <w:vAlign w:val="center"/>
            <w:hideMark/>
          </w:tcPr>
          <w:p w14:paraId="3B74B4D2" w14:textId="3474E691" w:rsidR="00F235D3" w:rsidRPr="005E3D50" w:rsidRDefault="00F235D3">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13 % de las Partes</w:t>
            </w:r>
          </w:p>
        </w:tc>
        <w:tc>
          <w:tcPr>
            <w:tcW w:w="567" w:type="dxa"/>
            <w:tcBorders>
              <w:top w:val="nil"/>
              <w:left w:val="nil"/>
              <w:bottom w:val="single" w:sz="4" w:space="0" w:color="auto"/>
              <w:right w:val="single" w:sz="4" w:space="0" w:color="auto"/>
            </w:tcBorders>
            <w:shd w:val="clear" w:color="000000" w:fill="C00000"/>
            <w:vAlign w:val="center"/>
            <w:hideMark/>
          </w:tcPr>
          <w:p w14:paraId="0749A08D"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94" w:type="dxa"/>
            <w:tcBorders>
              <w:top w:val="nil"/>
              <w:left w:val="nil"/>
              <w:bottom w:val="single" w:sz="4" w:space="0" w:color="auto"/>
              <w:right w:val="single" w:sz="4" w:space="0" w:color="auto"/>
            </w:tcBorders>
            <w:vAlign w:val="center"/>
            <w:hideMark/>
          </w:tcPr>
          <w:p w14:paraId="2EA106E8" w14:textId="0C4F6721" w:rsidR="00F235D3" w:rsidRPr="005E3D50" w:rsidRDefault="00F235D3">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Promedio general: 0,58 (intervalo: 0,17-0,93)</w:t>
            </w:r>
          </w:p>
        </w:tc>
        <w:tc>
          <w:tcPr>
            <w:tcW w:w="567" w:type="dxa"/>
            <w:tcBorders>
              <w:top w:val="nil"/>
              <w:left w:val="nil"/>
              <w:bottom w:val="single" w:sz="4" w:space="0" w:color="auto"/>
              <w:right w:val="single" w:sz="4" w:space="0" w:color="auto"/>
            </w:tcBorders>
            <w:shd w:val="clear" w:color="000000" w:fill="C00000"/>
            <w:vAlign w:val="center"/>
            <w:hideMark/>
          </w:tcPr>
          <w:p w14:paraId="7292C945"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F235D3" w:rsidRPr="005E3D50" w14:paraId="75E07FCD"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376FC5F"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2425" w:type="dxa"/>
            <w:tcBorders>
              <w:top w:val="nil"/>
              <w:left w:val="nil"/>
              <w:bottom w:val="single" w:sz="4" w:space="0" w:color="auto"/>
              <w:right w:val="single" w:sz="4" w:space="0" w:color="auto"/>
            </w:tcBorders>
            <w:vAlign w:val="center"/>
            <w:hideMark/>
          </w:tcPr>
          <w:p w14:paraId="76BC887F" w14:textId="6901232C" w:rsidR="00F235D3" w:rsidRPr="005E3D50" w:rsidRDefault="00F235D3">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88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68 %</w:t>
            </w:r>
          </w:p>
        </w:tc>
        <w:tc>
          <w:tcPr>
            <w:tcW w:w="567" w:type="dxa"/>
            <w:tcBorders>
              <w:top w:val="nil"/>
              <w:left w:val="nil"/>
              <w:bottom w:val="single" w:sz="4" w:space="0" w:color="auto"/>
              <w:right w:val="single" w:sz="4" w:space="0" w:color="auto"/>
            </w:tcBorders>
            <w:shd w:val="clear" w:color="000000" w:fill="92D050"/>
            <w:vAlign w:val="center"/>
            <w:hideMark/>
          </w:tcPr>
          <w:p w14:paraId="39CD74FC"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94" w:type="dxa"/>
            <w:tcBorders>
              <w:top w:val="nil"/>
              <w:left w:val="nil"/>
              <w:bottom w:val="single" w:sz="4" w:space="0" w:color="auto"/>
              <w:right w:val="single" w:sz="4" w:space="0" w:color="auto"/>
            </w:tcBorders>
            <w:vAlign w:val="center"/>
            <w:hideMark/>
          </w:tcPr>
          <w:p w14:paraId="1A0DC356" w14:textId="0DA4605D" w:rsidR="00F235D3" w:rsidRPr="005E3D50" w:rsidRDefault="00F235D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6 % registran tendencias positivas</w:t>
            </w:r>
          </w:p>
          <w:p w14:paraId="1D0B8147" w14:textId="0F823B28" w:rsidR="00F235D3" w:rsidRPr="005E3D50" w:rsidRDefault="009F060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4 % registran tendencias negativas</w:t>
            </w:r>
          </w:p>
        </w:tc>
        <w:tc>
          <w:tcPr>
            <w:tcW w:w="567" w:type="dxa"/>
            <w:tcBorders>
              <w:top w:val="nil"/>
              <w:left w:val="nil"/>
              <w:bottom w:val="single" w:sz="4" w:space="0" w:color="auto"/>
              <w:right w:val="single" w:sz="4" w:space="0" w:color="auto"/>
            </w:tcBorders>
            <w:shd w:val="clear" w:color="000000" w:fill="C00000"/>
            <w:vAlign w:val="center"/>
            <w:hideMark/>
          </w:tcPr>
          <w:p w14:paraId="5D6B3BC3"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F235D3" w:rsidRPr="005E3D50" w14:paraId="210392A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093E51E" w14:textId="77777777" w:rsidR="00F235D3" w:rsidRPr="005E3D50" w:rsidRDefault="00F235D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Observaciones taxonómicas</w:t>
            </w:r>
          </w:p>
        </w:tc>
        <w:tc>
          <w:tcPr>
            <w:tcW w:w="6253" w:type="dxa"/>
            <w:gridSpan w:val="4"/>
            <w:tcBorders>
              <w:top w:val="nil"/>
              <w:left w:val="nil"/>
              <w:bottom w:val="single" w:sz="4" w:space="0" w:color="auto"/>
              <w:right w:val="single" w:sz="4" w:space="0" w:color="auto"/>
            </w:tcBorders>
            <w:vAlign w:val="center"/>
          </w:tcPr>
          <w:p w14:paraId="40D8BECD" w14:textId="4F556BE2" w:rsidR="00F235D3" w:rsidRPr="005E3D50" w:rsidRDefault="008D6334">
            <w:pPr>
              <w:spacing w:after="0" w:line="240" w:lineRule="auto"/>
              <w:rPr>
                <w:rFonts w:ascii="Aptos" w:eastAsia="Times New Roman" w:hAnsi="Aptos" w:cs="Times New Roman"/>
                <w:color w:val="000000"/>
                <w:kern w:val="0"/>
                <w:sz w:val="20"/>
                <w:szCs w:val="20"/>
                <w:lang w:val="es-ES"/>
                <w14:ligatures w14:val="none"/>
              </w:rPr>
            </w:pPr>
            <w:r w:rsidRPr="005E3D50">
              <w:rPr>
                <w:sz w:val="20"/>
                <w:szCs w:val="20"/>
                <w:lang w:val="es-ES"/>
              </w:rPr>
              <w:t>La cobertura taxonómica de las Listas Rojas sigue siendo muy desigual, ya que los vertebrados y las plantas vasculares están mucho mejor representados que los invertebrados, los hongos y las algas.</w:t>
            </w:r>
          </w:p>
          <w:p w14:paraId="561C916B" w14:textId="5387C648" w:rsidR="00F235D3" w:rsidRPr="005E3D50" w:rsidRDefault="00F235D3">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Se dispone de datos a nivel de población para muy pocas especies.</w:t>
            </w:r>
          </w:p>
        </w:tc>
      </w:tr>
    </w:tbl>
    <w:p w14:paraId="211D25BF" w14:textId="77777777" w:rsidR="00F235D3" w:rsidRPr="005E3D50" w:rsidRDefault="00F235D3" w:rsidP="00F235D3">
      <w:pPr>
        <w:pStyle w:val="p1"/>
        <w:rPr>
          <w:rFonts w:ascii="Aptos" w:hAnsi="Aptos"/>
          <w:sz w:val="24"/>
          <w:szCs w:val="24"/>
          <w:lang w:val="es-ES"/>
        </w:rPr>
      </w:pPr>
    </w:p>
    <w:p w14:paraId="27AB41BD" w14:textId="13BF37BB" w:rsidR="00110E13" w:rsidRPr="005E3D50" w:rsidRDefault="00110E13" w:rsidP="00110E13">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14D0C1E6" w14:textId="77777777" w:rsidR="00110E13" w:rsidRPr="005E3D50" w:rsidRDefault="00110E13" w:rsidP="00F235D3">
      <w:pPr>
        <w:pStyle w:val="p1"/>
        <w:rPr>
          <w:rFonts w:ascii="Aptos" w:hAnsi="Aptos"/>
          <w:sz w:val="24"/>
          <w:szCs w:val="24"/>
          <w:lang w:val="es-ES"/>
        </w:rPr>
      </w:pPr>
    </w:p>
    <w:p w14:paraId="38632537" w14:textId="77777777" w:rsidR="00F5789C" w:rsidRPr="005E3D50" w:rsidRDefault="00F5789C" w:rsidP="00CC16A3">
      <w:pPr>
        <w:rPr>
          <w:rStyle w:val="normaltextrun"/>
          <w:rFonts w:ascii="Aptos" w:hAnsi="Aptos"/>
          <w:color w:val="000000" w:themeColor="text1"/>
          <w:lang w:val="es-ES"/>
        </w:rPr>
      </w:pPr>
    </w:p>
    <w:p w14:paraId="553383B3" w14:textId="09D628E2" w:rsidR="00E071C9" w:rsidRPr="005E3D50" w:rsidRDefault="00470F8C" w:rsidP="00CC16A3">
      <w:pPr>
        <w:rPr>
          <w:rStyle w:val="normaltextrun"/>
          <w:rFonts w:ascii="Aptos" w:hAnsi="Aptos"/>
          <w:color w:val="000000" w:themeColor="text1"/>
          <w:lang w:val="es-ES"/>
        </w:rPr>
      </w:pPr>
      <w:r w:rsidRPr="005E3D50">
        <w:rPr>
          <w:lang w:val="es-ES"/>
        </w:rPr>
        <w:t>Los datos disponibles para el indicador de cabecera A.3 (Índice de la Lista Roja) son de dos tipos (véase el cuadro 11). Mientras que algunas Partes informaron sobre el riesgo promedio de extinción a nivel mundial de las especies evaluadas presentes en sus países (desglose nacional del Índice de la Lista Roja mundial), otras Partes informaron sobre el riesgo promedio de extinción de las especies evaluadas dentro de su país (Índice de la Lista Roja nacional).</w:t>
      </w:r>
    </w:p>
    <w:p w14:paraId="2CEAF752" w14:textId="1FA80D43" w:rsidR="00CC16A3" w:rsidRPr="005E3D50" w:rsidRDefault="00F235D3" w:rsidP="00DF73E3">
      <w:pPr>
        <w:rPr>
          <w:color w:val="000000" w:themeColor="text1"/>
          <w:lang w:val="es-ES"/>
        </w:rPr>
      </w:pPr>
      <w:r w:rsidRPr="005E3D50">
        <w:rPr>
          <w:lang w:val="es-ES"/>
        </w:rPr>
        <w:t>Desde 2020, los valores promedio presentados por las Partes tanto para los datos del Índice de la Lista Roja mundial como para los del Índice de la Lista Roja nacional mostraron un descenso (véase la figura 19), lo que indica un aumento del riesgo de extinción de las especies, tanto a escala mundial como nacional, debido a los impactos humanos.</w:t>
      </w:r>
      <w:r w:rsidRPr="005E3D50">
        <w:rPr>
          <w:rFonts w:ascii="Aptos" w:hAnsi="Aptos"/>
          <w:lang w:val="es-ES"/>
        </w:rPr>
        <w:t xml:space="preserve"> </w:t>
      </w:r>
      <w:r w:rsidRPr="005E3D50">
        <w:rPr>
          <w:lang w:val="es-ES"/>
        </w:rPr>
        <w:t>Esta conclusión concuerda con el Índice de la Lista Roja mundial general proporcionado por la UICN (véase la figura 20).</w:t>
      </w:r>
      <w:r w:rsidRPr="005E3D50">
        <w:rPr>
          <w:rFonts w:ascii="Aptos" w:hAnsi="Aptos"/>
          <w:color w:val="000000" w:themeColor="text1"/>
          <w:lang w:val="es-ES"/>
        </w:rPr>
        <w:t xml:space="preserve"> </w:t>
      </w:r>
      <w:r w:rsidRPr="005E3D50">
        <w:rPr>
          <w:rFonts w:ascii="Aptos" w:hAnsi="Aptos"/>
          <w:lang w:val="es-ES"/>
        </w:rPr>
        <w:t xml:space="preserve">La menor puntuación promedio del índice (que indica un mayor riesgo de extinción) para las Listas Rojas nacionales en comparación con los desgloses nacionales del Índice de la Lista Roja mundial es de esperar, dado que </w:t>
      </w:r>
      <w:r w:rsidRPr="005E3D50">
        <w:rPr>
          <w:rFonts w:ascii="Aptos" w:hAnsi="Aptos"/>
          <w:lang w:val="es-ES"/>
        </w:rPr>
        <w:lastRenderedPageBreak/>
        <w:t xml:space="preserve">las poblaciones de una especie determinada a escala </w:t>
      </w:r>
      <w:proofErr w:type="spellStart"/>
      <w:r w:rsidRPr="005E3D50">
        <w:rPr>
          <w:rFonts w:ascii="Aptos" w:hAnsi="Aptos"/>
          <w:lang w:val="es-ES"/>
        </w:rPr>
        <w:t>submundial</w:t>
      </w:r>
      <w:proofErr w:type="spellEnd"/>
      <w:r w:rsidRPr="005E3D50">
        <w:rPr>
          <w:rFonts w:ascii="Aptos" w:hAnsi="Aptos"/>
          <w:lang w:val="es-ES"/>
        </w:rPr>
        <w:t xml:space="preserve"> tienden a presentar un mayor riesgo de extinción que la población mundial en su conjunto (Brito y otros, 2010).</w:t>
      </w:r>
    </w:p>
    <w:p w14:paraId="42AB8D77" w14:textId="5E35FF0D" w:rsidR="00DF2993" w:rsidRPr="005E3D50" w:rsidRDefault="00250354" w:rsidP="00DF2993">
      <w:pPr>
        <w:rPr>
          <w:rFonts w:ascii="Aptos" w:hAnsi="Aptos"/>
          <w:lang w:val="es-ES"/>
        </w:rPr>
      </w:pPr>
      <w:r w:rsidRPr="005E3D50">
        <w:rPr>
          <w:rFonts w:ascii="Aptos" w:hAnsi="Aptos"/>
          <w:lang w:val="es-ES"/>
        </w:rPr>
        <w:t>Muchas Partes que no cuentan con Listas Rojas nacionales señalaron la necesidad de recurrir a los datos de la UICN debido a la falta de datos sobre las tendencias del riesgo de extinción de las especies del país o a una cobertura taxonómica incompleta (Butchart y otros, 2025).</w:t>
      </w:r>
      <w:r w:rsidRPr="005E3D50">
        <w:rPr>
          <w:rFonts w:ascii="Aptos" w:hAnsi="Aptos"/>
          <w:color w:val="000000" w:themeColor="text1"/>
          <w:lang w:val="es-ES"/>
        </w:rPr>
        <w:t xml:space="preserve"> </w:t>
      </w:r>
      <w:r w:rsidRPr="005E3D50">
        <w:rPr>
          <w:rFonts w:ascii="Aptos" w:hAnsi="Aptos"/>
          <w:lang w:val="es-ES"/>
        </w:rPr>
        <w:t>Además, las Partes señalaron los costos de tiempo y recursos que supone realizar evaluaciones nacionales en forma periódica.</w:t>
      </w:r>
    </w:p>
    <w:p w14:paraId="6EBC3256" w14:textId="67DFABA5" w:rsidR="00DE212D" w:rsidRPr="005E3D50" w:rsidRDefault="00C968E7" w:rsidP="00DE212D">
      <w:pPr>
        <w:rPr>
          <w:rFonts w:ascii="Aptos" w:hAnsi="Aptos"/>
          <w:lang w:val="es-ES"/>
        </w:rPr>
      </w:pPr>
      <w:r w:rsidRPr="005E3D50">
        <w:rPr>
          <w:lang w:val="es-ES"/>
        </w:rPr>
        <w:t>Entre las Partes cuyos informes nacionales estaban disponibles para el análisis, solo el 13 % informaron sobre el indicador de cabecera A.4 (proporción de poblaciones dentro de especies con un tamaño de población efectivo mayor a 500).</w:t>
      </w:r>
      <w:r w:rsidRPr="005E3D50">
        <w:rPr>
          <w:rFonts w:ascii="Aptos" w:hAnsi="Aptos"/>
          <w:color w:val="000000"/>
          <w:lang w:val="es-ES"/>
        </w:rPr>
        <w:t xml:space="preserve"> </w:t>
      </w:r>
      <w:r w:rsidRPr="005E3D50">
        <w:rPr>
          <w:lang w:val="es-ES"/>
        </w:rPr>
        <w:t>Esto no indica necesariamente un bajo nivel de ambición con respecto al cumplimiento de los compromisos en materia de diversidad genética establecidos en la meta 4. Más de dos tercios de las Partes han establecido metas nacionales en materia de diversidad genética, y el uso relativamente escaso de este indicador refleja necesidades de capacidad técnica, como la asistencia para identificar y movilizar los datos existentes y para interpretarlos, así como la novedad general del indicador, más que la ausencia de medidas de conservación de la diversidad genética. Varias Partes informaron que “no existen datos” para el indicador A.4, al tiempo que señalaron que estaban trabajando para establecer los procedimientos necesarios para recopilar datos sobre las poblaciones de especies y presentar información en el futuro. Por lo tanto, los resultados que se presentan aquí corresponden solamente un pequeño número de Partes y grupos taxonómicos, y no deben considerarse representativos (véase la figura 21).</w:t>
      </w:r>
      <w:r w:rsidRPr="005E3D50">
        <w:rPr>
          <w:rFonts w:ascii="Aptos" w:hAnsi="Aptos"/>
          <w:lang w:val="es-ES"/>
        </w:rPr>
        <w:t xml:space="preserve"> Las pocas Partes que pudieron presentar información, o para las que se dispone de datos procedentes del estudio piloto sobre el indicador realizado por la Coalición para la Genética de la Conservación (CCG) (Mastretta-Yanes y otros, 2024), sugieren que, en promedio, las especies evaluadas no cuentan actualmente con poblaciones lo suficientemente grandes como para mantener su diversidad genética.</w:t>
      </w:r>
    </w:p>
    <w:p w14:paraId="763DE281" w14:textId="0D094E45" w:rsidR="00F235D3" w:rsidRPr="005E3D50" w:rsidRDefault="00F235D3" w:rsidP="0038782A">
      <w:pPr>
        <w:rPr>
          <w:i/>
          <w:color w:val="000000" w:themeColor="text1"/>
          <w:lang w:val="es-ES"/>
        </w:rPr>
      </w:pPr>
      <w:r w:rsidRPr="005E3D50">
        <w:rPr>
          <w:lang w:val="es-ES"/>
        </w:rPr>
        <w:t>Las Partes también presentaron una serie de indicadores adicionales que estaban bien armonizados con los elementos de la meta 4, y solo unos pocos de estos indicadores muestran una tendencia positiva, lo que sugiere que se necesitan mayores esfuerzos para lograr progresos colectivos hacia la meta (véase la figura 22).</w:t>
      </w:r>
      <w:r w:rsidRPr="005E3D50">
        <w:rPr>
          <w:rFonts w:ascii="Aptos" w:hAnsi="Aptos"/>
          <w:color w:val="000000" w:themeColor="text1"/>
          <w:lang w:val="es-ES"/>
        </w:rPr>
        <w:t xml:space="preserve"> </w:t>
      </w:r>
    </w:p>
    <w:p w14:paraId="674FABBF" w14:textId="326125B5" w:rsidR="00F235D3" w:rsidRPr="005E3D50" w:rsidRDefault="00F235D3" w:rsidP="00CE3DE9">
      <w:pPr>
        <w:rPr>
          <w:rFonts w:ascii="Aptos" w:hAnsi="Aptos"/>
          <w:lang w:val="es-ES"/>
        </w:rPr>
      </w:pPr>
      <w:r w:rsidRPr="005E3D50">
        <w:rPr>
          <w:lang w:val="es-ES"/>
        </w:rPr>
        <w:t>Dado que los indicadores de cabecera A.3 y A.4 también sirven para hacer un seguimiento de los avances hacia el objetivo A del Marco, se analizan con más detalle en la sección II.C del presente informe.</w:t>
      </w:r>
      <w:r w:rsidRPr="005E3D50">
        <w:rPr>
          <w:rFonts w:ascii="Aptos" w:hAnsi="Aptos"/>
          <w:lang w:val="es-ES"/>
        </w:rPr>
        <w:t xml:space="preserve"> </w:t>
      </w:r>
    </w:p>
    <w:p w14:paraId="3C0F58B7" w14:textId="0712CB20" w:rsidR="008D1FA0" w:rsidRPr="005E3D50" w:rsidRDefault="008D1FA0" w:rsidP="00193611">
      <w:pPr>
        <w:rPr>
          <w:sz w:val="20"/>
          <w:szCs w:val="20"/>
          <w:lang w:val="es-ES"/>
        </w:rPr>
      </w:pPr>
    </w:p>
    <w:p w14:paraId="278D71B7" w14:textId="5C0161BC" w:rsidR="00193611" w:rsidRPr="005E3D50" w:rsidRDefault="00193611" w:rsidP="00FD165B">
      <w:pPr>
        <w:keepNext/>
        <w:rPr>
          <w:sz w:val="20"/>
          <w:szCs w:val="20"/>
          <w:lang w:val="es-ES"/>
        </w:rPr>
      </w:pPr>
      <w:r w:rsidRPr="005E3D50">
        <w:rPr>
          <w:sz w:val="20"/>
          <w:szCs w:val="20"/>
          <w:lang w:val="es-ES"/>
        </w:rPr>
        <w:lastRenderedPageBreak/>
        <w:t>Figura 19</w:t>
      </w:r>
    </w:p>
    <w:p w14:paraId="743EC80C" w14:textId="52D2069A" w:rsidR="00193611" w:rsidRPr="005E3D50" w:rsidRDefault="00193611" w:rsidP="00193611">
      <w:pPr>
        <w:rPr>
          <w:b/>
          <w:bCs/>
          <w:sz w:val="20"/>
          <w:szCs w:val="20"/>
          <w:lang w:val="es-ES"/>
        </w:rPr>
      </w:pPr>
      <w:r w:rsidRPr="005E3D50">
        <w:rPr>
          <w:b/>
          <w:bCs/>
          <w:sz w:val="20"/>
          <w:szCs w:val="20"/>
          <w:lang w:val="es-ES"/>
        </w:rPr>
        <w:t>Indicador de cabecera A.3:</w:t>
      </w:r>
      <w:r w:rsidRPr="005E3D50">
        <w:rPr>
          <w:rFonts w:ascii="Arial" w:hAnsi="Arial"/>
          <w:b/>
          <w:bCs/>
          <w:sz w:val="20"/>
          <w:szCs w:val="20"/>
          <w:lang w:val="es-ES"/>
        </w:rPr>
        <w:t> </w:t>
      </w:r>
      <w:r w:rsidRPr="005E3D50">
        <w:rPr>
          <w:b/>
          <w:bCs/>
          <w:sz w:val="20"/>
          <w:szCs w:val="20"/>
          <w:lang w:val="es-ES"/>
        </w:rPr>
        <w:t>Índice de la Lista Roja (en los informes nacionales)</w:t>
      </w:r>
    </w:p>
    <w:p w14:paraId="2A8AE911" w14:textId="5BCD8F7F" w:rsidR="00CB6E85" w:rsidRPr="005E3D50" w:rsidRDefault="00B66A20" w:rsidP="009B7444">
      <w:pPr>
        <w:pStyle w:val="Caption"/>
        <w:rPr>
          <w:lang w:val="es-ES"/>
        </w:rPr>
      </w:pPr>
      <w:bookmarkStart w:id="184" w:name="_Ref231220246"/>
      <w:bookmarkStart w:id="185" w:name="_Ref235723758"/>
      <w:r w:rsidRPr="005E3D50">
        <w:rPr>
          <w:noProof/>
          <w:lang w:val="en-US" w:eastAsia="en-US"/>
        </w:rPr>
        <w:drawing>
          <wp:inline distT="0" distB="0" distL="0" distR="0" wp14:anchorId="07231847" wp14:editId="02CDB4D5">
            <wp:extent cx="5943600" cy="1981200"/>
            <wp:effectExtent l="0" t="0" r="0" b="0"/>
            <wp:docPr id="21380699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9909" name="Picture 2138069909"/>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bookmarkEnd w:id="184"/>
    <w:bookmarkEnd w:id="185"/>
    <w:p w14:paraId="6F9A6F3D" w14:textId="77777777" w:rsidR="00F235D3" w:rsidRPr="005E3D50" w:rsidRDefault="00F235D3" w:rsidP="00F235D3">
      <w:pPr>
        <w:pStyle w:val="p1"/>
        <w:ind w:left="720"/>
        <w:rPr>
          <w:rFonts w:ascii="Aptos" w:hAnsi="Aptos"/>
          <w:lang w:val="es-ES"/>
        </w:rPr>
      </w:pPr>
    </w:p>
    <w:p w14:paraId="12AA63E2" w14:textId="78FA28CA" w:rsidR="00F235D3" w:rsidRPr="005E3D50" w:rsidRDefault="00B0403F" w:rsidP="00F235D3">
      <w:pPr>
        <w:pStyle w:val="p1"/>
        <w:rPr>
          <w:rFonts w:ascii="Aptos" w:hAnsi="Aptos"/>
          <w:sz w:val="16"/>
          <w:szCs w:val="16"/>
          <w:lang w:val="es-ES"/>
        </w:rPr>
      </w:pPr>
      <w:r w:rsidRPr="005E3D50">
        <w:rPr>
          <w:rFonts w:ascii="Aptos" w:hAnsi="Aptos"/>
          <w:i/>
          <w:iCs/>
          <w:sz w:val="16"/>
          <w:szCs w:val="16"/>
          <w:lang w:val="es-ES"/>
        </w:rPr>
        <w:t xml:space="preserve">Nota: </w:t>
      </w:r>
      <w:r w:rsidRPr="005E3D50">
        <w:rPr>
          <w:rFonts w:ascii="Aptos" w:hAnsi="Aptos"/>
          <w:sz w:val="16"/>
          <w:szCs w:val="16"/>
          <w:lang w:val="es-ES"/>
        </w:rPr>
        <w:t>Los valores del indicador muestran el promedio (media) y el intervalo intercuartílico de todas las comunicaciones de las Partes para cada año. A la izquierda:</w:t>
      </w:r>
      <w:r w:rsidRPr="005E3D50">
        <w:rPr>
          <w:rFonts w:ascii="Arial" w:hAnsi="Arial"/>
          <w:sz w:val="16"/>
          <w:szCs w:val="16"/>
          <w:lang w:val="es-ES"/>
        </w:rPr>
        <w:t> </w:t>
      </w:r>
      <w:r w:rsidRPr="005E3D50">
        <w:rPr>
          <w:rFonts w:ascii="Aptos" w:hAnsi="Aptos"/>
          <w:sz w:val="16"/>
          <w:szCs w:val="16"/>
          <w:lang w:val="es-ES"/>
        </w:rPr>
        <w:t>valores correspondientes a las Partes que presentaron datos sobre índices de la Lista Roja nacionales que reflejan el riesgo de extinción de las especies a nivel nacional, utilizando sus propias evaluaciones de la Lista Roja nacional.</w:t>
      </w:r>
      <w:r w:rsidRPr="005E3D50">
        <w:rPr>
          <w:rFonts w:ascii="Arial" w:hAnsi="Arial"/>
          <w:sz w:val="16"/>
          <w:szCs w:val="16"/>
          <w:lang w:val="es-ES"/>
        </w:rPr>
        <w:t> </w:t>
      </w:r>
      <w:r w:rsidRPr="005E3D50">
        <w:rPr>
          <w:rFonts w:ascii="Aptos" w:hAnsi="Aptos"/>
          <w:sz w:val="16"/>
          <w:szCs w:val="16"/>
          <w:lang w:val="es-ES"/>
        </w:rPr>
        <w:t>A la derecha: valores correspondientes a las Partes que presentaron en sus informes nacionales datos desglosados a nivel nacional del Índice de la Lista Roja mundial, que reflejan la contribución de cada país al riesgo de extinción de las especies a nivel mundial. El gráfico de barras de la derecha muestra la distribución de las Partes que proporcionaron datos para el gráfico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w:t>
      </w:r>
    </w:p>
    <w:p w14:paraId="2DC69E28" w14:textId="77777777" w:rsidR="00F235D3" w:rsidRPr="005E3D50" w:rsidRDefault="00F235D3" w:rsidP="00F235D3">
      <w:pPr>
        <w:pStyle w:val="p1"/>
        <w:rPr>
          <w:rFonts w:ascii="Aptos" w:hAnsi="Aptos"/>
          <w:sz w:val="16"/>
          <w:szCs w:val="16"/>
          <w:lang w:val="es-ES"/>
        </w:rPr>
      </w:pPr>
      <w:r w:rsidRPr="005E3D50">
        <w:rPr>
          <w:rFonts w:ascii="Aptos" w:hAnsi="Aptos"/>
          <w:sz w:val="16"/>
          <w:szCs w:val="16"/>
          <w:lang w:val="es-ES"/>
        </w:rPr>
        <w:t> </w:t>
      </w:r>
    </w:p>
    <w:tbl>
      <w:tblPr>
        <w:tblStyle w:val="TableGrid"/>
        <w:tblW w:w="8324" w:type="dxa"/>
        <w:tblLook w:val="06A0" w:firstRow="1" w:lastRow="0" w:firstColumn="1" w:lastColumn="0" w:noHBand="1" w:noVBand="1"/>
      </w:tblPr>
      <w:tblGrid>
        <w:gridCol w:w="4230"/>
        <w:gridCol w:w="4094"/>
      </w:tblGrid>
      <w:tr w:rsidR="002B1D2B" w:rsidRPr="001275A5" w14:paraId="40280AA9" w14:textId="77777777" w:rsidTr="006C216E">
        <w:tc>
          <w:tcPr>
            <w:tcW w:w="8324" w:type="dxa"/>
            <w:gridSpan w:val="2"/>
          </w:tcPr>
          <w:p w14:paraId="7665F2FF" w14:textId="566BE4AD"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19</w:t>
            </w:r>
          </w:p>
        </w:tc>
      </w:tr>
      <w:tr w:rsidR="002B1D2B" w:rsidRPr="001275A5" w14:paraId="4EBB5E24" w14:textId="77777777" w:rsidTr="002B1D2B">
        <w:tc>
          <w:tcPr>
            <w:tcW w:w="4230" w:type="dxa"/>
          </w:tcPr>
          <w:p w14:paraId="16ECB738" w14:textId="77777777" w:rsidR="002B1D2B" w:rsidRPr="001275A5" w:rsidRDefault="002B1D2B" w:rsidP="00B93410">
            <w:pPr>
              <w:rPr>
                <w:rFonts w:ascii="Aptos" w:hAnsi="Aptos"/>
                <w:sz w:val="18"/>
                <w:szCs w:val="18"/>
                <w:lang w:val="es-ES"/>
              </w:rPr>
            </w:pPr>
            <w:bookmarkStart w:id="186" w:name="_Ref230630512"/>
            <w:bookmarkStart w:id="187" w:name="_Ref231328178"/>
            <w:r w:rsidRPr="001275A5">
              <w:rPr>
                <w:rFonts w:ascii="Aptos" w:eastAsia="Segoe UI" w:hAnsi="Aptos" w:cs="Segoe UI"/>
                <w:color w:val="0F1115"/>
                <w:sz w:val="18"/>
                <w:szCs w:val="18"/>
                <w:lang w:val="es-ES"/>
              </w:rPr>
              <w:t xml:space="preserve">English </w:t>
            </w:r>
          </w:p>
        </w:tc>
        <w:tc>
          <w:tcPr>
            <w:tcW w:w="4094" w:type="dxa"/>
          </w:tcPr>
          <w:p w14:paraId="313EBBE7" w14:textId="01A29A2C" w:rsidR="002B1D2B" w:rsidRPr="001275A5"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1275A5" w14:paraId="5CF490EC" w14:textId="77777777" w:rsidTr="002B1D2B">
        <w:tc>
          <w:tcPr>
            <w:tcW w:w="4230" w:type="dxa"/>
          </w:tcPr>
          <w:p w14:paraId="6CF1E3C4"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National </w:t>
            </w:r>
            <w:proofErr w:type="spellStart"/>
            <w:r w:rsidRPr="001275A5">
              <w:rPr>
                <w:rFonts w:ascii="Aptos" w:eastAsia="Segoe UI" w:hAnsi="Aptos" w:cs="Segoe UI"/>
                <w:color w:val="0F1115"/>
                <w:sz w:val="18"/>
                <w:szCs w:val="18"/>
                <w:lang w:val="es-ES"/>
              </w:rPr>
              <w:t>RLIs</w:t>
            </w:r>
            <w:proofErr w:type="spellEnd"/>
          </w:p>
        </w:tc>
        <w:tc>
          <w:tcPr>
            <w:tcW w:w="4094" w:type="dxa"/>
          </w:tcPr>
          <w:p w14:paraId="62471B70"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Índices de la Lista Roja nacionales</w:t>
            </w:r>
          </w:p>
        </w:tc>
      </w:tr>
      <w:tr w:rsidR="002B1D2B" w:rsidRPr="001275A5" w14:paraId="5B23D005" w14:textId="77777777" w:rsidTr="002B1D2B">
        <w:tc>
          <w:tcPr>
            <w:tcW w:w="4230" w:type="dxa"/>
          </w:tcPr>
          <w:p w14:paraId="1D8AAB0F"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Global RLI</w:t>
            </w:r>
          </w:p>
        </w:tc>
        <w:tc>
          <w:tcPr>
            <w:tcW w:w="4094" w:type="dxa"/>
          </w:tcPr>
          <w:p w14:paraId="02BB010C"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Índice de la Lista Roja mundial</w:t>
            </w:r>
          </w:p>
        </w:tc>
      </w:tr>
      <w:tr w:rsidR="002B1D2B" w:rsidRPr="001275A5" w14:paraId="09747735" w14:textId="77777777" w:rsidTr="002B1D2B">
        <w:tc>
          <w:tcPr>
            <w:tcW w:w="4230" w:type="dxa"/>
          </w:tcPr>
          <w:p w14:paraId="27A84A99"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Red List </w:t>
            </w:r>
            <w:proofErr w:type="spellStart"/>
            <w:r w:rsidRPr="001275A5">
              <w:rPr>
                <w:rFonts w:ascii="Aptos" w:eastAsia="Segoe UI" w:hAnsi="Aptos" w:cs="Segoe UI"/>
                <w:color w:val="0F1115"/>
                <w:sz w:val="18"/>
                <w:szCs w:val="18"/>
                <w:lang w:val="es-ES"/>
              </w:rPr>
              <w:t>Index</w:t>
            </w:r>
            <w:proofErr w:type="spellEnd"/>
            <w:r w:rsidRPr="001275A5">
              <w:rPr>
                <w:rFonts w:ascii="Aptos" w:eastAsia="Segoe UI" w:hAnsi="Aptos" w:cs="Segoe UI"/>
                <w:color w:val="0F1115"/>
                <w:sz w:val="18"/>
                <w:szCs w:val="18"/>
                <w:lang w:val="es-ES"/>
              </w:rPr>
              <w:t xml:space="preserve"> </w:t>
            </w:r>
          </w:p>
        </w:tc>
        <w:tc>
          <w:tcPr>
            <w:tcW w:w="4094" w:type="dxa"/>
          </w:tcPr>
          <w:p w14:paraId="33777947"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 xml:space="preserve">Índice de la Lista Roja </w:t>
            </w:r>
          </w:p>
        </w:tc>
      </w:tr>
      <w:tr w:rsidR="002B1D2B" w:rsidRPr="001275A5" w14:paraId="677A0DB7" w14:textId="77777777" w:rsidTr="002B1D2B">
        <w:tc>
          <w:tcPr>
            <w:tcW w:w="4230" w:type="dxa"/>
          </w:tcPr>
          <w:p w14:paraId="32896367"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0.6</w:t>
            </w:r>
          </w:p>
        </w:tc>
        <w:tc>
          <w:tcPr>
            <w:tcW w:w="4094" w:type="dxa"/>
          </w:tcPr>
          <w:p w14:paraId="3599C728"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0,6</w:t>
            </w:r>
          </w:p>
        </w:tc>
      </w:tr>
      <w:tr w:rsidR="002B1D2B" w:rsidRPr="001275A5" w14:paraId="505EEDD9" w14:textId="77777777" w:rsidTr="002B1D2B">
        <w:tc>
          <w:tcPr>
            <w:tcW w:w="4230" w:type="dxa"/>
          </w:tcPr>
          <w:p w14:paraId="023AEB11"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1</w:t>
            </w:r>
          </w:p>
        </w:tc>
        <w:tc>
          <w:tcPr>
            <w:tcW w:w="4094" w:type="dxa"/>
          </w:tcPr>
          <w:p w14:paraId="701E2ADA"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1</w:t>
            </w:r>
          </w:p>
        </w:tc>
      </w:tr>
      <w:tr w:rsidR="002B1D2B" w:rsidRPr="001275A5" w14:paraId="51BF315B" w14:textId="77777777" w:rsidTr="002B1D2B">
        <w:tc>
          <w:tcPr>
            <w:tcW w:w="4230" w:type="dxa"/>
          </w:tcPr>
          <w:p w14:paraId="38649B2D" w14:textId="77777777" w:rsidR="002B1D2B" w:rsidRPr="001275A5" w:rsidRDefault="002B1D2B" w:rsidP="00B93410">
            <w:pPr>
              <w:rPr>
                <w:rFonts w:ascii="Aptos" w:hAnsi="Aptos"/>
                <w:sz w:val="18"/>
                <w:szCs w:val="18"/>
                <w:lang w:val="es-ES"/>
              </w:rPr>
            </w:pPr>
            <w:proofErr w:type="spellStart"/>
            <w:r w:rsidRPr="001275A5">
              <w:rPr>
                <w:rFonts w:ascii="Aptos" w:eastAsia="Segoe UI" w:hAnsi="Aptos" w:cs="Segoe UI"/>
                <w:color w:val="0F1115"/>
                <w:sz w:val="18"/>
                <w:szCs w:val="18"/>
                <w:lang w:val="es-ES"/>
              </w:rPr>
              <w:t>Year</w:t>
            </w:r>
            <w:proofErr w:type="spellEnd"/>
          </w:p>
        </w:tc>
        <w:tc>
          <w:tcPr>
            <w:tcW w:w="4094" w:type="dxa"/>
          </w:tcPr>
          <w:p w14:paraId="036EEE78"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Año</w:t>
            </w:r>
          </w:p>
        </w:tc>
      </w:tr>
      <w:tr w:rsidR="002B1D2B" w:rsidRPr="001275A5" w14:paraId="4B4D7B97" w14:textId="77777777" w:rsidTr="002B1D2B">
        <w:tc>
          <w:tcPr>
            <w:tcW w:w="4230" w:type="dxa"/>
          </w:tcPr>
          <w:p w14:paraId="4AD0C813"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2020</w:t>
            </w:r>
          </w:p>
        </w:tc>
        <w:tc>
          <w:tcPr>
            <w:tcW w:w="4094" w:type="dxa"/>
          </w:tcPr>
          <w:p w14:paraId="0C198D46"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2020</w:t>
            </w:r>
          </w:p>
        </w:tc>
      </w:tr>
      <w:tr w:rsidR="002B1D2B" w:rsidRPr="001275A5" w14:paraId="42CDFA44" w14:textId="77777777" w:rsidTr="002B1D2B">
        <w:tc>
          <w:tcPr>
            <w:tcW w:w="4230" w:type="dxa"/>
          </w:tcPr>
          <w:p w14:paraId="51CE9A3A"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2021</w:t>
            </w:r>
          </w:p>
        </w:tc>
        <w:tc>
          <w:tcPr>
            <w:tcW w:w="4094" w:type="dxa"/>
          </w:tcPr>
          <w:p w14:paraId="400CB6CF"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2021</w:t>
            </w:r>
          </w:p>
        </w:tc>
      </w:tr>
      <w:tr w:rsidR="002B1D2B" w:rsidRPr="001275A5" w14:paraId="68242131" w14:textId="77777777" w:rsidTr="002B1D2B">
        <w:tc>
          <w:tcPr>
            <w:tcW w:w="4230" w:type="dxa"/>
          </w:tcPr>
          <w:p w14:paraId="69A94DC5"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2022</w:t>
            </w:r>
          </w:p>
        </w:tc>
        <w:tc>
          <w:tcPr>
            <w:tcW w:w="4094" w:type="dxa"/>
          </w:tcPr>
          <w:p w14:paraId="2BA80713"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2022</w:t>
            </w:r>
          </w:p>
        </w:tc>
      </w:tr>
      <w:tr w:rsidR="002B1D2B" w:rsidRPr="001275A5" w14:paraId="37B9E7F2" w14:textId="77777777" w:rsidTr="002B1D2B">
        <w:tc>
          <w:tcPr>
            <w:tcW w:w="4230" w:type="dxa"/>
          </w:tcPr>
          <w:p w14:paraId="03D4B4B7"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2023</w:t>
            </w:r>
          </w:p>
        </w:tc>
        <w:tc>
          <w:tcPr>
            <w:tcW w:w="4094" w:type="dxa"/>
          </w:tcPr>
          <w:p w14:paraId="2AA2844B"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2023</w:t>
            </w:r>
          </w:p>
        </w:tc>
      </w:tr>
      <w:tr w:rsidR="002B1D2B" w:rsidRPr="001275A5" w14:paraId="55DB4E14" w14:textId="77777777" w:rsidTr="002B1D2B">
        <w:tc>
          <w:tcPr>
            <w:tcW w:w="4230" w:type="dxa"/>
          </w:tcPr>
          <w:p w14:paraId="1D80806E"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2024</w:t>
            </w:r>
          </w:p>
        </w:tc>
        <w:tc>
          <w:tcPr>
            <w:tcW w:w="4094" w:type="dxa"/>
          </w:tcPr>
          <w:p w14:paraId="62E71346"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2024</w:t>
            </w:r>
          </w:p>
        </w:tc>
      </w:tr>
      <w:tr w:rsidR="002B1D2B" w:rsidRPr="001275A5" w14:paraId="7F058D3B" w14:textId="77777777" w:rsidTr="002B1D2B">
        <w:tc>
          <w:tcPr>
            <w:tcW w:w="4230" w:type="dxa"/>
          </w:tcPr>
          <w:p w14:paraId="4E75A8FB"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2025</w:t>
            </w:r>
          </w:p>
        </w:tc>
        <w:tc>
          <w:tcPr>
            <w:tcW w:w="4094" w:type="dxa"/>
          </w:tcPr>
          <w:p w14:paraId="1A8F1AD8"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2025</w:t>
            </w:r>
          </w:p>
        </w:tc>
      </w:tr>
      <w:tr w:rsidR="002B1D2B" w:rsidRPr="001275A5" w14:paraId="6821BEDB" w14:textId="77777777" w:rsidTr="002B1D2B">
        <w:tc>
          <w:tcPr>
            <w:tcW w:w="4230" w:type="dxa"/>
          </w:tcPr>
          <w:p w14:paraId="393C1A79"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Party </w:t>
            </w:r>
            <w:proofErr w:type="spellStart"/>
            <w:r w:rsidRPr="001275A5">
              <w:rPr>
                <w:rFonts w:ascii="Aptos" w:eastAsia="Segoe UI" w:hAnsi="Aptos" w:cs="Segoe UI"/>
                <w:color w:val="0F1115"/>
                <w:sz w:val="18"/>
                <w:szCs w:val="18"/>
                <w:lang w:val="es-ES"/>
              </w:rPr>
              <w:t>count</w:t>
            </w:r>
            <w:proofErr w:type="spellEnd"/>
            <w:r w:rsidRPr="001275A5">
              <w:rPr>
                <w:rFonts w:ascii="Aptos" w:eastAsia="Segoe UI" w:hAnsi="Aptos" w:cs="Segoe UI"/>
                <w:color w:val="0F1115"/>
                <w:sz w:val="18"/>
                <w:szCs w:val="18"/>
                <w:lang w:val="es-ES"/>
              </w:rPr>
              <w:t xml:space="preserve"> </w:t>
            </w:r>
            <w:proofErr w:type="spellStart"/>
            <w:r w:rsidRPr="001275A5">
              <w:rPr>
                <w:rFonts w:ascii="Aptos" w:eastAsia="Segoe UI" w:hAnsi="Aptos" w:cs="Segoe UI"/>
                <w:color w:val="0F1115"/>
                <w:sz w:val="18"/>
                <w:szCs w:val="18"/>
                <w:lang w:val="es-ES"/>
              </w:rPr>
              <w:t>by</w:t>
            </w:r>
            <w:proofErr w:type="spellEnd"/>
            <w:r w:rsidRPr="001275A5">
              <w:rPr>
                <w:rFonts w:ascii="Aptos" w:eastAsia="Segoe UI" w:hAnsi="Aptos" w:cs="Segoe UI"/>
                <w:color w:val="0F1115"/>
                <w:sz w:val="18"/>
                <w:szCs w:val="18"/>
                <w:lang w:val="es-ES"/>
              </w:rPr>
              <w:t xml:space="preserve"> </w:t>
            </w:r>
            <w:proofErr w:type="spellStart"/>
            <w:r w:rsidRPr="001275A5">
              <w:rPr>
                <w:rFonts w:ascii="Aptos" w:eastAsia="Segoe UI" w:hAnsi="Aptos" w:cs="Segoe UI"/>
                <w:color w:val="0F1115"/>
                <w:sz w:val="18"/>
                <w:szCs w:val="18"/>
                <w:lang w:val="es-ES"/>
              </w:rPr>
              <w:t>region</w:t>
            </w:r>
            <w:proofErr w:type="spellEnd"/>
          </w:p>
        </w:tc>
        <w:tc>
          <w:tcPr>
            <w:tcW w:w="4094" w:type="dxa"/>
          </w:tcPr>
          <w:p w14:paraId="207FF68A"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Número de Partes por región</w:t>
            </w:r>
          </w:p>
        </w:tc>
      </w:tr>
      <w:tr w:rsidR="002B1D2B" w:rsidRPr="001275A5" w14:paraId="3AF12E76" w14:textId="77777777" w:rsidTr="002B1D2B">
        <w:tc>
          <w:tcPr>
            <w:tcW w:w="4230" w:type="dxa"/>
          </w:tcPr>
          <w:p w14:paraId="356E0774" w14:textId="77777777" w:rsidR="002B1D2B" w:rsidRPr="001275A5" w:rsidRDefault="002B1D2B" w:rsidP="00B93410">
            <w:pPr>
              <w:rPr>
                <w:rFonts w:ascii="Aptos" w:hAnsi="Aptos"/>
                <w:sz w:val="18"/>
                <w:szCs w:val="18"/>
                <w:lang w:val="es-ES"/>
              </w:rPr>
            </w:pPr>
            <w:proofErr w:type="spellStart"/>
            <w:r w:rsidRPr="001275A5">
              <w:rPr>
                <w:rFonts w:ascii="Aptos" w:eastAsia="Segoe UI" w:hAnsi="Aptos" w:cs="Segoe UI"/>
                <w:color w:val="0F1115"/>
                <w:sz w:val="18"/>
                <w:szCs w:val="18"/>
                <w:lang w:val="es-ES"/>
              </w:rPr>
              <w:t>Region</w:t>
            </w:r>
            <w:proofErr w:type="spellEnd"/>
          </w:p>
        </w:tc>
        <w:tc>
          <w:tcPr>
            <w:tcW w:w="4094" w:type="dxa"/>
          </w:tcPr>
          <w:p w14:paraId="30DA1F58"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Región</w:t>
            </w:r>
          </w:p>
        </w:tc>
      </w:tr>
      <w:tr w:rsidR="002B1D2B" w:rsidRPr="001275A5" w14:paraId="529A2E7D" w14:textId="77777777" w:rsidTr="002B1D2B">
        <w:tc>
          <w:tcPr>
            <w:tcW w:w="4230" w:type="dxa"/>
          </w:tcPr>
          <w:p w14:paraId="270A28AF" w14:textId="77777777" w:rsidR="002B1D2B" w:rsidRPr="001275A5" w:rsidRDefault="002B1D2B" w:rsidP="00B93410">
            <w:pPr>
              <w:rPr>
                <w:rFonts w:ascii="Aptos" w:eastAsia="Segoe UI" w:hAnsi="Aptos" w:cs="Segoe UI"/>
                <w:color w:val="0F1115"/>
                <w:sz w:val="18"/>
                <w:szCs w:val="18"/>
                <w:lang w:val="es-ES"/>
              </w:rPr>
            </w:pPr>
            <w:r w:rsidRPr="001275A5">
              <w:rPr>
                <w:rFonts w:ascii="Aptos" w:eastAsia="Segoe UI" w:hAnsi="Aptos" w:cs="Segoe UI"/>
                <w:color w:val="0F1115"/>
                <w:sz w:val="18"/>
                <w:szCs w:val="18"/>
                <w:lang w:val="es-ES"/>
              </w:rPr>
              <w:t>African States</w:t>
            </w:r>
          </w:p>
        </w:tc>
        <w:tc>
          <w:tcPr>
            <w:tcW w:w="4094" w:type="dxa"/>
          </w:tcPr>
          <w:p w14:paraId="7522C987"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Estados de África</w:t>
            </w:r>
          </w:p>
        </w:tc>
      </w:tr>
      <w:tr w:rsidR="002B1D2B" w:rsidRPr="001275A5" w14:paraId="1714759F" w14:textId="77777777" w:rsidTr="002B1D2B">
        <w:tc>
          <w:tcPr>
            <w:tcW w:w="4230" w:type="dxa"/>
          </w:tcPr>
          <w:p w14:paraId="253638FF" w14:textId="77777777" w:rsidR="002B1D2B" w:rsidRPr="001275A5" w:rsidRDefault="002B1D2B" w:rsidP="00B93410">
            <w:pPr>
              <w:rPr>
                <w:rFonts w:ascii="Aptos" w:eastAsia="Segoe UI" w:hAnsi="Aptos" w:cs="Segoe UI"/>
                <w:color w:val="0F1115"/>
                <w:sz w:val="18"/>
                <w:szCs w:val="18"/>
                <w:lang w:val="es-ES"/>
              </w:rPr>
            </w:pPr>
            <w:r w:rsidRPr="001275A5">
              <w:rPr>
                <w:rFonts w:ascii="Aptos" w:eastAsia="Segoe UI" w:hAnsi="Aptos" w:cs="Segoe UI"/>
                <w:color w:val="0F1115"/>
                <w:sz w:val="18"/>
                <w:szCs w:val="18"/>
                <w:lang w:val="es-ES"/>
              </w:rPr>
              <w:t>Asia- Pacific States</w:t>
            </w:r>
          </w:p>
        </w:tc>
        <w:tc>
          <w:tcPr>
            <w:tcW w:w="4094" w:type="dxa"/>
          </w:tcPr>
          <w:p w14:paraId="76D2FBD8"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Estados de Asia y el Pacífico</w:t>
            </w:r>
          </w:p>
        </w:tc>
      </w:tr>
      <w:tr w:rsidR="002B1D2B" w:rsidRPr="001275A5" w14:paraId="67F03256" w14:textId="77777777" w:rsidTr="002B1D2B">
        <w:tc>
          <w:tcPr>
            <w:tcW w:w="4230" w:type="dxa"/>
          </w:tcPr>
          <w:p w14:paraId="6A9EBDC2" w14:textId="77777777" w:rsidR="002B1D2B" w:rsidRPr="001275A5" w:rsidRDefault="002B1D2B" w:rsidP="00B93410">
            <w:pPr>
              <w:rPr>
                <w:rFonts w:ascii="Aptos" w:eastAsia="Segoe UI" w:hAnsi="Aptos" w:cs="Segoe UI"/>
                <w:color w:val="0F1115"/>
                <w:sz w:val="18"/>
                <w:szCs w:val="18"/>
                <w:lang w:val="en-US"/>
              </w:rPr>
            </w:pPr>
            <w:r w:rsidRPr="001275A5">
              <w:rPr>
                <w:rFonts w:ascii="Aptos" w:eastAsia="Segoe UI" w:hAnsi="Aptos" w:cs="Segoe UI"/>
                <w:color w:val="0F1115"/>
                <w:sz w:val="18"/>
                <w:szCs w:val="18"/>
                <w:lang w:val="en-US"/>
              </w:rPr>
              <w:t>Latin American and Caribbean States</w:t>
            </w:r>
          </w:p>
        </w:tc>
        <w:tc>
          <w:tcPr>
            <w:tcW w:w="4094" w:type="dxa"/>
          </w:tcPr>
          <w:p w14:paraId="4FD98C82"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Estados de América Latina y el Caribe</w:t>
            </w:r>
          </w:p>
        </w:tc>
      </w:tr>
      <w:tr w:rsidR="002B1D2B" w:rsidRPr="001275A5" w14:paraId="3199FA6C" w14:textId="77777777" w:rsidTr="002B1D2B">
        <w:tc>
          <w:tcPr>
            <w:tcW w:w="4230" w:type="dxa"/>
          </w:tcPr>
          <w:p w14:paraId="0900A85E"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 Eastern Europe States</w:t>
            </w:r>
          </w:p>
        </w:tc>
        <w:tc>
          <w:tcPr>
            <w:tcW w:w="4094" w:type="dxa"/>
          </w:tcPr>
          <w:p w14:paraId="3D52EEA5"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Estados de Europa Oriental</w:t>
            </w:r>
          </w:p>
        </w:tc>
      </w:tr>
      <w:tr w:rsidR="002B1D2B" w:rsidRPr="001275A5" w14:paraId="3AE8470F" w14:textId="77777777" w:rsidTr="002B1D2B">
        <w:tc>
          <w:tcPr>
            <w:tcW w:w="4230" w:type="dxa"/>
          </w:tcPr>
          <w:p w14:paraId="66D41751" w14:textId="77777777" w:rsidR="002B1D2B" w:rsidRPr="001275A5" w:rsidRDefault="002B1D2B" w:rsidP="00B93410">
            <w:pPr>
              <w:rPr>
                <w:rFonts w:ascii="Aptos" w:hAnsi="Aptos"/>
                <w:sz w:val="18"/>
                <w:szCs w:val="18"/>
                <w:lang w:val="en-US"/>
              </w:rPr>
            </w:pPr>
            <w:r w:rsidRPr="001275A5">
              <w:rPr>
                <w:rFonts w:ascii="Aptos" w:eastAsia="Segoe UI" w:hAnsi="Aptos" w:cs="Segoe UI"/>
                <w:color w:val="0F1115"/>
                <w:sz w:val="18"/>
                <w:szCs w:val="18"/>
                <w:lang w:val="en-US"/>
              </w:rPr>
              <w:t>Western European and other States</w:t>
            </w:r>
          </w:p>
        </w:tc>
        <w:tc>
          <w:tcPr>
            <w:tcW w:w="4094" w:type="dxa"/>
          </w:tcPr>
          <w:p w14:paraId="21970D5C"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Estados de Europa Occidental y otros Estados</w:t>
            </w:r>
          </w:p>
        </w:tc>
      </w:tr>
      <w:tr w:rsidR="002B1D2B" w:rsidRPr="001275A5" w14:paraId="5A6ACF97" w14:textId="77777777" w:rsidTr="002B1D2B">
        <w:tc>
          <w:tcPr>
            <w:tcW w:w="4230" w:type="dxa"/>
          </w:tcPr>
          <w:p w14:paraId="5F88656C"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50</w:t>
            </w:r>
          </w:p>
        </w:tc>
        <w:tc>
          <w:tcPr>
            <w:tcW w:w="4094" w:type="dxa"/>
          </w:tcPr>
          <w:p w14:paraId="52E5F167"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50</w:t>
            </w:r>
          </w:p>
        </w:tc>
      </w:tr>
      <w:tr w:rsidR="002B1D2B" w:rsidRPr="001275A5" w14:paraId="4F07A929" w14:textId="77777777" w:rsidTr="002B1D2B">
        <w:tc>
          <w:tcPr>
            <w:tcW w:w="4230" w:type="dxa"/>
          </w:tcPr>
          <w:p w14:paraId="04607CA4"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100</w:t>
            </w:r>
          </w:p>
        </w:tc>
        <w:tc>
          <w:tcPr>
            <w:tcW w:w="4094" w:type="dxa"/>
          </w:tcPr>
          <w:p w14:paraId="66C5D84B"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100</w:t>
            </w:r>
          </w:p>
        </w:tc>
      </w:tr>
      <w:tr w:rsidR="002B1D2B" w:rsidRPr="001275A5" w14:paraId="51DAF5CF" w14:textId="77777777" w:rsidTr="002B1D2B">
        <w:tc>
          <w:tcPr>
            <w:tcW w:w="4230" w:type="dxa"/>
          </w:tcPr>
          <w:p w14:paraId="0E89151A"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150</w:t>
            </w:r>
          </w:p>
        </w:tc>
        <w:tc>
          <w:tcPr>
            <w:tcW w:w="4094" w:type="dxa"/>
          </w:tcPr>
          <w:p w14:paraId="4BA69CD2"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150</w:t>
            </w:r>
          </w:p>
        </w:tc>
      </w:tr>
      <w:tr w:rsidR="002B1D2B" w:rsidRPr="001275A5" w14:paraId="7761CB9E" w14:textId="77777777" w:rsidTr="002B1D2B">
        <w:tc>
          <w:tcPr>
            <w:tcW w:w="4230" w:type="dxa"/>
          </w:tcPr>
          <w:p w14:paraId="377B87EC"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200</w:t>
            </w:r>
          </w:p>
        </w:tc>
        <w:tc>
          <w:tcPr>
            <w:tcW w:w="4094" w:type="dxa"/>
          </w:tcPr>
          <w:p w14:paraId="73073AA5"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200</w:t>
            </w:r>
          </w:p>
        </w:tc>
      </w:tr>
      <w:tr w:rsidR="002B1D2B" w:rsidRPr="001275A5" w14:paraId="1A31BA95" w14:textId="77777777" w:rsidTr="002B1D2B">
        <w:tc>
          <w:tcPr>
            <w:tcW w:w="4230" w:type="dxa"/>
          </w:tcPr>
          <w:p w14:paraId="4A0341C4"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Party </w:t>
            </w:r>
            <w:proofErr w:type="spellStart"/>
            <w:r w:rsidRPr="001275A5">
              <w:rPr>
                <w:rFonts w:ascii="Aptos" w:eastAsia="Segoe UI" w:hAnsi="Aptos" w:cs="Segoe UI"/>
                <w:color w:val="0F1115"/>
                <w:sz w:val="18"/>
                <w:szCs w:val="18"/>
                <w:lang w:val="es-ES"/>
              </w:rPr>
              <w:t>count</w:t>
            </w:r>
            <w:proofErr w:type="spellEnd"/>
            <w:r w:rsidRPr="001275A5">
              <w:rPr>
                <w:rFonts w:ascii="Aptos" w:eastAsia="Segoe UI" w:hAnsi="Aptos" w:cs="Segoe UI"/>
                <w:color w:val="0F1115"/>
                <w:sz w:val="18"/>
                <w:szCs w:val="18"/>
                <w:lang w:val="es-ES"/>
              </w:rPr>
              <w:t>: 24</w:t>
            </w:r>
          </w:p>
        </w:tc>
        <w:tc>
          <w:tcPr>
            <w:tcW w:w="4094" w:type="dxa"/>
          </w:tcPr>
          <w:p w14:paraId="709B8B09" w14:textId="77777777" w:rsidR="002B1D2B" w:rsidRPr="001275A5" w:rsidRDefault="002B1D2B" w:rsidP="00B93410">
            <w:pPr>
              <w:rPr>
                <w:rFonts w:ascii="Aptos" w:hAnsi="Aptos"/>
                <w:sz w:val="18"/>
                <w:szCs w:val="18"/>
                <w:lang w:val="es-ES"/>
              </w:rPr>
            </w:pPr>
            <w:r w:rsidRPr="001275A5">
              <w:rPr>
                <w:rFonts w:ascii="Aptos" w:hAnsi="Aptos"/>
                <w:color w:val="0F1115"/>
                <w:sz w:val="18"/>
                <w:szCs w:val="18"/>
                <w:lang w:val="es-ES"/>
              </w:rPr>
              <w:t>Número de Partes: 24</w:t>
            </w:r>
          </w:p>
        </w:tc>
      </w:tr>
      <w:tr w:rsidR="002B1D2B" w:rsidRPr="001275A5" w14:paraId="2E99EB2A" w14:textId="77777777" w:rsidTr="002B1D2B">
        <w:tc>
          <w:tcPr>
            <w:tcW w:w="4230" w:type="dxa"/>
          </w:tcPr>
          <w:p w14:paraId="36C626AC" w14:textId="77777777" w:rsidR="002B1D2B" w:rsidRPr="001275A5" w:rsidRDefault="002B1D2B" w:rsidP="00B93410">
            <w:pPr>
              <w:rPr>
                <w:rFonts w:ascii="Aptos" w:hAnsi="Aptos"/>
                <w:sz w:val="18"/>
                <w:szCs w:val="18"/>
                <w:lang w:val="es-ES"/>
              </w:rPr>
            </w:pPr>
            <w:r w:rsidRPr="001275A5">
              <w:rPr>
                <w:rFonts w:ascii="Aptos" w:eastAsia="Segoe UI" w:hAnsi="Aptos" w:cs="Segoe UI"/>
                <w:color w:val="0F1115"/>
                <w:sz w:val="18"/>
                <w:szCs w:val="18"/>
                <w:lang w:val="es-ES"/>
              </w:rPr>
              <w:t xml:space="preserve">Party </w:t>
            </w:r>
            <w:proofErr w:type="spellStart"/>
            <w:r w:rsidRPr="001275A5">
              <w:rPr>
                <w:rFonts w:ascii="Aptos" w:eastAsia="Segoe UI" w:hAnsi="Aptos" w:cs="Segoe UI"/>
                <w:color w:val="0F1115"/>
                <w:sz w:val="18"/>
                <w:szCs w:val="18"/>
                <w:lang w:val="es-ES"/>
              </w:rPr>
              <w:t>count</w:t>
            </w:r>
            <w:proofErr w:type="spellEnd"/>
            <w:r w:rsidRPr="001275A5">
              <w:rPr>
                <w:rFonts w:ascii="Aptos" w:eastAsia="Segoe UI" w:hAnsi="Aptos" w:cs="Segoe UI"/>
                <w:color w:val="0F1115"/>
                <w:sz w:val="18"/>
                <w:szCs w:val="18"/>
                <w:lang w:val="es-ES"/>
              </w:rPr>
              <w:t>: 57</w:t>
            </w:r>
          </w:p>
        </w:tc>
        <w:tc>
          <w:tcPr>
            <w:tcW w:w="4094" w:type="dxa"/>
          </w:tcPr>
          <w:p w14:paraId="7DBF4A7F" w14:textId="77777777" w:rsidR="002B1D2B" w:rsidRPr="001275A5" w:rsidRDefault="002B1D2B" w:rsidP="00B93410">
            <w:pPr>
              <w:rPr>
                <w:rFonts w:ascii="Aptos" w:eastAsia="Segoe UI" w:hAnsi="Aptos" w:cs="Segoe UI"/>
                <w:color w:val="0F1115"/>
                <w:sz w:val="18"/>
                <w:szCs w:val="18"/>
                <w:lang w:val="es-ES"/>
              </w:rPr>
            </w:pPr>
            <w:r w:rsidRPr="001275A5">
              <w:rPr>
                <w:rFonts w:ascii="Aptos" w:hAnsi="Aptos"/>
                <w:color w:val="0F1115"/>
                <w:sz w:val="18"/>
                <w:szCs w:val="18"/>
                <w:lang w:val="es-ES"/>
              </w:rPr>
              <w:t>Número de Partes: 57</w:t>
            </w:r>
          </w:p>
        </w:tc>
      </w:tr>
    </w:tbl>
    <w:p w14:paraId="159D5E33" w14:textId="77777777" w:rsidR="00CF55FC" w:rsidRPr="005E3D50" w:rsidRDefault="00CF55FC" w:rsidP="00F235D3">
      <w:pPr>
        <w:pStyle w:val="p1"/>
        <w:rPr>
          <w:rFonts w:ascii="Aptos" w:hAnsi="Aptos"/>
          <w:sz w:val="20"/>
          <w:szCs w:val="20"/>
          <w:lang w:val="es-ES"/>
        </w:rPr>
      </w:pPr>
    </w:p>
    <w:bookmarkEnd w:id="186"/>
    <w:bookmarkEnd w:id="187"/>
    <w:p w14:paraId="20152DDF" w14:textId="0FCC1452" w:rsidR="0041268F" w:rsidRPr="005E3D50" w:rsidRDefault="0041268F" w:rsidP="00F235D3">
      <w:pPr>
        <w:pStyle w:val="p1"/>
        <w:rPr>
          <w:rFonts w:ascii="Aptos" w:hAnsi="Aptos"/>
          <w:sz w:val="20"/>
          <w:szCs w:val="20"/>
          <w:lang w:val="es-ES"/>
        </w:rPr>
      </w:pPr>
      <w:r w:rsidRPr="005E3D50">
        <w:rPr>
          <w:rFonts w:ascii="Aptos" w:hAnsi="Aptos"/>
          <w:sz w:val="20"/>
          <w:szCs w:val="20"/>
          <w:lang w:val="es-ES"/>
        </w:rPr>
        <w:lastRenderedPageBreak/>
        <w:t>Figura 20</w:t>
      </w:r>
    </w:p>
    <w:p w14:paraId="075A9EEB" w14:textId="5B7B8289" w:rsidR="0041268F" w:rsidRPr="005E3D50" w:rsidRDefault="0041268F" w:rsidP="00F235D3">
      <w:pPr>
        <w:pStyle w:val="p1"/>
        <w:rPr>
          <w:rFonts w:ascii="Aptos" w:hAnsi="Aptos"/>
          <w:b/>
          <w:bCs/>
          <w:sz w:val="20"/>
          <w:szCs w:val="20"/>
          <w:lang w:val="es-ES"/>
        </w:rPr>
      </w:pPr>
      <w:r w:rsidRPr="005E3D50">
        <w:rPr>
          <w:rFonts w:ascii="Aptos" w:hAnsi="Aptos"/>
          <w:b/>
          <w:bCs/>
          <w:sz w:val="20"/>
          <w:szCs w:val="20"/>
          <w:lang w:val="es-ES"/>
        </w:rPr>
        <w:t>Indicador de cabecera A.3:</w:t>
      </w:r>
      <w:r w:rsidRPr="005E3D50">
        <w:rPr>
          <w:rFonts w:ascii="Arial" w:hAnsi="Arial"/>
          <w:b/>
          <w:bCs/>
          <w:sz w:val="20"/>
          <w:szCs w:val="20"/>
          <w:lang w:val="es-ES"/>
        </w:rPr>
        <w:t> </w:t>
      </w:r>
      <w:r w:rsidRPr="005E3D50">
        <w:rPr>
          <w:rFonts w:ascii="Aptos" w:hAnsi="Aptos"/>
          <w:b/>
          <w:bCs/>
          <w:sz w:val="20"/>
          <w:szCs w:val="20"/>
          <w:lang w:val="es-ES"/>
        </w:rPr>
        <w:t>Índice de la Lista Roja (basado en desgloses nacionales del Índice de la Lista Roja mundial de la UICN)</w:t>
      </w:r>
    </w:p>
    <w:p w14:paraId="4DF95FB7" w14:textId="3CB970B9" w:rsidR="00A26DC5" w:rsidRPr="005E3D50" w:rsidRDefault="00DB2F08" w:rsidP="009B7444">
      <w:pPr>
        <w:pStyle w:val="Caption"/>
        <w:rPr>
          <w:lang w:val="es-ES"/>
        </w:rPr>
      </w:pPr>
      <w:bookmarkStart w:id="188" w:name="_Ref230714757"/>
      <w:r w:rsidRPr="005E3D50">
        <w:rPr>
          <w:noProof/>
          <w:lang w:val="en-US" w:eastAsia="en-US"/>
        </w:rPr>
        <w:drawing>
          <wp:inline distT="0" distB="0" distL="0" distR="0" wp14:anchorId="0B71D39F" wp14:editId="631D23AB">
            <wp:extent cx="4204775" cy="2803028"/>
            <wp:effectExtent l="0" t="0" r="0" b="3810"/>
            <wp:docPr id="279444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44570" name="Picture 279444570"/>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219379" cy="2812763"/>
                    </a:xfrm>
                    <a:prstGeom prst="rect">
                      <a:avLst/>
                    </a:prstGeom>
                  </pic:spPr>
                </pic:pic>
              </a:graphicData>
            </a:graphic>
          </wp:inline>
        </w:drawing>
      </w:r>
    </w:p>
    <w:bookmarkEnd w:id="188"/>
    <w:p w14:paraId="1828BFD6" w14:textId="77A682E2" w:rsidR="00EB1CD9" w:rsidRPr="005E3D50" w:rsidRDefault="00EB1CD9" w:rsidP="00EB1CD9">
      <w:pPr>
        <w:pStyle w:val="Caption"/>
        <w:rPr>
          <w:rFonts w:ascii="Aptos" w:hAnsi="Aptos"/>
          <w:i w:val="0"/>
          <w:iCs w:val="0"/>
          <w:lang w:val="es-ES"/>
        </w:rPr>
      </w:pPr>
      <w:r w:rsidRPr="005E3D50">
        <w:rPr>
          <w:rFonts w:ascii="Aptos" w:hAnsi="Aptos"/>
          <w:lang w:val="es-ES"/>
        </w:rPr>
        <w:t>Nota:</w:t>
      </w:r>
      <w:r w:rsidRPr="005E3D50">
        <w:rPr>
          <w:rFonts w:ascii="Aptos" w:hAnsi="Aptos"/>
          <w:i w:val="0"/>
          <w:lang w:val="es-ES"/>
        </w:rPr>
        <w:t xml:space="preserve"> </w:t>
      </w:r>
      <w:r w:rsidRPr="005E3D50">
        <w:rPr>
          <w:i w:val="0"/>
          <w:lang w:val="es-ES"/>
        </w:rPr>
        <w:t>Los valores del indicador muestran el promedio (media) y el intervalo intercuartílico de todas las Partes para cada año</w:t>
      </w:r>
      <w:r w:rsidRPr="005E3D50">
        <w:rPr>
          <w:rFonts w:ascii="Aptos" w:hAnsi="Aptos"/>
          <w:lang w:val="es-ES"/>
        </w:rPr>
        <w:t>.</w:t>
      </w:r>
      <w:r w:rsidRPr="005E3D50">
        <w:rPr>
          <w:rFonts w:ascii="Aptos" w:hAnsi="Aptos"/>
          <w:i w:val="0"/>
          <w:lang w:val="es-ES"/>
        </w:rPr>
        <w:t xml:space="preserve"> El gráfico de barras de la derecha muestra la distribución de las Partes que presentaron datos para el gráfico por región. La definición de los colores de cada región se indica en la leyenda de la figura: los tonos más oscuros representan la proporción de Partes de cada región para la que se incluyen datos en el gráfico; los tonos más claros representan la proporción de Partes de la misma región para la que no se incluyen datos en el gráfico.</w:t>
      </w:r>
      <w:r w:rsidRPr="005E3D50">
        <w:rPr>
          <w:rFonts w:ascii="Arial" w:hAnsi="Arial"/>
          <w:i w:val="0"/>
          <w:lang w:val="es-ES"/>
        </w:rPr>
        <w:t> </w:t>
      </w:r>
      <w:r w:rsidRPr="005E3D50">
        <w:rPr>
          <w:rFonts w:ascii="Aptos" w:hAnsi="Aptos"/>
          <w:i w:val="0"/>
          <w:lang w:val="es-ES"/>
        </w:rPr>
        <w:t> </w:t>
      </w:r>
    </w:p>
    <w:tbl>
      <w:tblPr>
        <w:tblStyle w:val="TableGrid"/>
        <w:tblW w:w="8792" w:type="dxa"/>
        <w:tblLook w:val="06A0" w:firstRow="1" w:lastRow="0" w:firstColumn="1" w:lastColumn="0" w:noHBand="1" w:noVBand="1"/>
      </w:tblPr>
      <w:tblGrid>
        <w:gridCol w:w="4320"/>
        <w:gridCol w:w="4472"/>
      </w:tblGrid>
      <w:tr w:rsidR="002B1D2B" w:rsidRPr="00330E87" w14:paraId="12429E85" w14:textId="77777777" w:rsidTr="00E431AE">
        <w:tc>
          <w:tcPr>
            <w:tcW w:w="8792" w:type="dxa"/>
            <w:gridSpan w:val="2"/>
          </w:tcPr>
          <w:p w14:paraId="3BCBBDF1" w14:textId="4C7EEEE7"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20</w:t>
            </w:r>
          </w:p>
        </w:tc>
      </w:tr>
      <w:tr w:rsidR="002B1D2B" w:rsidRPr="00330E87" w14:paraId="777EB8D2" w14:textId="77777777" w:rsidTr="002B1D2B">
        <w:tc>
          <w:tcPr>
            <w:tcW w:w="4320" w:type="dxa"/>
          </w:tcPr>
          <w:p w14:paraId="47E383F5"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 xml:space="preserve">English </w:t>
            </w:r>
          </w:p>
        </w:tc>
        <w:tc>
          <w:tcPr>
            <w:tcW w:w="4472" w:type="dxa"/>
          </w:tcPr>
          <w:p w14:paraId="460CE374" w14:textId="08B3C8A3" w:rsidR="002B1D2B" w:rsidRPr="00330E87"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330E87" w14:paraId="099A70B8" w14:textId="77777777" w:rsidTr="002B1D2B">
        <w:tc>
          <w:tcPr>
            <w:tcW w:w="4320" w:type="dxa"/>
          </w:tcPr>
          <w:p w14:paraId="3C2BA66C"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 xml:space="preserve">Red List </w:t>
            </w:r>
            <w:proofErr w:type="spellStart"/>
            <w:r w:rsidRPr="00330E87">
              <w:rPr>
                <w:rFonts w:ascii="Aptos" w:eastAsia="Segoe UI" w:hAnsi="Aptos" w:cs="Segoe UI"/>
                <w:color w:val="0F1115"/>
                <w:sz w:val="18"/>
                <w:szCs w:val="18"/>
                <w:lang w:val="es-ES"/>
              </w:rPr>
              <w:t>Index</w:t>
            </w:r>
            <w:proofErr w:type="spellEnd"/>
            <w:r w:rsidRPr="00330E87">
              <w:rPr>
                <w:rFonts w:ascii="Aptos" w:eastAsia="Segoe UI" w:hAnsi="Aptos" w:cs="Segoe UI"/>
                <w:color w:val="0F1115"/>
                <w:sz w:val="18"/>
                <w:szCs w:val="18"/>
                <w:lang w:val="es-ES"/>
              </w:rPr>
              <w:t xml:space="preserve"> </w:t>
            </w:r>
          </w:p>
        </w:tc>
        <w:tc>
          <w:tcPr>
            <w:tcW w:w="4472" w:type="dxa"/>
          </w:tcPr>
          <w:p w14:paraId="3E1D6AE4"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 xml:space="preserve">Índice de la Lista Roja </w:t>
            </w:r>
          </w:p>
        </w:tc>
      </w:tr>
      <w:tr w:rsidR="002B1D2B" w:rsidRPr="00330E87" w14:paraId="04925B9D" w14:textId="77777777" w:rsidTr="002B1D2B">
        <w:tc>
          <w:tcPr>
            <w:tcW w:w="4320" w:type="dxa"/>
          </w:tcPr>
          <w:p w14:paraId="0F92562D"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0.6</w:t>
            </w:r>
          </w:p>
        </w:tc>
        <w:tc>
          <w:tcPr>
            <w:tcW w:w="4472" w:type="dxa"/>
          </w:tcPr>
          <w:p w14:paraId="7F47E7BE"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0,6</w:t>
            </w:r>
          </w:p>
        </w:tc>
      </w:tr>
      <w:tr w:rsidR="002B1D2B" w:rsidRPr="00330E87" w14:paraId="4FE807F6" w14:textId="77777777" w:rsidTr="002B1D2B">
        <w:tc>
          <w:tcPr>
            <w:tcW w:w="4320" w:type="dxa"/>
          </w:tcPr>
          <w:p w14:paraId="60687EFC"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0.8</w:t>
            </w:r>
          </w:p>
        </w:tc>
        <w:tc>
          <w:tcPr>
            <w:tcW w:w="4472" w:type="dxa"/>
          </w:tcPr>
          <w:p w14:paraId="23174CBF"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0,8</w:t>
            </w:r>
          </w:p>
        </w:tc>
      </w:tr>
      <w:tr w:rsidR="002B1D2B" w:rsidRPr="00330E87" w14:paraId="0FD82BB0" w14:textId="77777777" w:rsidTr="002B1D2B">
        <w:tc>
          <w:tcPr>
            <w:tcW w:w="4320" w:type="dxa"/>
          </w:tcPr>
          <w:p w14:paraId="244FD2C4"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1</w:t>
            </w:r>
          </w:p>
        </w:tc>
        <w:tc>
          <w:tcPr>
            <w:tcW w:w="4472" w:type="dxa"/>
          </w:tcPr>
          <w:p w14:paraId="07B041C7"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1</w:t>
            </w:r>
          </w:p>
        </w:tc>
      </w:tr>
      <w:tr w:rsidR="002B1D2B" w:rsidRPr="00330E87" w14:paraId="0D934CAB" w14:textId="77777777" w:rsidTr="002B1D2B">
        <w:tc>
          <w:tcPr>
            <w:tcW w:w="4320" w:type="dxa"/>
          </w:tcPr>
          <w:p w14:paraId="64E98389" w14:textId="77777777" w:rsidR="002B1D2B" w:rsidRPr="00330E87" w:rsidRDefault="002B1D2B" w:rsidP="00B93410">
            <w:pPr>
              <w:rPr>
                <w:rFonts w:ascii="Aptos" w:hAnsi="Aptos"/>
                <w:sz w:val="18"/>
                <w:szCs w:val="18"/>
                <w:lang w:val="es-ES"/>
              </w:rPr>
            </w:pPr>
            <w:proofErr w:type="spellStart"/>
            <w:r w:rsidRPr="00330E87">
              <w:rPr>
                <w:rFonts w:ascii="Aptos" w:eastAsia="Segoe UI" w:hAnsi="Aptos" w:cs="Segoe UI"/>
                <w:color w:val="0F1115"/>
                <w:sz w:val="18"/>
                <w:szCs w:val="18"/>
                <w:lang w:val="es-ES"/>
              </w:rPr>
              <w:t>Year</w:t>
            </w:r>
            <w:proofErr w:type="spellEnd"/>
          </w:p>
        </w:tc>
        <w:tc>
          <w:tcPr>
            <w:tcW w:w="4472" w:type="dxa"/>
          </w:tcPr>
          <w:p w14:paraId="09BC0833"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Año</w:t>
            </w:r>
          </w:p>
        </w:tc>
      </w:tr>
      <w:tr w:rsidR="002B1D2B" w:rsidRPr="00330E87" w14:paraId="1899FAEE" w14:textId="77777777" w:rsidTr="002B1D2B">
        <w:tc>
          <w:tcPr>
            <w:tcW w:w="4320" w:type="dxa"/>
          </w:tcPr>
          <w:p w14:paraId="46ED722E"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2010</w:t>
            </w:r>
          </w:p>
        </w:tc>
        <w:tc>
          <w:tcPr>
            <w:tcW w:w="4472" w:type="dxa"/>
          </w:tcPr>
          <w:p w14:paraId="1EA0C45E"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2010</w:t>
            </w:r>
          </w:p>
        </w:tc>
      </w:tr>
      <w:tr w:rsidR="002B1D2B" w:rsidRPr="00330E87" w14:paraId="7471F553" w14:textId="77777777" w:rsidTr="002B1D2B">
        <w:tc>
          <w:tcPr>
            <w:tcW w:w="4320" w:type="dxa"/>
          </w:tcPr>
          <w:p w14:paraId="2F74EB70"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2011</w:t>
            </w:r>
          </w:p>
        </w:tc>
        <w:tc>
          <w:tcPr>
            <w:tcW w:w="4472" w:type="dxa"/>
          </w:tcPr>
          <w:p w14:paraId="45A20A4D"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2011</w:t>
            </w:r>
          </w:p>
        </w:tc>
      </w:tr>
      <w:tr w:rsidR="002B1D2B" w:rsidRPr="00330E87" w14:paraId="1A4ED0E6" w14:textId="77777777" w:rsidTr="002B1D2B">
        <w:tc>
          <w:tcPr>
            <w:tcW w:w="4320" w:type="dxa"/>
          </w:tcPr>
          <w:p w14:paraId="1352AD65"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2012</w:t>
            </w:r>
          </w:p>
        </w:tc>
        <w:tc>
          <w:tcPr>
            <w:tcW w:w="4472" w:type="dxa"/>
          </w:tcPr>
          <w:p w14:paraId="5E69C246"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2012</w:t>
            </w:r>
          </w:p>
        </w:tc>
      </w:tr>
      <w:tr w:rsidR="002B1D2B" w:rsidRPr="00330E87" w14:paraId="10E229F4" w14:textId="77777777" w:rsidTr="002B1D2B">
        <w:tc>
          <w:tcPr>
            <w:tcW w:w="4320" w:type="dxa"/>
          </w:tcPr>
          <w:p w14:paraId="0251BB9A"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2013</w:t>
            </w:r>
          </w:p>
        </w:tc>
        <w:tc>
          <w:tcPr>
            <w:tcW w:w="4472" w:type="dxa"/>
          </w:tcPr>
          <w:p w14:paraId="4B9E3EF5"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2013</w:t>
            </w:r>
          </w:p>
        </w:tc>
      </w:tr>
      <w:tr w:rsidR="002B1D2B" w:rsidRPr="00330E87" w14:paraId="2EDB56DC" w14:textId="77777777" w:rsidTr="002B1D2B">
        <w:tc>
          <w:tcPr>
            <w:tcW w:w="4320" w:type="dxa"/>
          </w:tcPr>
          <w:p w14:paraId="1D816E97"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2014</w:t>
            </w:r>
          </w:p>
        </w:tc>
        <w:tc>
          <w:tcPr>
            <w:tcW w:w="4472" w:type="dxa"/>
          </w:tcPr>
          <w:p w14:paraId="4A260003"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2014</w:t>
            </w:r>
          </w:p>
        </w:tc>
      </w:tr>
      <w:tr w:rsidR="002B1D2B" w:rsidRPr="00330E87" w14:paraId="362CEFBA" w14:textId="77777777" w:rsidTr="002B1D2B">
        <w:tc>
          <w:tcPr>
            <w:tcW w:w="4320" w:type="dxa"/>
          </w:tcPr>
          <w:p w14:paraId="26D20852"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2015</w:t>
            </w:r>
          </w:p>
        </w:tc>
        <w:tc>
          <w:tcPr>
            <w:tcW w:w="4472" w:type="dxa"/>
          </w:tcPr>
          <w:p w14:paraId="4FBD8F3D"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2015</w:t>
            </w:r>
          </w:p>
        </w:tc>
      </w:tr>
      <w:tr w:rsidR="002B1D2B" w:rsidRPr="00330E87" w14:paraId="1D13B346" w14:textId="77777777" w:rsidTr="002B1D2B">
        <w:tc>
          <w:tcPr>
            <w:tcW w:w="4320" w:type="dxa"/>
          </w:tcPr>
          <w:p w14:paraId="095DBDBC"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2016</w:t>
            </w:r>
          </w:p>
        </w:tc>
        <w:tc>
          <w:tcPr>
            <w:tcW w:w="4472" w:type="dxa"/>
          </w:tcPr>
          <w:p w14:paraId="0A814A7F"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2016</w:t>
            </w:r>
          </w:p>
        </w:tc>
      </w:tr>
      <w:tr w:rsidR="002B1D2B" w:rsidRPr="00330E87" w14:paraId="70EF3537" w14:textId="77777777" w:rsidTr="002B1D2B">
        <w:tc>
          <w:tcPr>
            <w:tcW w:w="4320" w:type="dxa"/>
          </w:tcPr>
          <w:p w14:paraId="4FAADCDE"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2017</w:t>
            </w:r>
          </w:p>
        </w:tc>
        <w:tc>
          <w:tcPr>
            <w:tcW w:w="4472" w:type="dxa"/>
          </w:tcPr>
          <w:p w14:paraId="2F948CED"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2017</w:t>
            </w:r>
          </w:p>
        </w:tc>
      </w:tr>
      <w:tr w:rsidR="002B1D2B" w:rsidRPr="00330E87" w14:paraId="7E08E740" w14:textId="77777777" w:rsidTr="002B1D2B">
        <w:tc>
          <w:tcPr>
            <w:tcW w:w="4320" w:type="dxa"/>
          </w:tcPr>
          <w:p w14:paraId="662B2B46"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2018</w:t>
            </w:r>
          </w:p>
        </w:tc>
        <w:tc>
          <w:tcPr>
            <w:tcW w:w="4472" w:type="dxa"/>
          </w:tcPr>
          <w:p w14:paraId="27FBB2D9"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2018</w:t>
            </w:r>
          </w:p>
        </w:tc>
      </w:tr>
      <w:tr w:rsidR="002B1D2B" w:rsidRPr="00330E87" w14:paraId="36FDFEEA" w14:textId="77777777" w:rsidTr="002B1D2B">
        <w:tc>
          <w:tcPr>
            <w:tcW w:w="4320" w:type="dxa"/>
          </w:tcPr>
          <w:p w14:paraId="2BFADCB0"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2019</w:t>
            </w:r>
          </w:p>
        </w:tc>
        <w:tc>
          <w:tcPr>
            <w:tcW w:w="4472" w:type="dxa"/>
          </w:tcPr>
          <w:p w14:paraId="170BB3D0"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2019</w:t>
            </w:r>
          </w:p>
        </w:tc>
      </w:tr>
      <w:tr w:rsidR="002B1D2B" w:rsidRPr="00330E87" w14:paraId="6251B986" w14:textId="77777777" w:rsidTr="002B1D2B">
        <w:tc>
          <w:tcPr>
            <w:tcW w:w="4320" w:type="dxa"/>
          </w:tcPr>
          <w:p w14:paraId="4CCAE06D"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2020</w:t>
            </w:r>
          </w:p>
        </w:tc>
        <w:tc>
          <w:tcPr>
            <w:tcW w:w="4472" w:type="dxa"/>
          </w:tcPr>
          <w:p w14:paraId="2E1B2470"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2020</w:t>
            </w:r>
          </w:p>
        </w:tc>
      </w:tr>
      <w:tr w:rsidR="002B1D2B" w:rsidRPr="00330E87" w14:paraId="1A4F61E4" w14:textId="77777777" w:rsidTr="002B1D2B">
        <w:tc>
          <w:tcPr>
            <w:tcW w:w="4320" w:type="dxa"/>
          </w:tcPr>
          <w:p w14:paraId="6878137F"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2021</w:t>
            </w:r>
          </w:p>
        </w:tc>
        <w:tc>
          <w:tcPr>
            <w:tcW w:w="4472" w:type="dxa"/>
          </w:tcPr>
          <w:p w14:paraId="458BABEC"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2021</w:t>
            </w:r>
          </w:p>
        </w:tc>
      </w:tr>
      <w:tr w:rsidR="002B1D2B" w:rsidRPr="00330E87" w14:paraId="2FE2CA6C" w14:textId="77777777" w:rsidTr="002B1D2B">
        <w:tc>
          <w:tcPr>
            <w:tcW w:w="4320" w:type="dxa"/>
          </w:tcPr>
          <w:p w14:paraId="133F82C9"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2022</w:t>
            </w:r>
          </w:p>
        </w:tc>
        <w:tc>
          <w:tcPr>
            <w:tcW w:w="4472" w:type="dxa"/>
          </w:tcPr>
          <w:p w14:paraId="18E8A3DB"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2022</w:t>
            </w:r>
          </w:p>
        </w:tc>
      </w:tr>
      <w:tr w:rsidR="002B1D2B" w:rsidRPr="00330E87" w14:paraId="0F541E34" w14:textId="77777777" w:rsidTr="002B1D2B">
        <w:tc>
          <w:tcPr>
            <w:tcW w:w="4320" w:type="dxa"/>
          </w:tcPr>
          <w:p w14:paraId="00333FF4"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2023</w:t>
            </w:r>
          </w:p>
        </w:tc>
        <w:tc>
          <w:tcPr>
            <w:tcW w:w="4472" w:type="dxa"/>
          </w:tcPr>
          <w:p w14:paraId="35A17D63"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2023</w:t>
            </w:r>
          </w:p>
        </w:tc>
      </w:tr>
      <w:tr w:rsidR="002B1D2B" w:rsidRPr="00330E87" w14:paraId="6B36BE72" w14:textId="77777777" w:rsidTr="002B1D2B">
        <w:tc>
          <w:tcPr>
            <w:tcW w:w="4320" w:type="dxa"/>
          </w:tcPr>
          <w:p w14:paraId="00ABE4BF"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2024</w:t>
            </w:r>
          </w:p>
        </w:tc>
        <w:tc>
          <w:tcPr>
            <w:tcW w:w="4472" w:type="dxa"/>
          </w:tcPr>
          <w:p w14:paraId="78FBB409"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2024</w:t>
            </w:r>
          </w:p>
        </w:tc>
      </w:tr>
      <w:tr w:rsidR="002B1D2B" w:rsidRPr="00330E87" w14:paraId="4933710C" w14:textId="77777777" w:rsidTr="002B1D2B">
        <w:tc>
          <w:tcPr>
            <w:tcW w:w="4320" w:type="dxa"/>
          </w:tcPr>
          <w:p w14:paraId="418C0688"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2025</w:t>
            </w:r>
          </w:p>
        </w:tc>
        <w:tc>
          <w:tcPr>
            <w:tcW w:w="4472" w:type="dxa"/>
          </w:tcPr>
          <w:p w14:paraId="3F981A3D"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2025</w:t>
            </w:r>
          </w:p>
        </w:tc>
      </w:tr>
      <w:tr w:rsidR="002B1D2B" w:rsidRPr="00330E87" w14:paraId="148E5F90" w14:textId="77777777" w:rsidTr="002B1D2B">
        <w:tc>
          <w:tcPr>
            <w:tcW w:w="4320" w:type="dxa"/>
          </w:tcPr>
          <w:p w14:paraId="60C14757"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0</w:t>
            </w:r>
          </w:p>
        </w:tc>
        <w:tc>
          <w:tcPr>
            <w:tcW w:w="4472" w:type="dxa"/>
          </w:tcPr>
          <w:p w14:paraId="43DD1C2A"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0</w:t>
            </w:r>
          </w:p>
        </w:tc>
      </w:tr>
      <w:tr w:rsidR="002B1D2B" w:rsidRPr="00330E87" w14:paraId="06B8DBE0" w14:textId="77777777" w:rsidTr="002B1D2B">
        <w:tc>
          <w:tcPr>
            <w:tcW w:w="4320" w:type="dxa"/>
          </w:tcPr>
          <w:p w14:paraId="2D2E8367"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50</w:t>
            </w:r>
          </w:p>
        </w:tc>
        <w:tc>
          <w:tcPr>
            <w:tcW w:w="4472" w:type="dxa"/>
          </w:tcPr>
          <w:p w14:paraId="18F4E9C5"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50</w:t>
            </w:r>
          </w:p>
        </w:tc>
      </w:tr>
      <w:tr w:rsidR="002B1D2B" w:rsidRPr="00330E87" w14:paraId="6E958092" w14:textId="77777777" w:rsidTr="002B1D2B">
        <w:tc>
          <w:tcPr>
            <w:tcW w:w="4320" w:type="dxa"/>
          </w:tcPr>
          <w:p w14:paraId="7C2403AE"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100</w:t>
            </w:r>
          </w:p>
        </w:tc>
        <w:tc>
          <w:tcPr>
            <w:tcW w:w="4472" w:type="dxa"/>
          </w:tcPr>
          <w:p w14:paraId="3EA582BE"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100</w:t>
            </w:r>
          </w:p>
        </w:tc>
      </w:tr>
      <w:tr w:rsidR="002B1D2B" w:rsidRPr="00330E87" w14:paraId="761DA99E" w14:textId="77777777" w:rsidTr="002B1D2B">
        <w:tc>
          <w:tcPr>
            <w:tcW w:w="4320" w:type="dxa"/>
          </w:tcPr>
          <w:p w14:paraId="57067979"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150</w:t>
            </w:r>
          </w:p>
        </w:tc>
        <w:tc>
          <w:tcPr>
            <w:tcW w:w="4472" w:type="dxa"/>
          </w:tcPr>
          <w:p w14:paraId="67926445"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150</w:t>
            </w:r>
          </w:p>
        </w:tc>
      </w:tr>
      <w:tr w:rsidR="002B1D2B" w:rsidRPr="00330E87" w14:paraId="4A7C4078" w14:textId="77777777" w:rsidTr="002B1D2B">
        <w:tc>
          <w:tcPr>
            <w:tcW w:w="4320" w:type="dxa"/>
          </w:tcPr>
          <w:p w14:paraId="21FFDD75"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lastRenderedPageBreak/>
              <w:t>200</w:t>
            </w:r>
          </w:p>
        </w:tc>
        <w:tc>
          <w:tcPr>
            <w:tcW w:w="4472" w:type="dxa"/>
          </w:tcPr>
          <w:p w14:paraId="519133C7"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200</w:t>
            </w:r>
          </w:p>
        </w:tc>
      </w:tr>
      <w:tr w:rsidR="002B1D2B" w:rsidRPr="00330E87" w14:paraId="5F5153D8" w14:textId="77777777" w:rsidTr="002B1D2B">
        <w:tc>
          <w:tcPr>
            <w:tcW w:w="4320" w:type="dxa"/>
          </w:tcPr>
          <w:p w14:paraId="006C6D1D" w14:textId="77777777" w:rsidR="002B1D2B" w:rsidRPr="00330E87" w:rsidRDefault="002B1D2B" w:rsidP="00B93410">
            <w:pPr>
              <w:rPr>
                <w:rFonts w:ascii="Aptos" w:hAnsi="Aptos"/>
                <w:sz w:val="18"/>
                <w:szCs w:val="18"/>
                <w:lang w:val="es-ES"/>
              </w:rPr>
            </w:pPr>
            <w:proofErr w:type="spellStart"/>
            <w:r w:rsidRPr="00330E87">
              <w:rPr>
                <w:rFonts w:ascii="Aptos" w:eastAsia="Segoe UI" w:hAnsi="Aptos" w:cs="Segoe UI"/>
                <w:color w:val="0F1115"/>
                <w:sz w:val="18"/>
                <w:szCs w:val="18"/>
                <w:lang w:val="es-ES"/>
              </w:rPr>
              <w:t>Parties</w:t>
            </w:r>
            <w:proofErr w:type="spellEnd"/>
            <w:r w:rsidRPr="00330E87">
              <w:rPr>
                <w:rFonts w:ascii="Aptos" w:eastAsia="Segoe UI" w:hAnsi="Aptos" w:cs="Segoe UI"/>
                <w:color w:val="0F1115"/>
                <w:sz w:val="18"/>
                <w:szCs w:val="18"/>
                <w:lang w:val="es-ES"/>
              </w:rPr>
              <w:t xml:space="preserve"> </w:t>
            </w:r>
            <w:proofErr w:type="spellStart"/>
            <w:r w:rsidRPr="00330E87">
              <w:rPr>
                <w:rFonts w:ascii="Aptos" w:eastAsia="Segoe UI" w:hAnsi="Aptos" w:cs="Segoe UI"/>
                <w:color w:val="0F1115"/>
                <w:sz w:val="18"/>
                <w:szCs w:val="18"/>
                <w:lang w:val="es-ES"/>
              </w:rPr>
              <w:t>covered</w:t>
            </w:r>
            <w:proofErr w:type="spellEnd"/>
          </w:p>
        </w:tc>
        <w:tc>
          <w:tcPr>
            <w:tcW w:w="4472" w:type="dxa"/>
          </w:tcPr>
          <w:p w14:paraId="65E362C7"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Partes cubiertas</w:t>
            </w:r>
          </w:p>
        </w:tc>
      </w:tr>
      <w:tr w:rsidR="002B1D2B" w:rsidRPr="00330E87" w14:paraId="677BFC74" w14:textId="77777777" w:rsidTr="002B1D2B">
        <w:tc>
          <w:tcPr>
            <w:tcW w:w="4320" w:type="dxa"/>
          </w:tcPr>
          <w:p w14:paraId="7F1F698F" w14:textId="77777777" w:rsidR="002B1D2B" w:rsidRPr="00330E87" w:rsidRDefault="002B1D2B" w:rsidP="00B93410">
            <w:pPr>
              <w:rPr>
                <w:rFonts w:ascii="Aptos" w:hAnsi="Aptos"/>
                <w:sz w:val="18"/>
                <w:szCs w:val="18"/>
                <w:lang w:val="es-ES"/>
              </w:rPr>
            </w:pPr>
            <w:proofErr w:type="spellStart"/>
            <w:r w:rsidRPr="00330E87">
              <w:rPr>
                <w:rFonts w:ascii="Aptos" w:eastAsia="Segoe UI" w:hAnsi="Aptos" w:cs="Segoe UI"/>
                <w:color w:val="0F1115"/>
                <w:sz w:val="18"/>
                <w:szCs w:val="18"/>
                <w:lang w:val="es-ES"/>
              </w:rPr>
              <w:t>Region</w:t>
            </w:r>
            <w:proofErr w:type="spellEnd"/>
          </w:p>
        </w:tc>
        <w:tc>
          <w:tcPr>
            <w:tcW w:w="4472" w:type="dxa"/>
          </w:tcPr>
          <w:p w14:paraId="5D06C337"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Región</w:t>
            </w:r>
          </w:p>
        </w:tc>
      </w:tr>
      <w:tr w:rsidR="002B1D2B" w:rsidRPr="00330E87" w14:paraId="5B8A85B3" w14:textId="77777777" w:rsidTr="002B1D2B">
        <w:tc>
          <w:tcPr>
            <w:tcW w:w="4320" w:type="dxa"/>
          </w:tcPr>
          <w:p w14:paraId="443161DB"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African States</w:t>
            </w:r>
          </w:p>
        </w:tc>
        <w:tc>
          <w:tcPr>
            <w:tcW w:w="4472" w:type="dxa"/>
          </w:tcPr>
          <w:p w14:paraId="7DF282A2"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Estados de África</w:t>
            </w:r>
          </w:p>
        </w:tc>
      </w:tr>
      <w:tr w:rsidR="002B1D2B" w:rsidRPr="00330E87" w14:paraId="1E7712B2" w14:textId="77777777" w:rsidTr="002B1D2B">
        <w:tc>
          <w:tcPr>
            <w:tcW w:w="4320" w:type="dxa"/>
          </w:tcPr>
          <w:p w14:paraId="3B5DBBF5"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Asia- Pacific States</w:t>
            </w:r>
          </w:p>
        </w:tc>
        <w:tc>
          <w:tcPr>
            <w:tcW w:w="4472" w:type="dxa"/>
          </w:tcPr>
          <w:p w14:paraId="0800B6F2"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Estados de Asia y el Pacífico</w:t>
            </w:r>
          </w:p>
        </w:tc>
      </w:tr>
      <w:tr w:rsidR="002B1D2B" w:rsidRPr="00330E87" w14:paraId="2FAF4798" w14:textId="77777777" w:rsidTr="002B1D2B">
        <w:tc>
          <w:tcPr>
            <w:tcW w:w="4320" w:type="dxa"/>
          </w:tcPr>
          <w:p w14:paraId="13D44854" w14:textId="77777777" w:rsidR="002B1D2B" w:rsidRPr="00330E87" w:rsidRDefault="002B1D2B" w:rsidP="00B93410">
            <w:pPr>
              <w:rPr>
                <w:rFonts w:ascii="Aptos" w:hAnsi="Aptos"/>
                <w:sz w:val="18"/>
                <w:szCs w:val="18"/>
                <w:lang w:val="en-US"/>
              </w:rPr>
            </w:pPr>
            <w:r w:rsidRPr="00330E87">
              <w:rPr>
                <w:rFonts w:ascii="Aptos" w:eastAsia="Segoe UI" w:hAnsi="Aptos" w:cs="Segoe UI"/>
                <w:color w:val="0F1115"/>
                <w:sz w:val="18"/>
                <w:szCs w:val="18"/>
                <w:lang w:val="en-US"/>
              </w:rPr>
              <w:t>Latin American and Caribbean States</w:t>
            </w:r>
          </w:p>
        </w:tc>
        <w:tc>
          <w:tcPr>
            <w:tcW w:w="4472" w:type="dxa"/>
          </w:tcPr>
          <w:p w14:paraId="411A7961"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Estados de América Latina y el Caribe</w:t>
            </w:r>
          </w:p>
        </w:tc>
      </w:tr>
      <w:tr w:rsidR="002B1D2B" w:rsidRPr="00330E87" w14:paraId="412C9021" w14:textId="77777777" w:rsidTr="002B1D2B">
        <w:tc>
          <w:tcPr>
            <w:tcW w:w="4320" w:type="dxa"/>
          </w:tcPr>
          <w:p w14:paraId="10F078A2"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 xml:space="preserve"> Eastern European States</w:t>
            </w:r>
          </w:p>
        </w:tc>
        <w:tc>
          <w:tcPr>
            <w:tcW w:w="4472" w:type="dxa"/>
          </w:tcPr>
          <w:p w14:paraId="22A8CF7C"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Estados de Europa Oriental</w:t>
            </w:r>
          </w:p>
        </w:tc>
      </w:tr>
      <w:tr w:rsidR="002B1D2B" w:rsidRPr="00330E87" w14:paraId="5136FE81" w14:textId="77777777" w:rsidTr="002B1D2B">
        <w:tc>
          <w:tcPr>
            <w:tcW w:w="4320" w:type="dxa"/>
          </w:tcPr>
          <w:p w14:paraId="15913705" w14:textId="77777777" w:rsidR="002B1D2B" w:rsidRPr="00330E87" w:rsidRDefault="002B1D2B" w:rsidP="00B93410">
            <w:pPr>
              <w:rPr>
                <w:rFonts w:ascii="Aptos" w:hAnsi="Aptos"/>
                <w:sz w:val="18"/>
                <w:szCs w:val="18"/>
                <w:lang w:val="en-US"/>
              </w:rPr>
            </w:pPr>
            <w:r w:rsidRPr="00330E87">
              <w:rPr>
                <w:rFonts w:ascii="Aptos" w:eastAsia="Segoe UI" w:hAnsi="Aptos" w:cs="Segoe UI"/>
                <w:color w:val="0F1115"/>
                <w:sz w:val="18"/>
                <w:szCs w:val="18"/>
                <w:lang w:val="en-US"/>
              </w:rPr>
              <w:t>Western European and other States</w:t>
            </w:r>
          </w:p>
        </w:tc>
        <w:tc>
          <w:tcPr>
            <w:tcW w:w="4472" w:type="dxa"/>
          </w:tcPr>
          <w:p w14:paraId="24183F09" w14:textId="77777777" w:rsidR="002B1D2B" w:rsidRPr="00330E87" w:rsidRDefault="002B1D2B" w:rsidP="00B93410">
            <w:pPr>
              <w:rPr>
                <w:rFonts w:ascii="Aptos" w:hAnsi="Aptos"/>
                <w:sz w:val="18"/>
                <w:szCs w:val="18"/>
                <w:lang w:val="es-ES"/>
              </w:rPr>
            </w:pPr>
            <w:r w:rsidRPr="00330E87">
              <w:rPr>
                <w:rFonts w:ascii="Aptos" w:hAnsi="Aptos"/>
                <w:color w:val="0F1115"/>
                <w:sz w:val="18"/>
                <w:szCs w:val="18"/>
                <w:lang w:val="es-ES"/>
              </w:rPr>
              <w:t>Estados de Europa Occidental y otros Estados</w:t>
            </w:r>
          </w:p>
        </w:tc>
      </w:tr>
      <w:tr w:rsidR="002B1D2B" w:rsidRPr="00330E87" w14:paraId="15C489B8" w14:textId="77777777" w:rsidTr="002B1D2B">
        <w:tc>
          <w:tcPr>
            <w:tcW w:w="4320" w:type="dxa"/>
          </w:tcPr>
          <w:p w14:paraId="1FA7494D" w14:textId="77777777" w:rsidR="002B1D2B" w:rsidRPr="00330E87" w:rsidRDefault="002B1D2B" w:rsidP="00B93410">
            <w:pPr>
              <w:rPr>
                <w:rFonts w:ascii="Aptos" w:hAnsi="Aptos"/>
                <w:sz w:val="18"/>
                <w:szCs w:val="18"/>
                <w:lang w:val="es-ES"/>
              </w:rPr>
            </w:pPr>
            <w:r w:rsidRPr="00330E87">
              <w:rPr>
                <w:rFonts w:ascii="Aptos" w:eastAsia="Segoe UI" w:hAnsi="Aptos" w:cs="Segoe UI"/>
                <w:color w:val="0F1115"/>
                <w:sz w:val="18"/>
                <w:szCs w:val="18"/>
                <w:lang w:val="es-ES"/>
              </w:rPr>
              <w:t xml:space="preserve">Party </w:t>
            </w:r>
            <w:proofErr w:type="spellStart"/>
            <w:r w:rsidRPr="00330E87">
              <w:rPr>
                <w:rFonts w:ascii="Aptos" w:eastAsia="Segoe UI" w:hAnsi="Aptos" w:cs="Segoe UI"/>
                <w:color w:val="0F1115"/>
                <w:sz w:val="18"/>
                <w:szCs w:val="18"/>
                <w:lang w:val="es-ES"/>
              </w:rPr>
              <w:t>count</w:t>
            </w:r>
            <w:proofErr w:type="spellEnd"/>
            <w:r w:rsidRPr="00330E87">
              <w:rPr>
                <w:rFonts w:ascii="Aptos" w:eastAsia="Segoe UI" w:hAnsi="Aptos" w:cs="Segoe UI"/>
                <w:color w:val="0F1115"/>
                <w:sz w:val="18"/>
                <w:szCs w:val="18"/>
                <w:lang w:val="es-ES"/>
              </w:rPr>
              <w:t>: 195</w:t>
            </w:r>
          </w:p>
        </w:tc>
        <w:tc>
          <w:tcPr>
            <w:tcW w:w="4472" w:type="dxa"/>
          </w:tcPr>
          <w:p w14:paraId="30FDDAED" w14:textId="77777777" w:rsidR="002B1D2B" w:rsidRPr="00330E87" w:rsidRDefault="002B1D2B" w:rsidP="00B93410">
            <w:pPr>
              <w:rPr>
                <w:rFonts w:ascii="Aptos" w:eastAsia="Segoe UI" w:hAnsi="Aptos" w:cs="Segoe UI"/>
                <w:color w:val="0F1115"/>
                <w:sz w:val="18"/>
                <w:szCs w:val="18"/>
                <w:lang w:val="es-ES"/>
              </w:rPr>
            </w:pPr>
            <w:r w:rsidRPr="00330E87">
              <w:rPr>
                <w:rFonts w:ascii="Aptos" w:hAnsi="Aptos"/>
                <w:color w:val="0F1115"/>
                <w:sz w:val="18"/>
                <w:szCs w:val="18"/>
                <w:lang w:val="es-ES"/>
              </w:rPr>
              <w:t>Número de Partes: 195</w:t>
            </w:r>
          </w:p>
        </w:tc>
      </w:tr>
    </w:tbl>
    <w:p w14:paraId="37AE4231" w14:textId="6E5443A4" w:rsidR="00F235D3" w:rsidRPr="005E3D50" w:rsidRDefault="00F235D3" w:rsidP="00DF1DCB">
      <w:pPr>
        <w:pStyle w:val="Caption"/>
        <w:rPr>
          <w:rFonts w:ascii="Aptos" w:hAnsi="Aptos"/>
          <w:lang w:val="es-ES"/>
        </w:rPr>
      </w:pPr>
    </w:p>
    <w:p w14:paraId="75157ABC" w14:textId="238DEC6E" w:rsidR="00104072" w:rsidRPr="005E3D50" w:rsidRDefault="00104072" w:rsidP="00104072">
      <w:pPr>
        <w:rPr>
          <w:sz w:val="20"/>
          <w:szCs w:val="20"/>
          <w:lang w:val="es-ES"/>
        </w:rPr>
      </w:pPr>
      <w:r w:rsidRPr="005E3D50">
        <w:rPr>
          <w:sz w:val="20"/>
          <w:szCs w:val="20"/>
          <w:lang w:val="es-ES"/>
        </w:rPr>
        <w:t>Figura 21</w:t>
      </w:r>
    </w:p>
    <w:p w14:paraId="3057B6B6" w14:textId="41B2B4C8" w:rsidR="00104072" w:rsidRPr="005E3D50" w:rsidRDefault="00104072" w:rsidP="00104072">
      <w:pPr>
        <w:rPr>
          <w:b/>
          <w:bCs/>
          <w:sz w:val="20"/>
          <w:szCs w:val="20"/>
          <w:lang w:val="es-ES"/>
        </w:rPr>
      </w:pPr>
      <w:r w:rsidRPr="005E3D50">
        <w:rPr>
          <w:b/>
          <w:bCs/>
          <w:sz w:val="20"/>
          <w:szCs w:val="20"/>
          <w:lang w:val="es-ES"/>
        </w:rPr>
        <w:t>Indicador de cabecera A.4:</w:t>
      </w:r>
      <w:r w:rsidRPr="005E3D50">
        <w:rPr>
          <w:rFonts w:ascii="Arial" w:hAnsi="Arial"/>
          <w:b/>
          <w:bCs/>
          <w:sz w:val="20"/>
          <w:szCs w:val="20"/>
          <w:lang w:val="es-ES"/>
        </w:rPr>
        <w:t> </w:t>
      </w:r>
      <w:r w:rsidRPr="005E3D50">
        <w:rPr>
          <w:b/>
          <w:bCs/>
          <w:sz w:val="20"/>
          <w:szCs w:val="20"/>
          <w:lang w:val="es-ES"/>
        </w:rPr>
        <w:t>proporción de poblaciones dentro de especies con un tamaño de población efectivo mayor a 500</w:t>
      </w:r>
      <w:r w:rsidRPr="005E3D50">
        <w:rPr>
          <w:rFonts w:ascii="Arial" w:hAnsi="Arial"/>
          <w:b/>
          <w:bCs/>
          <w:sz w:val="20"/>
          <w:szCs w:val="20"/>
          <w:lang w:val="es-ES"/>
        </w:rPr>
        <w:t> </w:t>
      </w:r>
    </w:p>
    <w:p w14:paraId="332E2D97" w14:textId="77777777" w:rsidR="00F235D3" w:rsidRPr="005E3D50" w:rsidRDefault="00F235D3" w:rsidP="00F235D3">
      <w:pPr>
        <w:pStyle w:val="p1"/>
        <w:rPr>
          <w:rFonts w:ascii="Aptos" w:hAnsi="Aptos"/>
          <w:lang w:val="es-ES"/>
        </w:rPr>
      </w:pPr>
    </w:p>
    <w:p w14:paraId="0C5DEA6E" w14:textId="1C9D1665" w:rsidR="00A26DC5" w:rsidRPr="005E3D50" w:rsidRDefault="00F235D3" w:rsidP="009B7444">
      <w:pPr>
        <w:pStyle w:val="Caption"/>
        <w:rPr>
          <w:lang w:val="es-ES"/>
        </w:rPr>
      </w:pPr>
      <w:bookmarkStart w:id="189" w:name="_Ref230630440"/>
      <w:r w:rsidRPr="005E3D50">
        <w:rPr>
          <w:rFonts w:ascii="Aptos" w:hAnsi="Aptos"/>
          <w:noProof/>
          <w:lang w:val="en-US" w:eastAsia="en-US"/>
        </w:rPr>
        <w:drawing>
          <wp:inline distT="0" distB="0" distL="0" distR="0" wp14:anchorId="1459ED50" wp14:editId="58F1C81E">
            <wp:extent cx="5721350" cy="3219450"/>
            <wp:effectExtent l="0" t="0" r="0" b="0"/>
            <wp:docPr id="18386241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bookmarkEnd w:id="189"/>
    <w:p w14:paraId="747C8187" w14:textId="23047BA6" w:rsidR="009D0486" w:rsidRPr="005E3D50" w:rsidRDefault="00C13C88" w:rsidP="009D0486">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Arriba: promedio general y rango de los valores del indicador presentados por las Partes. Abajo: promedio general y rango de los valores del indicador correspondientes a las Partes que participaron en el estudio piloto para la elaboración del indicador (Mastretta-Yanes y otros, 2024).</w:t>
      </w:r>
      <w:r w:rsidRPr="005E3D50">
        <w:rPr>
          <w:rFonts w:ascii="Aptos" w:hAnsi="Aptos"/>
          <w:lang w:val="es-ES"/>
        </w:rPr>
        <w:t> </w:t>
      </w:r>
      <w:r w:rsidRPr="005E3D50">
        <w:rPr>
          <w:rFonts w:ascii="Aptos" w:hAnsi="Aptos"/>
          <w:i w:val="0"/>
          <w:iCs w:val="0"/>
          <w:lang w:val="es-ES"/>
        </w:rPr>
        <w:t>Solo dos Partes están incluidas en ambos promedios. En ambos casos, se muestra un único valor general que agrega todos los valores presentados/disponibles, ya que solo una Parte proporcionó una evaluación repetida del valor del indicador correspondiente a un año diferente. Los valores no deben compararse directamente, ya que no representan el mismo conjunto de Partes o especies. El gráfico de barras muestra la distribución por región de las Partes para las que se dispone de datos en el gráfico.</w:t>
      </w:r>
      <w:r w:rsidRPr="005E3D50">
        <w:rPr>
          <w:rFonts w:ascii="Arial" w:hAnsi="Arial"/>
          <w:i w:val="0"/>
          <w:iCs w:val="0"/>
          <w:lang w:val="es-ES"/>
        </w:rPr>
        <w:t> </w:t>
      </w:r>
      <w:r w:rsidRPr="005E3D50">
        <w:rPr>
          <w:rFonts w:ascii="Aptos" w:hAnsi="Aptos"/>
          <w:i w:val="0"/>
          <w:iCs w:val="0"/>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8372" w:type="dxa"/>
        <w:tblLook w:val="06A0" w:firstRow="1" w:lastRow="0" w:firstColumn="1" w:lastColumn="0" w:noHBand="1" w:noVBand="1"/>
      </w:tblPr>
      <w:tblGrid>
        <w:gridCol w:w="3923"/>
        <w:gridCol w:w="4449"/>
      </w:tblGrid>
      <w:tr w:rsidR="002B1D2B" w:rsidRPr="00650989" w14:paraId="1AB4A185" w14:textId="77777777" w:rsidTr="00957000">
        <w:tc>
          <w:tcPr>
            <w:tcW w:w="8372" w:type="dxa"/>
            <w:gridSpan w:val="2"/>
          </w:tcPr>
          <w:p w14:paraId="1FAF1490" w14:textId="351FE235"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21</w:t>
            </w:r>
          </w:p>
        </w:tc>
      </w:tr>
      <w:tr w:rsidR="002B1D2B" w:rsidRPr="00650989" w14:paraId="2A52B279" w14:textId="77777777" w:rsidTr="002B1D2B">
        <w:tc>
          <w:tcPr>
            <w:tcW w:w="3923" w:type="dxa"/>
          </w:tcPr>
          <w:p w14:paraId="7DD5E5AC"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English </w:t>
            </w:r>
          </w:p>
        </w:tc>
        <w:tc>
          <w:tcPr>
            <w:tcW w:w="4449" w:type="dxa"/>
          </w:tcPr>
          <w:p w14:paraId="1CC0C503" w14:textId="45479C8A" w:rsidR="002B1D2B" w:rsidRPr="00650989"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650989" w14:paraId="570211F3" w14:textId="77777777" w:rsidTr="002B1D2B">
        <w:tc>
          <w:tcPr>
            <w:tcW w:w="3923" w:type="dxa"/>
          </w:tcPr>
          <w:p w14:paraId="21C79A29"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National </w:t>
            </w:r>
            <w:proofErr w:type="spellStart"/>
            <w:r w:rsidRPr="00650989">
              <w:rPr>
                <w:rFonts w:ascii="Aptos" w:eastAsia="Segoe UI" w:hAnsi="Aptos" w:cs="Segoe UI"/>
                <w:color w:val="0F1115"/>
                <w:sz w:val="18"/>
                <w:szCs w:val="18"/>
                <w:lang w:val="es-ES"/>
              </w:rPr>
              <w:t>submissions</w:t>
            </w:r>
            <w:proofErr w:type="spellEnd"/>
          </w:p>
        </w:tc>
        <w:tc>
          <w:tcPr>
            <w:tcW w:w="4449" w:type="dxa"/>
          </w:tcPr>
          <w:p w14:paraId="6C6E1AAB"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Comunicaciones nacionales</w:t>
            </w:r>
          </w:p>
        </w:tc>
      </w:tr>
      <w:tr w:rsidR="002B1D2B" w:rsidRPr="00650989" w14:paraId="6DF82F7A" w14:textId="77777777" w:rsidTr="002B1D2B">
        <w:tc>
          <w:tcPr>
            <w:tcW w:w="3923" w:type="dxa"/>
          </w:tcPr>
          <w:p w14:paraId="518EE554" w14:textId="77777777" w:rsidR="002B1D2B" w:rsidRPr="00650989" w:rsidRDefault="002B1D2B" w:rsidP="00B93410">
            <w:pPr>
              <w:rPr>
                <w:rFonts w:ascii="Aptos" w:hAnsi="Aptos"/>
                <w:sz w:val="18"/>
                <w:szCs w:val="18"/>
                <w:lang w:val="en-US"/>
              </w:rPr>
            </w:pPr>
            <w:r w:rsidRPr="00650989">
              <w:rPr>
                <w:rFonts w:ascii="Aptos" w:eastAsia="Segoe UI" w:hAnsi="Aptos" w:cs="Segoe UI"/>
                <w:color w:val="0F1115"/>
                <w:sz w:val="18"/>
                <w:szCs w:val="18"/>
                <w:lang w:val="en-US"/>
              </w:rPr>
              <w:t>Coalition for Conservation Genetics data</w:t>
            </w:r>
          </w:p>
        </w:tc>
        <w:tc>
          <w:tcPr>
            <w:tcW w:w="4449" w:type="dxa"/>
          </w:tcPr>
          <w:p w14:paraId="141E6AE9"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 xml:space="preserve">Datos de la </w:t>
            </w:r>
            <w:proofErr w:type="spellStart"/>
            <w:r w:rsidRPr="00650989">
              <w:rPr>
                <w:rFonts w:ascii="Aptos" w:hAnsi="Aptos"/>
                <w:color w:val="0F1115"/>
                <w:sz w:val="18"/>
                <w:szCs w:val="18"/>
                <w:lang w:val="es-ES"/>
              </w:rPr>
              <w:t>Coalition</w:t>
            </w:r>
            <w:proofErr w:type="spellEnd"/>
            <w:r w:rsidRPr="00650989">
              <w:rPr>
                <w:rFonts w:ascii="Aptos" w:hAnsi="Aptos"/>
                <w:color w:val="0F1115"/>
                <w:sz w:val="18"/>
                <w:szCs w:val="18"/>
                <w:lang w:val="es-ES"/>
              </w:rPr>
              <w:t xml:space="preserve"> for Conservation </w:t>
            </w:r>
            <w:proofErr w:type="spellStart"/>
            <w:r w:rsidRPr="00650989">
              <w:rPr>
                <w:rFonts w:ascii="Aptos" w:hAnsi="Aptos"/>
                <w:color w:val="0F1115"/>
                <w:sz w:val="18"/>
                <w:szCs w:val="18"/>
                <w:lang w:val="es-ES"/>
              </w:rPr>
              <w:t>Genetics</w:t>
            </w:r>
            <w:proofErr w:type="spellEnd"/>
          </w:p>
        </w:tc>
      </w:tr>
      <w:tr w:rsidR="002B1D2B" w:rsidRPr="00650989" w14:paraId="5B70E4C7" w14:textId="77777777" w:rsidTr="002B1D2B">
        <w:tc>
          <w:tcPr>
            <w:tcW w:w="3923" w:type="dxa"/>
          </w:tcPr>
          <w:p w14:paraId="3DE073E0"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0</w:t>
            </w:r>
          </w:p>
        </w:tc>
        <w:tc>
          <w:tcPr>
            <w:tcW w:w="4449" w:type="dxa"/>
          </w:tcPr>
          <w:p w14:paraId="5BA81D17"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w:t>
            </w:r>
          </w:p>
        </w:tc>
      </w:tr>
      <w:tr w:rsidR="002B1D2B" w:rsidRPr="00650989" w14:paraId="784C9299" w14:textId="77777777" w:rsidTr="002B1D2B">
        <w:tc>
          <w:tcPr>
            <w:tcW w:w="3923" w:type="dxa"/>
          </w:tcPr>
          <w:p w14:paraId="1255E465"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0.17</w:t>
            </w:r>
          </w:p>
        </w:tc>
        <w:tc>
          <w:tcPr>
            <w:tcW w:w="4449" w:type="dxa"/>
          </w:tcPr>
          <w:p w14:paraId="43BE5841"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0,17</w:t>
            </w:r>
          </w:p>
        </w:tc>
      </w:tr>
      <w:tr w:rsidR="002B1D2B" w:rsidRPr="00650989" w14:paraId="19CC8FE4" w14:textId="77777777" w:rsidTr="002B1D2B">
        <w:tc>
          <w:tcPr>
            <w:tcW w:w="3923" w:type="dxa"/>
          </w:tcPr>
          <w:p w14:paraId="32F3325C"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lastRenderedPageBreak/>
              <w:t>0.27</w:t>
            </w:r>
          </w:p>
        </w:tc>
        <w:tc>
          <w:tcPr>
            <w:tcW w:w="4449" w:type="dxa"/>
          </w:tcPr>
          <w:p w14:paraId="770F1CB0"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0,27</w:t>
            </w:r>
          </w:p>
        </w:tc>
      </w:tr>
      <w:tr w:rsidR="002B1D2B" w:rsidRPr="00650989" w14:paraId="5FA5D5E1" w14:textId="77777777" w:rsidTr="002B1D2B">
        <w:tc>
          <w:tcPr>
            <w:tcW w:w="3923" w:type="dxa"/>
          </w:tcPr>
          <w:p w14:paraId="6784B78B"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0.42</w:t>
            </w:r>
          </w:p>
        </w:tc>
        <w:tc>
          <w:tcPr>
            <w:tcW w:w="4449" w:type="dxa"/>
          </w:tcPr>
          <w:p w14:paraId="111B4EAC"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0,42</w:t>
            </w:r>
          </w:p>
        </w:tc>
      </w:tr>
      <w:tr w:rsidR="002B1D2B" w:rsidRPr="00650989" w14:paraId="1B6D8077" w14:textId="77777777" w:rsidTr="002B1D2B">
        <w:tc>
          <w:tcPr>
            <w:tcW w:w="3923" w:type="dxa"/>
          </w:tcPr>
          <w:p w14:paraId="57D22062"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0.58</w:t>
            </w:r>
          </w:p>
        </w:tc>
        <w:tc>
          <w:tcPr>
            <w:tcW w:w="4449" w:type="dxa"/>
          </w:tcPr>
          <w:p w14:paraId="688D9A83"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0,58</w:t>
            </w:r>
          </w:p>
        </w:tc>
      </w:tr>
      <w:tr w:rsidR="002B1D2B" w:rsidRPr="00650989" w14:paraId="0EE7B775" w14:textId="77777777" w:rsidTr="002B1D2B">
        <w:tc>
          <w:tcPr>
            <w:tcW w:w="3923" w:type="dxa"/>
          </w:tcPr>
          <w:p w14:paraId="5D78BE78"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0.93</w:t>
            </w:r>
          </w:p>
        </w:tc>
        <w:tc>
          <w:tcPr>
            <w:tcW w:w="4449" w:type="dxa"/>
          </w:tcPr>
          <w:p w14:paraId="1B8315CA"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0,93</w:t>
            </w:r>
          </w:p>
        </w:tc>
      </w:tr>
      <w:tr w:rsidR="002B1D2B" w:rsidRPr="00650989" w14:paraId="5E9D23D1" w14:textId="77777777" w:rsidTr="002B1D2B">
        <w:tc>
          <w:tcPr>
            <w:tcW w:w="3923" w:type="dxa"/>
          </w:tcPr>
          <w:p w14:paraId="440D296C"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1</w:t>
            </w:r>
          </w:p>
        </w:tc>
        <w:tc>
          <w:tcPr>
            <w:tcW w:w="4449" w:type="dxa"/>
          </w:tcPr>
          <w:p w14:paraId="069D60F4"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1</w:t>
            </w:r>
          </w:p>
        </w:tc>
      </w:tr>
      <w:tr w:rsidR="002B1D2B" w:rsidRPr="00650989" w14:paraId="54523419" w14:textId="77777777" w:rsidTr="002B1D2B">
        <w:tc>
          <w:tcPr>
            <w:tcW w:w="3923" w:type="dxa"/>
          </w:tcPr>
          <w:p w14:paraId="722866DD"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100</w:t>
            </w:r>
          </w:p>
        </w:tc>
        <w:tc>
          <w:tcPr>
            <w:tcW w:w="4449" w:type="dxa"/>
          </w:tcPr>
          <w:p w14:paraId="4BBAB22D"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100</w:t>
            </w:r>
          </w:p>
        </w:tc>
      </w:tr>
      <w:tr w:rsidR="002B1D2B" w:rsidRPr="00650989" w14:paraId="147C6588" w14:textId="77777777" w:rsidTr="002B1D2B">
        <w:tc>
          <w:tcPr>
            <w:tcW w:w="3923" w:type="dxa"/>
          </w:tcPr>
          <w:p w14:paraId="1B62311F"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200</w:t>
            </w:r>
          </w:p>
        </w:tc>
        <w:tc>
          <w:tcPr>
            <w:tcW w:w="4449" w:type="dxa"/>
          </w:tcPr>
          <w:p w14:paraId="563A452B"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200</w:t>
            </w:r>
          </w:p>
        </w:tc>
      </w:tr>
      <w:tr w:rsidR="002B1D2B" w:rsidRPr="00650989" w14:paraId="0073B7C5" w14:textId="77777777" w:rsidTr="002B1D2B">
        <w:tc>
          <w:tcPr>
            <w:tcW w:w="3923" w:type="dxa"/>
          </w:tcPr>
          <w:p w14:paraId="26C61C82"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Party </w:t>
            </w:r>
            <w:proofErr w:type="spellStart"/>
            <w:r w:rsidRPr="00650989">
              <w:rPr>
                <w:rFonts w:ascii="Aptos" w:eastAsia="Segoe UI" w:hAnsi="Aptos" w:cs="Segoe UI"/>
                <w:color w:val="0F1115"/>
                <w:sz w:val="18"/>
                <w:szCs w:val="18"/>
                <w:lang w:val="es-ES"/>
              </w:rPr>
              <w:t>count</w:t>
            </w:r>
            <w:proofErr w:type="spellEnd"/>
            <w:r w:rsidRPr="00650989">
              <w:rPr>
                <w:rFonts w:ascii="Aptos" w:eastAsia="Segoe UI" w:hAnsi="Aptos" w:cs="Segoe UI"/>
                <w:color w:val="0F1115"/>
                <w:sz w:val="18"/>
                <w:szCs w:val="18"/>
                <w:lang w:val="es-ES"/>
              </w:rPr>
              <w:t xml:space="preserve"> </w:t>
            </w:r>
            <w:proofErr w:type="spellStart"/>
            <w:r w:rsidRPr="00650989">
              <w:rPr>
                <w:rFonts w:ascii="Aptos" w:eastAsia="Segoe UI" w:hAnsi="Aptos" w:cs="Segoe UI"/>
                <w:color w:val="0F1115"/>
                <w:sz w:val="18"/>
                <w:szCs w:val="18"/>
                <w:lang w:val="es-ES"/>
              </w:rPr>
              <w:t>by</w:t>
            </w:r>
            <w:proofErr w:type="spellEnd"/>
            <w:r w:rsidRPr="00650989">
              <w:rPr>
                <w:rFonts w:ascii="Aptos" w:eastAsia="Segoe UI" w:hAnsi="Aptos" w:cs="Segoe UI"/>
                <w:color w:val="0F1115"/>
                <w:sz w:val="18"/>
                <w:szCs w:val="18"/>
                <w:lang w:val="es-ES"/>
              </w:rPr>
              <w:t xml:space="preserve"> </w:t>
            </w:r>
            <w:proofErr w:type="spellStart"/>
            <w:r w:rsidRPr="00650989">
              <w:rPr>
                <w:rFonts w:ascii="Aptos" w:eastAsia="Segoe UI" w:hAnsi="Aptos" w:cs="Segoe UI"/>
                <w:color w:val="0F1115"/>
                <w:sz w:val="18"/>
                <w:szCs w:val="18"/>
                <w:lang w:val="es-ES"/>
              </w:rPr>
              <w:t>region</w:t>
            </w:r>
            <w:proofErr w:type="spellEnd"/>
          </w:p>
        </w:tc>
        <w:tc>
          <w:tcPr>
            <w:tcW w:w="4449" w:type="dxa"/>
          </w:tcPr>
          <w:p w14:paraId="07FFEEAA"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Número de Partes por región</w:t>
            </w:r>
          </w:p>
        </w:tc>
      </w:tr>
      <w:tr w:rsidR="002B1D2B" w:rsidRPr="00650989" w14:paraId="35B38443" w14:textId="77777777" w:rsidTr="002B1D2B">
        <w:tc>
          <w:tcPr>
            <w:tcW w:w="3923" w:type="dxa"/>
          </w:tcPr>
          <w:p w14:paraId="0D445908" w14:textId="77777777" w:rsidR="002B1D2B" w:rsidRPr="00650989" w:rsidRDefault="002B1D2B" w:rsidP="00B93410">
            <w:pPr>
              <w:rPr>
                <w:rFonts w:ascii="Aptos" w:hAnsi="Aptos"/>
                <w:sz w:val="18"/>
                <w:szCs w:val="18"/>
                <w:lang w:val="es-ES"/>
              </w:rPr>
            </w:pPr>
            <w:proofErr w:type="spellStart"/>
            <w:r w:rsidRPr="00650989">
              <w:rPr>
                <w:rFonts w:ascii="Aptos" w:eastAsia="Segoe UI" w:hAnsi="Aptos" w:cs="Segoe UI"/>
                <w:color w:val="0F1115"/>
                <w:sz w:val="18"/>
                <w:szCs w:val="18"/>
                <w:lang w:val="es-ES"/>
              </w:rPr>
              <w:t>Region</w:t>
            </w:r>
            <w:proofErr w:type="spellEnd"/>
          </w:p>
        </w:tc>
        <w:tc>
          <w:tcPr>
            <w:tcW w:w="4449" w:type="dxa"/>
          </w:tcPr>
          <w:p w14:paraId="26F59074"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Región</w:t>
            </w:r>
          </w:p>
        </w:tc>
      </w:tr>
      <w:tr w:rsidR="002B1D2B" w:rsidRPr="00650989" w14:paraId="73F4201A" w14:textId="77777777" w:rsidTr="002B1D2B">
        <w:tc>
          <w:tcPr>
            <w:tcW w:w="3923" w:type="dxa"/>
          </w:tcPr>
          <w:p w14:paraId="07162937"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African States</w:t>
            </w:r>
          </w:p>
        </w:tc>
        <w:tc>
          <w:tcPr>
            <w:tcW w:w="4449" w:type="dxa"/>
          </w:tcPr>
          <w:p w14:paraId="270E8AEB"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Estados de África</w:t>
            </w:r>
          </w:p>
        </w:tc>
      </w:tr>
      <w:tr w:rsidR="002B1D2B" w:rsidRPr="00650989" w14:paraId="2AD30FE4" w14:textId="77777777" w:rsidTr="002B1D2B">
        <w:tc>
          <w:tcPr>
            <w:tcW w:w="3923" w:type="dxa"/>
          </w:tcPr>
          <w:p w14:paraId="1586263B"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Asia-Pacific States</w:t>
            </w:r>
          </w:p>
        </w:tc>
        <w:tc>
          <w:tcPr>
            <w:tcW w:w="4449" w:type="dxa"/>
          </w:tcPr>
          <w:p w14:paraId="0432C598"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Estados de Asia y el Pacífico</w:t>
            </w:r>
          </w:p>
        </w:tc>
      </w:tr>
      <w:tr w:rsidR="002B1D2B" w:rsidRPr="00650989" w14:paraId="188440D9" w14:textId="77777777" w:rsidTr="002B1D2B">
        <w:tc>
          <w:tcPr>
            <w:tcW w:w="3923" w:type="dxa"/>
          </w:tcPr>
          <w:p w14:paraId="18604F83" w14:textId="77777777" w:rsidR="002B1D2B" w:rsidRPr="00650989" w:rsidRDefault="002B1D2B" w:rsidP="00B93410">
            <w:pPr>
              <w:rPr>
                <w:rFonts w:ascii="Aptos" w:hAnsi="Aptos"/>
                <w:sz w:val="18"/>
                <w:szCs w:val="18"/>
                <w:lang w:val="en-US"/>
              </w:rPr>
            </w:pPr>
            <w:r w:rsidRPr="00650989">
              <w:rPr>
                <w:rFonts w:ascii="Aptos" w:eastAsia="Segoe UI" w:hAnsi="Aptos" w:cs="Segoe UI"/>
                <w:color w:val="0F1115"/>
                <w:sz w:val="18"/>
                <w:szCs w:val="18"/>
                <w:lang w:val="en-US"/>
              </w:rPr>
              <w:t>Latin American and Caribbean States</w:t>
            </w:r>
          </w:p>
        </w:tc>
        <w:tc>
          <w:tcPr>
            <w:tcW w:w="4449" w:type="dxa"/>
          </w:tcPr>
          <w:p w14:paraId="4AED9BF1"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Estados de América Latina y el Caribe</w:t>
            </w:r>
          </w:p>
        </w:tc>
      </w:tr>
      <w:tr w:rsidR="002B1D2B" w:rsidRPr="00650989" w14:paraId="7E891346" w14:textId="77777777" w:rsidTr="002B1D2B">
        <w:tc>
          <w:tcPr>
            <w:tcW w:w="3923" w:type="dxa"/>
          </w:tcPr>
          <w:p w14:paraId="55E9097B"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 Eastern European States</w:t>
            </w:r>
          </w:p>
        </w:tc>
        <w:tc>
          <w:tcPr>
            <w:tcW w:w="4449" w:type="dxa"/>
          </w:tcPr>
          <w:p w14:paraId="31FAD34E"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Estados de Europa Oriental</w:t>
            </w:r>
          </w:p>
        </w:tc>
      </w:tr>
      <w:tr w:rsidR="002B1D2B" w:rsidRPr="00650989" w14:paraId="20BF23DC" w14:textId="77777777" w:rsidTr="002B1D2B">
        <w:tc>
          <w:tcPr>
            <w:tcW w:w="3923" w:type="dxa"/>
          </w:tcPr>
          <w:p w14:paraId="2AAE57E8" w14:textId="77777777" w:rsidR="002B1D2B" w:rsidRPr="00650989" w:rsidRDefault="002B1D2B" w:rsidP="00B93410">
            <w:pPr>
              <w:rPr>
                <w:rFonts w:ascii="Aptos" w:hAnsi="Aptos"/>
                <w:sz w:val="18"/>
                <w:szCs w:val="18"/>
                <w:lang w:val="en-US"/>
              </w:rPr>
            </w:pPr>
            <w:r w:rsidRPr="00650989">
              <w:rPr>
                <w:rFonts w:ascii="Aptos" w:eastAsia="Segoe UI" w:hAnsi="Aptos" w:cs="Segoe UI"/>
                <w:color w:val="0F1115"/>
                <w:sz w:val="18"/>
                <w:szCs w:val="18"/>
                <w:lang w:val="en-US"/>
              </w:rPr>
              <w:t>Western European and other States</w:t>
            </w:r>
          </w:p>
        </w:tc>
        <w:tc>
          <w:tcPr>
            <w:tcW w:w="4449" w:type="dxa"/>
          </w:tcPr>
          <w:p w14:paraId="0B0382D7"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Estados de Europa Occidental y otros Estados</w:t>
            </w:r>
          </w:p>
        </w:tc>
      </w:tr>
      <w:tr w:rsidR="002B1D2B" w:rsidRPr="00650989" w14:paraId="39713986" w14:textId="77777777" w:rsidTr="002B1D2B">
        <w:tc>
          <w:tcPr>
            <w:tcW w:w="3923" w:type="dxa"/>
          </w:tcPr>
          <w:p w14:paraId="357F8C61"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Party </w:t>
            </w:r>
            <w:proofErr w:type="spellStart"/>
            <w:r w:rsidRPr="00650989">
              <w:rPr>
                <w:rFonts w:ascii="Aptos" w:eastAsia="Segoe UI" w:hAnsi="Aptos" w:cs="Segoe UI"/>
                <w:color w:val="0F1115"/>
                <w:sz w:val="18"/>
                <w:szCs w:val="18"/>
                <w:lang w:val="es-ES"/>
              </w:rPr>
              <w:t>count</w:t>
            </w:r>
            <w:proofErr w:type="spellEnd"/>
            <w:r w:rsidRPr="00650989">
              <w:rPr>
                <w:rFonts w:ascii="Aptos" w:eastAsia="Segoe UI" w:hAnsi="Aptos" w:cs="Segoe UI"/>
                <w:color w:val="0F1115"/>
                <w:sz w:val="18"/>
                <w:szCs w:val="18"/>
                <w:lang w:val="es-ES"/>
              </w:rPr>
              <w:t>: 19</w:t>
            </w:r>
          </w:p>
        </w:tc>
        <w:tc>
          <w:tcPr>
            <w:tcW w:w="4449" w:type="dxa"/>
          </w:tcPr>
          <w:p w14:paraId="6F4EB48B" w14:textId="77777777" w:rsidR="002B1D2B" w:rsidRPr="00650989" w:rsidRDefault="002B1D2B" w:rsidP="00B93410">
            <w:pPr>
              <w:rPr>
                <w:rFonts w:ascii="Aptos" w:hAnsi="Aptos"/>
                <w:sz w:val="18"/>
                <w:szCs w:val="18"/>
                <w:lang w:val="es-ES"/>
              </w:rPr>
            </w:pPr>
            <w:r w:rsidRPr="00650989">
              <w:rPr>
                <w:rFonts w:ascii="Aptos" w:hAnsi="Aptos"/>
                <w:color w:val="0F1115"/>
                <w:sz w:val="18"/>
                <w:szCs w:val="18"/>
                <w:lang w:val="es-ES"/>
              </w:rPr>
              <w:t>Número de Partes: 19</w:t>
            </w:r>
          </w:p>
        </w:tc>
      </w:tr>
      <w:tr w:rsidR="002B1D2B" w:rsidRPr="00650989" w14:paraId="1B6EAEA0" w14:textId="77777777" w:rsidTr="002B1D2B">
        <w:tc>
          <w:tcPr>
            <w:tcW w:w="3923" w:type="dxa"/>
          </w:tcPr>
          <w:p w14:paraId="102F84F5" w14:textId="77777777" w:rsidR="002B1D2B" w:rsidRPr="00650989" w:rsidRDefault="002B1D2B" w:rsidP="00B93410">
            <w:pPr>
              <w:rPr>
                <w:rFonts w:ascii="Aptos" w:hAnsi="Aptos"/>
                <w:sz w:val="18"/>
                <w:szCs w:val="18"/>
                <w:lang w:val="es-ES"/>
              </w:rPr>
            </w:pPr>
            <w:r w:rsidRPr="00650989">
              <w:rPr>
                <w:rFonts w:ascii="Aptos" w:eastAsia="Segoe UI" w:hAnsi="Aptos" w:cs="Segoe UI"/>
                <w:color w:val="0F1115"/>
                <w:sz w:val="18"/>
                <w:szCs w:val="18"/>
                <w:lang w:val="es-ES"/>
              </w:rPr>
              <w:t xml:space="preserve">Party </w:t>
            </w:r>
            <w:proofErr w:type="spellStart"/>
            <w:r w:rsidRPr="00650989">
              <w:rPr>
                <w:rFonts w:ascii="Aptos" w:eastAsia="Segoe UI" w:hAnsi="Aptos" w:cs="Segoe UI"/>
                <w:color w:val="0F1115"/>
                <w:sz w:val="18"/>
                <w:szCs w:val="18"/>
                <w:lang w:val="es-ES"/>
              </w:rPr>
              <w:t>count</w:t>
            </w:r>
            <w:proofErr w:type="spellEnd"/>
            <w:r w:rsidRPr="00650989">
              <w:rPr>
                <w:rFonts w:ascii="Aptos" w:eastAsia="Segoe UI" w:hAnsi="Aptos" w:cs="Segoe UI"/>
                <w:color w:val="0F1115"/>
                <w:sz w:val="18"/>
                <w:szCs w:val="18"/>
                <w:lang w:val="es-ES"/>
              </w:rPr>
              <w:t>: 8</w:t>
            </w:r>
          </w:p>
        </w:tc>
        <w:tc>
          <w:tcPr>
            <w:tcW w:w="4449" w:type="dxa"/>
          </w:tcPr>
          <w:p w14:paraId="350EFF8E" w14:textId="77777777" w:rsidR="002B1D2B" w:rsidRPr="00650989" w:rsidRDefault="002B1D2B" w:rsidP="00B93410">
            <w:pPr>
              <w:rPr>
                <w:rFonts w:ascii="Aptos" w:eastAsia="Segoe UI" w:hAnsi="Aptos" w:cs="Segoe UI"/>
                <w:color w:val="0F1115"/>
                <w:sz w:val="18"/>
                <w:szCs w:val="18"/>
                <w:lang w:val="es-ES"/>
              </w:rPr>
            </w:pPr>
            <w:r w:rsidRPr="00650989">
              <w:rPr>
                <w:rFonts w:ascii="Aptos" w:hAnsi="Aptos"/>
                <w:color w:val="0F1115"/>
                <w:sz w:val="18"/>
                <w:szCs w:val="18"/>
                <w:lang w:val="es-ES"/>
              </w:rPr>
              <w:t>Número de Partes: 8</w:t>
            </w:r>
          </w:p>
        </w:tc>
      </w:tr>
    </w:tbl>
    <w:p w14:paraId="11CFA5CD" w14:textId="21622D9F" w:rsidR="008D1FA0" w:rsidRPr="005E3D50" w:rsidRDefault="008D1FA0" w:rsidP="009D0486">
      <w:pPr>
        <w:pStyle w:val="Caption"/>
        <w:rPr>
          <w:rFonts w:ascii="Aptos" w:hAnsi="Aptos"/>
          <w:lang w:val="es-ES"/>
        </w:rPr>
      </w:pPr>
    </w:p>
    <w:p w14:paraId="0B2A4091" w14:textId="6B77593E" w:rsidR="0090144F" w:rsidRPr="005E3D50" w:rsidRDefault="0090144F" w:rsidP="0090144F">
      <w:pPr>
        <w:rPr>
          <w:rFonts w:ascii="Aptos" w:hAnsi="Aptos"/>
          <w:sz w:val="20"/>
          <w:szCs w:val="20"/>
          <w:lang w:val="es-ES"/>
        </w:rPr>
      </w:pPr>
      <w:r w:rsidRPr="005E3D50">
        <w:rPr>
          <w:sz w:val="20"/>
          <w:szCs w:val="20"/>
          <w:lang w:val="es-ES"/>
        </w:rPr>
        <w:t>Figura 22</w:t>
      </w:r>
      <w:r w:rsidRPr="005E3D50">
        <w:rPr>
          <w:rFonts w:ascii="Aptos" w:hAnsi="Aptos"/>
          <w:sz w:val="20"/>
          <w:szCs w:val="20"/>
          <w:lang w:val="es-ES"/>
        </w:rPr>
        <w:t xml:space="preserve"> </w:t>
      </w:r>
    </w:p>
    <w:p w14:paraId="38768CE1" w14:textId="7B56C591" w:rsidR="0090144F" w:rsidRPr="005E3D50" w:rsidRDefault="0090144F" w:rsidP="0090144F">
      <w:pPr>
        <w:rPr>
          <w:rFonts w:ascii="Aptos" w:hAnsi="Aptos"/>
          <w:b/>
          <w:bCs/>
          <w:sz w:val="20"/>
          <w:szCs w:val="20"/>
          <w:lang w:val="es-ES"/>
        </w:rPr>
      </w:pPr>
      <w:r w:rsidRPr="005E3D50">
        <w:rPr>
          <w:rFonts w:ascii="Aptos" w:hAnsi="Aptos"/>
          <w:b/>
          <w:bCs/>
          <w:sz w:val="20"/>
          <w:szCs w:val="20"/>
          <w:lang w:val="es-ES"/>
        </w:rPr>
        <w:t>Porcentaje de indicadores armonizados con la meta 4 del Marco que sugieren tendencias de mejora, estables y negativas, respectivamente</w:t>
      </w:r>
    </w:p>
    <w:p w14:paraId="49D32EA4" w14:textId="77777777" w:rsidR="0090144F" w:rsidRPr="005E3D50" w:rsidRDefault="0090144F" w:rsidP="0090144F">
      <w:pPr>
        <w:rPr>
          <w:b/>
          <w:bCs/>
          <w:sz w:val="20"/>
          <w:szCs w:val="20"/>
          <w:lang w:val="es-ES" w:eastAsia="ja-JP"/>
        </w:rPr>
      </w:pPr>
    </w:p>
    <w:p w14:paraId="35D686B2" w14:textId="0C60227A" w:rsidR="00A26DC5" w:rsidRPr="005E3D50" w:rsidRDefault="00F235D3" w:rsidP="009B7444">
      <w:pPr>
        <w:pStyle w:val="Caption"/>
        <w:rPr>
          <w:rFonts w:ascii="Aptos" w:hAnsi="Aptos"/>
          <w:i w:val="0"/>
          <w:lang w:val="es-ES"/>
        </w:rPr>
      </w:pPr>
      <w:r w:rsidRPr="005E3D50">
        <w:rPr>
          <w:rFonts w:ascii="Aptos" w:hAnsi="Aptos"/>
          <w:i w:val="0"/>
          <w:lang w:val="es-ES"/>
        </w:rPr>
        <w:t xml:space="preserve"> </w:t>
      </w:r>
      <w:bookmarkStart w:id="190" w:name="_Ref230979439"/>
      <w:r w:rsidRPr="005E3D50">
        <w:rPr>
          <w:noProof/>
          <w:lang w:val="en-US" w:eastAsia="en-US"/>
        </w:rPr>
        <w:drawing>
          <wp:inline distT="0" distB="0" distL="0" distR="0" wp14:anchorId="74C50207" wp14:editId="0439D772">
            <wp:extent cx="5731510" cy="2456180"/>
            <wp:effectExtent l="0" t="0" r="0" b="0"/>
            <wp:docPr id="2111216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6470" name="Picture 211121647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90"/>
    <w:p w14:paraId="5209DB0F" w14:textId="77777777" w:rsidR="00EE7063" w:rsidRPr="005E3D50" w:rsidRDefault="00EE7063" w:rsidP="00EE7063">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Las proporciones están ponderadas por Parte. Las tendencias incluyen datos correspondientes a 2 indicadores de cabecera de 84 Partes, y de 4 indicadores de componentes, 1 indicador complementario y 76 indicadores nacionales de un total de 25 Partes. El gráfico circular muestra la distribución de las Partes que presentaron indicadores para la meta 4,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8645" w:type="dxa"/>
        <w:tblLook w:val="06A0" w:firstRow="1" w:lastRow="0" w:firstColumn="1" w:lastColumn="0" w:noHBand="1" w:noVBand="1"/>
      </w:tblPr>
      <w:tblGrid>
        <w:gridCol w:w="4320"/>
        <w:gridCol w:w="4325"/>
      </w:tblGrid>
      <w:tr w:rsidR="002B1D2B" w:rsidRPr="00E944B1" w14:paraId="46D96125" w14:textId="77777777" w:rsidTr="00E626F8">
        <w:tc>
          <w:tcPr>
            <w:tcW w:w="8645" w:type="dxa"/>
            <w:gridSpan w:val="2"/>
          </w:tcPr>
          <w:p w14:paraId="166F4C93" w14:textId="450773FA"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22</w:t>
            </w:r>
          </w:p>
        </w:tc>
      </w:tr>
      <w:tr w:rsidR="002B1D2B" w:rsidRPr="00E944B1" w14:paraId="319864D0" w14:textId="77777777" w:rsidTr="002B1D2B">
        <w:tc>
          <w:tcPr>
            <w:tcW w:w="4320" w:type="dxa"/>
          </w:tcPr>
          <w:p w14:paraId="1F0DAFAB"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 xml:space="preserve">English </w:t>
            </w:r>
          </w:p>
        </w:tc>
        <w:tc>
          <w:tcPr>
            <w:tcW w:w="4325" w:type="dxa"/>
          </w:tcPr>
          <w:p w14:paraId="67A7F615" w14:textId="1540469E" w:rsidR="002B1D2B" w:rsidRPr="005860DE"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E944B1" w14:paraId="340E953A" w14:textId="77777777" w:rsidTr="002B1D2B">
        <w:tc>
          <w:tcPr>
            <w:tcW w:w="4320" w:type="dxa"/>
          </w:tcPr>
          <w:p w14:paraId="1DC29BA9" w14:textId="77777777" w:rsidR="002B1D2B" w:rsidRPr="005860DE" w:rsidRDefault="002B1D2B" w:rsidP="00B93410">
            <w:pPr>
              <w:rPr>
                <w:rFonts w:ascii="Aptos" w:hAnsi="Aptos"/>
                <w:sz w:val="18"/>
                <w:szCs w:val="18"/>
                <w:lang w:val="es-ES"/>
              </w:rPr>
            </w:pPr>
            <w:proofErr w:type="spellStart"/>
            <w:r w:rsidRPr="005860DE">
              <w:rPr>
                <w:rFonts w:ascii="Aptos" w:eastAsia="Segoe UI" w:hAnsi="Aptos" w:cs="Segoe UI"/>
                <w:color w:val="0F1115"/>
                <w:sz w:val="18"/>
                <w:szCs w:val="18"/>
                <w:lang w:val="es-ES"/>
              </w:rPr>
              <w:t>Region</w:t>
            </w:r>
            <w:proofErr w:type="spellEnd"/>
          </w:p>
        </w:tc>
        <w:tc>
          <w:tcPr>
            <w:tcW w:w="4325" w:type="dxa"/>
          </w:tcPr>
          <w:p w14:paraId="36E61709"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Región</w:t>
            </w:r>
          </w:p>
        </w:tc>
      </w:tr>
      <w:tr w:rsidR="002B1D2B" w:rsidRPr="00E944B1" w14:paraId="4FEFE232" w14:textId="77777777" w:rsidTr="002B1D2B">
        <w:tc>
          <w:tcPr>
            <w:tcW w:w="4320" w:type="dxa"/>
          </w:tcPr>
          <w:p w14:paraId="73321878"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African States</w:t>
            </w:r>
          </w:p>
        </w:tc>
        <w:tc>
          <w:tcPr>
            <w:tcW w:w="4325" w:type="dxa"/>
          </w:tcPr>
          <w:p w14:paraId="0519F59B"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Estados de África</w:t>
            </w:r>
          </w:p>
        </w:tc>
      </w:tr>
      <w:tr w:rsidR="002B1D2B" w:rsidRPr="00E944B1" w14:paraId="0353BACE" w14:textId="77777777" w:rsidTr="002B1D2B">
        <w:tc>
          <w:tcPr>
            <w:tcW w:w="4320" w:type="dxa"/>
          </w:tcPr>
          <w:p w14:paraId="7342F00E"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Asia- Pacific States</w:t>
            </w:r>
          </w:p>
        </w:tc>
        <w:tc>
          <w:tcPr>
            <w:tcW w:w="4325" w:type="dxa"/>
          </w:tcPr>
          <w:p w14:paraId="46854FD0"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Estados de Asia y el Pacífico</w:t>
            </w:r>
          </w:p>
        </w:tc>
      </w:tr>
      <w:tr w:rsidR="002B1D2B" w:rsidRPr="00E944B1" w14:paraId="1C569B03" w14:textId="77777777" w:rsidTr="002B1D2B">
        <w:tc>
          <w:tcPr>
            <w:tcW w:w="4320" w:type="dxa"/>
          </w:tcPr>
          <w:p w14:paraId="225A9D40" w14:textId="77777777" w:rsidR="002B1D2B" w:rsidRPr="005860DE" w:rsidRDefault="002B1D2B" w:rsidP="00B93410">
            <w:pPr>
              <w:rPr>
                <w:rFonts w:ascii="Aptos" w:hAnsi="Aptos"/>
                <w:sz w:val="18"/>
                <w:szCs w:val="18"/>
                <w:lang w:val="en-US"/>
              </w:rPr>
            </w:pPr>
            <w:r w:rsidRPr="005860DE">
              <w:rPr>
                <w:rFonts w:ascii="Aptos" w:eastAsia="Segoe UI" w:hAnsi="Aptos" w:cs="Segoe UI"/>
                <w:color w:val="0F1115"/>
                <w:sz w:val="18"/>
                <w:szCs w:val="18"/>
                <w:lang w:val="en-US"/>
              </w:rPr>
              <w:t>Latin American and Caribbean States</w:t>
            </w:r>
          </w:p>
        </w:tc>
        <w:tc>
          <w:tcPr>
            <w:tcW w:w="4325" w:type="dxa"/>
          </w:tcPr>
          <w:p w14:paraId="7D0DFAAC"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Estados de América Latina y el Caribe</w:t>
            </w:r>
          </w:p>
        </w:tc>
      </w:tr>
      <w:tr w:rsidR="002B1D2B" w:rsidRPr="00E944B1" w14:paraId="3FEA386F" w14:textId="77777777" w:rsidTr="002B1D2B">
        <w:tc>
          <w:tcPr>
            <w:tcW w:w="4320" w:type="dxa"/>
          </w:tcPr>
          <w:p w14:paraId="3A68F16A"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 xml:space="preserve"> Eastern European States</w:t>
            </w:r>
          </w:p>
        </w:tc>
        <w:tc>
          <w:tcPr>
            <w:tcW w:w="4325" w:type="dxa"/>
          </w:tcPr>
          <w:p w14:paraId="7B3874EA"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Estados de Europa Oriental</w:t>
            </w:r>
          </w:p>
        </w:tc>
      </w:tr>
      <w:tr w:rsidR="002B1D2B" w:rsidRPr="00E944B1" w14:paraId="6302286D" w14:textId="77777777" w:rsidTr="002B1D2B">
        <w:tc>
          <w:tcPr>
            <w:tcW w:w="4320" w:type="dxa"/>
          </w:tcPr>
          <w:p w14:paraId="3524BB50" w14:textId="77777777" w:rsidR="002B1D2B" w:rsidRPr="005860DE" w:rsidRDefault="002B1D2B" w:rsidP="00B93410">
            <w:pPr>
              <w:rPr>
                <w:rFonts w:ascii="Aptos" w:hAnsi="Aptos"/>
                <w:sz w:val="18"/>
                <w:szCs w:val="18"/>
                <w:lang w:val="en-US"/>
              </w:rPr>
            </w:pPr>
            <w:r w:rsidRPr="005860DE">
              <w:rPr>
                <w:rFonts w:ascii="Aptos" w:eastAsia="Segoe UI" w:hAnsi="Aptos" w:cs="Segoe UI"/>
                <w:color w:val="0F1115"/>
                <w:sz w:val="18"/>
                <w:szCs w:val="18"/>
                <w:lang w:val="en-US"/>
              </w:rPr>
              <w:lastRenderedPageBreak/>
              <w:t>Western European and other States</w:t>
            </w:r>
          </w:p>
        </w:tc>
        <w:tc>
          <w:tcPr>
            <w:tcW w:w="4325" w:type="dxa"/>
          </w:tcPr>
          <w:p w14:paraId="3160A0B6"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Estados de Europa Occidental y otros Estados</w:t>
            </w:r>
          </w:p>
        </w:tc>
      </w:tr>
      <w:tr w:rsidR="002B1D2B" w:rsidRPr="00E944B1" w14:paraId="2AE887BA" w14:textId="77777777" w:rsidTr="002B1D2B">
        <w:tc>
          <w:tcPr>
            <w:tcW w:w="4320" w:type="dxa"/>
          </w:tcPr>
          <w:p w14:paraId="7A3DC391"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0%</w:t>
            </w:r>
          </w:p>
        </w:tc>
        <w:tc>
          <w:tcPr>
            <w:tcW w:w="4325" w:type="dxa"/>
          </w:tcPr>
          <w:p w14:paraId="57BA8E0E"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0%</w:t>
            </w:r>
          </w:p>
        </w:tc>
      </w:tr>
      <w:tr w:rsidR="002B1D2B" w:rsidRPr="00E944B1" w14:paraId="65677CB5" w14:textId="77777777" w:rsidTr="002B1D2B">
        <w:tc>
          <w:tcPr>
            <w:tcW w:w="4320" w:type="dxa"/>
          </w:tcPr>
          <w:p w14:paraId="18EB69B5"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25%</w:t>
            </w:r>
          </w:p>
        </w:tc>
        <w:tc>
          <w:tcPr>
            <w:tcW w:w="4325" w:type="dxa"/>
          </w:tcPr>
          <w:p w14:paraId="5BC9BD14"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25%</w:t>
            </w:r>
          </w:p>
        </w:tc>
      </w:tr>
      <w:tr w:rsidR="002B1D2B" w:rsidRPr="00E944B1" w14:paraId="302CBDF6" w14:textId="77777777" w:rsidTr="002B1D2B">
        <w:tc>
          <w:tcPr>
            <w:tcW w:w="4320" w:type="dxa"/>
          </w:tcPr>
          <w:p w14:paraId="747EDAF1"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50%</w:t>
            </w:r>
          </w:p>
        </w:tc>
        <w:tc>
          <w:tcPr>
            <w:tcW w:w="4325" w:type="dxa"/>
          </w:tcPr>
          <w:p w14:paraId="60AB8C28"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50%</w:t>
            </w:r>
          </w:p>
        </w:tc>
      </w:tr>
      <w:tr w:rsidR="002B1D2B" w:rsidRPr="00E944B1" w14:paraId="5A1E927E" w14:textId="77777777" w:rsidTr="002B1D2B">
        <w:tc>
          <w:tcPr>
            <w:tcW w:w="4320" w:type="dxa"/>
          </w:tcPr>
          <w:p w14:paraId="3B2E4078"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75%</w:t>
            </w:r>
          </w:p>
        </w:tc>
        <w:tc>
          <w:tcPr>
            <w:tcW w:w="4325" w:type="dxa"/>
          </w:tcPr>
          <w:p w14:paraId="75E12A3E"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75%</w:t>
            </w:r>
          </w:p>
        </w:tc>
      </w:tr>
      <w:tr w:rsidR="002B1D2B" w:rsidRPr="00E944B1" w14:paraId="2F3A2B34" w14:textId="77777777" w:rsidTr="002B1D2B">
        <w:tc>
          <w:tcPr>
            <w:tcW w:w="4320" w:type="dxa"/>
          </w:tcPr>
          <w:p w14:paraId="71AA367E"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100%</w:t>
            </w:r>
          </w:p>
        </w:tc>
        <w:tc>
          <w:tcPr>
            <w:tcW w:w="4325" w:type="dxa"/>
          </w:tcPr>
          <w:p w14:paraId="69E271F1"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100%</w:t>
            </w:r>
          </w:p>
        </w:tc>
      </w:tr>
      <w:tr w:rsidR="002B1D2B" w:rsidRPr="00E944B1" w14:paraId="03F8E2BE" w14:textId="77777777" w:rsidTr="002B1D2B">
        <w:tc>
          <w:tcPr>
            <w:tcW w:w="4320" w:type="dxa"/>
          </w:tcPr>
          <w:p w14:paraId="1CB616C1" w14:textId="77777777" w:rsidR="002B1D2B" w:rsidRPr="005860DE" w:rsidRDefault="002B1D2B" w:rsidP="00B93410">
            <w:pPr>
              <w:rPr>
                <w:rFonts w:ascii="Aptos" w:hAnsi="Aptos"/>
                <w:sz w:val="18"/>
                <w:szCs w:val="18"/>
                <w:lang w:val="es-ES"/>
              </w:rPr>
            </w:pPr>
            <w:proofErr w:type="spellStart"/>
            <w:r w:rsidRPr="005860DE">
              <w:rPr>
                <w:rFonts w:ascii="Aptos" w:eastAsia="Segoe UI" w:hAnsi="Aptos" w:cs="Segoe UI"/>
                <w:color w:val="0F1115"/>
                <w:sz w:val="18"/>
                <w:szCs w:val="18"/>
                <w:lang w:val="es-ES"/>
              </w:rPr>
              <w:t>Proportion</w:t>
            </w:r>
            <w:proofErr w:type="spellEnd"/>
          </w:p>
        </w:tc>
        <w:tc>
          <w:tcPr>
            <w:tcW w:w="4325" w:type="dxa"/>
          </w:tcPr>
          <w:p w14:paraId="38C54BC7"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Proporción</w:t>
            </w:r>
          </w:p>
        </w:tc>
      </w:tr>
      <w:tr w:rsidR="002B1D2B" w:rsidRPr="00E944B1" w14:paraId="708F0E5B" w14:textId="77777777" w:rsidTr="002B1D2B">
        <w:tc>
          <w:tcPr>
            <w:tcW w:w="4320" w:type="dxa"/>
          </w:tcPr>
          <w:p w14:paraId="136CF0D1"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 xml:space="preserve">Current </w:t>
            </w:r>
            <w:proofErr w:type="gramStart"/>
            <w:r w:rsidRPr="005860DE">
              <w:rPr>
                <w:rFonts w:ascii="Aptos" w:eastAsia="Segoe UI" w:hAnsi="Aptos" w:cs="Segoe UI"/>
                <w:color w:val="0F1115"/>
                <w:sz w:val="18"/>
                <w:szCs w:val="18"/>
                <w:lang w:val="es-ES"/>
              </w:rPr>
              <w:t>Status</w:t>
            </w:r>
            <w:proofErr w:type="gramEnd"/>
          </w:p>
        </w:tc>
        <w:tc>
          <w:tcPr>
            <w:tcW w:w="4325" w:type="dxa"/>
          </w:tcPr>
          <w:p w14:paraId="30B0252D"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Estado actual</w:t>
            </w:r>
          </w:p>
        </w:tc>
      </w:tr>
      <w:tr w:rsidR="002B1D2B" w:rsidRPr="00E944B1" w14:paraId="78DB0C04" w14:textId="77777777" w:rsidTr="002B1D2B">
        <w:tc>
          <w:tcPr>
            <w:tcW w:w="4320" w:type="dxa"/>
          </w:tcPr>
          <w:p w14:paraId="53B5BE17" w14:textId="77777777" w:rsidR="002B1D2B" w:rsidRPr="005860DE" w:rsidRDefault="002B1D2B" w:rsidP="00B93410">
            <w:pPr>
              <w:rPr>
                <w:rFonts w:ascii="Aptos" w:hAnsi="Aptos"/>
                <w:sz w:val="18"/>
                <w:szCs w:val="18"/>
                <w:lang w:val="es-ES"/>
              </w:rPr>
            </w:pPr>
            <w:proofErr w:type="spellStart"/>
            <w:r w:rsidRPr="005860DE">
              <w:rPr>
                <w:rFonts w:ascii="Aptos" w:eastAsia="Segoe UI" w:hAnsi="Aptos" w:cs="Segoe UI"/>
                <w:color w:val="0F1115"/>
                <w:sz w:val="18"/>
                <w:szCs w:val="18"/>
                <w:lang w:val="es-ES"/>
              </w:rPr>
              <w:t>improving</w:t>
            </w:r>
            <w:proofErr w:type="spellEnd"/>
          </w:p>
        </w:tc>
        <w:tc>
          <w:tcPr>
            <w:tcW w:w="4325" w:type="dxa"/>
          </w:tcPr>
          <w:p w14:paraId="736806D5"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mejorando</w:t>
            </w:r>
          </w:p>
        </w:tc>
      </w:tr>
      <w:tr w:rsidR="002B1D2B" w:rsidRPr="00E944B1" w14:paraId="094261FA" w14:textId="77777777" w:rsidTr="002B1D2B">
        <w:tc>
          <w:tcPr>
            <w:tcW w:w="4320" w:type="dxa"/>
          </w:tcPr>
          <w:p w14:paraId="03268579" w14:textId="77777777" w:rsidR="002B1D2B" w:rsidRPr="005860DE" w:rsidRDefault="002B1D2B" w:rsidP="00B93410">
            <w:pPr>
              <w:rPr>
                <w:rFonts w:ascii="Aptos" w:hAnsi="Aptos"/>
                <w:sz w:val="18"/>
                <w:szCs w:val="18"/>
                <w:lang w:val="es-ES"/>
              </w:rPr>
            </w:pPr>
            <w:proofErr w:type="spellStart"/>
            <w:r w:rsidRPr="005860DE">
              <w:rPr>
                <w:rFonts w:ascii="Aptos" w:eastAsia="Segoe UI" w:hAnsi="Aptos" w:cs="Segoe UI"/>
                <w:color w:val="0F1115"/>
                <w:sz w:val="18"/>
                <w:szCs w:val="18"/>
                <w:lang w:val="es-ES"/>
              </w:rPr>
              <w:t>stable</w:t>
            </w:r>
            <w:proofErr w:type="spellEnd"/>
          </w:p>
        </w:tc>
        <w:tc>
          <w:tcPr>
            <w:tcW w:w="4325" w:type="dxa"/>
          </w:tcPr>
          <w:p w14:paraId="7339BE31"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estable</w:t>
            </w:r>
          </w:p>
        </w:tc>
      </w:tr>
      <w:tr w:rsidR="002B1D2B" w:rsidRPr="00E944B1" w14:paraId="18AD4E57" w14:textId="77777777" w:rsidTr="002B1D2B">
        <w:tc>
          <w:tcPr>
            <w:tcW w:w="4320" w:type="dxa"/>
          </w:tcPr>
          <w:p w14:paraId="16AA04DE" w14:textId="77777777" w:rsidR="002B1D2B" w:rsidRPr="005860DE" w:rsidRDefault="002B1D2B" w:rsidP="00B93410">
            <w:pPr>
              <w:rPr>
                <w:rFonts w:ascii="Aptos" w:hAnsi="Aptos"/>
                <w:sz w:val="18"/>
                <w:szCs w:val="18"/>
                <w:lang w:val="es-ES"/>
              </w:rPr>
            </w:pPr>
            <w:proofErr w:type="spellStart"/>
            <w:r w:rsidRPr="005860DE">
              <w:rPr>
                <w:rFonts w:ascii="Aptos" w:eastAsia="Segoe UI" w:hAnsi="Aptos" w:cs="Segoe UI"/>
                <w:color w:val="0F1115"/>
                <w:sz w:val="18"/>
                <w:szCs w:val="18"/>
                <w:lang w:val="es-ES"/>
              </w:rPr>
              <w:t>moving</w:t>
            </w:r>
            <w:proofErr w:type="spellEnd"/>
            <w:r w:rsidRPr="005860DE">
              <w:rPr>
                <w:rFonts w:ascii="Aptos" w:eastAsia="Segoe UI" w:hAnsi="Aptos" w:cs="Segoe UI"/>
                <w:color w:val="0F1115"/>
                <w:sz w:val="18"/>
                <w:szCs w:val="18"/>
                <w:lang w:val="es-ES"/>
              </w:rPr>
              <w:t xml:space="preserve"> </w:t>
            </w:r>
            <w:proofErr w:type="spellStart"/>
            <w:r w:rsidRPr="005860DE">
              <w:rPr>
                <w:rFonts w:ascii="Aptos" w:eastAsia="Segoe UI" w:hAnsi="Aptos" w:cs="Segoe UI"/>
                <w:color w:val="0F1115"/>
                <w:sz w:val="18"/>
                <w:szCs w:val="18"/>
                <w:lang w:val="es-ES"/>
              </w:rPr>
              <w:t>away</w:t>
            </w:r>
            <w:proofErr w:type="spellEnd"/>
          </w:p>
        </w:tc>
        <w:tc>
          <w:tcPr>
            <w:tcW w:w="4325" w:type="dxa"/>
          </w:tcPr>
          <w:p w14:paraId="4B22FF69" w14:textId="77777777" w:rsidR="002B1D2B" w:rsidRPr="005860DE" w:rsidRDefault="002B1D2B" w:rsidP="00B93410">
            <w:pPr>
              <w:rPr>
                <w:rFonts w:ascii="Aptos" w:hAnsi="Aptos"/>
                <w:sz w:val="18"/>
                <w:szCs w:val="18"/>
                <w:lang w:val="es-ES"/>
              </w:rPr>
            </w:pPr>
            <w:r w:rsidRPr="005860DE">
              <w:rPr>
                <w:rFonts w:ascii="Aptos" w:hAnsi="Aptos"/>
                <w:color w:val="0F1115"/>
                <w:sz w:val="18"/>
                <w:szCs w:val="18"/>
                <w:lang w:val="es-ES"/>
              </w:rPr>
              <w:t>alejándose</w:t>
            </w:r>
          </w:p>
        </w:tc>
      </w:tr>
      <w:tr w:rsidR="002B1D2B" w:rsidRPr="00E944B1" w14:paraId="0E180F4B" w14:textId="77777777" w:rsidTr="002B1D2B">
        <w:tc>
          <w:tcPr>
            <w:tcW w:w="4320" w:type="dxa"/>
          </w:tcPr>
          <w:p w14:paraId="4D503992" w14:textId="77777777" w:rsidR="002B1D2B" w:rsidRPr="005860DE" w:rsidRDefault="002B1D2B" w:rsidP="00B93410">
            <w:pPr>
              <w:rPr>
                <w:rFonts w:ascii="Aptos" w:hAnsi="Aptos"/>
                <w:sz w:val="18"/>
                <w:szCs w:val="18"/>
                <w:lang w:val="es-ES"/>
              </w:rPr>
            </w:pPr>
            <w:r w:rsidRPr="005860DE">
              <w:rPr>
                <w:rFonts w:ascii="Aptos" w:eastAsia="Segoe UI" w:hAnsi="Aptos" w:cs="Segoe UI"/>
                <w:color w:val="0F1115"/>
                <w:sz w:val="18"/>
                <w:szCs w:val="18"/>
                <w:lang w:val="es-ES"/>
              </w:rPr>
              <w:t xml:space="preserve">Party </w:t>
            </w:r>
            <w:proofErr w:type="spellStart"/>
            <w:r w:rsidRPr="005860DE">
              <w:rPr>
                <w:rFonts w:ascii="Aptos" w:eastAsia="Segoe UI" w:hAnsi="Aptos" w:cs="Segoe UI"/>
                <w:color w:val="0F1115"/>
                <w:sz w:val="18"/>
                <w:szCs w:val="18"/>
                <w:lang w:val="es-ES"/>
              </w:rPr>
              <w:t>count</w:t>
            </w:r>
            <w:proofErr w:type="spellEnd"/>
            <w:r w:rsidRPr="005860DE">
              <w:rPr>
                <w:rFonts w:ascii="Aptos" w:eastAsia="Segoe UI" w:hAnsi="Aptos" w:cs="Segoe UI"/>
                <w:color w:val="0F1115"/>
                <w:sz w:val="18"/>
                <w:szCs w:val="18"/>
                <w:lang w:val="es-ES"/>
              </w:rPr>
              <w:t>: 88</w:t>
            </w:r>
          </w:p>
        </w:tc>
        <w:tc>
          <w:tcPr>
            <w:tcW w:w="4325" w:type="dxa"/>
          </w:tcPr>
          <w:p w14:paraId="3F2F212A" w14:textId="77777777" w:rsidR="002B1D2B" w:rsidRPr="005860DE" w:rsidRDefault="002B1D2B" w:rsidP="00B93410">
            <w:pPr>
              <w:rPr>
                <w:rFonts w:ascii="Aptos" w:eastAsia="Segoe UI" w:hAnsi="Aptos" w:cs="Segoe UI"/>
                <w:color w:val="0F1115"/>
                <w:sz w:val="18"/>
                <w:szCs w:val="18"/>
                <w:lang w:val="es-ES"/>
              </w:rPr>
            </w:pPr>
            <w:r w:rsidRPr="005860DE">
              <w:rPr>
                <w:rFonts w:ascii="Aptos" w:hAnsi="Aptos"/>
                <w:color w:val="0F1115"/>
                <w:sz w:val="18"/>
                <w:szCs w:val="18"/>
                <w:lang w:val="es-ES"/>
              </w:rPr>
              <w:t>Número de Partes: 88</w:t>
            </w:r>
          </w:p>
        </w:tc>
      </w:tr>
    </w:tbl>
    <w:p w14:paraId="19384503" w14:textId="77777777" w:rsidR="00F235D3" w:rsidRPr="005E3D50" w:rsidRDefault="00F235D3" w:rsidP="00F235D3">
      <w:pPr>
        <w:rPr>
          <w:lang w:val="es-ES"/>
        </w:rPr>
      </w:pPr>
    </w:p>
    <w:p w14:paraId="307DF067" w14:textId="7F98E8C1" w:rsidR="006E369A" w:rsidRPr="005E3D50" w:rsidRDefault="006E369A" w:rsidP="00E576B8">
      <w:pPr>
        <w:pStyle w:val="Heading5"/>
        <w:rPr>
          <w:lang w:val="es-ES"/>
        </w:rPr>
      </w:pPr>
      <w:bookmarkStart w:id="191" w:name="_Toc235821093"/>
      <w:r w:rsidRPr="005E3D50">
        <w:rPr>
          <w:lang w:val="es-ES"/>
        </w:rPr>
        <w:t>Autoevaluación de progresos</w:t>
      </w:r>
      <w:bookmarkEnd w:id="191"/>
    </w:p>
    <w:p w14:paraId="53A1373B" w14:textId="77777777" w:rsidR="00CA6060" w:rsidRPr="005E3D50" w:rsidRDefault="00CA6060" w:rsidP="00273B13">
      <w:pPr>
        <w:rPr>
          <w:lang w:val="es-ES"/>
        </w:rPr>
      </w:pPr>
    </w:p>
    <w:p w14:paraId="3EE43E86" w14:textId="5492E562" w:rsidR="006834E3" w:rsidRPr="005E3D50" w:rsidRDefault="006834E3" w:rsidP="00AE089E">
      <w:pPr>
        <w:pStyle w:val="Caption"/>
        <w:rPr>
          <w:lang w:val="es-ES"/>
        </w:rPr>
      </w:pPr>
      <w:r w:rsidRPr="005E3D50">
        <w:rPr>
          <w:i w:val="0"/>
          <w:iCs w:val="0"/>
          <w:sz w:val="24"/>
          <w:szCs w:val="24"/>
          <w:lang w:val="es-ES"/>
        </w:rPr>
        <w:t>Según la autoevaluación realizada por las Partes en sus informes nacionales para cada meta nacional, el 35 % de las metas nacionales estrechamente armonizadas con la meta 4 están en vías de alcanzarse, mientras que el 1 % ya se alcanzaron y el 59 % muestran progresos insuficientes o ningún progreso significativo (véase la figura 23).</w:t>
      </w:r>
      <w:r w:rsidRPr="005E3D50">
        <w:rPr>
          <w:lang w:val="es-ES"/>
        </w:rPr>
        <w:t xml:space="preserve"> </w:t>
      </w:r>
    </w:p>
    <w:p w14:paraId="1861E6B4" w14:textId="0D13A891" w:rsidR="008D1FA0" w:rsidRPr="005E3D50" w:rsidRDefault="008D1FA0">
      <w:pPr>
        <w:rPr>
          <w:lang w:val="es-ES" w:eastAsia="ja-JP"/>
        </w:rPr>
      </w:pPr>
    </w:p>
    <w:p w14:paraId="2A91F88F" w14:textId="5C8E7E1F" w:rsidR="005B4BD5" w:rsidRPr="005E3D50" w:rsidRDefault="005B4BD5" w:rsidP="005B4BD5">
      <w:pPr>
        <w:rPr>
          <w:sz w:val="20"/>
          <w:szCs w:val="20"/>
          <w:lang w:val="es-ES"/>
        </w:rPr>
      </w:pPr>
      <w:r w:rsidRPr="005E3D50">
        <w:rPr>
          <w:sz w:val="20"/>
          <w:szCs w:val="20"/>
          <w:lang w:val="es-ES"/>
        </w:rPr>
        <w:t>Figura 23</w:t>
      </w:r>
    </w:p>
    <w:p w14:paraId="631B7930" w14:textId="366E6778" w:rsidR="005B4BD5" w:rsidRPr="005E3D50" w:rsidRDefault="005B4BD5" w:rsidP="005B4BD5">
      <w:pPr>
        <w:rPr>
          <w:b/>
          <w:bCs/>
          <w:sz w:val="20"/>
          <w:szCs w:val="20"/>
          <w:lang w:val="es-ES"/>
        </w:rPr>
      </w:pPr>
      <w:r w:rsidRPr="005E3D50">
        <w:rPr>
          <w:b/>
          <w:bCs/>
          <w:sz w:val="20"/>
          <w:szCs w:val="20"/>
          <w:lang w:val="es-ES"/>
        </w:rPr>
        <w:t>Progresos indicados por las autoevaluaciones para todas las metas nacionales presentadas como estrechamente armonizadas con la meta 4 del Marco</w:t>
      </w:r>
    </w:p>
    <w:p w14:paraId="230A1151" w14:textId="06E83EE8" w:rsidR="00A26DC5" w:rsidRPr="005E3D50" w:rsidRDefault="00BB4018" w:rsidP="009B7444">
      <w:pPr>
        <w:pStyle w:val="Caption"/>
        <w:rPr>
          <w:lang w:val="es-ES"/>
        </w:rPr>
      </w:pPr>
      <w:bookmarkStart w:id="192" w:name="_Ref230618491"/>
      <w:r w:rsidRPr="005E3D50">
        <w:rPr>
          <w:noProof/>
          <w:lang w:val="en-US" w:eastAsia="en-US"/>
        </w:rPr>
        <w:drawing>
          <wp:inline distT="0" distB="0" distL="0" distR="0" wp14:anchorId="4F16E5CD" wp14:editId="4F77F5A4">
            <wp:extent cx="5731510" cy="2292350"/>
            <wp:effectExtent l="0" t="0" r="0" b="6350"/>
            <wp:docPr id="374232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32753" name="Picture 374232753"/>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92"/>
    <w:p w14:paraId="51E644B7" w14:textId="77777777" w:rsidR="00BE5006" w:rsidRDefault="00BE5006" w:rsidP="00BE5006">
      <w:pPr>
        <w:pStyle w:val="Caption"/>
        <w:rPr>
          <w:rFonts w:ascii="Aptos" w:hAnsi="Aptos"/>
          <w:i w:val="0"/>
          <w:iCs w:val="0"/>
          <w:sz w:val="16"/>
          <w:szCs w:val="16"/>
          <w:lang w:val="es-ES"/>
        </w:rPr>
      </w:pPr>
      <w:r w:rsidRPr="005E3D50">
        <w:rPr>
          <w:sz w:val="16"/>
          <w:szCs w:val="16"/>
          <w:lang w:val="es-ES"/>
        </w:rPr>
        <w:t>Nota:</w:t>
      </w:r>
      <w:r w:rsidRPr="005E3D50">
        <w:rPr>
          <w:i w:val="0"/>
          <w:iCs w:val="0"/>
          <w:sz w:val="16"/>
          <w:szCs w:val="16"/>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 </w:t>
      </w:r>
      <w:r w:rsidRPr="005E3D50">
        <w:rPr>
          <w:rFonts w:ascii="Aptos" w:hAnsi="Aptos"/>
          <w:i w:val="0"/>
          <w:iCs w:val="0"/>
          <w:sz w:val="16"/>
          <w:szCs w:val="16"/>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8422" w:type="dxa"/>
        <w:tblLook w:val="06A0" w:firstRow="1" w:lastRow="0" w:firstColumn="1" w:lastColumn="0" w:noHBand="1" w:noVBand="1"/>
      </w:tblPr>
      <w:tblGrid>
        <w:gridCol w:w="3780"/>
        <w:gridCol w:w="4642"/>
      </w:tblGrid>
      <w:tr w:rsidR="002B1D2B" w:rsidRPr="00E944B1" w14:paraId="2173C99D" w14:textId="77777777" w:rsidTr="00B27EEE">
        <w:tc>
          <w:tcPr>
            <w:tcW w:w="8422" w:type="dxa"/>
            <w:gridSpan w:val="2"/>
          </w:tcPr>
          <w:p w14:paraId="20DEE13E" w14:textId="75C1EEA4" w:rsidR="002B1D2B" w:rsidRDefault="002B1D2B" w:rsidP="00B93410">
            <w:pPr>
              <w:rPr>
                <w:rFonts w:ascii="Aptos" w:eastAsia="Segoe UI" w:hAnsi="Aptos" w:cs="Segoe UI"/>
                <w:color w:val="0F1115"/>
                <w:sz w:val="18"/>
                <w:szCs w:val="18"/>
                <w:lang w:val="es-ES"/>
              </w:rPr>
            </w:pPr>
            <w:r>
              <w:rPr>
                <w:rFonts w:ascii="Aptos" w:eastAsia="Segoe UI" w:hAnsi="Aptos" w:cs="Segoe UI"/>
                <w:color w:val="0F1115"/>
                <w:sz w:val="18"/>
                <w:szCs w:val="18"/>
                <w:lang w:val="es-ES"/>
              </w:rPr>
              <w:t>Figura 23</w:t>
            </w:r>
          </w:p>
        </w:tc>
      </w:tr>
      <w:tr w:rsidR="002B1D2B" w:rsidRPr="00E944B1" w14:paraId="16906105" w14:textId="77777777" w:rsidTr="002B1D2B">
        <w:tc>
          <w:tcPr>
            <w:tcW w:w="3780" w:type="dxa"/>
          </w:tcPr>
          <w:p w14:paraId="769C1DD7"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 xml:space="preserve">English </w:t>
            </w:r>
          </w:p>
        </w:tc>
        <w:tc>
          <w:tcPr>
            <w:tcW w:w="4642" w:type="dxa"/>
          </w:tcPr>
          <w:p w14:paraId="27342587" w14:textId="3D8D593C" w:rsidR="002B1D2B" w:rsidRPr="0006179A" w:rsidRDefault="002B1D2B" w:rsidP="00B93410">
            <w:pPr>
              <w:rPr>
                <w:rFonts w:ascii="Aptos" w:hAnsi="Aptos"/>
                <w:sz w:val="18"/>
                <w:szCs w:val="18"/>
                <w:lang w:val="es-ES"/>
              </w:rPr>
            </w:pPr>
            <w:r>
              <w:rPr>
                <w:rFonts w:ascii="Aptos" w:eastAsia="Segoe UI" w:hAnsi="Aptos" w:cs="Segoe UI"/>
                <w:color w:val="0F1115"/>
                <w:sz w:val="18"/>
                <w:szCs w:val="18"/>
                <w:lang w:val="es-ES"/>
              </w:rPr>
              <w:t>Español</w:t>
            </w:r>
          </w:p>
        </w:tc>
      </w:tr>
      <w:tr w:rsidR="002B1D2B" w:rsidRPr="00E944B1" w14:paraId="322BC975" w14:textId="77777777" w:rsidTr="002B1D2B">
        <w:tc>
          <w:tcPr>
            <w:tcW w:w="3780" w:type="dxa"/>
          </w:tcPr>
          <w:p w14:paraId="0280AB84" w14:textId="77777777" w:rsidR="002B1D2B" w:rsidRPr="0006179A" w:rsidRDefault="002B1D2B" w:rsidP="00B93410">
            <w:pPr>
              <w:rPr>
                <w:rFonts w:ascii="Aptos" w:hAnsi="Aptos"/>
                <w:sz w:val="18"/>
                <w:szCs w:val="18"/>
                <w:lang w:val="es-ES"/>
              </w:rPr>
            </w:pPr>
            <w:proofErr w:type="spellStart"/>
            <w:r w:rsidRPr="0006179A">
              <w:rPr>
                <w:rFonts w:ascii="Aptos" w:eastAsia="Segoe UI" w:hAnsi="Aptos" w:cs="Segoe UI"/>
                <w:color w:val="0F1115"/>
                <w:sz w:val="18"/>
                <w:szCs w:val="18"/>
                <w:lang w:val="es-ES"/>
              </w:rPr>
              <w:lastRenderedPageBreak/>
              <w:t>Region</w:t>
            </w:r>
            <w:proofErr w:type="spellEnd"/>
          </w:p>
        </w:tc>
        <w:tc>
          <w:tcPr>
            <w:tcW w:w="4642" w:type="dxa"/>
          </w:tcPr>
          <w:p w14:paraId="37577B8E"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Región</w:t>
            </w:r>
          </w:p>
        </w:tc>
      </w:tr>
      <w:tr w:rsidR="002B1D2B" w:rsidRPr="00E944B1" w14:paraId="429A55C7" w14:textId="77777777" w:rsidTr="002B1D2B">
        <w:tc>
          <w:tcPr>
            <w:tcW w:w="3780" w:type="dxa"/>
          </w:tcPr>
          <w:p w14:paraId="25DA33A0"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African States</w:t>
            </w:r>
          </w:p>
        </w:tc>
        <w:tc>
          <w:tcPr>
            <w:tcW w:w="4642" w:type="dxa"/>
          </w:tcPr>
          <w:p w14:paraId="63A8177F"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Estados de África</w:t>
            </w:r>
          </w:p>
        </w:tc>
      </w:tr>
      <w:tr w:rsidR="002B1D2B" w:rsidRPr="00E944B1" w14:paraId="74260419" w14:textId="77777777" w:rsidTr="002B1D2B">
        <w:tc>
          <w:tcPr>
            <w:tcW w:w="3780" w:type="dxa"/>
          </w:tcPr>
          <w:p w14:paraId="7583E8F8"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Asia- Pacific States</w:t>
            </w:r>
          </w:p>
        </w:tc>
        <w:tc>
          <w:tcPr>
            <w:tcW w:w="4642" w:type="dxa"/>
          </w:tcPr>
          <w:p w14:paraId="00F939AB"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Estados de Asia y el Pacífico</w:t>
            </w:r>
          </w:p>
        </w:tc>
      </w:tr>
      <w:tr w:rsidR="002B1D2B" w:rsidRPr="00E944B1" w14:paraId="3284438C" w14:textId="77777777" w:rsidTr="002B1D2B">
        <w:tc>
          <w:tcPr>
            <w:tcW w:w="3780" w:type="dxa"/>
          </w:tcPr>
          <w:p w14:paraId="2AB07C1B" w14:textId="77777777" w:rsidR="002B1D2B" w:rsidRPr="0006179A" w:rsidRDefault="002B1D2B" w:rsidP="00B93410">
            <w:pPr>
              <w:rPr>
                <w:rFonts w:ascii="Aptos" w:hAnsi="Aptos"/>
                <w:sz w:val="18"/>
                <w:szCs w:val="18"/>
                <w:lang w:val="en-US"/>
              </w:rPr>
            </w:pPr>
            <w:r w:rsidRPr="0006179A">
              <w:rPr>
                <w:rFonts w:ascii="Aptos" w:eastAsia="Segoe UI" w:hAnsi="Aptos" w:cs="Segoe UI"/>
                <w:color w:val="0F1115"/>
                <w:sz w:val="18"/>
                <w:szCs w:val="18"/>
                <w:lang w:val="en-US"/>
              </w:rPr>
              <w:t>Latin American and Caribbean States</w:t>
            </w:r>
          </w:p>
        </w:tc>
        <w:tc>
          <w:tcPr>
            <w:tcW w:w="4642" w:type="dxa"/>
          </w:tcPr>
          <w:p w14:paraId="67AEA887"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Estados de América Latina y el Caribe</w:t>
            </w:r>
          </w:p>
        </w:tc>
      </w:tr>
      <w:tr w:rsidR="002B1D2B" w:rsidRPr="00E944B1" w14:paraId="2F50CE3D" w14:textId="77777777" w:rsidTr="002B1D2B">
        <w:tc>
          <w:tcPr>
            <w:tcW w:w="3780" w:type="dxa"/>
          </w:tcPr>
          <w:p w14:paraId="456D83E7"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 xml:space="preserve"> Eastern European States</w:t>
            </w:r>
          </w:p>
        </w:tc>
        <w:tc>
          <w:tcPr>
            <w:tcW w:w="4642" w:type="dxa"/>
          </w:tcPr>
          <w:p w14:paraId="3248D644"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Estados de Europa Oriental</w:t>
            </w:r>
          </w:p>
        </w:tc>
      </w:tr>
      <w:tr w:rsidR="002B1D2B" w:rsidRPr="00E944B1" w14:paraId="21F5647B" w14:textId="77777777" w:rsidTr="002B1D2B">
        <w:tc>
          <w:tcPr>
            <w:tcW w:w="3780" w:type="dxa"/>
          </w:tcPr>
          <w:p w14:paraId="33ED10B4" w14:textId="77777777" w:rsidR="002B1D2B" w:rsidRPr="0006179A" w:rsidRDefault="002B1D2B" w:rsidP="00B93410">
            <w:pPr>
              <w:rPr>
                <w:rFonts w:ascii="Aptos" w:hAnsi="Aptos"/>
                <w:sz w:val="18"/>
                <w:szCs w:val="18"/>
                <w:lang w:val="en-US"/>
              </w:rPr>
            </w:pPr>
            <w:r w:rsidRPr="0006179A">
              <w:rPr>
                <w:rFonts w:ascii="Aptos" w:eastAsia="Segoe UI" w:hAnsi="Aptos" w:cs="Segoe UI"/>
                <w:color w:val="0F1115"/>
                <w:sz w:val="18"/>
                <w:szCs w:val="18"/>
                <w:lang w:val="en-US"/>
              </w:rPr>
              <w:t>Western European and other States</w:t>
            </w:r>
          </w:p>
        </w:tc>
        <w:tc>
          <w:tcPr>
            <w:tcW w:w="4642" w:type="dxa"/>
          </w:tcPr>
          <w:p w14:paraId="7A9ADBF6"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Estados de Europa Occidental y otros Estados</w:t>
            </w:r>
          </w:p>
        </w:tc>
      </w:tr>
      <w:tr w:rsidR="002B1D2B" w:rsidRPr="00E944B1" w14:paraId="4D9FF701" w14:textId="77777777" w:rsidTr="002B1D2B">
        <w:tc>
          <w:tcPr>
            <w:tcW w:w="3780" w:type="dxa"/>
          </w:tcPr>
          <w:p w14:paraId="05EAC931"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0%</w:t>
            </w:r>
          </w:p>
        </w:tc>
        <w:tc>
          <w:tcPr>
            <w:tcW w:w="4642" w:type="dxa"/>
          </w:tcPr>
          <w:p w14:paraId="5B0AEFD7"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0 %</w:t>
            </w:r>
          </w:p>
        </w:tc>
      </w:tr>
      <w:tr w:rsidR="002B1D2B" w:rsidRPr="00E944B1" w14:paraId="5ABA9F21" w14:textId="77777777" w:rsidTr="002B1D2B">
        <w:tc>
          <w:tcPr>
            <w:tcW w:w="3780" w:type="dxa"/>
          </w:tcPr>
          <w:p w14:paraId="30F574BF"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25%</w:t>
            </w:r>
          </w:p>
        </w:tc>
        <w:tc>
          <w:tcPr>
            <w:tcW w:w="4642" w:type="dxa"/>
          </w:tcPr>
          <w:p w14:paraId="03DD455C"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25 %</w:t>
            </w:r>
          </w:p>
        </w:tc>
      </w:tr>
      <w:tr w:rsidR="002B1D2B" w:rsidRPr="00E944B1" w14:paraId="77848792" w14:textId="77777777" w:rsidTr="002B1D2B">
        <w:tc>
          <w:tcPr>
            <w:tcW w:w="3780" w:type="dxa"/>
          </w:tcPr>
          <w:p w14:paraId="3CEDE750"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50%</w:t>
            </w:r>
          </w:p>
        </w:tc>
        <w:tc>
          <w:tcPr>
            <w:tcW w:w="4642" w:type="dxa"/>
          </w:tcPr>
          <w:p w14:paraId="161D2797"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50 %</w:t>
            </w:r>
          </w:p>
        </w:tc>
      </w:tr>
      <w:tr w:rsidR="002B1D2B" w:rsidRPr="00E944B1" w14:paraId="6B464EA4" w14:textId="77777777" w:rsidTr="002B1D2B">
        <w:tc>
          <w:tcPr>
            <w:tcW w:w="3780" w:type="dxa"/>
          </w:tcPr>
          <w:p w14:paraId="0A8AC797"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75%</w:t>
            </w:r>
          </w:p>
        </w:tc>
        <w:tc>
          <w:tcPr>
            <w:tcW w:w="4642" w:type="dxa"/>
          </w:tcPr>
          <w:p w14:paraId="135627EC"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75 %</w:t>
            </w:r>
          </w:p>
        </w:tc>
      </w:tr>
      <w:tr w:rsidR="002B1D2B" w:rsidRPr="00E944B1" w14:paraId="7CF70AAC" w14:textId="77777777" w:rsidTr="002B1D2B">
        <w:tc>
          <w:tcPr>
            <w:tcW w:w="3780" w:type="dxa"/>
          </w:tcPr>
          <w:p w14:paraId="5C617260"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100%</w:t>
            </w:r>
          </w:p>
        </w:tc>
        <w:tc>
          <w:tcPr>
            <w:tcW w:w="4642" w:type="dxa"/>
          </w:tcPr>
          <w:p w14:paraId="29DC2152"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100 %</w:t>
            </w:r>
          </w:p>
        </w:tc>
      </w:tr>
      <w:tr w:rsidR="002B1D2B" w:rsidRPr="00E944B1" w14:paraId="3729DB81" w14:textId="77777777" w:rsidTr="002B1D2B">
        <w:tc>
          <w:tcPr>
            <w:tcW w:w="3780" w:type="dxa"/>
          </w:tcPr>
          <w:p w14:paraId="2D7BD665" w14:textId="77777777" w:rsidR="002B1D2B" w:rsidRPr="0006179A" w:rsidRDefault="002B1D2B" w:rsidP="00B93410">
            <w:pPr>
              <w:rPr>
                <w:rFonts w:ascii="Aptos" w:hAnsi="Aptos"/>
                <w:sz w:val="18"/>
                <w:szCs w:val="18"/>
                <w:lang w:val="es-ES"/>
              </w:rPr>
            </w:pPr>
            <w:proofErr w:type="spellStart"/>
            <w:r w:rsidRPr="0006179A">
              <w:rPr>
                <w:rFonts w:ascii="Aptos" w:eastAsia="Segoe UI" w:hAnsi="Aptos" w:cs="Segoe UI"/>
                <w:color w:val="0F1115"/>
                <w:sz w:val="18"/>
                <w:szCs w:val="18"/>
                <w:lang w:val="es-ES"/>
              </w:rPr>
              <w:t>Percentage</w:t>
            </w:r>
            <w:proofErr w:type="spellEnd"/>
            <w:r w:rsidRPr="0006179A">
              <w:rPr>
                <w:rFonts w:ascii="Aptos" w:eastAsia="Segoe UI" w:hAnsi="Aptos" w:cs="Segoe UI"/>
                <w:color w:val="0F1115"/>
                <w:sz w:val="18"/>
                <w:szCs w:val="18"/>
                <w:lang w:val="es-ES"/>
              </w:rPr>
              <w:t xml:space="preserve"> of </w:t>
            </w:r>
            <w:proofErr w:type="spellStart"/>
            <w:r w:rsidRPr="0006179A">
              <w:rPr>
                <w:rFonts w:ascii="Aptos" w:eastAsia="Segoe UI" w:hAnsi="Aptos" w:cs="Segoe UI"/>
                <w:color w:val="0F1115"/>
                <w:sz w:val="18"/>
                <w:szCs w:val="18"/>
                <w:lang w:val="es-ES"/>
              </w:rPr>
              <w:t>national</w:t>
            </w:r>
            <w:proofErr w:type="spellEnd"/>
            <w:r w:rsidRPr="0006179A">
              <w:rPr>
                <w:rFonts w:ascii="Aptos" w:eastAsia="Segoe UI" w:hAnsi="Aptos" w:cs="Segoe UI"/>
                <w:color w:val="0F1115"/>
                <w:sz w:val="18"/>
                <w:szCs w:val="18"/>
                <w:lang w:val="es-ES"/>
              </w:rPr>
              <w:t xml:space="preserve"> targets</w:t>
            </w:r>
          </w:p>
        </w:tc>
        <w:tc>
          <w:tcPr>
            <w:tcW w:w="4642" w:type="dxa"/>
          </w:tcPr>
          <w:p w14:paraId="59AF5A59"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Porcentaje de metas nacionales</w:t>
            </w:r>
          </w:p>
        </w:tc>
      </w:tr>
      <w:tr w:rsidR="002B1D2B" w:rsidRPr="00E944B1" w14:paraId="79D59E3C" w14:textId="77777777" w:rsidTr="002B1D2B">
        <w:tc>
          <w:tcPr>
            <w:tcW w:w="3780" w:type="dxa"/>
          </w:tcPr>
          <w:p w14:paraId="560ACD27" w14:textId="77777777" w:rsidR="002B1D2B" w:rsidRPr="0006179A" w:rsidRDefault="002B1D2B" w:rsidP="00B93410">
            <w:pPr>
              <w:rPr>
                <w:rFonts w:ascii="Aptos" w:hAnsi="Aptos"/>
                <w:sz w:val="18"/>
                <w:szCs w:val="18"/>
                <w:lang w:val="es-ES"/>
              </w:rPr>
            </w:pPr>
            <w:proofErr w:type="spellStart"/>
            <w:r w:rsidRPr="0006179A">
              <w:rPr>
                <w:rFonts w:ascii="Aptos" w:eastAsia="Segoe UI" w:hAnsi="Aptos" w:cs="Segoe UI"/>
                <w:color w:val="0F1115"/>
                <w:sz w:val="18"/>
                <w:szCs w:val="18"/>
                <w:lang w:val="es-ES"/>
              </w:rPr>
              <w:t>Progress</w:t>
            </w:r>
            <w:proofErr w:type="spellEnd"/>
            <w:r w:rsidRPr="0006179A">
              <w:rPr>
                <w:rFonts w:ascii="Aptos" w:eastAsia="Segoe UI" w:hAnsi="Aptos" w:cs="Segoe UI"/>
                <w:color w:val="0F1115"/>
                <w:sz w:val="18"/>
                <w:szCs w:val="18"/>
                <w:lang w:val="es-ES"/>
              </w:rPr>
              <w:t xml:space="preserve"> Level</w:t>
            </w:r>
          </w:p>
        </w:tc>
        <w:tc>
          <w:tcPr>
            <w:tcW w:w="4642" w:type="dxa"/>
          </w:tcPr>
          <w:p w14:paraId="334504CB"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Nivel de progreso</w:t>
            </w:r>
          </w:p>
        </w:tc>
      </w:tr>
      <w:tr w:rsidR="002B1D2B" w:rsidRPr="00E944B1" w14:paraId="531E77E9" w14:textId="77777777" w:rsidTr="002B1D2B">
        <w:tc>
          <w:tcPr>
            <w:tcW w:w="3780" w:type="dxa"/>
          </w:tcPr>
          <w:p w14:paraId="732C07A1" w14:textId="77777777" w:rsidR="002B1D2B" w:rsidRPr="0006179A" w:rsidRDefault="002B1D2B" w:rsidP="00B93410">
            <w:pPr>
              <w:rPr>
                <w:rFonts w:ascii="Aptos" w:hAnsi="Aptos"/>
                <w:sz w:val="18"/>
                <w:szCs w:val="18"/>
                <w:lang w:val="es-ES"/>
              </w:rPr>
            </w:pPr>
            <w:proofErr w:type="spellStart"/>
            <w:r w:rsidRPr="0006179A">
              <w:rPr>
                <w:rFonts w:ascii="Aptos" w:eastAsia="Segoe UI" w:hAnsi="Aptos" w:cs="Segoe UI"/>
                <w:color w:val="0F1115"/>
                <w:sz w:val="18"/>
                <w:szCs w:val="18"/>
                <w:lang w:val="es-ES"/>
              </w:rPr>
              <w:t>Achieved</w:t>
            </w:r>
            <w:proofErr w:type="spellEnd"/>
          </w:p>
        </w:tc>
        <w:tc>
          <w:tcPr>
            <w:tcW w:w="4642" w:type="dxa"/>
          </w:tcPr>
          <w:p w14:paraId="4F10D093"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Alcanzada</w:t>
            </w:r>
          </w:p>
        </w:tc>
      </w:tr>
      <w:tr w:rsidR="002B1D2B" w:rsidRPr="00E944B1" w14:paraId="3C96306C" w14:textId="77777777" w:rsidTr="002B1D2B">
        <w:tc>
          <w:tcPr>
            <w:tcW w:w="3780" w:type="dxa"/>
          </w:tcPr>
          <w:p w14:paraId="1C130CD3" w14:textId="77777777" w:rsidR="002B1D2B" w:rsidRPr="0006179A" w:rsidRDefault="002B1D2B" w:rsidP="00B93410">
            <w:pPr>
              <w:rPr>
                <w:rFonts w:ascii="Aptos" w:hAnsi="Aptos"/>
                <w:sz w:val="18"/>
                <w:szCs w:val="18"/>
                <w:lang w:val="en-US"/>
              </w:rPr>
            </w:pPr>
            <w:r w:rsidRPr="0006179A">
              <w:rPr>
                <w:rFonts w:ascii="Aptos" w:eastAsia="Segoe UI" w:hAnsi="Aptos" w:cs="Segoe UI"/>
                <w:color w:val="0F1115"/>
                <w:sz w:val="18"/>
                <w:szCs w:val="18"/>
                <w:lang w:val="en-US"/>
              </w:rPr>
              <w:t>On track to achieve target</w:t>
            </w:r>
          </w:p>
        </w:tc>
        <w:tc>
          <w:tcPr>
            <w:tcW w:w="4642" w:type="dxa"/>
          </w:tcPr>
          <w:p w14:paraId="35D4B7A6"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En vías de alcanzar la meta</w:t>
            </w:r>
          </w:p>
        </w:tc>
      </w:tr>
      <w:tr w:rsidR="002B1D2B" w:rsidRPr="00E944B1" w14:paraId="3B5F9B3F" w14:textId="77777777" w:rsidTr="002B1D2B">
        <w:tc>
          <w:tcPr>
            <w:tcW w:w="3780" w:type="dxa"/>
          </w:tcPr>
          <w:p w14:paraId="094788D1" w14:textId="77777777" w:rsidR="002B1D2B" w:rsidRPr="0006179A" w:rsidRDefault="002B1D2B" w:rsidP="00B93410">
            <w:pPr>
              <w:rPr>
                <w:rFonts w:ascii="Aptos" w:hAnsi="Aptos"/>
                <w:sz w:val="18"/>
                <w:szCs w:val="18"/>
                <w:lang w:val="en-US"/>
              </w:rPr>
            </w:pPr>
            <w:r w:rsidRPr="0006179A">
              <w:rPr>
                <w:rFonts w:ascii="Aptos" w:eastAsia="Segoe UI" w:hAnsi="Aptos" w:cs="Segoe UI"/>
                <w:color w:val="0F1115"/>
                <w:sz w:val="18"/>
                <w:szCs w:val="18"/>
                <w:lang w:val="en-US"/>
              </w:rPr>
              <w:t>Progress towards target but at an insufficient rate</w:t>
            </w:r>
          </w:p>
        </w:tc>
        <w:tc>
          <w:tcPr>
            <w:tcW w:w="4642" w:type="dxa"/>
          </w:tcPr>
          <w:p w14:paraId="334D6670"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 xml:space="preserve">Se ha progresado hacia la </w:t>
            </w:r>
            <w:proofErr w:type="gramStart"/>
            <w:r w:rsidRPr="0006179A">
              <w:rPr>
                <w:rFonts w:ascii="Aptos" w:hAnsi="Aptos"/>
                <w:color w:val="0F1115"/>
                <w:sz w:val="18"/>
                <w:szCs w:val="18"/>
                <w:lang w:val="es-ES"/>
              </w:rPr>
              <w:t>meta</w:t>
            </w:r>
            <w:proofErr w:type="gramEnd"/>
            <w:r w:rsidRPr="0006179A">
              <w:rPr>
                <w:rFonts w:ascii="Aptos" w:hAnsi="Aptos"/>
                <w:color w:val="0F1115"/>
                <w:sz w:val="18"/>
                <w:szCs w:val="18"/>
                <w:lang w:val="es-ES"/>
              </w:rPr>
              <w:t xml:space="preserve"> pero a un ritmo insuficiente</w:t>
            </w:r>
          </w:p>
        </w:tc>
      </w:tr>
      <w:tr w:rsidR="002B1D2B" w:rsidRPr="00E944B1" w14:paraId="36571306" w14:textId="77777777" w:rsidTr="002B1D2B">
        <w:tc>
          <w:tcPr>
            <w:tcW w:w="3780" w:type="dxa"/>
          </w:tcPr>
          <w:p w14:paraId="1AE558ED"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 xml:space="preserve">No </w:t>
            </w:r>
            <w:proofErr w:type="spellStart"/>
            <w:r w:rsidRPr="0006179A">
              <w:rPr>
                <w:rFonts w:ascii="Aptos" w:eastAsia="Segoe UI" w:hAnsi="Aptos" w:cs="Segoe UI"/>
                <w:color w:val="0F1115"/>
                <w:sz w:val="18"/>
                <w:szCs w:val="18"/>
                <w:lang w:val="es-ES"/>
              </w:rPr>
              <w:t>significant</w:t>
            </w:r>
            <w:proofErr w:type="spellEnd"/>
            <w:r w:rsidRPr="0006179A">
              <w:rPr>
                <w:rFonts w:ascii="Aptos" w:eastAsia="Segoe UI" w:hAnsi="Aptos" w:cs="Segoe UI"/>
                <w:color w:val="0F1115"/>
                <w:sz w:val="18"/>
                <w:szCs w:val="18"/>
                <w:lang w:val="es-ES"/>
              </w:rPr>
              <w:t xml:space="preserve"> </w:t>
            </w:r>
            <w:proofErr w:type="spellStart"/>
            <w:r w:rsidRPr="0006179A">
              <w:rPr>
                <w:rFonts w:ascii="Aptos" w:eastAsia="Segoe UI" w:hAnsi="Aptos" w:cs="Segoe UI"/>
                <w:color w:val="0F1115"/>
                <w:sz w:val="18"/>
                <w:szCs w:val="18"/>
                <w:lang w:val="es-ES"/>
              </w:rPr>
              <w:t>change</w:t>
            </w:r>
            <w:proofErr w:type="spellEnd"/>
          </w:p>
        </w:tc>
        <w:tc>
          <w:tcPr>
            <w:tcW w:w="4642" w:type="dxa"/>
          </w:tcPr>
          <w:p w14:paraId="4BA5E536"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No hay cambios significativos</w:t>
            </w:r>
          </w:p>
        </w:tc>
      </w:tr>
      <w:tr w:rsidR="002B1D2B" w:rsidRPr="00E944B1" w14:paraId="2AD63DA8" w14:textId="77777777" w:rsidTr="002B1D2B">
        <w:tc>
          <w:tcPr>
            <w:tcW w:w="3780" w:type="dxa"/>
          </w:tcPr>
          <w:p w14:paraId="1650C643"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Unknown</w:t>
            </w:r>
          </w:p>
        </w:tc>
        <w:tc>
          <w:tcPr>
            <w:tcW w:w="4642" w:type="dxa"/>
          </w:tcPr>
          <w:p w14:paraId="439AF5D8" w14:textId="77777777" w:rsidR="002B1D2B" w:rsidRPr="0006179A" w:rsidRDefault="002B1D2B" w:rsidP="00B93410">
            <w:pPr>
              <w:rPr>
                <w:rFonts w:ascii="Aptos" w:hAnsi="Aptos"/>
                <w:sz w:val="18"/>
                <w:szCs w:val="18"/>
                <w:lang w:val="es-ES"/>
              </w:rPr>
            </w:pPr>
            <w:r w:rsidRPr="0006179A">
              <w:rPr>
                <w:rFonts w:ascii="Aptos" w:hAnsi="Aptos"/>
                <w:color w:val="0F1115"/>
                <w:sz w:val="18"/>
                <w:szCs w:val="18"/>
                <w:lang w:val="es-ES"/>
              </w:rPr>
              <w:t>Se desconoce</w:t>
            </w:r>
          </w:p>
        </w:tc>
      </w:tr>
      <w:tr w:rsidR="002B1D2B" w:rsidRPr="00E944B1" w14:paraId="6A08CA49" w14:textId="77777777" w:rsidTr="002B1D2B">
        <w:tc>
          <w:tcPr>
            <w:tcW w:w="3780" w:type="dxa"/>
          </w:tcPr>
          <w:p w14:paraId="693BDC8F" w14:textId="77777777" w:rsidR="002B1D2B" w:rsidRPr="0006179A" w:rsidRDefault="002B1D2B" w:rsidP="00B93410">
            <w:pPr>
              <w:rPr>
                <w:rFonts w:ascii="Aptos" w:hAnsi="Aptos"/>
                <w:sz w:val="18"/>
                <w:szCs w:val="18"/>
                <w:lang w:val="es-ES"/>
              </w:rPr>
            </w:pPr>
            <w:r w:rsidRPr="0006179A">
              <w:rPr>
                <w:rFonts w:ascii="Aptos" w:eastAsia="Segoe UI" w:hAnsi="Aptos" w:cs="Segoe UI"/>
                <w:color w:val="0F1115"/>
                <w:sz w:val="18"/>
                <w:szCs w:val="18"/>
                <w:lang w:val="es-ES"/>
              </w:rPr>
              <w:t xml:space="preserve">Party </w:t>
            </w:r>
            <w:proofErr w:type="spellStart"/>
            <w:r w:rsidRPr="0006179A">
              <w:rPr>
                <w:rFonts w:ascii="Aptos" w:eastAsia="Segoe UI" w:hAnsi="Aptos" w:cs="Segoe UI"/>
                <w:color w:val="0F1115"/>
                <w:sz w:val="18"/>
                <w:szCs w:val="18"/>
                <w:lang w:val="es-ES"/>
              </w:rPr>
              <w:t>count</w:t>
            </w:r>
            <w:proofErr w:type="spellEnd"/>
            <w:r w:rsidRPr="0006179A">
              <w:rPr>
                <w:rFonts w:ascii="Aptos" w:eastAsia="Segoe UI" w:hAnsi="Aptos" w:cs="Segoe UI"/>
                <w:color w:val="0F1115"/>
                <w:sz w:val="18"/>
                <w:szCs w:val="18"/>
                <w:lang w:val="es-ES"/>
              </w:rPr>
              <w:t>: 100</w:t>
            </w:r>
          </w:p>
        </w:tc>
        <w:tc>
          <w:tcPr>
            <w:tcW w:w="4642" w:type="dxa"/>
          </w:tcPr>
          <w:p w14:paraId="4FE046CB" w14:textId="77777777" w:rsidR="002B1D2B" w:rsidRPr="0006179A" w:rsidRDefault="002B1D2B" w:rsidP="00B93410">
            <w:pPr>
              <w:rPr>
                <w:rFonts w:ascii="Aptos" w:eastAsia="Segoe UI" w:hAnsi="Aptos" w:cs="Segoe UI"/>
                <w:color w:val="0F1115"/>
                <w:sz w:val="18"/>
                <w:szCs w:val="18"/>
                <w:lang w:val="es-ES"/>
              </w:rPr>
            </w:pPr>
            <w:r w:rsidRPr="0006179A">
              <w:rPr>
                <w:rFonts w:ascii="Aptos" w:hAnsi="Aptos"/>
                <w:color w:val="0F1115"/>
                <w:sz w:val="18"/>
                <w:szCs w:val="18"/>
                <w:lang w:val="es-ES"/>
              </w:rPr>
              <w:t>Número de Partes: 100</w:t>
            </w:r>
          </w:p>
        </w:tc>
      </w:tr>
    </w:tbl>
    <w:p w14:paraId="12473C70" w14:textId="77777777" w:rsidR="006E369A" w:rsidRPr="005E3D50" w:rsidRDefault="006E369A" w:rsidP="006E369A">
      <w:pPr>
        <w:pStyle w:val="Heading5"/>
        <w:rPr>
          <w:lang w:val="es-ES"/>
        </w:rPr>
      </w:pPr>
    </w:p>
    <w:p w14:paraId="42957E0C" w14:textId="3EE95CA5" w:rsidR="006E369A" w:rsidRPr="005E3D50" w:rsidRDefault="006E369A" w:rsidP="006E369A">
      <w:pPr>
        <w:pStyle w:val="Heading5"/>
        <w:rPr>
          <w:lang w:val="es-ES"/>
        </w:rPr>
      </w:pPr>
      <w:bookmarkStart w:id="193" w:name="_Toc235821094"/>
      <w:r w:rsidRPr="005E3D50">
        <w:rPr>
          <w:lang w:val="es-ES"/>
        </w:rPr>
        <w:t>Medidas, logros y dificultades en la implementación</w:t>
      </w:r>
      <w:bookmarkEnd w:id="193"/>
    </w:p>
    <w:p w14:paraId="7CA2673C" w14:textId="77777777" w:rsidR="00D01780" w:rsidRPr="005E3D50" w:rsidRDefault="00D01780" w:rsidP="006E369A">
      <w:pPr>
        <w:pStyle w:val="Heading6"/>
        <w:rPr>
          <w:lang w:val="es-ES"/>
        </w:rPr>
      </w:pPr>
      <w:bookmarkStart w:id="194" w:name="_Toc235821095"/>
    </w:p>
    <w:p w14:paraId="44062B79" w14:textId="188B5B8E" w:rsidR="006E369A" w:rsidRPr="005E3D50" w:rsidRDefault="006E369A" w:rsidP="006E369A">
      <w:pPr>
        <w:pStyle w:val="Heading6"/>
        <w:rPr>
          <w:lang w:val="es-ES"/>
        </w:rPr>
      </w:pPr>
      <w:r w:rsidRPr="005E3D50">
        <w:rPr>
          <w:lang w:val="es-ES"/>
        </w:rPr>
        <w:t>Resumen de medidas en apoyo de la meta 4</w:t>
      </w:r>
      <w:bookmarkEnd w:id="194"/>
      <w:r w:rsidRPr="005E3D50">
        <w:rPr>
          <w:lang w:val="es-ES"/>
        </w:rPr>
        <w:t xml:space="preserve"> del Marco</w:t>
      </w:r>
    </w:p>
    <w:p w14:paraId="516889DE" w14:textId="77777777" w:rsidR="00D01780" w:rsidRPr="005E3D50" w:rsidRDefault="00D01780" w:rsidP="005652DA">
      <w:pPr>
        <w:rPr>
          <w:lang w:val="es-ES"/>
        </w:rPr>
      </w:pPr>
    </w:p>
    <w:p w14:paraId="3BBEAA3B" w14:textId="2795081D" w:rsidR="006E369A" w:rsidRPr="005E3D50" w:rsidRDefault="005652DA" w:rsidP="006E369A">
      <w:pPr>
        <w:rPr>
          <w:lang w:val="es-ES"/>
        </w:rPr>
      </w:pPr>
      <w:r w:rsidRPr="005E3D50">
        <w:rPr>
          <w:lang w:val="es-ES"/>
        </w:rPr>
        <w:t>El tipo de medida en apoyo de la meta 4 sobre el que se informó con mayor frecuencia es el establecimiento o la ejecución de programas coordinados de recuperación de especies y planes de acción centrados en especies prioritarias, como las especies emblemáticas, las especies paraguas o clave y las especies amenazadas. Las medidas de conservación directa incluyen la reintroducción de especies, la restauración de hábitats, incluida la renaturalización, y las patrullas contra la caza furtiva. Muchas Partes señalan actividades de investigación y seguimiento, incluidas las evaluaciones de la Lista Roja y el seguimiento de las poblaciones de especies mediante tecnologías como las cámaras trampa, el seguimiento acústico y el ADN ambiental (</w:t>
      </w:r>
      <w:proofErr w:type="spellStart"/>
      <w:r w:rsidRPr="005E3D50">
        <w:rPr>
          <w:lang w:val="es-ES"/>
        </w:rPr>
        <w:t>eDNA</w:t>
      </w:r>
      <w:proofErr w:type="spellEnd"/>
      <w:r w:rsidRPr="005E3D50">
        <w:rPr>
          <w:lang w:val="es-ES"/>
        </w:rPr>
        <w:t xml:space="preserve">). Entre los instrumentos jurídicos que abordan esta meta figuran legislación específica para la protección de especies, la introducción o revisión de legislación más amplia sobre conservación de la fauna y flora silvestres, reglamentos de caza y legislación nacional vinculada a la Convención sobre el Comercio Internacional de Especies Amenazadas de Fauna y Flora Silvestres (CITES). La mayoría de las Partes también señalan medidas para mantener la diversidad genética, por </w:t>
      </w:r>
      <w:r w:rsidR="001D5AB6" w:rsidRPr="005E3D50">
        <w:rPr>
          <w:lang w:val="es-ES"/>
        </w:rPr>
        <w:t>ejemplo,</w:t>
      </w:r>
      <w:r w:rsidRPr="005E3D50">
        <w:rPr>
          <w:lang w:val="es-ES"/>
        </w:rPr>
        <w:t xml:space="preserve"> mediante bancos de genes, bancos de semillas, jardines botánicos, programas de cría en cautividad y conservación </w:t>
      </w:r>
      <w:r w:rsidRPr="005E3D50">
        <w:rPr>
          <w:i/>
          <w:iCs/>
          <w:lang w:val="es-ES"/>
        </w:rPr>
        <w:t>in vitro</w:t>
      </w:r>
      <w:r w:rsidRPr="005E3D50">
        <w:rPr>
          <w:lang w:val="es-ES"/>
        </w:rPr>
        <w:t xml:space="preserve">. Varias Partes señalan instrumentos económicos para abordar los conflictos entre los seres humanos y la fauna silvestre, incluidos planes de seguros para compensar los daños a los cultivos y el ganado, y apoyo </w:t>
      </w:r>
      <w:r w:rsidRPr="005E3D50">
        <w:rPr>
          <w:lang w:val="es-ES"/>
        </w:rPr>
        <w:lastRenderedPageBreak/>
        <w:t>financiero para infraestructuras como cercas y otros elementos disuasorios para gestionar los desplazamientos de la fauna silvestre (véanse los recuadros 16 y 17).</w:t>
      </w:r>
    </w:p>
    <w:p w14:paraId="4CC1793C" w14:textId="77777777" w:rsidR="00A71825" w:rsidRPr="005E3D50" w:rsidRDefault="00A71825" w:rsidP="006E369A">
      <w:pPr>
        <w:pStyle w:val="Heading6"/>
        <w:rPr>
          <w:lang w:val="es-ES"/>
        </w:rPr>
      </w:pPr>
      <w:bookmarkStart w:id="195" w:name="_Toc235821096"/>
    </w:p>
    <w:p w14:paraId="1C957B24" w14:textId="77777777" w:rsidR="006E369A" w:rsidRPr="005E3D50" w:rsidRDefault="006E369A" w:rsidP="006E369A">
      <w:pPr>
        <w:pStyle w:val="Heading6"/>
        <w:rPr>
          <w:lang w:val="es-ES"/>
        </w:rPr>
      </w:pPr>
      <w:r w:rsidRPr="005E3D50">
        <w:rPr>
          <w:lang w:val="es-ES"/>
        </w:rPr>
        <w:t>Ejemplos de logros y progresos en la implementación</w:t>
      </w:r>
      <w:bookmarkEnd w:id="195"/>
    </w:p>
    <w:p w14:paraId="21E93BA5" w14:textId="77777777" w:rsidR="002E63AC" w:rsidRPr="005E3D50" w:rsidRDefault="002E63AC" w:rsidP="002E63AC">
      <w:pPr>
        <w:rPr>
          <w:lang w:val="es-ES"/>
        </w:rPr>
      </w:pPr>
    </w:p>
    <w:p w14:paraId="0818ACB9" w14:textId="77B1C4E8" w:rsidR="002F59FB" w:rsidRPr="005E3D50" w:rsidRDefault="002F59FB" w:rsidP="00B219AE">
      <w:pPr>
        <w:pStyle w:val="Caption"/>
        <w:rPr>
          <w:lang w:val="es-ES"/>
        </w:rPr>
      </w:pPr>
    </w:p>
    <w:tbl>
      <w:tblPr>
        <w:tblStyle w:val="TableGrid"/>
        <w:tblW w:w="0" w:type="auto"/>
        <w:tblLook w:val="04A0" w:firstRow="1" w:lastRow="0" w:firstColumn="1" w:lastColumn="0" w:noHBand="0" w:noVBand="1"/>
      </w:tblPr>
      <w:tblGrid>
        <w:gridCol w:w="9016"/>
      </w:tblGrid>
      <w:tr w:rsidR="00C371CA" w:rsidRPr="005E3D50" w14:paraId="737BFC33" w14:textId="77777777" w:rsidTr="00C371CA">
        <w:tc>
          <w:tcPr>
            <w:tcW w:w="9016" w:type="dxa"/>
            <w:shd w:val="clear" w:color="auto" w:fill="D1D1D1" w:themeFill="background2" w:themeFillShade="E6"/>
          </w:tcPr>
          <w:p w14:paraId="3360B3D9" w14:textId="4AAE4D7B" w:rsidR="00694B4A" w:rsidRPr="005E3D50" w:rsidRDefault="00901AC9" w:rsidP="009A6756">
            <w:pPr>
              <w:rPr>
                <w:sz w:val="20"/>
                <w:szCs w:val="20"/>
                <w:lang w:val="es-ES"/>
              </w:rPr>
            </w:pPr>
            <w:r w:rsidRPr="005E3D50">
              <w:rPr>
                <w:sz w:val="20"/>
                <w:szCs w:val="20"/>
                <w:lang w:val="es-ES"/>
              </w:rPr>
              <w:t>Recuadro 16</w:t>
            </w:r>
          </w:p>
          <w:p w14:paraId="5C95A5D2" w14:textId="77777777" w:rsidR="00DD5D02" w:rsidRPr="005E3D50" w:rsidRDefault="00DD5D02" w:rsidP="009A6756">
            <w:pPr>
              <w:rPr>
                <w:sz w:val="20"/>
                <w:szCs w:val="20"/>
                <w:lang w:val="es-ES"/>
              </w:rPr>
            </w:pPr>
          </w:p>
          <w:p w14:paraId="187B8F08" w14:textId="1FE05DE1" w:rsidR="00C371CA" w:rsidRPr="005E3D50" w:rsidRDefault="00901AC9" w:rsidP="009A6756">
            <w:pPr>
              <w:rPr>
                <w:b/>
                <w:sz w:val="20"/>
                <w:szCs w:val="20"/>
                <w:lang w:val="es-ES"/>
              </w:rPr>
            </w:pPr>
            <w:r w:rsidRPr="005E3D50">
              <w:rPr>
                <w:b/>
                <w:bCs/>
                <w:sz w:val="20"/>
                <w:szCs w:val="20"/>
                <w:lang w:val="es-ES"/>
              </w:rPr>
              <w:t xml:space="preserve">San Vicente y las </w:t>
            </w:r>
            <w:proofErr w:type="gramStart"/>
            <w:r w:rsidRPr="005E3D50">
              <w:rPr>
                <w:b/>
                <w:bCs/>
                <w:sz w:val="20"/>
                <w:szCs w:val="20"/>
                <w:lang w:val="es-ES"/>
              </w:rPr>
              <w:t>Granadinas</w:t>
            </w:r>
            <w:proofErr w:type="gramEnd"/>
            <w:r w:rsidRPr="005E3D50">
              <w:rPr>
                <w:b/>
                <w:bCs/>
                <w:sz w:val="20"/>
                <w:szCs w:val="20"/>
                <w:lang w:val="es-ES"/>
              </w:rPr>
              <w:t>: Conservación de especies amenazadas centrada en la gestión comunitaria</w:t>
            </w:r>
          </w:p>
          <w:p w14:paraId="72CD584A" w14:textId="77777777" w:rsidR="00694B4A" w:rsidRPr="005E3D50" w:rsidRDefault="00694B4A" w:rsidP="009A6756">
            <w:pPr>
              <w:rPr>
                <w:i/>
                <w:iCs/>
                <w:lang w:val="es-ES"/>
              </w:rPr>
            </w:pPr>
          </w:p>
          <w:p w14:paraId="1387E555" w14:textId="7A826DF4" w:rsidR="00E7386A" w:rsidRPr="005E3D50" w:rsidRDefault="00E7386A" w:rsidP="00E7386A">
            <w:pPr>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San Vicente y las </w:t>
            </w:r>
            <w:proofErr w:type="gramStart"/>
            <w:r w:rsidRPr="005E3D50">
              <w:rPr>
                <w:rFonts w:ascii="Aptos" w:hAnsi="Aptos"/>
                <w:color w:val="000000" w:themeColor="text1"/>
                <w:sz w:val="20"/>
                <w:szCs w:val="20"/>
                <w:lang w:val="es-ES"/>
              </w:rPr>
              <w:t>Granadinas</w:t>
            </w:r>
            <w:proofErr w:type="gramEnd"/>
            <w:r w:rsidRPr="005E3D50">
              <w:rPr>
                <w:rFonts w:ascii="Aptos" w:hAnsi="Aptos"/>
                <w:color w:val="000000" w:themeColor="text1"/>
                <w:sz w:val="20"/>
                <w:szCs w:val="20"/>
                <w:lang w:val="es-ES"/>
              </w:rPr>
              <w:t xml:space="preserve"> ha establecido un modelo sistemático de conservación que integra la reglamentación jurídica, la gobernanza comunitaria, la restauración ecológica y la colaboración internacional. El modelo ofrece una experiencia práctica reproducible para los pequeños Estados insulares en desarrollo que se enfrentan a la degradación de la diversidad biológica y a las presiones del cambio climático.</w:t>
            </w:r>
          </w:p>
          <w:p w14:paraId="0AF1F9D8" w14:textId="77777777" w:rsidR="00E7386A" w:rsidRPr="005E3D50" w:rsidRDefault="00E7386A" w:rsidP="00E7386A">
            <w:pPr>
              <w:rPr>
                <w:rFonts w:ascii="Aptos" w:eastAsia="Aptos" w:hAnsi="Aptos" w:cs="Aptos"/>
                <w:color w:val="000000" w:themeColor="text1"/>
                <w:sz w:val="20"/>
                <w:szCs w:val="20"/>
                <w:lang w:val="es-ES" w:eastAsia="zh-CN"/>
              </w:rPr>
            </w:pPr>
          </w:p>
          <w:p w14:paraId="3E351558" w14:textId="7138018E" w:rsidR="009E0B86" w:rsidRPr="005E3D50" w:rsidRDefault="009E0B86" w:rsidP="009E0B86">
            <w:pPr>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Las iniciativas emprendidas en este país insular del Caribe han dado resultados medibles de recuperación ecológica de varias especies emblemáticas amenazadas de extinción. </w:t>
            </w:r>
            <w:r w:rsidR="00C82457" w:rsidRPr="005E3D50">
              <w:rPr>
                <w:rFonts w:ascii="Aptos" w:hAnsi="Aptos"/>
                <w:color w:val="000000" w:themeColor="text1"/>
                <w:sz w:val="20"/>
                <w:szCs w:val="20"/>
                <w:lang w:val="es-ES"/>
              </w:rPr>
              <w:t>Por ejemplo, l</w:t>
            </w:r>
            <w:r w:rsidRPr="005E3D50">
              <w:rPr>
                <w:rFonts w:ascii="Aptos" w:hAnsi="Aptos"/>
                <w:color w:val="000000" w:themeColor="text1"/>
                <w:sz w:val="20"/>
                <w:szCs w:val="20"/>
                <w:lang w:val="es-ES"/>
              </w:rPr>
              <w:t xml:space="preserve">a población del </w:t>
            </w:r>
            <w:proofErr w:type="spellStart"/>
            <w:r w:rsidRPr="005E3D50">
              <w:rPr>
                <w:rFonts w:ascii="Aptos" w:hAnsi="Aptos"/>
                <w:color w:val="000000" w:themeColor="text1"/>
                <w:sz w:val="20"/>
                <w:szCs w:val="20"/>
                <w:lang w:val="es-ES"/>
              </w:rPr>
              <w:t>geco</w:t>
            </w:r>
            <w:proofErr w:type="spellEnd"/>
            <w:r w:rsidRPr="005E3D50">
              <w:rPr>
                <w:rFonts w:ascii="Aptos" w:hAnsi="Aptos"/>
                <w:color w:val="000000" w:themeColor="text1"/>
                <w:sz w:val="20"/>
                <w:szCs w:val="20"/>
                <w:lang w:val="es-ES"/>
              </w:rPr>
              <w:t xml:space="preserve"> de la isla de Union (</w:t>
            </w:r>
            <w:proofErr w:type="spellStart"/>
            <w:r w:rsidRPr="005E3D50">
              <w:rPr>
                <w:rFonts w:ascii="Aptos" w:hAnsi="Aptos"/>
                <w:i/>
                <w:iCs/>
                <w:color w:val="000000" w:themeColor="text1"/>
                <w:sz w:val="20"/>
                <w:szCs w:val="20"/>
                <w:lang w:val="es-ES"/>
              </w:rPr>
              <w:t>Gonatodes</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
                <w:iCs/>
                <w:color w:val="000000" w:themeColor="text1"/>
                <w:sz w:val="20"/>
                <w:szCs w:val="20"/>
                <w:lang w:val="es-ES"/>
              </w:rPr>
              <w:t>daudini</w:t>
            </w:r>
            <w:proofErr w:type="spellEnd"/>
            <w:r w:rsidRPr="005E3D50">
              <w:rPr>
                <w:rFonts w:ascii="Aptos" w:hAnsi="Aptos"/>
                <w:color w:val="000000" w:themeColor="text1"/>
                <w:sz w:val="20"/>
                <w:szCs w:val="20"/>
                <w:lang w:val="es-ES"/>
              </w:rPr>
              <w:t>), en peligro crítico, ha aumentado un 80 % gracias a medidas específicas de protección y gestión del hábitat. Ejemplares de loros de San Vicente (</w:t>
            </w:r>
            <w:r w:rsidRPr="005E3D50">
              <w:rPr>
                <w:rFonts w:ascii="Aptos" w:hAnsi="Aptos"/>
                <w:i/>
                <w:iCs/>
                <w:color w:val="000000" w:themeColor="text1"/>
                <w:sz w:val="20"/>
                <w:szCs w:val="20"/>
                <w:lang w:val="es-ES"/>
              </w:rPr>
              <w:t xml:space="preserve">Amazona </w:t>
            </w:r>
            <w:proofErr w:type="spellStart"/>
            <w:r w:rsidRPr="005E3D50">
              <w:rPr>
                <w:rFonts w:ascii="Aptos" w:hAnsi="Aptos"/>
                <w:i/>
                <w:iCs/>
                <w:color w:val="000000" w:themeColor="text1"/>
                <w:sz w:val="20"/>
                <w:szCs w:val="20"/>
                <w:lang w:val="es-ES"/>
              </w:rPr>
              <w:t>guildingii</w:t>
            </w:r>
            <w:proofErr w:type="spellEnd"/>
            <w:r w:rsidRPr="005E3D50">
              <w:rPr>
                <w:rFonts w:ascii="Aptos" w:hAnsi="Aptos"/>
                <w:color w:val="000000" w:themeColor="text1"/>
                <w:sz w:val="20"/>
                <w:szCs w:val="20"/>
                <w:lang w:val="es-ES"/>
              </w:rPr>
              <w:t>) criados en cautiverio han sido repatriados con éxito para estabilizar las poblaciones silvestres, mientras que el número de anidaciones de tortugas marinas ha aumentado de forma constante a medida que se han reducido las actividades de caza ilegal. La regulación de la captura de especies marinas también ha facilitado la recuperación de los recursos de peces herbívoros y ha mejorado las condiciones ecológicas de los arrecifes de coral.</w:t>
            </w:r>
          </w:p>
          <w:p w14:paraId="5CC8F9AB" w14:textId="77777777" w:rsidR="009F06E1" w:rsidRPr="005E3D50" w:rsidRDefault="009F06E1" w:rsidP="00E7386A">
            <w:pPr>
              <w:rPr>
                <w:rFonts w:ascii="Aptos" w:eastAsia="Aptos" w:hAnsi="Aptos" w:cs="Aptos"/>
                <w:color w:val="000000" w:themeColor="text1"/>
                <w:sz w:val="20"/>
                <w:szCs w:val="20"/>
                <w:lang w:val="es-ES" w:eastAsia="zh-CN"/>
              </w:rPr>
            </w:pPr>
          </w:p>
          <w:p w14:paraId="319F2410" w14:textId="5420842D" w:rsidR="009F06E1" w:rsidRPr="005E3D50" w:rsidRDefault="00E7386A" w:rsidP="00E7386A">
            <w:pPr>
              <w:rPr>
                <w:rFonts w:ascii="Aptos" w:hAnsi="Aptos"/>
                <w:color w:val="000000" w:themeColor="text1"/>
                <w:sz w:val="20"/>
                <w:szCs w:val="20"/>
                <w:lang w:val="es-ES"/>
              </w:rPr>
            </w:pPr>
            <w:r w:rsidRPr="005E3D50">
              <w:rPr>
                <w:rFonts w:ascii="Aptos" w:hAnsi="Aptos"/>
                <w:color w:val="000000" w:themeColor="text1"/>
                <w:sz w:val="20"/>
                <w:szCs w:val="20"/>
                <w:lang w:val="es-ES"/>
              </w:rPr>
              <w:t xml:space="preserve">Múltiples interesados participan en la implementación de la conservación </w:t>
            </w:r>
            <w:r w:rsidR="004935D5" w:rsidRPr="005E3D50">
              <w:rPr>
                <w:rFonts w:ascii="Aptos" w:hAnsi="Aptos"/>
                <w:color w:val="000000" w:themeColor="text1"/>
                <w:sz w:val="20"/>
                <w:szCs w:val="20"/>
                <w:lang w:val="es-ES"/>
              </w:rPr>
              <w:t xml:space="preserve">a largo plazo </w:t>
            </w:r>
            <w:r w:rsidRPr="005E3D50">
              <w:rPr>
                <w:rFonts w:ascii="Aptos" w:hAnsi="Aptos"/>
                <w:color w:val="000000" w:themeColor="text1"/>
                <w:sz w:val="20"/>
                <w:szCs w:val="20"/>
                <w:lang w:val="es-ES"/>
              </w:rPr>
              <w:t xml:space="preserve">en los ecosistemas terrestres y marinos de San Vicente y las </w:t>
            </w:r>
            <w:proofErr w:type="gramStart"/>
            <w:r w:rsidRPr="005E3D50">
              <w:rPr>
                <w:rFonts w:ascii="Aptos" w:hAnsi="Aptos"/>
                <w:color w:val="000000" w:themeColor="text1"/>
                <w:sz w:val="20"/>
                <w:szCs w:val="20"/>
                <w:lang w:val="es-ES"/>
              </w:rPr>
              <w:t>Granadinas</w:t>
            </w:r>
            <w:proofErr w:type="gramEnd"/>
            <w:r w:rsidRPr="005E3D50">
              <w:rPr>
                <w:rFonts w:ascii="Aptos" w:hAnsi="Aptos"/>
                <w:color w:val="000000" w:themeColor="text1"/>
                <w:sz w:val="20"/>
                <w:szCs w:val="20"/>
                <w:lang w:val="es-ES"/>
              </w:rPr>
              <w:t>. Entre los principales organismos gubernamentales se encuentran el Departamento Forestal y la División de Pesca, que se encargan de la planificación, la aplicación de la ley y el seguimiento ecológico. Las comunidades locales llevan a cabo patrullas diarias y actividades de educación pública, con el apoyo de una ONG local</w:t>
            </w:r>
            <w:r w:rsidR="00AD645B" w:rsidRPr="005E3D50">
              <w:rPr>
                <w:rFonts w:ascii="Aptos" w:hAnsi="Aptos"/>
                <w:color w:val="000000" w:themeColor="text1"/>
                <w:sz w:val="20"/>
                <w:szCs w:val="20"/>
                <w:lang w:val="es-ES"/>
              </w:rPr>
              <w:t xml:space="preserve"> llamada</w:t>
            </w:r>
            <w:r w:rsidRPr="005E3D50">
              <w:rPr>
                <w:rFonts w:ascii="Aptos" w:hAnsi="Aptos"/>
                <w:color w:val="000000" w:themeColor="text1"/>
                <w:sz w:val="20"/>
                <w:szCs w:val="20"/>
                <w:lang w:val="es-ES"/>
              </w:rPr>
              <w:t xml:space="preserve"> </w:t>
            </w:r>
            <w:r w:rsidR="00C82457" w:rsidRPr="005E3D50">
              <w:rPr>
                <w:rFonts w:ascii="Aptos" w:hAnsi="Aptos"/>
                <w:color w:val="000000" w:themeColor="text1"/>
                <w:sz w:val="20"/>
                <w:szCs w:val="20"/>
                <w:lang w:val="es-ES"/>
              </w:rPr>
              <w:t>Union Island Environmental Alliance</w:t>
            </w:r>
            <w:r w:rsidRPr="005E3D50">
              <w:rPr>
                <w:rFonts w:ascii="Aptos" w:hAnsi="Aptos"/>
                <w:color w:val="000000" w:themeColor="text1"/>
                <w:sz w:val="20"/>
                <w:szCs w:val="20"/>
                <w:lang w:val="es-ES"/>
              </w:rPr>
              <w:t xml:space="preserve">. Los asociados internacionales, entre ellos </w:t>
            </w:r>
            <w:r w:rsidR="009E5EBC" w:rsidRPr="005E3D50">
              <w:rPr>
                <w:rFonts w:ascii="Aptos" w:hAnsi="Aptos"/>
                <w:color w:val="000000" w:themeColor="text1"/>
                <w:sz w:val="20"/>
                <w:szCs w:val="20"/>
                <w:lang w:val="es-ES"/>
              </w:rPr>
              <w:t>Fauna and Flora International y Saint Vincent and the Grenadines Environment Fund</w:t>
            </w:r>
            <w:r w:rsidRPr="005E3D50">
              <w:rPr>
                <w:rFonts w:ascii="Aptos" w:hAnsi="Aptos"/>
                <w:color w:val="000000" w:themeColor="text1"/>
                <w:sz w:val="20"/>
                <w:szCs w:val="20"/>
                <w:lang w:val="es-ES"/>
              </w:rPr>
              <w:t>, proporcionan orientación técnica y financiación sostenible.</w:t>
            </w:r>
          </w:p>
          <w:p w14:paraId="00622769" w14:textId="77777777" w:rsidR="00424DCE" w:rsidRPr="005E3D50" w:rsidRDefault="00424DCE" w:rsidP="009E0B86">
            <w:pPr>
              <w:rPr>
                <w:rFonts w:ascii="Aptos" w:eastAsia="Aptos" w:hAnsi="Aptos" w:cs="Aptos"/>
                <w:color w:val="000000" w:themeColor="text1"/>
                <w:sz w:val="20"/>
                <w:szCs w:val="20"/>
                <w:lang w:val="es-ES" w:eastAsia="zh-CN"/>
              </w:rPr>
            </w:pPr>
          </w:p>
          <w:p w14:paraId="6D898CA9" w14:textId="3FD2B31C" w:rsidR="00424DCE" w:rsidRPr="005E3D50" w:rsidRDefault="00424DCE" w:rsidP="00424DCE">
            <w:pPr>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Las medidas de conservación abarcan todo el territorio de San Vicente y las </w:t>
            </w:r>
            <w:proofErr w:type="gramStart"/>
            <w:r w:rsidRPr="005E3D50">
              <w:rPr>
                <w:rFonts w:ascii="Aptos" w:hAnsi="Aptos"/>
                <w:color w:val="000000" w:themeColor="text1"/>
                <w:sz w:val="20"/>
                <w:szCs w:val="20"/>
                <w:lang w:val="es-ES"/>
              </w:rPr>
              <w:t>Granadinas</w:t>
            </w:r>
            <w:proofErr w:type="gramEnd"/>
            <w:r w:rsidRPr="005E3D50">
              <w:rPr>
                <w:rFonts w:ascii="Aptos" w:hAnsi="Aptos"/>
                <w:color w:val="000000" w:themeColor="text1"/>
                <w:sz w:val="20"/>
                <w:szCs w:val="20"/>
                <w:lang w:val="es-ES"/>
              </w:rPr>
              <w:t xml:space="preserve"> y se centran en los bosques insulares, los bosques de montaña de las zonas altas, las playas costeras de anidación y los sistemas de arrecifes de coral alejados de la costa. Los proyectos abordan múltiples desafíos inherentes a la conservación que enfrenta San Vicente y las </w:t>
            </w:r>
            <w:proofErr w:type="gramStart"/>
            <w:r w:rsidRPr="005E3D50">
              <w:rPr>
                <w:rFonts w:ascii="Aptos" w:hAnsi="Aptos"/>
                <w:color w:val="000000" w:themeColor="text1"/>
                <w:sz w:val="20"/>
                <w:szCs w:val="20"/>
                <w:lang w:val="es-ES"/>
              </w:rPr>
              <w:t>Granadinas</w:t>
            </w:r>
            <w:proofErr w:type="gramEnd"/>
            <w:r w:rsidRPr="005E3D50">
              <w:rPr>
                <w:rFonts w:ascii="Aptos" w:hAnsi="Aptos"/>
                <w:color w:val="000000" w:themeColor="text1"/>
                <w:sz w:val="20"/>
                <w:szCs w:val="20"/>
                <w:lang w:val="es-ES"/>
              </w:rPr>
              <w:t xml:space="preserve">, entre ellos la inestabilidad de la financiación para la conservación y la dependencia excesiva de subvenciones externas, la aplicación deficiente de la ley, la intensa caza furtiva ilegal, el tráfico de fauna y flora silvestres y la pesca no reglamentada. Con el fin de resolver estos problemas, el Estado ha aplicado prohibiciones legales específicas y ha formulado reglamentos normalizados para la gestión de las capturas incidentales. También ha implementado planes de recuperación de especies, mecanismos de patrullaje comunitario y proyectos de restauración artificial de corales. El reconocimiento del equipo de guardaparques de Union Island en los Premios Internacionales de Guardaparques de la </w:t>
            </w:r>
            <w:r w:rsidRPr="005E3D50">
              <w:rPr>
                <w:rFonts w:ascii="Aptos" w:hAnsi="Aptos"/>
                <w:color w:val="000000" w:themeColor="text1"/>
                <w:sz w:val="20"/>
                <w:szCs w:val="20"/>
                <w:lang w:val="es-ES"/>
              </w:rPr>
              <w:lastRenderedPageBreak/>
              <w:t>UICN ha corroborado la eficacia de la conservación centrada en las comunidades, reforzando aún más este modelo como ejemplo a seguir en otros pequeños Estados insulares en desarrollo.</w:t>
            </w:r>
          </w:p>
          <w:p w14:paraId="44AE2A58" w14:textId="77777777" w:rsidR="00D65DDB" w:rsidRPr="005E3D50" w:rsidRDefault="00D65DDB" w:rsidP="00E7386A">
            <w:pPr>
              <w:rPr>
                <w:rFonts w:ascii="Aptos" w:eastAsia="Aptos" w:hAnsi="Aptos" w:cs="Aptos"/>
                <w:color w:val="000000" w:themeColor="text1"/>
                <w:sz w:val="20"/>
                <w:szCs w:val="20"/>
                <w:lang w:val="es-ES" w:eastAsia="zh-CN"/>
              </w:rPr>
            </w:pPr>
          </w:p>
          <w:p w14:paraId="2753A5E9" w14:textId="771F09C5" w:rsidR="00D65DDB" w:rsidRPr="005E3D50" w:rsidRDefault="00D65DDB" w:rsidP="00E7386A">
            <w:pPr>
              <w:rPr>
                <w:rFonts w:ascii="Aptos" w:eastAsia="Aptos" w:hAnsi="Aptos" w:cs="Aptos"/>
                <w:color w:val="000000" w:themeColor="text1"/>
                <w:sz w:val="20"/>
                <w:szCs w:val="20"/>
                <w:lang w:val="es-ES"/>
              </w:rPr>
            </w:pPr>
            <w:r w:rsidRPr="005E3D50">
              <w:rPr>
                <w:rFonts w:ascii="Aptos" w:hAnsi="Aptos"/>
                <w:i/>
                <w:color w:val="000000" w:themeColor="text1"/>
                <w:sz w:val="20"/>
                <w:szCs w:val="20"/>
                <w:lang w:val="es-ES"/>
              </w:rPr>
              <w:t xml:space="preserve">Metas pertinentes: </w:t>
            </w:r>
            <w:r w:rsidRPr="005E3D50">
              <w:rPr>
                <w:rFonts w:ascii="Aptos" w:hAnsi="Aptos"/>
                <w:color w:val="000000" w:themeColor="text1"/>
                <w:sz w:val="20"/>
                <w:szCs w:val="20"/>
                <w:lang w:val="es-ES"/>
              </w:rPr>
              <w:t>4, 5, 19</w:t>
            </w:r>
            <w:r w:rsidRPr="005E3D50">
              <w:rPr>
                <w:rFonts w:ascii="Aptos" w:hAnsi="Aptos"/>
                <w:iCs/>
                <w:color w:val="000000" w:themeColor="text1"/>
                <w:sz w:val="20"/>
                <w:szCs w:val="20"/>
                <w:lang w:val="es-ES"/>
              </w:rPr>
              <w:t xml:space="preserve"> y </w:t>
            </w:r>
            <w:r w:rsidRPr="005E3D50">
              <w:rPr>
                <w:rFonts w:ascii="Aptos" w:hAnsi="Aptos"/>
                <w:color w:val="000000" w:themeColor="text1"/>
                <w:sz w:val="20"/>
                <w:szCs w:val="20"/>
                <w:lang w:val="es-ES"/>
              </w:rPr>
              <w:t>22</w:t>
            </w:r>
            <w:r w:rsidRPr="005E3D50">
              <w:rPr>
                <w:rFonts w:ascii="Aptos" w:hAnsi="Aptos"/>
                <w:iCs/>
                <w:color w:val="000000" w:themeColor="text1"/>
                <w:sz w:val="20"/>
                <w:szCs w:val="20"/>
                <w:lang w:val="es-ES"/>
              </w:rPr>
              <w:t>.</w:t>
            </w:r>
          </w:p>
          <w:p w14:paraId="25982F50" w14:textId="4D8E2CED" w:rsidR="009D5528" w:rsidRPr="005E3D50" w:rsidRDefault="009D5528" w:rsidP="00E7386A">
            <w:pPr>
              <w:rPr>
                <w:rFonts w:ascii="Aptos" w:eastAsia="Aptos" w:hAnsi="Aptos" w:cs="Aptos"/>
                <w:color w:val="000000" w:themeColor="text1"/>
                <w:sz w:val="20"/>
                <w:szCs w:val="20"/>
                <w:lang w:val="es-ES"/>
              </w:rPr>
            </w:pPr>
            <w:r w:rsidRPr="005E3D50">
              <w:rPr>
                <w:rFonts w:ascii="Aptos" w:hAnsi="Aptos"/>
                <w:i/>
                <w:color w:val="000000" w:themeColor="text1"/>
                <w:sz w:val="20"/>
                <w:szCs w:val="20"/>
                <w:lang w:val="es-ES"/>
              </w:rPr>
              <w:t xml:space="preserve">Fuente: </w:t>
            </w:r>
            <w:r w:rsidRPr="005E3D50">
              <w:rPr>
                <w:rFonts w:ascii="Aptos" w:hAnsi="Aptos"/>
                <w:color w:val="000000" w:themeColor="text1"/>
                <w:sz w:val="20"/>
                <w:szCs w:val="20"/>
                <w:lang w:val="es-ES"/>
              </w:rPr>
              <w:t xml:space="preserve">San Vicente y las </w:t>
            </w:r>
            <w:proofErr w:type="gramStart"/>
            <w:r w:rsidRPr="005E3D50">
              <w:rPr>
                <w:rFonts w:ascii="Aptos" w:hAnsi="Aptos"/>
                <w:color w:val="000000" w:themeColor="text1"/>
                <w:sz w:val="20"/>
                <w:szCs w:val="20"/>
                <w:lang w:val="es-ES"/>
              </w:rPr>
              <w:t>Granadinas</w:t>
            </w:r>
            <w:proofErr w:type="gramEnd"/>
            <w:r w:rsidRPr="005E3D50">
              <w:rPr>
                <w:rFonts w:ascii="Aptos" w:hAnsi="Aptos"/>
                <w:color w:val="000000" w:themeColor="text1"/>
                <w:sz w:val="20"/>
                <w:szCs w:val="20"/>
                <w:lang w:val="es-ES"/>
              </w:rPr>
              <w:t>, séptimo informe nacional presentado al Convenio.</w:t>
            </w:r>
          </w:p>
          <w:p w14:paraId="203384D7" w14:textId="5628BA65" w:rsidR="00B219AE" w:rsidRPr="005E3D50" w:rsidRDefault="00B219AE" w:rsidP="009A6756">
            <w:pPr>
              <w:rPr>
                <w:lang w:val="es-ES"/>
              </w:rPr>
            </w:pPr>
          </w:p>
        </w:tc>
      </w:tr>
    </w:tbl>
    <w:p w14:paraId="4DDC1BB3" w14:textId="77777777" w:rsidR="005652DA" w:rsidRPr="005E3D50" w:rsidRDefault="005652DA" w:rsidP="006E369A">
      <w:pPr>
        <w:rPr>
          <w:lang w:val="es-ES"/>
        </w:rPr>
      </w:pPr>
    </w:p>
    <w:tbl>
      <w:tblPr>
        <w:tblStyle w:val="TableGrid"/>
        <w:tblW w:w="0" w:type="auto"/>
        <w:tblLook w:val="04A0" w:firstRow="1" w:lastRow="0" w:firstColumn="1" w:lastColumn="0" w:noHBand="0" w:noVBand="1"/>
      </w:tblPr>
      <w:tblGrid>
        <w:gridCol w:w="9060"/>
      </w:tblGrid>
      <w:tr w:rsidR="00F60453" w:rsidRPr="005E3D50" w14:paraId="6287E8A6" w14:textId="77777777" w:rsidTr="00F60453">
        <w:trPr>
          <w:trHeight w:val="379"/>
        </w:trPr>
        <w:tc>
          <w:tcPr>
            <w:tcW w:w="9060" w:type="dxa"/>
            <w:shd w:val="clear" w:color="auto" w:fill="D1D1D1" w:themeFill="background2" w:themeFillShade="E6"/>
          </w:tcPr>
          <w:p w14:paraId="1FB8C8C7" w14:textId="1100313F" w:rsidR="00202AFA" w:rsidRPr="005E3D50" w:rsidRDefault="00202AFA" w:rsidP="00202AFA">
            <w:pPr>
              <w:pStyle w:val="Caption"/>
              <w:keepNext/>
              <w:rPr>
                <w:i w:val="0"/>
                <w:iCs w:val="0"/>
                <w:sz w:val="20"/>
                <w:szCs w:val="20"/>
                <w:lang w:val="es-ES"/>
              </w:rPr>
            </w:pPr>
            <w:r w:rsidRPr="005E3D50">
              <w:rPr>
                <w:i w:val="0"/>
                <w:iCs w:val="0"/>
                <w:sz w:val="20"/>
                <w:szCs w:val="20"/>
                <w:lang w:val="es-ES"/>
              </w:rPr>
              <w:lastRenderedPageBreak/>
              <w:t xml:space="preserve">Recuadro 17 </w:t>
            </w:r>
          </w:p>
          <w:p w14:paraId="71F71B06" w14:textId="0EFB3C29" w:rsidR="00F60453" w:rsidRPr="005E3D50" w:rsidRDefault="00202AFA" w:rsidP="006E369A">
            <w:pPr>
              <w:rPr>
                <w:b/>
                <w:sz w:val="20"/>
                <w:szCs w:val="20"/>
                <w:lang w:val="es-ES"/>
              </w:rPr>
            </w:pPr>
            <w:r w:rsidRPr="005E3D50">
              <w:rPr>
                <w:rFonts w:ascii="Aptos" w:hAnsi="Aptos"/>
                <w:b/>
                <w:bCs/>
                <w:color w:val="000000"/>
                <w:sz w:val="20"/>
                <w:szCs w:val="20"/>
                <w:lang w:val="es-ES"/>
              </w:rPr>
              <w:t>Modelo de gobernanza basado en seguros para los conflictos entre los seres humanos y las especies silvestres en China</w:t>
            </w:r>
          </w:p>
          <w:p w14:paraId="614BB45C" w14:textId="77777777" w:rsidR="00C7362C" w:rsidRPr="005E3D50" w:rsidRDefault="00C7362C" w:rsidP="00455D2B">
            <w:pPr>
              <w:autoSpaceDE w:val="0"/>
              <w:autoSpaceDN w:val="0"/>
              <w:adjustRightInd w:val="0"/>
              <w:spacing w:after="319" w:line="276" w:lineRule="auto"/>
              <w:rPr>
                <w:rFonts w:cs="Helvetica Neue"/>
                <w:color w:val="191919"/>
                <w:kern w:val="0"/>
                <w:sz w:val="22"/>
                <w:szCs w:val="22"/>
                <w:lang w:val="es-ES"/>
              </w:rPr>
            </w:pPr>
          </w:p>
          <w:p w14:paraId="0A95CC2A" w14:textId="1682E435" w:rsidR="00992D3C" w:rsidRPr="005E3D50" w:rsidRDefault="00992D3C" w:rsidP="00992D3C">
            <w:pPr>
              <w:autoSpaceDE w:val="0"/>
              <w:autoSpaceDN w:val="0"/>
              <w:adjustRightInd w:val="0"/>
              <w:spacing w:after="319" w:line="276" w:lineRule="auto"/>
              <w:rPr>
                <w:rFonts w:cs="Helvetica Neue"/>
                <w:color w:val="191919"/>
                <w:kern w:val="0"/>
                <w:sz w:val="20"/>
                <w:szCs w:val="20"/>
                <w:lang w:val="es-ES"/>
              </w:rPr>
            </w:pPr>
            <w:r w:rsidRPr="005E3D50">
              <w:rPr>
                <w:color w:val="191919"/>
                <w:sz w:val="20"/>
                <w:szCs w:val="20"/>
                <w:lang w:val="es-ES"/>
              </w:rPr>
              <w:t xml:space="preserve">Los conflictos entre los seres humanos y las especies silvestres han surgido como un importante desafío de gobernanza asociado a los esfuerzos de conservación de las especies silvestres en muchos países. A medida que aumentan las poblaciones de especies protegidas, los daños a los cultivos, al ganado y a la propiedad pueden generar resistencia a nivel local </w:t>
            </w:r>
            <w:r w:rsidR="0073238B" w:rsidRPr="005E3D50">
              <w:rPr>
                <w:color w:val="191919"/>
                <w:sz w:val="20"/>
                <w:szCs w:val="20"/>
                <w:lang w:val="es-ES"/>
              </w:rPr>
              <w:t>contra</w:t>
            </w:r>
            <w:r w:rsidRPr="005E3D50">
              <w:rPr>
                <w:color w:val="191919"/>
                <w:sz w:val="20"/>
                <w:szCs w:val="20"/>
                <w:lang w:val="es-ES"/>
              </w:rPr>
              <w:t xml:space="preserve"> las medidas de conservación y socavar los resultados de la conservación a largo plazo. En la provincia de Yunnan (China), se ha establecido un modelo financiero y técnico innovador para mitigar los conflictos entre los seres humanos y las especies silvestres. </w:t>
            </w:r>
          </w:p>
          <w:p w14:paraId="01660533" w14:textId="68557582" w:rsidR="00553CCD" w:rsidRPr="005E3D50" w:rsidRDefault="00992D3C" w:rsidP="00455D2B">
            <w:pPr>
              <w:autoSpaceDE w:val="0"/>
              <w:autoSpaceDN w:val="0"/>
              <w:adjustRightInd w:val="0"/>
              <w:spacing w:after="319" w:line="276" w:lineRule="auto"/>
              <w:rPr>
                <w:rFonts w:eastAsia="PingFang SC" w:cs="Helvetica Neue"/>
                <w:color w:val="000000" w:themeColor="text1"/>
                <w:kern w:val="0"/>
                <w:sz w:val="20"/>
                <w:szCs w:val="20"/>
                <w:lang w:val="es-ES"/>
              </w:rPr>
            </w:pPr>
            <w:r w:rsidRPr="005E3D50">
              <w:rPr>
                <w:color w:val="191919"/>
                <w:sz w:val="20"/>
                <w:szCs w:val="20"/>
                <w:lang w:val="es-ES"/>
              </w:rPr>
              <w:t>La provincia de Yunnan alberga una biodiversidad excepcional, pero se enfrenta a graves presiones derivadas de la superposición entre los asentamientos humanos y los hábitats de las especies silvestres, con frecuentes daños causados por elefantes asiáticos, osos negros, jabalíes, macacos y aves silvestres. </w:t>
            </w:r>
            <w:r w:rsidRPr="005E3D50">
              <w:rPr>
                <w:color w:val="000000" w:themeColor="text1"/>
                <w:sz w:val="20"/>
                <w:szCs w:val="20"/>
                <w:lang w:val="es-ES"/>
              </w:rPr>
              <w:t xml:space="preserve">Desde 1998, la provincia de Yunnan ha aumentado continuamente las asignaciones financieras para proteger los intereses de los residentes locales, elevando gradualmente los niveles de indemnización a fin de proporcionar una compensación económica adecuada a las personas afectadas por los daños causados por las especies silvestres. Esta política ha contribuido a mitigar los conflictos entre los seres humanos y las especies silvestres al resarcir las pérdidas causadas por estas y ha logrado mantener el apoyo de la población </w:t>
            </w:r>
            <w:r w:rsidR="0073238B" w:rsidRPr="005E3D50">
              <w:rPr>
                <w:color w:val="000000" w:themeColor="text1"/>
                <w:sz w:val="20"/>
                <w:szCs w:val="20"/>
                <w:lang w:val="es-ES"/>
              </w:rPr>
              <w:t>a</w:t>
            </w:r>
            <w:r w:rsidRPr="005E3D50">
              <w:rPr>
                <w:color w:val="000000" w:themeColor="text1"/>
                <w:sz w:val="20"/>
                <w:szCs w:val="20"/>
                <w:lang w:val="es-ES"/>
              </w:rPr>
              <w:t xml:space="preserve"> la conservación de la biodiversidad.</w:t>
            </w:r>
          </w:p>
          <w:p w14:paraId="41E2209C" w14:textId="55058BCD" w:rsidR="00553CCD" w:rsidRPr="005E3D50" w:rsidRDefault="00553CCD" w:rsidP="00455D2B">
            <w:pPr>
              <w:autoSpaceDE w:val="0"/>
              <w:autoSpaceDN w:val="0"/>
              <w:adjustRightInd w:val="0"/>
              <w:spacing w:after="319" w:line="276" w:lineRule="auto"/>
              <w:rPr>
                <w:rFonts w:eastAsia="PingFang SC" w:cs="Helvetica Neue"/>
                <w:color w:val="191919"/>
                <w:kern w:val="0"/>
                <w:sz w:val="20"/>
                <w:szCs w:val="20"/>
                <w:lang w:val="es-ES"/>
              </w:rPr>
            </w:pPr>
            <w:r w:rsidRPr="005E3D50">
              <w:rPr>
                <w:color w:val="191919"/>
                <w:sz w:val="20"/>
                <w:szCs w:val="20"/>
                <w:lang w:val="es-ES"/>
              </w:rPr>
              <w:t>Con el fin de conciliar aún más la conservación de las especies silvestres con la seguridad de los medios de vida locales, Yunnan fue pionera en el establecimiento de un sistema de seguro</w:t>
            </w:r>
            <w:r w:rsidR="00260DA6" w:rsidRPr="005E3D50">
              <w:rPr>
                <w:color w:val="191919"/>
                <w:sz w:val="20"/>
                <w:szCs w:val="20"/>
                <w:lang w:val="es-ES"/>
              </w:rPr>
              <w:t>s</w:t>
            </w:r>
            <w:r w:rsidRPr="005E3D50">
              <w:rPr>
                <w:color w:val="191919"/>
                <w:sz w:val="20"/>
                <w:szCs w:val="20"/>
                <w:lang w:val="es-ES"/>
              </w:rPr>
              <w:t xml:space="preserve"> de responsabilidad pública por daños causados por las especies silvestres, financiado por el Gobierno y con cobertura total, que ofrece una indemnización oportuna por las pérdidas relacionadas con las especies silvestres. En 2010 se puso en marcha un programa piloto de seguros en la Prefectura Autónoma </w:t>
            </w:r>
            <w:proofErr w:type="spellStart"/>
            <w:r w:rsidRPr="005E3D50">
              <w:rPr>
                <w:color w:val="191919"/>
                <w:sz w:val="20"/>
                <w:szCs w:val="20"/>
                <w:lang w:val="es-ES"/>
              </w:rPr>
              <w:t>Dai</w:t>
            </w:r>
            <w:proofErr w:type="spellEnd"/>
            <w:r w:rsidRPr="005E3D50">
              <w:rPr>
                <w:color w:val="191919"/>
                <w:sz w:val="20"/>
                <w:szCs w:val="20"/>
                <w:lang w:val="es-ES"/>
              </w:rPr>
              <w:t xml:space="preserve"> de </w:t>
            </w:r>
            <w:proofErr w:type="spellStart"/>
            <w:r w:rsidRPr="005E3D50">
              <w:rPr>
                <w:color w:val="191919"/>
                <w:sz w:val="20"/>
                <w:szCs w:val="20"/>
                <w:lang w:val="es-ES"/>
              </w:rPr>
              <w:t>Xishuangbanna</w:t>
            </w:r>
            <w:proofErr w:type="spellEnd"/>
            <w:r w:rsidRPr="005E3D50">
              <w:rPr>
                <w:color w:val="191919"/>
                <w:sz w:val="20"/>
                <w:szCs w:val="20"/>
                <w:lang w:val="es-ES"/>
              </w:rPr>
              <w:t xml:space="preserve"> y el Condado Autónomo Va de </w:t>
            </w:r>
            <w:proofErr w:type="spellStart"/>
            <w:r w:rsidRPr="005E3D50">
              <w:rPr>
                <w:color w:val="191919"/>
                <w:sz w:val="20"/>
                <w:szCs w:val="20"/>
                <w:lang w:val="es-ES"/>
              </w:rPr>
              <w:t>Cangyuan</w:t>
            </w:r>
            <w:proofErr w:type="spellEnd"/>
            <w:r w:rsidRPr="005E3D50">
              <w:rPr>
                <w:color w:val="191919"/>
                <w:sz w:val="20"/>
                <w:szCs w:val="20"/>
                <w:lang w:val="es-ES"/>
              </w:rPr>
              <w:t xml:space="preserve">. La iniciativa pasó a ser un proyecto prioritario a nivel provincial en 2014 y logró la cobertura de las 16 prefecturas y los 129 condados ese mismo año. Durante la década comprendida entre 2014 y 2024, el monto total de las primas alcanzó los 764 millones de yuanes y los pagos de indemnizaciones ascendieron a 667 millones de yuanes. </w:t>
            </w:r>
          </w:p>
          <w:p w14:paraId="5B95487D" w14:textId="708C091F" w:rsidR="00992D3C" w:rsidRPr="005E3D50" w:rsidRDefault="00992D3C" w:rsidP="00992D3C">
            <w:pPr>
              <w:autoSpaceDE w:val="0"/>
              <w:autoSpaceDN w:val="0"/>
              <w:adjustRightInd w:val="0"/>
              <w:spacing w:after="319" w:line="276" w:lineRule="auto"/>
              <w:rPr>
                <w:rFonts w:eastAsia="PingFang SC" w:cs="Helvetica Neue"/>
                <w:color w:val="191919"/>
                <w:kern w:val="0"/>
                <w:sz w:val="20"/>
                <w:szCs w:val="20"/>
                <w:lang w:val="es-ES"/>
              </w:rPr>
            </w:pPr>
            <w:r w:rsidRPr="005E3D50">
              <w:rPr>
                <w:color w:val="191919"/>
                <w:sz w:val="20"/>
                <w:szCs w:val="20"/>
                <w:lang w:val="es-ES"/>
              </w:rPr>
              <w:t xml:space="preserve">Las actualizaciones institucionales y técnicas perfeccionaron aún más la gestión de los conflictos, y las nuevas medidas adoptadas en 2025 unificaron los criterios de indemnización y sentaron las bases jurídicas para la cobertura de seguros. A fin de agilizar los servicios, la Administración de Silvicultura y Praderas de Yunnan colaboró con la China Pacific </w:t>
            </w:r>
            <w:proofErr w:type="spellStart"/>
            <w:r w:rsidRPr="005E3D50">
              <w:rPr>
                <w:color w:val="191919"/>
                <w:sz w:val="20"/>
                <w:szCs w:val="20"/>
                <w:lang w:val="es-ES"/>
              </w:rPr>
              <w:t>Insurance</w:t>
            </w:r>
            <w:proofErr w:type="spellEnd"/>
            <w:r w:rsidRPr="005E3D50">
              <w:rPr>
                <w:color w:val="191919"/>
                <w:sz w:val="20"/>
                <w:szCs w:val="20"/>
                <w:lang w:val="es-ES"/>
              </w:rPr>
              <w:t xml:space="preserve"> Company en la creación de “</w:t>
            </w:r>
            <w:proofErr w:type="spellStart"/>
            <w:r w:rsidRPr="005E3D50">
              <w:rPr>
                <w:color w:val="191919"/>
                <w:sz w:val="20"/>
                <w:szCs w:val="20"/>
                <w:lang w:val="es-ES"/>
              </w:rPr>
              <w:t>Aixiangsui</w:t>
            </w:r>
            <w:proofErr w:type="spellEnd"/>
            <w:r w:rsidRPr="005E3D50">
              <w:rPr>
                <w:color w:val="191919"/>
                <w:sz w:val="20"/>
                <w:szCs w:val="20"/>
                <w:lang w:val="es-ES"/>
              </w:rPr>
              <w:t>”, una plataforma “inteligente” de seguro</w:t>
            </w:r>
            <w:r w:rsidR="00682C6A" w:rsidRPr="005E3D50">
              <w:rPr>
                <w:color w:val="191919"/>
                <w:sz w:val="20"/>
                <w:szCs w:val="20"/>
                <w:lang w:val="es-ES"/>
              </w:rPr>
              <w:t>s</w:t>
            </w:r>
            <w:r w:rsidRPr="005E3D50">
              <w:rPr>
                <w:color w:val="191919"/>
                <w:sz w:val="20"/>
                <w:szCs w:val="20"/>
                <w:lang w:val="es-ES"/>
              </w:rPr>
              <w:t xml:space="preserve"> de responsabilidad pública para la gestión de los conflictos con las especies silvestres, destinada a reducir el tiempo de tramitación de las reclamaciones, pasando de liquidaciones anuales a indemnizaciones prácticamente inmediatas mediante notificaciones digitales y verificación remota.</w:t>
            </w:r>
          </w:p>
          <w:p w14:paraId="2AD18C53" w14:textId="63D9D19A" w:rsidR="005472AF" w:rsidRPr="005E3D50" w:rsidRDefault="00992D3C" w:rsidP="00992D3C">
            <w:pPr>
              <w:autoSpaceDE w:val="0"/>
              <w:autoSpaceDN w:val="0"/>
              <w:adjustRightInd w:val="0"/>
              <w:spacing w:line="276" w:lineRule="auto"/>
              <w:rPr>
                <w:rFonts w:eastAsia="PingFang SC" w:cs="Helvetica Neue"/>
                <w:color w:val="191919"/>
                <w:kern w:val="0"/>
                <w:sz w:val="20"/>
                <w:szCs w:val="20"/>
                <w:lang w:val="es-ES"/>
              </w:rPr>
            </w:pPr>
            <w:r w:rsidRPr="005E3D50">
              <w:rPr>
                <w:color w:val="191919"/>
                <w:sz w:val="20"/>
                <w:szCs w:val="20"/>
                <w:lang w:val="es-ES"/>
              </w:rPr>
              <w:lastRenderedPageBreak/>
              <w:t xml:space="preserve">Esta intervención en los conflictos basada en mecanismos de mercado ha reducido el antagonismo entre la población local y las especies silvestres protegidas, eliminando la matanza en represalia de especies amenazadas como los elefantes asiáticos y los osos negros. Al proteger los bienes y la seguridad personal mediante indemnizaciones oportunas y normalizadas, el mecanismo reduce las tensiones entre los seres humanos y las especies silvestres, genera la aceptación social de la conservación de las especies y logra un triple beneficio para la administración pública, las </w:t>
            </w:r>
            <w:r w:rsidR="00B83082" w:rsidRPr="005E3D50">
              <w:rPr>
                <w:color w:val="191919"/>
                <w:sz w:val="20"/>
                <w:szCs w:val="20"/>
                <w:lang w:val="es-ES"/>
              </w:rPr>
              <w:t>empresas de seguros</w:t>
            </w:r>
            <w:r w:rsidRPr="005E3D50">
              <w:rPr>
                <w:color w:val="191919"/>
                <w:sz w:val="20"/>
                <w:szCs w:val="20"/>
                <w:lang w:val="es-ES"/>
              </w:rPr>
              <w:t xml:space="preserve"> y las comunidades locales.</w:t>
            </w:r>
          </w:p>
          <w:p w14:paraId="33675580" w14:textId="77777777" w:rsidR="005472AF" w:rsidRPr="005E3D50" w:rsidRDefault="005472AF" w:rsidP="00992D3C">
            <w:pPr>
              <w:autoSpaceDE w:val="0"/>
              <w:autoSpaceDN w:val="0"/>
              <w:adjustRightInd w:val="0"/>
              <w:spacing w:line="276" w:lineRule="auto"/>
              <w:rPr>
                <w:rFonts w:eastAsia="PingFang SC" w:cs="Helvetica Neue"/>
                <w:color w:val="191919"/>
                <w:kern w:val="0"/>
                <w:sz w:val="20"/>
                <w:szCs w:val="20"/>
                <w:lang w:val="es-ES"/>
              </w:rPr>
            </w:pPr>
          </w:p>
          <w:p w14:paraId="37C88620" w14:textId="7D2CC6E8" w:rsidR="00553CCD" w:rsidRPr="005E3D50" w:rsidRDefault="00280ABD" w:rsidP="00455D2B">
            <w:pPr>
              <w:autoSpaceDE w:val="0"/>
              <w:autoSpaceDN w:val="0"/>
              <w:adjustRightInd w:val="0"/>
              <w:spacing w:line="276" w:lineRule="auto"/>
              <w:rPr>
                <w:rFonts w:eastAsia="PingFang SC" w:cs="Helvetica Neue"/>
                <w:color w:val="191919"/>
                <w:kern w:val="0"/>
                <w:sz w:val="20"/>
                <w:szCs w:val="20"/>
                <w:lang w:val="es-ES"/>
              </w:rPr>
            </w:pPr>
            <w:r w:rsidRPr="005E3D50">
              <w:rPr>
                <w:i/>
                <w:color w:val="191919"/>
                <w:sz w:val="20"/>
                <w:szCs w:val="20"/>
                <w:lang w:val="es-ES"/>
              </w:rPr>
              <w:t>Metas pertinentes:</w:t>
            </w:r>
            <w:r w:rsidRPr="005E3D50">
              <w:rPr>
                <w:color w:val="191919"/>
                <w:sz w:val="20"/>
                <w:szCs w:val="20"/>
                <w:lang w:val="es-ES"/>
              </w:rPr>
              <w:t xml:space="preserve"> 4, 9, 11 y 19.</w:t>
            </w:r>
          </w:p>
          <w:p w14:paraId="37DFEB7C" w14:textId="12ED557E" w:rsidR="007B13BD" w:rsidRPr="005E3D50" w:rsidRDefault="00ED5DF2" w:rsidP="00E40BDA">
            <w:pPr>
              <w:spacing w:line="276" w:lineRule="auto"/>
              <w:rPr>
                <w:rFonts w:eastAsia="PingFang SC" w:cs="Arial"/>
                <w:color w:val="212223"/>
                <w:kern w:val="0"/>
                <w:sz w:val="20"/>
                <w:szCs w:val="20"/>
                <w:lang w:val="es-ES"/>
              </w:rPr>
            </w:pPr>
            <w:r w:rsidRPr="005E3D50">
              <w:rPr>
                <w:i/>
                <w:color w:val="212223"/>
                <w:sz w:val="20"/>
                <w:szCs w:val="20"/>
                <w:lang w:val="es-ES"/>
              </w:rPr>
              <w:t>Fuente:</w:t>
            </w:r>
            <w:r w:rsidRPr="005E3D50">
              <w:rPr>
                <w:color w:val="212223"/>
                <w:sz w:val="20"/>
                <w:szCs w:val="20"/>
                <w:lang w:val="es-ES"/>
              </w:rPr>
              <w:t xml:space="preserve"> China, séptimo informe nacional presentado al Convenio.</w:t>
            </w:r>
          </w:p>
          <w:p w14:paraId="030B45F8" w14:textId="73E1E86F" w:rsidR="00ED5DF2" w:rsidRPr="005E3D50" w:rsidRDefault="00ED5DF2" w:rsidP="00E40BDA">
            <w:pPr>
              <w:spacing w:line="276" w:lineRule="auto"/>
              <w:rPr>
                <w:sz w:val="22"/>
                <w:szCs w:val="22"/>
                <w:lang w:val="es-ES"/>
              </w:rPr>
            </w:pPr>
          </w:p>
        </w:tc>
      </w:tr>
    </w:tbl>
    <w:p w14:paraId="1AC4460F" w14:textId="77777777" w:rsidR="00F60453" w:rsidRPr="005E3D50" w:rsidRDefault="00F60453" w:rsidP="006E369A">
      <w:pPr>
        <w:rPr>
          <w:lang w:val="es-ES"/>
        </w:rPr>
      </w:pPr>
    </w:p>
    <w:p w14:paraId="5FFB9014" w14:textId="77777777" w:rsidR="003B2A78" w:rsidRPr="005E3D50" w:rsidRDefault="003B2A78" w:rsidP="006E369A">
      <w:pPr>
        <w:rPr>
          <w:lang w:val="es-ES"/>
        </w:rPr>
      </w:pPr>
    </w:p>
    <w:p w14:paraId="37622B5B" w14:textId="15ECBA74" w:rsidR="006E369A" w:rsidRPr="005E3D50" w:rsidRDefault="006E369A" w:rsidP="006E369A">
      <w:pPr>
        <w:pStyle w:val="Heading6"/>
        <w:rPr>
          <w:lang w:val="es-ES"/>
        </w:rPr>
      </w:pPr>
      <w:bookmarkStart w:id="196" w:name="_Toc235821097"/>
      <w:r w:rsidRPr="005E3D50">
        <w:rPr>
          <w:lang w:val="es-ES"/>
        </w:rPr>
        <w:t>D</w:t>
      </w:r>
      <w:r w:rsidR="009969C8">
        <w:rPr>
          <w:lang w:val="es-ES"/>
        </w:rPr>
        <w:t>ificultades</w:t>
      </w:r>
      <w:bookmarkEnd w:id="196"/>
    </w:p>
    <w:p w14:paraId="4A6A158D" w14:textId="77777777" w:rsidR="00EB2DD4" w:rsidRPr="005E3D50" w:rsidRDefault="00EB2DD4" w:rsidP="00EB2DD4">
      <w:pPr>
        <w:rPr>
          <w:lang w:val="es-ES"/>
        </w:rPr>
      </w:pPr>
    </w:p>
    <w:p w14:paraId="62F0E361" w14:textId="06D8F8B8" w:rsidR="00EB2DD4" w:rsidRPr="005E3D50" w:rsidRDefault="00EB2DD4" w:rsidP="00EB2DD4">
      <w:pPr>
        <w:rPr>
          <w:lang w:val="es-ES"/>
        </w:rPr>
      </w:pPr>
      <w:r w:rsidRPr="005E3D50">
        <w:rPr>
          <w:lang w:val="es-ES"/>
        </w:rPr>
        <w:t>Muchas Partes señalan la insuficiencia de los recursos financieros para la protección de las especies como un</w:t>
      </w:r>
      <w:r w:rsidR="00595889">
        <w:rPr>
          <w:lang w:val="es-ES"/>
        </w:rPr>
        <w:t>a</w:t>
      </w:r>
      <w:r w:rsidRPr="005E3D50">
        <w:rPr>
          <w:lang w:val="es-ES"/>
        </w:rPr>
        <w:t xml:space="preserve"> </w:t>
      </w:r>
      <w:r w:rsidR="00595889">
        <w:rPr>
          <w:lang w:val="es-ES"/>
        </w:rPr>
        <w:t>dificultad</w:t>
      </w:r>
      <w:r w:rsidRPr="005E3D50">
        <w:rPr>
          <w:lang w:val="es-ES"/>
        </w:rPr>
        <w:t xml:space="preserve"> fundamental. La recuperación de especies, la conservación de la diversidad genética y la gestión de los conflictos entre los seres humanos y las especies silvestres requieren una gran cantidad de recursos y no pueden evaluarse adecuadamente sin medios de implementación previsibles y de fácil acceso. En muchos países, las asignaciones presupuestarias siguen basándose en gran medida en proyectos concretos, lo que supone un obstáculo para el seguimiento a largo plazo de las especies, la continuidad y la ampliación de las iniciativas de conservación. Los conflictos entre los seres humanos y las especies silvestres siguen constituyendo un desafío predominante y persistente incluso cuando se utilizan herramientas de gestión. La insuficiencia de los sistemas de seguimiento, los datos de referencia y los marcos de indicadores se señala sistemáticamente como un desafío para la implementación. Además, la falta de coordinación entre los organismos y sectores nacionales y la elevada rotación del personal técnico se mencionan en los informes nacionales como obstáculos institucionales para la implementación de las metas nacionales armonizadas con la meta 4. </w:t>
      </w:r>
    </w:p>
    <w:p w14:paraId="4C261142" w14:textId="77777777" w:rsidR="006E369A" w:rsidRPr="005E3D50" w:rsidRDefault="006E369A" w:rsidP="006E369A">
      <w:pPr>
        <w:rPr>
          <w:lang w:val="es-ES"/>
        </w:rPr>
      </w:pPr>
    </w:p>
    <w:p w14:paraId="6B70EA97" w14:textId="16F4C63D" w:rsidR="006E369A" w:rsidRPr="005E3D50" w:rsidRDefault="006E369A" w:rsidP="006E369A">
      <w:pPr>
        <w:pStyle w:val="Heading5"/>
        <w:rPr>
          <w:lang w:val="es-ES"/>
        </w:rPr>
      </w:pPr>
      <w:bookmarkStart w:id="197" w:name="_Toc235821098"/>
      <w:r w:rsidRPr="005E3D50">
        <w:rPr>
          <w:lang w:val="es-ES"/>
        </w:rPr>
        <w:t>Contribuciones de actores distintos de los Gobiernos nacionales</w:t>
      </w:r>
      <w:bookmarkEnd w:id="197"/>
    </w:p>
    <w:p w14:paraId="2A1BE4B2" w14:textId="77777777" w:rsidR="009E6A9C" w:rsidRPr="005E3D50" w:rsidRDefault="009E6A9C" w:rsidP="00F31623">
      <w:pPr>
        <w:pStyle w:val="Heading6"/>
        <w:rPr>
          <w:lang w:val="es-ES"/>
        </w:rPr>
      </w:pPr>
    </w:p>
    <w:p w14:paraId="1060C780" w14:textId="327813E0" w:rsidR="00F31623" w:rsidRPr="005E3D50" w:rsidRDefault="00F31623" w:rsidP="00F31623">
      <w:pPr>
        <w:pStyle w:val="Heading6"/>
        <w:rPr>
          <w:lang w:val="es-ES"/>
        </w:rPr>
      </w:pPr>
      <w:bookmarkStart w:id="198" w:name="_Toc235821099"/>
      <w:r w:rsidRPr="005E3D50">
        <w:rPr>
          <w:lang w:val="es-ES"/>
        </w:rPr>
        <w:t>Compromisos presentados directamente a través de la herramienta de presentación de informes en línea</w:t>
      </w:r>
      <w:bookmarkEnd w:id="198"/>
    </w:p>
    <w:p w14:paraId="5DDE4132" w14:textId="77777777" w:rsidR="004C62BE" w:rsidRPr="005E3D50" w:rsidRDefault="004C62BE" w:rsidP="004C62BE">
      <w:pPr>
        <w:rPr>
          <w:lang w:val="es-ES"/>
        </w:rPr>
      </w:pPr>
    </w:p>
    <w:p w14:paraId="688EC9EC" w14:textId="6658D72B" w:rsidR="00F31623" w:rsidRPr="005E3D50" w:rsidRDefault="00F31623" w:rsidP="00F31623">
      <w:pPr>
        <w:rPr>
          <w:lang w:val="es-ES"/>
        </w:rPr>
      </w:pPr>
      <w:r w:rsidRPr="005E3D50">
        <w:rPr>
          <w:lang w:val="es-ES"/>
        </w:rPr>
        <w:lastRenderedPageBreak/>
        <w:t xml:space="preserve">De los 180 compromisos sustantivos presentados directamente por actores distintos de los Gobiernos nacionales, 12 están relacionados principalmente con la meta 4. Fueron presentados por 10 ONG, una institución académica y de investigación y un centro internacional de investigación agrícola. Los compromisos están relacionados principalmente con la recopilación de datos y la ampliación de conocimientos, la vinculación de los esfuerzos de recuperación de especies y la conservación de la diversidad genética con los conocimientos científicos, el seguimiento y la generación de datos. Además, los compromisos incluyen actividades que van desde el seguimiento </w:t>
      </w:r>
      <w:proofErr w:type="spellStart"/>
      <w:r w:rsidRPr="005E3D50">
        <w:rPr>
          <w:lang w:val="es-ES"/>
        </w:rPr>
        <w:t>bioacústico</w:t>
      </w:r>
      <w:proofErr w:type="spellEnd"/>
      <w:r w:rsidRPr="005E3D50">
        <w:rPr>
          <w:lang w:val="es-ES"/>
        </w:rPr>
        <w:t xml:space="preserve"> de la biodiversidad en paisajes agroecológicos hasta la conservación de la diversidad genética de los cultivos mediante bancos de genes, la recopilación de datos a través de redes de ciencia ciudadana, las patrullas contra la caza furtiva, medidas para prevenir la mortalidad de especies causada por las infraestructuras de transporte y la reintroducción de animales criados en cautividad (véase el recuadro 18).</w:t>
      </w:r>
    </w:p>
    <w:p w14:paraId="14263636" w14:textId="77777777" w:rsidR="009369F6" w:rsidRPr="005E3D50" w:rsidRDefault="009369F6" w:rsidP="00F31623">
      <w:pPr>
        <w:rPr>
          <w:lang w:val="es-ES"/>
        </w:rPr>
      </w:pPr>
    </w:p>
    <w:p w14:paraId="5C200B66" w14:textId="29CB3C1F" w:rsidR="00DC4680" w:rsidRPr="005E3D50" w:rsidRDefault="00DC4680" w:rsidP="00DC4680">
      <w:pPr>
        <w:pStyle w:val="Caption"/>
        <w:keepNext/>
        <w:rPr>
          <w:b/>
          <w:i w:val="0"/>
          <w:sz w:val="20"/>
          <w:szCs w:val="20"/>
          <w:lang w:val="es-ES"/>
        </w:rPr>
      </w:pPr>
    </w:p>
    <w:tbl>
      <w:tblPr>
        <w:tblStyle w:val="TableGrid"/>
        <w:tblW w:w="0" w:type="auto"/>
        <w:tblLook w:val="04A0" w:firstRow="1" w:lastRow="0" w:firstColumn="1" w:lastColumn="0" w:noHBand="0" w:noVBand="1"/>
      </w:tblPr>
      <w:tblGrid>
        <w:gridCol w:w="9350"/>
      </w:tblGrid>
      <w:tr w:rsidR="00510BEF" w:rsidRPr="005E3D50" w14:paraId="260A3859" w14:textId="77777777" w:rsidTr="38573CF5">
        <w:tc>
          <w:tcPr>
            <w:tcW w:w="12328" w:type="dxa"/>
            <w:shd w:val="clear" w:color="auto" w:fill="E8E8E8" w:themeFill="background2"/>
          </w:tcPr>
          <w:p w14:paraId="276F09C7" w14:textId="77777777" w:rsidR="00F90EC9" w:rsidRPr="005E3D50" w:rsidRDefault="00F90EC9" w:rsidP="007C5D73">
            <w:pPr>
              <w:rPr>
                <w:rFonts w:ascii="Aptos" w:hAnsi="Aptos"/>
                <w:color w:val="000000" w:themeColor="text1"/>
                <w:lang w:val="es-ES"/>
              </w:rPr>
            </w:pPr>
          </w:p>
          <w:p w14:paraId="510B6124" w14:textId="0623E7CC" w:rsidR="004C1F4E" w:rsidRPr="005E3D50" w:rsidRDefault="004C1F4E" w:rsidP="004C1F4E">
            <w:pPr>
              <w:pStyle w:val="Caption"/>
              <w:keepNext/>
              <w:rPr>
                <w:i w:val="0"/>
                <w:iCs w:val="0"/>
                <w:sz w:val="20"/>
                <w:szCs w:val="20"/>
                <w:lang w:val="es-ES"/>
              </w:rPr>
            </w:pPr>
            <w:bookmarkStart w:id="199" w:name="_Ref230810891"/>
            <w:r w:rsidRPr="005E3D50">
              <w:rPr>
                <w:i w:val="0"/>
                <w:iCs w:val="0"/>
                <w:sz w:val="20"/>
                <w:szCs w:val="20"/>
                <w:lang w:val="es-ES"/>
              </w:rPr>
              <w:t>Recuadro 18</w:t>
            </w:r>
            <w:bookmarkEnd w:id="199"/>
          </w:p>
          <w:p w14:paraId="77429998" w14:textId="3C9A84C2" w:rsidR="004C1F4E" w:rsidRPr="005E3D50" w:rsidRDefault="004C1F4E" w:rsidP="004C1F4E">
            <w:pPr>
              <w:rPr>
                <w:rFonts w:ascii="Aptos" w:hAnsi="Aptos"/>
                <w:color w:val="000000" w:themeColor="text1"/>
                <w:lang w:val="es-ES"/>
              </w:rPr>
            </w:pPr>
            <w:r w:rsidRPr="005E3D50">
              <w:rPr>
                <w:b/>
                <w:bCs/>
                <w:sz w:val="20"/>
                <w:szCs w:val="20"/>
                <w:lang w:val="es-ES"/>
              </w:rPr>
              <w:t>El Jardín Zoológico de Berlín apoya la conservación de especies a nivel mundial</w:t>
            </w:r>
          </w:p>
          <w:p w14:paraId="30B45008" w14:textId="231C3C1F" w:rsidR="005D3D88" w:rsidRPr="005E3D50" w:rsidRDefault="00F409C1" w:rsidP="00C70698">
            <w:pPr>
              <w:rPr>
                <w:rFonts w:ascii="Aptos" w:hAnsi="Aptos"/>
                <w:color w:val="000000" w:themeColor="text1"/>
                <w:sz w:val="20"/>
                <w:szCs w:val="20"/>
                <w:lang w:val="es-ES"/>
              </w:rPr>
            </w:pPr>
            <w:r w:rsidRPr="005E3D50">
              <w:rPr>
                <w:rFonts w:ascii="Aptos" w:hAnsi="Aptos"/>
                <w:color w:val="000000" w:themeColor="text1"/>
                <w:sz w:val="20"/>
                <w:szCs w:val="20"/>
                <w:lang w:val="es-ES"/>
              </w:rPr>
              <w:t xml:space="preserve">Zoo </w:t>
            </w:r>
            <w:proofErr w:type="spellStart"/>
            <w:r w:rsidRPr="005E3D50">
              <w:rPr>
                <w:rFonts w:ascii="Aptos" w:hAnsi="Aptos"/>
                <w:color w:val="000000" w:themeColor="text1"/>
                <w:sz w:val="20"/>
                <w:szCs w:val="20"/>
                <w:lang w:val="es-ES"/>
              </w:rPr>
              <w:t>Berlin</w:t>
            </w:r>
            <w:proofErr w:type="spellEnd"/>
            <w:r w:rsidRPr="005E3D50">
              <w:rPr>
                <w:rFonts w:ascii="Aptos" w:hAnsi="Aptos"/>
                <w:color w:val="000000" w:themeColor="text1"/>
                <w:sz w:val="20"/>
                <w:szCs w:val="20"/>
                <w:lang w:val="es-ES"/>
              </w:rPr>
              <w:t xml:space="preserve"> y </w:t>
            </w:r>
            <w:proofErr w:type="spellStart"/>
            <w:r w:rsidRPr="005E3D50">
              <w:rPr>
                <w:rFonts w:ascii="Aptos" w:hAnsi="Aptos"/>
                <w:color w:val="000000" w:themeColor="text1"/>
                <w:sz w:val="20"/>
                <w:szCs w:val="20"/>
                <w:lang w:val="es-ES"/>
              </w:rPr>
              <w:t>Tierpark</w:t>
            </w:r>
            <w:proofErr w:type="spellEnd"/>
            <w:r w:rsidRPr="005E3D50">
              <w:rPr>
                <w:rFonts w:ascii="Aptos" w:hAnsi="Aptos"/>
                <w:color w:val="000000" w:themeColor="text1"/>
                <w:sz w:val="20"/>
                <w:szCs w:val="20"/>
                <w:lang w:val="es-ES"/>
              </w:rPr>
              <w:t xml:space="preserve"> </w:t>
            </w:r>
            <w:proofErr w:type="spellStart"/>
            <w:r w:rsidRPr="005E3D50">
              <w:rPr>
                <w:rFonts w:ascii="Aptos" w:hAnsi="Aptos"/>
                <w:color w:val="000000" w:themeColor="text1"/>
                <w:sz w:val="20"/>
                <w:szCs w:val="20"/>
                <w:lang w:val="es-ES"/>
              </w:rPr>
              <w:t>Berlin</w:t>
            </w:r>
            <w:proofErr w:type="spellEnd"/>
            <w:r w:rsidRPr="005E3D50">
              <w:rPr>
                <w:rFonts w:ascii="Aptos" w:hAnsi="Aptos"/>
                <w:color w:val="000000" w:themeColor="text1"/>
                <w:sz w:val="20"/>
                <w:szCs w:val="20"/>
                <w:lang w:val="es-ES"/>
              </w:rPr>
              <w:t xml:space="preserve"> son instituciones zoológicas sin fines de lucro que coordinan 10 programas internacionales de cría para la conservación de especies amenazadas a través de la Asociación Europea de Zoológicos y Acuarios y contribuyen a más de 240 programas de cría activos que abarcan una amplia variedad de taxones. Como parques zoológicos gestionados con criterios científicos, aportan conocimientos especializados en planificación de poblaciones, cría, atención veterinaria y biología de la conservación. Colaboran estrechamente con las autoridades gubernamentales y asociados en materia de conservación a fin de apoyar diversas iniciativas de translocación y reintroducción, destinadas a restaurar y reforzar poblaciones silvestres autosostenibles. Entre los ejemplos destacados se encuentran el bisonte europeo (</w:t>
            </w:r>
            <w:r w:rsidRPr="005E3D50">
              <w:rPr>
                <w:rFonts w:ascii="Aptos" w:hAnsi="Aptos"/>
                <w:i/>
                <w:iCs/>
                <w:color w:val="000000" w:themeColor="text1"/>
                <w:sz w:val="20"/>
                <w:szCs w:val="20"/>
                <w:lang w:val="es-ES"/>
              </w:rPr>
              <w:t xml:space="preserve">Bison </w:t>
            </w:r>
            <w:proofErr w:type="spellStart"/>
            <w:r w:rsidRPr="005E3D50">
              <w:rPr>
                <w:rFonts w:ascii="Aptos" w:hAnsi="Aptos"/>
                <w:i/>
                <w:iCs/>
                <w:color w:val="000000" w:themeColor="text1"/>
                <w:sz w:val="20"/>
                <w:szCs w:val="20"/>
                <w:lang w:val="es-ES"/>
              </w:rPr>
              <w:t>bonasus</w:t>
            </w:r>
            <w:proofErr w:type="spellEnd"/>
            <w:r w:rsidRPr="005E3D50">
              <w:rPr>
                <w:rFonts w:ascii="Aptos" w:hAnsi="Aptos"/>
                <w:color w:val="000000" w:themeColor="text1"/>
                <w:sz w:val="20"/>
                <w:szCs w:val="20"/>
                <w:lang w:val="es-ES"/>
              </w:rPr>
              <w:t xml:space="preserve">), translocado al Parque Nacional de </w:t>
            </w:r>
            <w:proofErr w:type="spellStart"/>
            <w:r w:rsidRPr="005E3D50">
              <w:rPr>
                <w:rFonts w:ascii="Aptos" w:hAnsi="Aptos"/>
                <w:color w:val="000000" w:themeColor="text1"/>
                <w:sz w:val="20"/>
                <w:szCs w:val="20"/>
                <w:lang w:val="es-ES"/>
              </w:rPr>
              <w:t>Shahdag</w:t>
            </w:r>
            <w:proofErr w:type="spellEnd"/>
            <w:r w:rsidRPr="005E3D50">
              <w:rPr>
                <w:rFonts w:ascii="Aptos" w:hAnsi="Aptos"/>
                <w:color w:val="000000" w:themeColor="text1"/>
                <w:sz w:val="20"/>
                <w:szCs w:val="20"/>
                <w:lang w:val="es-ES"/>
              </w:rPr>
              <w:t xml:space="preserve">, en Azerbaiyán, en colaboración con su Ministerio de Ecología y Recursos Naturales y WWF; el caballo de </w:t>
            </w:r>
            <w:proofErr w:type="spellStart"/>
            <w:r w:rsidRPr="005E3D50">
              <w:rPr>
                <w:rFonts w:ascii="Aptos" w:hAnsi="Aptos"/>
                <w:color w:val="000000" w:themeColor="text1"/>
                <w:sz w:val="20"/>
                <w:szCs w:val="20"/>
                <w:lang w:val="es-ES"/>
              </w:rPr>
              <w:t>Przewalski</w:t>
            </w:r>
            <w:proofErr w:type="spellEnd"/>
            <w:r w:rsidRPr="005E3D50">
              <w:rPr>
                <w:rFonts w:ascii="Aptos" w:hAnsi="Aptos"/>
                <w:color w:val="000000" w:themeColor="text1"/>
                <w:sz w:val="20"/>
                <w:szCs w:val="20"/>
                <w:lang w:val="es-ES"/>
              </w:rPr>
              <w:t xml:space="preserve"> (</w:t>
            </w:r>
            <w:r w:rsidRPr="005E3D50">
              <w:rPr>
                <w:rFonts w:ascii="Aptos" w:hAnsi="Aptos"/>
                <w:i/>
                <w:iCs/>
                <w:color w:val="000000" w:themeColor="text1"/>
                <w:sz w:val="20"/>
                <w:szCs w:val="20"/>
                <w:lang w:val="es-ES"/>
              </w:rPr>
              <w:t xml:space="preserve">Equus </w:t>
            </w:r>
            <w:proofErr w:type="spellStart"/>
            <w:r w:rsidRPr="005E3D50">
              <w:rPr>
                <w:rFonts w:ascii="Aptos" w:hAnsi="Aptos"/>
                <w:i/>
                <w:iCs/>
                <w:color w:val="000000" w:themeColor="text1"/>
                <w:sz w:val="20"/>
                <w:szCs w:val="20"/>
                <w:lang w:val="es-ES"/>
              </w:rPr>
              <w:t>przewalskii</w:t>
            </w:r>
            <w:proofErr w:type="spellEnd"/>
            <w:r w:rsidRPr="005E3D50">
              <w:rPr>
                <w:rFonts w:ascii="Aptos" w:hAnsi="Aptos"/>
                <w:color w:val="000000" w:themeColor="text1"/>
                <w:sz w:val="20"/>
                <w:szCs w:val="20"/>
                <w:lang w:val="es-ES"/>
              </w:rPr>
              <w:t xml:space="preserve">), reintroducido en Kazajstán en </w:t>
            </w:r>
            <w:r w:rsidR="00FF7215" w:rsidRPr="005E3D50">
              <w:rPr>
                <w:rFonts w:ascii="Aptos" w:hAnsi="Aptos"/>
                <w:color w:val="000000" w:themeColor="text1"/>
                <w:sz w:val="20"/>
                <w:szCs w:val="20"/>
                <w:lang w:val="es-ES"/>
              </w:rPr>
              <w:t>colaboración</w:t>
            </w:r>
            <w:r w:rsidRPr="005E3D50">
              <w:rPr>
                <w:rFonts w:ascii="Aptos" w:hAnsi="Aptos"/>
                <w:color w:val="000000" w:themeColor="text1"/>
                <w:sz w:val="20"/>
                <w:szCs w:val="20"/>
                <w:lang w:val="es-ES"/>
              </w:rPr>
              <w:t xml:space="preserve"> con el zoológico de Praga, la Sociedad Zoológica de Frankfurt y asociados nacionales; el quebrantahuesos </w:t>
            </w:r>
            <w:r w:rsidRPr="005E3D50">
              <w:rPr>
                <w:rFonts w:ascii="Aptos" w:hAnsi="Aptos"/>
                <w:i/>
                <w:iCs/>
                <w:color w:val="000000" w:themeColor="text1"/>
                <w:sz w:val="20"/>
                <w:szCs w:val="20"/>
                <w:lang w:val="es-ES"/>
              </w:rPr>
              <w:t>(</w:t>
            </w:r>
            <w:proofErr w:type="spellStart"/>
            <w:r w:rsidRPr="005E3D50">
              <w:rPr>
                <w:rFonts w:ascii="Aptos" w:hAnsi="Aptos"/>
                <w:i/>
                <w:iCs/>
                <w:color w:val="000000" w:themeColor="text1"/>
                <w:sz w:val="20"/>
                <w:szCs w:val="20"/>
                <w:lang w:val="es-ES"/>
              </w:rPr>
              <w:t>Gypaetus</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
                <w:iCs/>
                <w:color w:val="000000" w:themeColor="text1"/>
                <w:sz w:val="20"/>
                <w:szCs w:val="20"/>
                <w:lang w:val="es-ES"/>
              </w:rPr>
              <w:t>barbatus</w:t>
            </w:r>
            <w:proofErr w:type="spellEnd"/>
            <w:r w:rsidRPr="005E3D50">
              <w:rPr>
                <w:rFonts w:ascii="Aptos" w:hAnsi="Aptos"/>
                <w:i/>
                <w:iCs/>
                <w:color w:val="000000" w:themeColor="text1"/>
                <w:sz w:val="20"/>
                <w:szCs w:val="20"/>
                <w:lang w:val="es-ES"/>
              </w:rPr>
              <w:t>)</w:t>
            </w:r>
            <w:r w:rsidRPr="005E3D50">
              <w:rPr>
                <w:rFonts w:ascii="Aptos" w:hAnsi="Aptos"/>
                <w:color w:val="000000" w:themeColor="text1"/>
                <w:sz w:val="20"/>
                <w:szCs w:val="20"/>
                <w:lang w:val="es-ES"/>
              </w:rPr>
              <w:t>, como parte del programa europeo de reintroducción coordinado por la Fundación para la Conservación de los Buitres; y las poblaciones de hámster europeo (</w:t>
            </w:r>
            <w:proofErr w:type="spellStart"/>
            <w:r w:rsidRPr="005E3D50">
              <w:rPr>
                <w:rFonts w:ascii="Aptos" w:hAnsi="Aptos"/>
                <w:i/>
                <w:iCs/>
                <w:color w:val="000000" w:themeColor="text1"/>
                <w:sz w:val="20"/>
                <w:szCs w:val="20"/>
                <w:lang w:val="es-ES"/>
              </w:rPr>
              <w:t>Cricetus</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
                <w:iCs/>
                <w:color w:val="000000" w:themeColor="text1"/>
                <w:sz w:val="20"/>
                <w:szCs w:val="20"/>
                <w:lang w:val="es-ES"/>
              </w:rPr>
              <w:t>cricetus</w:t>
            </w:r>
            <w:proofErr w:type="spellEnd"/>
            <w:r w:rsidRPr="005E3D50">
              <w:rPr>
                <w:rFonts w:ascii="Aptos" w:hAnsi="Aptos"/>
                <w:color w:val="000000" w:themeColor="text1"/>
                <w:sz w:val="20"/>
                <w:szCs w:val="20"/>
                <w:lang w:val="es-ES"/>
              </w:rPr>
              <w:t>) reintroducidas en Sajonia (Alemania), en cooperación con el zoológico de Leipzig. Todas las translocaciones para fines de conservación se llevan a cabo de conformidad con las directrices de la UICN, reconocidas internacionalmente, y con las estrategias nacionales pertinentes de conservación de especies.</w:t>
            </w:r>
          </w:p>
          <w:p w14:paraId="7F9F839B" w14:textId="77777777" w:rsidR="00C70698" w:rsidRPr="005E3D50" w:rsidRDefault="00C70698" w:rsidP="00C70698">
            <w:pPr>
              <w:rPr>
                <w:rFonts w:ascii="Aptos" w:hAnsi="Aptos"/>
                <w:color w:val="000000" w:themeColor="text1"/>
                <w:sz w:val="20"/>
                <w:szCs w:val="20"/>
                <w:lang w:val="es-ES"/>
              </w:rPr>
            </w:pPr>
          </w:p>
          <w:p w14:paraId="6C6B5120" w14:textId="269A0133" w:rsidR="002656D0" w:rsidRPr="005E3D50" w:rsidRDefault="002656D0" w:rsidP="009A6756">
            <w:pPr>
              <w:spacing w:after="320"/>
              <w:jc w:val="both"/>
              <w:rPr>
                <w:sz w:val="20"/>
                <w:szCs w:val="20"/>
                <w:lang w:val="es-ES"/>
              </w:rPr>
            </w:pPr>
            <w:r w:rsidRPr="005E3D50">
              <w:rPr>
                <w:i/>
                <w:iCs/>
                <w:sz w:val="20"/>
                <w:szCs w:val="20"/>
                <w:lang w:val="es-ES"/>
              </w:rPr>
              <w:t>Metas pertinentes:</w:t>
            </w:r>
            <w:r w:rsidRPr="005E3D50">
              <w:rPr>
                <w:sz w:val="20"/>
                <w:szCs w:val="20"/>
                <w:lang w:val="es-ES"/>
              </w:rPr>
              <w:t xml:space="preserve"> 4, 19, 20 y 22.</w:t>
            </w:r>
          </w:p>
          <w:p w14:paraId="619ED97B" w14:textId="2F699F84" w:rsidR="001D4315" w:rsidRPr="005E3D50" w:rsidRDefault="0B2E8379" w:rsidP="009A6756">
            <w:pPr>
              <w:spacing w:after="320"/>
              <w:jc w:val="both"/>
              <w:rPr>
                <w:sz w:val="20"/>
                <w:szCs w:val="20"/>
                <w:lang w:val="es-ES"/>
              </w:rPr>
            </w:pPr>
            <w:r w:rsidRPr="005E3D50">
              <w:rPr>
                <w:i/>
                <w:iCs/>
                <w:sz w:val="20"/>
                <w:szCs w:val="20"/>
                <w:lang w:val="es-ES"/>
              </w:rPr>
              <w:t>Fuente:</w:t>
            </w:r>
            <w:r w:rsidRPr="005E3D50">
              <w:rPr>
                <w:sz w:val="20"/>
                <w:szCs w:val="20"/>
                <w:lang w:val="es-ES"/>
              </w:rPr>
              <w:t xml:space="preserve"> Zoo y </w:t>
            </w:r>
            <w:proofErr w:type="spellStart"/>
            <w:r w:rsidRPr="005E3D50">
              <w:rPr>
                <w:sz w:val="20"/>
                <w:szCs w:val="20"/>
                <w:lang w:val="es-ES"/>
              </w:rPr>
              <w:t>Tierpark</w:t>
            </w:r>
            <w:proofErr w:type="spellEnd"/>
            <w:r w:rsidRPr="005E3D50">
              <w:rPr>
                <w:sz w:val="20"/>
                <w:szCs w:val="20"/>
                <w:lang w:val="es-ES"/>
              </w:rPr>
              <w:t xml:space="preserve"> </w:t>
            </w:r>
            <w:proofErr w:type="spellStart"/>
            <w:r w:rsidRPr="005E3D50">
              <w:rPr>
                <w:sz w:val="20"/>
                <w:szCs w:val="20"/>
                <w:lang w:val="es-ES"/>
              </w:rPr>
              <w:t>Berlin</w:t>
            </w:r>
            <w:proofErr w:type="spellEnd"/>
            <w:r w:rsidRPr="005E3D50">
              <w:rPr>
                <w:sz w:val="20"/>
                <w:szCs w:val="20"/>
                <w:lang w:val="es-ES"/>
              </w:rPr>
              <w:t xml:space="preserve">, compromiso de interesados (véase </w:t>
            </w:r>
            <w:hyperlink r:id="rId79">
              <w:r w:rsidRPr="005E3D50">
                <w:rPr>
                  <w:rStyle w:val="Hyperlink"/>
                  <w:sz w:val="20"/>
                  <w:szCs w:val="20"/>
                  <w:lang w:val="es-ES"/>
                </w:rPr>
                <w:t>https://ort.cbd.int/database/286541</w:t>
              </w:r>
            </w:hyperlink>
            <w:r w:rsidRPr="005E3D50">
              <w:rPr>
                <w:sz w:val="20"/>
                <w:szCs w:val="20"/>
                <w:lang w:val="es-ES"/>
              </w:rPr>
              <w:t>).</w:t>
            </w:r>
          </w:p>
        </w:tc>
      </w:tr>
    </w:tbl>
    <w:p w14:paraId="077292A8" w14:textId="77777777" w:rsidR="00F31623" w:rsidRPr="005E3D50" w:rsidRDefault="00F31623" w:rsidP="00F31623">
      <w:pPr>
        <w:pStyle w:val="Heading6"/>
        <w:rPr>
          <w:i w:val="0"/>
          <w:iCs w:val="0"/>
          <w:lang w:val="es-ES"/>
        </w:rPr>
      </w:pPr>
    </w:p>
    <w:p w14:paraId="380DCDF1" w14:textId="6049A355" w:rsidR="00F31623" w:rsidRPr="005E3D50" w:rsidRDefault="00125C8E" w:rsidP="00F31623">
      <w:pPr>
        <w:pStyle w:val="Heading6"/>
        <w:rPr>
          <w:lang w:val="es-ES"/>
        </w:rPr>
      </w:pPr>
      <w:bookmarkStart w:id="200" w:name="_Toc235821100"/>
      <w:r w:rsidRPr="005E3D50">
        <w:rPr>
          <w:lang w:val="es-ES"/>
        </w:rPr>
        <w:t>Contribuciones integradas en los informes nacionales</w:t>
      </w:r>
      <w:bookmarkEnd w:id="200"/>
    </w:p>
    <w:p w14:paraId="7A038675" w14:textId="77777777" w:rsidR="00AD399D" w:rsidRPr="005E3D50" w:rsidRDefault="00AD399D" w:rsidP="00AD399D">
      <w:pPr>
        <w:rPr>
          <w:lang w:val="es-ES"/>
        </w:rPr>
      </w:pPr>
    </w:p>
    <w:p w14:paraId="2BC92F09" w14:textId="377E0E9E" w:rsidR="00AD399D" w:rsidRPr="005E3D50" w:rsidRDefault="00AD399D" w:rsidP="00AD399D">
      <w:pPr>
        <w:rPr>
          <w:lang w:val="es-ES"/>
        </w:rPr>
      </w:pPr>
      <w:r w:rsidRPr="005E3D50">
        <w:rPr>
          <w:lang w:val="es-ES"/>
        </w:rPr>
        <w:t xml:space="preserve">Las Partes señalan habitualmente en sus informes que las instituciones científicas y las organizaciones intergubernamentales desempeñan funciones como el aporte de conocimientos, la implementación técnica conjunta y la financiación de medidas relacionadas con la meta 4. En concreto, ayudan a elaborar evaluaciones de amenazas para especies y ecosistemas, gestionan colecciones </w:t>
      </w:r>
      <w:r w:rsidRPr="005E3D50">
        <w:rPr>
          <w:i/>
          <w:iCs/>
          <w:lang w:val="es-ES"/>
        </w:rPr>
        <w:t>ex situ</w:t>
      </w:r>
      <w:r w:rsidRPr="005E3D50">
        <w:rPr>
          <w:lang w:val="es-ES"/>
        </w:rPr>
        <w:t>, llevan a cabo investigaciones de campo aplicadas y proporcionan metodologías en apoyo de la conservación y la utilización sostenible. Las ONG suelen actuar como principales responsables de la ejecución de programas de recuperación de especies y, especialmente en algunos países en desarrollo, cubren las lagunas institucionales que los organismos nacionales no pueden subsanar por sí solos. Los pueblos indígenas y las comunidades locales desempeñan diversas funciones, como instituciones consuetudinarias que regulan el acceso a los recursos, guardaparques comunitarios que realizan patrullas y bancos comunitarios de semillas que trabajan para conservar la agrobiodiversidad.</w:t>
      </w:r>
    </w:p>
    <w:p w14:paraId="65E485FC" w14:textId="77777777" w:rsidR="006E369A" w:rsidRPr="005E3D50" w:rsidRDefault="006E369A" w:rsidP="006E369A">
      <w:pPr>
        <w:rPr>
          <w:lang w:val="es-ES"/>
        </w:rPr>
      </w:pPr>
    </w:p>
    <w:p w14:paraId="5C75BFC1" w14:textId="77777777" w:rsidR="00973268" w:rsidRPr="005E3D50" w:rsidRDefault="00973268" w:rsidP="00973268">
      <w:pPr>
        <w:pStyle w:val="Heading5"/>
        <w:rPr>
          <w:lang w:val="es-ES"/>
        </w:rPr>
      </w:pPr>
      <w:bookmarkStart w:id="201" w:name="_Toc235821101"/>
      <w:r w:rsidRPr="005E3D50">
        <w:rPr>
          <w:lang w:val="es-ES"/>
        </w:rPr>
        <w:t>Ejemplos de vínculos con otros acuerdos, procesos y organizaciones</w:t>
      </w:r>
      <w:bookmarkEnd w:id="201"/>
      <w:r w:rsidRPr="005E3D50">
        <w:rPr>
          <w:lang w:val="es-ES"/>
        </w:rPr>
        <w:t xml:space="preserve"> </w:t>
      </w:r>
    </w:p>
    <w:p w14:paraId="5BA64C01" w14:textId="77777777" w:rsidR="00AD399D" w:rsidRPr="005E3D50" w:rsidRDefault="00AD399D" w:rsidP="00AD399D">
      <w:pPr>
        <w:rPr>
          <w:lang w:val="es-ES"/>
        </w:rPr>
      </w:pPr>
    </w:p>
    <w:p w14:paraId="7955F105" w14:textId="747D6705" w:rsidR="00EA4133" w:rsidRPr="005E3D50" w:rsidRDefault="00EA4133" w:rsidP="00EA4133">
      <w:pPr>
        <w:rPr>
          <w:lang w:val="es-ES"/>
        </w:rPr>
      </w:pPr>
      <w:r w:rsidRPr="005E3D50">
        <w:rPr>
          <w:lang w:val="es-ES"/>
        </w:rPr>
        <w:t>La CITES desempeña un papel importante en la implementación de la meta 4, así como de las metas 5 y 9, mediante sus mecanismos para regular el comercio internacional de especies en riesgo de extinción, incluidos los dictámenes de extracción no perjudicial, dictámenes de adquisición legal y cupos de exportación basados en criterios científicos. Además, la inclusión de especies en las categorías del Apéndice I (sin comercio con fines comerciales) y el Apéndice II (comercio controlado) de la CITES puede formar parte de estrategias adaptativas más amplias para conservar y utilizar las especies de forma sostenible, en función de las amenazas específicas que puedan estar aumentando su riesgo de extinción. Asimismo, la transferencia a un Apéndice de protección menor de especies de una categoría de la CITES a otra puede indicar el éxito de las medidas de conservación, cuya implementación puede ser necesario mantener (véase el recuadro 19). Por ejemplo, en la 20ª reunión de la Conferencia de las Partes en la Convención sobre el Comercio Internacional de Especies Amenazadas de Fauna y Flora Silvestres, celebrada en 2025, se introdujeron los siguientes cambios (CITES, 2025a y 2026):</w:t>
      </w:r>
    </w:p>
    <w:p w14:paraId="7CD4F016" w14:textId="77777777" w:rsidR="005C5A90" w:rsidRPr="005E3D50" w:rsidRDefault="005C5A90" w:rsidP="005C5A90">
      <w:pPr>
        <w:pStyle w:val="ListParagraph"/>
        <w:numPr>
          <w:ilvl w:val="0"/>
          <w:numId w:val="40"/>
        </w:numPr>
        <w:spacing w:line="279" w:lineRule="auto"/>
        <w:rPr>
          <w:lang w:val="es-ES"/>
        </w:rPr>
      </w:pPr>
      <w:r w:rsidRPr="005E3D50">
        <w:rPr>
          <w:lang w:val="es-ES"/>
        </w:rPr>
        <w:t>El lobo fino de Guadalupe (</w:t>
      </w:r>
      <w:r w:rsidRPr="005E3D50">
        <w:rPr>
          <w:i/>
          <w:iCs/>
          <w:lang w:val="es-ES"/>
        </w:rPr>
        <w:t xml:space="preserve">Arctocephalus </w:t>
      </w:r>
      <w:proofErr w:type="spellStart"/>
      <w:r w:rsidRPr="005E3D50">
        <w:rPr>
          <w:i/>
          <w:iCs/>
          <w:lang w:val="es-ES"/>
        </w:rPr>
        <w:t>townsendi</w:t>
      </w:r>
      <w:proofErr w:type="spellEnd"/>
      <w:r w:rsidRPr="005E3D50">
        <w:rPr>
          <w:lang w:val="es-ES"/>
        </w:rPr>
        <w:t>) fue transferido del Apéndice I al Apéndice II de la CITES.</w:t>
      </w:r>
      <w:r w:rsidRPr="005E3D50">
        <w:rPr>
          <w:rFonts w:ascii="Aptos" w:hAnsi="Aptos"/>
          <w:color w:val="212121"/>
          <w:lang w:val="es-ES"/>
        </w:rPr>
        <w:t xml:space="preserve"> Esta especie se había considerado extinta debido a la </w:t>
      </w:r>
      <w:r w:rsidRPr="005E3D50">
        <w:rPr>
          <w:rFonts w:ascii="Aptos" w:hAnsi="Aptos"/>
          <w:color w:val="212121"/>
          <w:lang w:val="es-ES"/>
        </w:rPr>
        <w:lastRenderedPageBreak/>
        <w:t>presión de la sobreexplotación histórica, pero posteriormente fue redescubierta y ha experimentado una recuperación de la población a largo plazo, favorecida por una combinación de medidas de protección a nivel nacional en México y cooperación internacional, lo que demuestra que la protección y la gestión sostenidas pueden revertir el declive.</w:t>
      </w:r>
    </w:p>
    <w:p w14:paraId="7C4061F2" w14:textId="44464FB7" w:rsidR="00EA4133" w:rsidRPr="005E3D50" w:rsidRDefault="00EA4133" w:rsidP="00306E04">
      <w:pPr>
        <w:pStyle w:val="ListParagraph"/>
        <w:numPr>
          <w:ilvl w:val="0"/>
          <w:numId w:val="40"/>
        </w:numPr>
        <w:spacing w:line="279" w:lineRule="auto"/>
        <w:rPr>
          <w:lang w:val="es-ES"/>
        </w:rPr>
      </w:pPr>
      <w:r w:rsidRPr="005E3D50">
        <w:rPr>
          <w:lang w:val="es-ES"/>
        </w:rPr>
        <w:t>El pino del cerro (</w:t>
      </w:r>
      <w:proofErr w:type="spellStart"/>
      <w:r w:rsidRPr="005E3D50">
        <w:rPr>
          <w:i/>
          <w:iCs/>
          <w:lang w:val="es-ES"/>
        </w:rPr>
        <w:t>Podocarpus</w:t>
      </w:r>
      <w:proofErr w:type="spellEnd"/>
      <w:r w:rsidRPr="005E3D50">
        <w:rPr>
          <w:i/>
          <w:iCs/>
          <w:lang w:val="es-ES"/>
        </w:rPr>
        <w:t xml:space="preserve"> </w:t>
      </w:r>
      <w:proofErr w:type="spellStart"/>
      <w:r w:rsidRPr="005E3D50">
        <w:rPr>
          <w:i/>
          <w:iCs/>
          <w:lang w:val="es-ES"/>
        </w:rPr>
        <w:t>parlatorei</w:t>
      </w:r>
      <w:proofErr w:type="spellEnd"/>
      <w:r w:rsidRPr="005E3D50">
        <w:rPr>
          <w:lang w:val="es-ES"/>
        </w:rPr>
        <w:t xml:space="preserve">), una especie arbórea autóctona de algunas zonas de la Argentina y del Estado Plurinacional de Bolivia, fue transferido del Apéndice I al Apéndice II, pero se estableció un cupo de exportación cero para los ejemplares silvestres con fines comerciales. Si bien las perspectivas de conservación de esta especie han mejorado, aún no se ha recuperado por completo, y el cupo de exportación cero refleja un enfoque de precaución que responde al interés de conservar la especie. </w:t>
      </w:r>
    </w:p>
    <w:p w14:paraId="44ACE260" w14:textId="586CFB1E" w:rsidR="00EA4133" w:rsidRPr="005E3D50" w:rsidRDefault="00EA4133" w:rsidP="00306E04">
      <w:pPr>
        <w:pStyle w:val="ListParagraph"/>
        <w:numPr>
          <w:ilvl w:val="0"/>
          <w:numId w:val="40"/>
        </w:numPr>
        <w:spacing w:line="279" w:lineRule="auto"/>
        <w:rPr>
          <w:lang w:val="es-ES"/>
        </w:rPr>
      </w:pPr>
      <w:r w:rsidRPr="005E3D50">
        <w:rPr>
          <w:lang w:val="es-ES"/>
        </w:rPr>
        <w:t xml:space="preserve">El </w:t>
      </w:r>
      <w:proofErr w:type="spellStart"/>
      <w:r w:rsidRPr="005E3D50">
        <w:rPr>
          <w:lang w:val="es-ES"/>
        </w:rPr>
        <w:t>bontebok</w:t>
      </w:r>
      <w:proofErr w:type="spellEnd"/>
      <w:r w:rsidRPr="005E3D50">
        <w:rPr>
          <w:lang w:val="es-ES"/>
        </w:rPr>
        <w:t xml:space="preserve"> (</w:t>
      </w:r>
      <w:proofErr w:type="spellStart"/>
      <w:r w:rsidRPr="005E3D50">
        <w:rPr>
          <w:i/>
          <w:iCs/>
          <w:lang w:val="es-ES"/>
        </w:rPr>
        <w:t>Damaliscus</w:t>
      </w:r>
      <w:proofErr w:type="spellEnd"/>
      <w:r w:rsidRPr="005E3D50">
        <w:rPr>
          <w:i/>
          <w:iCs/>
          <w:lang w:val="es-ES"/>
        </w:rPr>
        <w:t xml:space="preserve"> </w:t>
      </w:r>
      <w:proofErr w:type="spellStart"/>
      <w:r w:rsidRPr="005E3D50">
        <w:rPr>
          <w:i/>
          <w:iCs/>
          <w:lang w:val="es-ES"/>
        </w:rPr>
        <w:t>pygargus</w:t>
      </w:r>
      <w:proofErr w:type="spellEnd"/>
      <w:r w:rsidRPr="005E3D50">
        <w:rPr>
          <w:lang w:val="es-ES"/>
        </w:rPr>
        <w:t xml:space="preserve">, subespecie </w:t>
      </w:r>
      <w:proofErr w:type="spellStart"/>
      <w:r w:rsidRPr="005E3D50">
        <w:rPr>
          <w:i/>
          <w:iCs/>
          <w:lang w:val="es-ES"/>
        </w:rPr>
        <w:t>pygargus</w:t>
      </w:r>
      <w:proofErr w:type="spellEnd"/>
      <w:r w:rsidRPr="005E3D50">
        <w:rPr>
          <w:lang w:val="es-ES"/>
        </w:rPr>
        <w:t>) dejó de estar sujeto a las restricciones de la CITES tras haber estado incluido en el Apéndice II. Esto se debió a la recuperación a largo plazo de esta especie de antílope tras una gestión de conservación que dio buenos resultados en Sudáfrica. La exclusión total de los apéndices de la CITES constituye un claro ejemplo de la mejora del estado de conservación y la reducción del riesgo de extinción.</w:t>
      </w:r>
    </w:p>
    <w:p w14:paraId="475E2444" w14:textId="4D2EB016" w:rsidR="00EC18F6" w:rsidRPr="005E3D50" w:rsidRDefault="00EC18F6" w:rsidP="00EC18F6">
      <w:pPr>
        <w:spacing w:line="279" w:lineRule="auto"/>
        <w:rPr>
          <w:lang w:val="es-ES"/>
        </w:rPr>
      </w:pPr>
      <w:r w:rsidRPr="005E3D50">
        <w:rPr>
          <w:lang w:val="es-ES"/>
        </w:rPr>
        <w:t>La Comisión Ballenera Internacional, en su calidad de autoridad intergubernamental mundial en materia de conservación y gestión de las ballenas y otros cetáceos, contribuye a la meta 4. La Comisión actúa como repositorio de datos mundiales y lleva a cabo evaluaciones detalladas sobre la distribución, la abundancia y el estado de las poblaciones de cetáceos de todo el mundo. Sobre esta base, adopta medidas para hacer frente a las amenazas y elabora planes multinacionales de gestión de la conservación para especies vulnerables, en algunos casos en colaboración con la Convención sobre la Conservación de las Especies Migratorias de Animales Silvestres (CMS). Según las evaluaciones del Comité Científico de la Comisión, la suspensión de la caza comercial de todas las especies y poblaciones de ballenas a partir de la temporada 1985</w:t>
      </w:r>
      <w:r w:rsidR="00642178" w:rsidRPr="005E3D50">
        <w:rPr>
          <w:lang w:val="es-ES"/>
        </w:rPr>
        <w:t>-</w:t>
      </w:r>
      <w:r w:rsidRPr="005E3D50">
        <w:rPr>
          <w:lang w:val="es-ES"/>
        </w:rPr>
        <w:t>86, que sigue vigente, ha contribuido a la recuperación de muchas poblaciones (</w:t>
      </w:r>
      <w:r w:rsidR="00582E6C" w:rsidRPr="005E3D50">
        <w:rPr>
          <w:lang w:val="es-ES"/>
        </w:rPr>
        <w:t>CBI</w:t>
      </w:r>
      <w:r w:rsidRPr="005E3D50">
        <w:rPr>
          <w:lang w:val="es-ES"/>
        </w:rPr>
        <w:t>, 2025).</w:t>
      </w:r>
    </w:p>
    <w:p w14:paraId="48098181" w14:textId="66F6AD6B" w:rsidR="00E40171" w:rsidRPr="005E3D50" w:rsidRDefault="00E40171" w:rsidP="00E40171">
      <w:pPr>
        <w:spacing w:line="279" w:lineRule="auto"/>
        <w:rPr>
          <w:lang w:val="es-ES"/>
        </w:rPr>
      </w:pPr>
      <w:r w:rsidRPr="005E3D50">
        <w:rPr>
          <w:lang w:val="es-ES"/>
        </w:rPr>
        <w:t xml:space="preserve">El Órgano Rector del Tratado Internacional sobre los Recursos Fitogenéticos para la Alimentación y la Agricultura promueve específicamente la conservación </w:t>
      </w:r>
      <w:r w:rsidRPr="005E3D50">
        <w:rPr>
          <w:i/>
          <w:iCs/>
          <w:lang w:val="es-ES"/>
        </w:rPr>
        <w:t>ex situ</w:t>
      </w:r>
      <w:r w:rsidRPr="005E3D50">
        <w:rPr>
          <w:lang w:val="es-ES"/>
        </w:rPr>
        <w:t xml:space="preserve"> de los recursos fitogenéticos para la alimentación y la agricultura en bancos de genes, bancos de semillas y mediante la conservación in vitro. La Comisión de Recursos Genéticos para la Alimentación y la Agricultura de la FAO es el único organismo intergubernamental permanente que se ocupa específicamente de todos los componentes de la diversidad biológica para la alimentación y la agricultura. Trabaja para lograr un consenso internacional sobre las políticas relativas a la utilización sostenible y la conservación de </w:t>
      </w:r>
      <w:r w:rsidRPr="005E3D50">
        <w:rPr>
          <w:lang w:val="es-ES"/>
        </w:rPr>
        <w:lastRenderedPageBreak/>
        <w:t xml:space="preserve">los recursos genéticos para la alimentación y la agricultura, </w:t>
      </w:r>
      <w:r w:rsidR="00642178" w:rsidRPr="005E3D50">
        <w:rPr>
          <w:lang w:val="es-ES"/>
        </w:rPr>
        <w:t>y</w:t>
      </w:r>
      <w:r w:rsidRPr="005E3D50">
        <w:rPr>
          <w:lang w:val="es-ES"/>
        </w:rPr>
        <w:t xml:space="preserve"> la participación justa y equitativa en los beneficios derivados de su utilización. Sus objetivos son similares a los del Convenio sobre la Diversidad Biológica, aunque se refieren específicamente a la </w:t>
      </w:r>
      <w:r w:rsidR="003D5862" w:rsidRPr="005E3D50">
        <w:rPr>
          <w:lang w:val="es-ES"/>
        </w:rPr>
        <w:t>diversidad biológica</w:t>
      </w:r>
      <w:r w:rsidRPr="005E3D50">
        <w:rPr>
          <w:lang w:val="es-ES"/>
        </w:rPr>
        <w:t xml:space="preserve"> para la alimentación y la agricultura. La Comisión ha negociado y respaldado numerosos instrumentos de alcance mundial, que incluyen planes de acción mundiales sobre recursos genéticos, así como códigos, normas y directrices (TIRFAA, 2026).</w:t>
      </w:r>
    </w:p>
    <w:p w14:paraId="3F01E098" w14:textId="31653733" w:rsidR="00DA135E" w:rsidRPr="005E3D50" w:rsidRDefault="00DA135E" w:rsidP="00DA135E">
      <w:pPr>
        <w:spacing w:line="279" w:lineRule="auto"/>
        <w:rPr>
          <w:lang w:val="es-ES"/>
        </w:rPr>
      </w:pPr>
      <w:r w:rsidRPr="005E3D50">
        <w:rPr>
          <w:lang w:val="es-ES"/>
        </w:rPr>
        <w:t xml:space="preserve">En la 15ª reunión de la Conferencia de las Partes Contratantes en la Convención sobre los Humedales, las Partes Contratantes adoptaron una resolución por la que se estableció la Alianza Mundial para las Estimaciones de Aves Acuáticas y se definieron las disposiciones para la publicación de la edición de 2027 de </w:t>
      </w:r>
      <w:proofErr w:type="spellStart"/>
      <w:r w:rsidRPr="005E3D50">
        <w:rPr>
          <w:i/>
          <w:iCs/>
          <w:lang w:val="es-ES"/>
        </w:rPr>
        <w:t>Waterbird</w:t>
      </w:r>
      <w:proofErr w:type="spellEnd"/>
      <w:r w:rsidRPr="005E3D50">
        <w:rPr>
          <w:i/>
          <w:iCs/>
          <w:lang w:val="es-ES"/>
        </w:rPr>
        <w:t xml:space="preserve"> </w:t>
      </w:r>
      <w:proofErr w:type="spellStart"/>
      <w:r w:rsidRPr="005E3D50">
        <w:rPr>
          <w:i/>
          <w:iCs/>
          <w:lang w:val="es-ES"/>
        </w:rPr>
        <w:t>Population</w:t>
      </w:r>
      <w:proofErr w:type="spellEnd"/>
      <w:r w:rsidRPr="005E3D50">
        <w:rPr>
          <w:i/>
          <w:iCs/>
          <w:lang w:val="es-ES"/>
        </w:rPr>
        <w:t xml:space="preserve"> </w:t>
      </w:r>
      <w:proofErr w:type="spellStart"/>
      <w:r w:rsidRPr="005E3D50">
        <w:rPr>
          <w:i/>
          <w:iCs/>
          <w:lang w:val="es-ES"/>
        </w:rPr>
        <w:t>Estimates</w:t>
      </w:r>
      <w:proofErr w:type="spellEnd"/>
      <w:r w:rsidRPr="005E3D50">
        <w:rPr>
          <w:lang w:val="es-ES"/>
        </w:rPr>
        <w:t xml:space="preserve"> (Estimaciones de las poblaciones de aves acuáticas). La Alianza Mundial para las Estimaciones de Aves Acuáticas proporciona un marco para la coordinación a largo plazo, la orientación científica y técnica y la movilización de recursos para la elaboración de futuras evaluaciones de </w:t>
      </w:r>
      <w:proofErr w:type="spellStart"/>
      <w:r w:rsidRPr="005E3D50">
        <w:rPr>
          <w:i/>
          <w:iCs/>
          <w:lang w:val="es-ES"/>
        </w:rPr>
        <w:t>Waterbird</w:t>
      </w:r>
      <w:proofErr w:type="spellEnd"/>
      <w:r w:rsidRPr="005E3D50">
        <w:rPr>
          <w:i/>
          <w:iCs/>
          <w:lang w:val="es-ES"/>
        </w:rPr>
        <w:t xml:space="preserve"> </w:t>
      </w:r>
      <w:proofErr w:type="spellStart"/>
      <w:r w:rsidRPr="005E3D50">
        <w:rPr>
          <w:i/>
          <w:iCs/>
          <w:lang w:val="es-ES"/>
        </w:rPr>
        <w:t>Population</w:t>
      </w:r>
      <w:proofErr w:type="spellEnd"/>
      <w:r w:rsidRPr="005E3D50">
        <w:rPr>
          <w:i/>
          <w:iCs/>
          <w:lang w:val="es-ES"/>
        </w:rPr>
        <w:t xml:space="preserve"> </w:t>
      </w:r>
      <w:proofErr w:type="spellStart"/>
      <w:r w:rsidRPr="005E3D50">
        <w:rPr>
          <w:i/>
          <w:iCs/>
          <w:lang w:val="es-ES"/>
        </w:rPr>
        <w:t>Estimates</w:t>
      </w:r>
      <w:proofErr w:type="spellEnd"/>
      <w:r w:rsidRPr="005E3D50">
        <w:rPr>
          <w:lang w:val="es-ES"/>
        </w:rPr>
        <w:t>. Este proceso tiene por objeto proporcionar información actualizada sobre las poblaciones de aves acuáticas que sirva de base para tomar mejores decisiones de planificación de la conservación y contribuir a detener la pérdida o el declive de especies o poblaciones de aves acuáticas (Convención sobre los Humedales, 2025a).</w:t>
      </w:r>
    </w:p>
    <w:p w14:paraId="45ED85E4" w14:textId="13A633CC" w:rsidR="00581BB9" w:rsidRPr="005E3D50" w:rsidRDefault="00581BB9" w:rsidP="00581BB9">
      <w:pPr>
        <w:pStyle w:val="Caption"/>
        <w:keepNext/>
        <w:rPr>
          <w:b/>
          <w:i w:val="0"/>
          <w:sz w:val="20"/>
          <w:szCs w:val="20"/>
          <w:lang w:val="es-ES"/>
        </w:rPr>
      </w:pPr>
    </w:p>
    <w:tbl>
      <w:tblPr>
        <w:tblStyle w:val="TableGrid"/>
        <w:tblW w:w="0" w:type="auto"/>
        <w:tblLook w:val="04A0" w:firstRow="1" w:lastRow="0" w:firstColumn="1" w:lastColumn="0" w:noHBand="0" w:noVBand="1"/>
      </w:tblPr>
      <w:tblGrid>
        <w:gridCol w:w="9016"/>
      </w:tblGrid>
      <w:tr w:rsidR="006253BC" w:rsidRPr="00942359" w14:paraId="75F971B6" w14:textId="77777777" w:rsidTr="38573CF5">
        <w:tc>
          <w:tcPr>
            <w:tcW w:w="9016" w:type="dxa"/>
            <w:shd w:val="clear" w:color="auto" w:fill="E8E8E8" w:themeFill="background2"/>
          </w:tcPr>
          <w:p w14:paraId="741697D8" w14:textId="77777777" w:rsidR="00F82064" w:rsidRPr="005E3D50" w:rsidRDefault="00F82064" w:rsidP="00AF2AD4">
            <w:pPr>
              <w:rPr>
                <w:lang w:val="es-ES"/>
              </w:rPr>
            </w:pPr>
          </w:p>
          <w:p w14:paraId="6A1DD905" w14:textId="62800A14" w:rsidR="00DA135E" w:rsidRPr="005E3D50" w:rsidRDefault="00DA135E" w:rsidP="00DA135E">
            <w:pPr>
              <w:pStyle w:val="Caption"/>
              <w:keepNext/>
              <w:rPr>
                <w:i w:val="0"/>
                <w:iCs w:val="0"/>
                <w:sz w:val="20"/>
                <w:szCs w:val="20"/>
                <w:lang w:val="es-ES"/>
              </w:rPr>
            </w:pPr>
            <w:bookmarkStart w:id="202" w:name="_Ref231281702"/>
            <w:r w:rsidRPr="005E3D50">
              <w:rPr>
                <w:i w:val="0"/>
                <w:iCs w:val="0"/>
                <w:sz w:val="20"/>
                <w:szCs w:val="20"/>
                <w:lang w:val="es-ES"/>
              </w:rPr>
              <w:t>Recuadro 19</w:t>
            </w:r>
            <w:bookmarkEnd w:id="202"/>
            <w:r w:rsidRPr="005E3D50">
              <w:rPr>
                <w:i w:val="0"/>
                <w:iCs w:val="0"/>
                <w:sz w:val="20"/>
                <w:szCs w:val="20"/>
                <w:lang w:val="es-ES"/>
              </w:rPr>
              <w:t xml:space="preserve"> </w:t>
            </w:r>
          </w:p>
          <w:p w14:paraId="33826503" w14:textId="161B92B3" w:rsidR="00F82064" w:rsidRPr="005E3D50" w:rsidRDefault="00DA135E" w:rsidP="00AF2AD4">
            <w:pPr>
              <w:rPr>
                <w:b/>
                <w:sz w:val="20"/>
                <w:szCs w:val="20"/>
                <w:lang w:val="es-ES"/>
              </w:rPr>
            </w:pPr>
            <w:r w:rsidRPr="005E3D50">
              <w:rPr>
                <w:b/>
                <w:bCs/>
                <w:sz w:val="20"/>
                <w:szCs w:val="20"/>
                <w:lang w:val="es-ES"/>
              </w:rPr>
              <w:t>Coordinación entre acuerdos ambientales multilaterales en apoyo de la recuperación del antílope saiga en Kazajstán</w:t>
            </w:r>
          </w:p>
          <w:p w14:paraId="7BB56C30" w14:textId="77777777" w:rsidR="00DA135E" w:rsidRPr="005E3D50" w:rsidRDefault="00DA135E" w:rsidP="00DA135E">
            <w:pPr>
              <w:rPr>
                <w:lang w:val="es-ES"/>
              </w:rPr>
            </w:pPr>
          </w:p>
          <w:p w14:paraId="7148948F" w14:textId="5B95E0EE" w:rsidR="00EC2C81" w:rsidRPr="005E3D50" w:rsidRDefault="00EC2C81" w:rsidP="00EC2C81">
            <w:pPr>
              <w:spacing w:line="276" w:lineRule="auto"/>
              <w:rPr>
                <w:sz w:val="20"/>
                <w:szCs w:val="20"/>
                <w:lang w:val="es-ES"/>
              </w:rPr>
            </w:pPr>
            <w:r w:rsidRPr="005E3D50">
              <w:rPr>
                <w:sz w:val="20"/>
                <w:szCs w:val="20"/>
                <w:lang w:val="es-ES"/>
              </w:rPr>
              <w:t>El antílope saiga (</w:t>
            </w:r>
            <w:r w:rsidRPr="005E3D50">
              <w:rPr>
                <w:i/>
                <w:iCs/>
                <w:sz w:val="20"/>
                <w:szCs w:val="20"/>
                <w:lang w:val="es-ES"/>
              </w:rPr>
              <w:t xml:space="preserve">Saiga </w:t>
            </w:r>
            <w:proofErr w:type="spellStart"/>
            <w:r w:rsidRPr="005E3D50">
              <w:rPr>
                <w:i/>
                <w:iCs/>
                <w:sz w:val="20"/>
                <w:szCs w:val="20"/>
                <w:lang w:val="es-ES"/>
              </w:rPr>
              <w:t>tatarica</w:t>
            </w:r>
            <w:proofErr w:type="spellEnd"/>
            <w:r w:rsidRPr="005E3D50">
              <w:rPr>
                <w:sz w:val="20"/>
                <w:szCs w:val="20"/>
                <w:lang w:val="es-ES"/>
              </w:rPr>
              <w:t xml:space="preserve">) ha sufrido descensos catastróficos de sus poblaciones en los últimos años debido a una combinación de caza furtiva y enfermedades. El Gobierno de Kazajstán ha estado trabajando con asociados internacionales y en el marco de acuerdos ambientales multilaterales, en particular la CMS y la CITES, para apoyar uno de los esfuerzos de recuperación de la fauna silvestre que mejores resultados ha dado en la región. Las medidas de conservación incluyeron el refuerzo de las patrullas contra la caza furtiva, controles estrictos del comercio y la ampliación de las áreas protegidas en toda el área </w:t>
            </w:r>
            <w:r w:rsidR="00513F79" w:rsidRPr="005E3D50">
              <w:rPr>
                <w:sz w:val="20"/>
                <w:szCs w:val="20"/>
                <w:lang w:val="es-ES"/>
              </w:rPr>
              <w:t>de migración</w:t>
            </w:r>
            <w:r w:rsidRPr="005E3D50">
              <w:rPr>
                <w:sz w:val="20"/>
                <w:szCs w:val="20"/>
                <w:lang w:val="es-ES"/>
              </w:rPr>
              <w:t xml:space="preserve"> del antílope. Los programas de participación comunitaria han contribuido a reducir los incentivos para la caza furtiva mediante la promoción de medios de vida </w:t>
            </w:r>
            <w:proofErr w:type="spellStart"/>
            <w:r w:rsidRPr="005E3D50">
              <w:rPr>
                <w:sz w:val="20"/>
                <w:szCs w:val="20"/>
                <w:lang w:val="es-ES"/>
              </w:rPr>
              <w:t>alternativos</w:t>
            </w:r>
            <w:r w:rsidRPr="005E3D50">
              <w:rPr>
                <w:sz w:val="20"/>
                <w:szCs w:val="20"/>
                <w:vertAlign w:val="superscript"/>
                <w:lang w:val="es-ES"/>
              </w:rPr>
              <w:t>a</w:t>
            </w:r>
            <w:proofErr w:type="spellEnd"/>
            <w:r w:rsidRPr="005E3D50">
              <w:rPr>
                <w:sz w:val="20"/>
                <w:szCs w:val="20"/>
                <w:lang w:val="es-ES"/>
              </w:rPr>
              <w:t xml:space="preserve">. Los marcos de la CMS, como la Iniciativa sobre </w:t>
            </w:r>
            <w:r w:rsidR="00966CEC" w:rsidRPr="005E3D50">
              <w:rPr>
                <w:sz w:val="20"/>
                <w:szCs w:val="20"/>
                <w:lang w:val="es-ES"/>
              </w:rPr>
              <w:t>m</w:t>
            </w:r>
            <w:r w:rsidRPr="005E3D50">
              <w:rPr>
                <w:sz w:val="20"/>
                <w:szCs w:val="20"/>
                <w:lang w:val="es-ES"/>
              </w:rPr>
              <w:t xml:space="preserve">amíferos de Asia Central y el Programa de trabajo internacional a mediano plazo para el antílope saiga (2021-2025), han facilitado la colaboración transfronteriza, la armonización de políticas y la conectividad de hábitats entre los Estados del área de distribución, mientras que la CITES ha proporcionado el marco jurídico para reglamentar y vigilar estrictamente el comercio internacional. Gracias a ello, la población de antílopes saiga en Kazajstán se ha recuperado, pasando de menos de 20.000 ejemplares a más de 2,8 millones. </w:t>
            </w:r>
            <w:r w:rsidRPr="005E3D50">
              <w:rPr>
                <w:sz w:val="20"/>
                <w:szCs w:val="20"/>
                <w:lang w:val="es-ES"/>
              </w:rPr>
              <w:lastRenderedPageBreak/>
              <w:t>Aunque siguen existiendo retos importantes, esta recuperación sirvió de base para los debates celebrados en la 20ª reunión de la Conferencia de las Partes en la Convención en 2025, en la que las Partes acordaron permitir un comercio estrictamente limitado en virtud del Apéndice II de la CITES, sujeto a requisitos de verificación, en consonancia con la mejora del estado de la especie, que sigue siendo vulnerable, y manteniendo al mismo tiempo un enfoque de precaución.</w:t>
            </w:r>
          </w:p>
          <w:p w14:paraId="08783647" w14:textId="77777777" w:rsidR="00FC4461" w:rsidRPr="005E3D50" w:rsidRDefault="00FC4461" w:rsidP="00EC2C81">
            <w:pPr>
              <w:spacing w:line="276" w:lineRule="auto"/>
              <w:rPr>
                <w:sz w:val="20"/>
                <w:szCs w:val="20"/>
                <w:lang w:val="es-ES"/>
              </w:rPr>
            </w:pPr>
          </w:p>
          <w:p w14:paraId="16C4F73D" w14:textId="4E0EBDF3" w:rsidR="009339DB" w:rsidRPr="005E3D50" w:rsidRDefault="009339DB" w:rsidP="00B64A73">
            <w:pPr>
              <w:spacing w:line="276" w:lineRule="auto"/>
              <w:jc w:val="both"/>
              <w:rPr>
                <w:sz w:val="20"/>
                <w:szCs w:val="20"/>
                <w:lang w:val="es-ES"/>
              </w:rPr>
            </w:pPr>
            <w:r w:rsidRPr="005E3D50">
              <w:rPr>
                <w:i/>
                <w:sz w:val="20"/>
                <w:szCs w:val="20"/>
                <w:lang w:val="es-ES"/>
              </w:rPr>
              <w:t xml:space="preserve">Metas pertinentes: </w:t>
            </w:r>
            <w:r w:rsidRPr="005E3D50">
              <w:rPr>
                <w:sz w:val="20"/>
                <w:szCs w:val="20"/>
                <w:lang w:val="es-ES"/>
              </w:rPr>
              <w:t>4 y 5.</w:t>
            </w:r>
          </w:p>
          <w:p w14:paraId="67C7D6E3" w14:textId="77777777" w:rsidR="00CF1A81" w:rsidRPr="005E3D50" w:rsidRDefault="00CF1A81" w:rsidP="006E369A">
            <w:pPr>
              <w:rPr>
                <w:i/>
                <w:sz w:val="20"/>
                <w:szCs w:val="20"/>
                <w:lang w:val="es-ES"/>
              </w:rPr>
            </w:pPr>
          </w:p>
          <w:p w14:paraId="2A228F5B" w14:textId="277F0005" w:rsidR="00221146" w:rsidRPr="005E3D50" w:rsidRDefault="009339DB" w:rsidP="00221146">
            <w:pPr>
              <w:rPr>
                <w:sz w:val="20"/>
                <w:szCs w:val="20"/>
                <w:lang w:val="es-ES"/>
              </w:rPr>
            </w:pPr>
            <w:r w:rsidRPr="005E3D50">
              <w:rPr>
                <w:i/>
                <w:sz w:val="20"/>
                <w:szCs w:val="20"/>
                <w:lang w:val="es-ES"/>
              </w:rPr>
              <w:t xml:space="preserve">Fuentes: </w:t>
            </w:r>
            <w:r w:rsidRPr="005E3D50">
              <w:rPr>
                <w:sz w:val="20"/>
                <w:szCs w:val="20"/>
                <w:lang w:val="es-ES"/>
              </w:rPr>
              <w:t xml:space="preserve">CITES, 2025a, 2026; y CMS, 2021, 2025a. </w:t>
            </w:r>
          </w:p>
          <w:p w14:paraId="1A13A979" w14:textId="77777777" w:rsidR="00897418" w:rsidRPr="005E3D50" w:rsidRDefault="00897418" w:rsidP="38573CF5">
            <w:pPr>
              <w:rPr>
                <w:sz w:val="18"/>
                <w:szCs w:val="18"/>
                <w:lang w:val="es-ES"/>
              </w:rPr>
            </w:pPr>
          </w:p>
          <w:p w14:paraId="2ADF3E2F" w14:textId="02194540" w:rsidR="00B94549" w:rsidRPr="0059394F" w:rsidRDefault="2E98B835" w:rsidP="38573CF5">
            <w:pPr>
              <w:pStyle w:val="FootnoteText"/>
              <w:rPr>
                <w:sz w:val="18"/>
                <w:szCs w:val="18"/>
                <w:lang w:val="pt-BR"/>
              </w:rPr>
            </w:pPr>
            <w:r w:rsidRPr="0059394F">
              <w:rPr>
                <w:sz w:val="18"/>
                <w:szCs w:val="18"/>
                <w:vertAlign w:val="superscript"/>
                <w:lang w:val="pt-BR"/>
              </w:rPr>
              <w:t>a</w:t>
            </w:r>
            <w:r w:rsidRPr="0059394F">
              <w:rPr>
                <w:sz w:val="18"/>
                <w:szCs w:val="18"/>
                <w:lang w:val="pt-BR"/>
              </w:rPr>
              <w:t xml:space="preserve"> </w:t>
            </w:r>
            <w:proofErr w:type="spellStart"/>
            <w:r w:rsidRPr="0059394F">
              <w:rPr>
                <w:sz w:val="18"/>
                <w:szCs w:val="18"/>
                <w:lang w:val="pt-BR"/>
              </w:rPr>
              <w:t>Véase</w:t>
            </w:r>
            <w:proofErr w:type="spellEnd"/>
            <w:r w:rsidRPr="0059394F">
              <w:rPr>
                <w:sz w:val="18"/>
                <w:szCs w:val="18"/>
                <w:lang w:val="pt-BR"/>
              </w:rPr>
              <w:t xml:space="preserve"> </w:t>
            </w:r>
            <w:r>
              <w:fldChar w:fldCharType="begin"/>
            </w:r>
            <w:r w:rsidRPr="00942359">
              <w:rPr>
                <w:lang w:val="fr-FR"/>
              </w:rPr>
              <w:instrText>HYPERLINK "https://altyndala.org/" \h</w:instrText>
            </w:r>
            <w:r>
              <w:fldChar w:fldCharType="separate"/>
            </w:r>
            <w:r w:rsidRPr="0059394F">
              <w:rPr>
                <w:rStyle w:val="Hyperlink"/>
                <w:sz w:val="18"/>
                <w:szCs w:val="18"/>
                <w:lang w:val="pt-BR"/>
              </w:rPr>
              <w:t>https://altyndala.org/</w:t>
            </w:r>
            <w:r>
              <w:fldChar w:fldCharType="end"/>
            </w:r>
            <w:r w:rsidRPr="0059394F">
              <w:rPr>
                <w:sz w:val="18"/>
                <w:szCs w:val="18"/>
                <w:lang w:val="pt-BR"/>
              </w:rPr>
              <w:t>.</w:t>
            </w:r>
          </w:p>
          <w:p w14:paraId="0293AA50" w14:textId="6276A089" w:rsidR="00CF1A81" w:rsidRPr="0059394F" w:rsidRDefault="00CF1A81" w:rsidP="00F82064">
            <w:pPr>
              <w:rPr>
                <w:i/>
                <w:lang w:val="pt-BR"/>
              </w:rPr>
            </w:pPr>
          </w:p>
        </w:tc>
      </w:tr>
    </w:tbl>
    <w:p w14:paraId="01A038C1" w14:textId="44A9D44C" w:rsidR="00120352" w:rsidRPr="005E3D50" w:rsidRDefault="00120352" w:rsidP="74032CC2">
      <w:pPr>
        <w:pStyle w:val="Heading4"/>
        <w:rPr>
          <w:i w:val="0"/>
          <w:iCs w:val="0"/>
          <w:lang w:val="es-ES"/>
        </w:rPr>
      </w:pPr>
      <w:bookmarkStart w:id="203" w:name="_Toc235821102"/>
      <w:bookmarkStart w:id="204" w:name="_Toc239069199"/>
      <w:bookmarkStart w:id="205" w:name="_Toc242882977"/>
      <w:r w:rsidRPr="005E3D50">
        <w:rPr>
          <w:b/>
          <w:bCs/>
          <w:i w:val="0"/>
          <w:iCs w:val="0"/>
          <w:lang w:val="es-ES"/>
        </w:rPr>
        <w:lastRenderedPageBreak/>
        <w:t>Meta 5.</w:t>
      </w:r>
      <w:r w:rsidRPr="005E3D50">
        <w:rPr>
          <w:i w:val="0"/>
          <w:iCs w:val="0"/>
          <w:lang w:val="es-ES"/>
        </w:rPr>
        <w:t xml:space="preserve"> Garantizar que la recolección y el comercio de especies silvestres sean sostenibles, seguros y lícitos</w:t>
      </w:r>
      <w:bookmarkEnd w:id="203"/>
      <w:bookmarkEnd w:id="204"/>
      <w:bookmarkEnd w:id="205"/>
    </w:p>
    <w:p w14:paraId="45C3ABE9" w14:textId="77777777" w:rsidR="00EF7F17" w:rsidRPr="005E3D50" w:rsidRDefault="00EF7F17" w:rsidP="006916B1">
      <w:pPr>
        <w:rPr>
          <w:b/>
          <w:bCs/>
          <w:i/>
          <w:iCs/>
          <w:sz w:val="22"/>
          <w:szCs w:val="22"/>
          <w:lang w:val="es-ES"/>
        </w:rPr>
      </w:pPr>
    </w:p>
    <w:p w14:paraId="2342DFD5" w14:textId="77777777" w:rsidR="006916B1" w:rsidRPr="005E3D50" w:rsidRDefault="006916B1" w:rsidP="006916B1">
      <w:pPr>
        <w:rPr>
          <w:i/>
          <w:iCs/>
          <w:sz w:val="22"/>
          <w:szCs w:val="22"/>
          <w:lang w:val="es-ES"/>
        </w:rPr>
      </w:pPr>
      <w:r w:rsidRPr="005E3D50">
        <w:rPr>
          <w:b/>
          <w:sz w:val="22"/>
          <w:szCs w:val="22"/>
          <w:lang w:val="es-ES"/>
        </w:rPr>
        <w:t>Texto de la meta:</w:t>
      </w:r>
      <w:r w:rsidRPr="005E3D50">
        <w:rPr>
          <w:sz w:val="22"/>
          <w:szCs w:val="22"/>
          <w:lang w:val="es-ES"/>
        </w:rPr>
        <w:t xml:space="preserve"> </w:t>
      </w:r>
      <w:r w:rsidRPr="005E3D50">
        <w:rPr>
          <w:i/>
          <w:iCs/>
          <w:sz w:val="22"/>
          <w:szCs w:val="22"/>
          <w:lang w:val="es-ES"/>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p w14:paraId="3DD804F4" w14:textId="77777777" w:rsidR="006916B1" w:rsidRPr="005E3D50" w:rsidRDefault="006916B1" w:rsidP="006916B1">
      <w:pPr>
        <w:rPr>
          <w:lang w:val="es-ES"/>
        </w:rPr>
      </w:pPr>
    </w:p>
    <w:p w14:paraId="18DAB3A4" w14:textId="23C59B0E" w:rsidR="00426A22" w:rsidRPr="005E3D50" w:rsidRDefault="006F73E1" w:rsidP="00B552F5">
      <w:pPr>
        <w:pStyle w:val="Heading5"/>
        <w:rPr>
          <w:lang w:val="es-ES"/>
        </w:rPr>
      </w:pPr>
      <w:r w:rsidRPr="005E3D50">
        <w:rPr>
          <w:lang w:val="es-ES"/>
        </w:rPr>
        <w:t>Panorama general de los progresos</w:t>
      </w:r>
    </w:p>
    <w:tbl>
      <w:tblPr>
        <w:tblStyle w:val="TableGrid"/>
        <w:tblW w:w="0" w:type="auto"/>
        <w:tblLook w:val="04A0" w:firstRow="1" w:lastRow="0" w:firstColumn="1" w:lastColumn="0" w:noHBand="0" w:noVBand="1"/>
      </w:tblPr>
      <w:tblGrid>
        <w:gridCol w:w="9016"/>
      </w:tblGrid>
      <w:tr w:rsidR="00B552F5" w:rsidRPr="005E3D50" w14:paraId="24132EA4" w14:textId="77777777" w:rsidTr="00B552F5">
        <w:tc>
          <w:tcPr>
            <w:tcW w:w="9016" w:type="dxa"/>
            <w:shd w:val="clear" w:color="auto" w:fill="D1D1D1" w:themeFill="background2" w:themeFillShade="E6"/>
          </w:tcPr>
          <w:p w14:paraId="54530C83" w14:textId="77777777" w:rsidR="00FD330F" w:rsidRPr="005E3D50" w:rsidRDefault="00FD330F" w:rsidP="009A6756">
            <w:pPr>
              <w:rPr>
                <w:rFonts w:ascii="Aptos" w:eastAsia="Times New Roman" w:hAnsi="Aptos" w:cs="Calibri"/>
                <w:color w:val="000000"/>
                <w:lang w:val="es-ES"/>
              </w:rPr>
            </w:pPr>
          </w:p>
          <w:p w14:paraId="0A186262" w14:textId="73C94E60" w:rsidR="00E03029" w:rsidRPr="005E3D50" w:rsidRDefault="00E03029" w:rsidP="00E03029">
            <w:pPr>
              <w:rPr>
                <w:rFonts w:ascii="Aptos" w:eastAsia="Times New Roman" w:hAnsi="Aptos" w:cs="Calibri"/>
                <w:color w:val="000000"/>
                <w:lang w:val="es-ES"/>
              </w:rPr>
            </w:pPr>
            <w:r w:rsidRPr="005E3D50">
              <w:rPr>
                <w:rFonts w:ascii="Aptos" w:hAnsi="Aptos"/>
                <w:color w:val="000000"/>
                <w:lang w:val="es-ES"/>
              </w:rPr>
              <w:t xml:space="preserve">Se están logrando progresos en el fortalecimiento de los marcos jurídicos y normativos para el uso y el comercio sostenibles de las especies silvestres, pero las pruebas son insuficientes para evaluar los progresos colectivos en todos los elementos de la meta. Los progresos señalados se concentran en el comercio regulado y en las prácticas de recolección sostenible, mientras que las importantes carencias en materia de conocimientos, seguimiento y capacidad limitan la implementación y la evaluación de la recolección sostenible. Las metas nacionales en general están armonizadas con la mayoría de los aspectos de la meta, excepto en lo que respecta a la reducción del riesgo de propagación de patógenos. Las carencias </w:t>
            </w:r>
            <w:r w:rsidR="00AD11B4" w:rsidRPr="005E3D50">
              <w:rPr>
                <w:rFonts w:ascii="Aptos" w:hAnsi="Aptos"/>
                <w:color w:val="000000"/>
                <w:lang w:val="es-ES"/>
              </w:rPr>
              <w:t xml:space="preserve">considerables </w:t>
            </w:r>
            <w:r w:rsidRPr="005E3D50">
              <w:rPr>
                <w:rFonts w:ascii="Aptos" w:hAnsi="Aptos"/>
                <w:color w:val="000000"/>
                <w:lang w:val="es-ES"/>
              </w:rPr>
              <w:t>de conocimientos</w:t>
            </w:r>
            <w:r w:rsidR="00C70E8A" w:rsidRPr="005E3D50">
              <w:rPr>
                <w:rFonts w:ascii="Aptos" w:hAnsi="Aptos"/>
                <w:color w:val="000000"/>
                <w:lang w:val="es-ES"/>
              </w:rPr>
              <w:t xml:space="preserve"> y</w:t>
            </w:r>
            <w:r w:rsidRPr="005E3D50">
              <w:rPr>
                <w:rFonts w:ascii="Aptos" w:hAnsi="Aptos"/>
                <w:color w:val="000000"/>
                <w:lang w:val="es-ES"/>
              </w:rPr>
              <w:t xml:space="preserve"> datos</w:t>
            </w:r>
            <w:r w:rsidR="00AD11B4" w:rsidRPr="005E3D50">
              <w:rPr>
                <w:rFonts w:ascii="Aptos" w:hAnsi="Aptos"/>
                <w:color w:val="000000"/>
                <w:lang w:val="es-ES"/>
              </w:rPr>
              <w:t xml:space="preserve"> y de carácter técnico</w:t>
            </w:r>
            <w:r w:rsidRPr="005E3D50">
              <w:rPr>
                <w:rFonts w:ascii="Aptos" w:hAnsi="Aptos"/>
                <w:color w:val="000000"/>
                <w:lang w:val="es-ES"/>
              </w:rPr>
              <w:t xml:space="preserve"> </w:t>
            </w:r>
            <w:r w:rsidR="00AD11B4" w:rsidRPr="005E3D50">
              <w:rPr>
                <w:rFonts w:ascii="Aptos" w:hAnsi="Aptos"/>
                <w:color w:val="000000"/>
                <w:lang w:val="es-ES"/>
              </w:rPr>
              <w:t>obstaculizan</w:t>
            </w:r>
            <w:r w:rsidRPr="005E3D50">
              <w:rPr>
                <w:rFonts w:ascii="Aptos" w:hAnsi="Aptos"/>
                <w:color w:val="000000"/>
                <w:lang w:val="es-ES"/>
              </w:rPr>
              <w:t xml:space="preserve"> </w:t>
            </w:r>
            <w:r w:rsidR="00C70E8A" w:rsidRPr="005E3D50">
              <w:rPr>
                <w:rFonts w:ascii="Aptos" w:hAnsi="Aptos"/>
                <w:color w:val="000000"/>
                <w:lang w:val="es-ES"/>
              </w:rPr>
              <w:t>los</w:t>
            </w:r>
            <w:r w:rsidRPr="005E3D50">
              <w:rPr>
                <w:rFonts w:ascii="Aptos" w:hAnsi="Aptos"/>
                <w:color w:val="000000"/>
                <w:lang w:val="es-ES"/>
              </w:rPr>
              <w:t xml:space="preserve"> progreso</w:t>
            </w:r>
            <w:r w:rsidR="00C70E8A" w:rsidRPr="005E3D50">
              <w:rPr>
                <w:rFonts w:ascii="Aptos" w:hAnsi="Aptos"/>
                <w:color w:val="000000"/>
                <w:lang w:val="es-ES"/>
              </w:rPr>
              <w:t>s</w:t>
            </w:r>
            <w:r w:rsidRPr="005E3D50">
              <w:rPr>
                <w:rFonts w:ascii="Aptos" w:hAnsi="Aptos"/>
                <w:color w:val="000000"/>
                <w:lang w:val="es-ES"/>
              </w:rPr>
              <w:t xml:space="preserve">, </w:t>
            </w:r>
            <w:r w:rsidR="00C70E8A" w:rsidRPr="005E3D50">
              <w:rPr>
                <w:rFonts w:ascii="Aptos" w:hAnsi="Aptos"/>
                <w:color w:val="000000"/>
                <w:lang w:val="es-ES"/>
              </w:rPr>
              <w:t>y</w:t>
            </w:r>
            <w:r w:rsidRPr="005E3D50">
              <w:rPr>
                <w:rFonts w:ascii="Aptos" w:hAnsi="Aptos"/>
                <w:color w:val="000000"/>
                <w:lang w:val="es-ES"/>
              </w:rPr>
              <w:t xml:space="preserve"> siguen existiendo limitaciones jurídicas, financieras, administrativas y de capacidad </w:t>
            </w:r>
            <w:r w:rsidR="00AD11B4" w:rsidRPr="005E3D50">
              <w:rPr>
                <w:rFonts w:ascii="Aptos" w:hAnsi="Aptos"/>
                <w:color w:val="000000"/>
                <w:lang w:val="es-ES"/>
              </w:rPr>
              <w:t>que dificultan</w:t>
            </w:r>
            <w:r w:rsidRPr="005E3D50">
              <w:rPr>
                <w:rFonts w:ascii="Aptos" w:hAnsi="Aptos"/>
                <w:color w:val="000000"/>
                <w:lang w:val="es-ES"/>
              </w:rPr>
              <w:t xml:space="preserve"> la implementación.</w:t>
            </w:r>
          </w:p>
          <w:p w14:paraId="5A41A992" w14:textId="13EF09AE" w:rsidR="00FD330F" w:rsidRPr="005E3D50" w:rsidRDefault="00FD330F" w:rsidP="009A6756">
            <w:pPr>
              <w:rPr>
                <w:lang w:val="es-ES"/>
              </w:rPr>
            </w:pPr>
          </w:p>
        </w:tc>
      </w:tr>
    </w:tbl>
    <w:p w14:paraId="3FC664F4" w14:textId="77777777" w:rsidR="00514E88" w:rsidRPr="005E3D50" w:rsidRDefault="00514E88" w:rsidP="00514E88">
      <w:pPr>
        <w:rPr>
          <w:lang w:val="es-ES"/>
        </w:rPr>
      </w:pPr>
    </w:p>
    <w:p w14:paraId="70874CA1" w14:textId="77777777" w:rsidR="00E03029" w:rsidRPr="005E3D50" w:rsidRDefault="00E03029" w:rsidP="00E03029">
      <w:pPr>
        <w:pStyle w:val="Heading5"/>
        <w:rPr>
          <w:lang w:val="es-ES"/>
        </w:rPr>
      </w:pPr>
    </w:p>
    <w:p w14:paraId="3A0A72DD" w14:textId="47144AD3" w:rsidR="00E03029" w:rsidRPr="005E3D50" w:rsidRDefault="00E03029" w:rsidP="00E03029">
      <w:pPr>
        <w:pStyle w:val="Heading5"/>
        <w:rPr>
          <w:lang w:val="es-ES"/>
        </w:rPr>
      </w:pPr>
      <w:r w:rsidRPr="005E3D50">
        <w:rPr>
          <w:lang w:val="es-ES"/>
        </w:rPr>
        <w:t>Grado en que las Partes cubren el alcance de la meta 5 del Marco en sus metas nacionales</w:t>
      </w:r>
    </w:p>
    <w:p w14:paraId="717A396A" w14:textId="77777777" w:rsidR="00EA404B" w:rsidRPr="005E3D50" w:rsidRDefault="00EA404B" w:rsidP="00E03029">
      <w:pPr>
        <w:pStyle w:val="Caption"/>
        <w:rPr>
          <w:lang w:val="es-ES"/>
        </w:rPr>
      </w:pPr>
    </w:p>
    <w:p w14:paraId="3384E5BA" w14:textId="05C04C3D" w:rsidR="0028090B" w:rsidRPr="005E3D50" w:rsidRDefault="0009187B" w:rsidP="0009187B">
      <w:pPr>
        <w:pStyle w:val="Caption"/>
        <w:keepNext/>
        <w:rPr>
          <w:i w:val="0"/>
          <w:iCs w:val="0"/>
          <w:sz w:val="20"/>
          <w:szCs w:val="20"/>
          <w:lang w:val="es-ES"/>
        </w:rPr>
      </w:pPr>
      <w:r w:rsidRPr="005E3D50">
        <w:rPr>
          <w:i w:val="0"/>
          <w:sz w:val="20"/>
          <w:szCs w:val="20"/>
          <w:lang w:val="es-ES"/>
        </w:rPr>
        <w:lastRenderedPageBreak/>
        <w:t>Cuadro 12</w:t>
      </w:r>
    </w:p>
    <w:p w14:paraId="5700362C" w14:textId="4B7EEBA3" w:rsidR="0009187B" w:rsidRPr="005E3D50" w:rsidRDefault="0009187B" w:rsidP="0009187B">
      <w:pPr>
        <w:pStyle w:val="Caption"/>
        <w:keepNext/>
        <w:rPr>
          <w:lang w:val="es-ES"/>
        </w:rPr>
      </w:pPr>
      <w:r w:rsidRPr="005E3D50">
        <w:rPr>
          <w:i w:val="0"/>
          <w:sz w:val="20"/>
          <w:szCs w:val="20"/>
          <w:lang w:val="es-ES"/>
        </w:rPr>
        <w:t xml:space="preserve"> </w:t>
      </w:r>
      <w:r w:rsidRPr="005E3D50">
        <w:rPr>
          <w:b/>
          <w:bCs/>
          <w:i w:val="0"/>
          <w:sz w:val="20"/>
          <w:szCs w:val="20"/>
          <w:lang w:val="es-ES"/>
        </w:rPr>
        <w:t xml:space="preserve">Elementos de la meta 5 del Marco y cómo se abordan en las metas </w:t>
      </w:r>
      <w:proofErr w:type="spellStart"/>
      <w:r w:rsidRPr="005E3D50">
        <w:rPr>
          <w:b/>
          <w:bCs/>
          <w:i w:val="0"/>
          <w:sz w:val="20"/>
          <w:szCs w:val="20"/>
          <w:lang w:val="es-ES"/>
        </w:rPr>
        <w:t>nacionales</w:t>
      </w:r>
      <w:r w:rsidRPr="005E3D50">
        <w:rPr>
          <w:i w:val="0"/>
          <w:iCs w:val="0"/>
          <w:sz w:val="20"/>
          <w:szCs w:val="20"/>
          <w:vertAlign w:val="superscript"/>
          <w:lang w:val="es-ES"/>
        </w:rPr>
        <w:t>a</w:t>
      </w:r>
      <w:proofErr w:type="spellEnd"/>
      <w:r w:rsidRPr="005E3D50">
        <w:rPr>
          <w:lang w:val="es-ES"/>
        </w:rPr>
        <w:t>.</w:t>
      </w:r>
      <w:r w:rsidRPr="005E3D50">
        <w:rPr>
          <w:i w:val="0"/>
          <w:iCs w:val="0"/>
          <w:sz w:val="20"/>
          <w:szCs w:val="20"/>
          <w:lang w:val="es-ES"/>
        </w:rPr>
        <w:t xml:space="preserve"> </w:t>
      </w:r>
    </w:p>
    <w:tbl>
      <w:tblPr>
        <w:tblStyle w:val="TableGrid"/>
        <w:tblW w:w="0" w:type="auto"/>
        <w:tblLook w:val="04A0" w:firstRow="1" w:lastRow="0" w:firstColumn="1" w:lastColumn="0" w:noHBand="0" w:noVBand="1"/>
      </w:tblPr>
      <w:tblGrid>
        <w:gridCol w:w="8359"/>
        <w:gridCol w:w="657"/>
      </w:tblGrid>
      <w:tr w:rsidR="00283FA7" w:rsidRPr="005E3D50" w14:paraId="7BCC6DE5" w14:textId="77777777" w:rsidTr="00600DBF">
        <w:tc>
          <w:tcPr>
            <w:tcW w:w="8359" w:type="dxa"/>
          </w:tcPr>
          <w:p w14:paraId="180752CF" w14:textId="77777777" w:rsidR="00283FA7" w:rsidRPr="005E3D50" w:rsidRDefault="00B079B4" w:rsidP="006D1392">
            <w:pPr>
              <w:rPr>
                <w:sz w:val="20"/>
                <w:szCs w:val="20"/>
                <w:lang w:val="es-ES"/>
              </w:rPr>
            </w:pPr>
            <w:r w:rsidRPr="005E3D50">
              <w:rPr>
                <w:sz w:val="20"/>
                <w:szCs w:val="20"/>
                <w:lang w:val="es-ES"/>
              </w:rPr>
              <w:t xml:space="preserve">Garantizar que el uso y la recolección de especies silvestres sean sostenibles </w:t>
            </w:r>
          </w:p>
          <w:p w14:paraId="0EB60FB3" w14:textId="11E8F610" w:rsidR="00232685" w:rsidRPr="005E3D50" w:rsidRDefault="00232685" w:rsidP="006D1392">
            <w:pPr>
              <w:rPr>
                <w:sz w:val="20"/>
                <w:szCs w:val="20"/>
                <w:lang w:val="es-ES"/>
              </w:rPr>
            </w:pPr>
          </w:p>
        </w:tc>
        <w:tc>
          <w:tcPr>
            <w:tcW w:w="657" w:type="dxa"/>
            <w:shd w:val="clear" w:color="auto" w:fill="00B050"/>
          </w:tcPr>
          <w:p w14:paraId="7984EEDC" w14:textId="1E59392F" w:rsidR="00283FA7" w:rsidRPr="005E3D50" w:rsidRDefault="00C572F7" w:rsidP="006D1392">
            <w:pPr>
              <w:rPr>
                <w:sz w:val="20"/>
                <w:szCs w:val="20"/>
                <w:lang w:val="es-ES"/>
              </w:rPr>
            </w:pPr>
            <w:r w:rsidRPr="005E3D50">
              <w:rPr>
                <w:sz w:val="20"/>
                <w:szCs w:val="20"/>
                <w:lang w:val="es-ES"/>
              </w:rPr>
              <w:t>86</w:t>
            </w:r>
          </w:p>
        </w:tc>
      </w:tr>
      <w:tr w:rsidR="00283FA7" w:rsidRPr="005E3D50" w14:paraId="31B25190" w14:textId="77777777" w:rsidTr="004F5CE1">
        <w:tc>
          <w:tcPr>
            <w:tcW w:w="8359" w:type="dxa"/>
          </w:tcPr>
          <w:p w14:paraId="6CE0DEA7" w14:textId="77777777" w:rsidR="00283FA7" w:rsidRPr="005E3D50" w:rsidRDefault="00023BAD" w:rsidP="006D1392">
            <w:pPr>
              <w:rPr>
                <w:sz w:val="20"/>
                <w:szCs w:val="20"/>
                <w:lang w:val="es-ES"/>
              </w:rPr>
            </w:pPr>
            <w:r w:rsidRPr="005E3D50">
              <w:rPr>
                <w:sz w:val="20"/>
                <w:szCs w:val="20"/>
                <w:lang w:val="es-ES"/>
              </w:rPr>
              <w:t>Garantizar que el comercio de especies silvestres sea sostenible</w:t>
            </w:r>
          </w:p>
          <w:p w14:paraId="6CA0F3AF" w14:textId="22BCE1CA" w:rsidR="00232685" w:rsidRPr="005E3D50" w:rsidRDefault="00232685" w:rsidP="006D1392">
            <w:pPr>
              <w:rPr>
                <w:sz w:val="20"/>
                <w:szCs w:val="20"/>
                <w:lang w:val="es-ES"/>
              </w:rPr>
            </w:pPr>
          </w:p>
        </w:tc>
        <w:tc>
          <w:tcPr>
            <w:tcW w:w="657" w:type="dxa"/>
            <w:shd w:val="clear" w:color="auto" w:fill="92D050"/>
          </w:tcPr>
          <w:p w14:paraId="75B16666" w14:textId="5B9B5648" w:rsidR="00283FA7" w:rsidRPr="005E3D50" w:rsidRDefault="004F5CE1" w:rsidP="006D1392">
            <w:pPr>
              <w:rPr>
                <w:sz w:val="20"/>
                <w:szCs w:val="20"/>
                <w:lang w:val="es-ES"/>
              </w:rPr>
            </w:pPr>
            <w:r w:rsidRPr="005E3D50">
              <w:rPr>
                <w:sz w:val="20"/>
                <w:szCs w:val="20"/>
                <w:lang w:val="es-ES"/>
              </w:rPr>
              <w:t>70</w:t>
            </w:r>
          </w:p>
        </w:tc>
      </w:tr>
      <w:tr w:rsidR="00283FA7" w:rsidRPr="005E3D50" w14:paraId="19D91A5F" w14:textId="77777777" w:rsidTr="001A26D1">
        <w:tc>
          <w:tcPr>
            <w:tcW w:w="8359" w:type="dxa"/>
          </w:tcPr>
          <w:p w14:paraId="3C7C999C" w14:textId="77777777" w:rsidR="00283FA7" w:rsidRPr="005E3D50" w:rsidRDefault="007C54A3" w:rsidP="006D1392">
            <w:pPr>
              <w:rPr>
                <w:sz w:val="20"/>
                <w:szCs w:val="20"/>
                <w:lang w:val="es-ES"/>
              </w:rPr>
            </w:pPr>
            <w:r w:rsidRPr="005E3D50">
              <w:rPr>
                <w:sz w:val="20"/>
                <w:szCs w:val="20"/>
                <w:lang w:val="es-ES"/>
              </w:rPr>
              <w:t xml:space="preserve">Garantizar que el uso, la recolección y el comercio de especies silvestres sean seguros </w:t>
            </w:r>
          </w:p>
          <w:p w14:paraId="20EFDA8E" w14:textId="3E9737EB" w:rsidR="00232685" w:rsidRPr="005E3D50" w:rsidRDefault="00232685" w:rsidP="006D1392">
            <w:pPr>
              <w:rPr>
                <w:sz w:val="20"/>
                <w:szCs w:val="20"/>
                <w:lang w:val="es-ES"/>
              </w:rPr>
            </w:pPr>
          </w:p>
        </w:tc>
        <w:tc>
          <w:tcPr>
            <w:tcW w:w="657" w:type="dxa"/>
            <w:shd w:val="clear" w:color="auto" w:fill="FFFF00"/>
          </w:tcPr>
          <w:p w14:paraId="2CA039E0" w14:textId="5CB354FF" w:rsidR="00283FA7" w:rsidRPr="005E3D50" w:rsidRDefault="001A26D1" w:rsidP="006D1392">
            <w:pPr>
              <w:rPr>
                <w:sz w:val="20"/>
                <w:szCs w:val="20"/>
                <w:lang w:val="es-ES"/>
              </w:rPr>
            </w:pPr>
            <w:r w:rsidRPr="005E3D50">
              <w:rPr>
                <w:sz w:val="20"/>
                <w:szCs w:val="20"/>
                <w:lang w:val="es-ES"/>
              </w:rPr>
              <w:t>50</w:t>
            </w:r>
          </w:p>
        </w:tc>
      </w:tr>
      <w:tr w:rsidR="00E546B2" w:rsidRPr="005E3D50" w14:paraId="45FB4D12" w14:textId="77777777" w:rsidTr="009D4669">
        <w:tc>
          <w:tcPr>
            <w:tcW w:w="8359" w:type="dxa"/>
          </w:tcPr>
          <w:p w14:paraId="06D9CCF8" w14:textId="47CE14F0" w:rsidR="00232685" w:rsidRPr="005E3D50" w:rsidRDefault="008E5CCB" w:rsidP="006D1392">
            <w:pPr>
              <w:rPr>
                <w:sz w:val="20"/>
                <w:szCs w:val="20"/>
                <w:lang w:val="es-ES"/>
              </w:rPr>
            </w:pPr>
            <w:r w:rsidRPr="005E3D50">
              <w:rPr>
                <w:sz w:val="20"/>
                <w:szCs w:val="20"/>
                <w:lang w:val="es-ES"/>
              </w:rPr>
              <w:t>Garantizar que el uso, la recolección y el comercio de especies silvestres prevengan la propagación de patógenos</w:t>
            </w:r>
          </w:p>
        </w:tc>
        <w:tc>
          <w:tcPr>
            <w:tcW w:w="657" w:type="dxa"/>
            <w:shd w:val="clear" w:color="auto" w:fill="FFC000"/>
          </w:tcPr>
          <w:p w14:paraId="6C990901" w14:textId="1BBF1965" w:rsidR="00E546B2" w:rsidRPr="005E3D50" w:rsidRDefault="009D4669" w:rsidP="006D1392">
            <w:pPr>
              <w:rPr>
                <w:sz w:val="20"/>
                <w:szCs w:val="20"/>
                <w:lang w:val="es-ES"/>
              </w:rPr>
            </w:pPr>
            <w:r w:rsidRPr="005E3D50">
              <w:rPr>
                <w:sz w:val="20"/>
                <w:szCs w:val="20"/>
                <w:lang w:val="es-ES"/>
              </w:rPr>
              <w:t>32</w:t>
            </w:r>
          </w:p>
        </w:tc>
      </w:tr>
      <w:tr w:rsidR="00283FA7" w:rsidRPr="005E3D50" w14:paraId="18AA64DC" w14:textId="77777777" w:rsidTr="00A04933">
        <w:tc>
          <w:tcPr>
            <w:tcW w:w="8359" w:type="dxa"/>
          </w:tcPr>
          <w:p w14:paraId="14AE3897" w14:textId="06CCC2E7" w:rsidR="00283FA7" w:rsidRPr="005E3D50" w:rsidRDefault="001118BD" w:rsidP="006D1392">
            <w:pPr>
              <w:rPr>
                <w:sz w:val="20"/>
                <w:szCs w:val="20"/>
                <w:lang w:val="es-ES"/>
              </w:rPr>
            </w:pPr>
            <w:r w:rsidRPr="005E3D50">
              <w:rPr>
                <w:sz w:val="20"/>
                <w:szCs w:val="20"/>
                <w:lang w:val="es-ES"/>
              </w:rPr>
              <w:t xml:space="preserve">Garantizar que el uso, la recolección y el comercio de especies silvestres sean lícitos </w:t>
            </w:r>
          </w:p>
          <w:p w14:paraId="38D579BE" w14:textId="49F7E9DF" w:rsidR="00232685" w:rsidRPr="005E3D50" w:rsidRDefault="00232685" w:rsidP="006D1392">
            <w:pPr>
              <w:rPr>
                <w:sz w:val="20"/>
                <w:szCs w:val="20"/>
                <w:lang w:val="es-ES"/>
              </w:rPr>
            </w:pPr>
          </w:p>
        </w:tc>
        <w:tc>
          <w:tcPr>
            <w:tcW w:w="657" w:type="dxa"/>
            <w:shd w:val="clear" w:color="auto" w:fill="92D050"/>
          </w:tcPr>
          <w:p w14:paraId="70AC2F95" w14:textId="4226C266" w:rsidR="00283FA7" w:rsidRPr="005E3D50" w:rsidRDefault="00802DDC" w:rsidP="006D1392">
            <w:pPr>
              <w:rPr>
                <w:sz w:val="20"/>
                <w:szCs w:val="20"/>
                <w:lang w:val="es-ES"/>
              </w:rPr>
            </w:pPr>
            <w:r w:rsidRPr="005E3D50">
              <w:rPr>
                <w:sz w:val="20"/>
                <w:szCs w:val="20"/>
                <w:lang w:val="es-ES"/>
              </w:rPr>
              <w:t>68</w:t>
            </w:r>
          </w:p>
        </w:tc>
      </w:tr>
      <w:tr w:rsidR="00283FA7" w:rsidRPr="005E3D50" w14:paraId="2C745192" w14:textId="77777777" w:rsidTr="008F5391">
        <w:tc>
          <w:tcPr>
            <w:tcW w:w="8359" w:type="dxa"/>
          </w:tcPr>
          <w:p w14:paraId="5BEC1DD1" w14:textId="418750E8" w:rsidR="00283FA7" w:rsidRPr="005E3D50" w:rsidRDefault="001118BD" w:rsidP="006D1392">
            <w:pPr>
              <w:rPr>
                <w:sz w:val="20"/>
                <w:szCs w:val="20"/>
                <w:lang w:val="es-ES"/>
              </w:rPr>
            </w:pPr>
            <w:r w:rsidRPr="005E3D50">
              <w:rPr>
                <w:sz w:val="20"/>
                <w:szCs w:val="20"/>
                <w:lang w:val="es-ES"/>
              </w:rPr>
              <w:t xml:space="preserve">Aplicar el enfoque por ecosistemas al abordar el uso, la recolección y el comercio de especies silvestres sostenibles, seguros y lícitos </w:t>
            </w:r>
          </w:p>
        </w:tc>
        <w:tc>
          <w:tcPr>
            <w:tcW w:w="657" w:type="dxa"/>
            <w:shd w:val="clear" w:color="auto" w:fill="92D050"/>
          </w:tcPr>
          <w:p w14:paraId="0C40C939" w14:textId="599854FD" w:rsidR="00283FA7" w:rsidRPr="005E3D50" w:rsidRDefault="008F5391" w:rsidP="006D1392">
            <w:pPr>
              <w:rPr>
                <w:sz w:val="20"/>
                <w:szCs w:val="20"/>
                <w:lang w:val="es-ES"/>
              </w:rPr>
            </w:pPr>
            <w:r w:rsidRPr="005E3D50">
              <w:rPr>
                <w:sz w:val="20"/>
                <w:szCs w:val="20"/>
                <w:lang w:val="es-ES"/>
              </w:rPr>
              <w:t>61</w:t>
            </w:r>
          </w:p>
        </w:tc>
      </w:tr>
      <w:tr w:rsidR="00283FA7" w:rsidRPr="005E3D50" w14:paraId="15E86A74" w14:textId="77777777" w:rsidTr="00D72D78">
        <w:tc>
          <w:tcPr>
            <w:tcW w:w="8359" w:type="dxa"/>
          </w:tcPr>
          <w:p w14:paraId="056A1AEB" w14:textId="6C6B381E" w:rsidR="00283FA7" w:rsidRPr="005E3D50" w:rsidRDefault="006D0E3D" w:rsidP="006D1392">
            <w:pPr>
              <w:rPr>
                <w:sz w:val="20"/>
                <w:szCs w:val="20"/>
                <w:lang w:val="es-ES"/>
              </w:rPr>
            </w:pPr>
            <w:r w:rsidRPr="005E3D50">
              <w:rPr>
                <w:sz w:val="20"/>
                <w:szCs w:val="20"/>
                <w:lang w:val="es-ES"/>
              </w:rPr>
              <w:t>Respetar y proteger la utilización consuetudinaria sostenible por los pueblos indígenas y las comunidades locales</w:t>
            </w:r>
          </w:p>
        </w:tc>
        <w:tc>
          <w:tcPr>
            <w:tcW w:w="657" w:type="dxa"/>
            <w:shd w:val="clear" w:color="auto" w:fill="FFFF00"/>
          </w:tcPr>
          <w:p w14:paraId="52976AC8" w14:textId="4F53300B" w:rsidR="00283FA7" w:rsidRPr="005E3D50" w:rsidRDefault="00D72D78" w:rsidP="006D1392">
            <w:pPr>
              <w:rPr>
                <w:sz w:val="20"/>
                <w:szCs w:val="20"/>
                <w:lang w:val="es-ES"/>
              </w:rPr>
            </w:pPr>
            <w:r w:rsidRPr="005E3D50">
              <w:rPr>
                <w:sz w:val="20"/>
                <w:szCs w:val="20"/>
                <w:lang w:val="es-ES"/>
              </w:rPr>
              <w:t>53</w:t>
            </w:r>
          </w:p>
        </w:tc>
      </w:tr>
      <w:tr w:rsidR="00693060" w:rsidRPr="005E3D50" w14:paraId="7915A1B8" w14:textId="77777777">
        <w:tc>
          <w:tcPr>
            <w:tcW w:w="9016" w:type="dxa"/>
            <w:gridSpan w:val="2"/>
          </w:tcPr>
          <w:p w14:paraId="41068035" w14:textId="77777777" w:rsidR="002762D0" w:rsidRDefault="002762D0" w:rsidP="00693060">
            <w:pPr>
              <w:pStyle w:val="p1"/>
              <w:keepNext/>
              <w:rPr>
                <w:rFonts w:asciiTheme="minorHAnsi" w:hAnsiTheme="minorHAnsi"/>
                <w:b/>
                <w:bCs/>
                <w:sz w:val="22"/>
                <w:szCs w:val="22"/>
                <w:lang w:val="es-ES"/>
              </w:rPr>
            </w:pPr>
          </w:p>
          <w:p w14:paraId="20A76482" w14:textId="1351B7D7" w:rsidR="00693060" w:rsidRPr="005E3D50" w:rsidRDefault="00693060" w:rsidP="00693060">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60 % de estos elementos en sus metas nacionales</w:t>
            </w:r>
          </w:p>
          <w:p w14:paraId="7F8A5617" w14:textId="77777777" w:rsidR="00693060" w:rsidRPr="005E3D50" w:rsidRDefault="00693060" w:rsidP="006D1392">
            <w:pPr>
              <w:rPr>
                <w:sz w:val="20"/>
                <w:szCs w:val="20"/>
                <w:lang w:val="es-ES"/>
              </w:rPr>
            </w:pPr>
          </w:p>
        </w:tc>
      </w:tr>
    </w:tbl>
    <w:p w14:paraId="6A7992A9" w14:textId="77777777" w:rsidR="00D31C9C" w:rsidRPr="005E3D50" w:rsidRDefault="00D31C9C" w:rsidP="00D31C9C">
      <w:pPr>
        <w:rPr>
          <w:lang w:val="es-ES"/>
        </w:rPr>
      </w:pPr>
    </w:p>
    <w:p w14:paraId="3AB3DB5A" w14:textId="1DE1D87F" w:rsidR="00A14A6B" w:rsidRPr="005E3D50" w:rsidRDefault="00A14A6B" w:rsidP="00A14A6B">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20F2E157" w14:textId="0BD76B4C" w:rsidR="00A14A6B" w:rsidRPr="005E3D50" w:rsidRDefault="00A14A6B" w:rsidP="00A14A6B">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lang w:val="es-ES"/>
        </w:rPr>
        <w:t xml:space="preserve"> </w:t>
      </w:r>
      <w:r w:rsidRPr="005E3D50">
        <w:rPr>
          <w:rFonts w:ascii="Aptos" w:hAnsi="Aptos"/>
          <w:sz w:val="16"/>
          <w:szCs w:val="16"/>
          <w:lang w:val="es-ES"/>
        </w:rPr>
        <w:t>Los elementos de cada meta fueron definidos por el Grupo Especial de Expertos Técnicos sobre los Indicadores para el Marco Mundial de Biodiversidad de Kunming-Montreal (véanse el anexo I del documento</w:t>
      </w:r>
      <w:r w:rsidRPr="005E3D50">
        <w:rPr>
          <w:rFonts w:ascii="Aptos" w:hAnsi="Aptos"/>
          <w:lang w:val="es-ES"/>
        </w:rPr>
        <w:t xml:space="preserve"> </w:t>
      </w:r>
      <w:hyperlink r:id="rId80" w:history="1">
        <w:r w:rsidRPr="005E3D50">
          <w:rPr>
            <w:rStyle w:val="Hyperlink"/>
            <w:rFonts w:ascii="Aptos" w:hAnsi="Aptos"/>
            <w:sz w:val="16"/>
            <w:szCs w:val="16"/>
            <w:lang w:val="es-ES"/>
          </w:rPr>
          <w:t>CBD/COP/16/INF/4</w:t>
        </w:r>
      </w:hyperlink>
      <w:r w:rsidRPr="005E3D50">
        <w:rPr>
          <w:lang w:val="es-ES"/>
        </w:rPr>
        <w:t xml:space="preserve"> </w:t>
      </w:r>
      <w:r w:rsidRPr="005E3D50">
        <w:rPr>
          <w:rFonts w:ascii="Aptos" w:hAnsi="Aptos"/>
          <w:sz w:val="16"/>
          <w:szCs w:val="16"/>
          <w:lang w:val="es-ES"/>
        </w:rPr>
        <w:t>y Affinito y otros, 2025). En el documento </w:t>
      </w:r>
      <w:hyperlink r:id="rId81" w:history="1">
        <w:r w:rsidRPr="005E3D50">
          <w:rPr>
            <w:rStyle w:val="Hyperlink"/>
            <w:rFonts w:ascii="Aptos" w:hAnsi="Aptos"/>
            <w:sz w:val="16"/>
            <w:szCs w:val="16"/>
            <w:lang w:val="es-ES"/>
          </w:rPr>
          <w:t>CBD/SBI/7/INF/22</w:t>
        </w:r>
      </w:hyperlink>
      <w:r w:rsidRPr="005E3D50">
        <w:rPr>
          <w:rFonts w:ascii="Aptos" w:hAnsi="Aptos"/>
          <w:sz w:val="16"/>
          <w:szCs w:val="16"/>
          <w:lang w:val="es-ES"/>
        </w:rPr>
        <w:t xml:space="preserve"> se expone en detalle la metodología empleada para el análisis de las metas nacionales.</w:t>
      </w:r>
      <w:r w:rsidRPr="005E3D50">
        <w:rPr>
          <w:rStyle w:val="normaltextrun"/>
          <w:rFonts w:ascii="Aptos" w:hAnsi="Aptos"/>
          <w:sz w:val="16"/>
          <w:szCs w:val="16"/>
          <w:lang w:val="es-ES"/>
        </w:rPr>
        <w:t> </w:t>
      </w:r>
    </w:p>
    <w:p w14:paraId="20BB91B0" w14:textId="77777777" w:rsidR="00A14A6B" w:rsidRPr="005E3D50" w:rsidRDefault="00A14A6B" w:rsidP="00A14A6B">
      <w:pPr>
        <w:rPr>
          <w:lang w:val="es-ES" w:eastAsia="ja-JP"/>
        </w:rPr>
      </w:pPr>
    </w:p>
    <w:p w14:paraId="4D77BFC3" w14:textId="77777777" w:rsidR="00811663" w:rsidRPr="005E3D50" w:rsidRDefault="00811663" w:rsidP="00D31C9C">
      <w:pPr>
        <w:rPr>
          <w:lang w:val="es-ES"/>
        </w:rPr>
      </w:pPr>
    </w:p>
    <w:p w14:paraId="35497E9A" w14:textId="3CC2CA8A" w:rsidR="00AF6FD3" w:rsidRPr="005E3D50" w:rsidRDefault="00AF6FD3" w:rsidP="00AF6FD3">
      <w:pPr>
        <w:rPr>
          <w:lang w:val="es-ES"/>
        </w:rPr>
      </w:pPr>
      <w:r w:rsidRPr="005E3D50">
        <w:rPr>
          <w:lang w:val="es-ES"/>
        </w:rPr>
        <w:t>Si bien la mayoría de los elementos de la meta 5 están bien abordados por las Partes en sus metas nacionales, existen carencias importantes (véase el cuadro 12). La gran mayoría de las Partes (86 %) tienen metas nacionales que abordan en cierta medida la sostenibilidad del uso y la recolección de especies silvestres. Más de dos tercios de las Partes también abordan la sostenibilidad del comercio de especies silvestres (70 %) y la legalidad del uso, la recolección y el comercio de especies silvestres (68 %). Menos de dos tercios (61 %) tienen metas nacionales en las que se aplica el enfoque por ecosistemas, y poco más de la mitad (53 %) abordan el elemento de la meta 5 relacionado con el respeto y la protección de la utilización consuetudinaria sostenible por los pueblos indígenas y las comunidades locales. Sin embargo, solo la mitad de las Partes abordan la seguridad del uso, la recolección y el comercio de especies silvestres, y menos de un tercio de las Partes (32 %) tienen metas nacionales para prevenir la propagación de patógenos derivada del uso, la recolección y el comercio de especies silvestres.</w:t>
      </w:r>
    </w:p>
    <w:p w14:paraId="26E5D8B1" w14:textId="77777777" w:rsidR="00AF6FD3" w:rsidRPr="005E3D50" w:rsidRDefault="00AF6FD3" w:rsidP="00AF6FD3">
      <w:pPr>
        <w:rPr>
          <w:lang w:val="es-ES"/>
        </w:rPr>
      </w:pPr>
      <w:bookmarkStart w:id="206" w:name="_Toc235821105"/>
    </w:p>
    <w:p w14:paraId="1E39EBC2" w14:textId="77777777" w:rsidR="00B70AA4" w:rsidRPr="005E3D50" w:rsidRDefault="00B70AA4" w:rsidP="00B70AA4">
      <w:pPr>
        <w:pStyle w:val="Heading5"/>
        <w:rPr>
          <w:lang w:val="es-ES"/>
        </w:rPr>
      </w:pPr>
      <w:r w:rsidRPr="005E3D50">
        <w:rPr>
          <w:lang w:val="es-ES"/>
        </w:rPr>
        <w:t>Indicadores de progresos</w:t>
      </w:r>
      <w:bookmarkEnd w:id="206"/>
    </w:p>
    <w:p w14:paraId="718F9A92" w14:textId="77777777" w:rsidR="00242366" w:rsidRPr="005E3D50" w:rsidRDefault="00242366" w:rsidP="00242366">
      <w:pPr>
        <w:rPr>
          <w:lang w:val="es-ES"/>
        </w:rPr>
      </w:pPr>
    </w:p>
    <w:p w14:paraId="788AD9AE" w14:textId="23CB69D0" w:rsidR="00242366" w:rsidRPr="005E3D50" w:rsidRDefault="000927E9" w:rsidP="000927E9">
      <w:pPr>
        <w:pStyle w:val="Caption"/>
        <w:rPr>
          <w:i w:val="0"/>
          <w:iCs w:val="0"/>
          <w:sz w:val="20"/>
          <w:szCs w:val="20"/>
          <w:lang w:val="es-ES"/>
        </w:rPr>
      </w:pPr>
      <w:r w:rsidRPr="005E3D50">
        <w:rPr>
          <w:i w:val="0"/>
          <w:sz w:val="20"/>
          <w:szCs w:val="20"/>
          <w:lang w:val="es-ES"/>
        </w:rPr>
        <w:t>Cuadro 13</w:t>
      </w:r>
      <w:r w:rsidRPr="005E3D50">
        <w:rPr>
          <w:i w:val="0"/>
          <w:iCs w:val="0"/>
          <w:sz w:val="20"/>
          <w:szCs w:val="20"/>
          <w:lang w:val="es-ES"/>
        </w:rPr>
        <w:t xml:space="preserve"> </w:t>
      </w:r>
    </w:p>
    <w:p w14:paraId="7FD2D54C" w14:textId="4BC1A72C" w:rsidR="000927E9" w:rsidRPr="005E3D50" w:rsidRDefault="000927E9" w:rsidP="000927E9">
      <w:pPr>
        <w:pStyle w:val="Caption"/>
        <w:rPr>
          <w:b/>
          <w:sz w:val="20"/>
          <w:szCs w:val="20"/>
          <w:lang w:val="es-ES"/>
        </w:rPr>
      </w:pPr>
      <w:r w:rsidRPr="005E3D50">
        <w:rPr>
          <w:b/>
          <w:bCs/>
          <w:i w:val="0"/>
          <w:iCs w:val="0"/>
          <w:sz w:val="20"/>
          <w:szCs w:val="20"/>
          <w:lang w:val="es-ES"/>
        </w:rPr>
        <w:t>Tablero de puntuación para indicadores de la meta 5 del Marco</w:t>
      </w:r>
      <w:r w:rsidRPr="005E3D50">
        <w:rPr>
          <w:b/>
          <w:bCs/>
          <w:sz w:val="20"/>
          <w:szCs w:val="20"/>
          <w:lang w:val="es-ES"/>
        </w:rPr>
        <w:t xml:space="preserve"> </w:t>
      </w:r>
    </w:p>
    <w:tbl>
      <w:tblPr>
        <w:tblW w:w="9016" w:type="dxa"/>
        <w:tblLook w:val="04A0" w:firstRow="1" w:lastRow="0" w:firstColumn="1" w:lastColumn="0" w:noHBand="0" w:noVBand="1"/>
      </w:tblPr>
      <w:tblGrid>
        <w:gridCol w:w="2634"/>
        <w:gridCol w:w="1754"/>
        <w:gridCol w:w="827"/>
        <w:gridCol w:w="3147"/>
        <w:gridCol w:w="654"/>
      </w:tblGrid>
      <w:tr w:rsidR="009F0402" w:rsidRPr="005E3D50" w14:paraId="34CF260F" w14:textId="77777777" w:rsidTr="00826361">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tcPr>
          <w:p w14:paraId="0299ACCF"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581" w:type="dxa"/>
            <w:gridSpan w:val="2"/>
            <w:tcBorders>
              <w:top w:val="single" w:sz="4" w:space="0" w:color="auto"/>
              <w:left w:val="nil"/>
              <w:bottom w:val="single" w:sz="4" w:space="0" w:color="auto"/>
              <w:right w:val="single" w:sz="4" w:space="0" w:color="auto"/>
            </w:tcBorders>
            <w:vAlign w:val="center"/>
          </w:tcPr>
          <w:p w14:paraId="5C873EB7"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801" w:type="dxa"/>
            <w:gridSpan w:val="2"/>
            <w:tcBorders>
              <w:top w:val="single" w:sz="4" w:space="0" w:color="auto"/>
              <w:left w:val="nil"/>
              <w:bottom w:val="single" w:sz="4" w:space="0" w:color="auto"/>
              <w:right w:val="single" w:sz="4" w:space="0" w:color="auto"/>
            </w:tcBorders>
            <w:vAlign w:val="center"/>
          </w:tcPr>
          <w:p w14:paraId="4B7DD131" w14:textId="77777777" w:rsidR="009F0402" w:rsidRPr="005E3D50" w:rsidRDefault="009F040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Resultados del indicador</w:t>
            </w:r>
          </w:p>
        </w:tc>
      </w:tr>
      <w:tr w:rsidR="009F0402" w:rsidRPr="005E3D50" w14:paraId="39BE7C73" w14:textId="77777777" w:rsidTr="00826361">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DE73" w14:textId="4E307AA2" w:rsidR="009F0402" w:rsidRPr="005E3D50" w:rsidRDefault="0092324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de cabecera 5.1: proporción de poblaciones de peces cuyos niveles son biológicamente sostenibles</w:t>
            </w:r>
          </w:p>
        </w:tc>
        <w:tc>
          <w:tcPr>
            <w:tcW w:w="1754" w:type="dxa"/>
            <w:tcBorders>
              <w:top w:val="single" w:sz="4" w:space="0" w:color="auto"/>
              <w:left w:val="nil"/>
              <w:bottom w:val="single" w:sz="4" w:space="0" w:color="auto"/>
              <w:right w:val="single" w:sz="4" w:space="0" w:color="auto"/>
            </w:tcBorders>
            <w:vAlign w:val="center"/>
            <w:hideMark/>
          </w:tcPr>
          <w:p w14:paraId="6BA9A2D0" w14:textId="4A35FC89" w:rsidR="009F0402" w:rsidRPr="005E3D50" w:rsidRDefault="009F040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27 % de las Partes</w:t>
            </w:r>
          </w:p>
        </w:tc>
        <w:tc>
          <w:tcPr>
            <w:tcW w:w="827" w:type="dxa"/>
            <w:tcBorders>
              <w:top w:val="single" w:sz="4" w:space="0" w:color="auto"/>
              <w:left w:val="nil"/>
              <w:bottom w:val="single" w:sz="4" w:space="0" w:color="auto"/>
              <w:right w:val="single" w:sz="4" w:space="0" w:color="auto"/>
            </w:tcBorders>
            <w:shd w:val="clear" w:color="auto" w:fill="C00000"/>
            <w:vAlign w:val="center"/>
            <w:hideMark/>
          </w:tcPr>
          <w:p w14:paraId="65D7F8E0"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47" w:type="dxa"/>
            <w:tcBorders>
              <w:top w:val="single" w:sz="4" w:space="0" w:color="auto"/>
              <w:left w:val="nil"/>
              <w:bottom w:val="single" w:sz="4" w:space="0" w:color="auto"/>
              <w:right w:val="single" w:sz="4" w:space="0" w:color="auto"/>
            </w:tcBorders>
            <w:vAlign w:val="center"/>
            <w:hideMark/>
          </w:tcPr>
          <w:p w14:paraId="21CF10CB" w14:textId="77777777" w:rsidR="003A35B8" w:rsidRPr="005E3D50" w:rsidRDefault="003A35B8" w:rsidP="003A35B8">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Promedio general: 60 % (intervalo: 14 % a 100 %)</w:t>
            </w:r>
          </w:p>
          <w:p w14:paraId="52A28271" w14:textId="1FC3F179" w:rsidR="009F0402" w:rsidRPr="005E3D50" w:rsidRDefault="009F040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Tendencia creciente a lo largo del tiempo</w:t>
            </w:r>
          </w:p>
        </w:tc>
        <w:tc>
          <w:tcPr>
            <w:tcW w:w="654" w:type="dxa"/>
            <w:tcBorders>
              <w:top w:val="single" w:sz="4" w:space="0" w:color="auto"/>
              <w:left w:val="nil"/>
              <w:bottom w:val="single" w:sz="4" w:space="0" w:color="auto"/>
              <w:right w:val="single" w:sz="4" w:space="0" w:color="auto"/>
            </w:tcBorders>
            <w:shd w:val="clear" w:color="auto" w:fill="92D050"/>
          </w:tcPr>
          <w:p w14:paraId="3F72FF72" w14:textId="77777777" w:rsidR="009F0402" w:rsidRPr="005E3D50" w:rsidRDefault="009F0402">
            <w:pPr>
              <w:spacing w:after="0" w:line="240" w:lineRule="auto"/>
              <w:rPr>
                <w:rFonts w:ascii="Aptos" w:eastAsia="Times New Roman" w:hAnsi="Aptos" w:cs="Calibri"/>
                <w:color w:val="000000"/>
                <w:kern w:val="0"/>
                <w:sz w:val="20"/>
                <w:szCs w:val="20"/>
                <w:lang w:val="es-ES" w:eastAsia="en-CA"/>
                <w14:ligatures w14:val="none"/>
              </w:rPr>
            </w:pPr>
          </w:p>
        </w:tc>
      </w:tr>
      <w:tr w:rsidR="009F0402" w:rsidRPr="005E3D50" w14:paraId="1C62AB1E" w14:textId="77777777" w:rsidTr="00826361">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5BB91EEB" w14:textId="535181D1" w:rsidR="009F0402" w:rsidRPr="005E3D50" w:rsidRDefault="0092324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binario 5.b: número de países que cuentan con instrumentos jurídicos u otros marcos de políticas que regulan el comercio de especies silvestres</w:t>
            </w:r>
          </w:p>
        </w:tc>
        <w:tc>
          <w:tcPr>
            <w:tcW w:w="1754" w:type="dxa"/>
            <w:tcBorders>
              <w:top w:val="nil"/>
              <w:left w:val="nil"/>
              <w:bottom w:val="single" w:sz="4" w:space="0" w:color="auto"/>
              <w:right w:val="single" w:sz="4" w:space="0" w:color="auto"/>
            </w:tcBorders>
            <w:vAlign w:val="center"/>
            <w:hideMark/>
          </w:tcPr>
          <w:p w14:paraId="67E400B9"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127 </w:t>
            </w:r>
            <w:proofErr w:type="gramStart"/>
            <w:r w:rsidRPr="005E3D50">
              <w:rPr>
                <w:rFonts w:ascii="Aptos" w:hAnsi="Aptos"/>
                <w:color w:val="000000"/>
                <w:sz w:val="20"/>
                <w:szCs w:val="20"/>
                <w:lang w:val="es-ES"/>
              </w:rPr>
              <w:t>Partes</w:t>
            </w:r>
            <w:proofErr w:type="gramEnd"/>
          </w:p>
        </w:tc>
        <w:tc>
          <w:tcPr>
            <w:tcW w:w="827" w:type="dxa"/>
            <w:tcBorders>
              <w:top w:val="nil"/>
              <w:left w:val="nil"/>
              <w:bottom w:val="single" w:sz="4" w:space="0" w:color="auto"/>
              <w:right w:val="single" w:sz="4" w:space="0" w:color="auto"/>
            </w:tcBorders>
            <w:vAlign w:val="center"/>
            <w:hideMark/>
          </w:tcPr>
          <w:p w14:paraId="30FCB3DE" w14:textId="4232A13D" w:rsidR="009F0402" w:rsidRPr="005E3D50" w:rsidRDefault="00184A43">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n. </w:t>
            </w:r>
            <w:proofErr w:type="spellStart"/>
            <w:proofErr w:type="gramStart"/>
            <w:r w:rsidRPr="005E3D50">
              <w:rPr>
                <w:rFonts w:ascii="Aptos" w:hAnsi="Aptos"/>
                <w:color w:val="000000"/>
                <w:sz w:val="20"/>
                <w:szCs w:val="20"/>
                <w:lang w:val="es-ES"/>
              </w:rPr>
              <w:t>a.</w:t>
            </w:r>
            <w:r w:rsidRPr="005E3D50">
              <w:rPr>
                <w:rFonts w:ascii="Aptos" w:hAnsi="Aptos"/>
                <w:i/>
                <w:iCs/>
                <w:color w:val="000000"/>
                <w:sz w:val="20"/>
                <w:szCs w:val="20"/>
                <w:vertAlign w:val="superscript"/>
                <w:lang w:val="es-ES"/>
              </w:rPr>
              <w:t>a</w:t>
            </w:r>
            <w:proofErr w:type="spellEnd"/>
            <w:proofErr w:type="gramEnd"/>
          </w:p>
        </w:tc>
        <w:tc>
          <w:tcPr>
            <w:tcW w:w="3147" w:type="dxa"/>
            <w:tcBorders>
              <w:top w:val="nil"/>
              <w:left w:val="nil"/>
              <w:bottom w:val="single" w:sz="4" w:space="0" w:color="auto"/>
              <w:right w:val="single" w:sz="4" w:space="0" w:color="auto"/>
            </w:tcBorders>
            <w:vAlign w:val="center"/>
            <w:hideMark/>
          </w:tcPr>
          <w:p w14:paraId="698D0C62" w14:textId="0E03A048" w:rsidR="009F0402" w:rsidRPr="005E3D50" w:rsidRDefault="009F040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El 98 % de las Partes tuvieron una puntuación alta (puntuación de 4 o 5)</w:t>
            </w:r>
          </w:p>
        </w:tc>
        <w:tc>
          <w:tcPr>
            <w:tcW w:w="654" w:type="dxa"/>
            <w:tcBorders>
              <w:top w:val="nil"/>
              <w:left w:val="nil"/>
              <w:bottom w:val="single" w:sz="4" w:space="0" w:color="auto"/>
              <w:right w:val="single" w:sz="4" w:space="0" w:color="auto"/>
            </w:tcBorders>
            <w:shd w:val="clear" w:color="auto" w:fill="92D050"/>
          </w:tcPr>
          <w:p w14:paraId="63210968" w14:textId="77777777" w:rsidR="009F0402" w:rsidRPr="005E3D50" w:rsidRDefault="009F0402">
            <w:pPr>
              <w:spacing w:after="0" w:line="240" w:lineRule="auto"/>
              <w:rPr>
                <w:rFonts w:ascii="Aptos" w:eastAsia="Times New Roman" w:hAnsi="Aptos" w:cs="Times New Roman"/>
                <w:color w:val="000000"/>
                <w:kern w:val="0"/>
                <w:sz w:val="20"/>
                <w:szCs w:val="20"/>
                <w:lang w:val="es-ES" w:eastAsia="en-CA"/>
                <w14:ligatures w14:val="none"/>
              </w:rPr>
            </w:pPr>
          </w:p>
          <w:p w14:paraId="0572B3A6" w14:textId="77777777" w:rsidR="009F0402" w:rsidRPr="005E3D50" w:rsidRDefault="009F0402">
            <w:pPr>
              <w:spacing w:after="0" w:line="240" w:lineRule="auto"/>
              <w:rPr>
                <w:rFonts w:ascii="Aptos" w:eastAsia="Times New Roman" w:hAnsi="Aptos" w:cs="Times New Roman"/>
                <w:color w:val="000000"/>
                <w:kern w:val="0"/>
                <w:sz w:val="20"/>
                <w:szCs w:val="20"/>
                <w:lang w:val="es-ES" w:eastAsia="en-CA"/>
                <w14:ligatures w14:val="none"/>
              </w:rPr>
            </w:pPr>
          </w:p>
        </w:tc>
      </w:tr>
      <w:tr w:rsidR="009F0402" w:rsidRPr="005E3D50" w14:paraId="7323D90C" w14:textId="77777777" w:rsidTr="00826361">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104B6023"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1754" w:type="dxa"/>
            <w:tcBorders>
              <w:top w:val="nil"/>
              <w:left w:val="nil"/>
              <w:bottom w:val="single" w:sz="4" w:space="0" w:color="auto"/>
              <w:right w:val="single" w:sz="4" w:space="0" w:color="auto"/>
            </w:tcBorders>
            <w:vAlign w:val="center"/>
            <w:hideMark/>
          </w:tcPr>
          <w:p w14:paraId="36B3E812" w14:textId="229C23C8" w:rsidR="009F0402" w:rsidRPr="005E3D50" w:rsidRDefault="009F040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43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33 %</w:t>
            </w:r>
          </w:p>
        </w:tc>
        <w:tc>
          <w:tcPr>
            <w:tcW w:w="827" w:type="dxa"/>
            <w:tcBorders>
              <w:top w:val="nil"/>
              <w:left w:val="nil"/>
              <w:bottom w:val="single" w:sz="4" w:space="0" w:color="auto"/>
              <w:right w:val="single" w:sz="4" w:space="0" w:color="auto"/>
            </w:tcBorders>
            <w:shd w:val="clear" w:color="000000" w:fill="FFC000"/>
            <w:vAlign w:val="center"/>
            <w:hideMark/>
          </w:tcPr>
          <w:p w14:paraId="2EDACDB6" w14:textId="77777777" w:rsidR="009F0402" w:rsidRPr="005E3D50" w:rsidRDefault="009F040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47" w:type="dxa"/>
            <w:tcBorders>
              <w:top w:val="nil"/>
              <w:left w:val="nil"/>
              <w:bottom w:val="single" w:sz="4" w:space="0" w:color="auto"/>
              <w:right w:val="single" w:sz="4" w:space="0" w:color="auto"/>
            </w:tcBorders>
            <w:vAlign w:val="center"/>
            <w:hideMark/>
          </w:tcPr>
          <w:p w14:paraId="1E879BD8" w14:textId="77777777" w:rsidR="009F650C" w:rsidRPr="005E3D50" w:rsidRDefault="009F650C" w:rsidP="009F650C">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33 % registran tendencias positivas </w:t>
            </w:r>
          </w:p>
          <w:p w14:paraId="315519C4" w14:textId="5372625E" w:rsidR="009F0402" w:rsidRPr="005E3D50" w:rsidRDefault="009F040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17 % registran tendencias negativas</w:t>
            </w:r>
          </w:p>
        </w:tc>
        <w:tc>
          <w:tcPr>
            <w:tcW w:w="654" w:type="dxa"/>
            <w:tcBorders>
              <w:top w:val="nil"/>
              <w:left w:val="nil"/>
              <w:bottom w:val="single" w:sz="4" w:space="0" w:color="auto"/>
              <w:right w:val="single" w:sz="4" w:space="0" w:color="auto"/>
            </w:tcBorders>
            <w:shd w:val="clear" w:color="auto" w:fill="FFC000"/>
          </w:tcPr>
          <w:p w14:paraId="28CA4773" w14:textId="77777777" w:rsidR="009F0402" w:rsidRPr="005E3D50" w:rsidRDefault="009F0402">
            <w:pPr>
              <w:spacing w:after="0" w:line="240" w:lineRule="auto"/>
              <w:rPr>
                <w:rFonts w:ascii="Aptos" w:eastAsia="Times New Roman" w:hAnsi="Aptos" w:cs="Times New Roman"/>
                <w:color w:val="000000"/>
                <w:kern w:val="0"/>
                <w:sz w:val="20"/>
                <w:szCs w:val="20"/>
                <w:lang w:val="es-ES" w:eastAsia="en-CA"/>
                <w14:ligatures w14:val="none"/>
              </w:rPr>
            </w:pPr>
          </w:p>
        </w:tc>
      </w:tr>
      <w:tr w:rsidR="009F0402" w:rsidRPr="005E3D50" w14:paraId="5A7D4A13"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tcPr>
          <w:p w14:paraId="414A8C22" w14:textId="77777777" w:rsidR="009F0402" w:rsidRPr="005E3D50" w:rsidRDefault="009F0402">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Observaciones </w:t>
            </w:r>
          </w:p>
        </w:tc>
        <w:tc>
          <w:tcPr>
            <w:tcW w:w="6382" w:type="dxa"/>
            <w:gridSpan w:val="4"/>
            <w:tcBorders>
              <w:top w:val="nil"/>
              <w:left w:val="nil"/>
              <w:bottom w:val="single" w:sz="4" w:space="0" w:color="auto"/>
              <w:right w:val="single" w:sz="4" w:space="0" w:color="auto"/>
            </w:tcBorders>
            <w:vAlign w:val="center"/>
          </w:tcPr>
          <w:p w14:paraId="63EEC80B" w14:textId="4131581C" w:rsidR="009F0402" w:rsidRPr="005E3D50" w:rsidRDefault="009F0402">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Los valores de los indicadores </w:t>
            </w:r>
            <w:proofErr w:type="gramStart"/>
            <w:r w:rsidRPr="005E3D50">
              <w:rPr>
                <w:rFonts w:ascii="Aptos" w:hAnsi="Aptos"/>
                <w:color w:val="000000"/>
                <w:sz w:val="20"/>
                <w:szCs w:val="20"/>
                <w:lang w:val="es-ES"/>
              </w:rPr>
              <w:t>se centran principalmente en</w:t>
            </w:r>
            <w:proofErr w:type="gramEnd"/>
            <w:r w:rsidRPr="005E3D50">
              <w:rPr>
                <w:rFonts w:ascii="Aptos" w:hAnsi="Aptos"/>
                <w:color w:val="000000"/>
                <w:sz w:val="20"/>
                <w:szCs w:val="20"/>
                <w:lang w:val="es-ES"/>
              </w:rPr>
              <w:t xml:space="preserve"> las poblacion</w:t>
            </w:r>
            <w:r w:rsidR="00E26231" w:rsidRPr="005E3D50">
              <w:rPr>
                <w:rFonts w:ascii="Aptos" w:hAnsi="Aptos"/>
                <w:color w:val="000000"/>
                <w:sz w:val="20"/>
                <w:szCs w:val="20"/>
                <w:lang w:val="es-ES"/>
              </w:rPr>
              <w:t>es de peces de interés nacional</w:t>
            </w:r>
          </w:p>
        </w:tc>
      </w:tr>
    </w:tbl>
    <w:p w14:paraId="138FB351" w14:textId="77777777" w:rsidR="009F0402" w:rsidRPr="005E3D50" w:rsidRDefault="009F0402" w:rsidP="009F0402">
      <w:pPr>
        <w:rPr>
          <w:rFonts w:ascii="Aptos" w:hAnsi="Aptos"/>
          <w:strike/>
          <w:lang w:val="es-ES"/>
        </w:rPr>
      </w:pPr>
    </w:p>
    <w:p w14:paraId="1E0AA189" w14:textId="18BD800B" w:rsidR="00D128AB" w:rsidRPr="005E3D50" w:rsidRDefault="00D128AB" w:rsidP="00D128AB">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18E3D5D8" w14:textId="77777777" w:rsidR="00D128AB" w:rsidRPr="005E3D50" w:rsidRDefault="00D128AB" w:rsidP="00D128AB">
      <w:pPr>
        <w:pStyle w:val="FootnoteText"/>
        <w:rPr>
          <w:sz w:val="16"/>
          <w:szCs w:val="16"/>
          <w:lang w:val="es-ES"/>
        </w:rPr>
      </w:pPr>
      <w:proofErr w:type="gramStart"/>
      <w:r w:rsidRPr="005E3D50">
        <w:rPr>
          <w:vertAlign w:val="superscript"/>
          <w:lang w:val="es-ES"/>
        </w:rPr>
        <w:t>a</w:t>
      </w:r>
      <w:proofErr w:type="gramEnd"/>
      <w:r w:rsidRPr="005E3D50">
        <w:rPr>
          <w:sz w:val="16"/>
          <w:szCs w:val="16"/>
          <w:lang w:val="es-ES"/>
        </w:rPr>
        <w:t xml:space="preserve"> 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5E35EFD0" w14:textId="77777777" w:rsidR="00457D18" w:rsidRPr="005E3D50" w:rsidRDefault="00457D18" w:rsidP="009F0402">
      <w:pPr>
        <w:rPr>
          <w:rFonts w:ascii="Aptos" w:hAnsi="Aptos"/>
          <w:strike/>
          <w:lang w:val="es-ES"/>
        </w:rPr>
      </w:pPr>
    </w:p>
    <w:p w14:paraId="44218379" w14:textId="594FE6CA" w:rsidR="005A10B5" w:rsidRPr="005E3D50" w:rsidRDefault="00457D18" w:rsidP="005A10B5">
      <w:pPr>
        <w:rPr>
          <w:rFonts w:ascii="Aptos" w:hAnsi="Aptos"/>
          <w:lang w:val="es-ES"/>
        </w:rPr>
      </w:pPr>
      <w:r w:rsidRPr="005E3D50">
        <w:rPr>
          <w:lang w:val="es-ES"/>
        </w:rPr>
        <w:lastRenderedPageBreak/>
        <w:t>Varias Partes señalaron la dificultad de informar sobre el indicador de cabecera 5.1 (proporción de poblaciones de peces cuyos niveles son biológicamente sostenibles) debido a la falta de un seguimiento fiable de la pesca y a la dependencia de órganos regionales de pesca u organizaciones internacionales para realizar evaluaciones de la sostenibilidad de las poblaciones.</w:t>
      </w:r>
      <w:r w:rsidRPr="005E3D50">
        <w:rPr>
          <w:rFonts w:ascii="Arial" w:hAnsi="Arial"/>
          <w:lang w:val="es-ES"/>
        </w:rPr>
        <w:t> </w:t>
      </w:r>
      <w:r w:rsidRPr="005E3D50">
        <w:rPr>
          <w:lang w:val="es-ES"/>
        </w:rPr>
        <w:t>A pesar de ello, más de un cuarto (27 %) de las Partes cuyos informes nacionales estaban disponibles para el análisis presentaron datos para el indicador (véase el cuadro 13). Los datos, que representan alrededor del 19 % de la pesca de captura del conjunto de las Partes y en los que están sobrerrepresentadas las Partes del Grupo de los Estados de Europa Occidental y otros Estados, muestran, en conjunto, una tendencia de mejora de la sostenibilidad de las poblaciones de peces entre 2020 y 2025 (véase la figura 24).</w:t>
      </w:r>
      <w:r w:rsidRPr="005E3D50">
        <w:rPr>
          <w:color w:val="000000" w:themeColor="text1"/>
          <w:lang w:val="es-ES"/>
        </w:rPr>
        <w:t xml:space="preserve"> </w:t>
      </w:r>
      <w:r w:rsidRPr="005E3D50">
        <w:rPr>
          <w:lang w:val="es-ES"/>
        </w:rPr>
        <w:t>Sin embargo, muchas Partes presentan datos nacionales a la FAO periódicamente en el marco del indicador 14.4.1 de los Objetivos de Desarrollo Sostenible sobre el estado de las poblaciones de peces (FAO, 2026).</w:t>
      </w:r>
      <w:r w:rsidRPr="005E3D50">
        <w:rPr>
          <w:color w:val="000000" w:themeColor="text1"/>
          <w:lang w:val="es-ES"/>
        </w:rPr>
        <w:t xml:space="preserve"> </w:t>
      </w:r>
      <w:r w:rsidRPr="005E3D50">
        <w:rPr>
          <w:lang w:val="es-ES"/>
        </w:rPr>
        <w:t>Esos datos muestran que la proporción de poblaciones de peces evaluadas cuyos niveles son biológicamente sostenibles disminuyó considerablemente en décadas anteriores, del 90 % en 1974 al 65 % en 2021 y al 63 % en 2023, pero la tasa de disminución parece haberse desacelerado en los últimos años.</w:t>
      </w:r>
    </w:p>
    <w:p w14:paraId="6A22A7DE" w14:textId="60660B65" w:rsidR="00743CB7" w:rsidRPr="005E3D50" w:rsidRDefault="005308AD" w:rsidP="00743CB7">
      <w:pPr>
        <w:rPr>
          <w:rFonts w:ascii="Aptos" w:hAnsi="Aptos"/>
          <w:lang w:val="es-ES"/>
        </w:rPr>
      </w:pPr>
      <w:r w:rsidRPr="005E3D50">
        <w:rPr>
          <w:lang w:val="es-ES"/>
        </w:rPr>
        <w:t>La mayoría de las Partes informan, mediante el indicador binario de la meta 5, que existen instrumentos jurídicos y marcos de políticas plenamente establecidos para regular el comercio de especies silvestres (véase la figura 25).</w:t>
      </w:r>
      <w:r w:rsidRPr="005E3D50">
        <w:rPr>
          <w:rFonts w:ascii="Aptos" w:hAnsi="Aptos"/>
          <w:color w:val="000000" w:themeColor="text1"/>
          <w:lang w:val="es-ES"/>
        </w:rPr>
        <w:t xml:space="preserve"> </w:t>
      </w:r>
      <w:r w:rsidRPr="005E3D50">
        <w:rPr>
          <w:rFonts w:ascii="Aptos" w:hAnsi="Aptos"/>
          <w:lang w:val="es-ES"/>
        </w:rPr>
        <w:t xml:space="preserve">Si bien las especies de agua dulce y marinas están menos representadas en estas políticas, casi todas abordan las especies terrestres y el comercio internacional. Estos resultados indican importantes progresos en el establecimiento de un entorno propicio para regular el comercio de especies silvestres. </w:t>
      </w:r>
    </w:p>
    <w:p w14:paraId="2B1F835B" w14:textId="3A3DA7E7" w:rsidR="002E1EDB" w:rsidRPr="005E3D50" w:rsidRDefault="00141EED" w:rsidP="00743CB7">
      <w:pPr>
        <w:pStyle w:val="Caption"/>
        <w:rPr>
          <w:rFonts w:ascii="Aptos" w:hAnsi="Aptos"/>
          <w:lang w:val="es-ES"/>
        </w:rPr>
      </w:pPr>
      <w:r w:rsidRPr="005E3D50">
        <w:rPr>
          <w:i w:val="0"/>
          <w:sz w:val="24"/>
          <w:szCs w:val="24"/>
          <w:lang w:val="es-ES"/>
        </w:rPr>
        <w:t>Cuando se consideran conjuntamente todos los indicadores cuantitativos presentados para la meta 5, el 33 % registran tendencias positivas, en comparación con el 17 % que registran tendencias negativas (véase la figura 26).</w:t>
      </w:r>
    </w:p>
    <w:p w14:paraId="4C64BD2A" w14:textId="26EEB215" w:rsidR="007F32EC" w:rsidRPr="005E3D50" w:rsidRDefault="007F32EC" w:rsidP="007F32EC">
      <w:pPr>
        <w:rPr>
          <w:rFonts w:ascii="Aptos" w:hAnsi="Aptos"/>
          <w:lang w:val="es-ES"/>
        </w:rPr>
      </w:pPr>
      <w:r w:rsidRPr="005E3D50">
        <w:rPr>
          <w:rFonts w:ascii="Aptos" w:hAnsi="Aptos"/>
          <w:lang w:val="es-ES"/>
        </w:rPr>
        <w:t xml:space="preserve">Si bien estos resultados sugieren algunos progresos en la implementación de la meta 5, ninguno de los indicadores nacionales comunicados por las Partes hace un seguimiento del riesgo de zoonosis ni de la protección de la utilización consuetudinaria sostenible, lo que indica una posible carencia en el seguimiento de los progresos hacia </w:t>
      </w:r>
      <w:r w:rsidR="00232334">
        <w:rPr>
          <w:rFonts w:ascii="Aptos" w:hAnsi="Aptos"/>
          <w:lang w:val="es-ES"/>
        </w:rPr>
        <w:t xml:space="preserve">el cumplimiento de </w:t>
      </w:r>
      <w:r w:rsidRPr="005E3D50">
        <w:rPr>
          <w:rFonts w:ascii="Aptos" w:hAnsi="Aptos"/>
          <w:lang w:val="es-ES"/>
        </w:rPr>
        <w:t>algunos elementos de la meta.</w:t>
      </w:r>
    </w:p>
    <w:p w14:paraId="0559CFCA" w14:textId="77777777" w:rsidR="00110280" w:rsidRPr="005E3D50" w:rsidRDefault="00110280" w:rsidP="009F0402">
      <w:pPr>
        <w:rPr>
          <w:rFonts w:ascii="Aptos" w:hAnsi="Aptos"/>
          <w:lang w:val="es-ES"/>
        </w:rPr>
      </w:pPr>
    </w:p>
    <w:p w14:paraId="76FE3EA3" w14:textId="0C2D7798" w:rsidR="001641F0" w:rsidRPr="005E3D50" w:rsidRDefault="001641F0" w:rsidP="009F0402">
      <w:pPr>
        <w:rPr>
          <w:rFonts w:ascii="Arial" w:hAnsi="Arial" w:cs="Arial"/>
          <w:sz w:val="20"/>
          <w:szCs w:val="20"/>
          <w:lang w:val="es-ES"/>
        </w:rPr>
      </w:pPr>
      <w:r w:rsidRPr="005E3D50">
        <w:rPr>
          <w:rFonts w:ascii="Aptos" w:hAnsi="Aptos"/>
          <w:sz w:val="20"/>
          <w:szCs w:val="20"/>
          <w:lang w:val="es-ES"/>
        </w:rPr>
        <w:t xml:space="preserve">Figura 24 </w:t>
      </w:r>
      <w:r w:rsidRPr="005E3D50">
        <w:rPr>
          <w:rFonts w:ascii="Arial" w:hAnsi="Arial"/>
          <w:sz w:val="20"/>
          <w:szCs w:val="20"/>
          <w:lang w:val="es-ES"/>
        </w:rPr>
        <w:t> </w:t>
      </w:r>
    </w:p>
    <w:p w14:paraId="7951CBB9" w14:textId="49E52661" w:rsidR="001641F0" w:rsidRPr="005E3D50" w:rsidRDefault="001641F0" w:rsidP="009F0402">
      <w:pPr>
        <w:rPr>
          <w:rFonts w:ascii="Aptos" w:hAnsi="Aptos"/>
          <w:b/>
          <w:bCs/>
          <w:sz w:val="20"/>
          <w:szCs w:val="20"/>
          <w:lang w:val="es-ES"/>
        </w:rPr>
      </w:pPr>
      <w:r w:rsidRPr="005E3D50">
        <w:rPr>
          <w:rFonts w:ascii="Aptos" w:hAnsi="Aptos"/>
          <w:b/>
          <w:bCs/>
          <w:sz w:val="20"/>
          <w:szCs w:val="20"/>
          <w:lang w:val="es-ES"/>
        </w:rPr>
        <w:t>Indicador de cabecera 5.1: proporción de poblaciones de peces cuyos niveles son biológicamente sostenibles </w:t>
      </w:r>
    </w:p>
    <w:p w14:paraId="724E4725" w14:textId="088CBBDB" w:rsidR="00D559FF" w:rsidRPr="005E3D50" w:rsidRDefault="009F0402" w:rsidP="008E7C15">
      <w:pPr>
        <w:pStyle w:val="Caption"/>
        <w:rPr>
          <w:lang w:val="es-ES"/>
        </w:rPr>
      </w:pPr>
      <w:bookmarkStart w:id="207" w:name="_Ref230620102"/>
      <w:r w:rsidRPr="005E3D50">
        <w:rPr>
          <w:noProof/>
          <w:lang w:val="en-US" w:eastAsia="en-US"/>
        </w:rPr>
        <w:lastRenderedPageBreak/>
        <w:drawing>
          <wp:inline distT="0" distB="0" distL="0" distR="0" wp14:anchorId="6282A76A" wp14:editId="5BCD50D2">
            <wp:extent cx="4529271" cy="3408264"/>
            <wp:effectExtent l="0" t="0" r="5080" b="0"/>
            <wp:docPr id="18882997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49337" cy="3423364"/>
                    </a:xfrm>
                    <a:prstGeom prst="rect">
                      <a:avLst/>
                    </a:prstGeom>
                    <a:noFill/>
                    <a:ln>
                      <a:noFill/>
                    </a:ln>
                  </pic:spPr>
                </pic:pic>
              </a:graphicData>
            </a:graphic>
          </wp:inline>
        </w:drawing>
      </w:r>
    </w:p>
    <w:bookmarkEnd w:id="207"/>
    <w:p w14:paraId="0D3865EA" w14:textId="77777777" w:rsidR="00184A41" w:rsidRDefault="00184A41" w:rsidP="00184A41">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Los valores del indicador muestran el promedio general y el intervalo intercuartílico de todas las comunicaciones de las Partes. El gráfico de barras de la derecha muestra la distribución de las Partes que presentaron datos para el gráfico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w:t>
      </w:r>
      <w:r w:rsidRPr="005E3D50">
        <w:rPr>
          <w:i w:val="0"/>
          <w:iCs w:val="0"/>
          <w:lang w:val="es-ES"/>
        </w:rPr>
        <w:t>El gráfico circular muestra en gris oscuro la proporción de las capturas mundiales de peces correspondientes a las Partes que presentaron datos.</w:t>
      </w:r>
      <w:r w:rsidRPr="005E3D50">
        <w:rPr>
          <w:rFonts w:ascii="Aptos" w:hAnsi="Aptos"/>
          <w:i w:val="0"/>
          <w:iCs w:val="0"/>
          <w:lang w:val="es-ES"/>
        </w:rPr>
        <w:t> </w:t>
      </w:r>
    </w:p>
    <w:tbl>
      <w:tblPr>
        <w:tblStyle w:val="TableGrid"/>
        <w:tblW w:w="9391" w:type="dxa"/>
        <w:tblLook w:val="04A0" w:firstRow="1" w:lastRow="0" w:firstColumn="1" w:lastColumn="0" w:noHBand="0" w:noVBand="1"/>
      </w:tblPr>
      <w:tblGrid>
        <w:gridCol w:w="4714"/>
        <w:gridCol w:w="4677"/>
      </w:tblGrid>
      <w:tr w:rsidR="00A71972" w:rsidRPr="00A71972" w14:paraId="7679F1BF" w14:textId="77777777" w:rsidTr="00A71972">
        <w:tc>
          <w:tcPr>
            <w:tcW w:w="9391" w:type="dxa"/>
            <w:gridSpan w:val="2"/>
          </w:tcPr>
          <w:p w14:paraId="1071BD5A" w14:textId="2B2427DE" w:rsidR="00A71972" w:rsidRPr="002B1D2B" w:rsidRDefault="007533CC" w:rsidP="002B1D2B">
            <w:pPr>
              <w:rPr>
                <w:rFonts w:ascii="Aptos" w:hAnsi="Aptos"/>
                <w:sz w:val="18"/>
                <w:szCs w:val="18"/>
                <w:lang w:val="es-ES"/>
              </w:rPr>
            </w:pPr>
            <w:r w:rsidRPr="002B1D2B">
              <w:rPr>
                <w:rFonts w:ascii="Aptos" w:hAnsi="Aptos"/>
                <w:sz w:val="18"/>
                <w:szCs w:val="18"/>
                <w:lang w:val="es-ES"/>
              </w:rPr>
              <w:t>Figura</w:t>
            </w:r>
            <w:r w:rsidR="002B1D2B">
              <w:rPr>
                <w:rFonts w:ascii="Aptos" w:hAnsi="Aptos"/>
                <w:sz w:val="18"/>
                <w:szCs w:val="18"/>
                <w:lang w:val="es-ES"/>
              </w:rPr>
              <w:t xml:space="preserve"> 24</w:t>
            </w:r>
          </w:p>
        </w:tc>
      </w:tr>
      <w:tr w:rsidR="00A71972" w:rsidRPr="00A71972" w14:paraId="54F40E9C" w14:textId="77777777" w:rsidTr="00A71972">
        <w:tc>
          <w:tcPr>
            <w:tcW w:w="4714" w:type="dxa"/>
          </w:tcPr>
          <w:p w14:paraId="4BDAF63E" w14:textId="77777777" w:rsidR="00A71972" w:rsidRPr="002B1D2B" w:rsidRDefault="00A71972" w:rsidP="002B1D2B">
            <w:pPr>
              <w:rPr>
                <w:rFonts w:ascii="Aptos" w:hAnsi="Aptos"/>
                <w:sz w:val="18"/>
                <w:szCs w:val="18"/>
                <w:lang w:val="es-ES"/>
              </w:rPr>
            </w:pPr>
            <w:r w:rsidRPr="002B1D2B">
              <w:rPr>
                <w:rFonts w:ascii="Aptos" w:hAnsi="Aptos"/>
                <w:sz w:val="18"/>
                <w:szCs w:val="18"/>
                <w:lang w:val="es-ES"/>
              </w:rPr>
              <w:t xml:space="preserve">English </w:t>
            </w:r>
          </w:p>
        </w:tc>
        <w:tc>
          <w:tcPr>
            <w:tcW w:w="4676" w:type="dxa"/>
          </w:tcPr>
          <w:p w14:paraId="2A25977E" w14:textId="432A57DB" w:rsidR="00A71972" w:rsidRPr="002B1D2B" w:rsidRDefault="007371B4" w:rsidP="002B1D2B">
            <w:pPr>
              <w:rPr>
                <w:rFonts w:ascii="Aptos" w:hAnsi="Aptos"/>
                <w:sz w:val="18"/>
                <w:szCs w:val="18"/>
                <w:lang w:val="es-ES"/>
              </w:rPr>
            </w:pPr>
            <w:r w:rsidRPr="002B1D2B">
              <w:rPr>
                <w:rFonts w:ascii="Aptos" w:hAnsi="Aptos"/>
                <w:sz w:val="18"/>
                <w:szCs w:val="18"/>
                <w:lang w:val="es-ES"/>
              </w:rPr>
              <w:t>Español</w:t>
            </w:r>
          </w:p>
        </w:tc>
      </w:tr>
      <w:tr w:rsidR="00A71972" w:rsidRPr="00A71972" w14:paraId="31C3121B" w14:textId="77777777" w:rsidTr="00A71972">
        <w:tc>
          <w:tcPr>
            <w:tcW w:w="4714" w:type="dxa"/>
          </w:tcPr>
          <w:p w14:paraId="31E14F17" w14:textId="77777777" w:rsidR="00A71972" w:rsidRPr="00A71972" w:rsidRDefault="00A71972" w:rsidP="00A71972">
            <w:pPr>
              <w:rPr>
                <w:rFonts w:ascii="Aptos" w:hAnsi="Aptos"/>
                <w:sz w:val="18"/>
                <w:szCs w:val="18"/>
                <w:lang w:val="en-US"/>
              </w:rPr>
            </w:pPr>
            <w:r w:rsidRPr="00A71972">
              <w:rPr>
                <w:rFonts w:ascii="Aptos" w:hAnsi="Aptos"/>
                <w:sz w:val="18"/>
                <w:szCs w:val="18"/>
                <w:lang w:val="en-US"/>
              </w:rPr>
              <w:t>Stocks within biologically sustainable levels (percentage)</w:t>
            </w:r>
          </w:p>
        </w:tc>
        <w:tc>
          <w:tcPr>
            <w:tcW w:w="4676" w:type="dxa"/>
          </w:tcPr>
          <w:p w14:paraId="2BA3E5B8" w14:textId="4104D1ED" w:rsidR="00A71972" w:rsidRPr="00A71972" w:rsidRDefault="00A71972" w:rsidP="00A71972">
            <w:pPr>
              <w:rPr>
                <w:rFonts w:ascii="Aptos" w:hAnsi="Aptos"/>
                <w:sz w:val="18"/>
                <w:szCs w:val="18"/>
                <w:lang w:val="es-ES"/>
              </w:rPr>
            </w:pPr>
            <w:r w:rsidRPr="00A71972">
              <w:rPr>
                <w:rFonts w:ascii="Aptos" w:hAnsi="Aptos"/>
                <w:sz w:val="18"/>
                <w:szCs w:val="18"/>
                <w:lang w:val="es-ES"/>
              </w:rPr>
              <w:t>Poblaciones cuyos niveles son biológicamente sostenibles (porcentaje)</w:t>
            </w:r>
          </w:p>
        </w:tc>
      </w:tr>
      <w:tr w:rsidR="00A71972" w:rsidRPr="00A71972" w14:paraId="09D07E9C" w14:textId="77777777" w:rsidTr="00A71972">
        <w:tc>
          <w:tcPr>
            <w:tcW w:w="4714" w:type="dxa"/>
          </w:tcPr>
          <w:p w14:paraId="239A5F9D" w14:textId="77777777" w:rsidR="00A71972" w:rsidRPr="00A71972" w:rsidRDefault="00A71972" w:rsidP="00A71972">
            <w:pPr>
              <w:rPr>
                <w:rFonts w:ascii="Aptos" w:hAnsi="Aptos"/>
                <w:sz w:val="18"/>
                <w:szCs w:val="18"/>
                <w:lang w:val="es-ES"/>
              </w:rPr>
            </w:pPr>
            <w:proofErr w:type="spellStart"/>
            <w:r w:rsidRPr="00A71972">
              <w:rPr>
                <w:rFonts w:ascii="Aptos" w:hAnsi="Aptos"/>
                <w:sz w:val="18"/>
                <w:szCs w:val="18"/>
                <w:lang w:val="es-ES"/>
              </w:rPr>
              <w:t>Year</w:t>
            </w:r>
            <w:proofErr w:type="spellEnd"/>
          </w:p>
        </w:tc>
        <w:tc>
          <w:tcPr>
            <w:tcW w:w="4676" w:type="dxa"/>
          </w:tcPr>
          <w:p w14:paraId="7452E0A6" w14:textId="70F64F21" w:rsidR="00A71972" w:rsidRPr="00A71972" w:rsidRDefault="00A71972" w:rsidP="00A71972">
            <w:pPr>
              <w:rPr>
                <w:rFonts w:ascii="Aptos" w:hAnsi="Aptos"/>
                <w:sz w:val="18"/>
                <w:szCs w:val="18"/>
                <w:lang w:val="es-ES"/>
              </w:rPr>
            </w:pPr>
            <w:r w:rsidRPr="00A71972">
              <w:rPr>
                <w:rFonts w:ascii="Aptos" w:hAnsi="Aptos"/>
                <w:sz w:val="18"/>
                <w:szCs w:val="18"/>
                <w:lang w:val="es-ES"/>
              </w:rPr>
              <w:t>Año</w:t>
            </w:r>
          </w:p>
        </w:tc>
      </w:tr>
      <w:tr w:rsidR="00A71972" w:rsidRPr="00A71972" w14:paraId="1E6B858B" w14:textId="77777777" w:rsidTr="00A71972">
        <w:tc>
          <w:tcPr>
            <w:tcW w:w="4714" w:type="dxa"/>
          </w:tcPr>
          <w:p w14:paraId="1E95D9DA"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Party Count: 20</w:t>
            </w:r>
          </w:p>
        </w:tc>
        <w:tc>
          <w:tcPr>
            <w:tcW w:w="4676" w:type="dxa"/>
          </w:tcPr>
          <w:p w14:paraId="75D335FE" w14:textId="3446A39E" w:rsidR="00A71972" w:rsidRPr="00A71972" w:rsidRDefault="00A71972" w:rsidP="00A71972">
            <w:pPr>
              <w:rPr>
                <w:rFonts w:ascii="Aptos" w:hAnsi="Aptos"/>
                <w:sz w:val="18"/>
                <w:szCs w:val="18"/>
                <w:lang w:val="es-ES"/>
              </w:rPr>
            </w:pPr>
            <w:r w:rsidRPr="00A71972">
              <w:rPr>
                <w:rFonts w:ascii="Aptos" w:hAnsi="Aptos"/>
                <w:sz w:val="18"/>
                <w:szCs w:val="18"/>
                <w:lang w:val="es-ES"/>
              </w:rPr>
              <w:t>Número de Partes: 20</w:t>
            </w:r>
          </w:p>
        </w:tc>
      </w:tr>
      <w:tr w:rsidR="00A71972" w:rsidRPr="00A71972" w14:paraId="526408F4" w14:textId="77777777" w:rsidTr="00A71972">
        <w:tc>
          <w:tcPr>
            <w:tcW w:w="4714" w:type="dxa"/>
          </w:tcPr>
          <w:p w14:paraId="1DEEF05A"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 xml:space="preserve">Share of </w:t>
            </w:r>
            <w:proofErr w:type="spellStart"/>
            <w:r w:rsidRPr="00A71972">
              <w:rPr>
                <w:rFonts w:ascii="Aptos" w:hAnsi="Aptos"/>
                <w:sz w:val="18"/>
                <w:szCs w:val="18"/>
                <w:lang w:val="es-ES"/>
              </w:rPr>
              <w:t>Parties</w:t>
            </w:r>
            <w:proofErr w:type="spellEnd"/>
            <w:r w:rsidRPr="00A71972">
              <w:rPr>
                <w:rFonts w:ascii="Aptos" w:hAnsi="Aptos"/>
                <w:sz w:val="18"/>
                <w:szCs w:val="18"/>
                <w:lang w:val="es-ES"/>
              </w:rPr>
              <w:t>’ catch</w:t>
            </w:r>
          </w:p>
        </w:tc>
        <w:tc>
          <w:tcPr>
            <w:tcW w:w="4676" w:type="dxa"/>
          </w:tcPr>
          <w:p w14:paraId="728771C7" w14:textId="14FFBD57" w:rsidR="00A71972" w:rsidRPr="00A71972" w:rsidRDefault="00A71972" w:rsidP="00A71972">
            <w:pPr>
              <w:rPr>
                <w:rFonts w:ascii="Aptos" w:hAnsi="Aptos"/>
                <w:sz w:val="18"/>
                <w:szCs w:val="18"/>
                <w:lang w:val="es-ES"/>
              </w:rPr>
            </w:pPr>
            <w:r w:rsidRPr="00A71972">
              <w:rPr>
                <w:rFonts w:ascii="Aptos" w:hAnsi="Aptos"/>
                <w:sz w:val="18"/>
                <w:szCs w:val="18"/>
                <w:lang w:val="es-ES"/>
              </w:rPr>
              <w:t>Proporción de las capturas de las Partes</w:t>
            </w:r>
          </w:p>
        </w:tc>
      </w:tr>
      <w:tr w:rsidR="00A71972" w:rsidRPr="00A71972" w14:paraId="5E3FB30C" w14:textId="77777777" w:rsidTr="00A71972">
        <w:tc>
          <w:tcPr>
            <w:tcW w:w="4714" w:type="dxa"/>
          </w:tcPr>
          <w:p w14:paraId="62B86835"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 xml:space="preserve">Party </w:t>
            </w:r>
            <w:proofErr w:type="spellStart"/>
            <w:r w:rsidRPr="00A71972">
              <w:rPr>
                <w:rFonts w:ascii="Aptos" w:hAnsi="Aptos"/>
                <w:sz w:val="18"/>
                <w:szCs w:val="18"/>
                <w:lang w:val="es-ES"/>
              </w:rPr>
              <w:t>count</w:t>
            </w:r>
            <w:proofErr w:type="spellEnd"/>
            <w:r w:rsidRPr="00A71972">
              <w:rPr>
                <w:rFonts w:ascii="Aptos" w:hAnsi="Aptos"/>
                <w:sz w:val="18"/>
                <w:szCs w:val="18"/>
                <w:lang w:val="es-ES"/>
              </w:rPr>
              <w:t xml:space="preserve"> </w:t>
            </w:r>
            <w:proofErr w:type="spellStart"/>
            <w:r w:rsidRPr="00A71972">
              <w:rPr>
                <w:rFonts w:ascii="Aptos" w:hAnsi="Aptos"/>
                <w:sz w:val="18"/>
                <w:szCs w:val="18"/>
                <w:lang w:val="es-ES"/>
              </w:rPr>
              <w:t>by</w:t>
            </w:r>
            <w:proofErr w:type="spellEnd"/>
            <w:r w:rsidRPr="00A71972">
              <w:rPr>
                <w:rFonts w:ascii="Aptos" w:hAnsi="Aptos"/>
                <w:sz w:val="18"/>
                <w:szCs w:val="18"/>
                <w:lang w:val="es-ES"/>
              </w:rPr>
              <w:t xml:space="preserve"> </w:t>
            </w:r>
            <w:proofErr w:type="spellStart"/>
            <w:r w:rsidRPr="00A71972">
              <w:rPr>
                <w:rFonts w:ascii="Aptos" w:hAnsi="Aptos"/>
                <w:sz w:val="18"/>
                <w:szCs w:val="18"/>
                <w:lang w:val="es-ES"/>
              </w:rPr>
              <w:t>region</w:t>
            </w:r>
            <w:proofErr w:type="spellEnd"/>
          </w:p>
        </w:tc>
        <w:tc>
          <w:tcPr>
            <w:tcW w:w="4676" w:type="dxa"/>
          </w:tcPr>
          <w:p w14:paraId="5782A4DA" w14:textId="320F7D63" w:rsidR="00A71972" w:rsidRPr="00A71972" w:rsidRDefault="00A71972" w:rsidP="00A71972">
            <w:pPr>
              <w:rPr>
                <w:rFonts w:ascii="Aptos" w:hAnsi="Aptos"/>
                <w:sz w:val="18"/>
                <w:szCs w:val="18"/>
                <w:lang w:val="es-ES"/>
              </w:rPr>
            </w:pPr>
            <w:r w:rsidRPr="00A71972">
              <w:rPr>
                <w:rFonts w:ascii="Aptos" w:hAnsi="Aptos"/>
                <w:sz w:val="18"/>
                <w:szCs w:val="18"/>
                <w:lang w:val="es-ES"/>
              </w:rPr>
              <w:t>Número de Partes por región</w:t>
            </w:r>
          </w:p>
        </w:tc>
      </w:tr>
      <w:tr w:rsidR="00A71972" w:rsidRPr="00A71972" w14:paraId="22B39E29" w14:textId="77777777" w:rsidTr="00A71972">
        <w:tc>
          <w:tcPr>
            <w:tcW w:w="4714" w:type="dxa"/>
          </w:tcPr>
          <w:p w14:paraId="4CC4CA45" w14:textId="77777777" w:rsidR="00A71972" w:rsidRPr="00A71972" w:rsidRDefault="00A71972" w:rsidP="00A71972">
            <w:pPr>
              <w:rPr>
                <w:rFonts w:ascii="Aptos" w:hAnsi="Aptos"/>
                <w:sz w:val="18"/>
                <w:szCs w:val="18"/>
                <w:lang w:val="es-ES"/>
              </w:rPr>
            </w:pPr>
            <w:proofErr w:type="spellStart"/>
            <w:r w:rsidRPr="00A71972">
              <w:rPr>
                <w:rFonts w:ascii="Aptos" w:hAnsi="Aptos"/>
                <w:sz w:val="18"/>
                <w:szCs w:val="18"/>
                <w:lang w:val="es-ES"/>
              </w:rPr>
              <w:t>Region</w:t>
            </w:r>
            <w:proofErr w:type="spellEnd"/>
          </w:p>
        </w:tc>
        <w:tc>
          <w:tcPr>
            <w:tcW w:w="4676" w:type="dxa"/>
          </w:tcPr>
          <w:p w14:paraId="34909D06" w14:textId="1749FD15" w:rsidR="00A71972" w:rsidRPr="00A71972" w:rsidRDefault="00A71972" w:rsidP="00A71972">
            <w:pPr>
              <w:rPr>
                <w:rFonts w:ascii="Aptos" w:hAnsi="Aptos"/>
                <w:sz w:val="18"/>
                <w:szCs w:val="18"/>
                <w:lang w:val="es-ES"/>
              </w:rPr>
            </w:pPr>
            <w:r w:rsidRPr="00A71972">
              <w:rPr>
                <w:rFonts w:ascii="Aptos" w:hAnsi="Aptos"/>
                <w:sz w:val="18"/>
                <w:szCs w:val="18"/>
                <w:lang w:val="es-ES"/>
              </w:rPr>
              <w:t>Región</w:t>
            </w:r>
          </w:p>
        </w:tc>
      </w:tr>
      <w:tr w:rsidR="00A71972" w:rsidRPr="00A71972" w14:paraId="572CBD61" w14:textId="77777777" w:rsidTr="00A71972">
        <w:tc>
          <w:tcPr>
            <w:tcW w:w="4714" w:type="dxa"/>
          </w:tcPr>
          <w:p w14:paraId="5FC74CC1"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African States</w:t>
            </w:r>
          </w:p>
        </w:tc>
        <w:tc>
          <w:tcPr>
            <w:tcW w:w="4676" w:type="dxa"/>
          </w:tcPr>
          <w:p w14:paraId="7BD87B5A" w14:textId="0C7ED85D" w:rsidR="00A71972" w:rsidRPr="00A71972" w:rsidRDefault="00A71972" w:rsidP="00A71972">
            <w:pPr>
              <w:rPr>
                <w:rFonts w:ascii="Aptos" w:hAnsi="Aptos"/>
                <w:sz w:val="18"/>
                <w:szCs w:val="18"/>
                <w:lang w:val="es-ES"/>
              </w:rPr>
            </w:pPr>
            <w:r w:rsidRPr="00A71972">
              <w:rPr>
                <w:rFonts w:ascii="Aptos" w:hAnsi="Aptos"/>
                <w:sz w:val="18"/>
                <w:szCs w:val="18"/>
                <w:lang w:val="es-ES"/>
              </w:rPr>
              <w:t>Estados de África</w:t>
            </w:r>
          </w:p>
        </w:tc>
      </w:tr>
      <w:tr w:rsidR="00A71972" w:rsidRPr="00A71972" w14:paraId="1922292C" w14:textId="77777777" w:rsidTr="00A71972">
        <w:tc>
          <w:tcPr>
            <w:tcW w:w="4714" w:type="dxa"/>
          </w:tcPr>
          <w:p w14:paraId="6A6A24CD"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Asia-Pacific States</w:t>
            </w:r>
          </w:p>
        </w:tc>
        <w:tc>
          <w:tcPr>
            <w:tcW w:w="4676" w:type="dxa"/>
          </w:tcPr>
          <w:p w14:paraId="0512C244" w14:textId="793F1111" w:rsidR="00A71972" w:rsidRPr="00A71972" w:rsidRDefault="00A71972" w:rsidP="00A71972">
            <w:pPr>
              <w:rPr>
                <w:rFonts w:ascii="Aptos" w:hAnsi="Aptos"/>
                <w:sz w:val="18"/>
                <w:szCs w:val="18"/>
                <w:lang w:val="es-ES"/>
              </w:rPr>
            </w:pPr>
            <w:r w:rsidRPr="00A71972">
              <w:rPr>
                <w:rFonts w:ascii="Aptos" w:hAnsi="Aptos"/>
                <w:sz w:val="18"/>
                <w:szCs w:val="18"/>
                <w:lang w:val="es-ES"/>
              </w:rPr>
              <w:t>Estados de Asia y el Pacífico</w:t>
            </w:r>
          </w:p>
        </w:tc>
      </w:tr>
      <w:tr w:rsidR="00A71972" w:rsidRPr="00A71972" w14:paraId="6E3C031F" w14:textId="77777777" w:rsidTr="00A71972">
        <w:tc>
          <w:tcPr>
            <w:tcW w:w="4714" w:type="dxa"/>
          </w:tcPr>
          <w:p w14:paraId="4E923FAC" w14:textId="77777777" w:rsidR="00A71972" w:rsidRPr="00A71972" w:rsidRDefault="00A71972" w:rsidP="00A71972">
            <w:pPr>
              <w:rPr>
                <w:rFonts w:ascii="Aptos" w:hAnsi="Aptos"/>
                <w:sz w:val="18"/>
                <w:szCs w:val="18"/>
                <w:lang w:val="en-US"/>
              </w:rPr>
            </w:pPr>
            <w:r w:rsidRPr="00A71972">
              <w:rPr>
                <w:rFonts w:ascii="Aptos" w:hAnsi="Aptos"/>
                <w:sz w:val="18"/>
                <w:szCs w:val="18"/>
                <w:lang w:val="en-US"/>
              </w:rPr>
              <w:t>Latin American and Caribbean States</w:t>
            </w:r>
          </w:p>
        </w:tc>
        <w:tc>
          <w:tcPr>
            <w:tcW w:w="4676" w:type="dxa"/>
          </w:tcPr>
          <w:p w14:paraId="5BA17649" w14:textId="037EBC9B" w:rsidR="00A71972" w:rsidRPr="00A71972" w:rsidRDefault="00A71972" w:rsidP="00A71972">
            <w:pPr>
              <w:rPr>
                <w:rFonts w:ascii="Aptos" w:hAnsi="Aptos"/>
                <w:sz w:val="18"/>
                <w:szCs w:val="18"/>
                <w:lang w:val="es-ES"/>
              </w:rPr>
            </w:pPr>
            <w:r w:rsidRPr="00A71972">
              <w:rPr>
                <w:rFonts w:ascii="Aptos" w:hAnsi="Aptos"/>
                <w:sz w:val="18"/>
                <w:szCs w:val="18"/>
                <w:lang w:val="es-ES"/>
              </w:rPr>
              <w:t>Estados de América Latina y el Caribe</w:t>
            </w:r>
          </w:p>
        </w:tc>
      </w:tr>
      <w:tr w:rsidR="00A71972" w:rsidRPr="00A71972" w14:paraId="4B6093E5" w14:textId="77777777" w:rsidTr="00A71972">
        <w:tc>
          <w:tcPr>
            <w:tcW w:w="4714" w:type="dxa"/>
          </w:tcPr>
          <w:p w14:paraId="0F50B07B" w14:textId="77777777" w:rsidR="00A71972" w:rsidRPr="00A71972" w:rsidRDefault="00A71972" w:rsidP="00A71972">
            <w:pPr>
              <w:rPr>
                <w:rFonts w:ascii="Aptos" w:hAnsi="Aptos"/>
                <w:sz w:val="18"/>
                <w:szCs w:val="18"/>
                <w:lang w:val="es-ES"/>
              </w:rPr>
            </w:pPr>
            <w:r w:rsidRPr="00A71972">
              <w:rPr>
                <w:rFonts w:ascii="Aptos" w:hAnsi="Aptos"/>
                <w:sz w:val="18"/>
                <w:szCs w:val="18"/>
                <w:lang w:val="es-ES"/>
              </w:rPr>
              <w:t xml:space="preserve"> Eastern European States</w:t>
            </w:r>
          </w:p>
        </w:tc>
        <w:tc>
          <w:tcPr>
            <w:tcW w:w="4676" w:type="dxa"/>
          </w:tcPr>
          <w:p w14:paraId="258F07AC" w14:textId="30162A80" w:rsidR="00A71972" w:rsidRPr="00A71972" w:rsidRDefault="00A71972" w:rsidP="00A71972">
            <w:pPr>
              <w:rPr>
                <w:rFonts w:ascii="Aptos" w:hAnsi="Aptos"/>
                <w:sz w:val="18"/>
                <w:szCs w:val="18"/>
                <w:lang w:val="es-ES"/>
              </w:rPr>
            </w:pPr>
            <w:r w:rsidRPr="00A71972">
              <w:rPr>
                <w:rFonts w:ascii="Aptos" w:hAnsi="Aptos"/>
                <w:sz w:val="18"/>
                <w:szCs w:val="18"/>
                <w:lang w:val="es-ES"/>
              </w:rPr>
              <w:t>Estados de Europa Oriental</w:t>
            </w:r>
          </w:p>
        </w:tc>
      </w:tr>
      <w:tr w:rsidR="00A71972" w:rsidRPr="00A71972" w14:paraId="76614118" w14:textId="77777777" w:rsidTr="00A71972">
        <w:tc>
          <w:tcPr>
            <w:tcW w:w="4714" w:type="dxa"/>
          </w:tcPr>
          <w:p w14:paraId="5316A2AA" w14:textId="77777777" w:rsidR="00A71972" w:rsidRPr="00A71972" w:rsidRDefault="00A71972" w:rsidP="00A71972">
            <w:pPr>
              <w:rPr>
                <w:rFonts w:ascii="Aptos" w:hAnsi="Aptos"/>
                <w:sz w:val="18"/>
                <w:szCs w:val="18"/>
                <w:lang w:val="en-US"/>
              </w:rPr>
            </w:pPr>
            <w:r w:rsidRPr="00A71972">
              <w:rPr>
                <w:rFonts w:ascii="Aptos" w:hAnsi="Aptos"/>
                <w:sz w:val="18"/>
                <w:szCs w:val="18"/>
                <w:lang w:val="en-US"/>
              </w:rPr>
              <w:t>Western European and other States</w:t>
            </w:r>
          </w:p>
        </w:tc>
        <w:tc>
          <w:tcPr>
            <w:tcW w:w="4676" w:type="dxa"/>
          </w:tcPr>
          <w:p w14:paraId="266B31DF" w14:textId="5D694013" w:rsidR="00A71972" w:rsidRPr="00A71972" w:rsidRDefault="00A71972" w:rsidP="00A71972">
            <w:pPr>
              <w:rPr>
                <w:rFonts w:ascii="Aptos" w:hAnsi="Aptos"/>
                <w:sz w:val="18"/>
                <w:szCs w:val="18"/>
                <w:lang w:val="es-ES"/>
              </w:rPr>
            </w:pPr>
            <w:r w:rsidRPr="00A71972">
              <w:rPr>
                <w:rFonts w:ascii="Aptos" w:hAnsi="Aptos"/>
                <w:sz w:val="18"/>
                <w:szCs w:val="18"/>
                <w:lang w:val="es-ES"/>
              </w:rPr>
              <w:t>Estados de Europa Occidental y otros Estados</w:t>
            </w:r>
          </w:p>
        </w:tc>
      </w:tr>
    </w:tbl>
    <w:p w14:paraId="157B2DD2" w14:textId="79FED024" w:rsidR="009F0402" w:rsidRPr="005E3D50" w:rsidRDefault="009F0402" w:rsidP="003B65B3">
      <w:pPr>
        <w:rPr>
          <w:rFonts w:ascii="Aptos" w:hAnsi="Aptos"/>
          <w:lang w:val="es-ES"/>
        </w:rPr>
      </w:pPr>
      <w:r w:rsidRPr="005E3D50">
        <w:rPr>
          <w:rFonts w:ascii="Aptos" w:hAnsi="Aptos"/>
          <w:lang w:val="es-ES"/>
        </w:rPr>
        <w:t> </w:t>
      </w:r>
    </w:p>
    <w:p w14:paraId="1D1DC775" w14:textId="4CC488AC" w:rsidR="00426226" w:rsidRPr="005E3D50" w:rsidRDefault="00426226" w:rsidP="003B65B3">
      <w:pPr>
        <w:rPr>
          <w:rFonts w:ascii="Aptos" w:hAnsi="Aptos"/>
          <w:sz w:val="20"/>
          <w:szCs w:val="20"/>
          <w:lang w:val="es-ES"/>
        </w:rPr>
      </w:pPr>
      <w:bookmarkStart w:id="208" w:name="_Ref235781728"/>
      <w:r w:rsidRPr="005E3D50">
        <w:rPr>
          <w:rFonts w:ascii="Aptos" w:hAnsi="Aptos"/>
          <w:sz w:val="20"/>
          <w:szCs w:val="20"/>
          <w:lang w:val="es-ES"/>
        </w:rPr>
        <w:t>Figura 25</w:t>
      </w:r>
      <w:bookmarkEnd w:id="208"/>
    </w:p>
    <w:p w14:paraId="459F584B" w14:textId="73A6D075" w:rsidR="00426226" w:rsidRPr="005E3D50" w:rsidRDefault="00426226" w:rsidP="003B65B3">
      <w:pPr>
        <w:rPr>
          <w:rFonts w:ascii="Aptos" w:hAnsi="Aptos"/>
          <w:b/>
          <w:bCs/>
          <w:sz w:val="20"/>
          <w:szCs w:val="20"/>
          <w:lang w:val="es-ES"/>
        </w:rPr>
      </w:pPr>
      <w:r w:rsidRPr="005E3D50">
        <w:rPr>
          <w:rFonts w:ascii="Aptos" w:hAnsi="Aptos"/>
          <w:b/>
          <w:bCs/>
          <w:sz w:val="20"/>
          <w:szCs w:val="20"/>
          <w:lang w:val="es-ES"/>
        </w:rPr>
        <w:t>Indicador binario 5.b: número de países que cuentan con instrumentos jurídicos u otros marcos de políticas que regulan el comercio de especies silvestres</w:t>
      </w:r>
    </w:p>
    <w:p w14:paraId="1EAEF95A" w14:textId="77777777" w:rsidR="00184A41" w:rsidRPr="005E3D50" w:rsidRDefault="00184A41" w:rsidP="003B65B3">
      <w:pPr>
        <w:rPr>
          <w:rFonts w:ascii="Aptos" w:hAnsi="Aptos"/>
          <w:lang w:val="es-ES"/>
        </w:rPr>
      </w:pPr>
    </w:p>
    <w:p w14:paraId="60BE8AC3" w14:textId="081AF094" w:rsidR="00A8486E" w:rsidRPr="005E3D50" w:rsidRDefault="003B65B3" w:rsidP="008E7C15">
      <w:pPr>
        <w:pStyle w:val="Caption"/>
        <w:rPr>
          <w:lang w:val="es-ES"/>
        </w:rPr>
      </w:pPr>
      <w:bookmarkStart w:id="209" w:name="_Ref231150989"/>
      <w:r w:rsidRPr="005E3D50">
        <w:rPr>
          <w:noProof/>
          <w:lang w:val="en-US" w:eastAsia="en-US"/>
        </w:rPr>
        <w:lastRenderedPageBreak/>
        <w:drawing>
          <wp:inline distT="0" distB="0" distL="0" distR="0" wp14:anchorId="7623ECF9" wp14:editId="74E64D4D">
            <wp:extent cx="5943600" cy="2264410"/>
            <wp:effectExtent l="0" t="0" r="0" b="0"/>
            <wp:docPr id="325674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948" name="Picture 32567494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1570E3B" w14:textId="77777777" w:rsidR="005779EB" w:rsidRPr="005E3D50" w:rsidRDefault="005779EB" w:rsidP="005779EB">
      <w:pPr>
        <w:pStyle w:val="Caption"/>
        <w:rPr>
          <w:rFonts w:ascii="Aptos" w:hAnsi="Aptos"/>
          <w:i w:val="0"/>
          <w:iCs w:val="0"/>
          <w:lang w:val="es-ES"/>
        </w:rPr>
      </w:pPr>
      <w:r w:rsidRPr="005E3D50">
        <w:rPr>
          <w:rFonts w:ascii="Aptos" w:hAnsi="Aptos"/>
          <w:lang w:val="es-ES"/>
        </w:rPr>
        <w:t xml:space="preserve">Nota: </w:t>
      </w:r>
      <w:r w:rsidRPr="005E3D50">
        <w:rPr>
          <w:rFonts w:ascii="Aptos" w:hAnsi="Aptos"/>
          <w:i w:val="0"/>
          <w:iCs w:val="0"/>
          <w:lang w:val="es-ES"/>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hAnsi="Aptos"/>
          <w:i w:val="0"/>
          <w:iCs w:val="0"/>
          <w:lang w:val="es-ES"/>
        </w:rPr>
        <w:t>progresos</w:t>
      </w:r>
      <w:r w:rsidRPr="005E3D50">
        <w:rPr>
          <w:rFonts w:ascii="Aptos" w:hAnsi="Aptos"/>
          <w:i w:val="0"/>
          <w:iCs w:val="0"/>
          <w:vertAlign w:val="superscript"/>
          <w:lang w:val="es-ES"/>
        </w:rPr>
        <w:t>a</w:t>
      </w:r>
      <w:proofErr w:type="spellEnd"/>
      <w:r w:rsidRPr="005E3D50">
        <w:rPr>
          <w:rFonts w:ascii="Aptos" w:hAnsi="Aptos"/>
          <w:i w:val="0"/>
          <w:iCs w:val="0"/>
          <w:lang w:val="es-ES"/>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73C9BF1A" w14:textId="623BFD34" w:rsidR="005779EB" w:rsidRDefault="005779EB" w:rsidP="005779EB">
      <w:pPr>
        <w:pStyle w:val="Caption"/>
        <w:rPr>
          <w:i w:val="0"/>
          <w:iCs w:val="0"/>
          <w:lang w:val="es-ES"/>
        </w:rPr>
      </w:pPr>
      <w:r w:rsidRPr="005E3D50">
        <w:rPr>
          <w:i w:val="0"/>
          <w:iCs w:val="0"/>
          <w:vertAlign w:val="superscript"/>
          <w:lang w:val="es-ES"/>
        </w:rPr>
        <w:t xml:space="preserve">a </w:t>
      </w:r>
      <w:r w:rsidRPr="005E3D50">
        <w:rPr>
          <w:i w:val="0"/>
          <w:iCs w:val="0"/>
          <w:lang w:val="es-ES"/>
        </w:rPr>
        <w:t xml:space="preserve">La metodología empleada para calcular los niveles de puntuación para cada indicador binario, así como las preguntas incluidas para cada indicador, figuran en el documento </w:t>
      </w:r>
      <w:hyperlink r:id="rId84" w:history="1">
        <w:r w:rsidRPr="005E3D50">
          <w:rPr>
            <w:rStyle w:val="Hyperlink"/>
            <w:i w:val="0"/>
            <w:iCs w:val="0"/>
            <w:lang w:val="es-ES"/>
          </w:rPr>
          <w:t>CBD/COP/16/INF/3/Rev.1</w:t>
        </w:r>
      </w:hyperlink>
      <w:r w:rsidRPr="005E3D50">
        <w:rPr>
          <w:i w:val="0"/>
          <w:iCs w:val="0"/>
          <w:lang w:val="es-ES"/>
        </w:rPr>
        <w:t>.</w:t>
      </w:r>
    </w:p>
    <w:tbl>
      <w:tblPr>
        <w:tblStyle w:val="TableGrid"/>
        <w:tblW w:w="9315" w:type="dxa"/>
        <w:tblLook w:val="04A0" w:firstRow="1" w:lastRow="0" w:firstColumn="1" w:lastColumn="0" w:noHBand="0" w:noVBand="1"/>
      </w:tblPr>
      <w:tblGrid>
        <w:gridCol w:w="5174"/>
        <w:gridCol w:w="4141"/>
      </w:tblGrid>
      <w:tr w:rsidR="00005279" w:rsidRPr="00005279" w14:paraId="09983637" w14:textId="77777777" w:rsidTr="00005279">
        <w:tc>
          <w:tcPr>
            <w:tcW w:w="9315" w:type="dxa"/>
            <w:gridSpan w:val="2"/>
          </w:tcPr>
          <w:p w14:paraId="37D2FA82" w14:textId="6DC9C584" w:rsidR="00005279"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25</w:t>
            </w:r>
          </w:p>
        </w:tc>
      </w:tr>
      <w:tr w:rsidR="00005279" w:rsidRPr="00005279" w14:paraId="66E24582" w14:textId="77777777" w:rsidTr="00005279">
        <w:tc>
          <w:tcPr>
            <w:tcW w:w="5174" w:type="dxa"/>
          </w:tcPr>
          <w:p w14:paraId="2F648531" w14:textId="3E841572" w:rsidR="00005279" w:rsidRPr="002B1D2B" w:rsidRDefault="00005279" w:rsidP="00005279">
            <w:pPr>
              <w:rPr>
                <w:rFonts w:ascii="Aptos" w:hAnsi="Aptos"/>
                <w:sz w:val="18"/>
                <w:szCs w:val="18"/>
                <w:lang w:val="es-ES"/>
              </w:rPr>
            </w:pPr>
            <w:r w:rsidRPr="002B1D2B">
              <w:rPr>
                <w:rFonts w:ascii="Aptos" w:hAnsi="Aptos"/>
                <w:sz w:val="18"/>
                <w:szCs w:val="18"/>
                <w:lang w:val="es-ES"/>
              </w:rPr>
              <w:t xml:space="preserve">English </w:t>
            </w:r>
          </w:p>
        </w:tc>
        <w:tc>
          <w:tcPr>
            <w:tcW w:w="4140" w:type="dxa"/>
          </w:tcPr>
          <w:p w14:paraId="3E567EE5" w14:textId="29DF051B" w:rsidR="00005279" w:rsidRPr="002B1D2B" w:rsidRDefault="007371B4" w:rsidP="00005279">
            <w:pPr>
              <w:rPr>
                <w:rFonts w:ascii="Aptos" w:hAnsi="Aptos"/>
                <w:sz w:val="18"/>
                <w:szCs w:val="18"/>
                <w:lang w:val="es-ES"/>
              </w:rPr>
            </w:pPr>
            <w:r w:rsidRPr="002B1D2B">
              <w:rPr>
                <w:rFonts w:ascii="Aptos" w:hAnsi="Aptos"/>
                <w:sz w:val="18"/>
                <w:szCs w:val="18"/>
                <w:lang w:val="es-ES"/>
              </w:rPr>
              <w:t>Español</w:t>
            </w:r>
          </w:p>
        </w:tc>
      </w:tr>
      <w:tr w:rsidR="00005279" w:rsidRPr="00005279" w14:paraId="4B960A99" w14:textId="77777777" w:rsidTr="00005279">
        <w:tc>
          <w:tcPr>
            <w:tcW w:w="5174" w:type="dxa"/>
          </w:tcPr>
          <w:p w14:paraId="1191828B" w14:textId="77777777" w:rsidR="00005279" w:rsidRPr="00005279" w:rsidRDefault="00005279" w:rsidP="00005279">
            <w:pPr>
              <w:rPr>
                <w:rFonts w:ascii="Aptos" w:hAnsi="Aptos"/>
                <w:sz w:val="18"/>
                <w:szCs w:val="18"/>
                <w:lang w:val="es-ES"/>
              </w:rPr>
            </w:pPr>
            <w:proofErr w:type="spellStart"/>
            <w:r w:rsidRPr="00005279">
              <w:rPr>
                <w:rFonts w:ascii="Aptos" w:hAnsi="Aptos"/>
                <w:sz w:val="18"/>
                <w:szCs w:val="18"/>
                <w:lang w:val="es-ES"/>
              </w:rPr>
              <w:t>Answers</w:t>
            </w:r>
            <w:proofErr w:type="spellEnd"/>
            <w:r w:rsidRPr="00005279">
              <w:rPr>
                <w:rFonts w:ascii="Aptos" w:hAnsi="Aptos"/>
                <w:sz w:val="18"/>
                <w:szCs w:val="18"/>
                <w:lang w:val="es-ES"/>
              </w:rPr>
              <w:t xml:space="preserve"> (</w:t>
            </w:r>
            <w:proofErr w:type="spellStart"/>
            <w:r w:rsidRPr="00005279">
              <w:rPr>
                <w:rFonts w:ascii="Aptos" w:hAnsi="Aptos"/>
                <w:sz w:val="18"/>
                <w:szCs w:val="18"/>
                <w:lang w:val="es-ES"/>
              </w:rPr>
              <w:t>percentage</w:t>
            </w:r>
            <w:proofErr w:type="spellEnd"/>
            <w:r w:rsidRPr="00005279">
              <w:rPr>
                <w:rFonts w:ascii="Aptos" w:hAnsi="Aptos"/>
                <w:sz w:val="18"/>
                <w:szCs w:val="18"/>
                <w:lang w:val="es-ES"/>
              </w:rPr>
              <w:t>)</w:t>
            </w:r>
          </w:p>
        </w:tc>
        <w:tc>
          <w:tcPr>
            <w:tcW w:w="4140" w:type="dxa"/>
          </w:tcPr>
          <w:p w14:paraId="1649BAB5" w14:textId="2F22A447" w:rsidR="00005279" w:rsidRPr="00005279" w:rsidRDefault="00005279" w:rsidP="00005279">
            <w:pPr>
              <w:rPr>
                <w:rFonts w:ascii="Aptos" w:hAnsi="Aptos"/>
                <w:sz w:val="18"/>
                <w:szCs w:val="18"/>
                <w:lang w:val="es-ES"/>
              </w:rPr>
            </w:pPr>
            <w:r w:rsidRPr="00005279">
              <w:rPr>
                <w:rFonts w:ascii="Aptos" w:hAnsi="Aptos"/>
                <w:sz w:val="18"/>
                <w:szCs w:val="18"/>
                <w:lang w:val="es-ES"/>
              </w:rPr>
              <w:t>Respuestas (porcentaje)</w:t>
            </w:r>
          </w:p>
        </w:tc>
      </w:tr>
      <w:tr w:rsidR="00005279" w:rsidRPr="00005279" w14:paraId="2969F72A" w14:textId="77777777" w:rsidTr="00005279">
        <w:tc>
          <w:tcPr>
            <w:tcW w:w="5174" w:type="dxa"/>
          </w:tcPr>
          <w:p w14:paraId="56217A94" w14:textId="77777777" w:rsidR="00005279" w:rsidRPr="00005279" w:rsidRDefault="00005279" w:rsidP="00005279">
            <w:pPr>
              <w:rPr>
                <w:rFonts w:ascii="Aptos" w:hAnsi="Aptos"/>
                <w:sz w:val="18"/>
                <w:szCs w:val="18"/>
                <w:lang w:val="es-ES"/>
              </w:rPr>
            </w:pPr>
            <w:r w:rsidRPr="00005279">
              <w:rPr>
                <w:rFonts w:ascii="Aptos" w:hAnsi="Aptos"/>
                <w:sz w:val="18"/>
                <w:szCs w:val="18"/>
                <w:lang w:val="es-ES"/>
              </w:rPr>
              <w:t>Score Level</w:t>
            </w:r>
          </w:p>
        </w:tc>
        <w:tc>
          <w:tcPr>
            <w:tcW w:w="4140" w:type="dxa"/>
          </w:tcPr>
          <w:p w14:paraId="5D68684A" w14:textId="5F05062B" w:rsidR="00005279" w:rsidRPr="00005279" w:rsidRDefault="00005279" w:rsidP="00005279">
            <w:pPr>
              <w:rPr>
                <w:rFonts w:ascii="Aptos" w:hAnsi="Aptos"/>
                <w:sz w:val="18"/>
                <w:szCs w:val="18"/>
                <w:lang w:val="es-ES"/>
              </w:rPr>
            </w:pPr>
            <w:r w:rsidRPr="00005279">
              <w:rPr>
                <w:rFonts w:ascii="Aptos" w:hAnsi="Aptos"/>
                <w:sz w:val="18"/>
                <w:szCs w:val="18"/>
                <w:lang w:val="es-ES"/>
              </w:rPr>
              <w:t>Nivel de puntuación</w:t>
            </w:r>
          </w:p>
        </w:tc>
      </w:tr>
      <w:tr w:rsidR="00005279" w:rsidRPr="00005279" w14:paraId="0BB0278A" w14:textId="77777777" w:rsidTr="00005279">
        <w:tc>
          <w:tcPr>
            <w:tcW w:w="5174" w:type="dxa"/>
          </w:tcPr>
          <w:p w14:paraId="613BD6CE" w14:textId="77777777" w:rsidR="00005279" w:rsidRPr="00005279" w:rsidRDefault="00005279" w:rsidP="00005279">
            <w:pPr>
              <w:rPr>
                <w:rFonts w:ascii="Aptos" w:hAnsi="Aptos"/>
                <w:sz w:val="18"/>
                <w:szCs w:val="18"/>
                <w:lang w:val="es-ES"/>
              </w:rPr>
            </w:pPr>
            <w:r w:rsidRPr="00005279">
              <w:rPr>
                <w:rFonts w:ascii="Aptos" w:hAnsi="Aptos"/>
                <w:sz w:val="18"/>
                <w:szCs w:val="18"/>
                <w:lang w:val="es-ES"/>
              </w:rPr>
              <w:t xml:space="preserve">Party </w:t>
            </w:r>
            <w:proofErr w:type="spellStart"/>
            <w:r w:rsidRPr="00005279">
              <w:rPr>
                <w:rFonts w:ascii="Aptos" w:hAnsi="Aptos"/>
                <w:sz w:val="18"/>
                <w:szCs w:val="18"/>
                <w:lang w:val="es-ES"/>
              </w:rPr>
              <w:t>count</w:t>
            </w:r>
            <w:proofErr w:type="spellEnd"/>
            <w:r w:rsidRPr="00005279">
              <w:rPr>
                <w:rFonts w:ascii="Aptos" w:hAnsi="Aptos"/>
                <w:sz w:val="18"/>
                <w:szCs w:val="18"/>
                <w:lang w:val="es-ES"/>
              </w:rPr>
              <w:t>: 127</w:t>
            </w:r>
          </w:p>
        </w:tc>
        <w:tc>
          <w:tcPr>
            <w:tcW w:w="4140" w:type="dxa"/>
          </w:tcPr>
          <w:p w14:paraId="4FAC80CA" w14:textId="5ECA794F" w:rsidR="00005279" w:rsidRPr="00005279" w:rsidRDefault="00005279" w:rsidP="00005279">
            <w:pPr>
              <w:rPr>
                <w:rFonts w:ascii="Aptos" w:hAnsi="Aptos"/>
                <w:sz w:val="18"/>
                <w:szCs w:val="18"/>
                <w:lang w:val="es-ES"/>
              </w:rPr>
            </w:pPr>
            <w:r w:rsidRPr="00005279">
              <w:rPr>
                <w:rFonts w:ascii="Aptos" w:hAnsi="Aptos"/>
                <w:sz w:val="18"/>
                <w:szCs w:val="18"/>
                <w:lang w:val="es-ES"/>
              </w:rPr>
              <w:t>Número de Partes: 127</w:t>
            </w:r>
          </w:p>
        </w:tc>
      </w:tr>
      <w:tr w:rsidR="00005279" w:rsidRPr="00005279" w14:paraId="79AEF1DE" w14:textId="77777777" w:rsidTr="00005279">
        <w:tc>
          <w:tcPr>
            <w:tcW w:w="5174" w:type="dxa"/>
          </w:tcPr>
          <w:p w14:paraId="7FE98410" w14:textId="77777777" w:rsidR="00005279" w:rsidRPr="00005279" w:rsidRDefault="00005279" w:rsidP="00005279">
            <w:pPr>
              <w:rPr>
                <w:rFonts w:ascii="Aptos" w:hAnsi="Aptos"/>
                <w:sz w:val="18"/>
                <w:szCs w:val="18"/>
                <w:lang w:val="es-ES"/>
              </w:rPr>
            </w:pPr>
            <w:proofErr w:type="spellStart"/>
            <w:r w:rsidRPr="00005279">
              <w:rPr>
                <w:rFonts w:ascii="Aptos" w:hAnsi="Aptos"/>
                <w:sz w:val="18"/>
                <w:szCs w:val="18"/>
                <w:lang w:val="es-ES"/>
              </w:rPr>
              <w:t>Region</w:t>
            </w:r>
            <w:proofErr w:type="spellEnd"/>
          </w:p>
        </w:tc>
        <w:tc>
          <w:tcPr>
            <w:tcW w:w="4140" w:type="dxa"/>
          </w:tcPr>
          <w:p w14:paraId="3C7C5D16" w14:textId="189CB5CD" w:rsidR="00005279" w:rsidRPr="00005279" w:rsidRDefault="00005279" w:rsidP="00005279">
            <w:pPr>
              <w:rPr>
                <w:rFonts w:ascii="Aptos" w:hAnsi="Aptos"/>
                <w:sz w:val="18"/>
                <w:szCs w:val="18"/>
                <w:lang w:val="es-ES"/>
              </w:rPr>
            </w:pPr>
            <w:r w:rsidRPr="00005279">
              <w:rPr>
                <w:rFonts w:ascii="Aptos" w:hAnsi="Aptos"/>
                <w:sz w:val="18"/>
                <w:szCs w:val="18"/>
                <w:lang w:val="es-ES"/>
              </w:rPr>
              <w:t>Región</w:t>
            </w:r>
          </w:p>
        </w:tc>
      </w:tr>
      <w:tr w:rsidR="00005279" w:rsidRPr="00005279" w14:paraId="1DC37B06" w14:textId="77777777" w:rsidTr="00005279">
        <w:tc>
          <w:tcPr>
            <w:tcW w:w="5174" w:type="dxa"/>
          </w:tcPr>
          <w:p w14:paraId="4781D8F8" w14:textId="77777777" w:rsidR="00005279" w:rsidRPr="00005279" w:rsidRDefault="00005279" w:rsidP="00005279">
            <w:pPr>
              <w:rPr>
                <w:rFonts w:ascii="Aptos" w:hAnsi="Aptos"/>
                <w:sz w:val="18"/>
                <w:szCs w:val="18"/>
                <w:lang w:val="es-ES"/>
              </w:rPr>
            </w:pPr>
            <w:r w:rsidRPr="00005279">
              <w:rPr>
                <w:rFonts w:ascii="Aptos" w:hAnsi="Aptos"/>
                <w:sz w:val="18"/>
                <w:szCs w:val="18"/>
                <w:lang w:val="es-ES"/>
              </w:rPr>
              <w:t>African States</w:t>
            </w:r>
          </w:p>
        </w:tc>
        <w:tc>
          <w:tcPr>
            <w:tcW w:w="4140" w:type="dxa"/>
          </w:tcPr>
          <w:p w14:paraId="5B6D7DBB" w14:textId="4EF734BE" w:rsidR="00005279" w:rsidRPr="00005279" w:rsidRDefault="00005279" w:rsidP="00005279">
            <w:pPr>
              <w:rPr>
                <w:rFonts w:ascii="Aptos" w:hAnsi="Aptos"/>
                <w:sz w:val="18"/>
                <w:szCs w:val="18"/>
                <w:lang w:val="es-ES"/>
              </w:rPr>
            </w:pPr>
            <w:r w:rsidRPr="00005279">
              <w:rPr>
                <w:rFonts w:ascii="Aptos" w:hAnsi="Aptos"/>
                <w:sz w:val="18"/>
                <w:szCs w:val="18"/>
                <w:lang w:val="es-ES"/>
              </w:rPr>
              <w:t>Estados de África</w:t>
            </w:r>
          </w:p>
        </w:tc>
      </w:tr>
      <w:tr w:rsidR="00005279" w:rsidRPr="00005279" w14:paraId="59528CF7" w14:textId="77777777" w:rsidTr="00005279">
        <w:tc>
          <w:tcPr>
            <w:tcW w:w="5174" w:type="dxa"/>
          </w:tcPr>
          <w:p w14:paraId="6F53564A" w14:textId="77777777" w:rsidR="00005279" w:rsidRPr="00005279" w:rsidRDefault="00005279" w:rsidP="00005279">
            <w:pPr>
              <w:rPr>
                <w:rFonts w:ascii="Aptos" w:hAnsi="Aptos"/>
                <w:sz w:val="18"/>
                <w:szCs w:val="18"/>
                <w:lang w:val="es-ES"/>
              </w:rPr>
            </w:pPr>
            <w:r w:rsidRPr="00005279">
              <w:rPr>
                <w:rFonts w:ascii="Aptos" w:hAnsi="Aptos"/>
                <w:sz w:val="18"/>
                <w:szCs w:val="18"/>
                <w:lang w:val="es-ES"/>
              </w:rPr>
              <w:t>Asia-Pacific States</w:t>
            </w:r>
          </w:p>
        </w:tc>
        <w:tc>
          <w:tcPr>
            <w:tcW w:w="4140" w:type="dxa"/>
          </w:tcPr>
          <w:p w14:paraId="6B224F2A" w14:textId="7CAF2A7F" w:rsidR="00005279" w:rsidRPr="00005279" w:rsidRDefault="00005279" w:rsidP="00005279">
            <w:pPr>
              <w:rPr>
                <w:rFonts w:ascii="Aptos" w:hAnsi="Aptos"/>
                <w:sz w:val="18"/>
                <w:szCs w:val="18"/>
                <w:lang w:val="es-ES"/>
              </w:rPr>
            </w:pPr>
            <w:r w:rsidRPr="00005279">
              <w:rPr>
                <w:rFonts w:ascii="Aptos" w:hAnsi="Aptos"/>
                <w:sz w:val="18"/>
                <w:szCs w:val="18"/>
                <w:lang w:val="es-ES"/>
              </w:rPr>
              <w:t>Estados de Asia y el Pacífico</w:t>
            </w:r>
          </w:p>
        </w:tc>
      </w:tr>
      <w:tr w:rsidR="00005279" w:rsidRPr="00005279" w14:paraId="3CDB7401" w14:textId="77777777" w:rsidTr="00005279">
        <w:tc>
          <w:tcPr>
            <w:tcW w:w="5174" w:type="dxa"/>
          </w:tcPr>
          <w:p w14:paraId="4EF6C28F" w14:textId="77777777" w:rsidR="00005279" w:rsidRPr="00005279" w:rsidRDefault="00005279" w:rsidP="00005279">
            <w:pPr>
              <w:rPr>
                <w:rFonts w:ascii="Aptos" w:hAnsi="Aptos"/>
                <w:sz w:val="18"/>
                <w:szCs w:val="18"/>
                <w:lang w:val="en-US"/>
              </w:rPr>
            </w:pPr>
            <w:r w:rsidRPr="00005279">
              <w:rPr>
                <w:rFonts w:ascii="Aptos" w:hAnsi="Aptos"/>
                <w:sz w:val="18"/>
                <w:szCs w:val="18"/>
                <w:lang w:val="en-US"/>
              </w:rPr>
              <w:t>Latin American and Caribbean States</w:t>
            </w:r>
          </w:p>
        </w:tc>
        <w:tc>
          <w:tcPr>
            <w:tcW w:w="4140" w:type="dxa"/>
          </w:tcPr>
          <w:p w14:paraId="6B92D831" w14:textId="66FE434B" w:rsidR="00005279" w:rsidRPr="00005279" w:rsidRDefault="00005279" w:rsidP="00005279">
            <w:pPr>
              <w:rPr>
                <w:rFonts w:ascii="Aptos" w:hAnsi="Aptos"/>
                <w:sz w:val="18"/>
                <w:szCs w:val="18"/>
                <w:lang w:val="es-ES"/>
              </w:rPr>
            </w:pPr>
            <w:r w:rsidRPr="00005279">
              <w:rPr>
                <w:rFonts w:ascii="Aptos" w:hAnsi="Aptos"/>
                <w:sz w:val="18"/>
                <w:szCs w:val="18"/>
                <w:lang w:val="es-ES"/>
              </w:rPr>
              <w:t>Estados de América Latina y el Caribe</w:t>
            </w:r>
          </w:p>
        </w:tc>
      </w:tr>
      <w:tr w:rsidR="00005279" w:rsidRPr="00005279" w14:paraId="21399112" w14:textId="77777777" w:rsidTr="00005279">
        <w:tc>
          <w:tcPr>
            <w:tcW w:w="5174" w:type="dxa"/>
          </w:tcPr>
          <w:p w14:paraId="49FE149E" w14:textId="77777777" w:rsidR="00005279" w:rsidRPr="00005279" w:rsidRDefault="00005279" w:rsidP="00005279">
            <w:pPr>
              <w:rPr>
                <w:rFonts w:ascii="Aptos" w:hAnsi="Aptos"/>
                <w:sz w:val="18"/>
                <w:szCs w:val="18"/>
                <w:lang w:val="es-ES"/>
              </w:rPr>
            </w:pPr>
            <w:r w:rsidRPr="00005279">
              <w:rPr>
                <w:rFonts w:ascii="Aptos" w:hAnsi="Aptos"/>
                <w:sz w:val="18"/>
                <w:szCs w:val="18"/>
                <w:lang w:val="es-ES"/>
              </w:rPr>
              <w:t xml:space="preserve"> Eastern European States</w:t>
            </w:r>
          </w:p>
        </w:tc>
        <w:tc>
          <w:tcPr>
            <w:tcW w:w="4140" w:type="dxa"/>
          </w:tcPr>
          <w:p w14:paraId="3369CB77" w14:textId="43688982" w:rsidR="00005279" w:rsidRPr="00005279" w:rsidRDefault="00005279" w:rsidP="00005279">
            <w:pPr>
              <w:rPr>
                <w:rFonts w:ascii="Aptos" w:hAnsi="Aptos"/>
                <w:sz w:val="18"/>
                <w:szCs w:val="18"/>
                <w:lang w:val="es-ES"/>
              </w:rPr>
            </w:pPr>
            <w:r w:rsidRPr="00005279">
              <w:rPr>
                <w:rFonts w:ascii="Aptos" w:hAnsi="Aptos"/>
                <w:sz w:val="18"/>
                <w:szCs w:val="18"/>
                <w:lang w:val="es-ES"/>
              </w:rPr>
              <w:t>Estados de Europa Oriental</w:t>
            </w:r>
          </w:p>
        </w:tc>
      </w:tr>
      <w:tr w:rsidR="00005279" w:rsidRPr="00005279" w14:paraId="497685C1" w14:textId="77777777" w:rsidTr="00005279">
        <w:tc>
          <w:tcPr>
            <w:tcW w:w="5174" w:type="dxa"/>
          </w:tcPr>
          <w:p w14:paraId="387F1BB5" w14:textId="77777777" w:rsidR="00005279" w:rsidRPr="00005279" w:rsidRDefault="00005279" w:rsidP="00005279">
            <w:pPr>
              <w:rPr>
                <w:rFonts w:ascii="Aptos" w:hAnsi="Aptos"/>
                <w:sz w:val="18"/>
                <w:szCs w:val="18"/>
                <w:lang w:val="en-US"/>
              </w:rPr>
            </w:pPr>
            <w:r w:rsidRPr="00005279">
              <w:rPr>
                <w:rFonts w:ascii="Aptos" w:hAnsi="Aptos"/>
                <w:sz w:val="18"/>
                <w:szCs w:val="18"/>
                <w:lang w:val="en-US"/>
              </w:rPr>
              <w:t>Western European and other States</w:t>
            </w:r>
          </w:p>
        </w:tc>
        <w:tc>
          <w:tcPr>
            <w:tcW w:w="4140" w:type="dxa"/>
          </w:tcPr>
          <w:p w14:paraId="7F56C31F" w14:textId="1C702455" w:rsidR="00005279" w:rsidRPr="00005279" w:rsidRDefault="00005279" w:rsidP="00005279">
            <w:pPr>
              <w:rPr>
                <w:rFonts w:ascii="Aptos" w:hAnsi="Aptos"/>
                <w:sz w:val="18"/>
                <w:szCs w:val="18"/>
                <w:lang w:val="es-ES"/>
              </w:rPr>
            </w:pPr>
            <w:r w:rsidRPr="00005279">
              <w:rPr>
                <w:rFonts w:ascii="Aptos" w:hAnsi="Aptos"/>
                <w:sz w:val="18"/>
                <w:szCs w:val="18"/>
                <w:lang w:val="es-ES"/>
              </w:rPr>
              <w:t>Estados de Europa Occidental y otros Estados</w:t>
            </w:r>
          </w:p>
        </w:tc>
      </w:tr>
    </w:tbl>
    <w:p w14:paraId="787046E2" w14:textId="77777777" w:rsidR="00005279" w:rsidRPr="00005279" w:rsidRDefault="00005279" w:rsidP="00005279">
      <w:pPr>
        <w:rPr>
          <w:lang w:val="es-ES" w:eastAsia="ja-JP"/>
        </w:rPr>
      </w:pPr>
    </w:p>
    <w:p w14:paraId="37FBA961" w14:textId="4D61A422" w:rsidR="004B1255" w:rsidRPr="005E3D50" w:rsidRDefault="004B1255" w:rsidP="004B1255">
      <w:pPr>
        <w:rPr>
          <w:sz w:val="20"/>
          <w:szCs w:val="20"/>
          <w:lang w:val="es-ES"/>
        </w:rPr>
      </w:pPr>
      <w:r w:rsidRPr="005E3D50">
        <w:rPr>
          <w:sz w:val="20"/>
          <w:szCs w:val="20"/>
          <w:lang w:val="es-ES"/>
        </w:rPr>
        <w:t xml:space="preserve">Figura 26 </w:t>
      </w:r>
    </w:p>
    <w:p w14:paraId="4C9DCB4C" w14:textId="467511A3" w:rsidR="004B1255" w:rsidRPr="005E3D50" w:rsidRDefault="004B1255" w:rsidP="004B1255">
      <w:pPr>
        <w:rPr>
          <w:b/>
          <w:bCs/>
          <w:sz w:val="20"/>
          <w:szCs w:val="20"/>
          <w:lang w:val="es-ES"/>
        </w:rPr>
      </w:pPr>
      <w:r w:rsidRPr="005E3D50">
        <w:rPr>
          <w:b/>
          <w:bCs/>
          <w:sz w:val="20"/>
          <w:szCs w:val="20"/>
          <w:lang w:val="es-ES"/>
        </w:rPr>
        <w:t>Porcentaje de indicadores armonizados con la meta 5 del Marco que sugieren tendencias de mejora, estables y negativas, respectivamente</w:t>
      </w:r>
    </w:p>
    <w:p w14:paraId="276ADAEB" w14:textId="77777777" w:rsidR="0022676A" w:rsidRPr="005E3D50" w:rsidRDefault="0022676A" w:rsidP="0022676A">
      <w:pPr>
        <w:rPr>
          <w:lang w:val="es-ES" w:eastAsia="ja-JP"/>
        </w:rPr>
      </w:pPr>
    </w:p>
    <w:p w14:paraId="61F7C9FF" w14:textId="15880806" w:rsidR="00A8486E" w:rsidRPr="005E3D50" w:rsidRDefault="009F0402" w:rsidP="008E7C15">
      <w:pPr>
        <w:pStyle w:val="Caption"/>
        <w:rPr>
          <w:rFonts w:ascii="Aptos" w:hAnsi="Aptos"/>
          <w:i w:val="0"/>
          <w:lang w:val="es-ES"/>
        </w:rPr>
      </w:pPr>
      <w:bookmarkStart w:id="210" w:name="_Ref231151144"/>
      <w:bookmarkEnd w:id="209"/>
      <w:r w:rsidRPr="005E3D50">
        <w:rPr>
          <w:rFonts w:ascii="Aptos" w:hAnsi="Aptos"/>
          <w:noProof/>
          <w:lang w:val="en-US" w:eastAsia="en-US"/>
        </w:rPr>
        <w:lastRenderedPageBreak/>
        <w:drawing>
          <wp:inline distT="0" distB="0" distL="0" distR="0" wp14:anchorId="0D3D2E80" wp14:editId="7F2D9307">
            <wp:extent cx="5721350" cy="2451100"/>
            <wp:effectExtent l="0" t="0" r="0" b="6350"/>
            <wp:docPr id="1348901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21350" cy="2451100"/>
                    </a:xfrm>
                    <a:prstGeom prst="rect">
                      <a:avLst/>
                    </a:prstGeom>
                    <a:noFill/>
                    <a:ln>
                      <a:noFill/>
                    </a:ln>
                  </pic:spPr>
                </pic:pic>
              </a:graphicData>
            </a:graphic>
          </wp:inline>
        </w:drawing>
      </w:r>
      <w:r w:rsidRPr="005E3D50">
        <w:rPr>
          <w:rFonts w:ascii="Aptos" w:hAnsi="Aptos"/>
          <w:i w:val="0"/>
          <w:lang w:val="es-ES"/>
        </w:rPr>
        <w:t xml:space="preserve"> </w:t>
      </w:r>
    </w:p>
    <w:p w14:paraId="2F1F90A5" w14:textId="77777777" w:rsidR="005F593E" w:rsidRDefault="005F593E" w:rsidP="005F593E">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Las proporciones están ponderadas por Parte. Las tendencias incluyen datos de 1 indicador de cabecera de 30 Partes, 1 indicador complementario y 63 indicadores nacionales de un total de 19 Partes. El gráfico circular muestra la distribución de las Partes que presentaron indicadores para la meta 5,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86" w:type="dxa"/>
        <w:tblLook w:val="04A0" w:firstRow="1" w:lastRow="0" w:firstColumn="1" w:lastColumn="0" w:noHBand="0" w:noVBand="1"/>
      </w:tblPr>
      <w:tblGrid>
        <w:gridCol w:w="5518"/>
        <w:gridCol w:w="3868"/>
      </w:tblGrid>
      <w:tr w:rsidR="00DE6780" w:rsidRPr="00DE6780" w14:paraId="0719C4BC" w14:textId="77777777" w:rsidTr="00DE6780">
        <w:tc>
          <w:tcPr>
            <w:tcW w:w="9386" w:type="dxa"/>
            <w:gridSpan w:val="2"/>
          </w:tcPr>
          <w:p w14:paraId="7C602487" w14:textId="2FB17092" w:rsidR="00DE6780"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26</w:t>
            </w:r>
          </w:p>
        </w:tc>
      </w:tr>
      <w:tr w:rsidR="00DE6780" w:rsidRPr="00DE6780" w14:paraId="2BD9F452" w14:textId="77777777" w:rsidTr="00DE6780">
        <w:tc>
          <w:tcPr>
            <w:tcW w:w="5518" w:type="dxa"/>
          </w:tcPr>
          <w:p w14:paraId="029D2011" w14:textId="50837245" w:rsidR="00DE6780" w:rsidRPr="002B1D2B" w:rsidRDefault="00DE6780" w:rsidP="00DE6780">
            <w:pPr>
              <w:rPr>
                <w:rFonts w:ascii="Aptos" w:hAnsi="Aptos"/>
                <w:sz w:val="18"/>
                <w:szCs w:val="18"/>
                <w:lang w:val="es-ES"/>
              </w:rPr>
            </w:pPr>
            <w:r w:rsidRPr="002B1D2B">
              <w:rPr>
                <w:rFonts w:ascii="Aptos" w:hAnsi="Aptos"/>
                <w:sz w:val="18"/>
                <w:szCs w:val="18"/>
                <w:lang w:val="es-ES"/>
              </w:rPr>
              <w:t xml:space="preserve">English </w:t>
            </w:r>
          </w:p>
        </w:tc>
        <w:tc>
          <w:tcPr>
            <w:tcW w:w="3867" w:type="dxa"/>
          </w:tcPr>
          <w:p w14:paraId="60E3CF64" w14:textId="33F61145" w:rsidR="00DE6780" w:rsidRPr="002B1D2B" w:rsidRDefault="007371B4" w:rsidP="00DE6780">
            <w:pPr>
              <w:rPr>
                <w:rFonts w:ascii="Aptos" w:hAnsi="Aptos"/>
                <w:sz w:val="18"/>
                <w:szCs w:val="18"/>
                <w:lang w:val="es-ES"/>
              </w:rPr>
            </w:pPr>
            <w:r w:rsidRPr="002B1D2B">
              <w:rPr>
                <w:rFonts w:ascii="Aptos" w:hAnsi="Aptos"/>
                <w:sz w:val="18"/>
                <w:szCs w:val="18"/>
                <w:lang w:val="es-ES"/>
              </w:rPr>
              <w:t>Español</w:t>
            </w:r>
          </w:p>
        </w:tc>
      </w:tr>
      <w:tr w:rsidR="00DE6780" w:rsidRPr="00DE6780" w14:paraId="7335504F" w14:textId="77777777" w:rsidTr="00DE6780">
        <w:tc>
          <w:tcPr>
            <w:tcW w:w="5518" w:type="dxa"/>
          </w:tcPr>
          <w:p w14:paraId="637EB711" w14:textId="77777777" w:rsidR="00DE6780" w:rsidRPr="00DE6780" w:rsidRDefault="00DE6780" w:rsidP="00DE6780">
            <w:pPr>
              <w:rPr>
                <w:rFonts w:ascii="Aptos" w:hAnsi="Aptos"/>
                <w:sz w:val="18"/>
                <w:szCs w:val="18"/>
                <w:lang w:val="es-ES"/>
              </w:rPr>
            </w:pPr>
            <w:proofErr w:type="spellStart"/>
            <w:r w:rsidRPr="00DE6780">
              <w:rPr>
                <w:rFonts w:ascii="Aptos" w:hAnsi="Aptos"/>
                <w:sz w:val="18"/>
                <w:szCs w:val="18"/>
                <w:lang w:val="es-ES"/>
              </w:rPr>
              <w:t>Proportion</w:t>
            </w:r>
            <w:proofErr w:type="spellEnd"/>
          </w:p>
        </w:tc>
        <w:tc>
          <w:tcPr>
            <w:tcW w:w="3867" w:type="dxa"/>
          </w:tcPr>
          <w:p w14:paraId="0F41F9BF" w14:textId="02F4E432" w:rsidR="00DE6780" w:rsidRPr="00DE6780" w:rsidRDefault="00DE6780" w:rsidP="00DE6780">
            <w:pPr>
              <w:rPr>
                <w:rFonts w:ascii="Aptos" w:hAnsi="Aptos"/>
                <w:sz w:val="18"/>
                <w:szCs w:val="18"/>
                <w:lang w:val="es-ES"/>
              </w:rPr>
            </w:pPr>
            <w:r w:rsidRPr="00DE6780">
              <w:rPr>
                <w:rFonts w:ascii="Aptos" w:hAnsi="Aptos"/>
                <w:sz w:val="18"/>
                <w:szCs w:val="18"/>
                <w:lang w:val="es-ES"/>
              </w:rPr>
              <w:t>Proporción</w:t>
            </w:r>
          </w:p>
        </w:tc>
      </w:tr>
      <w:tr w:rsidR="00DE6780" w:rsidRPr="00DE6780" w14:paraId="5C6A04A2" w14:textId="77777777" w:rsidTr="00DE6780">
        <w:tc>
          <w:tcPr>
            <w:tcW w:w="5518" w:type="dxa"/>
          </w:tcPr>
          <w:p w14:paraId="5F56DAE0" w14:textId="77777777" w:rsidR="00DE6780" w:rsidRPr="00DE6780" w:rsidRDefault="00DE6780" w:rsidP="00DE6780">
            <w:pPr>
              <w:rPr>
                <w:rFonts w:ascii="Aptos" w:hAnsi="Aptos"/>
                <w:sz w:val="18"/>
                <w:szCs w:val="18"/>
                <w:lang w:val="es-ES"/>
              </w:rPr>
            </w:pPr>
            <w:r w:rsidRPr="00DE6780">
              <w:rPr>
                <w:rFonts w:ascii="Aptos" w:hAnsi="Aptos"/>
                <w:sz w:val="18"/>
                <w:szCs w:val="18"/>
                <w:lang w:val="es-ES"/>
              </w:rPr>
              <w:t xml:space="preserve">Current </w:t>
            </w:r>
            <w:proofErr w:type="gramStart"/>
            <w:r w:rsidRPr="00DE6780">
              <w:rPr>
                <w:rFonts w:ascii="Aptos" w:hAnsi="Aptos"/>
                <w:sz w:val="18"/>
                <w:szCs w:val="18"/>
                <w:lang w:val="es-ES"/>
              </w:rPr>
              <w:t>Status</w:t>
            </w:r>
            <w:proofErr w:type="gramEnd"/>
          </w:p>
        </w:tc>
        <w:tc>
          <w:tcPr>
            <w:tcW w:w="3867" w:type="dxa"/>
          </w:tcPr>
          <w:p w14:paraId="2217A276" w14:textId="07E3026C" w:rsidR="00DE6780" w:rsidRPr="00DE6780" w:rsidRDefault="00DE6780" w:rsidP="00DE6780">
            <w:pPr>
              <w:rPr>
                <w:rFonts w:ascii="Aptos" w:hAnsi="Aptos"/>
                <w:sz w:val="18"/>
                <w:szCs w:val="18"/>
                <w:lang w:val="es-ES"/>
              </w:rPr>
            </w:pPr>
            <w:r w:rsidRPr="00DE6780">
              <w:rPr>
                <w:rFonts w:ascii="Aptos" w:hAnsi="Aptos"/>
                <w:sz w:val="18"/>
                <w:szCs w:val="18"/>
                <w:lang w:val="es-ES"/>
              </w:rPr>
              <w:t>Estado actual</w:t>
            </w:r>
          </w:p>
        </w:tc>
      </w:tr>
      <w:tr w:rsidR="00DE6780" w:rsidRPr="00DE6780" w14:paraId="171B3D05" w14:textId="77777777" w:rsidTr="00DE6780">
        <w:tc>
          <w:tcPr>
            <w:tcW w:w="5518" w:type="dxa"/>
          </w:tcPr>
          <w:p w14:paraId="6A40A433" w14:textId="77777777" w:rsidR="00DE6780" w:rsidRPr="00DE6780" w:rsidRDefault="00DE6780" w:rsidP="00DE6780">
            <w:pPr>
              <w:rPr>
                <w:rFonts w:ascii="Aptos" w:hAnsi="Aptos"/>
                <w:sz w:val="18"/>
                <w:szCs w:val="18"/>
                <w:lang w:val="es-ES"/>
              </w:rPr>
            </w:pPr>
            <w:proofErr w:type="spellStart"/>
            <w:r w:rsidRPr="00DE6780">
              <w:rPr>
                <w:rFonts w:ascii="Aptos" w:hAnsi="Aptos"/>
                <w:sz w:val="18"/>
                <w:szCs w:val="18"/>
                <w:lang w:val="es-ES"/>
              </w:rPr>
              <w:t>improving</w:t>
            </w:r>
            <w:proofErr w:type="spellEnd"/>
          </w:p>
        </w:tc>
        <w:tc>
          <w:tcPr>
            <w:tcW w:w="3867" w:type="dxa"/>
          </w:tcPr>
          <w:p w14:paraId="4CE82134" w14:textId="2AE09BD1" w:rsidR="00DE6780" w:rsidRPr="00DE6780" w:rsidRDefault="00DE6780" w:rsidP="00DE6780">
            <w:pPr>
              <w:rPr>
                <w:rFonts w:ascii="Aptos" w:hAnsi="Aptos"/>
                <w:sz w:val="18"/>
                <w:szCs w:val="18"/>
                <w:lang w:val="es-ES"/>
              </w:rPr>
            </w:pPr>
            <w:r w:rsidRPr="00DE6780">
              <w:rPr>
                <w:rFonts w:ascii="Aptos" w:hAnsi="Aptos"/>
                <w:sz w:val="18"/>
                <w:szCs w:val="18"/>
                <w:lang w:val="es-ES"/>
              </w:rPr>
              <w:t>mejorando</w:t>
            </w:r>
          </w:p>
        </w:tc>
      </w:tr>
      <w:tr w:rsidR="00DE6780" w:rsidRPr="00DE6780" w14:paraId="0ECCA8F5" w14:textId="77777777" w:rsidTr="00DE6780">
        <w:tc>
          <w:tcPr>
            <w:tcW w:w="5518" w:type="dxa"/>
          </w:tcPr>
          <w:p w14:paraId="0B0096D3" w14:textId="77777777" w:rsidR="00DE6780" w:rsidRPr="00DE6780" w:rsidRDefault="00DE6780" w:rsidP="00DE6780">
            <w:pPr>
              <w:rPr>
                <w:rFonts w:ascii="Aptos" w:hAnsi="Aptos"/>
                <w:sz w:val="18"/>
                <w:szCs w:val="18"/>
                <w:lang w:val="es-ES"/>
              </w:rPr>
            </w:pPr>
            <w:proofErr w:type="spellStart"/>
            <w:r w:rsidRPr="00DE6780">
              <w:rPr>
                <w:rFonts w:ascii="Aptos" w:hAnsi="Aptos"/>
                <w:sz w:val="18"/>
                <w:szCs w:val="18"/>
                <w:lang w:val="es-ES"/>
              </w:rPr>
              <w:t>stable</w:t>
            </w:r>
            <w:proofErr w:type="spellEnd"/>
          </w:p>
        </w:tc>
        <w:tc>
          <w:tcPr>
            <w:tcW w:w="3867" w:type="dxa"/>
          </w:tcPr>
          <w:p w14:paraId="30A6E45C" w14:textId="05C65C57" w:rsidR="00DE6780" w:rsidRPr="00DE6780" w:rsidRDefault="00DE6780" w:rsidP="00DE6780">
            <w:pPr>
              <w:rPr>
                <w:rFonts w:ascii="Aptos" w:hAnsi="Aptos"/>
                <w:sz w:val="18"/>
                <w:szCs w:val="18"/>
                <w:lang w:val="es-ES"/>
              </w:rPr>
            </w:pPr>
            <w:r w:rsidRPr="00DE6780">
              <w:rPr>
                <w:rFonts w:ascii="Aptos" w:hAnsi="Aptos"/>
                <w:sz w:val="18"/>
                <w:szCs w:val="18"/>
                <w:lang w:val="es-ES"/>
              </w:rPr>
              <w:t>estable</w:t>
            </w:r>
          </w:p>
        </w:tc>
      </w:tr>
      <w:tr w:rsidR="00DE6780" w:rsidRPr="00DE6780" w14:paraId="6B66FD69" w14:textId="77777777" w:rsidTr="00DE6780">
        <w:tc>
          <w:tcPr>
            <w:tcW w:w="5518" w:type="dxa"/>
          </w:tcPr>
          <w:p w14:paraId="5C7A70C1" w14:textId="77777777" w:rsidR="00DE6780" w:rsidRPr="00DE6780" w:rsidRDefault="00DE6780" w:rsidP="00DE6780">
            <w:pPr>
              <w:rPr>
                <w:rFonts w:ascii="Aptos" w:hAnsi="Aptos"/>
                <w:sz w:val="18"/>
                <w:szCs w:val="18"/>
                <w:lang w:val="es-ES"/>
              </w:rPr>
            </w:pPr>
            <w:proofErr w:type="spellStart"/>
            <w:r w:rsidRPr="00DE6780">
              <w:rPr>
                <w:rFonts w:ascii="Aptos" w:hAnsi="Aptos"/>
                <w:sz w:val="18"/>
                <w:szCs w:val="18"/>
                <w:lang w:val="es-ES"/>
              </w:rPr>
              <w:t>moving</w:t>
            </w:r>
            <w:proofErr w:type="spellEnd"/>
            <w:r w:rsidRPr="00DE6780">
              <w:rPr>
                <w:rFonts w:ascii="Aptos" w:hAnsi="Aptos"/>
                <w:sz w:val="18"/>
                <w:szCs w:val="18"/>
                <w:lang w:val="es-ES"/>
              </w:rPr>
              <w:t xml:space="preserve"> </w:t>
            </w:r>
            <w:proofErr w:type="spellStart"/>
            <w:r w:rsidRPr="00DE6780">
              <w:rPr>
                <w:rFonts w:ascii="Aptos" w:hAnsi="Aptos"/>
                <w:sz w:val="18"/>
                <w:szCs w:val="18"/>
                <w:lang w:val="es-ES"/>
              </w:rPr>
              <w:t>away</w:t>
            </w:r>
            <w:proofErr w:type="spellEnd"/>
          </w:p>
        </w:tc>
        <w:tc>
          <w:tcPr>
            <w:tcW w:w="3867" w:type="dxa"/>
          </w:tcPr>
          <w:p w14:paraId="60448D54" w14:textId="25D11B69" w:rsidR="00DE6780" w:rsidRPr="00DE6780" w:rsidRDefault="00DE6780" w:rsidP="00DE6780">
            <w:pPr>
              <w:rPr>
                <w:rFonts w:ascii="Aptos" w:hAnsi="Aptos"/>
                <w:sz w:val="18"/>
                <w:szCs w:val="18"/>
                <w:lang w:val="es-ES"/>
              </w:rPr>
            </w:pPr>
            <w:r w:rsidRPr="00DE6780">
              <w:rPr>
                <w:rFonts w:ascii="Aptos" w:hAnsi="Aptos"/>
                <w:sz w:val="18"/>
                <w:szCs w:val="18"/>
                <w:lang w:val="es-ES"/>
              </w:rPr>
              <w:t>alejándose</w:t>
            </w:r>
          </w:p>
        </w:tc>
      </w:tr>
      <w:tr w:rsidR="00DE6780" w:rsidRPr="00DE6780" w14:paraId="6690DD43" w14:textId="77777777" w:rsidTr="00DE6780">
        <w:tc>
          <w:tcPr>
            <w:tcW w:w="5518" w:type="dxa"/>
          </w:tcPr>
          <w:p w14:paraId="6914A62B" w14:textId="77777777" w:rsidR="00DE6780" w:rsidRPr="00DE6780" w:rsidRDefault="00DE6780" w:rsidP="00DE6780">
            <w:pPr>
              <w:rPr>
                <w:rFonts w:ascii="Aptos" w:hAnsi="Aptos"/>
                <w:sz w:val="18"/>
                <w:szCs w:val="18"/>
                <w:lang w:val="es-ES"/>
              </w:rPr>
            </w:pPr>
            <w:r w:rsidRPr="00DE6780">
              <w:rPr>
                <w:rFonts w:ascii="Aptos" w:hAnsi="Aptos"/>
                <w:sz w:val="18"/>
                <w:szCs w:val="18"/>
                <w:lang w:val="es-ES"/>
              </w:rPr>
              <w:t xml:space="preserve">Party </w:t>
            </w:r>
            <w:proofErr w:type="spellStart"/>
            <w:r w:rsidRPr="00DE6780">
              <w:rPr>
                <w:rFonts w:ascii="Aptos" w:hAnsi="Aptos"/>
                <w:sz w:val="18"/>
                <w:szCs w:val="18"/>
                <w:lang w:val="es-ES"/>
              </w:rPr>
              <w:t>count</w:t>
            </w:r>
            <w:proofErr w:type="spellEnd"/>
            <w:r w:rsidRPr="00DE6780">
              <w:rPr>
                <w:rFonts w:ascii="Aptos" w:hAnsi="Aptos"/>
                <w:sz w:val="18"/>
                <w:szCs w:val="18"/>
                <w:lang w:val="es-ES"/>
              </w:rPr>
              <w:t>: 43</w:t>
            </w:r>
          </w:p>
        </w:tc>
        <w:tc>
          <w:tcPr>
            <w:tcW w:w="3867" w:type="dxa"/>
          </w:tcPr>
          <w:p w14:paraId="5837B7BB" w14:textId="621543E7" w:rsidR="00DE6780" w:rsidRPr="00DE6780" w:rsidRDefault="00DE6780" w:rsidP="00DE6780">
            <w:pPr>
              <w:rPr>
                <w:rFonts w:ascii="Aptos" w:hAnsi="Aptos"/>
                <w:sz w:val="18"/>
                <w:szCs w:val="18"/>
                <w:lang w:val="es-ES"/>
              </w:rPr>
            </w:pPr>
            <w:r w:rsidRPr="00DE6780">
              <w:rPr>
                <w:rFonts w:ascii="Aptos" w:hAnsi="Aptos"/>
                <w:sz w:val="18"/>
                <w:szCs w:val="18"/>
                <w:lang w:val="es-ES"/>
              </w:rPr>
              <w:t>Número de Partes: 43</w:t>
            </w:r>
          </w:p>
        </w:tc>
      </w:tr>
      <w:tr w:rsidR="00DE6780" w:rsidRPr="00DE6780" w14:paraId="0150D133" w14:textId="77777777" w:rsidTr="00DE6780">
        <w:tc>
          <w:tcPr>
            <w:tcW w:w="5518" w:type="dxa"/>
          </w:tcPr>
          <w:p w14:paraId="5E853A97" w14:textId="77777777" w:rsidR="00DE6780" w:rsidRPr="00DE6780" w:rsidRDefault="00DE6780" w:rsidP="00DE6780">
            <w:pPr>
              <w:rPr>
                <w:rFonts w:ascii="Aptos" w:hAnsi="Aptos"/>
                <w:sz w:val="18"/>
                <w:szCs w:val="18"/>
                <w:lang w:val="es-ES"/>
              </w:rPr>
            </w:pPr>
            <w:proofErr w:type="spellStart"/>
            <w:r w:rsidRPr="00DE6780">
              <w:rPr>
                <w:rFonts w:ascii="Aptos" w:hAnsi="Aptos"/>
                <w:sz w:val="18"/>
                <w:szCs w:val="18"/>
                <w:lang w:val="es-ES"/>
              </w:rPr>
              <w:t>Region</w:t>
            </w:r>
            <w:proofErr w:type="spellEnd"/>
          </w:p>
        </w:tc>
        <w:tc>
          <w:tcPr>
            <w:tcW w:w="3867" w:type="dxa"/>
          </w:tcPr>
          <w:p w14:paraId="3825983C" w14:textId="64DAD250" w:rsidR="00DE6780" w:rsidRPr="00DE6780" w:rsidRDefault="00DE6780" w:rsidP="00DE6780">
            <w:pPr>
              <w:rPr>
                <w:rFonts w:ascii="Aptos" w:hAnsi="Aptos"/>
                <w:sz w:val="18"/>
                <w:szCs w:val="18"/>
                <w:lang w:val="es-ES"/>
              </w:rPr>
            </w:pPr>
            <w:r w:rsidRPr="00DE6780">
              <w:rPr>
                <w:rFonts w:ascii="Aptos" w:hAnsi="Aptos"/>
                <w:sz w:val="18"/>
                <w:szCs w:val="18"/>
                <w:lang w:val="es-ES"/>
              </w:rPr>
              <w:t>Región</w:t>
            </w:r>
          </w:p>
        </w:tc>
      </w:tr>
      <w:tr w:rsidR="00DE6780" w:rsidRPr="00DE6780" w14:paraId="7895A4F5" w14:textId="77777777" w:rsidTr="00DE6780">
        <w:tc>
          <w:tcPr>
            <w:tcW w:w="5518" w:type="dxa"/>
          </w:tcPr>
          <w:p w14:paraId="14764C93" w14:textId="77777777" w:rsidR="00DE6780" w:rsidRPr="00DE6780" w:rsidRDefault="00DE6780" w:rsidP="00DE6780">
            <w:pPr>
              <w:rPr>
                <w:rFonts w:ascii="Aptos" w:hAnsi="Aptos"/>
                <w:sz w:val="18"/>
                <w:szCs w:val="18"/>
                <w:lang w:val="es-ES"/>
              </w:rPr>
            </w:pPr>
            <w:r w:rsidRPr="00DE6780">
              <w:rPr>
                <w:rFonts w:ascii="Aptos" w:hAnsi="Aptos"/>
                <w:sz w:val="18"/>
                <w:szCs w:val="18"/>
                <w:lang w:val="es-ES"/>
              </w:rPr>
              <w:t>African States</w:t>
            </w:r>
          </w:p>
        </w:tc>
        <w:tc>
          <w:tcPr>
            <w:tcW w:w="3867" w:type="dxa"/>
          </w:tcPr>
          <w:p w14:paraId="19645BFA" w14:textId="39C3440B" w:rsidR="00DE6780" w:rsidRPr="00DE6780" w:rsidRDefault="00DE6780" w:rsidP="00DE6780">
            <w:pPr>
              <w:rPr>
                <w:rFonts w:ascii="Aptos" w:hAnsi="Aptos"/>
                <w:sz w:val="18"/>
                <w:szCs w:val="18"/>
                <w:lang w:val="es-ES"/>
              </w:rPr>
            </w:pPr>
            <w:r w:rsidRPr="00DE6780">
              <w:rPr>
                <w:rFonts w:ascii="Aptos" w:hAnsi="Aptos"/>
                <w:sz w:val="18"/>
                <w:szCs w:val="18"/>
                <w:lang w:val="es-ES"/>
              </w:rPr>
              <w:t>Estados de África</w:t>
            </w:r>
          </w:p>
        </w:tc>
      </w:tr>
      <w:tr w:rsidR="00DE6780" w:rsidRPr="00DE6780" w14:paraId="0AD2A725" w14:textId="77777777" w:rsidTr="00DE6780">
        <w:tc>
          <w:tcPr>
            <w:tcW w:w="5518" w:type="dxa"/>
          </w:tcPr>
          <w:p w14:paraId="1FE64F08" w14:textId="77777777" w:rsidR="00DE6780" w:rsidRPr="00DE6780" w:rsidRDefault="00DE6780" w:rsidP="00DE6780">
            <w:pPr>
              <w:rPr>
                <w:rFonts w:ascii="Aptos" w:hAnsi="Aptos"/>
                <w:sz w:val="18"/>
                <w:szCs w:val="18"/>
                <w:lang w:val="es-ES"/>
              </w:rPr>
            </w:pPr>
            <w:r w:rsidRPr="00DE6780">
              <w:rPr>
                <w:rFonts w:ascii="Aptos" w:hAnsi="Aptos"/>
                <w:sz w:val="18"/>
                <w:szCs w:val="18"/>
                <w:lang w:val="es-ES"/>
              </w:rPr>
              <w:t>Asia-Pacific States</w:t>
            </w:r>
          </w:p>
        </w:tc>
        <w:tc>
          <w:tcPr>
            <w:tcW w:w="3867" w:type="dxa"/>
          </w:tcPr>
          <w:p w14:paraId="61729B7A" w14:textId="131632F0" w:rsidR="00DE6780" w:rsidRPr="00DE6780" w:rsidRDefault="00DE6780" w:rsidP="00DE6780">
            <w:pPr>
              <w:rPr>
                <w:rFonts w:ascii="Aptos" w:hAnsi="Aptos"/>
                <w:sz w:val="18"/>
                <w:szCs w:val="18"/>
                <w:lang w:val="es-ES"/>
              </w:rPr>
            </w:pPr>
            <w:r w:rsidRPr="00DE6780">
              <w:rPr>
                <w:rFonts w:ascii="Aptos" w:hAnsi="Aptos"/>
                <w:sz w:val="18"/>
                <w:szCs w:val="18"/>
                <w:lang w:val="es-ES"/>
              </w:rPr>
              <w:t>Estados de Asia y el Pacífico</w:t>
            </w:r>
          </w:p>
        </w:tc>
      </w:tr>
      <w:tr w:rsidR="00DE6780" w:rsidRPr="00DE6780" w14:paraId="5E0B434C" w14:textId="77777777" w:rsidTr="00DE6780">
        <w:tc>
          <w:tcPr>
            <w:tcW w:w="5518" w:type="dxa"/>
          </w:tcPr>
          <w:p w14:paraId="4E62EA4B" w14:textId="77777777" w:rsidR="00DE6780" w:rsidRPr="00DE6780" w:rsidRDefault="00DE6780" w:rsidP="00DE6780">
            <w:pPr>
              <w:rPr>
                <w:rFonts w:ascii="Aptos" w:hAnsi="Aptos"/>
                <w:sz w:val="18"/>
                <w:szCs w:val="18"/>
                <w:lang w:val="en-US"/>
              </w:rPr>
            </w:pPr>
            <w:r w:rsidRPr="00DE6780">
              <w:rPr>
                <w:rFonts w:ascii="Aptos" w:hAnsi="Aptos"/>
                <w:sz w:val="18"/>
                <w:szCs w:val="18"/>
                <w:lang w:val="en-US"/>
              </w:rPr>
              <w:t>Latin American and Caribbean States</w:t>
            </w:r>
          </w:p>
        </w:tc>
        <w:tc>
          <w:tcPr>
            <w:tcW w:w="3867" w:type="dxa"/>
          </w:tcPr>
          <w:p w14:paraId="43C30D65" w14:textId="55ACEBF7" w:rsidR="00DE6780" w:rsidRPr="00DE6780" w:rsidRDefault="00DE6780" w:rsidP="00DE6780">
            <w:pPr>
              <w:rPr>
                <w:rFonts w:ascii="Aptos" w:hAnsi="Aptos"/>
                <w:sz w:val="18"/>
                <w:szCs w:val="18"/>
                <w:lang w:val="es-ES"/>
              </w:rPr>
            </w:pPr>
            <w:r w:rsidRPr="00DE6780">
              <w:rPr>
                <w:rFonts w:ascii="Aptos" w:hAnsi="Aptos"/>
                <w:sz w:val="18"/>
                <w:szCs w:val="18"/>
                <w:lang w:val="es-ES"/>
              </w:rPr>
              <w:t>Estados de América Latina y el Caribe</w:t>
            </w:r>
          </w:p>
        </w:tc>
      </w:tr>
      <w:tr w:rsidR="00DE6780" w:rsidRPr="00DE6780" w14:paraId="68EA3185" w14:textId="77777777" w:rsidTr="00DE6780">
        <w:tc>
          <w:tcPr>
            <w:tcW w:w="5518" w:type="dxa"/>
          </w:tcPr>
          <w:p w14:paraId="7121A634" w14:textId="77777777" w:rsidR="00DE6780" w:rsidRPr="00DE6780" w:rsidRDefault="00DE6780" w:rsidP="00DE6780">
            <w:pPr>
              <w:rPr>
                <w:rFonts w:ascii="Aptos" w:hAnsi="Aptos"/>
                <w:sz w:val="18"/>
                <w:szCs w:val="18"/>
                <w:lang w:val="es-ES"/>
              </w:rPr>
            </w:pPr>
            <w:r w:rsidRPr="00DE6780">
              <w:rPr>
                <w:rFonts w:ascii="Aptos" w:hAnsi="Aptos"/>
                <w:sz w:val="18"/>
                <w:szCs w:val="18"/>
                <w:lang w:val="es-ES"/>
              </w:rPr>
              <w:t xml:space="preserve"> Eastern European States</w:t>
            </w:r>
          </w:p>
        </w:tc>
        <w:tc>
          <w:tcPr>
            <w:tcW w:w="3867" w:type="dxa"/>
          </w:tcPr>
          <w:p w14:paraId="32F212CD" w14:textId="65E54735" w:rsidR="00DE6780" w:rsidRPr="00DE6780" w:rsidRDefault="00DE6780" w:rsidP="00DE6780">
            <w:pPr>
              <w:rPr>
                <w:rFonts w:ascii="Aptos" w:hAnsi="Aptos"/>
                <w:sz w:val="18"/>
                <w:szCs w:val="18"/>
                <w:lang w:val="es-ES"/>
              </w:rPr>
            </w:pPr>
            <w:r w:rsidRPr="00DE6780">
              <w:rPr>
                <w:rFonts w:ascii="Aptos" w:hAnsi="Aptos"/>
                <w:sz w:val="18"/>
                <w:szCs w:val="18"/>
                <w:lang w:val="es-ES"/>
              </w:rPr>
              <w:t>Estados de Europa Oriental</w:t>
            </w:r>
          </w:p>
        </w:tc>
      </w:tr>
      <w:tr w:rsidR="00DE6780" w:rsidRPr="00DE6780" w14:paraId="13988564" w14:textId="77777777" w:rsidTr="00DE6780">
        <w:tc>
          <w:tcPr>
            <w:tcW w:w="5518" w:type="dxa"/>
          </w:tcPr>
          <w:p w14:paraId="7B7AA6FC" w14:textId="77777777" w:rsidR="00DE6780" w:rsidRPr="00DE6780" w:rsidRDefault="00DE6780" w:rsidP="00DE6780">
            <w:pPr>
              <w:rPr>
                <w:rFonts w:ascii="Aptos" w:hAnsi="Aptos"/>
                <w:sz w:val="18"/>
                <w:szCs w:val="18"/>
                <w:lang w:val="en-US"/>
              </w:rPr>
            </w:pPr>
            <w:r w:rsidRPr="00DE6780">
              <w:rPr>
                <w:rFonts w:ascii="Aptos" w:hAnsi="Aptos"/>
                <w:sz w:val="18"/>
                <w:szCs w:val="18"/>
                <w:lang w:val="en-US"/>
              </w:rPr>
              <w:t>Western European and other States</w:t>
            </w:r>
          </w:p>
        </w:tc>
        <w:tc>
          <w:tcPr>
            <w:tcW w:w="3867" w:type="dxa"/>
          </w:tcPr>
          <w:p w14:paraId="2B65126D" w14:textId="27E9AC59" w:rsidR="00DE6780" w:rsidRPr="00DE6780" w:rsidRDefault="00DE6780" w:rsidP="00DE6780">
            <w:pPr>
              <w:rPr>
                <w:rFonts w:ascii="Aptos" w:hAnsi="Aptos"/>
                <w:sz w:val="18"/>
                <w:szCs w:val="18"/>
                <w:lang w:val="es-ES"/>
              </w:rPr>
            </w:pPr>
            <w:r w:rsidRPr="00DE6780">
              <w:rPr>
                <w:rFonts w:ascii="Aptos" w:hAnsi="Aptos"/>
                <w:sz w:val="18"/>
                <w:szCs w:val="18"/>
                <w:lang w:val="es-ES"/>
              </w:rPr>
              <w:t>Estados de Europa Occidental y otros Estados</w:t>
            </w:r>
          </w:p>
        </w:tc>
      </w:tr>
      <w:bookmarkEnd w:id="210"/>
    </w:tbl>
    <w:p w14:paraId="64A75B16" w14:textId="77777777" w:rsidR="009F0402" w:rsidRPr="005E3D50" w:rsidRDefault="009F0402" w:rsidP="009F0402">
      <w:pPr>
        <w:rPr>
          <w:lang w:val="es-ES"/>
        </w:rPr>
      </w:pPr>
    </w:p>
    <w:p w14:paraId="52C5C12B" w14:textId="77777777" w:rsidR="00B70AA4" w:rsidRPr="005E3D50" w:rsidRDefault="00B70AA4" w:rsidP="00273B13">
      <w:pPr>
        <w:pStyle w:val="Heading5"/>
        <w:rPr>
          <w:lang w:val="es-ES"/>
        </w:rPr>
      </w:pPr>
      <w:bookmarkStart w:id="211" w:name="_Toc235821106"/>
      <w:r w:rsidRPr="005E3D50">
        <w:rPr>
          <w:lang w:val="es-ES"/>
        </w:rPr>
        <w:t>Autoevaluación de progresos</w:t>
      </w:r>
      <w:bookmarkEnd w:id="211"/>
    </w:p>
    <w:p w14:paraId="1955F8BD" w14:textId="77777777" w:rsidR="00D80FA5" w:rsidRPr="005E3D50" w:rsidRDefault="00D80FA5" w:rsidP="00377C60">
      <w:pPr>
        <w:rPr>
          <w:rStyle w:val="normaltextrun"/>
          <w:rFonts w:ascii="Aptos" w:hAnsi="Aptos"/>
          <w:lang w:val="es-ES"/>
        </w:rPr>
      </w:pPr>
    </w:p>
    <w:p w14:paraId="47E9C176" w14:textId="7BCE0FEE" w:rsidR="00377C60" w:rsidRPr="005E3D50" w:rsidRDefault="00377C60" w:rsidP="00377C60">
      <w:pPr>
        <w:rPr>
          <w:rStyle w:val="eop"/>
          <w:rFonts w:ascii="Aptos" w:hAnsi="Aptos"/>
          <w:lang w:val="es-ES"/>
        </w:rPr>
      </w:pPr>
      <w:r w:rsidRPr="005E3D50">
        <w:rPr>
          <w:lang w:val="es-ES"/>
        </w:rPr>
        <w:t>Según la autoevaluación realizada por las Partes en sus informes nacionales, el 42 % de las metas nacionales presentadas como estrechamente armonizadas con la meta 5 ya se alcanzaron o están en vías de alcanzarse, mientras que el 54 % no muestran progresos significativos o muestran progresos insuficientes (véase la figura 27).</w:t>
      </w:r>
      <w:r w:rsidRPr="005E3D50">
        <w:rPr>
          <w:rStyle w:val="eop"/>
          <w:rFonts w:ascii="Aptos" w:hAnsi="Aptos"/>
          <w:lang w:val="es-ES"/>
        </w:rPr>
        <w:t> </w:t>
      </w:r>
    </w:p>
    <w:p w14:paraId="10A5CD98" w14:textId="77777777" w:rsidR="001E30CC" w:rsidRPr="005E3D50" w:rsidRDefault="001E30CC" w:rsidP="00377C60">
      <w:pPr>
        <w:rPr>
          <w:rStyle w:val="eop"/>
          <w:rFonts w:ascii="Aptos" w:hAnsi="Aptos"/>
          <w:lang w:val="es-ES"/>
        </w:rPr>
      </w:pPr>
    </w:p>
    <w:p w14:paraId="7A92B293" w14:textId="5662FE5B" w:rsidR="001E30CC" w:rsidRPr="005E3D50" w:rsidRDefault="001E30CC" w:rsidP="001E30CC">
      <w:pPr>
        <w:rPr>
          <w:rFonts w:ascii="Aptos" w:hAnsi="Aptos"/>
          <w:sz w:val="20"/>
          <w:szCs w:val="20"/>
          <w:lang w:val="es-ES"/>
        </w:rPr>
      </w:pPr>
      <w:r w:rsidRPr="005E3D50">
        <w:rPr>
          <w:rFonts w:ascii="Aptos" w:hAnsi="Aptos"/>
          <w:sz w:val="20"/>
          <w:szCs w:val="20"/>
          <w:lang w:val="es-ES"/>
        </w:rPr>
        <w:t>Figura 27</w:t>
      </w:r>
    </w:p>
    <w:p w14:paraId="68D9A8FC" w14:textId="77777777" w:rsidR="001E30CC" w:rsidRPr="005E3D50" w:rsidRDefault="001E30CC" w:rsidP="001E30CC">
      <w:pPr>
        <w:rPr>
          <w:rFonts w:ascii="Aptos" w:hAnsi="Aptos"/>
          <w:b/>
          <w:bCs/>
          <w:sz w:val="20"/>
          <w:szCs w:val="20"/>
          <w:lang w:val="es-ES"/>
        </w:rPr>
      </w:pPr>
      <w:r w:rsidRPr="005E3D50">
        <w:rPr>
          <w:rFonts w:ascii="Aptos" w:hAnsi="Aptos"/>
          <w:b/>
          <w:bCs/>
          <w:sz w:val="20"/>
          <w:szCs w:val="20"/>
          <w:lang w:val="es-ES"/>
        </w:rPr>
        <w:lastRenderedPageBreak/>
        <w:t xml:space="preserve">Progresos indicados por las autoevaluaciones para todas las metas nacionales presentadas como estrechamente armonizadas con la meta 5 del Marco </w:t>
      </w:r>
    </w:p>
    <w:p w14:paraId="6954F047" w14:textId="77777777" w:rsidR="001E30CC" w:rsidRPr="005E3D50" w:rsidRDefault="001E30CC" w:rsidP="00377C60">
      <w:pPr>
        <w:rPr>
          <w:rFonts w:ascii="Aptos" w:eastAsia="Aptos" w:hAnsi="Aptos" w:cs="Aptos"/>
          <w:lang w:val="es-ES"/>
        </w:rPr>
      </w:pPr>
    </w:p>
    <w:p w14:paraId="399D1431" w14:textId="7DEC6F24" w:rsidR="001E0D56" w:rsidRPr="005E3D50" w:rsidRDefault="00377C60" w:rsidP="008E7C15">
      <w:pPr>
        <w:pStyle w:val="Caption"/>
        <w:rPr>
          <w:lang w:val="es-ES"/>
        </w:rPr>
      </w:pPr>
      <w:r w:rsidRPr="005E3D50">
        <w:rPr>
          <w:rFonts w:ascii="Aptos" w:hAnsi="Aptos"/>
          <w:noProof/>
          <w:lang w:val="en-US" w:eastAsia="en-US"/>
        </w:rPr>
        <w:drawing>
          <wp:inline distT="0" distB="0" distL="0" distR="0" wp14:anchorId="03F6BF24" wp14:editId="2C0F7543">
            <wp:extent cx="5731510" cy="2292350"/>
            <wp:effectExtent l="0" t="0" r="0" b="6350"/>
            <wp:docPr id="152936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66879" name="Picture 1529366879"/>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0A8C0E9" w14:textId="77777777" w:rsidR="00DB4365" w:rsidRDefault="00DB4365" w:rsidP="00DB4365">
      <w:pPr>
        <w:pStyle w:val="Caption"/>
        <w:rPr>
          <w:rFonts w:ascii="Aptos" w:hAnsi="Aptos"/>
          <w:i w:val="0"/>
          <w:iCs w:val="0"/>
          <w:lang w:val="es-ES"/>
        </w:rPr>
      </w:pPr>
      <w:r w:rsidRPr="005E3D50">
        <w:rPr>
          <w:lang w:val="es-ES"/>
        </w:rPr>
        <w:t>Nota:</w:t>
      </w:r>
      <w:r w:rsidRPr="005E3D50">
        <w:rPr>
          <w:i w:val="0"/>
          <w:iCs w:val="0"/>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hAnsi="Aptos"/>
          <w:i w:val="0"/>
          <w:iCs w:val="0"/>
          <w:lang w:val="es-ES"/>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4A0" w:firstRow="1" w:lastRow="0" w:firstColumn="1" w:lastColumn="0" w:noHBand="0" w:noVBand="1"/>
      </w:tblPr>
      <w:tblGrid>
        <w:gridCol w:w="4837"/>
        <w:gridCol w:w="4241"/>
      </w:tblGrid>
      <w:tr w:rsidR="002B1D2B" w:rsidRPr="007865EA" w14:paraId="3447EB08" w14:textId="77777777" w:rsidTr="00CB2538">
        <w:tc>
          <w:tcPr>
            <w:tcW w:w="9078" w:type="dxa"/>
            <w:gridSpan w:val="2"/>
          </w:tcPr>
          <w:p w14:paraId="741539DB" w14:textId="276E5E99" w:rsidR="002B1D2B" w:rsidRPr="002B1D2B" w:rsidRDefault="002B1D2B" w:rsidP="00B93410">
            <w:pPr>
              <w:rPr>
                <w:rFonts w:ascii="Aptos" w:hAnsi="Aptos"/>
                <w:sz w:val="18"/>
                <w:szCs w:val="18"/>
                <w:lang w:val="es-ES"/>
              </w:rPr>
            </w:pPr>
            <w:r w:rsidRPr="002B1D2B">
              <w:rPr>
                <w:rFonts w:ascii="Aptos" w:hAnsi="Aptos"/>
                <w:sz w:val="18"/>
                <w:szCs w:val="18"/>
                <w:lang w:val="es-ES"/>
              </w:rPr>
              <w:t>Figura 27</w:t>
            </w:r>
          </w:p>
        </w:tc>
      </w:tr>
      <w:tr w:rsidR="007865EA" w:rsidRPr="007865EA" w14:paraId="21751649" w14:textId="77777777" w:rsidTr="007865EA">
        <w:tc>
          <w:tcPr>
            <w:tcW w:w="4837" w:type="dxa"/>
          </w:tcPr>
          <w:p w14:paraId="46105A5D" w14:textId="11728485" w:rsidR="007865EA" w:rsidRPr="002B1D2B" w:rsidRDefault="007865EA" w:rsidP="00B93410">
            <w:pPr>
              <w:rPr>
                <w:rFonts w:ascii="Aptos" w:hAnsi="Aptos"/>
                <w:sz w:val="18"/>
                <w:szCs w:val="18"/>
                <w:lang w:val="es-ES"/>
              </w:rPr>
            </w:pPr>
            <w:r w:rsidRPr="002B1D2B">
              <w:rPr>
                <w:rFonts w:ascii="Aptos" w:hAnsi="Aptos"/>
                <w:sz w:val="18"/>
                <w:szCs w:val="18"/>
                <w:lang w:val="es-ES"/>
              </w:rPr>
              <w:t>English</w:t>
            </w:r>
          </w:p>
        </w:tc>
        <w:tc>
          <w:tcPr>
            <w:tcW w:w="4241" w:type="dxa"/>
          </w:tcPr>
          <w:p w14:paraId="7C676E0F" w14:textId="09D85AD1" w:rsidR="007865EA"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7865EA" w:rsidRPr="007865EA" w14:paraId="659F10FA" w14:textId="77777777" w:rsidTr="007865EA">
        <w:tc>
          <w:tcPr>
            <w:tcW w:w="4837" w:type="dxa"/>
          </w:tcPr>
          <w:p w14:paraId="23E4B15C" w14:textId="77777777" w:rsidR="007865EA" w:rsidRPr="007865EA" w:rsidRDefault="007865EA" w:rsidP="007865EA">
            <w:pPr>
              <w:rPr>
                <w:rFonts w:ascii="Aptos" w:hAnsi="Aptos"/>
                <w:sz w:val="18"/>
                <w:szCs w:val="18"/>
                <w:lang w:val="es-ES"/>
              </w:rPr>
            </w:pPr>
            <w:proofErr w:type="spellStart"/>
            <w:r w:rsidRPr="007865EA">
              <w:rPr>
                <w:rFonts w:ascii="Aptos" w:hAnsi="Aptos"/>
                <w:sz w:val="18"/>
                <w:szCs w:val="18"/>
                <w:lang w:val="es-ES"/>
              </w:rPr>
              <w:t>Percentage</w:t>
            </w:r>
            <w:proofErr w:type="spellEnd"/>
            <w:r w:rsidRPr="007865EA">
              <w:rPr>
                <w:rFonts w:ascii="Aptos" w:hAnsi="Aptos"/>
                <w:sz w:val="18"/>
                <w:szCs w:val="18"/>
                <w:lang w:val="es-ES"/>
              </w:rPr>
              <w:t xml:space="preserve"> of </w:t>
            </w:r>
            <w:proofErr w:type="spellStart"/>
            <w:r w:rsidRPr="007865EA">
              <w:rPr>
                <w:rFonts w:ascii="Aptos" w:hAnsi="Aptos"/>
                <w:sz w:val="18"/>
                <w:szCs w:val="18"/>
                <w:lang w:val="es-ES"/>
              </w:rPr>
              <w:t>national</w:t>
            </w:r>
            <w:proofErr w:type="spellEnd"/>
            <w:r w:rsidRPr="007865EA">
              <w:rPr>
                <w:rFonts w:ascii="Aptos" w:hAnsi="Aptos"/>
                <w:sz w:val="18"/>
                <w:szCs w:val="18"/>
                <w:lang w:val="es-ES"/>
              </w:rPr>
              <w:t xml:space="preserve"> targets</w:t>
            </w:r>
          </w:p>
        </w:tc>
        <w:tc>
          <w:tcPr>
            <w:tcW w:w="4241" w:type="dxa"/>
          </w:tcPr>
          <w:p w14:paraId="1774E1CD" w14:textId="18CBA0B1" w:rsidR="007865EA" w:rsidRPr="007865EA" w:rsidRDefault="007865EA" w:rsidP="007865EA">
            <w:pPr>
              <w:rPr>
                <w:rFonts w:ascii="Aptos" w:hAnsi="Aptos"/>
                <w:sz w:val="18"/>
                <w:szCs w:val="18"/>
                <w:lang w:val="es-ES"/>
              </w:rPr>
            </w:pPr>
            <w:r w:rsidRPr="007865EA">
              <w:rPr>
                <w:rFonts w:ascii="Aptos" w:hAnsi="Aptos"/>
                <w:sz w:val="18"/>
                <w:szCs w:val="18"/>
                <w:lang w:val="es-ES"/>
              </w:rPr>
              <w:t>Porcentaje de metas nacionales</w:t>
            </w:r>
          </w:p>
        </w:tc>
      </w:tr>
      <w:tr w:rsidR="007865EA" w:rsidRPr="007865EA" w14:paraId="783D4E7F" w14:textId="77777777" w:rsidTr="007865EA">
        <w:tc>
          <w:tcPr>
            <w:tcW w:w="4837" w:type="dxa"/>
          </w:tcPr>
          <w:p w14:paraId="225B31BF" w14:textId="77777777" w:rsidR="007865EA" w:rsidRPr="007865EA" w:rsidRDefault="007865EA" w:rsidP="007865EA">
            <w:pPr>
              <w:rPr>
                <w:rFonts w:ascii="Aptos" w:hAnsi="Aptos"/>
                <w:sz w:val="18"/>
                <w:szCs w:val="18"/>
                <w:lang w:val="es-ES"/>
              </w:rPr>
            </w:pPr>
            <w:proofErr w:type="spellStart"/>
            <w:r w:rsidRPr="007865EA">
              <w:rPr>
                <w:rFonts w:ascii="Aptos" w:hAnsi="Aptos"/>
                <w:sz w:val="18"/>
                <w:szCs w:val="18"/>
                <w:lang w:val="es-ES"/>
              </w:rPr>
              <w:t>Progress</w:t>
            </w:r>
            <w:proofErr w:type="spellEnd"/>
            <w:r w:rsidRPr="007865EA">
              <w:rPr>
                <w:rFonts w:ascii="Aptos" w:hAnsi="Aptos"/>
                <w:sz w:val="18"/>
                <w:szCs w:val="18"/>
                <w:lang w:val="es-ES"/>
              </w:rPr>
              <w:t xml:space="preserve"> Level</w:t>
            </w:r>
          </w:p>
        </w:tc>
        <w:tc>
          <w:tcPr>
            <w:tcW w:w="4241" w:type="dxa"/>
          </w:tcPr>
          <w:p w14:paraId="1F902795" w14:textId="56E05C83" w:rsidR="007865EA" w:rsidRPr="007865EA" w:rsidRDefault="007865EA" w:rsidP="007865EA">
            <w:pPr>
              <w:rPr>
                <w:rFonts w:ascii="Aptos" w:hAnsi="Aptos"/>
                <w:sz w:val="18"/>
                <w:szCs w:val="18"/>
                <w:lang w:val="es-ES"/>
              </w:rPr>
            </w:pPr>
            <w:r w:rsidRPr="007865EA">
              <w:rPr>
                <w:rFonts w:ascii="Aptos" w:hAnsi="Aptos"/>
                <w:sz w:val="18"/>
                <w:szCs w:val="18"/>
                <w:lang w:val="es-ES"/>
              </w:rPr>
              <w:t>Nivel de progreso</w:t>
            </w:r>
          </w:p>
        </w:tc>
      </w:tr>
      <w:tr w:rsidR="007865EA" w:rsidRPr="007865EA" w14:paraId="0C985DA1" w14:textId="77777777" w:rsidTr="007865EA">
        <w:tc>
          <w:tcPr>
            <w:tcW w:w="4837" w:type="dxa"/>
          </w:tcPr>
          <w:p w14:paraId="62F94AB5" w14:textId="77777777" w:rsidR="007865EA" w:rsidRPr="007865EA" w:rsidRDefault="007865EA" w:rsidP="007865EA">
            <w:pPr>
              <w:rPr>
                <w:rFonts w:ascii="Aptos" w:hAnsi="Aptos"/>
                <w:sz w:val="18"/>
                <w:szCs w:val="18"/>
                <w:lang w:val="es-ES"/>
              </w:rPr>
            </w:pPr>
            <w:proofErr w:type="spellStart"/>
            <w:r w:rsidRPr="007865EA">
              <w:rPr>
                <w:rFonts w:ascii="Aptos" w:hAnsi="Aptos"/>
                <w:sz w:val="18"/>
                <w:szCs w:val="18"/>
                <w:lang w:val="es-ES"/>
              </w:rPr>
              <w:t>Achieved</w:t>
            </w:r>
            <w:proofErr w:type="spellEnd"/>
          </w:p>
        </w:tc>
        <w:tc>
          <w:tcPr>
            <w:tcW w:w="4241" w:type="dxa"/>
          </w:tcPr>
          <w:p w14:paraId="10B3E33D" w14:textId="7849E43E" w:rsidR="007865EA" w:rsidRPr="007865EA" w:rsidRDefault="007865EA" w:rsidP="007865EA">
            <w:pPr>
              <w:rPr>
                <w:rFonts w:ascii="Aptos" w:hAnsi="Aptos"/>
                <w:sz w:val="18"/>
                <w:szCs w:val="18"/>
                <w:lang w:val="es-ES"/>
              </w:rPr>
            </w:pPr>
            <w:r w:rsidRPr="007865EA">
              <w:rPr>
                <w:rFonts w:ascii="Aptos" w:hAnsi="Aptos"/>
                <w:sz w:val="18"/>
                <w:szCs w:val="18"/>
                <w:lang w:val="es-ES"/>
              </w:rPr>
              <w:t>Alcanzada</w:t>
            </w:r>
          </w:p>
        </w:tc>
      </w:tr>
      <w:tr w:rsidR="007865EA" w:rsidRPr="007865EA" w14:paraId="7B7AE168" w14:textId="77777777" w:rsidTr="007865EA">
        <w:tc>
          <w:tcPr>
            <w:tcW w:w="4837" w:type="dxa"/>
          </w:tcPr>
          <w:p w14:paraId="4C4C9F70" w14:textId="77777777" w:rsidR="007865EA" w:rsidRPr="007865EA" w:rsidRDefault="007865EA" w:rsidP="007865EA">
            <w:pPr>
              <w:rPr>
                <w:rFonts w:ascii="Aptos" w:hAnsi="Aptos"/>
                <w:sz w:val="18"/>
                <w:szCs w:val="18"/>
                <w:lang w:val="en-US"/>
              </w:rPr>
            </w:pPr>
            <w:r w:rsidRPr="007865EA">
              <w:rPr>
                <w:rFonts w:ascii="Aptos" w:hAnsi="Aptos"/>
                <w:sz w:val="18"/>
                <w:szCs w:val="18"/>
                <w:lang w:val="en-US"/>
              </w:rPr>
              <w:t>On track to achieve target</w:t>
            </w:r>
          </w:p>
        </w:tc>
        <w:tc>
          <w:tcPr>
            <w:tcW w:w="4241" w:type="dxa"/>
          </w:tcPr>
          <w:p w14:paraId="328D5D23" w14:textId="45C60E2B" w:rsidR="007865EA" w:rsidRPr="007865EA" w:rsidRDefault="007865EA" w:rsidP="007865EA">
            <w:pPr>
              <w:rPr>
                <w:rFonts w:ascii="Aptos" w:hAnsi="Aptos"/>
                <w:sz w:val="18"/>
                <w:szCs w:val="18"/>
                <w:lang w:val="es-ES"/>
              </w:rPr>
            </w:pPr>
            <w:r w:rsidRPr="007865EA">
              <w:rPr>
                <w:rFonts w:ascii="Aptos" w:hAnsi="Aptos"/>
                <w:sz w:val="18"/>
                <w:szCs w:val="18"/>
                <w:lang w:val="es-ES"/>
              </w:rPr>
              <w:t>En vías de alcanzar la meta</w:t>
            </w:r>
          </w:p>
        </w:tc>
      </w:tr>
      <w:tr w:rsidR="007865EA" w:rsidRPr="007865EA" w14:paraId="4DB504AF" w14:textId="77777777" w:rsidTr="007865EA">
        <w:tc>
          <w:tcPr>
            <w:tcW w:w="4837" w:type="dxa"/>
          </w:tcPr>
          <w:p w14:paraId="34263A55" w14:textId="77777777" w:rsidR="007865EA" w:rsidRPr="007865EA" w:rsidRDefault="007865EA" w:rsidP="007865EA">
            <w:pPr>
              <w:rPr>
                <w:rFonts w:ascii="Aptos" w:hAnsi="Aptos"/>
                <w:sz w:val="18"/>
                <w:szCs w:val="18"/>
                <w:lang w:val="en-US"/>
              </w:rPr>
            </w:pPr>
            <w:r w:rsidRPr="007865EA">
              <w:rPr>
                <w:rFonts w:ascii="Aptos" w:hAnsi="Aptos"/>
                <w:sz w:val="18"/>
                <w:szCs w:val="18"/>
                <w:lang w:val="en-US"/>
              </w:rPr>
              <w:t>Progress towards target but at an insufficient rate</w:t>
            </w:r>
          </w:p>
        </w:tc>
        <w:tc>
          <w:tcPr>
            <w:tcW w:w="4241" w:type="dxa"/>
          </w:tcPr>
          <w:p w14:paraId="3998A9EB" w14:textId="5A1A53F9" w:rsidR="007865EA" w:rsidRPr="007865EA" w:rsidRDefault="007865EA" w:rsidP="007865EA">
            <w:pPr>
              <w:rPr>
                <w:rFonts w:ascii="Aptos" w:hAnsi="Aptos"/>
                <w:sz w:val="18"/>
                <w:szCs w:val="18"/>
                <w:lang w:val="es-ES"/>
              </w:rPr>
            </w:pPr>
            <w:r w:rsidRPr="007865EA">
              <w:rPr>
                <w:rFonts w:ascii="Aptos" w:hAnsi="Aptos"/>
                <w:sz w:val="18"/>
                <w:szCs w:val="18"/>
                <w:lang w:val="es-ES"/>
              </w:rPr>
              <w:t xml:space="preserve">Se ha progresado hacia la </w:t>
            </w:r>
            <w:proofErr w:type="gramStart"/>
            <w:r w:rsidRPr="007865EA">
              <w:rPr>
                <w:rFonts w:ascii="Aptos" w:hAnsi="Aptos"/>
                <w:sz w:val="18"/>
                <w:szCs w:val="18"/>
                <w:lang w:val="es-ES"/>
              </w:rPr>
              <w:t>meta</w:t>
            </w:r>
            <w:proofErr w:type="gramEnd"/>
            <w:r w:rsidRPr="007865EA">
              <w:rPr>
                <w:rFonts w:ascii="Aptos" w:hAnsi="Aptos"/>
                <w:sz w:val="18"/>
                <w:szCs w:val="18"/>
                <w:lang w:val="es-ES"/>
              </w:rPr>
              <w:t xml:space="preserve"> pero a un ritmo insuficiente</w:t>
            </w:r>
          </w:p>
        </w:tc>
      </w:tr>
      <w:tr w:rsidR="007865EA" w:rsidRPr="007865EA" w14:paraId="1421FEAB" w14:textId="77777777" w:rsidTr="007865EA">
        <w:tc>
          <w:tcPr>
            <w:tcW w:w="4837" w:type="dxa"/>
          </w:tcPr>
          <w:p w14:paraId="34819B45"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 xml:space="preserve">No </w:t>
            </w:r>
            <w:proofErr w:type="spellStart"/>
            <w:r w:rsidRPr="007865EA">
              <w:rPr>
                <w:rFonts w:ascii="Aptos" w:hAnsi="Aptos"/>
                <w:sz w:val="18"/>
                <w:szCs w:val="18"/>
                <w:lang w:val="es-ES"/>
              </w:rPr>
              <w:t>significant</w:t>
            </w:r>
            <w:proofErr w:type="spellEnd"/>
            <w:r w:rsidRPr="007865EA">
              <w:rPr>
                <w:rFonts w:ascii="Aptos" w:hAnsi="Aptos"/>
                <w:sz w:val="18"/>
                <w:szCs w:val="18"/>
                <w:lang w:val="es-ES"/>
              </w:rPr>
              <w:t xml:space="preserve"> </w:t>
            </w:r>
            <w:proofErr w:type="spellStart"/>
            <w:r w:rsidRPr="007865EA">
              <w:rPr>
                <w:rFonts w:ascii="Aptos" w:hAnsi="Aptos"/>
                <w:sz w:val="18"/>
                <w:szCs w:val="18"/>
                <w:lang w:val="es-ES"/>
              </w:rPr>
              <w:t>change</w:t>
            </w:r>
            <w:proofErr w:type="spellEnd"/>
          </w:p>
        </w:tc>
        <w:tc>
          <w:tcPr>
            <w:tcW w:w="4241" w:type="dxa"/>
          </w:tcPr>
          <w:p w14:paraId="6B2E7CE8" w14:textId="3F1454D1" w:rsidR="007865EA" w:rsidRPr="007865EA" w:rsidRDefault="007865EA" w:rsidP="007865EA">
            <w:pPr>
              <w:rPr>
                <w:rFonts w:ascii="Aptos" w:hAnsi="Aptos"/>
                <w:sz w:val="18"/>
                <w:szCs w:val="18"/>
                <w:lang w:val="es-ES"/>
              </w:rPr>
            </w:pPr>
            <w:r w:rsidRPr="007865EA">
              <w:rPr>
                <w:rFonts w:ascii="Aptos" w:hAnsi="Aptos"/>
                <w:sz w:val="18"/>
                <w:szCs w:val="18"/>
                <w:lang w:val="es-ES"/>
              </w:rPr>
              <w:t>No hay cambios significativos</w:t>
            </w:r>
          </w:p>
        </w:tc>
      </w:tr>
      <w:tr w:rsidR="007865EA" w:rsidRPr="007865EA" w14:paraId="21956D9E" w14:textId="77777777" w:rsidTr="007865EA">
        <w:tc>
          <w:tcPr>
            <w:tcW w:w="4837" w:type="dxa"/>
          </w:tcPr>
          <w:p w14:paraId="77339BB1"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Unknown</w:t>
            </w:r>
          </w:p>
        </w:tc>
        <w:tc>
          <w:tcPr>
            <w:tcW w:w="4241" w:type="dxa"/>
          </w:tcPr>
          <w:p w14:paraId="11E8D0A3" w14:textId="0A06BC35" w:rsidR="007865EA" w:rsidRPr="007865EA" w:rsidRDefault="007865EA" w:rsidP="007865EA">
            <w:pPr>
              <w:rPr>
                <w:rFonts w:ascii="Aptos" w:hAnsi="Aptos"/>
                <w:sz w:val="18"/>
                <w:szCs w:val="18"/>
                <w:lang w:val="es-ES"/>
              </w:rPr>
            </w:pPr>
            <w:r w:rsidRPr="007865EA">
              <w:rPr>
                <w:rFonts w:ascii="Aptos" w:hAnsi="Aptos"/>
                <w:sz w:val="18"/>
                <w:szCs w:val="18"/>
                <w:lang w:val="es-ES"/>
              </w:rPr>
              <w:t>Se desconoce</w:t>
            </w:r>
          </w:p>
        </w:tc>
      </w:tr>
      <w:tr w:rsidR="007865EA" w:rsidRPr="007865EA" w14:paraId="678AEB38" w14:textId="77777777" w:rsidTr="007865EA">
        <w:tc>
          <w:tcPr>
            <w:tcW w:w="4837" w:type="dxa"/>
          </w:tcPr>
          <w:p w14:paraId="7C9B1871"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 xml:space="preserve">Party </w:t>
            </w:r>
            <w:proofErr w:type="spellStart"/>
            <w:r w:rsidRPr="007865EA">
              <w:rPr>
                <w:rFonts w:ascii="Aptos" w:hAnsi="Aptos"/>
                <w:sz w:val="18"/>
                <w:szCs w:val="18"/>
                <w:lang w:val="es-ES"/>
              </w:rPr>
              <w:t>count</w:t>
            </w:r>
            <w:proofErr w:type="spellEnd"/>
            <w:r w:rsidRPr="007865EA">
              <w:rPr>
                <w:rFonts w:ascii="Aptos" w:hAnsi="Aptos"/>
                <w:sz w:val="18"/>
                <w:szCs w:val="18"/>
                <w:lang w:val="es-ES"/>
              </w:rPr>
              <w:t>: 98</w:t>
            </w:r>
          </w:p>
        </w:tc>
        <w:tc>
          <w:tcPr>
            <w:tcW w:w="4241" w:type="dxa"/>
          </w:tcPr>
          <w:p w14:paraId="6505A348" w14:textId="3F6EEE68" w:rsidR="007865EA" w:rsidRPr="007865EA" w:rsidRDefault="007865EA" w:rsidP="007865EA">
            <w:pPr>
              <w:rPr>
                <w:rFonts w:ascii="Aptos" w:hAnsi="Aptos"/>
                <w:sz w:val="18"/>
                <w:szCs w:val="18"/>
                <w:lang w:val="es-ES"/>
              </w:rPr>
            </w:pPr>
            <w:r w:rsidRPr="007865EA">
              <w:rPr>
                <w:rFonts w:ascii="Aptos" w:hAnsi="Aptos"/>
                <w:sz w:val="18"/>
                <w:szCs w:val="18"/>
                <w:lang w:val="es-ES"/>
              </w:rPr>
              <w:t>Número de Partes: 98</w:t>
            </w:r>
          </w:p>
        </w:tc>
      </w:tr>
      <w:tr w:rsidR="007865EA" w:rsidRPr="007865EA" w14:paraId="15F5320A" w14:textId="77777777" w:rsidTr="007865EA">
        <w:tc>
          <w:tcPr>
            <w:tcW w:w="4837" w:type="dxa"/>
          </w:tcPr>
          <w:p w14:paraId="576EA81F" w14:textId="77777777" w:rsidR="007865EA" w:rsidRPr="007865EA" w:rsidRDefault="007865EA" w:rsidP="007865EA">
            <w:pPr>
              <w:rPr>
                <w:rFonts w:ascii="Aptos" w:hAnsi="Aptos"/>
                <w:sz w:val="18"/>
                <w:szCs w:val="18"/>
                <w:lang w:val="es-ES"/>
              </w:rPr>
            </w:pPr>
            <w:proofErr w:type="spellStart"/>
            <w:r w:rsidRPr="007865EA">
              <w:rPr>
                <w:rFonts w:ascii="Aptos" w:hAnsi="Aptos"/>
                <w:sz w:val="18"/>
                <w:szCs w:val="18"/>
                <w:lang w:val="es-ES"/>
              </w:rPr>
              <w:t>Region</w:t>
            </w:r>
            <w:proofErr w:type="spellEnd"/>
          </w:p>
        </w:tc>
        <w:tc>
          <w:tcPr>
            <w:tcW w:w="4241" w:type="dxa"/>
          </w:tcPr>
          <w:p w14:paraId="4B3492DD" w14:textId="1DBCEB9E" w:rsidR="007865EA" w:rsidRPr="007865EA" w:rsidRDefault="007865EA" w:rsidP="007865EA">
            <w:pPr>
              <w:rPr>
                <w:rFonts w:ascii="Aptos" w:hAnsi="Aptos"/>
                <w:sz w:val="18"/>
                <w:szCs w:val="18"/>
                <w:lang w:val="es-ES"/>
              </w:rPr>
            </w:pPr>
            <w:r w:rsidRPr="007865EA">
              <w:rPr>
                <w:rFonts w:ascii="Aptos" w:hAnsi="Aptos"/>
                <w:sz w:val="18"/>
                <w:szCs w:val="18"/>
                <w:lang w:val="es-ES"/>
              </w:rPr>
              <w:t>Región</w:t>
            </w:r>
          </w:p>
        </w:tc>
      </w:tr>
      <w:tr w:rsidR="007865EA" w:rsidRPr="007865EA" w14:paraId="5DD4F98D" w14:textId="77777777" w:rsidTr="007865EA">
        <w:tc>
          <w:tcPr>
            <w:tcW w:w="4837" w:type="dxa"/>
          </w:tcPr>
          <w:p w14:paraId="7A8D5576"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African States</w:t>
            </w:r>
          </w:p>
        </w:tc>
        <w:tc>
          <w:tcPr>
            <w:tcW w:w="4241" w:type="dxa"/>
          </w:tcPr>
          <w:p w14:paraId="1B149A0A" w14:textId="73A7CC16" w:rsidR="007865EA" w:rsidRPr="007865EA" w:rsidRDefault="007865EA" w:rsidP="007865EA">
            <w:pPr>
              <w:rPr>
                <w:rFonts w:ascii="Aptos" w:hAnsi="Aptos"/>
                <w:sz w:val="18"/>
                <w:szCs w:val="18"/>
                <w:lang w:val="es-ES"/>
              </w:rPr>
            </w:pPr>
            <w:r w:rsidRPr="007865EA">
              <w:rPr>
                <w:rFonts w:ascii="Aptos" w:hAnsi="Aptos"/>
                <w:sz w:val="18"/>
                <w:szCs w:val="18"/>
                <w:lang w:val="es-ES"/>
              </w:rPr>
              <w:t>Estados de África</w:t>
            </w:r>
          </w:p>
        </w:tc>
      </w:tr>
      <w:tr w:rsidR="007865EA" w:rsidRPr="007865EA" w14:paraId="39E96D7F" w14:textId="77777777" w:rsidTr="007865EA">
        <w:tc>
          <w:tcPr>
            <w:tcW w:w="4837" w:type="dxa"/>
          </w:tcPr>
          <w:p w14:paraId="4E768A96"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Asia-Pacific States</w:t>
            </w:r>
          </w:p>
        </w:tc>
        <w:tc>
          <w:tcPr>
            <w:tcW w:w="4241" w:type="dxa"/>
          </w:tcPr>
          <w:p w14:paraId="34AF79B4" w14:textId="074D50F8" w:rsidR="007865EA" w:rsidRPr="007865EA" w:rsidRDefault="007865EA" w:rsidP="007865EA">
            <w:pPr>
              <w:rPr>
                <w:rFonts w:ascii="Aptos" w:hAnsi="Aptos"/>
                <w:sz w:val="18"/>
                <w:szCs w:val="18"/>
                <w:lang w:val="es-ES"/>
              </w:rPr>
            </w:pPr>
            <w:r w:rsidRPr="007865EA">
              <w:rPr>
                <w:rFonts w:ascii="Aptos" w:hAnsi="Aptos"/>
                <w:sz w:val="18"/>
                <w:szCs w:val="18"/>
                <w:lang w:val="es-ES"/>
              </w:rPr>
              <w:t>Estados de Asia y el Pacífico</w:t>
            </w:r>
          </w:p>
        </w:tc>
      </w:tr>
      <w:tr w:rsidR="007865EA" w:rsidRPr="007865EA" w14:paraId="38D36DA7" w14:textId="77777777" w:rsidTr="007865EA">
        <w:tc>
          <w:tcPr>
            <w:tcW w:w="4837" w:type="dxa"/>
          </w:tcPr>
          <w:p w14:paraId="4B1A82EB" w14:textId="77777777" w:rsidR="007865EA" w:rsidRPr="007865EA" w:rsidRDefault="007865EA" w:rsidP="007865EA">
            <w:pPr>
              <w:rPr>
                <w:rFonts w:ascii="Aptos" w:hAnsi="Aptos"/>
                <w:sz w:val="18"/>
                <w:szCs w:val="18"/>
                <w:lang w:val="en-US"/>
              </w:rPr>
            </w:pPr>
            <w:r w:rsidRPr="007865EA">
              <w:rPr>
                <w:rFonts w:ascii="Aptos" w:hAnsi="Aptos"/>
                <w:sz w:val="18"/>
                <w:szCs w:val="18"/>
                <w:lang w:val="en-US"/>
              </w:rPr>
              <w:t>Latin American and Caribbean States</w:t>
            </w:r>
          </w:p>
        </w:tc>
        <w:tc>
          <w:tcPr>
            <w:tcW w:w="4241" w:type="dxa"/>
          </w:tcPr>
          <w:p w14:paraId="531D4CC8" w14:textId="3C280001" w:rsidR="007865EA" w:rsidRPr="007865EA" w:rsidRDefault="007865EA" w:rsidP="007865EA">
            <w:pPr>
              <w:rPr>
                <w:rFonts w:ascii="Aptos" w:hAnsi="Aptos"/>
                <w:sz w:val="18"/>
                <w:szCs w:val="18"/>
                <w:lang w:val="es-ES"/>
              </w:rPr>
            </w:pPr>
            <w:r w:rsidRPr="007865EA">
              <w:rPr>
                <w:rFonts w:ascii="Aptos" w:hAnsi="Aptos"/>
                <w:sz w:val="18"/>
                <w:szCs w:val="18"/>
                <w:lang w:val="es-ES"/>
              </w:rPr>
              <w:t>Estados de América Latina y el Caribe</w:t>
            </w:r>
          </w:p>
        </w:tc>
      </w:tr>
      <w:tr w:rsidR="007865EA" w:rsidRPr="007865EA" w14:paraId="418CA4EB" w14:textId="77777777" w:rsidTr="007865EA">
        <w:tc>
          <w:tcPr>
            <w:tcW w:w="4837" w:type="dxa"/>
          </w:tcPr>
          <w:p w14:paraId="2222826D" w14:textId="77777777" w:rsidR="007865EA" w:rsidRPr="007865EA" w:rsidRDefault="007865EA" w:rsidP="007865EA">
            <w:pPr>
              <w:rPr>
                <w:rFonts w:ascii="Aptos" w:hAnsi="Aptos"/>
                <w:sz w:val="18"/>
                <w:szCs w:val="18"/>
                <w:lang w:val="es-ES"/>
              </w:rPr>
            </w:pPr>
            <w:r w:rsidRPr="007865EA">
              <w:rPr>
                <w:rFonts w:ascii="Aptos" w:hAnsi="Aptos"/>
                <w:sz w:val="18"/>
                <w:szCs w:val="18"/>
                <w:lang w:val="es-ES"/>
              </w:rPr>
              <w:t xml:space="preserve"> Eastern European States</w:t>
            </w:r>
          </w:p>
        </w:tc>
        <w:tc>
          <w:tcPr>
            <w:tcW w:w="4241" w:type="dxa"/>
          </w:tcPr>
          <w:p w14:paraId="20F25283" w14:textId="6594EBE5" w:rsidR="007865EA" w:rsidRPr="007865EA" w:rsidRDefault="007865EA" w:rsidP="007865EA">
            <w:pPr>
              <w:rPr>
                <w:rFonts w:ascii="Aptos" w:hAnsi="Aptos"/>
                <w:sz w:val="18"/>
                <w:szCs w:val="18"/>
                <w:lang w:val="es-ES"/>
              </w:rPr>
            </w:pPr>
            <w:r w:rsidRPr="007865EA">
              <w:rPr>
                <w:rFonts w:ascii="Aptos" w:hAnsi="Aptos"/>
                <w:sz w:val="18"/>
                <w:szCs w:val="18"/>
                <w:lang w:val="es-ES"/>
              </w:rPr>
              <w:t>Estados de Europa Oriental</w:t>
            </w:r>
          </w:p>
        </w:tc>
      </w:tr>
      <w:tr w:rsidR="007865EA" w:rsidRPr="007865EA" w14:paraId="7CD07887" w14:textId="77777777" w:rsidTr="007865EA">
        <w:tc>
          <w:tcPr>
            <w:tcW w:w="4837" w:type="dxa"/>
          </w:tcPr>
          <w:p w14:paraId="4B9FB133" w14:textId="77777777" w:rsidR="007865EA" w:rsidRPr="007865EA" w:rsidRDefault="007865EA" w:rsidP="007865EA">
            <w:pPr>
              <w:rPr>
                <w:rFonts w:ascii="Aptos" w:hAnsi="Aptos"/>
                <w:sz w:val="18"/>
                <w:szCs w:val="18"/>
                <w:lang w:val="en-US"/>
              </w:rPr>
            </w:pPr>
            <w:r w:rsidRPr="007865EA">
              <w:rPr>
                <w:rFonts w:ascii="Aptos" w:hAnsi="Aptos"/>
                <w:sz w:val="18"/>
                <w:szCs w:val="18"/>
                <w:lang w:val="en-US"/>
              </w:rPr>
              <w:t xml:space="preserve">Western European and other States </w:t>
            </w:r>
          </w:p>
        </w:tc>
        <w:tc>
          <w:tcPr>
            <w:tcW w:w="4241" w:type="dxa"/>
          </w:tcPr>
          <w:p w14:paraId="485DC599" w14:textId="1D2A9F9D" w:rsidR="007865EA" w:rsidRPr="007865EA" w:rsidRDefault="007865EA" w:rsidP="007865EA">
            <w:pPr>
              <w:rPr>
                <w:rFonts w:ascii="Aptos" w:hAnsi="Aptos"/>
                <w:sz w:val="18"/>
                <w:szCs w:val="18"/>
                <w:lang w:val="es-ES"/>
              </w:rPr>
            </w:pPr>
            <w:r w:rsidRPr="007865EA">
              <w:rPr>
                <w:rFonts w:ascii="Aptos" w:hAnsi="Aptos"/>
                <w:sz w:val="18"/>
                <w:szCs w:val="18"/>
                <w:lang w:val="es-ES"/>
              </w:rPr>
              <w:t xml:space="preserve">Estados de Europa Occidental y otros Estados </w:t>
            </w:r>
          </w:p>
        </w:tc>
      </w:tr>
    </w:tbl>
    <w:p w14:paraId="5F22F745" w14:textId="77777777" w:rsidR="009A12FE" w:rsidRPr="005E3D50" w:rsidRDefault="009A12FE" w:rsidP="00B7016F">
      <w:pPr>
        <w:pStyle w:val="Heading5"/>
        <w:rPr>
          <w:lang w:val="es-ES"/>
        </w:rPr>
      </w:pPr>
    </w:p>
    <w:p w14:paraId="0982656C" w14:textId="0255F203" w:rsidR="00D31C9C" w:rsidRPr="005E3D50" w:rsidRDefault="00B7016F" w:rsidP="00B7016F">
      <w:pPr>
        <w:pStyle w:val="Heading5"/>
        <w:rPr>
          <w:lang w:val="es-ES"/>
        </w:rPr>
      </w:pPr>
      <w:bookmarkStart w:id="212" w:name="_Toc235821107"/>
      <w:r w:rsidRPr="005E3D50">
        <w:rPr>
          <w:lang w:val="es-ES"/>
        </w:rPr>
        <w:t>Medidas, logros y dificultades</w:t>
      </w:r>
      <w:bookmarkEnd w:id="212"/>
      <w:r w:rsidRPr="005E3D50">
        <w:rPr>
          <w:lang w:val="es-ES"/>
        </w:rPr>
        <w:t xml:space="preserve"> en la implementación</w:t>
      </w:r>
    </w:p>
    <w:p w14:paraId="78D0CEC8" w14:textId="77777777" w:rsidR="008B5591" w:rsidRPr="005E3D50" w:rsidRDefault="008B5591" w:rsidP="008B5591">
      <w:pPr>
        <w:rPr>
          <w:lang w:val="es-ES"/>
        </w:rPr>
      </w:pPr>
    </w:p>
    <w:p w14:paraId="6BEEF520" w14:textId="34E80E4E" w:rsidR="00010A63" w:rsidRPr="005E3D50" w:rsidRDefault="000E5F6C" w:rsidP="000E5F6C">
      <w:pPr>
        <w:pStyle w:val="Heading6"/>
        <w:rPr>
          <w:lang w:val="es-ES"/>
        </w:rPr>
      </w:pPr>
      <w:bookmarkStart w:id="213" w:name="_Toc235821108"/>
      <w:r w:rsidRPr="005E3D50">
        <w:rPr>
          <w:lang w:val="es-ES"/>
        </w:rPr>
        <w:t>Resumen de medidas en apoyo de la meta 5</w:t>
      </w:r>
      <w:bookmarkEnd w:id="213"/>
      <w:r w:rsidRPr="005E3D50">
        <w:rPr>
          <w:lang w:val="es-ES"/>
        </w:rPr>
        <w:t xml:space="preserve"> del Marco</w:t>
      </w:r>
    </w:p>
    <w:p w14:paraId="1084E0F7" w14:textId="77777777" w:rsidR="008B5591" w:rsidRPr="005E3D50" w:rsidRDefault="008B5591" w:rsidP="008B5591">
      <w:pPr>
        <w:rPr>
          <w:lang w:val="es-ES"/>
        </w:rPr>
      </w:pPr>
    </w:p>
    <w:p w14:paraId="1ED7FB4A" w14:textId="7DDAE1F5" w:rsidR="00141CE0" w:rsidRPr="005E3D50" w:rsidRDefault="00141CE0" w:rsidP="00141CE0">
      <w:pPr>
        <w:rPr>
          <w:lang w:val="es-ES"/>
        </w:rPr>
      </w:pPr>
      <w:r w:rsidRPr="005E3D50">
        <w:rPr>
          <w:lang w:val="es-ES"/>
        </w:rPr>
        <w:lastRenderedPageBreak/>
        <w:t>Los tipos de medidas relacionadas con la meta 5 que las Partes señalan con mayor frecuencia son la implementación de los controles al comercio internacional establecidos por la CITES, combinados con los marcos jurídicos nacionales relativos a la caza, la pesca y la recolección de especies silvestres (véanse los recuadros 20 y 21). Estas medidas se complementan con operaciones para hacer cumplir la normativa y, en muchos casos, con la participación de las comunidades. Entre las medidas específicas relacionadas con la gestión sostenible de la pesca figuran las vedas estacionales, los cupos, las restricciones en el uso de artes de pesca y los controles de la pesca ilegal, no declarada y no reglamentada. Las actividades de investigación y seguimiento incluyen evaluaciones de las poblaciones de especies, programas de seguimiento de poblaciones, incluido el uso de ADN ambiental (</w:t>
      </w:r>
      <w:proofErr w:type="spellStart"/>
      <w:r w:rsidRPr="005E3D50">
        <w:rPr>
          <w:lang w:val="es-ES"/>
        </w:rPr>
        <w:t>eDNA</w:t>
      </w:r>
      <w:proofErr w:type="spellEnd"/>
      <w:r w:rsidRPr="005E3D50">
        <w:rPr>
          <w:lang w:val="es-ES"/>
        </w:rPr>
        <w:t xml:space="preserve">), y dictámenes de extracción no perjudicial. Muchas Partes señalan campañas de sensibilización pública y medidas como el etiquetado ecológico y la certificación voluntaria para apoyar la recolección sostenible de especies silvestres. Un número minoritario de las Partes señalan medidas para abordar la propagación de patógenos, entre otras cosas mediante enfoques de “Una sola salud”. </w:t>
      </w:r>
    </w:p>
    <w:p w14:paraId="6CC23F0C" w14:textId="77777777" w:rsidR="00781B43" w:rsidRPr="005E3D50" w:rsidRDefault="00781B43" w:rsidP="006D1392">
      <w:pPr>
        <w:rPr>
          <w:lang w:val="es-ES"/>
        </w:rPr>
      </w:pPr>
    </w:p>
    <w:p w14:paraId="7037688E" w14:textId="72F99F60" w:rsidR="00B7016F" w:rsidRPr="005E3D50" w:rsidRDefault="00054747" w:rsidP="00781B43">
      <w:pPr>
        <w:pStyle w:val="Heading6"/>
        <w:rPr>
          <w:lang w:val="es-ES"/>
        </w:rPr>
      </w:pPr>
      <w:bookmarkStart w:id="214" w:name="_Toc235821109"/>
      <w:r w:rsidRPr="005E3D50">
        <w:rPr>
          <w:lang w:val="es-ES"/>
        </w:rPr>
        <w:t>Ejemplos de logros y progresos en la implementación</w:t>
      </w:r>
      <w:bookmarkEnd w:id="214"/>
      <w:r w:rsidRPr="005E3D50">
        <w:rPr>
          <w:lang w:val="es-ES"/>
        </w:rPr>
        <w:t xml:space="preserve"> </w:t>
      </w:r>
    </w:p>
    <w:p w14:paraId="5910CE6C" w14:textId="77777777" w:rsidR="00356384" w:rsidRPr="005E3D50" w:rsidRDefault="00356384" w:rsidP="003153D8">
      <w:pPr>
        <w:rPr>
          <w:sz w:val="20"/>
          <w:szCs w:val="20"/>
          <w:lang w:val="es-ES"/>
        </w:rPr>
      </w:pPr>
    </w:p>
    <w:p w14:paraId="79F4822D" w14:textId="2218051A" w:rsidR="00356384" w:rsidRPr="005E3D50" w:rsidRDefault="00356384" w:rsidP="003153D8">
      <w:pPr>
        <w:pStyle w:val="Caption"/>
        <w:rPr>
          <w:b/>
          <w:i w:val="0"/>
          <w:sz w:val="20"/>
          <w:szCs w:val="20"/>
          <w:lang w:val="es-ES"/>
        </w:rPr>
      </w:pPr>
    </w:p>
    <w:tbl>
      <w:tblPr>
        <w:tblStyle w:val="TableGrid"/>
        <w:tblW w:w="0" w:type="auto"/>
        <w:tblLook w:val="04A0" w:firstRow="1" w:lastRow="0" w:firstColumn="1" w:lastColumn="0" w:noHBand="0" w:noVBand="1"/>
      </w:tblPr>
      <w:tblGrid>
        <w:gridCol w:w="9350"/>
      </w:tblGrid>
      <w:tr w:rsidR="000B720B" w:rsidRPr="005E3D50" w14:paraId="05116448" w14:textId="77777777" w:rsidTr="00E15DFE">
        <w:tc>
          <w:tcPr>
            <w:tcW w:w="10627" w:type="dxa"/>
            <w:shd w:val="clear" w:color="auto" w:fill="D1D1D1" w:themeFill="background2" w:themeFillShade="E6"/>
          </w:tcPr>
          <w:p w14:paraId="75A8E13B" w14:textId="5EFA7D30" w:rsidR="000B720B" w:rsidRPr="005E3D50" w:rsidRDefault="000B720B" w:rsidP="000B720B">
            <w:pPr>
              <w:rPr>
                <w:i/>
                <w:iCs/>
                <w:lang w:val="es-ES"/>
              </w:rPr>
            </w:pPr>
          </w:p>
          <w:p w14:paraId="051E0269" w14:textId="50FCCF7E" w:rsidR="00882511" w:rsidRPr="005E3D50" w:rsidRDefault="00882511" w:rsidP="00882511">
            <w:pPr>
              <w:rPr>
                <w:sz w:val="20"/>
                <w:szCs w:val="20"/>
                <w:lang w:val="es-ES"/>
              </w:rPr>
            </w:pPr>
            <w:r w:rsidRPr="005E3D50">
              <w:rPr>
                <w:sz w:val="20"/>
                <w:szCs w:val="20"/>
                <w:lang w:val="es-ES"/>
              </w:rPr>
              <w:t>Recuadro 20</w:t>
            </w:r>
          </w:p>
          <w:p w14:paraId="6B877ACC" w14:textId="77777777" w:rsidR="00882511" w:rsidRPr="005E3D50" w:rsidRDefault="00882511" w:rsidP="00882511">
            <w:pPr>
              <w:rPr>
                <w:sz w:val="20"/>
                <w:szCs w:val="20"/>
                <w:lang w:val="es-ES"/>
              </w:rPr>
            </w:pPr>
          </w:p>
          <w:p w14:paraId="33D81EB0" w14:textId="6B4F19A9" w:rsidR="00882511" w:rsidRPr="005E3D50" w:rsidRDefault="00882511" w:rsidP="00882511">
            <w:pPr>
              <w:rPr>
                <w:b/>
                <w:bCs/>
                <w:sz w:val="20"/>
                <w:szCs w:val="20"/>
                <w:lang w:val="es-ES"/>
              </w:rPr>
            </w:pPr>
            <w:r w:rsidRPr="005E3D50">
              <w:rPr>
                <w:b/>
                <w:bCs/>
                <w:sz w:val="20"/>
                <w:szCs w:val="20"/>
                <w:lang w:val="es-ES"/>
              </w:rPr>
              <w:t>Empresas basadas en la biodiversidad que vinculan la recolección de especies silvestres con cadenas de valor reguladas en Zimbabwe</w:t>
            </w:r>
          </w:p>
          <w:p w14:paraId="6A573F3E" w14:textId="77777777" w:rsidR="00882511" w:rsidRPr="005E3D50" w:rsidRDefault="00882511" w:rsidP="00882511">
            <w:pPr>
              <w:rPr>
                <w:sz w:val="20"/>
                <w:szCs w:val="20"/>
                <w:lang w:val="es-ES"/>
              </w:rPr>
            </w:pPr>
          </w:p>
          <w:p w14:paraId="21092414" w14:textId="0486FA64" w:rsidR="00EC1048" w:rsidRPr="005E3D50" w:rsidRDefault="00EC1048" w:rsidP="00EC1048">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Zimbabwe ha demostrado cómo pueden fortalecerse las cadenas de valor basadas en la biodiversidad mediante la integración de la gobernanza de la fauna y flora silvestres, la participación de las comunidades y medidas para añadir valor comercial. El país ha abordado </w:t>
            </w:r>
            <w:r w:rsidR="004D5BA6">
              <w:rPr>
                <w:rFonts w:ascii="Aptos" w:hAnsi="Aptos"/>
                <w:color w:val="000000" w:themeColor="text1"/>
                <w:sz w:val="20"/>
                <w:szCs w:val="20"/>
                <w:lang w:val="es-ES"/>
              </w:rPr>
              <w:t>dificultades</w:t>
            </w:r>
            <w:r w:rsidRPr="005E3D50">
              <w:rPr>
                <w:rFonts w:ascii="Aptos" w:hAnsi="Aptos"/>
                <w:color w:val="000000" w:themeColor="text1"/>
                <w:sz w:val="20"/>
                <w:szCs w:val="20"/>
                <w:lang w:val="es-ES"/>
              </w:rPr>
              <w:t xml:space="preserve"> persistentes asociad</w:t>
            </w:r>
            <w:r w:rsidR="004D5BA6">
              <w:rPr>
                <w:rFonts w:ascii="Aptos" w:hAnsi="Aptos"/>
                <w:color w:val="000000" w:themeColor="text1"/>
                <w:sz w:val="20"/>
                <w:szCs w:val="20"/>
                <w:lang w:val="es-ES"/>
              </w:rPr>
              <w:t>a</w:t>
            </w:r>
            <w:r w:rsidRPr="005E3D50">
              <w:rPr>
                <w:rFonts w:ascii="Aptos" w:hAnsi="Aptos"/>
                <w:color w:val="000000" w:themeColor="text1"/>
                <w:sz w:val="20"/>
                <w:szCs w:val="20"/>
                <w:lang w:val="es-ES"/>
              </w:rPr>
              <w:t>s a la recolección no sostenible de especies silvestres y productos forestales no madereros, tales como la extracción ilegal, la degradación de los hábitats, la debilidad de los marcos regulatorios, la limitada capacidad local de procesamiento y los bajos ingresos de los productores rurales. Est</w:t>
            </w:r>
            <w:r w:rsidR="00A37189">
              <w:rPr>
                <w:rFonts w:ascii="Aptos" w:hAnsi="Aptos"/>
                <w:color w:val="000000" w:themeColor="text1"/>
                <w:sz w:val="20"/>
                <w:szCs w:val="20"/>
                <w:lang w:val="es-ES"/>
              </w:rPr>
              <w:t>a</w:t>
            </w:r>
            <w:r w:rsidRPr="005E3D50">
              <w:rPr>
                <w:rFonts w:ascii="Aptos" w:hAnsi="Aptos"/>
                <w:color w:val="000000" w:themeColor="text1"/>
                <w:sz w:val="20"/>
                <w:szCs w:val="20"/>
                <w:lang w:val="es-ES"/>
              </w:rPr>
              <w:t xml:space="preserve">s </w:t>
            </w:r>
            <w:r w:rsidR="00A37189">
              <w:rPr>
                <w:rFonts w:ascii="Aptos" w:hAnsi="Aptos"/>
                <w:color w:val="000000" w:themeColor="text1"/>
                <w:sz w:val="20"/>
                <w:szCs w:val="20"/>
                <w:lang w:val="es-ES"/>
              </w:rPr>
              <w:t>dificultades</w:t>
            </w:r>
            <w:r w:rsidR="00A37189" w:rsidRPr="005E3D50">
              <w:rPr>
                <w:rFonts w:ascii="Aptos" w:hAnsi="Aptos"/>
                <w:color w:val="000000" w:themeColor="text1"/>
                <w:sz w:val="20"/>
                <w:szCs w:val="20"/>
                <w:lang w:val="es-ES"/>
              </w:rPr>
              <w:t xml:space="preserve"> </w:t>
            </w:r>
            <w:r w:rsidRPr="005E3D50">
              <w:rPr>
                <w:rFonts w:ascii="Aptos" w:hAnsi="Aptos"/>
                <w:color w:val="000000" w:themeColor="text1"/>
                <w:sz w:val="20"/>
                <w:szCs w:val="20"/>
                <w:lang w:val="es-ES"/>
              </w:rPr>
              <w:t xml:space="preserve">eran particularmente evidentes en paisajes ricos en biodiversidad como el valle del Zambeze y la región de </w:t>
            </w:r>
            <w:proofErr w:type="spellStart"/>
            <w:r w:rsidRPr="005E3D50">
              <w:rPr>
                <w:rFonts w:ascii="Aptos" w:hAnsi="Aptos"/>
                <w:color w:val="000000" w:themeColor="text1"/>
                <w:sz w:val="20"/>
                <w:szCs w:val="20"/>
                <w:lang w:val="es-ES"/>
              </w:rPr>
              <w:t>Lowveld</w:t>
            </w:r>
            <w:proofErr w:type="spellEnd"/>
            <w:r w:rsidRPr="005E3D50">
              <w:rPr>
                <w:rFonts w:ascii="Aptos" w:hAnsi="Aptos"/>
                <w:color w:val="000000" w:themeColor="text1"/>
                <w:sz w:val="20"/>
                <w:szCs w:val="20"/>
                <w:lang w:val="es-ES"/>
              </w:rPr>
              <w:t>, donde el comercio ilegal de fauna y flora silvestres y el agotamiento de los recursos amenazaban tanto los medios de vida como los resultados de conservación.</w:t>
            </w:r>
          </w:p>
          <w:p w14:paraId="76B9DD71" w14:textId="77777777" w:rsidR="00EC1048" w:rsidRPr="005E3D50" w:rsidRDefault="00EC1048" w:rsidP="00EC1048">
            <w:pPr>
              <w:spacing w:line="276" w:lineRule="auto"/>
              <w:rPr>
                <w:sz w:val="20"/>
                <w:szCs w:val="20"/>
                <w:lang w:val="es-ES" w:eastAsia="zh-CN"/>
              </w:rPr>
            </w:pPr>
          </w:p>
          <w:p w14:paraId="53713182" w14:textId="497DC3F6" w:rsidR="00EC1048" w:rsidRPr="005E3D50" w:rsidRDefault="00EC1048" w:rsidP="00EC1048">
            <w:pPr>
              <w:spacing w:line="276" w:lineRule="auto"/>
              <w:rPr>
                <w:rFonts w:ascii="Helvetica Neue" w:hAnsi="Helvetica Neue"/>
                <w:color w:val="000000"/>
                <w:spacing w:val="-6"/>
                <w:sz w:val="20"/>
                <w:szCs w:val="20"/>
                <w:lang w:val="es-ES"/>
              </w:rPr>
            </w:pPr>
            <w:r w:rsidRPr="005E3D50">
              <w:rPr>
                <w:sz w:val="20"/>
                <w:szCs w:val="20"/>
                <w:lang w:val="es-ES"/>
              </w:rPr>
              <w:t xml:space="preserve">Desde 2021, Zimbabwe ha llevado a cabo una serie de intervenciones complementarias en todo el país, con iniciativas emblemáticas centradas en el árbol de </w:t>
            </w:r>
            <w:proofErr w:type="spellStart"/>
            <w:r w:rsidRPr="005E3D50">
              <w:rPr>
                <w:sz w:val="20"/>
                <w:szCs w:val="20"/>
                <w:lang w:val="es-ES"/>
              </w:rPr>
              <w:t>marula</w:t>
            </w:r>
            <w:proofErr w:type="spellEnd"/>
            <w:r w:rsidRPr="005E3D50">
              <w:rPr>
                <w:sz w:val="20"/>
                <w:szCs w:val="20"/>
                <w:lang w:val="es-ES"/>
              </w:rPr>
              <w:t xml:space="preserve"> (</w:t>
            </w:r>
            <w:proofErr w:type="spellStart"/>
            <w:r w:rsidRPr="005E3D50">
              <w:rPr>
                <w:i/>
                <w:iCs/>
                <w:sz w:val="20"/>
                <w:szCs w:val="20"/>
                <w:lang w:val="es-ES"/>
              </w:rPr>
              <w:t>Sclerocarya</w:t>
            </w:r>
            <w:proofErr w:type="spellEnd"/>
            <w:r w:rsidRPr="005E3D50">
              <w:rPr>
                <w:i/>
                <w:iCs/>
                <w:sz w:val="20"/>
                <w:szCs w:val="20"/>
                <w:lang w:val="es-ES"/>
              </w:rPr>
              <w:t xml:space="preserve"> </w:t>
            </w:r>
            <w:proofErr w:type="spellStart"/>
            <w:r w:rsidRPr="005E3D50">
              <w:rPr>
                <w:i/>
                <w:iCs/>
                <w:sz w:val="20"/>
                <w:szCs w:val="20"/>
                <w:lang w:val="es-ES"/>
              </w:rPr>
              <w:t>birrea</w:t>
            </w:r>
            <w:proofErr w:type="spellEnd"/>
            <w:r w:rsidRPr="005E3D50">
              <w:rPr>
                <w:sz w:val="20"/>
                <w:szCs w:val="20"/>
                <w:lang w:val="es-ES"/>
              </w:rPr>
              <w:t xml:space="preserve">) en </w:t>
            </w:r>
            <w:proofErr w:type="spellStart"/>
            <w:r w:rsidRPr="005E3D50">
              <w:rPr>
                <w:sz w:val="20"/>
                <w:szCs w:val="20"/>
                <w:lang w:val="es-ES"/>
              </w:rPr>
              <w:t>Mwenezi</w:t>
            </w:r>
            <w:proofErr w:type="spellEnd"/>
            <w:r w:rsidRPr="005E3D50">
              <w:rPr>
                <w:sz w:val="20"/>
                <w:szCs w:val="20"/>
                <w:lang w:val="es-ES"/>
              </w:rPr>
              <w:t xml:space="preserve">, el gusano </w:t>
            </w:r>
            <w:proofErr w:type="spellStart"/>
            <w:r w:rsidRPr="005E3D50">
              <w:rPr>
                <w:sz w:val="20"/>
                <w:szCs w:val="20"/>
                <w:lang w:val="es-ES"/>
              </w:rPr>
              <w:t>mopane</w:t>
            </w:r>
            <w:proofErr w:type="spellEnd"/>
            <w:r w:rsidRPr="005E3D50">
              <w:rPr>
                <w:sz w:val="20"/>
                <w:szCs w:val="20"/>
                <w:lang w:val="es-ES"/>
              </w:rPr>
              <w:t xml:space="preserve"> (</w:t>
            </w:r>
            <w:proofErr w:type="spellStart"/>
            <w:r w:rsidRPr="005E3D50">
              <w:rPr>
                <w:i/>
                <w:iCs/>
                <w:sz w:val="20"/>
                <w:szCs w:val="20"/>
                <w:lang w:val="es-ES"/>
              </w:rPr>
              <w:t>Gonimbrasia</w:t>
            </w:r>
            <w:proofErr w:type="spellEnd"/>
            <w:r w:rsidRPr="005E3D50">
              <w:rPr>
                <w:i/>
                <w:iCs/>
                <w:sz w:val="20"/>
                <w:szCs w:val="20"/>
                <w:lang w:val="es-ES"/>
              </w:rPr>
              <w:t xml:space="preserve"> </w:t>
            </w:r>
            <w:proofErr w:type="spellStart"/>
            <w:r w:rsidRPr="005E3D50">
              <w:rPr>
                <w:i/>
                <w:iCs/>
                <w:sz w:val="20"/>
                <w:szCs w:val="20"/>
                <w:lang w:val="es-ES"/>
              </w:rPr>
              <w:t>belina</w:t>
            </w:r>
            <w:proofErr w:type="spellEnd"/>
            <w:r w:rsidRPr="005E3D50">
              <w:rPr>
                <w:sz w:val="20"/>
                <w:szCs w:val="20"/>
                <w:lang w:val="es-ES"/>
              </w:rPr>
              <w:t xml:space="preserve">) en </w:t>
            </w:r>
            <w:proofErr w:type="spellStart"/>
            <w:r w:rsidRPr="005E3D50">
              <w:rPr>
                <w:sz w:val="20"/>
                <w:szCs w:val="20"/>
                <w:lang w:val="es-ES"/>
              </w:rPr>
              <w:t>Beitbridge</w:t>
            </w:r>
            <w:proofErr w:type="spellEnd"/>
            <w:r w:rsidRPr="005E3D50">
              <w:rPr>
                <w:sz w:val="20"/>
                <w:szCs w:val="20"/>
                <w:lang w:val="es-ES"/>
              </w:rPr>
              <w:t xml:space="preserve"> y </w:t>
            </w:r>
            <w:proofErr w:type="spellStart"/>
            <w:r w:rsidRPr="005E3D50">
              <w:rPr>
                <w:sz w:val="20"/>
                <w:szCs w:val="20"/>
                <w:lang w:val="es-ES"/>
              </w:rPr>
              <w:t>Matobo</w:t>
            </w:r>
            <w:proofErr w:type="spellEnd"/>
            <w:r w:rsidRPr="005E3D50">
              <w:rPr>
                <w:sz w:val="20"/>
                <w:szCs w:val="20"/>
                <w:lang w:val="es-ES"/>
              </w:rPr>
              <w:t xml:space="preserve">, el fruto </w:t>
            </w:r>
            <w:proofErr w:type="spellStart"/>
            <w:r w:rsidRPr="005E3D50">
              <w:rPr>
                <w:sz w:val="20"/>
                <w:szCs w:val="20"/>
                <w:lang w:val="es-ES"/>
              </w:rPr>
              <w:t>masawu</w:t>
            </w:r>
            <w:proofErr w:type="spellEnd"/>
            <w:r w:rsidRPr="005E3D50">
              <w:rPr>
                <w:sz w:val="20"/>
                <w:szCs w:val="20"/>
                <w:lang w:val="es-ES"/>
              </w:rPr>
              <w:t xml:space="preserve"> (</w:t>
            </w:r>
            <w:proofErr w:type="spellStart"/>
            <w:r w:rsidRPr="005E3D50">
              <w:rPr>
                <w:i/>
                <w:iCs/>
                <w:sz w:val="20"/>
                <w:szCs w:val="20"/>
                <w:lang w:val="es-ES"/>
              </w:rPr>
              <w:t>Ziziphus</w:t>
            </w:r>
            <w:proofErr w:type="spellEnd"/>
            <w:r w:rsidRPr="005E3D50">
              <w:rPr>
                <w:i/>
                <w:iCs/>
                <w:sz w:val="20"/>
                <w:szCs w:val="20"/>
                <w:lang w:val="es-ES"/>
              </w:rPr>
              <w:t xml:space="preserve"> </w:t>
            </w:r>
            <w:proofErr w:type="spellStart"/>
            <w:r w:rsidRPr="005E3D50">
              <w:rPr>
                <w:iCs/>
                <w:sz w:val="20"/>
                <w:szCs w:val="20"/>
                <w:lang w:val="es-ES"/>
              </w:rPr>
              <w:t>spp</w:t>
            </w:r>
            <w:proofErr w:type="spellEnd"/>
            <w:r w:rsidRPr="005E3D50">
              <w:rPr>
                <w:iCs/>
                <w:sz w:val="20"/>
                <w:szCs w:val="20"/>
                <w:lang w:val="es-ES"/>
              </w:rPr>
              <w:t>.</w:t>
            </w:r>
            <w:r w:rsidRPr="005E3D50">
              <w:rPr>
                <w:sz w:val="20"/>
                <w:szCs w:val="20"/>
                <w:lang w:val="es-ES"/>
              </w:rPr>
              <w:t xml:space="preserve">) en </w:t>
            </w:r>
            <w:proofErr w:type="spellStart"/>
            <w:r w:rsidRPr="005E3D50">
              <w:rPr>
                <w:sz w:val="20"/>
                <w:szCs w:val="20"/>
                <w:lang w:val="es-ES"/>
              </w:rPr>
              <w:t>Muzarabani</w:t>
            </w:r>
            <w:proofErr w:type="spellEnd"/>
            <w:r w:rsidRPr="005E3D50">
              <w:rPr>
                <w:sz w:val="20"/>
                <w:szCs w:val="20"/>
                <w:lang w:val="es-ES"/>
              </w:rPr>
              <w:t>, el tamarindo (</w:t>
            </w:r>
            <w:proofErr w:type="spellStart"/>
            <w:r w:rsidRPr="005E3D50">
              <w:rPr>
                <w:i/>
                <w:iCs/>
                <w:sz w:val="20"/>
                <w:szCs w:val="20"/>
                <w:lang w:val="es-ES"/>
              </w:rPr>
              <w:t>Tamarindus</w:t>
            </w:r>
            <w:proofErr w:type="spellEnd"/>
            <w:r w:rsidRPr="005E3D50">
              <w:rPr>
                <w:i/>
                <w:iCs/>
                <w:sz w:val="20"/>
                <w:szCs w:val="20"/>
                <w:lang w:val="es-ES"/>
              </w:rPr>
              <w:t xml:space="preserve"> indica</w:t>
            </w:r>
            <w:r w:rsidRPr="005E3D50">
              <w:rPr>
                <w:sz w:val="20"/>
                <w:szCs w:val="20"/>
                <w:lang w:val="es-ES"/>
              </w:rPr>
              <w:t>) en Binga y la pesca en el lago Kariba.</w:t>
            </w:r>
            <w:r w:rsidRPr="005E3D50">
              <w:rPr>
                <w:rFonts w:ascii="Aptos" w:hAnsi="Aptos"/>
                <w:color w:val="000000" w:themeColor="text1"/>
                <w:sz w:val="20"/>
                <w:szCs w:val="20"/>
                <w:lang w:val="es-ES"/>
              </w:rPr>
              <w:t xml:space="preserve"> Un hito importante fue la Ley de </w:t>
            </w:r>
            <w:r w:rsidR="00DF5F14" w:rsidRPr="005E3D50">
              <w:rPr>
                <w:rFonts w:ascii="Aptos" w:hAnsi="Aptos"/>
                <w:color w:val="000000" w:themeColor="text1"/>
                <w:sz w:val="20"/>
                <w:szCs w:val="20"/>
                <w:lang w:val="es-ES"/>
              </w:rPr>
              <w:t xml:space="preserve">enmienda sobre parques y especies silvestres </w:t>
            </w:r>
            <w:r w:rsidRPr="005E3D50">
              <w:rPr>
                <w:rFonts w:ascii="Aptos" w:hAnsi="Aptos"/>
                <w:color w:val="000000" w:themeColor="text1"/>
                <w:sz w:val="20"/>
                <w:szCs w:val="20"/>
                <w:lang w:val="es-ES"/>
              </w:rPr>
              <w:t xml:space="preserve">de 2025, mediante la cual se introdujeron cuotas de </w:t>
            </w:r>
            <w:r w:rsidRPr="005E3D50">
              <w:rPr>
                <w:rFonts w:ascii="Aptos" w:hAnsi="Aptos"/>
                <w:color w:val="000000" w:themeColor="text1"/>
                <w:sz w:val="20"/>
                <w:szCs w:val="20"/>
                <w:lang w:val="es-ES"/>
              </w:rPr>
              <w:lastRenderedPageBreak/>
              <w:t>recolección basadas en criterios científicos, disposiciones más estrictas contra el tráfico y mecanismos formalizados de participación en los beneficios. Estas reformas jurídicas se basaron en datos de investigaciones nacionales que evaluaron las oportunidades económicas derivadas de la biodiversidad, la disponibilidad de recursos y las presiones causadas por la recolección.</w:t>
            </w:r>
          </w:p>
          <w:p w14:paraId="65DE4EAF" w14:textId="77777777" w:rsidR="00FD7137" w:rsidRPr="005E3D50" w:rsidRDefault="00FD7137" w:rsidP="00FD7137">
            <w:pPr>
              <w:spacing w:line="276" w:lineRule="auto"/>
              <w:jc w:val="both"/>
              <w:rPr>
                <w:rFonts w:ascii="Aptos" w:eastAsia="Aptos" w:hAnsi="Aptos" w:cs="Aptos"/>
                <w:color w:val="000000" w:themeColor="text1"/>
                <w:sz w:val="20"/>
                <w:szCs w:val="20"/>
                <w:lang w:val="es-ES" w:eastAsia="zh-CN"/>
              </w:rPr>
            </w:pPr>
          </w:p>
          <w:p w14:paraId="19132F23" w14:textId="7078D05C" w:rsidR="00FD7137" w:rsidRPr="005E3D50" w:rsidRDefault="00FD7137" w:rsidP="00FD7137">
            <w:pPr>
              <w:spacing w:line="276" w:lineRule="auto"/>
              <w:jc w:val="both"/>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En la implementación ha participado una amplia coalición de actores. Los organismos gubernamentales encabezaron las actividades relacionadas con la reforma legislativa, el establecimiento de cuotas y la aplicación de la ley, mientras que la Autoridad Nacional de Biotecnología de Zimbabwe apoyó el establecimiento de instalaciones estandarizadas para el procesamiento de recursos biológicos silvestres. Los asociados internacionales han aportado financiación, asistencia técnica y capacitación para los encargados del seguimiento comunitario de la fauna y flora silvestres. Las instituciones académicas han colaborado en el desarrollo de productos y tecnologías de procesamiento, mientras que asociados del sector privado y fundaciones han apoyado la inversión y la integración en el mercado. Las comunidades locales han desempeñado un papel fundamental en la cogestión de los recursos, el seguimiento y la recolección sostenible.</w:t>
            </w:r>
          </w:p>
          <w:p w14:paraId="100412D5" w14:textId="77777777" w:rsidR="00FD7137" w:rsidRPr="005E3D50" w:rsidRDefault="00FD7137" w:rsidP="00FD7137">
            <w:pPr>
              <w:spacing w:line="276" w:lineRule="auto"/>
              <w:jc w:val="both"/>
              <w:rPr>
                <w:rFonts w:ascii="Aptos" w:eastAsia="Aptos" w:hAnsi="Aptos" w:cs="Aptos"/>
                <w:color w:val="000000" w:themeColor="text1"/>
                <w:sz w:val="20"/>
                <w:szCs w:val="20"/>
                <w:lang w:val="es-ES" w:eastAsia="zh-CN"/>
              </w:rPr>
            </w:pPr>
          </w:p>
          <w:p w14:paraId="075322F0" w14:textId="77777777" w:rsidR="00FD7137" w:rsidRPr="005E3D50" w:rsidRDefault="00FD7137" w:rsidP="00FD7137">
            <w:pPr>
              <w:spacing w:line="276" w:lineRule="auto"/>
              <w:jc w:val="both"/>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Las intervenciones han combinado la reforma normativa, los sistemas de seguimiento, la gobernanza comunitaria y la adición de valor a gran escala. Las instalaciones para el procesamiento de </w:t>
            </w:r>
            <w:proofErr w:type="spellStart"/>
            <w:r w:rsidRPr="005E3D50">
              <w:rPr>
                <w:rFonts w:ascii="Aptos" w:hAnsi="Aptos"/>
                <w:color w:val="000000" w:themeColor="text1"/>
                <w:sz w:val="20"/>
                <w:szCs w:val="20"/>
                <w:lang w:val="es-ES"/>
              </w:rPr>
              <w:t>marula</w:t>
            </w:r>
            <w:proofErr w:type="spellEnd"/>
            <w:r w:rsidRPr="005E3D50">
              <w:rPr>
                <w:rFonts w:ascii="Aptos" w:hAnsi="Aptos"/>
                <w:color w:val="000000" w:themeColor="text1"/>
                <w:sz w:val="20"/>
                <w:szCs w:val="20"/>
                <w:lang w:val="es-ES"/>
              </w:rPr>
              <w:t xml:space="preserve">, gusano </w:t>
            </w:r>
            <w:proofErr w:type="spellStart"/>
            <w:r w:rsidRPr="005E3D50">
              <w:rPr>
                <w:rFonts w:ascii="Aptos" w:hAnsi="Aptos"/>
                <w:color w:val="000000" w:themeColor="text1"/>
                <w:sz w:val="20"/>
                <w:szCs w:val="20"/>
                <w:lang w:val="es-ES"/>
              </w:rPr>
              <w:t>mopane</w:t>
            </w:r>
            <w:proofErr w:type="spellEnd"/>
            <w:r w:rsidRPr="005E3D50">
              <w:rPr>
                <w:rFonts w:ascii="Aptos" w:hAnsi="Aptos"/>
                <w:color w:val="000000" w:themeColor="text1"/>
                <w:sz w:val="20"/>
                <w:szCs w:val="20"/>
                <w:lang w:val="es-ES"/>
              </w:rPr>
              <w:t xml:space="preserve">, baobab, </w:t>
            </w:r>
            <w:proofErr w:type="spellStart"/>
            <w:r w:rsidRPr="005E3D50">
              <w:rPr>
                <w:rFonts w:ascii="Aptos" w:hAnsi="Aptos"/>
                <w:color w:val="000000" w:themeColor="text1"/>
                <w:sz w:val="20"/>
                <w:szCs w:val="20"/>
                <w:lang w:val="es-ES"/>
              </w:rPr>
              <w:t>masawu</w:t>
            </w:r>
            <w:proofErr w:type="spellEnd"/>
            <w:r w:rsidRPr="005E3D50">
              <w:rPr>
                <w:rFonts w:ascii="Aptos" w:hAnsi="Aptos"/>
                <w:color w:val="000000" w:themeColor="text1"/>
                <w:sz w:val="20"/>
                <w:szCs w:val="20"/>
                <w:lang w:val="es-ES"/>
              </w:rPr>
              <w:t xml:space="preserve"> y tamarindo han aumentado la capacidad nacional de procesamiento y han reducido las pérdidas posteriores a la recolección, mientras que las evaluaciones anuales de la pesca respaldan la gestión sostenible de las poblaciones de </w:t>
            </w:r>
            <w:proofErr w:type="spellStart"/>
            <w:r w:rsidRPr="005E3D50">
              <w:rPr>
                <w:rFonts w:ascii="Aptos" w:hAnsi="Aptos"/>
                <w:color w:val="000000" w:themeColor="text1"/>
                <w:sz w:val="20"/>
                <w:szCs w:val="20"/>
                <w:lang w:val="es-ES"/>
              </w:rPr>
              <w:t>kapenta</w:t>
            </w:r>
            <w:proofErr w:type="spellEnd"/>
            <w:r w:rsidRPr="005E3D50">
              <w:rPr>
                <w:rFonts w:ascii="Aptos" w:hAnsi="Aptos"/>
                <w:color w:val="000000" w:themeColor="text1"/>
                <w:sz w:val="20"/>
                <w:szCs w:val="20"/>
                <w:lang w:val="es-ES"/>
              </w:rPr>
              <w:t xml:space="preserve"> (</w:t>
            </w:r>
            <w:proofErr w:type="spellStart"/>
            <w:r w:rsidRPr="005E3D50">
              <w:rPr>
                <w:rFonts w:ascii="Aptos" w:hAnsi="Aptos"/>
                <w:i/>
                <w:iCs/>
                <w:color w:val="000000" w:themeColor="text1"/>
                <w:sz w:val="20"/>
                <w:szCs w:val="20"/>
                <w:lang w:val="es-ES"/>
              </w:rPr>
              <w:t>Limnothrissa</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
                <w:iCs/>
                <w:color w:val="000000" w:themeColor="text1"/>
                <w:sz w:val="20"/>
                <w:szCs w:val="20"/>
                <w:lang w:val="es-ES"/>
              </w:rPr>
              <w:t>miodon</w:t>
            </w:r>
            <w:proofErr w:type="spellEnd"/>
            <w:r w:rsidRPr="005E3D50">
              <w:rPr>
                <w:rFonts w:ascii="Aptos" w:hAnsi="Aptos"/>
                <w:color w:val="000000" w:themeColor="text1"/>
                <w:sz w:val="20"/>
                <w:szCs w:val="20"/>
                <w:lang w:val="es-ES"/>
              </w:rPr>
              <w:t xml:space="preserve"> y </w:t>
            </w:r>
            <w:proofErr w:type="spellStart"/>
            <w:r w:rsidRPr="005E3D50">
              <w:rPr>
                <w:rFonts w:ascii="Aptos" w:hAnsi="Aptos"/>
                <w:i/>
                <w:iCs/>
                <w:color w:val="000000" w:themeColor="text1"/>
                <w:sz w:val="20"/>
                <w:szCs w:val="20"/>
                <w:lang w:val="es-ES"/>
              </w:rPr>
              <w:t>Stolothrissa</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
                <w:iCs/>
                <w:color w:val="000000" w:themeColor="text1"/>
                <w:sz w:val="20"/>
                <w:szCs w:val="20"/>
                <w:lang w:val="es-ES"/>
              </w:rPr>
              <w:t>tanganicae</w:t>
            </w:r>
            <w:proofErr w:type="spellEnd"/>
            <w:r w:rsidRPr="005E3D50">
              <w:rPr>
                <w:rFonts w:ascii="Aptos" w:hAnsi="Aptos"/>
                <w:color w:val="000000" w:themeColor="text1"/>
                <w:sz w:val="20"/>
                <w:szCs w:val="20"/>
                <w:lang w:val="es-ES"/>
              </w:rPr>
              <w:t>) y tilapia (</w:t>
            </w:r>
            <w:proofErr w:type="spellStart"/>
            <w:r w:rsidRPr="005E3D50">
              <w:rPr>
                <w:rFonts w:ascii="Aptos" w:hAnsi="Aptos"/>
                <w:i/>
                <w:iCs/>
                <w:color w:val="000000" w:themeColor="text1"/>
                <w:sz w:val="20"/>
                <w:szCs w:val="20"/>
                <w:lang w:val="es-ES"/>
              </w:rPr>
              <w:t>Oreochromis</w:t>
            </w:r>
            <w:proofErr w:type="spellEnd"/>
            <w:r w:rsidRPr="005E3D50">
              <w:rPr>
                <w:rFonts w:ascii="Aptos" w:hAnsi="Aptos"/>
                <w:i/>
                <w:iCs/>
                <w:color w:val="000000" w:themeColor="text1"/>
                <w:sz w:val="20"/>
                <w:szCs w:val="20"/>
                <w:lang w:val="es-ES"/>
              </w:rPr>
              <w:t xml:space="preserve"> </w:t>
            </w:r>
            <w:proofErr w:type="spellStart"/>
            <w:r w:rsidRPr="005E3D50">
              <w:rPr>
                <w:rFonts w:ascii="Aptos" w:hAnsi="Aptos"/>
                <w:iCs/>
                <w:color w:val="000000" w:themeColor="text1"/>
                <w:sz w:val="20"/>
                <w:szCs w:val="20"/>
                <w:lang w:val="es-ES"/>
              </w:rPr>
              <w:t>spp</w:t>
            </w:r>
            <w:proofErr w:type="spellEnd"/>
            <w:r w:rsidRPr="005E3D50">
              <w:rPr>
                <w:rFonts w:ascii="Aptos" w:hAnsi="Aptos"/>
                <w:iCs/>
                <w:color w:val="000000" w:themeColor="text1"/>
                <w:sz w:val="20"/>
                <w:szCs w:val="20"/>
                <w:lang w:val="es-ES"/>
              </w:rPr>
              <w:t>.</w:t>
            </w:r>
            <w:r w:rsidRPr="005E3D50">
              <w:rPr>
                <w:rFonts w:ascii="Aptos" w:hAnsi="Aptos"/>
                <w:color w:val="000000" w:themeColor="text1"/>
                <w:sz w:val="20"/>
                <w:szCs w:val="20"/>
                <w:lang w:val="es-ES"/>
              </w:rPr>
              <w:t xml:space="preserve">) en el lago Kariba. Estas medidas han contribuido al desarrollo de mercados legales y trazables que benefician a más de 30.000 hogares rurales, han impulsado un comercio formal de gusanos </w:t>
            </w:r>
            <w:proofErr w:type="spellStart"/>
            <w:r w:rsidRPr="005E3D50">
              <w:rPr>
                <w:rFonts w:ascii="Aptos" w:hAnsi="Aptos"/>
                <w:color w:val="000000" w:themeColor="text1"/>
                <w:sz w:val="20"/>
                <w:szCs w:val="20"/>
                <w:lang w:val="es-ES"/>
              </w:rPr>
              <w:t>mopane</w:t>
            </w:r>
            <w:proofErr w:type="spellEnd"/>
            <w:r w:rsidRPr="005E3D50">
              <w:rPr>
                <w:rFonts w:ascii="Aptos" w:hAnsi="Aptos"/>
                <w:color w:val="000000" w:themeColor="text1"/>
                <w:sz w:val="20"/>
                <w:szCs w:val="20"/>
                <w:lang w:val="es-ES"/>
              </w:rPr>
              <w:t xml:space="preserve"> valorado en aproximadamente 1 millón de dólares por temporada, y han reforzado el cumplimiento de la CITES. </w:t>
            </w:r>
          </w:p>
          <w:p w14:paraId="56A308A3" w14:textId="77777777" w:rsidR="00D46CCB" w:rsidRPr="005E3D50" w:rsidRDefault="00D46CCB" w:rsidP="00E15DFE">
            <w:pPr>
              <w:keepNext/>
              <w:keepLines/>
              <w:spacing w:line="276" w:lineRule="auto"/>
              <w:rPr>
                <w:rFonts w:ascii="Aptos" w:eastAsia="Aptos" w:hAnsi="Aptos" w:cs="Aptos"/>
                <w:color w:val="000000" w:themeColor="text1"/>
                <w:lang w:val="es-ES" w:eastAsia="zh-CN"/>
              </w:rPr>
            </w:pPr>
          </w:p>
          <w:p w14:paraId="2F42E612" w14:textId="1D1D6B80" w:rsidR="00026592" w:rsidRPr="005E3D50" w:rsidRDefault="00026592" w:rsidP="00E15DFE">
            <w:pPr>
              <w:keepNext/>
              <w:keepLines/>
              <w:spacing w:line="276" w:lineRule="auto"/>
              <w:rPr>
                <w:rFonts w:ascii="Aptos" w:eastAsia="Aptos" w:hAnsi="Aptos" w:cs="Aptos"/>
                <w:color w:val="000000" w:themeColor="text1"/>
                <w:sz w:val="20"/>
                <w:szCs w:val="20"/>
                <w:lang w:val="es-ES"/>
              </w:rPr>
            </w:pPr>
            <w:r w:rsidRPr="005E3D50">
              <w:rPr>
                <w:rFonts w:ascii="Aptos" w:hAnsi="Aptos"/>
                <w:i/>
                <w:color w:val="000000" w:themeColor="text1"/>
                <w:sz w:val="20"/>
                <w:szCs w:val="20"/>
                <w:lang w:val="es-ES"/>
              </w:rPr>
              <w:t>Metas pertinentes:</w:t>
            </w:r>
            <w:r w:rsidRPr="005E3D50">
              <w:rPr>
                <w:rFonts w:ascii="Aptos" w:hAnsi="Aptos"/>
                <w:color w:val="000000" w:themeColor="text1"/>
                <w:sz w:val="20"/>
                <w:szCs w:val="20"/>
                <w:lang w:val="es-ES"/>
              </w:rPr>
              <w:t xml:space="preserve"> 4, 5, 9 y 20.</w:t>
            </w:r>
          </w:p>
          <w:p w14:paraId="644EAEC5" w14:textId="596FC95F" w:rsidR="00720397" w:rsidRPr="005E3D50" w:rsidRDefault="00213F27" w:rsidP="000B720B">
            <w:pPr>
              <w:rPr>
                <w:i/>
                <w:sz w:val="20"/>
                <w:szCs w:val="20"/>
                <w:lang w:val="es-ES"/>
              </w:rPr>
            </w:pPr>
            <w:r w:rsidRPr="005E3D50">
              <w:rPr>
                <w:i/>
                <w:sz w:val="20"/>
                <w:szCs w:val="20"/>
                <w:lang w:val="es-ES"/>
              </w:rPr>
              <w:t xml:space="preserve">Fuente: </w:t>
            </w:r>
            <w:r w:rsidRPr="005E3D50">
              <w:rPr>
                <w:sz w:val="20"/>
                <w:szCs w:val="20"/>
                <w:lang w:val="es-ES"/>
              </w:rPr>
              <w:t>Zimbabwe, séptimo informe nacional presentado al Convenio</w:t>
            </w:r>
            <w:r w:rsidR="00AB13F4" w:rsidRPr="005E3D50">
              <w:rPr>
                <w:sz w:val="20"/>
                <w:szCs w:val="20"/>
                <w:lang w:val="es-ES"/>
              </w:rPr>
              <w:t>.</w:t>
            </w:r>
          </w:p>
          <w:p w14:paraId="79C52B86" w14:textId="77777777" w:rsidR="000B720B" w:rsidRPr="005E3D50" w:rsidRDefault="000B720B" w:rsidP="000B720B">
            <w:pPr>
              <w:rPr>
                <w:i/>
                <w:sz w:val="20"/>
                <w:szCs w:val="20"/>
                <w:lang w:val="es-ES"/>
              </w:rPr>
            </w:pPr>
          </w:p>
          <w:p w14:paraId="11FF2A96" w14:textId="17C76C63" w:rsidR="000B720B" w:rsidRPr="005E3D50" w:rsidRDefault="000B720B" w:rsidP="00D02AAA">
            <w:pPr>
              <w:rPr>
                <w:lang w:val="es-ES"/>
              </w:rPr>
            </w:pPr>
          </w:p>
        </w:tc>
      </w:tr>
    </w:tbl>
    <w:p w14:paraId="1268E798" w14:textId="77777777" w:rsidR="00791B88" w:rsidRPr="005E3D50" w:rsidRDefault="00791B88" w:rsidP="00781B43">
      <w:pPr>
        <w:rPr>
          <w:i/>
          <w:iCs/>
          <w:lang w:val="es-ES"/>
        </w:rPr>
      </w:pPr>
    </w:p>
    <w:p w14:paraId="7DC3F02A" w14:textId="18BB62CE" w:rsidR="00791B88" w:rsidRPr="005E3D50" w:rsidRDefault="00791B88" w:rsidP="00791B88">
      <w:pPr>
        <w:pStyle w:val="Heading6"/>
        <w:rPr>
          <w:lang w:val="es-ES"/>
        </w:rPr>
      </w:pPr>
      <w:bookmarkStart w:id="215" w:name="_Toc235821110"/>
      <w:r w:rsidRPr="005E3D50">
        <w:rPr>
          <w:lang w:val="es-ES"/>
        </w:rPr>
        <w:t>D</w:t>
      </w:r>
      <w:r w:rsidR="00573C94">
        <w:rPr>
          <w:lang w:val="es-ES"/>
        </w:rPr>
        <w:t>ificultade</w:t>
      </w:r>
      <w:r w:rsidR="006651CE">
        <w:rPr>
          <w:lang w:val="es-ES"/>
        </w:rPr>
        <w:t>s</w:t>
      </w:r>
      <w:bookmarkEnd w:id="215"/>
    </w:p>
    <w:p w14:paraId="084FF157" w14:textId="77777777" w:rsidR="00E11B52" w:rsidRPr="005E3D50" w:rsidRDefault="00E11B52" w:rsidP="002D0F4A">
      <w:pPr>
        <w:spacing w:line="276" w:lineRule="auto"/>
        <w:rPr>
          <w:rFonts w:ascii="Aptos" w:eastAsia="Aptos" w:hAnsi="Aptos" w:cs="Aptos"/>
          <w:lang w:val="es-ES"/>
        </w:rPr>
      </w:pPr>
    </w:p>
    <w:p w14:paraId="32E57B61" w14:textId="1FB37164" w:rsidR="002D0F4A" w:rsidRPr="005E3D50" w:rsidRDefault="002D0F4A" w:rsidP="002D0F4A">
      <w:pPr>
        <w:spacing w:line="276" w:lineRule="auto"/>
        <w:rPr>
          <w:rFonts w:ascii="Aptos" w:eastAsia="Aptos" w:hAnsi="Aptos" w:cs="Aptos"/>
          <w:lang w:val="es-ES"/>
        </w:rPr>
      </w:pPr>
      <w:r w:rsidRPr="005E3D50">
        <w:rPr>
          <w:rFonts w:ascii="Aptos" w:hAnsi="Aptos"/>
          <w:lang w:val="es-ES"/>
        </w:rPr>
        <w:t xml:space="preserve">Muchas Partes informan que no pueden determinar de manera fiable si el uso de las especies silvestres es sostenible debido a que la información científica disponible está incompleta. Es posible que falten evaluaciones de las poblaciones o que estas estén desactualizadas, que no se hayan establecido puntos de referencia biológicos ni reglas de control de la recolección, y que los datos de captura a menudo se registren solamente por grupos amplios de especies que ocultan las tendencias de especies individuales. El cambio climático está provocando que los valores de referencia históricos sean menos confiables, lo que añade aún más incertidumbre. Además de estas carencias de conocimientos, las Partes informan que la recolección ilícita y no reglamentada sigue </w:t>
      </w:r>
      <w:r w:rsidRPr="005E3D50">
        <w:rPr>
          <w:rFonts w:ascii="Aptos" w:hAnsi="Aptos"/>
          <w:lang w:val="es-ES"/>
        </w:rPr>
        <w:lastRenderedPageBreak/>
        <w:t>siendo generalizada, y que los sistemas para hacer cumplir la normativa tienen dificultades para responder adecuadamente. Otros desafíos señalados por las Partes incluyen la limitada capacidad de seguimiento y vigilancia, la saturación de las instalaciones destinadas a los ejemplares confiscados, la entrada de mercancías ilegales en los mercados legales a través de vacíos en la normativa y la cooperación transfronteriza desigual. Además, los recursos financieros, técnicos y humanos se consideran insuficientes: la financiación es de corto plazo y basada en proyectos en lugar de ser sostenida, hay escasez de personal especializado, y la infraestructura digital y de laboratorio es deficiente. En algunos países, los marcos jurídicos están incompletos o fragmentados, y la superposición de mandatos entre los organismos encargados de la pesca, la silvicultura, las especies silvestres, las aduanas y el medio ambiente provoca demoras e impide que las normas se cumplan de manera uniforme.</w:t>
      </w:r>
    </w:p>
    <w:p w14:paraId="731E5D95" w14:textId="77777777" w:rsidR="00710AB9" w:rsidRPr="005E3D50" w:rsidRDefault="00710AB9" w:rsidP="00946318">
      <w:pPr>
        <w:pStyle w:val="Heading5"/>
        <w:rPr>
          <w:lang w:val="es-ES"/>
        </w:rPr>
      </w:pPr>
      <w:bookmarkStart w:id="216" w:name="_Toc235821111"/>
    </w:p>
    <w:p w14:paraId="177EE599" w14:textId="7DA66284" w:rsidR="00946318" w:rsidRPr="005E3D50" w:rsidRDefault="00946318" w:rsidP="00946318">
      <w:pPr>
        <w:pStyle w:val="Heading5"/>
        <w:rPr>
          <w:lang w:val="es-ES"/>
        </w:rPr>
      </w:pPr>
      <w:r w:rsidRPr="005E3D50">
        <w:rPr>
          <w:lang w:val="es-ES"/>
        </w:rPr>
        <w:t>Contribuciones de actores distintos de los Gobiernos nacionales</w:t>
      </w:r>
      <w:bookmarkEnd w:id="216"/>
    </w:p>
    <w:p w14:paraId="0BCC8888" w14:textId="77777777" w:rsidR="009914E3" w:rsidRPr="005E3D50" w:rsidRDefault="009914E3" w:rsidP="000F0985">
      <w:pPr>
        <w:pStyle w:val="Heading6"/>
        <w:rPr>
          <w:lang w:val="es-ES"/>
        </w:rPr>
      </w:pPr>
    </w:p>
    <w:p w14:paraId="751550A6" w14:textId="4A070EB8" w:rsidR="005B3C70" w:rsidRPr="005E3D50" w:rsidRDefault="005B3C70" w:rsidP="000F0985">
      <w:pPr>
        <w:pStyle w:val="Heading6"/>
        <w:rPr>
          <w:lang w:val="es-ES"/>
        </w:rPr>
      </w:pPr>
      <w:bookmarkStart w:id="217" w:name="_Toc235821112"/>
      <w:r w:rsidRPr="005E3D50">
        <w:rPr>
          <w:lang w:val="es-ES"/>
        </w:rPr>
        <w:t>Compromisos presentados directamente a través de la herramienta de presentación de informes en línea</w:t>
      </w:r>
      <w:bookmarkEnd w:id="217"/>
    </w:p>
    <w:p w14:paraId="1AE79EC0" w14:textId="77777777" w:rsidR="009914E3" w:rsidRPr="005E3D50" w:rsidRDefault="009914E3" w:rsidP="005B3C70">
      <w:pPr>
        <w:rPr>
          <w:lang w:val="es-ES"/>
        </w:rPr>
      </w:pPr>
    </w:p>
    <w:p w14:paraId="6D5D6E96" w14:textId="77777777" w:rsidR="00BF3BA6" w:rsidRPr="005E3D50" w:rsidRDefault="00BF3BA6" w:rsidP="00BF3BA6">
      <w:pPr>
        <w:rPr>
          <w:lang w:val="es-ES"/>
        </w:rPr>
      </w:pPr>
      <w:r w:rsidRPr="005E3D50">
        <w:rPr>
          <w:lang w:val="es-ES"/>
        </w:rPr>
        <w:t>De los 180 compromisos sustantivos presentados directamente por actores distintos de los Gobiernos nacionales, solo 2 están relacionados principalmente con la meta 5. Uno de ellos fue presentado por Danish 92 Group, una red de la sociedad civil centrada en la extracción sostenible de recursos mediante la transformación de las redes de la cadena de suministro, y el otro por WWF Japón, cuyo compromiso se centra en promover la sostenibilidad en el sector pesquero.</w:t>
      </w:r>
    </w:p>
    <w:p w14:paraId="5FD42879" w14:textId="77777777" w:rsidR="004E5780" w:rsidRPr="005E3D50" w:rsidRDefault="004E5780" w:rsidP="005B3C70">
      <w:pPr>
        <w:rPr>
          <w:lang w:val="es-ES"/>
        </w:rPr>
      </w:pPr>
    </w:p>
    <w:p w14:paraId="69BB116C" w14:textId="3D19ED8F" w:rsidR="005B3C70" w:rsidRPr="005E3D50" w:rsidRDefault="00125C8E" w:rsidP="000F0985">
      <w:pPr>
        <w:pStyle w:val="Heading6"/>
        <w:rPr>
          <w:lang w:val="es-ES"/>
        </w:rPr>
      </w:pPr>
      <w:bookmarkStart w:id="218" w:name="_Toc235821113"/>
      <w:r w:rsidRPr="005E3D50">
        <w:rPr>
          <w:lang w:val="es-ES"/>
        </w:rPr>
        <w:t>Contribuciones integradas en los informes nacionales</w:t>
      </w:r>
      <w:bookmarkEnd w:id="218"/>
      <w:r w:rsidRPr="005E3D50">
        <w:rPr>
          <w:lang w:val="es-ES"/>
        </w:rPr>
        <w:t xml:space="preserve"> </w:t>
      </w:r>
    </w:p>
    <w:p w14:paraId="5EE307F0" w14:textId="77777777" w:rsidR="008D71AE" w:rsidRPr="005E3D50" w:rsidRDefault="008D71AE" w:rsidP="008D71AE">
      <w:pPr>
        <w:rPr>
          <w:lang w:val="es-ES"/>
        </w:rPr>
      </w:pPr>
      <w:bookmarkStart w:id="219" w:name="_Toc228191277"/>
    </w:p>
    <w:p w14:paraId="6A931770" w14:textId="2B686478" w:rsidR="008D71AE" w:rsidRPr="005E3D50" w:rsidRDefault="008D71AE" w:rsidP="008D71AE">
      <w:pPr>
        <w:rPr>
          <w:lang w:val="es-ES"/>
        </w:rPr>
      </w:pPr>
      <w:r w:rsidRPr="005E3D50">
        <w:rPr>
          <w:lang w:val="es-ES"/>
        </w:rPr>
        <w:t xml:space="preserve">Se señala que los actores distintos de los Gobiernos nacionales desempeñan diversas funciones de cogestión y gobernanza relacionadas con la implementación de la meta 5, en particular los pueblos indígenas y las comunidades locales, los actores sectoriales y los gobiernos subnacionales. Por ejemplo, varias Partes informan que los pueblos indígenas y las comunidades locales ejercen una autoridad formal de gobernanza sobre el uso de especies silvestres, lo que incluye gestionar las cuotas de recolección, realizar patrullas comunitarias y administrar sistemas de gobernanza consuetudinarios. Los actores sectoriales, como las asociaciones de pescadores, las organizaciones de cazadores, los </w:t>
      </w:r>
      <w:r w:rsidRPr="005E3D50">
        <w:rPr>
          <w:lang w:val="es-ES"/>
        </w:rPr>
        <w:lastRenderedPageBreak/>
        <w:t>consejos comunitarios sobre los recursos y las ONG, suelen participar en órganos de cogestión que tienen responsabilidades definidas en relación con la utilización sostenible. Los gobiernos subnacionales, especialmente en los sistemas federales o descentralizados, suelen actuar como principales responsables de la aplicación de las medidas regulatorias pertinentes para la meta 5. En lo que respecta al seguimiento y la recopilación de datos, las instituciones científicas realizan o apoyan evaluaciones de poblaciones, dictámenes de extracción no perjudicial y estudios genéticos que sustentan directamente el establecimiento de cuotas y la autorización del comercio. Los actores sectoriales aportan estadísticas de recolección y captura que se incorporan a la gestión adaptativa, mientras que las ONG y las plataformas de ciencia ciudadana aportan datos de seguimiento que proporcionan valores de referencia sobre la biodiversidad.</w:t>
      </w:r>
    </w:p>
    <w:p w14:paraId="27F71402" w14:textId="77777777" w:rsidR="008D71AE" w:rsidRPr="005E3D50" w:rsidRDefault="008D71AE" w:rsidP="008D71AE">
      <w:pPr>
        <w:rPr>
          <w:lang w:val="es-ES"/>
        </w:rPr>
      </w:pPr>
    </w:p>
    <w:p w14:paraId="451A29C3" w14:textId="77777777" w:rsidR="0005243B" w:rsidRPr="005E3D50" w:rsidRDefault="0005243B" w:rsidP="0005243B">
      <w:pPr>
        <w:rPr>
          <w:lang w:val="es-ES"/>
        </w:rPr>
      </w:pPr>
    </w:p>
    <w:p w14:paraId="24BD3DDD" w14:textId="77777777" w:rsidR="00860210" w:rsidRPr="005E3D50" w:rsidRDefault="00860210" w:rsidP="00860210">
      <w:pPr>
        <w:pStyle w:val="Heading5"/>
        <w:rPr>
          <w:lang w:val="es-ES"/>
        </w:rPr>
      </w:pPr>
      <w:bookmarkStart w:id="220" w:name="_Toc235821114"/>
      <w:bookmarkEnd w:id="219"/>
      <w:r w:rsidRPr="005E3D50">
        <w:rPr>
          <w:lang w:val="es-ES"/>
        </w:rPr>
        <w:t>Ejemplos de vínculos con otros acuerdos, procesos y organizaciones</w:t>
      </w:r>
      <w:bookmarkEnd w:id="220"/>
      <w:r w:rsidRPr="005E3D50">
        <w:rPr>
          <w:lang w:val="es-ES"/>
        </w:rPr>
        <w:t xml:space="preserve"> </w:t>
      </w:r>
    </w:p>
    <w:p w14:paraId="2E66D633" w14:textId="77777777" w:rsidR="00DD370F" w:rsidRPr="005E3D50" w:rsidRDefault="00DD370F" w:rsidP="00BC24AE">
      <w:pPr>
        <w:rPr>
          <w:lang w:val="es-ES"/>
        </w:rPr>
      </w:pPr>
    </w:p>
    <w:p w14:paraId="6FD61E3C" w14:textId="5EFAD5E8" w:rsidR="004A179D" w:rsidRPr="005E3D50" w:rsidRDefault="004A179D" w:rsidP="004A179D">
      <w:pPr>
        <w:pStyle w:val="Caption"/>
        <w:keepNext/>
        <w:rPr>
          <w:b/>
          <w:i w:val="0"/>
          <w:sz w:val="20"/>
          <w:szCs w:val="20"/>
          <w:lang w:val="es-ES"/>
        </w:rPr>
      </w:pPr>
      <w:r w:rsidRPr="005E3D50">
        <w:rPr>
          <w:b/>
          <w:bCs/>
          <w:i w:val="0"/>
          <w:iCs w:val="0"/>
          <w:sz w:val="20"/>
          <w:szCs w:val="20"/>
          <w:lang w:val="es-ES"/>
        </w:rPr>
        <w:t xml:space="preserve"> </w:t>
      </w:r>
    </w:p>
    <w:tbl>
      <w:tblPr>
        <w:tblStyle w:val="TableGrid"/>
        <w:tblW w:w="0" w:type="auto"/>
        <w:tblLook w:val="04A0" w:firstRow="1" w:lastRow="0" w:firstColumn="1" w:lastColumn="0" w:noHBand="0" w:noVBand="1"/>
      </w:tblPr>
      <w:tblGrid>
        <w:gridCol w:w="9016"/>
      </w:tblGrid>
      <w:tr w:rsidR="00AF6625" w:rsidRPr="005E3D50" w14:paraId="5A7D483B" w14:textId="77777777" w:rsidTr="00AF6625">
        <w:tc>
          <w:tcPr>
            <w:tcW w:w="9016" w:type="dxa"/>
            <w:shd w:val="clear" w:color="auto" w:fill="E8E8E8" w:themeFill="background2"/>
          </w:tcPr>
          <w:p w14:paraId="37390C89" w14:textId="77777777" w:rsidR="00FE3AFF" w:rsidRPr="005E3D50" w:rsidRDefault="00FE3AFF" w:rsidP="000426D2">
            <w:pPr>
              <w:spacing w:line="276" w:lineRule="auto"/>
              <w:jc w:val="both"/>
              <w:rPr>
                <w:lang w:val="es-ES"/>
              </w:rPr>
            </w:pPr>
          </w:p>
          <w:p w14:paraId="55ADFA7D" w14:textId="26B5EE62" w:rsidR="00943C58" w:rsidRPr="005E3D50" w:rsidRDefault="00943C58" w:rsidP="00943C58">
            <w:pPr>
              <w:pStyle w:val="Caption"/>
              <w:keepNext/>
              <w:rPr>
                <w:i w:val="0"/>
                <w:iCs w:val="0"/>
                <w:sz w:val="20"/>
                <w:szCs w:val="20"/>
                <w:lang w:val="es-ES"/>
              </w:rPr>
            </w:pPr>
            <w:r w:rsidRPr="005E3D50">
              <w:rPr>
                <w:i w:val="0"/>
                <w:iCs w:val="0"/>
                <w:sz w:val="20"/>
                <w:szCs w:val="20"/>
                <w:lang w:val="es-ES"/>
              </w:rPr>
              <w:t>Recuadro 21</w:t>
            </w:r>
          </w:p>
          <w:p w14:paraId="3D2BD598" w14:textId="0E6F7830" w:rsidR="00943C58" w:rsidRPr="005E3D50" w:rsidRDefault="00943C58" w:rsidP="00943C58">
            <w:pPr>
              <w:spacing w:line="276" w:lineRule="auto"/>
              <w:jc w:val="both"/>
              <w:rPr>
                <w:b/>
                <w:bCs/>
                <w:sz w:val="20"/>
                <w:szCs w:val="20"/>
                <w:lang w:val="es-ES"/>
              </w:rPr>
            </w:pPr>
            <w:r w:rsidRPr="005E3D50">
              <w:rPr>
                <w:b/>
                <w:bCs/>
                <w:sz w:val="20"/>
                <w:szCs w:val="20"/>
                <w:lang w:val="es-ES"/>
              </w:rPr>
              <w:t>Acción coordinada entre acuerdos ambientales multilaterales para abordar la tala y el comercio ilegales en Madagascar</w:t>
            </w:r>
          </w:p>
          <w:p w14:paraId="4D1CB203" w14:textId="77777777" w:rsidR="00943C58" w:rsidRPr="005E3D50" w:rsidRDefault="00943C58" w:rsidP="00943C58">
            <w:pPr>
              <w:spacing w:line="276" w:lineRule="auto"/>
              <w:jc w:val="both"/>
              <w:rPr>
                <w:lang w:val="es-ES"/>
              </w:rPr>
            </w:pPr>
          </w:p>
          <w:p w14:paraId="3E9BFED3" w14:textId="4031C2FE" w:rsidR="00157AB1" w:rsidRPr="005E3D50" w:rsidRDefault="00157AB1" w:rsidP="00157AB1">
            <w:pPr>
              <w:spacing w:line="276" w:lineRule="auto"/>
              <w:rPr>
                <w:sz w:val="20"/>
                <w:szCs w:val="20"/>
                <w:lang w:val="es-ES"/>
              </w:rPr>
            </w:pPr>
            <w:r w:rsidRPr="005E3D50">
              <w:rPr>
                <w:sz w:val="20"/>
                <w:szCs w:val="20"/>
                <w:lang w:val="es-ES"/>
              </w:rPr>
              <w:t xml:space="preserve">Los Bosques lluviosos de </w:t>
            </w:r>
            <w:proofErr w:type="spellStart"/>
            <w:r w:rsidRPr="005E3D50">
              <w:rPr>
                <w:sz w:val="20"/>
                <w:szCs w:val="20"/>
                <w:lang w:val="es-ES"/>
              </w:rPr>
              <w:t>Atsinanana</w:t>
            </w:r>
            <w:proofErr w:type="spellEnd"/>
            <w:r w:rsidRPr="005E3D50">
              <w:rPr>
                <w:sz w:val="20"/>
                <w:szCs w:val="20"/>
                <w:lang w:val="es-ES"/>
              </w:rPr>
              <w:t>, en Madagascar, fueron agregados a la Lista del Patrimonio Mundial de la UNESCO en 2007 debido a su excepcional biodiversidad y a su importancia para sustentar procesos ecológicos. Este bien del Patrimonio Mundial, que comprende seis áreas protegidas independientes, se enfrentaba a graves amenazas provocadas por la tala y el tráfico ilícitos de ébanos de Madagascar (</w:t>
            </w:r>
            <w:proofErr w:type="spellStart"/>
            <w:r w:rsidRPr="005E3D50">
              <w:rPr>
                <w:i/>
                <w:iCs/>
                <w:sz w:val="20"/>
                <w:szCs w:val="20"/>
                <w:lang w:val="es-ES"/>
              </w:rPr>
              <w:t>Diospyros</w:t>
            </w:r>
            <w:proofErr w:type="spellEnd"/>
            <w:r w:rsidRPr="005E3D50">
              <w:rPr>
                <w:i/>
                <w:iCs/>
                <w:sz w:val="20"/>
                <w:szCs w:val="20"/>
                <w:lang w:val="es-ES"/>
              </w:rPr>
              <w:t xml:space="preserve"> </w:t>
            </w:r>
            <w:proofErr w:type="spellStart"/>
            <w:r w:rsidRPr="005E3D50">
              <w:rPr>
                <w:iCs/>
                <w:sz w:val="20"/>
                <w:szCs w:val="20"/>
                <w:lang w:val="es-ES"/>
              </w:rPr>
              <w:t>spp</w:t>
            </w:r>
            <w:proofErr w:type="spellEnd"/>
            <w:r w:rsidRPr="005E3D50">
              <w:rPr>
                <w:iCs/>
                <w:sz w:val="20"/>
                <w:szCs w:val="20"/>
                <w:lang w:val="es-ES"/>
              </w:rPr>
              <w:t>.</w:t>
            </w:r>
            <w:r w:rsidRPr="005E3D50">
              <w:rPr>
                <w:sz w:val="20"/>
                <w:szCs w:val="20"/>
                <w:lang w:val="es-ES"/>
              </w:rPr>
              <w:t>) y palisandros y palos de rosa (</w:t>
            </w:r>
            <w:proofErr w:type="spellStart"/>
            <w:r w:rsidRPr="005E3D50">
              <w:rPr>
                <w:i/>
                <w:iCs/>
                <w:sz w:val="20"/>
                <w:szCs w:val="20"/>
                <w:lang w:val="es-ES"/>
              </w:rPr>
              <w:t>Dalbergia</w:t>
            </w:r>
            <w:proofErr w:type="spellEnd"/>
            <w:r w:rsidRPr="005E3D50">
              <w:rPr>
                <w:i/>
                <w:iCs/>
                <w:sz w:val="20"/>
                <w:szCs w:val="20"/>
                <w:lang w:val="es-ES"/>
              </w:rPr>
              <w:t xml:space="preserve"> </w:t>
            </w:r>
            <w:proofErr w:type="spellStart"/>
            <w:r w:rsidRPr="005E3D50">
              <w:rPr>
                <w:iCs/>
                <w:sz w:val="20"/>
                <w:szCs w:val="20"/>
                <w:lang w:val="es-ES"/>
              </w:rPr>
              <w:t>spp</w:t>
            </w:r>
            <w:proofErr w:type="spellEnd"/>
            <w:r w:rsidRPr="005E3D50">
              <w:rPr>
                <w:iCs/>
                <w:sz w:val="20"/>
                <w:szCs w:val="20"/>
                <w:lang w:val="es-ES"/>
              </w:rPr>
              <w:t>.</w:t>
            </w:r>
            <w:r w:rsidRPr="005E3D50">
              <w:rPr>
                <w:sz w:val="20"/>
                <w:szCs w:val="20"/>
                <w:lang w:val="es-ES"/>
              </w:rPr>
              <w:t xml:space="preserve">), y la consiguiente deforestación también afectaba a especies como los lémures. Esto llevó a la UNESCO a incluir el sitio en su Lista del Patrimonio Mundial en Peligro en 2010, a lo que siguió la inclusión de las especies de árboles pertinentes en el Apéndice II de la CITES en 2013, de conformidad con las medidas correctivas recomendadas en virtud de la Convención para la Protección del Patrimonio Mundial Cultural y Natural. Estas acciones conjuntas impulsaron reformas a nivel nacional, entre ellas la prohibición de la tala con fines comerciales y el desarrollo de un sistema de trazabilidad de la madera incautada. En un proyecto piloto se inventariaron y marcaron satisfactoriamente las existencias mediante etiquetas con códigos de respuesta rápida (QR) vinculadas a una base de datos pública. En 2025, Madagascar adoptó un cupo de exportación cero para todo el comercio con fines comerciales de estas especies. Una misión conjunta de seguimiento de la UNESCO, la UICN y la CITES realizada en 2025 en el marco de la Convención confirmó una reducción significativa de la tala ilegal, la restauración del 63 % de la cubierta forestal </w:t>
            </w:r>
            <w:r w:rsidR="00357C3E" w:rsidRPr="005E3D50">
              <w:rPr>
                <w:sz w:val="20"/>
                <w:szCs w:val="20"/>
                <w:lang w:val="es-ES"/>
              </w:rPr>
              <w:t>que se había perdido</w:t>
            </w:r>
            <w:r w:rsidRPr="005E3D50">
              <w:rPr>
                <w:sz w:val="20"/>
                <w:szCs w:val="20"/>
                <w:lang w:val="es-ES"/>
              </w:rPr>
              <w:t xml:space="preserve"> anteriormente y el nivel </w:t>
            </w:r>
            <w:r w:rsidRPr="005E3D50">
              <w:rPr>
                <w:sz w:val="20"/>
                <w:szCs w:val="20"/>
                <w:lang w:val="es-ES"/>
              </w:rPr>
              <w:lastRenderedPageBreak/>
              <w:t xml:space="preserve">más bajo de caza furtiva de lémures registrado en una década. En consecuencia, el Comité del Patrimonio Mundial retiró los Bosques lluviosos de </w:t>
            </w:r>
            <w:proofErr w:type="spellStart"/>
            <w:r w:rsidRPr="005E3D50">
              <w:rPr>
                <w:sz w:val="20"/>
                <w:szCs w:val="20"/>
                <w:lang w:val="es-ES"/>
              </w:rPr>
              <w:t>Atsinanana</w:t>
            </w:r>
            <w:proofErr w:type="spellEnd"/>
            <w:r w:rsidRPr="005E3D50">
              <w:rPr>
                <w:sz w:val="20"/>
                <w:szCs w:val="20"/>
                <w:lang w:val="es-ES"/>
              </w:rPr>
              <w:t xml:space="preserve"> de la Lista del Patrimonio Mundial en Peligro en 2025. Este caso ilustra cómo la colaboración entre los acuerdos ambientales multilaterales puede dar lugar a medidas que se refuerzan mutuamente para combatir el comercio ilegal y fortalecer la gobernanza, apoyando la conservación a largo plazo de los hábitats y las especies.</w:t>
            </w:r>
          </w:p>
          <w:p w14:paraId="018BC949" w14:textId="77777777" w:rsidR="00793AA7" w:rsidRPr="005E3D50" w:rsidRDefault="00793AA7" w:rsidP="002D0F4A">
            <w:pPr>
              <w:rPr>
                <w:i/>
                <w:iCs/>
                <w:lang w:val="es-ES"/>
              </w:rPr>
            </w:pPr>
          </w:p>
          <w:p w14:paraId="0C8E31CA" w14:textId="0D2A1BFD" w:rsidR="00FA47AA" w:rsidRPr="005E3D50" w:rsidRDefault="00FA47AA" w:rsidP="002D0F4A">
            <w:pPr>
              <w:rPr>
                <w:sz w:val="20"/>
                <w:szCs w:val="20"/>
                <w:lang w:val="es-ES"/>
              </w:rPr>
            </w:pPr>
            <w:r w:rsidRPr="005E3D50">
              <w:rPr>
                <w:i/>
                <w:sz w:val="20"/>
                <w:szCs w:val="20"/>
                <w:lang w:val="es-ES"/>
              </w:rPr>
              <w:t xml:space="preserve">Metas pertinentes: </w:t>
            </w:r>
            <w:r w:rsidRPr="005E3D50">
              <w:rPr>
                <w:sz w:val="20"/>
                <w:szCs w:val="20"/>
                <w:lang w:val="es-ES"/>
              </w:rPr>
              <w:t>3, 4 y 5.</w:t>
            </w:r>
          </w:p>
          <w:p w14:paraId="046E09C7" w14:textId="6ED4FF54" w:rsidR="00DB6307" w:rsidRPr="005E3D50" w:rsidRDefault="00FA47AA" w:rsidP="002D0F4A">
            <w:pPr>
              <w:rPr>
                <w:i/>
                <w:sz w:val="20"/>
                <w:szCs w:val="20"/>
                <w:lang w:val="es-ES"/>
              </w:rPr>
            </w:pPr>
            <w:r w:rsidRPr="005E3D50">
              <w:rPr>
                <w:i/>
                <w:iCs/>
                <w:sz w:val="20"/>
                <w:szCs w:val="20"/>
                <w:lang w:val="es-ES"/>
              </w:rPr>
              <w:t xml:space="preserve">Fuentes: </w:t>
            </w:r>
            <w:r w:rsidRPr="005E3D50">
              <w:rPr>
                <w:sz w:val="20"/>
                <w:szCs w:val="20"/>
                <w:lang w:val="es-ES"/>
              </w:rPr>
              <w:t>CITES, 2025a, 2025b; y UNESCO, 2025a, 2025b.</w:t>
            </w:r>
          </w:p>
          <w:p w14:paraId="0A03822C" w14:textId="77777777" w:rsidR="00793AA7" w:rsidRPr="005E3D50" w:rsidRDefault="00793AA7" w:rsidP="002D0F4A">
            <w:pPr>
              <w:rPr>
                <w:lang w:val="es-ES"/>
              </w:rPr>
            </w:pPr>
          </w:p>
          <w:p w14:paraId="73FD60F3" w14:textId="06527CD2" w:rsidR="00793AA7" w:rsidRPr="005E3D50" w:rsidRDefault="00793AA7" w:rsidP="002D0F4A">
            <w:pPr>
              <w:rPr>
                <w:lang w:val="es-ES"/>
              </w:rPr>
            </w:pPr>
          </w:p>
        </w:tc>
      </w:tr>
    </w:tbl>
    <w:p w14:paraId="03AC908B" w14:textId="77777777" w:rsidR="00C70CBD" w:rsidRPr="005E3D50" w:rsidRDefault="00C70CBD" w:rsidP="002D0F4A">
      <w:pPr>
        <w:rPr>
          <w:lang w:val="es-ES"/>
        </w:rPr>
      </w:pPr>
    </w:p>
    <w:p w14:paraId="31BD5DCC" w14:textId="2E9E9A70" w:rsidR="00CA1DF0" w:rsidRPr="005E3D50" w:rsidRDefault="000966EF" w:rsidP="00CA1DF0">
      <w:pPr>
        <w:rPr>
          <w:lang w:val="es-ES"/>
        </w:rPr>
      </w:pPr>
      <w:r w:rsidRPr="005E3D50">
        <w:rPr>
          <w:lang w:val="es-ES"/>
        </w:rPr>
        <w:t>La Asociación de Colaboración sobre Manejo Sostenible de la Fauna Silvestre es una asociación de carácter voluntario integrada por 13 organizaciones internacionales que tienen mandatos y programas sustantivos para promover la utilización sostenible y la conservación de los recursos de fauna silvestre. Con una secretaría ubicada en la División de Actividad Forestal de la FAO, la Asociación de Colaboración se creó en marzo de 2013 a través de una decisión de la Conferencia de las Partes en el Convenio sobre la Diversidad Biológica, y se le encomendó la misión de aumentar la cooperación y la coordinación entre sus miembros en cuestiones relacionadas con el manejo sostenible de la fauna silvestre, con el fin de promover el manejo sostenible de los vertebrados terrestres silvestres en todos los biomas y zonas geográficas, contribuyendo a la conservación y la utilización sostenible de la biodiversidad, así como a la seguridad alimentaria, los medios de vida y el bienestar de las personas (</w:t>
      </w:r>
      <w:proofErr w:type="spellStart"/>
      <w:r w:rsidRPr="005E3D50">
        <w:rPr>
          <w:lang w:val="es-ES"/>
        </w:rPr>
        <w:t>dec</w:t>
      </w:r>
      <w:proofErr w:type="spellEnd"/>
      <w:r w:rsidRPr="005E3D50">
        <w:rPr>
          <w:lang w:val="es-ES"/>
        </w:rPr>
        <w:t>. XI/25 en CDB, 2012)</w:t>
      </w:r>
      <w:r w:rsidR="005D2C0F" w:rsidRPr="005E3D50">
        <w:rPr>
          <w:rStyle w:val="FootnoteReference"/>
          <w:lang w:val="es-ES"/>
        </w:rPr>
        <w:footnoteReference w:id="21"/>
      </w:r>
      <w:r w:rsidRPr="005E3D50">
        <w:rPr>
          <w:lang w:val="es-ES"/>
        </w:rPr>
        <w:t xml:space="preserve">. </w:t>
      </w:r>
      <w:r w:rsidRPr="005E3D50">
        <w:rPr>
          <w:color w:val="000000"/>
          <w:shd w:val="clear" w:color="auto" w:fill="FFFFFF"/>
          <w:lang w:val="es-ES"/>
        </w:rPr>
        <w:t xml:space="preserve">La Asociación de Colaboración cuenta con un ambicioso plan de trabajo y múltiples programas e iniciativas conjuntos entre las organizaciones que la integran, tales como el Programa de </w:t>
      </w:r>
      <w:r w:rsidR="00A21EA2" w:rsidRPr="005E3D50">
        <w:rPr>
          <w:color w:val="000000"/>
          <w:shd w:val="clear" w:color="auto" w:fill="FFFFFF"/>
          <w:lang w:val="es-ES"/>
        </w:rPr>
        <w:t>g</w:t>
      </w:r>
      <w:r w:rsidRPr="005E3D50">
        <w:rPr>
          <w:color w:val="000000"/>
          <w:shd w:val="clear" w:color="auto" w:fill="FFFFFF"/>
          <w:lang w:val="es-ES"/>
        </w:rPr>
        <w:t xml:space="preserve">estión </w:t>
      </w:r>
      <w:r w:rsidR="00A21EA2" w:rsidRPr="005E3D50">
        <w:rPr>
          <w:color w:val="000000"/>
          <w:shd w:val="clear" w:color="auto" w:fill="FFFFFF"/>
          <w:lang w:val="es-ES"/>
        </w:rPr>
        <w:t>s</w:t>
      </w:r>
      <w:r w:rsidRPr="005E3D50">
        <w:rPr>
          <w:color w:val="000000"/>
          <w:shd w:val="clear" w:color="auto" w:fill="FFFFFF"/>
          <w:lang w:val="es-ES"/>
        </w:rPr>
        <w:t xml:space="preserve">ostenible de la </w:t>
      </w:r>
      <w:r w:rsidR="00A21EA2" w:rsidRPr="005E3D50">
        <w:rPr>
          <w:color w:val="000000"/>
          <w:shd w:val="clear" w:color="auto" w:fill="FFFFFF"/>
          <w:lang w:val="es-ES"/>
        </w:rPr>
        <w:t>f</w:t>
      </w:r>
      <w:r w:rsidRPr="005E3D50">
        <w:rPr>
          <w:color w:val="000000"/>
          <w:shd w:val="clear" w:color="auto" w:fill="FFFFFF"/>
          <w:lang w:val="es-ES"/>
        </w:rPr>
        <w:t xml:space="preserve">auna </w:t>
      </w:r>
      <w:r w:rsidR="00A21EA2" w:rsidRPr="005E3D50">
        <w:rPr>
          <w:color w:val="000000"/>
          <w:shd w:val="clear" w:color="auto" w:fill="FFFFFF"/>
          <w:lang w:val="es-ES"/>
        </w:rPr>
        <w:t>s</w:t>
      </w:r>
      <w:r w:rsidRPr="005E3D50">
        <w:rPr>
          <w:color w:val="000000"/>
          <w:shd w:val="clear" w:color="auto" w:fill="FFFFFF"/>
          <w:lang w:val="es-ES"/>
        </w:rPr>
        <w:t>ilvestre, que ha ejecutado proyectos sobre el terreno en 16 países de África, Asia, el Caribe y el Pacífico, desarrollados con pueblos indígenas y comunidades locales, así como con autoridades nacionales</w:t>
      </w:r>
      <w:r w:rsidR="008C3622" w:rsidRPr="005E3D50">
        <w:rPr>
          <w:rStyle w:val="FootnoteReference"/>
          <w:rFonts w:cs="Arial"/>
          <w:color w:val="000000"/>
          <w:shd w:val="clear" w:color="auto" w:fill="FFFFFF"/>
          <w:lang w:val="es-ES"/>
        </w:rPr>
        <w:footnoteReference w:id="22"/>
      </w:r>
      <w:r w:rsidRPr="005E3D50">
        <w:rPr>
          <w:color w:val="000000"/>
          <w:shd w:val="clear" w:color="auto" w:fill="FFFFFF"/>
          <w:lang w:val="es-ES"/>
        </w:rPr>
        <w:t>. La labor de la Asociación de Colaboración aborda directamente la regulación de la caza de fauna silvestre, el desarrollo de fuentes</w:t>
      </w:r>
      <w:r w:rsidR="00A21EA2" w:rsidRPr="005E3D50">
        <w:rPr>
          <w:color w:val="000000"/>
          <w:shd w:val="clear" w:color="auto" w:fill="FFFFFF"/>
          <w:lang w:val="es-ES"/>
        </w:rPr>
        <w:t xml:space="preserve"> alternativas sostenibles de proteínas</w:t>
      </w:r>
      <w:r w:rsidRPr="005E3D50">
        <w:rPr>
          <w:color w:val="000000"/>
          <w:shd w:val="clear" w:color="auto" w:fill="FFFFFF"/>
          <w:lang w:val="es-ES"/>
        </w:rPr>
        <w:t>, el fortalecimiento de las capacidades de gestión de los pueblos indígenas y las comunidades locales, la reducción de la demanda urbana no sostenible de carne de animales silvestres y la mitigación del riesgo de enfermedades zoonóticas mediante el enfoque de “Una sola salud”, en consonancia con las metas 4, 5 y 9 del Marco.</w:t>
      </w:r>
    </w:p>
    <w:p w14:paraId="450A78EE" w14:textId="48C42596" w:rsidR="00A00F85" w:rsidRPr="005E3D50" w:rsidRDefault="00A00F85" w:rsidP="002D0F4A">
      <w:pPr>
        <w:rPr>
          <w:lang w:val="es-ES"/>
        </w:rPr>
      </w:pPr>
    </w:p>
    <w:p w14:paraId="7C2D0F5D" w14:textId="77777777" w:rsidR="00781B43" w:rsidRPr="005E3D50" w:rsidRDefault="00781B43" w:rsidP="00781B43">
      <w:pPr>
        <w:rPr>
          <w:lang w:val="es-ES"/>
        </w:rPr>
      </w:pPr>
    </w:p>
    <w:p w14:paraId="6C2F2547" w14:textId="76241A4C" w:rsidR="00120352" w:rsidRPr="005E3D50" w:rsidRDefault="00120352" w:rsidP="74032CC2">
      <w:pPr>
        <w:pStyle w:val="Heading4"/>
        <w:rPr>
          <w:i w:val="0"/>
          <w:iCs w:val="0"/>
          <w:lang w:val="es-ES"/>
        </w:rPr>
      </w:pPr>
      <w:bookmarkStart w:id="221" w:name="_Toc235821115"/>
      <w:bookmarkStart w:id="222" w:name="_Toc239069200"/>
      <w:bookmarkStart w:id="223" w:name="_Toc242882978"/>
      <w:r w:rsidRPr="005E3D50">
        <w:rPr>
          <w:b/>
          <w:bCs/>
          <w:i w:val="0"/>
          <w:iCs w:val="0"/>
          <w:lang w:val="es-ES"/>
        </w:rPr>
        <w:t>Meta 6.</w:t>
      </w:r>
      <w:r w:rsidRPr="005E3D50">
        <w:rPr>
          <w:i w:val="0"/>
          <w:iCs w:val="0"/>
          <w:lang w:val="es-ES"/>
        </w:rPr>
        <w:t xml:space="preserve"> Reducir la introducción de especies exóticas invasoras en un 50% y minimizar sus impactos</w:t>
      </w:r>
      <w:bookmarkEnd w:id="221"/>
      <w:bookmarkEnd w:id="222"/>
      <w:bookmarkEnd w:id="223"/>
    </w:p>
    <w:p w14:paraId="50B6A11D" w14:textId="77777777" w:rsidR="009446ED" w:rsidRPr="005E3D50" w:rsidRDefault="009446ED" w:rsidP="009446ED">
      <w:pPr>
        <w:rPr>
          <w:b/>
          <w:bCs/>
          <w:i/>
          <w:iCs/>
          <w:sz w:val="22"/>
          <w:szCs w:val="22"/>
          <w:lang w:val="es-ES"/>
        </w:rPr>
      </w:pPr>
    </w:p>
    <w:p w14:paraId="6B7FFCF6" w14:textId="6086A6D8" w:rsidR="009446ED" w:rsidRPr="005E3D50" w:rsidRDefault="009446ED" w:rsidP="009446ED">
      <w:pPr>
        <w:rPr>
          <w:i/>
          <w:iCs/>
          <w:sz w:val="22"/>
          <w:szCs w:val="22"/>
          <w:lang w:val="es-ES"/>
        </w:rPr>
      </w:pPr>
      <w:r w:rsidRPr="005E3D50">
        <w:rPr>
          <w:b/>
          <w:bCs/>
          <w:sz w:val="22"/>
          <w:szCs w:val="22"/>
          <w:lang w:val="es-ES"/>
        </w:rPr>
        <w:t>Texto de la meta</w:t>
      </w:r>
      <w:r w:rsidRPr="005E3D50">
        <w:rPr>
          <w:b/>
          <w:sz w:val="22"/>
          <w:szCs w:val="22"/>
          <w:lang w:val="es-ES"/>
        </w:rPr>
        <w:t>.</w:t>
      </w:r>
      <w:r w:rsidRPr="005E3D50">
        <w:rPr>
          <w:i/>
          <w:iCs/>
          <w:sz w:val="22"/>
          <w:szCs w:val="22"/>
          <w:lang w:val="es-ES"/>
        </w:rPr>
        <w:t xml:space="preserve"> 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p w14:paraId="2B515D96" w14:textId="77777777" w:rsidR="009446ED" w:rsidRPr="005E3D50" w:rsidRDefault="009446ED" w:rsidP="009446ED">
      <w:pPr>
        <w:rPr>
          <w:lang w:val="es-ES"/>
        </w:rPr>
      </w:pPr>
    </w:p>
    <w:p w14:paraId="0883AB12" w14:textId="2CF2681B" w:rsidR="00CA3D30" w:rsidRPr="005E3D50" w:rsidRDefault="00CA619B" w:rsidP="00CA3D30">
      <w:pPr>
        <w:pStyle w:val="Heading5"/>
        <w:rPr>
          <w:lang w:val="es-ES"/>
        </w:rPr>
      </w:pPr>
      <w:r w:rsidRPr="005E3D50">
        <w:rPr>
          <w:lang w:val="es-ES"/>
        </w:rPr>
        <w:t>Panorama general de los progresos</w:t>
      </w:r>
    </w:p>
    <w:tbl>
      <w:tblPr>
        <w:tblStyle w:val="TableGrid"/>
        <w:tblW w:w="0" w:type="auto"/>
        <w:tblLook w:val="04A0" w:firstRow="1" w:lastRow="0" w:firstColumn="1" w:lastColumn="0" w:noHBand="0" w:noVBand="1"/>
      </w:tblPr>
      <w:tblGrid>
        <w:gridCol w:w="9016"/>
      </w:tblGrid>
      <w:tr w:rsidR="00CA3D30" w:rsidRPr="005E3D50" w14:paraId="5CD32174" w14:textId="77777777" w:rsidTr="0083121E">
        <w:tc>
          <w:tcPr>
            <w:tcW w:w="9016" w:type="dxa"/>
            <w:shd w:val="clear" w:color="auto" w:fill="D1D1D1" w:themeFill="background2" w:themeFillShade="E6"/>
          </w:tcPr>
          <w:p w14:paraId="1877D292" w14:textId="77777777" w:rsidR="001E2BFF" w:rsidRPr="005E3D50" w:rsidRDefault="001E2BFF" w:rsidP="008266A0">
            <w:pPr>
              <w:rPr>
                <w:rFonts w:ascii="Aptos" w:eastAsia="Times New Roman" w:hAnsi="Aptos" w:cs="Calibri"/>
                <w:color w:val="000000"/>
                <w:lang w:val="es-ES"/>
              </w:rPr>
            </w:pPr>
          </w:p>
          <w:p w14:paraId="382A234D" w14:textId="5DCA7592" w:rsidR="006E69C5" w:rsidRPr="005E3D50" w:rsidRDefault="006E69C5" w:rsidP="006E69C5">
            <w:pPr>
              <w:rPr>
                <w:rFonts w:ascii="Aptos" w:eastAsia="Times New Roman" w:hAnsi="Aptos" w:cs="Calibri"/>
                <w:color w:val="000000"/>
                <w:lang w:val="es-ES"/>
              </w:rPr>
            </w:pPr>
            <w:r w:rsidRPr="005E3D50">
              <w:rPr>
                <w:rFonts w:ascii="Aptos" w:hAnsi="Aptos"/>
                <w:color w:val="000000"/>
                <w:lang w:val="es-ES"/>
              </w:rPr>
              <w:t xml:space="preserve">Las Partes están tomando medidas relativas a las especies exóticas invasoras, pero sigue siendo difícil evaluar los progresos. La mayoría de las Partes señalan que no están en vías de alcanzar las metas nacionales relacionadas con la meta 6. En general, las metas nacionales no reflejan explícitamente todo el alcance de la meta, y solo una minoría de las Partes tienen elementos cuantitativos que se corresponden con el nivel de ambición mundial de la meta 6. Las Partes también señalan los desafíos asociados al seguimiento, como la escasez de datos de referencia y la limitada capacidad para detectar especies exóticas invasoras. Aunque las Partes han señalado importantes medidas adoptadas para </w:t>
            </w:r>
            <w:r w:rsidR="00E51448" w:rsidRPr="005E3D50">
              <w:rPr>
                <w:rFonts w:ascii="Aptos" w:hAnsi="Aptos"/>
                <w:color w:val="000000"/>
                <w:lang w:val="es-ES"/>
              </w:rPr>
              <w:t>alcanzar</w:t>
            </w:r>
            <w:r w:rsidRPr="005E3D50">
              <w:rPr>
                <w:rFonts w:ascii="Aptos" w:hAnsi="Aptos"/>
                <w:color w:val="000000"/>
                <w:lang w:val="es-ES"/>
              </w:rPr>
              <w:t xml:space="preserve"> la meta, aún no es posible discernir los efectos a largo plazo de estos esfuerzos sobre el establecimiento o los impactos de las especies exóticas invasoras. </w:t>
            </w:r>
            <w:r w:rsidR="006D2850" w:rsidRPr="005E3D50">
              <w:rPr>
                <w:rFonts w:ascii="Aptos" w:hAnsi="Aptos"/>
                <w:color w:val="000000"/>
                <w:lang w:val="es-ES"/>
              </w:rPr>
              <w:t>Entre las acciones eficaces se incluyen sólidas medidas de bioseguridad centradas en la prevención, que no están establecidas de forma generalizada entre las Partes debido a las diferencias en la capacidad y las circunstancias nacionales</w:t>
            </w:r>
            <w:r w:rsidRPr="005E3D50">
              <w:rPr>
                <w:rFonts w:ascii="Aptos" w:hAnsi="Aptos"/>
                <w:color w:val="000000"/>
                <w:lang w:val="es-ES"/>
              </w:rPr>
              <w:t>.</w:t>
            </w:r>
          </w:p>
          <w:p w14:paraId="4AD15C6A" w14:textId="24901ADF" w:rsidR="00CA3D30" w:rsidRPr="005E3D50" w:rsidRDefault="00CA3D30" w:rsidP="00D02AAA">
            <w:pPr>
              <w:rPr>
                <w:lang w:val="es-ES"/>
              </w:rPr>
            </w:pPr>
          </w:p>
        </w:tc>
      </w:tr>
    </w:tbl>
    <w:p w14:paraId="1CF192DD" w14:textId="77777777" w:rsidR="00D72D78" w:rsidRPr="005E3D50" w:rsidRDefault="00D72D78" w:rsidP="00D72D78">
      <w:pPr>
        <w:rPr>
          <w:lang w:val="es-ES"/>
        </w:rPr>
      </w:pPr>
    </w:p>
    <w:p w14:paraId="784991AE" w14:textId="1C3E6B97" w:rsidR="003D0F17" w:rsidRPr="005E3D50" w:rsidRDefault="003D0F17" w:rsidP="003D0F17">
      <w:pPr>
        <w:pStyle w:val="Heading5"/>
        <w:rPr>
          <w:lang w:val="es-ES"/>
        </w:rPr>
      </w:pPr>
      <w:r w:rsidRPr="005E3D50">
        <w:rPr>
          <w:lang w:val="es-ES"/>
        </w:rPr>
        <w:t>Grado en que las Partes cubren el alcance de la meta 6 del Marco en sus metas nacionales</w:t>
      </w:r>
    </w:p>
    <w:p w14:paraId="3966ADE8" w14:textId="77777777" w:rsidR="003D0F17" w:rsidRPr="005E3D50" w:rsidRDefault="003D0F17" w:rsidP="003D0F17">
      <w:pPr>
        <w:pStyle w:val="Caption"/>
        <w:rPr>
          <w:lang w:val="es-ES"/>
        </w:rPr>
      </w:pPr>
    </w:p>
    <w:p w14:paraId="3F7D92EA" w14:textId="77777777" w:rsidR="00BC05DE" w:rsidRPr="005E3D50" w:rsidRDefault="00BC05DE" w:rsidP="009375BE">
      <w:pPr>
        <w:rPr>
          <w:i/>
          <w:iCs/>
          <w:lang w:val="es-ES"/>
        </w:rPr>
      </w:pPr>
    </w:p>
    <w:p w14:paraId="4DC84CAA" w14:textId="6B585B11" w:rsidR="009477DC" w:rsidRPr="005E3D50" w:rsidRDefault="00CF1235" w:rsidP="00CF1235">
      <w:pPr>
        <w:pStyle w:val="Caption"/>
        <w:keepNext/>
        <w:rPr>
          <w:i w:val="0"/>
          <w:iCs w:val="0"/>
          <w:sz w:val="20"/>
          <w:szCs w:val="20"/>
          <w:lang w:val="es-ES"/>
        </w:rPr>
      </w:pPr>
      <w:r w:rsidRPr="005E3D50">
        <w:rPr>
          <w:i w:val="0"/>
          <w:sz w:val="20"/>
          <w:szCs w:val="20"/>
          <w:lang w:val="es-ES"/>
        </w:rPr>
        <w:t>Cuadro 14</w:t>
      </w:r>
      <w:r w:rsidRPr="005E3D50">
        <w:rPr>
          <w:i w:val="0"/>
          <w:iCs w:val="0"/>
          <w:sz w:val="20"/>
          <w:szCs w:val="20"/>
          <w:lang w:val="es-ES"/>
        </w:rPr>
        <w:t xml:space="preserve"> </w:t>
      </w:r>
    </w:p>
    <w:p w14:paraId="1F697845" w14:textId="77777777" w:rsidR="009477DC" w:rsidRPr="005E3D50" w:rsidRDefault="009477DC" w:rsidP="009477DC">
      <w:pPr>
        <w:pStyle w:val="Caption"/>
        <w:keepNext/>
        <w:rPr>
          <w:b/>
          <w:bCs/>
          <w:i w:val="0"/>
          <w:iCs w:val="0"/>
          <w:sz w:val="20"/>
          <w:szCs w:val="20"/>
          <w:lang w:val="es-ES"/>
        </w:rPr>
      </w:pPr>
      <w:r w:rsidRPr="005E3D50">
        <w:rPr>
          <w:b/>
          <w:bCs/>
          <w:i w:val="0"/>
          <w:iCs w:val="0"/>
          <w:sz w:val="20"/>
          <w:szCs w:val="20"/>
          <w:lang w:val="es-ES"/>
        </w:rPr>
        <w:t xml:space="preserve">Elementos de la meta 6 del Marco y cómo se abordan en las metas </w:t>
      </w:r>
      <w:proofErr w:type="spellStart"/>
      <w:r w:rsidRPr="005E3D50">
        <w:rPr>
          <w:b/>
          <w:bCs/>
          <w:i w:val="0"/>
          <w:iCs w:val="0"/>
          <w:sz w:val="20"/>
          <w:szCs w:val="20"/>
          <w:lang w:val="es-ES"/>
        </w:rPr>
        <w:t>nacionales</w:t>
      </w:r>
      <w:r w:rsidRPr="005E3D50">
        <w:rPr>
          <w:b/>
          <w:bCs/>
          <w:i w:val="0"/>
          <w:iCs w:val="0"/>
          <w:sz w:val="20"/>
          <w:szCs w:val="20"/>
          <w:vertAlign w:val="superscript"/>
          <w:lang w:val="es-ES"/>
        </w:rPr>
        <w:t>a</w:t>
      </w:r>
      <w:proofErr w:type="spellEnd"/>
      <w:r w:rsidRPr="005E3D50">
        <w:rPr>
          <w:b/>
          <w:bCs/>
          <w:i w:val="0"/>
          <w:iCs w:val="0"/>
          <w:sz w:val="20"/>
          <w:szCs w:val="20"/>
          <w:lang w:val="es-ES"/>
        </w:rPr>
        <w:t xml:space="preserve"> </w:t>
      </w:r>
    </w:p>
    <w:p w14:paraId="2000D1F5" w14:textId="77777777" w:rsidR="008A4CF6" w:rsidRPr="005E3D50" w:rsidRDefault="008A4CF6" w:rsidP="008A4CF6">
      <w:pPr>
        <w:rPr>
          <w:lang w:val="es-ES" w:eastAsia="ja-JP"/>
        </w:rPr>
      </w:pPr>
    </w:p>
    <w:tbl>
      <w:tblPr>
        <w:tblStyle w:val="TableGrid"/>
        <w:tblW w:w="0" w:type="auto"/>
        <w:tblLook w:val="04A0" w:firstRow="1" w:lastRow="0" w:firstColumn="1" w:lastColumn="0" w:noHBand="0" w:noVBand="1"/>
      </w:tblPr>
      <w:tblGrid>
        <w:gridCol w:w="8359"/>
        <w:gridCol w:w="657"/>
      </w:tblGrid>
      <w:tr w:rsidR="009375BE" w:rsidRPr="005E3D50" w14:paraId="450D0192" w14:textId="77777777" w:rsidTr="00A0688A">
        <w:tc>
          <w:tcPr>
            <w:tcW w:w="8359" w:type="dxa"/>
          </w:tcPr>
          <w:p w14:paraId="76C7EADD" w14:textId="19B00A17" w:rsidR="00B3268A" w:rsidRPr="005E3D50" w:rsidRDefault="00456C86" w:rsidP="00D72D78">
            <w:pPr>
              <w:rPr>
                <w:sz w:val="20"/>
                <w:szCs w:val="20"/>
                <w:lang w:val="es-ES"/>
              </w:rPr>
            </w:pPr>
            <w:r w:rsidRPr="005E3D50">
              <w:rPr>
                <w:sz w:val="20"/>
                <w:szCs w:val="20"/>
                <w:lang w:val="es-ES"/>
              </w:rPr>
              <w:lastRenderedPageBreak/>
              <w:t>Eliminar, minimizar o reducir las especies exóticas invasoras o mitigar sus impactos en la biodiversidad</w:t>
            </w:r>
          </w:p>
        </w:tc>
        <w:tc>
          <w:tcPr>
            <w:tcW w:w="657" w:type="dxa"/>
            <w:shd w:val="clear" w:color="auto" w:fill="FFFF00"/>
          </w:tcPr>
          <w:p w14:paraId="6E8A2727" w14:textId="3BD042B9" w:rsidR="009375BE" w:rsidRPr="005E3D50" w:rsidRDefault="00A0688A" w:rsidP="00D72D78">
            <w:pPr>
              <w:rPr>
                <w:sz w:val="20"/>
                <w:szCs w:val="20"/>
                <w:lang w:val="es-ES"/>
              </w:rPr>
            </w:pPr>
            <w:r w:rsidRPr="005E3D50">
              <w:rPr>
                <w:sz w:val="20"/>
                <w:szCs w:val="20"/>
                <w:lang w:val="es-ES"/>
              </w:rPr>
              <w:t>59</w:t>
            </w:r>
          </w:p>
        </w:tc>
      </w:tr>
      <w:tr w:rsidR="009375BE" w:rsidRPr="005E3D50" w14:paraId="347C697B" w14:textId="77777777" w:rsidTr="00DC7F18">
        <w:tc>
          <w:tcPr>
            <w:tcW w:w="8359" w:type="dxa"/>
          </w:tcPr>
          <w:p w14:paraId="1F02285D" w14:textId="5D1DBDA2" w:rsidR="009375BE" w:rsidRPr="005E3D50" w:rsidRDefault="00C520AB" w:rsidP="00D72D78">
            <w:pPr>
              <w:rPr>
                <w:sz w:val="20"/>
                <w:szCs w:val="20"/>
                <w:lang w:val="es-ES"/>
              </w:rPr>
            </w:pPr>
            <w:r w:rsidRPr="005E3D50">
              <w:rPr>
                <w:sz w:val="20"/>
                <w:szCs w:val="20"/>
                <w:lang w:val="es-ES"/>
              </w:rPr>
              <w:t>Eliminar, minimizar o reducir las especies exóticas invasoras o mitigar sus impactos en la biodiversidad y los servicios de los ecosistemas</w:t>
            </w:r>
          </w:p>
        </w:tc>
        <w:tc>
          <w:tcPr>
            <w:tcW w:w="657" w:type="dxa"/>
            <w:shd w:val="clear" w:color="auto" w:fill="FFFF00"/>
          </w:tcPr>
          <w:p w14:paraId="30D347F6" w14:textId="517E662B" w:rsidR="009375BE" w:rsidRPr="005E3D50" w:rsidRDefault="00DC7F18" w:rsidP="00D72D78">
            <w:pPr>
              <w:rPr>
                <w:sz w:val="20"/>
                <w:szCs w:val="20"/>
                <w:lang w:val="es-ES"/>
              </w:rPr>
            </w:pPr>
            <w:r w:rsidRPr="005E3D50">
              <w:rPr>
                <w:sz w:val="20"/>
                <w:szCs w:val="20"/>
                <w:lang w:val="es-ES"/>
              </w:rPr>
              <w:t>56</w:t>
            </w:r>
          </w:p>
        </w:tc>
      </w:tr>
      <w:tr w:rsidR="009375BE" w:rsidRPr="005E3D50" w14:paraId="2FA4CBB9" w14:textId="77777777" w:rsidTr="00900C45">
        <w:tc>
          <w:tcPr>
            <w:tcW w:w="8359" w:type="dxa"/>
          </w:tcPr>
          <w:p w14:paraId="3F6B4D15" w14:textId="77777777" w:rsidR="009375BE" w:rsidRPr="005E3D50" w:rsidRDefault="008C6967" w:rsidP="00D72D78">
            <w:pPr>
              <w:rPr>
                <w:sz w:val="20"/>
                <w:szCs w:val="20"/>
                <w:lang w:val="es-ES"/>
              </w:rPr>
            </w:pPr>
            <w:r w:rsidRPr="005E3D50">
              <w:rPr>
                <w:sz w:val="20"/>
                <w:szCs w:val="20"/>
                <w:lang w:val="es-ES"/>
              </w:rPr>
              <w:t>Detectar las vías de introducción de las especies exóticas invasoras</w:t>
            </w:r>
          </w:p>
          <w:p w14:paraId="23E7679B" w14:textId="3BD93311" w:rsidR="00D57577" w:rsidRPr="005E3D50" w:rsidRDefault="00D57577" w:rsidP="00D72D78">
            <w:pPr>
              <w:rPr>
                <w:sz w:val="20"/>
                <w:szCs w:val="20"/>
                <w:lang w:val="es-ES"/>
              </w:rPr>
            </w:pPr>
          </w:p>
        </w:tc>
        <w:tc>
          <w:tcPr>
            <w:tcW w:w="657" w:type="dxa"/>
            <w:shd w:val="clear" w:color="auto" w:fill="FFFF00"/>
          </w:tcPr>
          <w:p w14:paraId="7F7E6991" w14:textId="1D9290D0" w:rsidR="009375BE" w:rsidRPr="005E3D50" w:rsidRDefault="00900C45" w:rsidP="00D72D78">
            <w:pPr>
              <w:rPr>
                <w:sz w:val="20"/>
                <w:szCs w:val="20"/>
                <w:lang w:val="es-ES"/>
              </w:rPr>
            </w:pPr>
            <w:r w:rsidRPr="005E3D50">
              <w:rPr>
                <w:sz w:val="20"/>
                <w:szCs w:val="20"/>
                <w:lang w:val="es-ES"/>
              </w:rPr>
              <w:t>40</w:t>
            </w:r>
          </w:p>
        </w:tc>
      </w:tr>
      <w:tr w:rsidR="009375BE" w:rsidRPr="005E3D50" w14:paraId="2E901C74" w14:textId="77777777" w:rsidTr="007A6B8E">
        <w:tc>
          <w:tcPr>
            <w:tcW w:w="8359" w:type="dxa"/>
          </w:tcPr>
          <w:p w14:paraId="476213F0" w14:textId="77777777" w:rsidR="009375BE" w:rsidRPr="005E3D50" w:rsidRDefault="008C6967" w:rsidP="00D72D78">
            <w:pPr>
              <w:rPr>
                <w:sz w:val="20"/>
                <w:szCs w:val="20"/>
                <w:lang w:val="es-ES"/>
              </w:rPr>
            </w:pPr>
            <w:r w:rsidRPr="005E3D50">
              <w:rPr>
                <w:sz w:val="20"/>
                <w:szCs w:val="20"/>
                <w:lang w:val="es-ES"/>
              </w:rPr>
              <w:t>Gestionar las vías de introducción de las especies exóticas invasoras</w:t>
            </w:r>
          </w:p>
          <w:p w14:paraId="60284F32" w14:textId="58EC3FC0" w:rsidR="00D57577" w:rsidRPr="005E3D50" w:rsidRDefault="00D57577" w:rsidP="00D72D78">
            <w:pPr>
              <w:rPr>
                <w:sz w:val="20"/>
                <w:szCs w:val="20"/>
                <w:lang w:val="es-ES"/>
              </w:rPr>
            </w:pPr>
          </w:p>
        </w:tc>
        <w:tc>
          <w:tcPr>
            <w:tcW w:w="657" w:type="dxa"/>
            <w:shd w:val="clear" w:color="auto" w:fill="FFFF00"/>
          </w:tcPr>
          <w:p w14:paraId="05732CF3" w14:textId="328781B7" w:rsidR="009375BE" w:rsidRPr="005E3D50" w:rsidRDefault="007A6B8E" w:rsidP="00D72D78">
            <w:pPr>
              <w:rPr>
                <w:sz w:val="20"/>
                <w:szCs w:val="20"/>
                <w:lang w:val="es-ES"/>
              </w:rPr>
            </w:pPr>
            <w:r w:rsidRPr="005E3D50">
              <w:rPr>
                <w:sz w:val="20"/>
                <w:szCs w:val="20"/>
                <w:lang w:val="es-ES"/>
              </w:rPr>
              <w:t>41</w:t>
            </w:r>
          </w:p>
        </w:tc>
      </w:tr>
      <w:tr w:rsidR="009375BE" w:rsidRPr="005E3D50" w14:paraId="0FEACBAC" w14:textId="77777777" w:rsidTr="00480453">
        <w:tc>
          <w:tcPr>
            <w:tcW w:w="8359" w:type="dxa"/>
          </w:tcPr>
          <w:p w14:paraId="5981D11D" w14:textId="77777777" w:rsidR="009375BE" w:rsidRPr="005E3D50" w:rsidRDefault="00CC6897" w:rsidP="00D72D78">
            <w:pPr>
              <w:rPr>
                <w:sz w:val="20"/>
                <w:szCs w:val="20"/>
                <w:lang w:val="es-ES"/>
              </w:rPr>
            </w:pPr>
            <w:r w:rsidRPr="005E3D50">
              <w:rPr>
                <w:sz w:val="20"/>
                <w:szCs w:val="20"/>
                <w:lang w:val="es-ES"/>
              </w:rPr>
              <w:t>Prevenir la introducción y el establecimiento de especies exóticas invasoras prioritarias</w:t>
            </w:r>
          </w:p>
          <w:p w14:paraId="69A04E21" w14:textId="4F15B227" w:rsidR="00D57577" w:rsidRPr="005E3D50" w:rsidRDefault="00D57577" w:rsidP="00D72D78">
            <w:pPr>
              <w:rPr>
                <w:sz w:val="20"/>
                <w:szCs w:val="20"/>
                <w:lang w:val="es-ES"/>
              </w:rPr>
            </w:pPr>
          </w:p>
        </w:tc>
        <w:tc>
          <w:tcPr>
            <w:tcW w:w="657" w:type="dxa"/>
            <w:shd w:val="clear" w:color="auto" w:fill="FFFF00"/>
          </w:tcPr>
          <w:p w14:paraId="45E22679" w14:textId="4329DEAB" w:rsidR="009375BE" w:rsidRPr="005E3D50" w:rsidRDefault="0006575B" w:rsidP="00D72D78">
            <w:pPr>
              <w:rPr>
                <w:sz w:val="20"/>
                <w:szCs w:val="20"/>
                <w:lang w:val="es-ES"/>
              </w:rPr>
            </w:pPr>
            <w:r w:rsidRPr="005E3D50">
              <w:rPr>
                <w:sz w:val="20"/>
                <w:szCs w:val="20"/>
                <w:lang w:val="es-ES"/>
              </w:rPr>
              <w:t>48</w:t>
            </w:r>
          </w:p>
        </w:tc>
      </w:tr>
      <w:tr w:rsidR="009375BE" w:rsidRPr="005E3D50" w14:paraId="490261A7" w14:textId="77777777" w:rsidTr="009A5335">
        <w:tc>
          <w:tcPr>
            <w:tcW w:w="8359" w:type="dxa"/>
          </w:tcPr>
          <w:p w14:paraId="3D94458C" w14:textId="0B8E47A2" w:rsidR="009375BE" w:rsidRPr="005E3D50" w:rsidRDefault="00CC6897" w:rsidP="00D72D78">
            <w:pPr>
              <w:rPr>
                <w:sz w:val="20"/>
                <w:szCs w:val="20"/>
                <w:lang w:val="es-ES"/>
              </w:rPr>
            </w:pPr>
            <w:r w:rsidRPr="005E3D50">
              <w:rPr>
                <w:sz w:val="20"/>
                <w:szCs w:val="20"/>
                <w:lang w:val="es-ES"/>
              </w:rPr>
              <w:t>Reducir las tasas de introducción y establecimiento de otras especies exóticas invasoras conocidas o potenciales en al menos un 50 % para 2030</w:t>
            </w:r>
          </w:p>
        </w:tc>
        <w:tc>
          <w:tcPr>
            <w:tcW w:w="657" w:type="dxa"/>
            <w:shd w:val="clear" w:color="auto" w:fill="92D050"/>
          </w:tcPr>
          <w:p w14:paraId="7C3CF14F" w14:textId="40C2E2F2" w:rsidR="009375BE" w:rsidRPr="005E3D50" w:rsidRDefault="009A5335" w:rsidP="00D72D78">
            <w:pPr>
              <w:rPr>
                <w:sz w:val="20"/>
                <w:szCs w:val="20"/>
                <w:lang w:val="es-ES"/>
              </w:rPr>
            </w:pPr>
            <w:r w:rsidRPr="005E3D50">
              <w:rPr>
                <w:sz w:val="20"/>
                <w:szCs w:val="20"/>
                <w:lang w:val="es-ES"/>
              </w:rPr>
              <w:t>65</w:t>
            </w:r>
          </w:p>
        </w:tc>
      </w:tr>
      <w:tr w:rsidR="009375BE" w:rsidRPr="005E3D50" w14:paraId="57FFAAEB" w14:textId="77777777" w:rsidTr="00991F58">
        <w:tc>
          <w:tcPr>
            <w:tcW w:w="8359" w:type="dxa"/>
          </w:tcPr>
          <w:p w14:paraId="7B692A8B" w14:textId="107AA7D3" w:rsidR="00D57577" w:rsidRPr="005E3D50" w:rsidRDefault="00CC6897" w:rsidP="00D72D78">
            <w:pPr>
              <w:rPr>
                <w:sz w:val="20"/>
                <w:szCs w:val="20"/>
                <w:lang w:val="es-ES"/>
              </w:rPr>
            </w:pPr>
            <w:r w:rsidRPr="005E3D50">
              <w:rPr>
                <w:sz w:val="20"/>
                <w:szCs w:val="20"/>
                <w:lang w:val="es-ES"/>
              </w:rPr>
              <w:t>Erradicar o controlar l</w:t>
            </w:r>
            <w:r w:rsidR="00826361" w:rsidRPr="005E3D50">
              <w:rPr>
                <w:sz w:val="20"/>
                <w:szCs w:val="20"/>
                <w:lang w:val="es-ES"/>
              </w:rPr>
              <w:t xml:space="preserve">as especies exóticas invasoras, </w:t>
            </w:r>
            <w:r w:rsidRPr="005E3D50">
              <w:rPr>
                <w:sz w:val="20"/>
                <w:szCs w:val="20"/>
                <w:lang w:val="es-ES"/>
              </w:rPr>
              <w:t>en especial en lugares prioritarios, como las islas</w:t>
            </w:r>
          </w:p>
        </w:tc>
        <w:tc>
          <w:tcPr>
            <w:tcW w:w="657" w:type="dxa"/>
            <w:shd w:val="clear" w:color="auto" w:fill="92D050"/>
          </w:tcPr>
          <w:p w14:paraId="0C91FF66" w14:textId="1F94089F" w:rsidR="009375BE" w:rsidRPr="005E3D50" w:rsidRDefault="00991F58" w:rsidP="00D72D78">
            <w:pPr>
              <w:rPr>
                <w:sz w:val="20"/>
                <w:szCs w:val="20"/>
                <w:lang w:val="es-ES"/>
              </w:rPr>
            </w:pPr>
            <w:r w:rsidRPr="005E3D50">
              <w:rPr>
                <w:sz w:val="20"/>
                <w:szCs w:val="20"/>
                <w:lang w:val="es-ES"/>
              </w:rPr>
              <w:t>71</w:t>
            </w:r>
          </w:p>
        </w:tc>
      </w:tr>
      <w:tr w:rsidR="00113217" w:rsidRPr="005E3D50" w14:paraId="0B60F2C3" w14:textId="77777777">
        <w:tc>
          <w:tcPr>
            <w:tcW w:w="9016" w:type="dxa"/>
            <w:gridSpan w:val="2"/>
          </w:tcPr>
          <w:p w14:paraId="45CDC45B" w14:textId="77777777" w:rsidR="00C13D25" w:rsidRDefault="00C13D25" w:rsidP="00113217">
            <w:pPr>
              <w:pStyle w:val="p1"/>
              <w:keepNext/>
              <w:rPr>
                <w:rFonts w:asciiTheme="minorHAnsi" w:hAnsiTheme="minorHAnsi"/>
                <w:b/>
                <w:bCs/>
                <w:sz w:val="22"/>
                <w:szCs w:val="22"/>
                <w:lang w:val="es-ES"/>
              </w:rPr>
            </w:pPr>
          </w:p>
          <w:p w14:paraId="0A868613" w14:textId="6E5ECC3A" w:rsidR="00113217" w:rsidRPr="005E3D50" w:rsidRDefault="00113217" w:rsidP="00113217">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54 % de estos elementos en sus metas nacionales</w:t>
            </w:r>
          </w:p>
          <w:p w14:paraId="42713091" w14:textId="77777777" w:rsidR="00113217" w:rsidRPr="005E3D50" w:rsidRDefault="00113217" w:rsidP="00113217">
            <w:pPr>
              <w:ind w:firstLine="720"/>
              <w:rPr>
                <w:sz w:val="20"/>
                <w:szCs w:val="20"/>
                <w:lang w:val="es-ES"/>
              </w:rPr>
            </w:pPr>
          </w:p>
        </w:tc>
      </w:tr>
    </w:tbl>
    <w:p w14:paraId="74163761" w14:textId="77777777" w:rsidR="00447446" w:rsidRPr="005E3D50" w:rsidRDefault="00447446" w:rsidP="00101A9D">
      <w:pPr>
        <w:rPr>
          <w:lang w:val="es-ES"/>
        </w:rPr>
      </w:pPr>
    </w:p>
    <w:p w14:paraId="6FE5DC51" w14:textId="77777777" w:rsidR="00683E97" w:rsidRPr="005E3D50" w:rsidRDefault="00683E97" w:rsidP="00683E97">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60420489" w14:textId="30224DC3" w:rsidR="00683E97" w:rsidRPr="005E3D50" w:rsidRDefault="00683E97" w:rsidP="00683E97">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87" w:history="1">
        <w:r w:rsidRPr="005E3D50">
          <w:rPr>
            <w:rStyle w:val="Hyperlink"/>
            <w:rFonts w:ascii="Aptos" w:hAnsi="Aptos"/>
            <w:sz w:val="16"/>
            <w:szCs w:val="16"/>
            <w:lang w:val="es-ES"/>
          </w:rPr>
          <w:t>CBD/COP/16/INF/4</w:t>
        </w:r>
      </w:hyperlink>
      <w:r w:rsidRPr="005E3D50">
        <w:rPr>
          <w:sz w:val="16"/>
          <w:szCs w:val="16"/>
          <w:lang w:val="es-ES"/>
        </w:rPr>
        <w:t xml:space="preserve"> </w:t>
      </w:r>
      <w:r w:rsidRPr="005E3D50">
        <w:rPr>
          <w:rFonts w:ascii="Aptos" w:hAnsi="Aptos"/>
          <w:sz w:val="16"/>
          <w:szCs w:val="16"/>
          <w:lang w:val="es-ES"/>
        </w:rPr>
        <w:t>y Affinito y otros, 2025). En el documento </w:t>
      </w:r>
      <w:hyperlink r:id="rId88" w:history="1">
        <w:r w:rsidRPr="005E3D50">
          <w:rPr>
            <w:rStyle w:val="Hyperlink"/>
            <w:rFonts w:ascii="Aptos" w:hAnsi="Aptos"/>
            <w:sz w:val="16"/>
            <w:szCs w:val="16"/>
            <w:lang w:val="es-ES"/>
          </w:rPr>
          <w:t>CBD/SBI/7/INF/22</w:t>
        </w:r>
      </w:hyperlink>
      <w:r w:rsidRPr="005E3D50">
        <w:rPr>
          <w:rFonts w:ascii="Aptos" w:hAnsi="Aptos"/>
          <w:sz w:val="16"/>
          <w:szCs w:val="16"/>
          <w:lang w:val="es-ES"/>
        </w:rPr>
        <w:t xml:space="preserve"> se expone en detalle la metodología empleada para el análisis de las metas nacionales.</w:t>
      </w:r>
      <w:r w:rsidRPr="005E3D50">
        <w:rPr>
          <w:rStyle w:val="normaltextrun"/>
          <w:rFonts w:ascii="Aptos" w:hAnsi="Aptos"/>
          <w:sz w:val="16"/>
          <w:szCs w:val="16"/>
          <w:lang w:val="es-ES"/>
        </w:rPr>
        <w:t> </w:t>
      </w:r>
    </w:p>
    <w:p w14:paraId="5FB4F860" w14:textId="77777777" w:rsidR="00683E97" w:rsidRPr="005E3D50" w:rsidRDefault="00683E97" w:rsidP="00683E97">
      <w:pPr>
        <w:rPr>
          <w:lang w:val="es-ES" w:eastAsia="ja-JP"/>
        </w:rPr>
      </w:pPr>
    </w:p>
    <w:p w14:paraId="416BF189" w14:textId="30792409" w:rsidR="006D0718" w:rsidRPr="005E3D50" w:rsidRDefault="006D0718" w:rsidP="006D0718">
      <w:pPr>
        <w:rPr>
          <w:lang w:val="es-ES"/>
        </w:rPr>
      </w:pPr>
      <w:r w:rsidRPr="005E3D50">
        <w:rPr>
          <w:lang w:val="es-ES"/>
        </w:rPr>
        <w:t>La mayoría de las Partes tienen metas nacionales que, en cierta medida, abordan los elementos de la meta 6 con respecto a la erradicación o el control de las especies exóticas invasoras, en especial en lugares prioritarios como las islas (71 % de las Partes); la reducción de las tasas de introducción y establecimiento de especies exóticas invasoras conocidas o potenciales (65 %); y los impactos de las especies exóticas invasoras en la biodiversidad (59 %) y los servicios de los ecosistemas (56 %) (véase el cuadro 14). Menos de la mitad de las Partes han establecido metas nacionales relativas a la prevención de la introducción de especies exóticas invasoras prioritarias (48 %) y a la detección y la gestión de las vías de introducción de especies exóticas invasoras (40 % y 41 %, respectivamente).</w:t>
      </w:r>
    </w:p>
    <w:p w14:paraId="6A6AD543" w14:textId="316D83C1" w:rsidR="00405896" w:rsidRPr="005E3D50" w:rsidRDefault="008716F8" w:rsidP="00B70AA4">
      <w:pPr>
        <w:pStyle w:val="Heading5"/>
        <w:rPr>
          <w:lang w:val="es-ES"/>
        </w:rPr>
      </w:pPr>
      <w:r w:rsidRPr="005E3D50">
        <w:rPr>
          <w:lang w:val="es-ES"/>
        </w:rPr>
        <w:t>Menos de un tercio de las Partes (30 %) tienen metas nacionales en las que se cuantifica la reducción prevista de la tasa de introducción y establecimiento de especies exóticas invasoras. De las Partes cuyas metas nacionales tienen un componente cuantitativo, más de tres cuartos (78 %) se proponen reducir en un 50 % la tasa de introducción y establecimiento de especies exóticas invasoras, en consonancia con la tasa de reducción mundial incluida en la meta 6.</w:t>
      </w:r>
    </w:p>
    <w:p w14:paraId="67BBF9DD" w14:textId="77777777" w:rsidR="00C71545" w:rsidRPr="005E3D50" w:rsidRDefault="00C71545" w:rsidP="00C71545">
      <w:pPr>
        <w:rPr>
          <w:lang w:val="es-ES"/>
        </w:rPr>
      </w:pPr>
    </w:p>
    <w:p w14:paraId="2E981F40" w14:textId="6770B8B5" w:rsidR="00B70AA4" w:rsidRPr="005E3D50" w:rsidRDefault="00B70AA4" w:rsidP="00B70AA4">
      <w:pPr>
        <w:pStyle w:val="Heading5"/>
        <w:rPr>
          <w:lang w:val="es-ES"/>
        </w:rPr>
      </w:pPr>
      <w:bookmarkStart w:id="224" w:name="_Toc235821118"/>
      <w:r w:rsidRPr="005E3D50">
        <w:rPr>
          <w:lang w:val="es-ES"/>
        </w:rPr>
        <w:lastRenderedPageBreak/>
        <w:t>Indicadores de progresos</w:t>
      </w:r>
      <w:bookmarkEnd w:id="224"/>
    </w:p>
    <w:p w14:paraId="40AB04BF" w14:textId="77777777" w:rsidR="0084748F" w:rsidRPr="005E3D50" w:rsidRDefault="0084748F" w:rsidP="000927E9">
      <w:pPr>
        <w:pStyle w:val="Caption"/>
        <w:rPr>
          <w:lang w:val="es-ES"/>
        </w:rPr>
      </w:pPr>
    </w:p>
    <w:p w14:paraId="733F6187" w14:textId="43217374" w:rsidR="0084748F" w:rsidRPr="005E3D50" w:rsidRDefault="000927E9" w:rsidP="000927E9">
      <w:pPr>
        <w:pStyle w:val="Caption"/>
        <w:rPr>
          <w:i w:val="0"/>
          <w:iCs w:val="0"/>
          <w:sz w:val="20"/>
          <w:szCs w:val="20"/>
          <w:lang w:val="es-ES"/>
        </w:rPr>
      </w:pPr>
      <w:r w:rsidRPr="005E3D50">
        <w:rPr>
          <w:i w:val="0"/>
          <w:sz w:val="20"/>
          <w:szCs w:val="20"/>
          <w:lang w:val="es-ES"/>
        </w:rPr>
        <w:t>Cuadro 15</w:t>
      </w:r>
      <w:r w:rsidRPr="005E3D50">
        <w:rPr>
          <w:i w:val="0"/>
          <w:iCs w:val="0"/>
          <w:sz w:val="20"/>
          <w:szCs w:val="20"/>
          <w:lang w:val="es-ES"/>
        </w:rPr>
        <w:t xml:space="preserve"> </w:t>
      </w:r>
    </w:p>
    <w:p w14:paraId="125A5262" w14:textId="5318FB4A" w:rsidR="009C6941" w:rsidRPr="005E3D50" w:rsidRDefault="000927E9" w:rsidP="000927E9">
      <w:pPr>
        <w:pStyle w:val="Caption"/>
        <w:rPr>
          <w:rFonts w:ascii="Aptos" w:hAnsi="Aptos"/>
          <w:b/>
          <w:i w:val="0"/>
          <w:sz w:val="20"/>
          <w:szCs w:val="20"/>
          <w:lang w:val="es-ES"/>
        </w:rPr>
      </w:pPr>
      <w:r w:rsidRPr="005E3D50">
        <w:rPr>
          <w:b/>
          <w:bCs/>
          <w:i w:val="0"/>
          <w:iCs w:val="0"/>
          <w:sz w:val="20"/>
          <w:szCs w:val="20"/>
          <w:lang w:val="es-ES"/>
        </w:rPr>
        <w:t xml:space="preserve">Tablero de puntuación para indicadores de la meta 6 del Marco </w:t>
      </w:r>
    </w:p>
    <w:tbl>
      <w:tblPr>
        <w:tblW w:w="9776" w:type="dxa"/>
        <w:tblLook w:val="04A0" w:firstRow="1" w:lastRow="0" w:firstColumn="1" w:lastColumn="0" w:noHBand="0" w:noVBand="1"/>
      </w:tblPr>
      <w:tblGrid>
        <w:gridCol w:w="3240"/>
        <w:gridCol w:w="2425"/>
        <w:gridCol w:w="720"/>
        <w:gridCol w:w="2824"/>
        <w:gridCol w:w="567"/>
      </w:tblGrid>
      <w:tr w:rsidR="009C6941" w:rsidRPr="005E3D50" w14:paraId="579E53AA" w14:textId="77777777" w:rsidTr="00E335EE">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E1729A2"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45" w:type="dxa"/>
            <w:gridSpan w:val="2"/>
            <w:tcBorders>
              <w:top w:val="single" w:sz="4" w:space="0" w:color="auto"/>
              <w:left w:val="nil"/>
              <w:bottom w:val="single" w:sz="4" w:space="0" w:color="auto"/>
              <w:right w:val="single" w:sz="4" w:space="0" w:color="auto"/>
            </w:tcBorders>
            <w:vAlign w:val="center"/>
          </w:tcPr>
          <w:p w14:paraId="49A4EFE3"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391" w:type="dxa"/>
            <w:gridSpan w:val="2"/>
            <w:tcBorders>
              <w:top w:val="single" w:sz="4" w:space="0" w:color="auto"/>
              <w:left w:val="nil"/>
              <w:bottom w:val="single" w:sz="4" w:space="0" w:color="auto"/>
              <w:right w:val="single" w:sz="4" w:space="0" w:color="auto"/>
            </w:tcBorders>
            <w:vAlign w:val="center"/>
          </w:tcPr>
          <w:p w14:paraId="5793AE9B"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Resultados del indicador</w:t>
            </w:r>
          </w:p>
        </w:tc>
      </w:tr>
      <w:tr w:rsidR="009C6941" w:rsidRPr="005E3D50" w14:paraId="4894C5C2" w14:textId="77777777" w:rsidTr="00E335EE">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FC750D" w14:textId="2C2FD7F7" w:rsidR="009C6941" w:rsidRPr="005E3D50" w:rsidRDefault="006F3005">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de cabecera 6.1: tasa de establecimiento de especies exóticas invasoras</w:t>
            </w:r>
          </w:p>
        </w:tc>
        <w:tc>
          <w:tcPr>
            <w:tcW w:w="2425" w:type="dxa"/>
            <w:tcBorders>
              <w:top w:val="single" w:sz="4" w:space="0" w:color="auto"/>
              <w:left w:val="nil"/>
              <w:bottom w:val="single" w:sz="4" w:space="0" w:color="auto"/>
              <w:right w:val="single" w:sz="4" w:space="0" w:color="auto"/>
            </w:tcBorders>
            <w:vAlign w:val="center"/>
            <w:hideMark/>
          </w:tcPr>
          <w:p w14:paraId="43235AD3" w14:textId="6E6271E2" w:rsidR="009C6941" w:rsidRPr="005E3D50" w:rsidRDefault="009C694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21 % de las Partes</w:t>
            </w:r>
          </w:p>
        </w:tc>
        <w:tc>
          <w:tcPr>
            <w:tcW w:w="720" w:type="dxa"/>
            <w:tcBorders>
              <w:top w:val="single" w:sz="4" w:space="0" w:color="auto"/>
              <w:left w:val="nil"/>
              <w:bottom w:val="single" w:sz="4" w:space="0" w:color="auto"/>
              <w:right w:val="single" w:sz="4" w:space="0" w:color="auto"/>
            </w:tcBorders>
            <w:shd w:val="clear" w:color="000000" w:fill="C00000"/>
            <w:vAlign w:val="center"/>
            <w:hideMark/>
          </w:tcPr>
          <w:p w14:paraId="3E602818"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24" w:type="dxa"/>
            <w:tcBorders>
              <w:top w:val="single" w:sz="4" w:space="0" w:color="auto"/>
              <w:left w:val="nil"/>
              <w:bottom w:val="single" w:sz="4" w:space="0" w:color="auto"/>
              <w:right w:val="single" w:sz="4" w:space="0" w:color="auto"/>
            </w:tcBorders>
            <w:vAlign w:val="center"/>
            <w:hideMark/>
          </w:tcPr>
          <w:p w14:paraId="3E66AD81" w14:textId="77777777" w:rsidR="000A7FC1" w:rsidRPr="005E3D50" w:rsidRDefault="000A7FC1" w:rsidP="000A7FC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En general, la mitad de las Partes que presentaron informes tienen una tasa de 2,5 especies por año o más </w:t>
            </w:r>
          </w:p>
          <w:p w14:paraId="2FE9B34E" w14:textId="041AF9B2" w:rsidR="009C6941" w:rsidRPr="005E3D50" w:rsidRDefault="00393200">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No se observa una tendencia general</w:t>
            </w:r>
          </w:p>
        </w:tc>
        <w:tc>
          <w:tcPr>
            <w:tcW w:w="567" w:type="dxa"/>
            <w:tcBorders>
              <w:top w:val="single" w:sz="4" w:space="0" w:color="auto"/>
              <w:left w:val="nil"/>
              <w:bottom w:val="single" w:sz="4" w:space="0" w:color="auto"/>
              <w:right w:val="single" w:sz="4" w:space="0" w:color="auto"/>
            </w:tcBorders>
            <w:shd w:val="clear" w:color="000000" w:fill="FFC000"/>
            <w:vAlign w:val="bottom"/>
            <w:hideMark/>
          </w:tcPr>
          <w:p w14:paraId="33907993" w14:textId="77777777" w:rsidR="009C6941" w:rsidRPr="005E3D50" w:rsidRDefault="009C6941">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r w:rsidR="009C6941" w:rsidRPr="005E3D50" w14:paraId="20CF3252" w14:textId="77777777" w:rsidTr="00E335EE">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E7376A6" w14:textId="6C534A6C" w:rsidR="009C6941" w:rsidRPr="005E3D50" w:rsidRDefault="00D52633" w:rsidP="00A92C34">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binario 6.b: número de países que adoptan reglamentaciones, procesos y medidas pertinentes para</w:t>
            </w:r>
            <w:r w:rsidRPr="005E3D50">
              <w:rPr>
                <w:rFonts w:ascii="Aptos" w:hAnsi="Aptos"/>
                <w:color w:val="000000"/>
                <w:sz w:val="20"/>
                <w:szCs w:val="20"/>
                <w:lang w:val="es-ES"/>
              </w:rPr>
              <w:br/>
              <w:t>reducir el impacto de las especies exóticas invasoras</w:t>
            </w:r>
          </w:p>
        </w:tc>
        <w:tc>
          <w:tcPr>
            <w:tcW w:w="2425" w:type="dxa"/>
            <w:tcBorders>
              <w:top w:val="nil"/>
              <w:left w:val="nil"/>
              <w:bottom w:val="single" w:sz="4" w:space="0" w:color="auto"/>
              <w:right w:val="single" w:sz="4" w:space="0" w:color="auto"/>
            </w:tcBorders>
            <w:vAlign w:val="center"/>
            <w:hideMark/>
          </w:tcPr>
          <w:p w14:paraId="7E9B899B"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127 </w:t>
            </w:r>
            <w:proofErr w:type="gramStart"/>
            <w:r w:rsidRPr="005E3D50">
              <w:rPr>
                <w:rFonts w:ascii="Aptos" w:hAnsi="Aptos"/>
                <w:color w:val="000000"/>
                <w:sz w:val="20"/>
                <w:szCs w:val="20"/>
                <w:lang w:val="es-ES"/>
              </w:rPr>
              <w:t>Partes</w:t>
            </w:r>
            <w:proofErr w:type="gramEnd"/>
          </w:p>
        </w:tc>
        <w:tc>
          <w:tcPr>
            <w:tcW w:w="720" w:type="dxa"/>
            <w:tcBorders>
              <w:top w:val="nil"/>
              <w:left w:val="nil"/>
              <w:bottom w:val="single" w:sz="4" w:space="0" w:color="auto"/>
              <w:right w:val="single" w:sz="4" w:space="0" w:color="auto"/>
            </w:tcBorders>
            <w:vAlign w:val="center"/>
            <w:hideMark/>
          </w:tcPr>
          <w:p w14:paraId="2FFAEE34" w14:textId="58B8A5C1" w:rsidR="009C6941" w:rsidRPr="005E3D50" w:rsidRDefault="006E3B9C">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n. </w:t>
            </w:r>
            <w:proofErr w:type="spellStart"/>
            <w:proofErr w:type="gramStart"/>
            <w:r w:rsidRPr="005E3D50">
              <w:rPr>
                <w:rFonts w:ascii="Aptos" w:hAnsi="Aptos"/>
                <w:color w:val="000000"/>
                <w:sz w:val="20"/>
                <w:szCs w:val="20"/>
                <w:lang w:val="es-ES"/>
              </w:rPr>
              <w:t>a.</w:t>
            </w:r>
            <w:r w:rsidRPr="005E3D50">
              <w:rPr>
                <w:rFonts w:ascii="Aptos" w:hAnsi="Aptos"/>
                <w:i/>
                <w:iCs/>
                <w:color w:val="000000"/>
                <w:sz w:val="20"/>
                <w:szCs w:val="20"/>
                <w:vertAlign w:val="superscript"/>
                <w:lang w:val="es-ES"/>
              </w:rPr>
              <w:t>a</w:t>
            </w:r>
            <w:proofErr w:type="spellEnd"/>
            <w:proofErr w:type="gramEnd"/>
          </w:p>
        </w:tc>
        <w:tc>
          <w:tcPr>
            <w:tcW w:w="2824" w:type="dxa"/>
            <w:tcBorders>
              <w:top w:val="nil"/>
              <w:left w:val="nil"/>
              <w:bottom w:val="single" w:sz="4" w:space="0" w:color="auto"/>
              <w:right w:val="single" w:sz="4" w:space="0" w:color="auto"/>
            </w:tcBorders>
            <w:vAlign w:val="center"/>
            <w:hideMark/>
          </w:tcPr>
          <w:p w14:paraId="48911423" w14:textId="681B4C60"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El 77 % de las Partes tuvieron una puntuación alta (puntuación de 4 o 5)</w:t>
            </w:r>
          </w:p>
        </w:tc>
        <w:tc>
          <w:tcPr>
            <w:tcW w:w="567" w:type="dxa"/>
            <w:tcBorders>
              <w:top w:val="nil"/>
              <w:left w:val="nil"/>
              <w:bottom w:val="single" w:sz="4" w:space="0" w:color="auto"/>
              <w:right w:val="single" w:sz="4" w:space="0" w:color="auto"/>
            </w:tcBorders>
            <w:shd w:val="clear" w:color="000000" w:fill="92D050"/>
            <w:vAlign w:val="bottom"/>
            <w:hideMark/>
          </w:tcPr>
          <w:p w14:paraId="00BE54FE" w14:textId="77777777" w:rsidR="009C6941" w:rsidRPr="005E3D50" w:rsidRDefault="009C6941">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r w:rsidR="009C6941" w:rsidRPr="005E3D50" w14:paraId="3333A9F9" w14:textId="77777777" w:rsidTr="00E335EE">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47CA4769"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2425" w:type="dxa"/>
            <w:tcBorders>
              <w:top w:val="nil"/>
              <w:left w:val="nil"/>
              <w:bottom w:val="single" w:sz="4" w:space="0" w:color="auto"/>
              <w:right w:val="single" w:sz="4" w:space="0" w:color="auto"/>
            </w:tcBorders>
            <w:vAlign w:val="center"/>
            <w:hideMark/>
          </w:tcPr>
          <w:p w14:paraId="36226166" w14:textId="07330BD8" w:rsidR="009C6941" w:rsidRPr="005E3D50" w:rsidRDefault="009C694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35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27 %</w:t>
            </w:r>
          </w:p>
        </w:tc>
        <w:tc>
          <w:tcPr>
            <w:tcW w:w="720" w:type="dxa"/>
            <w:tcBorders>
              <w:top w:val="nil"/>
              <w:left w:val="nil"/>
              <w:bottom w:val="single" w:sz="4" w:space="0" w:color="auto"/>
              <w:right w:val="single" w:sz="4" w:space="0" w:color="auto"/>
            </w:tcBorders>
            <w:shd w:val="clear" w:color="000000" w:fill="FFC000"/>
            <w:vAlign w:val="center"/>
            <w:hideMark/>
          </w:tcPr>
          <w:p w14:paraId="5FFF448B"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24" w:type="dxa"/>
            <w:tcBorders>
              <w:top w:val="nil"/>
              <w:left w:val="nil"/>
              <w:bottom w:val="single" w:sz="4" w:space="0" w:color="auto"/>
              <w:right w:val="single" w:sz="4" w:space="0" w:color="auto"/>
            </w:tcBorders>
            <w:vAlign w:val="center"/>
            <w:hideMark/>
          </w:tcPr>
          <w:p w14:paraId="7457B4C3" w14:textId="77777777" w:rsidR="00006895" w:rsidRPr="005E3D50" w:rsidRDefault="00006895" w:rsidP="00006895">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25 % registran tendencias positivas</w:t>
            </w:r>
          </w:p>
          <w:p w14:paraId="0998EE96" w14:textId="63BE8909"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13 % registran tendencias negativas</w:t>
            </w:r>
          </w:p>
        </w:tc>
        <w:tc>
          <w:tcPr>
            <w:tcW w:w="567" w:type="dxa"/>
            <w:tcBorders>
              <w:top w:val="nil"/>
              <w:left w:val="nil"/>
              <w:bottom w:val="single" w:sz="4" w:space="0" w:color="auto"/>
              <w:right w:val="single" w:sz="4" w:space="0" w:color="auto"/>
            </w:tcBorders>
            <w:shd w:val="clear" w:color="000000" w:fill="FFC000"/>
            <w:vAlign w:val="bottom"/>
            <w:hideMark/>
          </w:tcPr>
          <w:p w14:paraId="4B05A910" w14:textId="77777777" w:rsidR="009C6941" w:rsidRPr="005E3D50" w:rsidRDefault="009C6941">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r w:rsidR="009C6941" w:rsidRPr="005E3D50" w14:paraId="15F495F8"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00C8328" w14:textId="77777777" w:rsidR="009C6941" w:rsidRPr="005E3D50" w:rsidRDefault="009C694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sz w:val="20"/>
                <w:szCs w:val="20"/>
                <w:lang w:val="es-ES"/>
              </w:rPr>
              <w:t xml:space="preserve">Observaciones </w:t>
            </w:r>
          </w:p>
        </w:tc>
        <w:tc>
          <w:tcPr>
            <w:tcW w:w="6536" w:type="dxa"/>
            <w:gridSpan w:val="4"/>
            <w:tcBorders>
              <w:top w:val="nil"/>
              <w:left w:val="nil"/>
              <w:bottom w:val="single" w:sz="4" w:space="0" w:color="auto"/>
              <w:right w:val="single" w:sz="4" w:space="0" w:color="auto"/>
            </w:tcBorders>
          </w:tcPr>
          <w:p w14:paraId="5B107D3B" w14:textId="77777777" w:rsidR="009C6941" w:rsidRPr="005E3D50" w:rsidRDefault="009C6941">
            <w:pPr>
              <w:pStyle w:val="p1"/>
              <w:rPr>
                <w:rFonts w:ascii="Aptos" w:eastAsiaTheme="minorEastAsia" w:hAnsi="Aptos" w:cstheme="minorBidi"/>
                <w:sz w:val="20"/>
                <w:szCs w:val="20"/>
                <w:lang w:val="es-ES"/>
              </w:rPr>
            </w:pPr>
            <w:r w:rsidRPr="005E3D50">
              <w:rPr>
                <w:rFonts w:ascii="Aptos" w:hAnsi="Aptos"/>
                <w:sz w:val="20"/>
                <w:szCs w:val="20"/>
                <w:lang w:val="es-ES"/>
              </w:rPr>
              <w:t>La escasa capacidad de seguimiento de las especies exóticas invasoras significa que las tasas de detección también son bajas.</w:t>
            </w:r>
          </w:p>
          <w:p w14:paraId="22A12943" w14:textId="77777777" w:rsidR="009C6941" w:rsidRPr="005E3D50" w:rsidRDefault="009C6941">
            <w:pPr>
              <w:pStyle w:val="p1"/>
              <w:rPr>
                <w:rFonts w:ascii="Aptos" w:eastAsiaTheme="minorEastAsia" w:hAnsi="Aptos" w:cstheme="minorBidi"/>
                <w:sz w:val="20"/>
                <w:szCs w:val="20"/>
                <w:lang w:val="es-ES"/>
              </w:rPr>
            </w:pPr>
          </w:p>
          <w:p w14:paraId="1BB8A73D" w14:textId="554E1E67" w:rsidR="009C6941" w:rsidRPr="005E3D50" w:rsidRDefault="009C6941">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sz w:val="20"/>
                <w:szCs w:val="20"/>
                <w:lang w:val="es-ES"/>
              </w:rPr>
              <w:t>Las Partes están, en gran medida, estableciendo valores de referencia para las tasas de establecimiento.</w:t>
            </w:r>
          </w:p>
        </w:tc>
      </w:tr>
    </w:tbl>
    <w:p w14:paraId="632A1785" w14:textId="77777777" w:rsidR="009C6941" w:rsidRPr="005E3D50" w:rsidRDefault="009C6941" w:rsidP="009C6941">
      <w:pPr>
        <w:rPr>
          <w:rFonts w:ascii="Aptos" w:hAnsi="Aptos"/>
          <w:lang w:val="es-ES"/>
        </w:rPr>
      </w:pPr>
    </w:p>
    <w:p w14:paraId="1BFD9F2C" w14:textId="6A388965" w:rsidR="00501D3A" w:rsidRPr="005E3D50" w:rsidRDefault="00501D3A" w:rsidP="00501D3A">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6BD01487" w14:textId="77777777" w:rsidR="00501D3A" w:rsidRPr="005E3D50" w:rsidRDefault="00501D3A" w:rsidP="00501D3A">
      <w:pPr>
        <w:pStyle w:val="FootnoteText"/>
        <w:rPr>
          <w:sz w:val="16"/>
          <w:szCs w:val="16"/>
          <w:lang w:val="es-ES"/>
        </w:rPr>
      </w:pPr>
      <w:proofErr w:type="gramStart"/>
      <w:r w:rsidRPr="005E3D50">
        <w:rPr>
          <w:vertAlign w:val="superscript"/>
          <w:lang w:val="es-ES"/>
        </w:rPr>
        <w:t>a</w:t>
      </w:r>
      <w:proofErr w:type="gramEnd"/>
      <w:r w:rsidRPr="005E3D50">
        <w:rPr>
          <w:sz w:val="16"/>
          <w:szCs w:val="16"/>
          <w:lang w:val="es-ES"/>
        </w:rPr>
        <w:t xml:space="preserve"> 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28B06C11" w14:textId="77777777" w:rsidR="00501D3A" w:rsidRPr="005E3D50" w:rsidRDefault="00501D3A" w:rsidP="00501D3A">
      <w:pPr>
        <w:rPr>
          <w:rFonts w:ascii="Aptos" w:hAnsi="Aptos"/>
          <w:strike/>
          <w:lang w:val="es-ES"/>
        </w:rPr>
      </w:pPr>
    </w:p>
    <w:p w14:paraId="04BB2EC3" w14:textId="77777777" w:rsidR="00501D3A" w:rsidRPr="005E3D50" w:rsidRDefault="00501D3A" w:rsidP="009C6941">
      <w:pPr>
        <w:rPr>
          <w:rFonts w:ascii="Aptos" w:hAnsi="Aptos"/>
          <w:lang w:val="es-ES"/>
        </w:rPr>
      </w:pPr>
    </w:p>
    <w:p w14:paraId="4A942750" w14:textId="097C6C87" w:rsidR="009F35CE" w:rsidRPr="005E3D50" w:rsidRDefault="009C6941" w:rsidP="006B3F48">
      <w:pPr>
        <w:rPr>
          <w:rFonts w:ascii="Aptos" w:hAnsi="Aptos"/>
          <w:lang w:val="es-ES"/>
        </w:rPr>
      </w:pPr>
      <w:r w:rsidRPr="005E3D50">
        <w:rPr>
          <w:rFonts w:ascii="Aptos" w:hAnsi="Aptos"/>
          <w:lang w:val="es-ES"/>
        </w:rPr>
        <w:t>Muchas Partes señalan desafíos de capacidad y técnicos relacionados con el seguimiento de las especies exóticas invasoras, y afirman que muchas especies pasan inadvertidas durante años antes de que los impactos sean evidentes. Por lo tanto, resulta difícil detectar una reducción cuantitativa específica de la tasa de introducción y establecimiento de especies exóticas invasoras como se pide en la meta. Los datos proporcionados con respecto al indicador de cabecera 6.1 (tasa de establecimiento de especies exóticas invasoras), presentados por el 21 % de las Partes cuyos informes nacionales están disponibles para el análisis (véase el cuadro 15), muestran un amplio intervalo de tasas y ninguna tendencia general entre 2020 (mediana: 2,37, mínimo: 0,45 y máximo: 40 especies por año) y 2025 (mediana: 2,39, mínimo: 0,45 y máximo: 40 especies por año) (</w:t>
      </w:r>
      <w:r w:rsidRPr="005E3D50">
        <w:rPr>
          <w:lang w:val="es-ES"/>
        </w:rPr>
        <w:t>véase la figura 28</w:t>
      </w:r>
      <w:r w:rsidRPr="005E3D50">
        <w:rPr>
          <w:rFonts w:ascii="Aptos" w:hAnsi="Aptos"/>
          <w:lang w:val="es-ES"/>
        </w:rPr>
        <w:t xml:space="preserve">). </w:t>
      </w:r>
    </w:p>
    <w:p w14:paraId="694FDB2B" w14:textId="132800A4" w:rsidR="007A24C7" w:rsidRPr="005E3D50" w:rsidRDefault="009F35CE" w:rsidP="007A24C7">
      <w:pPr>
        <w:rPr>
          <w:rFonts w:ascii="Aptos" w:hAnsi="Aptos"/>
          <w:lang w:val="es-ES"/>
        </w:rPr>
      </w:pPr>
      <w:r w:rsidRPr="005E3D50">
        <w:rPr>
          <w:rFonts w:ascii="Aptos" w:hAnsi="Aptos"/>
          <w:lang w:val="es-ES"/>
        </w:rPr>
        <w:t xml:space="preserve">A través del indicador binario de la meta 6 (véase la figura 29), la mayoría de las Partes han señalado progresos en la implementación de medidas para gestionar las especies exóticas invasoras. Estas medidas se han centrado en gran medida en reducir la tasa de introducción y los impactos de las especies exóticas invasoras, mientras que se señala que las medidas para erradicar y controlar las especies exóticas invasoras se han implementado parcialmente. Estas diferencias se reflejan en los tipos de indicadores nacionales presentados por las Partes, que </w:t>
      </w:r>
      <w:proofErr w:type="gramStart"/>
      <w:r w:rsidRPr="005E3D50">
        <w:rPr>
          <w:rFonts w:ascii="Aptos" w:hAnsi="Aptos"/>
          <w:lang w:val="es-ES"/>
        </w:rPr>
        <w:t>se centran principalmente en</w:t>
      </w:r>
      <w:proofErr w:type="gramEnd"/>
      <w:r w:rsidRPr="005E3D50">
        <w:rPr>
          <w:rFonts w:ascii="Aptos" w:hAnsi="Aptos"/>
          <w:lang w:val="es-ES"/>
        </w:rPr>
        <w:t xml:space="preserve"> reducir las tasas de introducción y establecimiento. </w:t>
      </w:r>
      <w:r w:rsidRPr="005E3D50">
        <w:rPr>
          <w:lang w:val="es-ES"/>
        </w:rPr>
        <w:t>Una cuarta parte de estos indicadores registran tendencias positivas, mientras que una quinta parte registran tendencias negativas (véase la figura 30).</w:t>
      </w:r>
      <w:r w:rsidRPr="005E3D50">
        <w:rPr>
          <w:rFonts w:ascii="Aptos" w:hAnsi="Aptos"/>
          <w:lang w:val="es-ES"/>
        </w:rPr>
        <w:t xml:space="preserve"> Aunque las Partes han informado sobre importantes medidas adoptadas para implementar la meta 6, aún no es posible discernir, sobre la base de los datos presentados, los efectos a largo plazo de estos esfuerzos en la diversidad biológica y los servicios de los ecosistemas.</w:t>
      </w:r>
    </w:p>
    <w:p w14:paraId="60D52DA5" w14:textId="3797FE34" w:rsidR="009C6941" w:rsidRPr="005E3D50" w:rsidRDefault="009C6941" w:rsidP="009C6941">
      <w:pPr>
        <w:rPr>
          <w:rFonts w:ascii="Aptos" w:hAnsi="Aptos"/>
          <w:lang w:val="es-ES"/>
        </w:rPr>
      </w:pPr>
    </w:p>
    <w:p w14:paraId="11E80ADB" w14:textId="01BFB2E9" w:rsidR="006D2CC0" w:rsidRPr="005E3D50" w:rsidRDefault="006D2CC0" w:rsidP="006D2CC0">
      <w:pPr>
        <w:pStyle w:val="Caption"/>
        <w:rPr>
          <w:i w:val="0"/>
          <w:iCs w:val="0"/>
          <w:sz w:val="20"/>
          <w:szCs w:val="20"/>
          <w:lang w:val="es-ES"/>
        </w:rPr>
      </w:pPr>
      <w:r w:rsidRPr="005E3D50">
        <w:rPr>
          <w:i w:val="0"/>
          <w:iCs w:val="0"/>
          <w:sz w:val="20"/>
          <w:szCs w:val="20"/>
          <w:lang w:val="es-ES"/>
        </w:rPr>
        <w:t xml:space="preserve">Figura 28 </w:t>
      </w:r>
    </w:p>
    <w:p w14:paraId="0DF52AEF" w14:textId="77777777" w:rsidR="006D2CC0" w:rsidRPr="005E3D50" w:rsidRDefault="006D2CC0" w:rsidP="006D2CC0">
      <w:pPr>
        <w:pStyle w:val="Caption"/>
        <w:rPr>
          <w:rFonts w:ascii="Aptos" w:hAnsi="Aptos"/>
          <w:b/>
          <w:bCs/>
          <w:i w:val="0"/>
          <w:iCs w:val="0"/>
          <w:sz w:val="20"/>
          <w:szCs w:val="20"/>
          <w:lang w:val="es-ES"/>
        </w:rPr>
      </w:pPr>
      <w:r w:rsidRPr="005E3D50">
        <w:rPr>
          <w:b/>
          <w:bCs/>
          <w:i w:val="0"/>
          <w:iCs w:val="0"/>
          <w:sz w:val="20"/>
          <w:szCs w:val="20"/>
          <w:lang w:val="es-ES"/>
        </w:rPr>
        <w:t>Indicador de cabecera 6:</w:t>
      </w:r>
      <w:r w:rsidRPr="005E3D50">
        <w:rPr>
          <w:rFonts w:ascii="Arial" w:hAnsi="Arial"/>
          <w:b/>
          <w:bCs/>
          <w:i w:val="0"/>
          <w:iCs w:val="0"/>
          <w:sz w:val="20"/>
          <w:szCs w:val="20"/>
          <w:lang w:val="es-ES"/>
        </w:rPr>
        <w:t> </w:t>
      </w:r>
      <w:r w:rsidRPr="005E3D50">
        <w:rPr>
          <w:rFonts w:ascii="Aptos" w:hAnsi="Aptos"/>
          <w:b/>
          <w:bCs/>
          <w:i w:val="0"/>
          <w:iCs w:val="0"/>
          <w:sz w:val="20"/>
          <w:szCs w:val="20"/>
          <w:lang w:val="es-ES"/>
        </w:rPr>
        <w:t>tasa de establecimiento de especies exóticas invasoras</w:t>
      </w:r>
    </w:p>
    <w:p w14:paraId="352AE329" w14:textId="183B7B78" w:rsidR="00F034CD" w:rsidRPr="005E3D50" w:rsidRDefault="006D2CC0" w:rsidP="009C6941">
      <w:pPr>
        <w:rPr>
          <w:rFonts w:ascii="Aptos" w:hAnsi="Aptos"/>
          <w:lang w:val="es-ES"/>
        </w:rPr>
      </w:pPr>
      <w:r w:rsidRPr="005E3D50">
        <w:rPr>
          <w:rFonts w:ascii="Aptos" w:hAnsi="Aptos"/>
          <w:lang w:val="es-ES"/>
        </w:rPr>
        <w:lastRenderedPageBreak/>
        <w:t> </w:t>
      </w:r>
      <w:r w:rsidRPr="005E3D50">
        <w:rPr>
          <w:noProof/>
          <w:lang w:val="en-US"/>
        </w:rPr>
        <w:drawing>
          <wp:inline distT="0" distB="0" distL="0" distR="0" wp14:anchorId="55DB8F2F" wp14:editId="30EE9978">
            <wp:extent cx="3913974" cy="2925445"/>
            <wp:effectExtent l="0" t="0" r="0" b="0"/>
            <wp:docPr id="1941026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933433" cy="2939990"/>
                    </a:xfrm>
                    <a:prstGeom prst="rect">
                      <a:avLst/>
                    </a:prstGeom>
                    <a:noFill/>
                    <a:ln>
                      <a:noFill/>
                    </a:ln>
                  </pic:spPr>
                </pic:pic>
              </a:graphicData>
            </a:graphic>
          </wp:inline>
        </w:drawing>
      </w:r>
      <w:r w:rsidRPr="005E3D50">
        <w:rPr>
          <w:rFonts w:ascii="Aptos" w:hAnsi="Aptos"/>
          <w:lang w:val="es-ES"/>
        </w:rPr>
        <w:t> </w:t>
      </w:r>
    </w:p>
    <w:p w14:paraId="2EF34A7F" w14:textId="378C2C67" w:rsidR="004C7810" w:rsidRPr="005E3D50" w:rsidRDefault="004C7810" w:rsidP="004C7810">
      <w:pPr>
        <w:pStyle w:val="Caption"/>
        <w:rPr>
          <w:rFonts w:ascii="Arial" w:hAnsi="Arial" w:cs="Arial"/>
          <w:i w:val="0"/>
          <w:iCs w:val="0"/>
          <w:lang w:val="es-ES"/>
        </w:rPr>
      </w:pPr>
      <w:r w:rsidRPr="005E3D50">
        <w:rPr>
          <w:rFonts w:ascii="Aptos" w:hAnsi="Aptos"/>
          <w:lang w:val="es-ES"/>
        </w:rPr>
        <w:t>Nota:</w:t>
      </w:r>
      <w:r w:rsidRPr="005E3D50">
        <w:rPr>
          <w:rFonts w:ascii="Aptos" w:hAnsi="Aptos"/>
          <w:i w:val="0"/>
          <w:iCs w:val="0"/>
          <w:lang w:val="es-ES"/>
        </w:rPr>
        <w:t xml:space="preserve"> Los valores del indicador muestran la mediana y el intervalo intercuartílico de todas las comunicaciones de las Partes para cada año. El gráfico de barras de la derecha muestra la distribución de las Partes que presentan datos por región.</w:t>
      </w:r>
      <w:r w:rsidRPr="005E3D50">
        <w:rPr>
          <w:rFonts w:ascii="Arial" w:hAnsi="Arial"/>
          <w:i w:val="0"/>
          <w:iCs w:val="0"/>
          <w:lang w:val="es-ES"/>
        </w:rPr>
        <w:t> </w:t>
      </w:r>
      <w:r w:rsidRPr="005E3D50">
        <w:rPr>
          <w:rFonts w:ascii="Aptos" w:hAnsi="Aptos"/>
          <w:i w:val="0"/>
          <w:iCs w:val="0"/>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r w:rsidRPr="005E3D50">
        <w:rPr>
          <w:rFonts w:ascii="Arial" w:hAnsi="Arial"/>
          <w:i w:val="0"/>
          <w:iCs w:val="0"/>
          <w:lang w:val="es-ES"/>
        </w:rPr>
        <w:t> </w:t>
      </w:r>
    </w:p>
    <w:tbl>
      <w:tblPr>
        <w:tblStyle w:val="TableGrid"/>
        <w:tblW w:w="9181" w:type="dxa"/>
        <w:tblLook w:val="04A0" w:firstRow="1" w:lastRow="0" w:firstColumn="1" w:lastColumn="0" w:noHBand="0" w:noVBand="1"/>
      </w:tblPr>
      <w:tblGrid>
        <w:gridCol w:w="4559"/>
        <w:gridCol w:w="4622"/>
      </w:tblGrid>
      <w:tr w:rsidR="008D54C6" w:rsidRPr="008D54C6" w14:paraId="52AD1F2D" w14:textId="77777777" w:rsidTr="008D54C6">
        <w:tc>
          <w:tcPr>
            <w:tcW w:w="9181" w:type="dxa"/>
            <w:gridSpan w:val="2"/>
          </w:tcPr>
          <w:p w14:paraId="584B0FE1" w14:textId="22AE71C0" w:rsidR="008D54C6" w:rsidRPr="002B1D2B" w:rsidRDefault="007533CC" w:rsidP="008D54C6">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28</w:t>
            </w:r>
          </w:p>
        </w:tc>
      </w:tr>
      <w:tr w:rsidR="008D54C6" w:rsidRPr="008D54C6" w14:paraId="7A34008E" w14:textId="77777777" w:rsidTr="008D54C6">
        <w:tc>
          <w:tcPr>
            <w:tcW w:w="4559" w:type="dxa"/>
          </w:tcPr>
          <w:p w14:paraId="7056FAD2" w14:textId="77777777" w:rsidR="008D54C6" w:rsidRPr="002B1D2B" w:rsidRDefault="008D54C6" w:rsidP="008D54C6">
            <w:pPr>
              <w:rPr>
                <w:rFonts w:ascii="Aptos" w:hAnsi="Aptos"/>
                <w:sz w:val="18"/>
                <w:szCs w:val="18"/>
                <w:lang w:val="es-ES"/>
              </w:rPr>
            </w:pPr>
            <w:r w:rsidRPr="002B1D2B">
              <w:rPr>
                <w:rFonts w:ascii="Aptos" w:hAnsi="Aptos"/>
                <w:sz w:val="18"/>
                <w:szCs w:val="18"/>
                <w:lang w:val="es-ES"/>
              </w:rPr>
              <w:t xml:space="preserve">English </w:t>
            </w:r>
          </w:p>
        </w:tc>
        <w:tc>
          <w:tcPr>
            <w:tcW w:w="4621" w:type="dxa"/>
          </w:tcPr>
          <w:p w14:paraId="53E13476" w14:textId="21536E9E" w:rsidR="008D54C6" w:rsidRPr="002B1D2B" w:rsidRDefault="007371B4" w:rsidP="008D54C6">
            <w:pPr>
              <w:rPr>
                <w:rFonts w:ascii="Aptos" w:hAnsi="Aptos"/>
                <w:sz w:val="18"/>
                <w:szCs w:val="18"/>
                <w:lang w:val="es-ES"/>
              </w:rPr>
            </w:pPr>
            <w:r w:rsidRPr="002B1D2B">
              <w:rPr>
                <w:rFonts w:ascii="Aptos" w:hAnsi="Aptos"/>
                <w:sz w:val="18"/>
                <w:szCs w:val="18"/>
                <w:lang w:val="es-ES"/>
              </w:rPr>
              <w:t>Español</w:t>
            </w:r>
          </w:p>
        </w:tc>
      </w:tr>
      <w:tr w:rsidR="008D54C6" w:rsidRPr="008D54C6" w14:paraId="4255DCEB" w14:textId="77777777" w:rsidTr="008D54C6">
        <w:tc>
          <w:tcPr>
            <w:tcW w:w="4559" w:type="dxa"/>
          </w:tcPr>
          <w:p w14:paraId="380640F8" w14:textId="77777777" w:rsidR="008D54C6" w:rsidRPr="008D54C6" w:rsidRDefault="008D54C6" w:rsidP="008D54C6">
            <w:pPr>
              <w:rPr>
                <w:rFonts w:ascii="Aptos" w:hAnsi="Aptos"/>
                <w:sz w:val="18"/>
                <w:szCs w:val="18"/>
                <w:lang w:val="en-US"/>
              </w:rPr>
            </w:pPr>
            <w:r w:rsidRPr="008D54C6">
              <w:rPr>
                <w:rFonts w:ascii="Aptos" w:hAnsi="Aptos"/>
                <w:sz w:val="18"/>
                <w:szCs w:val="18"/>
                <w:lang w:val="en-US"/>
              </w:rPr>
              <w:t xml:space="preserve"> IAS establishment rate (species/year)</w:t>
            </w:r>
          </w:p>
        </w:tc>
        <w:tc>
          <w:tcPr>
            <w:tcW w:w="4621" w:type="dxa"/>
          </w:tcPr>
          <w:p w14:paraId="62F74DD2" w14:textId="57F0D6A7" w:rsidR="008D54C6" w:rsidRPr="008D54C6" w:rsidRDefault="008D54C6" w:rsidP="008D54C6">
            <w:pPr>
              <w:rPr>
                <w:rFonts w:ascii="Aptos" w:hAnsi="Aptos"/>
                <w:sz w:val="18"/>
                <w:szCs w:val="18"/>
                <w:lang w:val="es-ES"/>
              </w:rPr>
            </w:pPr>
            <w:r w:rsidRPr="008D54C6">
              <w:rPr>
                <w:rFonts w:ascii="Aptos" w:hAnsi="Aptos"/>
                <w:sz w:val="18"/>
                <w:szCs w:val="18"/>
                <w:lang w:val="es-ES"/>
              </w:rPr>
              <w:t>Tasa de establecimiento de especies exóticas invasoras (especies/año)</w:t>
            </w:r>
          </w:p>
        </w:tc>
      </w:tr>
      <w:tr w:rsidR="008D54C6" w:rsidRPr="008D54C6" w14:paraId="4DA3D8F4" w14:textId="77777777" w:rsidTr="008D54C6">
        <w:tc>
          <w:tcPr>
            <w:tcW w:w="4559" w:type="dxa"/>
          </w:tcPr>
          <w:p w14:paraId="7308EEF9" w14:textId="77777777" w:rsidR="008D54C6" w:rsidRPr="008D54C6" w:rsidRDefault="008D54C6" w:rsidP="008D54C6">
            <w:pPr>
              <w:rPr>
                <w:rFonts w:ascii="Aptos" w:hAnsi="Aptos"/>
                <w:sz w:val="18"/>
                <w:szCs w:val="18"/>
                <w:lang w:val="es-ES"/>
              </w:rPr>
            </w:pPr>
            <w:proofErr w:type="spellStart"/>
            <w:r w:rsidRPr="008D54C6">
              <w:rPr>
                <w:rFonts w:ascii="Aptos" w:hAnsi="Aptos"/>
                <w:sz w:val="18"/>
                <w:szCs w:val="18"/>
                <w:lang w:val="es-ES"/>
              </w:rPr>
              <w:t>Year</w:t>
            </w:r>
            <w:proofErr w:type="spellEnd"/>
          </w:p>
        </w:tc>
        <w:tc>
          <w:tcPr>
            <w:tcW w:w="4621" w:type="dxa"/>
          </w:tcPr>
          <w:p w14:paraId="38C4AADD" w14:textId="4D67BBE1" w:rsidR="008D54C6" w:rsidRPr="008D54C6" w:rsidRDefault="008D54C6" w:rsidP="008D54C6">
            <w:pPr>
              <w:rPr>
                <w:rFonts w:ascii="Aptos" w:hAnsi="Aptos"/>
                <w:sz w:val="18"/>
                <w:szCs w:val="18"/>
                <w:lang w:val="es-ES"/>
              </w:rPr>
            </w:pPr>
            <w:r w:rsidRPr="008D54C6">
              <w:rPr>
                <w:rFonts w:ascii="Aptos" w:hAnsi="Aptos"/>
                <w:sz w:val="18"/>
                <w:szCs w:val="18"/>
                <w:lang w:val="es-ES"/>
              </w:rPr>
              <w:t>Año</w:t>
            </w:r>
          </w:p>
        </w:tc>
      </w:tr>
      <w:tr w:rsidR="008D54C6" w:rsidRPr="008D54C6" w14:paraId="4F164719" w14:textId="77777777" w:rsidTr="008D54C6">
        <w:tc>
          <w:tcPr>
            <w:tcW w:w="4559" w:type="dxa"/>
          </w:tcPr>
          <w:p w14:paraId="21C6E5DB" w14:textId="77777777" w:rsidR="008D54C6" w:rsidRPr="008D54C6" w:rsidRDefault="008D54C6" w:rsidP="008D54C6">
            <w:pPr>
              <w:rPr>
                <w:rFonts w:ascii="Aptos" w:hAnsi="Aptos"/>
                <w:sz w:val="18"/>
                <w:szCs w:val="18"/>
                <w:lang w:val="es-ES"/>
              </w:rPr>
            </w:pPr>
            <w:r w:rsidRPr="008D54C6">
              <w:rPr>
                <w:rFonts w:ascii="Aptos" w:hAnsi="Aptos"/>
                <w:sz w:val="18"/>
                <w:szCs w:val="18"/>
                <w:lang w:val="es-ES"/>
              </w:rPr>
              <w:t xml:space="preserve">Party </w:t>
            </w:r>
            <w:proofErr w:type="spellStart"/>
            <w:r w:rsidRPr="008D54C6">
              <w:rPr>
                <w:rFonts w:ascii="Aptos" w:hAnsi="Aptos"/>
                <w:sz w:val="18"/>
                <w:szCs w:val="18"/>
                <w:lang w:val="es-ES"/>
              </w:rPr>
              <w:t>count</w:t>
            </w:r>
            <w:proofErr w:type="spellEnd"/>
            <w:r w:rsidRPr="008D54C6">
              <w:rPr>
                <w:rFonts w:ascii="Aptos" w:hAnsi="Aptos"/>
                <w:sz w:val="18"/>
                <w:szCs w:val="18"/>
                <w:lang w:val="es-ES"/>
              </w:rPr>
              <w:t>: 12</w:t>
            </w:r>
          </w:p>
        </w:tc>
        <w:tc>
          <w:tcPr>
            <w:tcW w:w="4621" w:type="dxa"/>
          </w:tcPr>
          <w:p w14:paraId="666CB489" w14:textId="1F9F8034" w:rsidR="008D54C6" w:rsidRPr="008D54C6" w:rsidRDefault="008D54C6" w:rsidP="008D54C6">
            <w:pPr>
              <w:rPr>
                <w:rFonts w:ascii="Aptos" w:hAnsi="Aptos"/>
                <w:sz w:val="18"/>
                <w:szCs w:val="18"/>
                <w:lang w:val="es-ES"/>
              </w:rPr>
            </w:pPr>
            <w:r w:rsidRPr="008D54C6">
              <w:rPr>
                <w:rFonts w:ascii="Aptos" w:hAnsi="Aptos"/>
                <w:sz w:val="18"/>
                <w:szCs w:val="18"/>
                <w:lang w:val="es-ES"/>
              </w:rPr>
              <w:t>Número de Partes: 12</w:t>
            </w:r>
          </w:p>
        </w:tc>
      </w:tr>
      <w:tr w:rsidR="008D54C6" w:rsidRPr="008D54C6" w14:paraId="0A09DB71" w14:textId="77777777" w:rsidTr="008D54C6">
        <w:tc>
          <w:tcPr>
            <w:tcW w:w="4559" w:type="dxa"/>
          </w:tcPr>
          <w:p w14:paraId="24B26C3D" w14:textId="77777777" w:rsidR="008D54C6" w:rsidRPr="008D54C6" w:rsidRDefault="008D54C6" w:rsidP="008D54C6">
            <w:pPr>
              <w:rPr>
                <w:rFonts w:ascii="Aptos" w:hAnsi="Aptos"/>
                <w:sz w:val="18"/>
                <w:szCs w:val="18"/>
                <w:lang w:val="es-ES"/>
              </w:rPr>
            </w:pPr>
            <w:r w:rsidRPr="008D54C6">
              <w:rPr>
                <w:rFonts w:ascii="Aptos" w:hAnsi="Aptos"/>
                <w:sz w:val="18"/>
                <w:szCs w:val="18"/>
                <w:lang w:val="es-ES"/>
              </w:rPr>
              <w:t xml:space="preserve">Party </w:t>
            </w:r>
            <w:proofErr w:type="spellStart"/>
            <w:r w:rsidRPr="008D54C6">
              <w:rPr>
                <w:rFonts w:ascii="Aptos" w:hAnsi="Aptos"/>
                <w:sz w:val="18"/>
                <w:szCs w:val="18"/>
                <w:lang w:val="es-ES"/>
              </w:rPr>
              <w:t>count</w:t>
            </w:r>
            <w:proofErr w:type="spellEnd"/>
            <w:r w:rsidRPr="008D54C6">
              <w:rPr>
                <w:rFonts w:ascii="Aptos" w:hAnsi="Aptos"/>
                <w:sz w:val="18"/>
                <w:szCs w:val="18"/>
                <w:lang w:val="es-ES"/>
              </w:rPr>
              <w:t xml:space="preserve"> </w:t>
            </w:r>
            <w:proofErr w:type="spellStart"/>
            <w:r w:rsidRPr="008D54C6">
              <w:rPr>
                <w:rFonts w:ascii="Aptos" w:hAnsi="Aptos"/>
                <w:sz w:val="18"/>
                <w:szCs w:val="18"/>
                <w:lang w:val="es-ES"/>
              </w:rPr>
              <w:t>by</w:t>
            </w:r>
            <w:proofErr w:type="spellEnd"/>
            <w:r w:rsidRPr="008D54C6">
              <w:rPr>
                <w:rFonts w:ascii="Aptos" w:hAnsi="Aptos"/>
                <w:sz w:val="18"/>
                <w:szCs w:val="18"/>
                <w:lang w:val="es-ES"/>
              </w:rPr>
              <w:t xml:space="preserve"> </w:t>
            </w:r>
            <w:proofErr w:type="spellStart"/>
            <w:r w:rsidRPr="008D54C6">
              <w:rPr>
                <w:rFonts w:ascii="Aptos" w:hAnsi="Aptos"/>
                <w:sz w:val="18"/>
                <w:szCs w:val="18"/>
                <w:lang w:val="es-ES"/>
              </w:rPr>
              <w:t>region</w:t>
            </w:r>
            <w:proofErr w:type="spellEnd"/>
          </w:p>
        </w:tc>
        <w:tc>
          <w:tcPr>
            <w:tcW w:w="4621" w:type="dxa"/>
          </w:tcPr>
          <w:p w14:paraId="6BEF380C" w14:textId="45062016" w:rsidR="008D54C6" w:rsidRPr="008D54C6" w:rsidRDefault="008D54C6" w:rsidP="008D54C6">
            <w:pPr>
              <w:rPr>
                <w:rFonts w:ascii="Aptos" w:hAnsi="Aptos"/>
                <w:sz w:val="18"/>
                <w:szCs w:val="18"/>
                <w:lang w:val="es-ES"/>
              </w:rPr>
            </w:pPr>
            <w:r w:rsidRPr="008D54C6">
              <w:rPr>
                <w:rFonts w:ascii="Aptos" w:hAnsi="Aptos"/>
                <w:sz w:val="18"/>
                <w:szCs w:val="18"/>
                <w:lang w:val="es-ES"/>
              </w:rPr>
              <w:t>Número de Partes por región</w:t>
            </w:r>
          </w:p>
        </w:tc>
      </w:tr>
      <w:tr w:rsidR="008D54C6" w:rsidRPr="008D54C6" w14:paraId="1FBB87A3" w14:textId="77777777" w:rsidTr="008D54C6">
        <w:tc>
          <w:tcPr>
            <w:tcW w:w="4559" w:type="dxa"/>
          </w:tcPr>
          <w:p w14:paraId="37342E3B" w14:textId="77777777" w:rsidR="008D54C6" w:rsidRPr="008D54C6" w:rsidRDefault="008D54C6" w:rsidP="008D54C6">
            <w:pPr>
              <w:rPr>
                <w:rFonts w:ascii="Aptos" w:hAnsi="Aptos"/>
                <w:sz w:val="18"/>
                <w:szCs w:val="18"/>
                <w:lang w:val="es-ES"/>
              </w:rPr>
            </w:pPr>
            <w:proofErr w:type="spellStart"/>
            <w:r w:rsidRPr="008D54C6">
              <w:rPr>
                <w:rFonts w:ascii="Aptos" w:hAnsi="Aptos"/>
                <w:sz w:val="18"/>
                <w:szCs w:val="18"/>
                <w:lang w:val="es-ES"/>
              </w:rPr>
              <w:t>Region</w:t>
            </w:r>
            <w:proofErr w:type="spellEnd"/>
          </w:p>
        </w:tc>
        <w:tc>
          <w:tcPr>
            <w:tcW w:w="4621" w:type="dxa"/>
          </w:tcPr>
          <w:p w14:paraId="67DE5F67" w14:textId="1709B3A0" w:rsidR="008D54C6" w:rsidRPr="008D54C6" w:rsidRDefault="008D54C6" w:rsidP="008D54C6">
            <w:pPr>
              <w:rPr>
                <w:rFonts w:ascii="Aptos" w:hAnsi="Aptos"/>
                <w:sz w:val="18"/>
                <w:szCs w:val="18"/>
                <w:lang w:val="es-ES"/>
              </w:rPr>
            </w:pPr>
            <w:r w:rsidRPr="008D54C6">
              <w:rPr>
                <w:rFonts w:ascii="Aptos" w:hAnsi="Aptos"/>
                <w:sz w:val="18"/>
                <w:szCs w:val="18"/>
                <w:lang w:val="es-ES"/>
              </w:rPr>
              <w:t>Región</w:t>
            </w:r>
          </w:p>
        </w:tc>
      </w:tr>
      <w:tr w:rsidR="008D54C6" w:rsidRPr="008D54C6" w14:paraId="75FDB860" w14:textId="77777777" w:rsidTr="008D54C6">
        <w:tc>
          <w:tcPr>
            <w:tcW w:w="4559" w:type="dxa"/>
          </w:tcPr>
          <w:p w14:paraId="784F2DDC" w14:textId="77777777" w:rsidR="008D54C6" w:rsidRPr="008D54C6" w:rsidRDefault="008D54C6" w:rsidP="008D54C6">
            <w:pPr>
              <w:rPr>
                <w:rFonts w:ascii="Aptos" w:hAnsi="Aptos"/>
                <w:sz w:val="18"/>
                <w:szCs w:val="18"/>
                <w:lang w:val="es-ES"/>
              </w:rPr>
            </w:pPr>
            <w:r w:rsidRPr="008D54C6">
              <w:rPr>
                <w:rFonts w:ascii="Aptos" w:hAnsi="Aptos"/>
                <w:sz w:val="18"/>
                <w:szCs w:val="18"/>
                <w:lang w:val="es-ES"/>
              </w:rPr>
              <w:t>African States</w:t>
            </w:r>
          </w:p>
        </w:tc>
        <w:tc>
          <w:tcPr>
            <w:tcW w:w="4621" w:type="dxa"/>
          </w:tcPr>
          <w:p w14:paraId="109F533A" w14:textId="6A3CCD7A" w:rsidR="008D54C6" w:rsidRPr="008D54C6" w:rsidRDefault="008D54C6" w:rsidP="008D54C6">
            <w:pPr>
              <w:rPr>
                <w:rFonts w:ascii="Aptos" w:hAnsi="Aptos"/>
                <w:sz w:val="18"/>
                <w:szCs w:val="18"/>
                <w:lang w:val="es-ES"/>
              </w:rPr>
            </w:pPr>
            <w:r w:rsidRPr="008D54C6">
              <w:rPr>
                <w:rFonts w:ascii="Aptos" w:hAnsi="Aptos"/>
                <w:sz w:val="18"/>
                <w:szCs w:val="18"/>
                <w:lang w:val="es-ES"/>
              </w:rPr>
              <w:t>Estados de África</w:t>
            </w:r>
          </w:p>
        </w:tc>
      </w:tr>
      <w:tr w:rsidR="008D54C6" w:rsidRPr="008D54C6" w14:paraId="6359D417" w14:textId="77777777" w:rsidTr="008D54C6">
        <w:tc>
          <w:tcPr>
            <w:tcW w:w="4559" w:type="dxa"/>
          </w:tcPr>
          <w:p w14:paraId="21973B9B" w14:textId="77777777" w:rsidR="008D54C6" w:rsidRPr="008D54C6" w:rsidRDefault="008D54C6" w:rsidP="008D54C6">
            <w:pPr>
              <w:rPr>
                <w:rFonts w:ascii="Aptos" w:hAnsi="Aptos"/>
                <w:sz w:val="18"/>
                <w:szCs w:val="18"/>
                <w:lang w:val="es-ES"/>
              </w:rPr>
            </w:pPr>
            <w:r w:rsidRPr="008D54C6">
              <w:rPr>
                <w:rFonts w:ascii="Aptos" w:hAnsi="Aptos"/>
                <w:sz w:val="18"/>
                <w:szCs w:val="18"/>
                <w:lang w:val="es-ES"/>
              </w:rPr>
              <w:t>Asia-Pacific States</w:t>
            </w:r>
          </w:p>
        </w:tc>
        <w:tc>
          <w:tcPr>
            <w:tcW w:w="4621" w:type="dxa"/>
          </w:tcPr>
          <w:p w14:paraId="41D65F2F" w14:textId="39A39EAF" w:rsidR="008D54C6" w:rsidRPr="008D54C6" w:rsidRDefault="008D54C6" w:rsidP="008D54C6">
            <w:pPr>
              <w:rPr>
                <w:rFonts w:ascii="Aptos" w:hAnsi="Aptos"/>
                <w:sz w:val="18"/>
                <w:szCs w:val="18"/>
                <w:lang w:val="es-ES"/>
              </w:rPr>
            </w:pPr>
            <w:r w:rsidRPr="008D54C6">
              <w:rPr>
                <w:rFonts w:ascii="Aptos" w:hAnsi="Aptos"/>
                <w:sz w:val="18"/>
                <w:szCs w:val="18"/>
                <w:lang w:val="es-ES"/>
              </w:rPr>
              <w:t>Estados de Asia y el Pacífico</w:t>
            </w:r>
          </w:p>
        </w:tc>
      </w:tr>
      <w:tr w:rsidR="008D54C6" w:rsidRPr="008D54C6" w14:paraId="040E3823" w14:textId="77777777" w:rsidTr="008D54C6">
        <w:tc>
          <w:tcPr>
            <w:tcW w:w="4559" w:type="dxa"/>
          </w:tcPr>
          <w:p w14:paraId="082A6CD2" w14:textId="77777777" w:rsidR="008D54C6" w:rsidRPr="008D54C6" w:rsidRDefault="008D54C6" w:rsidP="008D54C6">
            <w:pPr>
              <w:rPr>
                <w:rFonts w:ascii="Aptos" w:hAnsi="Aptos"/>
                <w:sz w:val="18"/>
                <w:szCs w:val="18"/>
                <w:lang w:val="en-US"/>
              </w:rPr>
            </w:pPr>
            <w:r w:rsidRPr="008D54C6">
              <w:rPr>
                <w:rFonts w:ascii="Aptos" w:hAnsi="Aptos"/>
                <w:sz w:val="18"/>
                <w:szCs w:val="18"/>
                <w:lang w:val="en-US"/>
              </w:rPr>
              <w:t>Latin American and Caribbean States</w:t>
            </w:r>
          </w:p>
        </w:tc>
        <w:tc>
          <w:tcPr>
            <w:tcW w:w="4621" w:type="dxa"/>
          </w:tcPr>
          <w:p w14:paraId="5E9D6E6F" w14:textId="550B5F7D" w:rsidR="008D54C6" w:rsidRPr="008D54C6" w:rsidRDefault="008D54C6" w:rsidP="008D54C6">
            <w:pPr>
              <w:rPr>
                <w:rFonts w:ascii="Aptos" w:hAnsi="Aptos"/>
                <w:sz w:val="18"/>
                <w:szCs w:val="18"/>
                <w:lang w:val="es-ES"/>
              </w:rPr>
            </w:pPr>
            <w:r w:rsidRPr="008D54C6">
              <w:rPr>
                <w:rFonts w:ascii="Aptos" w:hAnsi="Aptos"/>
                <w:sz w:val="18"/>
                <w:szCs w:val="18"/>
                <w:lang w:val="es-ES"/>
              </w:rPr>
              <w:t>Estados de América Latina y el Caribe</w:t>
            </w:r>
          </w:p>
        </w:tc>
      </w:tr>
      <w:tr w:rsidR="008D54C6" w:rsidRPr="008D54C6" w14:paraId="1EBA31E2" w14:textId="77777777" w:rsidTr="008D54C6">
        <w:tc>
          <w:tcPr>
            <w:tcW w:w="4559" w:type="dxa"/>
          </w:tcPr>
          <w:p w14:paraId="308C3822" w14:textId="77777777" w:rsidR="008D54C6" w:rsidRPr="008D54C6" w:rsidRDefault="008D54C6" w:rsidP="008D54C6">
            <w:pPr>
              <w:rPr>
                <w:rFonts w:ascii="Aptos" w:hAnsi="Aptos"/>
                <w:sz w:val="18"/>
                <w:szCs w:val="18"/>
                <w:lang w:val="es-ES"/>
              </w:rPr>
            </w:pPr>
            <w:r w:rsidRPr="008D54C6">
              <w:rPr>
                <w:rFonts w:ascii="Aptos" w:hAnsi="Aptos"/>
                <w:sz w:val="18"/>
                <w:szCs w:val="18"/>
                <w:lang w:val="es-ES"/>
              </w:rPr>
              <w:t xml:space="preserve"> Eastern Europe States</w:t>
            </w:r>
          </w:p>
        </w:tc>
        <w:tc>
          <w:tcPr>
            <w:tcW w:w="4621" w:type="dxa"/>
          </w:tcPr>
          <w:p w14:paraId="0E524AA5" w14:textId="305B15ED" w:rsidR="008D54C6" w:rsidRPr="008D54C6" w:rsidRDefault="008D54C6" w:rsidP="008D54C6">
            <w:pPr>
              <w:rPr>
                <w:rFonts w:ascii="Aptos" w:hAnsi="Aptos"/>
                <w:sz w:val="18"/>
                <w:szCs w:val="18"/>
                <w:lang w:val="es-ES"/>
              </w:rPr>
            </w:pPr>
            <w:r w:rsidRPr="008D54C6">
              <w:rPr>
                <w:rFonts w:ascii="Aptos" w:hAnsi="Aptos"/>
                <w:sz w:val="18"/>
                <w:szCs w:val="18"/>
                <w:lang w:val="es-ES"/>
              </w:rPr>
              <w:t>Estados de Europa Oriental</w:t>
            </w:r>
          </w:p>
        </w:tc>
      </w:tr>
      <w:tr w:rsidR="008D54C6" w:rsidRPr="008D54C6" w14:paraId="3C4178C0" w14:textId="77777777" w:rsidTr="008D54C6">
        <w:tc>
          <w:tcPr>
            <w:tcW w:w="4559" w:type="dxa"/>
          </w:tcPr>
          <w:p w14:paraId="681877D3" w14:textId="77777777" w:rsidR="008D54C6" w:rsidRPr="008D54C6" w:rsidRDefault="008D54C6" w:rsidP="008D54C6">
            <w:pPr>
              <w:rPr>
                <w:rFonts w:ascii="Aptos" w:hAnsi="Aptos"/>
                <w:sz w:val="18"/>
                <w:szCs w:val="18"/>
                <w:lang w:val="en-US"/>
              </w:rPr>
            </w:pPr>
            <w:r w:rsidRPr="008D54C6">
              <w:rPr>
                <w:rFonts w:ascii="Aptos" w:hAnsi="Aptos"/>
                <w:sz w:val="18"/>
                <w:szCs w:val="18"/>
                <w:lang w:val="en-US"/>
              </w:rPr>
              <w:t>Western European and other States</w:t>
            </w:r>
          </w:p>
        </w:tc>
        <w:tc>
          <w:tcPr>
            <w:tcW w:w="4621" w:type="dxa"/>
          </w:tcPr>
          <w:p w14:paraId="0DB9D9DC" w14:textId="316504EF" w:rsidR="008D54C6" w:rsidRPr="008D54C6" w:rsidRDefault="008D54C6" w:rsidP="008D54C6">
            <w:pPr>
              <w:rPr>
                <w:rFonts w:ascii="Aptos" w:hAnsi="Aptos"/>
                <w:sz w:val="18"/>
                <w:szCs w:val="18"/>
                <w:lang w:val="es-ES"/>
              </w:rPr>
            </w:pPr>
            <w:r w:rsidRPr="008D54C6">
              <w:rPr>
                <w:rFonts w:ascii="Aptos" w:hAnsi="Aptos"/>
                <w:sz w:val="18"/>
                <w:szCs w:val="18"/>
                <w:lang w:val="es-ES"/>
              </w:rPr>
              <w:t>Estados de Europa Occidental y otros Estados</w:t>
            </w:r>
          </w:p>
        </w:tc>
      </w:tr>
    </w:tbl>
    <w:p w14:paraId="45E61978" w14:textId="77777777" w:rsidR="004C7810" w:rsidRPr="005E3D50" w:rsidRDefault="004C7810" w:rsidP="004C7810">
      <w:pPr>
        <w:rPr>
          <w:lang w:val="es-ES" w:eastAsia="ja-JP"/>
        </w:rPr>
      </w:pPr>
    </w:p>
    <w:p w14:paraId="6FF182F5" w14:textId="013C9A9F" w:rsidR="00F40FF8" w:rsidRPr="005E3D50" w:rsidRDefault="009C6941" w:rsidP="00F40FF8">
      <w:pPr>
        <w:pStyle w:val="Caption"/>
        <w:rPr>
          <w:i w:val="0"/>
          <w:iCs w:val="0"/>
          <w:sz w:val="20"/>
          <w:szCs w:val="20"/>
          <w:lang w:val="es-ES"/>
        </w:rPr>
      </w:pPr>
      <w:bookmarkStart w:id="225" w:name="_Ref231153656"/>
      <w:r w:rsidRPr="005E3D50">
        <w:rPr>
          <w:i w:val="0"/>
          <w:sz w:val="20"/>
          <w:szCs w:val="20"/>
          <w:lang w:val="es-ES"/>
        </w:rPr>
        <w:t>Figura 29</w:t>
      </w:r>
      <w:bookmarkEnd w:id="225"/>
      <w:r w:rsidRPr="005E3D50">
        <w:rPr>
          <w:i w:val="0"/>
          <w:iCs w:val="0"/>
          <w:sz w:val="20"/>
          <w:szCs w:val="20"/>
          <w:lang w:val="es-ES"/>
        </w:rPr>
        <w:t xml:space="preserve"> </w:t>
      </w:r>
    </w:p>
    <w:p w14:paraId="1F39ED76" w14:textId="77777777" w:rsidR="00F40FF8" w:rsidRPr="005E3D50" w:rsidRDefault="00F40FF8" w:rsidP="00F40FF8">
      <w:pPr>
        <w:pStyle w:val="Caption"/>
        <w:rPr>
          <w:rFonts w:ascii="Aptos" w:hAnsi="Aptos"/>
          <w:b/>
          <w:bCs/>
          <w:i w:val="0"/>
          <w:iCs w:val="0"/>
          <w:sz w:val="20"/>
          <w:szCs w:val="20"/>
          <w:lang w:val="es-ES"/>
        </w:rPr>
      </w:pPr>
      <w:r w:rsidRPr="005E3D50">
        <w:rPr>
          <w:b/>
          <w:bCs/>
          <w:i w:val="0"/>
          <w:iCs w:val="0"/>
          <w:sz w:val="20"/>
          <w:szCs w:val="20"/>
          <w:lang w:val="es-ES"/>
        </w:rPr>
        <w:t>Indicador binario 6.b</w:t>
      </w:r>
      <w:r w:rsidRPr="005E3D50">
        <w:rPr>
          <w:rFonts w:ascii="Aptos" w:hAnsi="Aptos"/>
          <w:b/>
          <w:bCs/>
          <w:i w:val="0"/>
          <w:iCs w:val="0"/>
          <w:sz w:val="20"/>
          <w:szCs w:val="20"/>
          <w:lang w:val="es-ES"/>
        </w:rPr>
        <w:t>: número de países que adoptan reglamentaciones, procesos y medidas pertinentes y asignan recursos para reducir el impacto de las especies exóticas invasoras</w:t>
      </w:r>
    </w:p>
    <w:p w14:paraId="3C607FCB" w14:textId="77777777" w:rsidR="00C55BCA" w:rsidRPr="005E3D50" w:rsidRDefault="00C55BCA" w:rsidP="009C6941">
      <w:pPr>
        <w:rPr>
          <w:rFonts w:ascii="Aptos" w:hAnsi="Aptos"/>
          <w:lang w:val="es-ES"/>
        </w:rPr>
      </w:pPr>
    </w:p>
    <w:p w14:paraId="431D2DB1" w14:textId="66085A43" w:rsidR="00E61F26" w:rsidRPr="005E3D50" w:rsidRDefault="003F3B9E" w:rsidP="005463F7">
      <w:pPr>
        <w:pStyle w:val="Caption"/>
        <w:rPr>
          <w:lang w:val="es-ES"/>
        </w:rPr>
      </w:pPr>
      <w:r w:rsidRPr="005E3D50">
        <w:rPr>
          <w:noProof/>
          <w:lang w:val="en-US" w:eastAsia="en-US"/>
        </w:rPr>
        <w:lastRenderedPageBreak/>
        <w:drawing>
          <wp:inline distT="0" distB="0" distL="0" distR="0" wp14:anchorId="38EB34A3" wp14:editId="67702BCF">
            <wp:extent cx="5943600" cy="2264410"/>
            <wp:effectExtent l="0" t="0" r="0" b="0"/>
            <wp:docPr id="1899491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134" name="Picture 189949134"/>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18608FC1" w14:textId="77777777" w:rsidR="00B32FCB" w:rsidRPr="005E3D50" w:rsidRDefault="00B32FCB" w:rsidP="00B32FCB">
      <w:pPr>
        <w:rPr>
          <w:lang w:val="es-ES" w:eastAsia="ja-JP"/>
        </w:rPr>
      </w:pPr>
    </w:p>
    <w:p w14:paraId="65240BA5" w14:textId="77777777" w:rsidR="00990F0C" w:rsidRPr="005E3D50" w:rsidRDefault="00990F0C" w:rsidP="00990F0C">
      <w:pPr>
        <w:pStyle w:val="Caption"/>
        <w:rPr>
          <w:rFonts w:ascii="Aptos" w:hAnsi="Aptos"/>
          <w:i w:val="0"/>
          <w:iCs w:val="0"/>
          <w:lang w:val="es-ES"/>
        </w:rPr>
      </w:pPr>
      <w:r w:rsidRPr="005E3D50">
        <w:rPr>
          <w:rFonts w:ascii="Aptos" w:hAnsi="Aptos"/>
          <w:lang w:val="es-ES"/>
        </w:rPr>
        <w:t xml:space="preserve">Nota: </w:t>
      </w:r>
      <w:r w:rsidRPr="005E3D50">
        <w:rPr>
          <w:rFonts w:ascii="Aptos" w:hAnsi="Aptos"/>
          <w:i w:val="0"/>
          <w:iCs w:val="0"/>
          <w:lang w:val="es-ES"/>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hAnsi="Aptos"/>
          <w:i w:val="0"/>
          <w:iCs w:val="0"/>
          <w:lang w:val="es-ES"/>
        </w:rPr>
        <w:t>progresos</w:t>
      </w:r>
      <w:r w:rsidRPr="005E3D50">
        <w:rPr>
          <w:rFonts w:ascii="Aptos" w:hAnsi="Aptos"/>
          <w:i w:val="0"/>
          <w:iCs w:val="0"/>
          <w:vertAlign w:val="superscript"/>
          <w:lang w:val="es-ES"/>
        </w:rPr>
        <w:t>a</w:t>
      </w:r>
      <w:proofErr w:type="spellEnd"/>
      <w:r w:rsidRPr="005E3D50">
        <w:rPr>
          <w:rFonts w:ascii="Aptos" w:hAnsi="Aptos"/>
          <w:i w:val="0"/>
          <w:iCs w:val="0"/>
          <w:lang w:val="es-ES"/>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32DFAE21" w14:textId="2F0DFD4B" w:rsidR="00990F0C" w:rsidRPr="005E3D50" w:rsidRDefault="00990F0C" w:rsidP="00990F0C">
      <w:pPr>
        <w:pStyle w:val="Caption"/>
        <w:rPr>
          <w:i w:val="0"/>
          <w:lang w:val="es-ES"/>
        </w:rPr>
      </w:pPr>
      <w:r w:rsidRPr="005E3D50">
        <w:rPr>
          <w:i w:val="0"/>
          <w:iCs w:val="0"/>
          <w:vertAlign w:val="superscript"/>
          <w:lang w:val="es-ES"/>
        </w:rPr>
        <w:t xml:space="preserve">a </w:t>
      </w:r>
      <w:r w:rsidRPr="005E3D50">
        <w:rPr>
          <w:i w:val="0"/>
          <w:iCs w:val="0"/>
          <w:lang w:val="es-ES"/>
        </w:rPr>
        <w:t xml:space="preserve">La metodología empleada para calcular los niveles de puntuación para cada indicador binario, así como las preguntas incluidas para cada indicador, figuran en el documento </w:t>
      </w:r>
      <w:hyperlink r:id="rId91" w:history="1">
        <w:r w:rsidRPr="005E3D50">
          <w:rPr>
            <w:rStyle w:val="Hyperlink"/>
            <w:i w:val="0"/>
            <w:iCs w:val="0"/>
            <w:lang w:val="es-ES"/>
          </w:rPr>
          <w:t>CBD/COP/16/INF/3/Rev.1</w:t>
        </w:r>
      </w:hyperlink>
      <w:r w:rsidRPr="005E3D50">
        <w:rPr>
          <w:i w:val="0"/>
          <w:iCs w:val="0"/>
          <w:lang w:val="es-ES"/>
        </w:rPr>
        <w:t>.</w:t>
      </w:r>
    </w:p>
    <w:tbl>
      <w:tblPr>
        <w:tblStyle w:val="TableGrid"/>
        <w:tblW w:w="9421" w:type="dxa"/>
        <w:tblLook w:val="04A0" w:firstRow="1" w:lastRow="0" w:firstColumn="1" w:lastColumn="0" w:noHBand="0" w:noVBand="1"/>
      </w:tblPr>
      <w:tblGrid>
        <w:gridCol w:w="5342"/>
        <w:gridCol w:w="4079"/>
      </w:tblGrid>
      <w:tr w:rsidR="00C63537" w:rsidRPr="00C63537" w14:paraId="7BB20BC7" w14:textId="77777777" w:rsidTr="00C63537">
        <w:tc>
          <w:tcPr>
            <w:tcW w:w="9421" w:type="dxa"/>
            <w:gridSpan w:val="2"/>
          </w:tcPr>
          <w:p w14:paraId="7DF2B513" w14:textId="0C29E79C" w:rsidR="00C63537"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29</w:t>
            </w:r>
          </w:p>
        </w:tc>
      </w:tr>
      <w:tr w:rsidR="00C63537" w:rsidRPr="00C63537" w14:paraId="65807A2C" w14:textId="77777777" w:rsidTr="00C63537">
        <w:tc>
          <w:tcPr>
            <w:tcW w:w="5342" w:type="dxa"/>
          </w:tcPr>
          <w:p w14:paraId="787ABB80" w14:textId="5907B008" w:rsidR="00C63537" w:rsidRPr="002B1D2B" w:rsidRDefault="00C63537" w:rsidP="00B93410">
            <w:pPr>
              <w:rPr>
                <w:rFonts w:ascii="Aptos" w:hAnsi="Aptos"/>
                <w:sz w:val="18"/>
                <w:szCs w:val="18"/>
                <w:lang w:val="es-ES"/>
              </w:rPr>
            </w:pPr>
            <w:r w:rsidRPr="002B1D2B">
              <w:rPr>
                <w:rFonts w:ascii="Aptos" w:hAnsi="Aptos"/>
                <w:sz w:val="18"/>
                <w:szCs w:val="18"/>
                <w:lang w:val="es-ES"/>
              </w:rPr>
              <w:t>English</w:t>
            </w:r>
          </w:p>
        </w:tc>
        <w:tc>
          <w:tcPr>
            <w:tcW w:w="4079" w:type="dxa"/>
          </w:tcPr>
          <w:p w14:paraId="17781CCE" w14:textId="32B5BD0A" w:rsidR="00C63537"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C63537" w:rsidRPr="00C63537" w14:paraId="148FA9FA" w14:textId="77777777" w:rsidTr="00C63537">
        <w:tc>
          <w:tcPr>
            <w:tcW w:w="5342" w:type="dxa"/>
          </w:tcPr>
          <w:p w14:paraId="0CDBCD31" w14:textId="77777777" w:rsidR="00C63537" w:rsidRPr="00C63537" w:rsidRDefault="00C63537" w:rsidP="00AD7A09">
            <w:pPr>
              <w:rPr>
                <w:rFonts w:ascii="Aptos" w:hAnsi="Aptos"/>
                <w:sz w:val="18"/>
                <w:szCs w:val="18"/>
                <w:lang w:val="es-ES"/>
              </w:rPr>
            </w:pPr>
            <w:proofErr w:type="spellStart"/>
            <w:r w:rsidRPr="00C63537">
              <w:rPr>
                <w:rFonts w:ascii="Aptos" w:hAnsi="Aptos"/>
                <w:sz w:val="18"/>
                <w:szCs w:val="18"/>
                <w:lang w:val="es-ES"/>
              </w:rPr>
              <w:t>Answers</w:t>
            </w:r>
            <w:proofErr w:type="spellEnd"/>
            <w:r w:rsidRPr="00C63537">
              <w:rPr>
                <w:rFonts w:ascii="Aptos" w:hAnsi="Aptos"/>
                <w:sz w:val="18"/>
                <w:szCs w:val="18"/>
                <w:lang w:val="es-ES"/>
              </w:rPr>
              <w:t xml:space="preserve"> (</w:t>
            </w:r>
            <w:proofErr w:type="spellStart"/>
            <w:r w:rsidRPr="00C63537">
              <w:rPr>
                <w:rFonts w:ascii="Aptos" w:hAnsi="Aptos"/>
                <w:sz w:val="18"/>
                <w:szCs w:val="18"/>
                <w:lang w:val="es-ES"/>
              </w:rPr>
              <w:t>percentage</w:t>
            </w:r>
            <w:proofErr w:type="spellEnd"/>
            <w:r w:rsidRPr="00C63537">
              <w:rPr>
                <w:rFonts w:ascii="Aptos" w:hAnsi="Aptos"/>
                <w:sz w:val="18"/>
                <w:szCs w:val="18"/>
                <w:lang w:val="es-ES"/>
              </w:rPr>
              <w:t>)</w:t>
            </w:r>
          </w:p>
        </w:tc>
        <w:tc>
          <w:tcPr>
            <w:tcW w:w="4079" w:type="dxa"/>
          </w:tcPr>
          <w:p w14:paraId="675B9728" w14:textId="746833A8" w:rsidR="00C63537" w:rsidRPr="00C63537" w:rsidRDefault="00C63537" w:rsidP="00AD7A09">
            <w:pPr>
              <w:rPr>
                <w:rFonts w:ascii="Aptos" w:hAnsi="Aptos"/>
                <w:sz w:val="18"/>
                <w:szCs w:val="18"/>
                <w:lang w:val="es-ES"/>
              </w:rPr>
            </w:pPr>
            <w:r w:rsidRPr="00C63537">
              <w:rPr>
                <w:rFonts w:ascii="Aptos" w:hAnsi="Aptos"/>
                <w:sz w:val="18"/>
                <w:szCs w:val="18"/>
                <w:lang w:val="es-ES"/>
              </w:rPr>
              <w:t>Respuestas (porcentaje)</w:t>
            </w:r>
          </w:p>
        </w:tc>
      </w:tr>
      <w:tr w:rsidR="00C63537" w:rsidRPr="00C63537" w14:paraId="5AFCCEF3" w14:textId="77777777" w:rsidTr="00C63537">
        <w:tc>
          <w:tcPr>
            <w:tcW w:w="5342" w:type="dxa"/>
          </w:tcPr>
          <w:p w14:paraId="667892E4" w14:textId="77777777" w:rsidR="00C63537" w:rsidRPr="00C63537" w:rsidRDefault="00C63537" w:rsidP="00AD7A09">
            <w:pPr>
              <w:rPr>
                <w:rFonts w:ascii="Aptos" w:hAnsi="Aptos"/>
                <w:sz w:val="18"/>
                <w:szCs w:val="18"/>
                <w:lang w:val="es-ES"/>
              </w:rPr>
            </w:pPr>
            <w:r w:rsidRPr="00C63537">
              <w:rPr>
                <w:rFonts w:ascii="Aptos" w:hAnsi="Aptos"/>
                <w:sz w:val="18"/>
                <w:szCs w:val="18"/>
                <w:lang w:val="es-ES"/>
              </w:rPr>
              <w:t>Score Level</w:t>
            </w:r>
          </w:p>
        </w:tc>
        <w:tc>
          <w:tcPr>
            <w:tcW w:w="4079" w:type="dxa"/>
          </w:tcPr>
          <w:p w14:paraId="3AA82213" w14:textId="5C929968" w:rsidR="00C63537" w:rsidRPr="00C63537" w:rsidRDefault="00C63537" w:rsidP="00AD7A09">
            <w:pPr>
              <w:rPr>
                <w:rFonts w:ascii="Aptos" w:hAnsi="Aptos"/>
                <w:sz w:val="18"/>
                <w:szCs w:val="18"/>
                <w:lang w:val="es-ES"/>
              </w:rPr>
            </w:pPr>
            <w:r w:rsidRPr="00C63537">
              <w:rPr>
                <w:rFonts w:ascii="Aptos" w:hAnsi="Aptos"/>
                <w:sz w:val="18"/>
                <w:szCs w:val="18"/>
                <w:lang w:val="es-ES"/>
              </w:rPr>
              <w:t>Nivel de puntuación</w:t>
            </w:r>
          </w:p>
        </w:tc>
      </w:tr>
      <w:tr w:rsidR="00C63537" w:rsidRPr="00C63537" w14:paraId="72502C7B" w14:textId="77777777" w:rsidTr="00C63537">
        <w:tc>
          <w:tcPr>
            <w:tcW w:w="5342" w:type="dxa"/>
          </w:tcPr>
          <w:p w14:paraId="2F9C1985" w14:textId="77777777" w:rsidR="00C63537" w:rsidRPr="00C63537" w:rsidRDefault="00C63537" w:rsidP="00AD7A09">
            <w:pPr>
              <w:rPr>
                <w:rFonts w:ascii="Aptos" w:hAnsi="Aptos"/>
                <w:sz w:val="18"/>
                <w:szCs w:val="18"/>
                <w:lang w:val="es-ES"/>
              </w:rPr>
            </w:pPr>
            <w:r w:rsidRPr="00C63537">
              <w:rPr>
                <w:rFonts w:ascii="Aptos" w:hAnsi="Aptos"/>
                <w:sz w:val="18"/>
                <w:szCs w:val="18"/>
                <w:lang w:val="es-ES"/>
              </w:rPr>
              <w:t xml:space="preserve">Party </w:t>
            </w:r>
            <w:proofErr w:type="spellStart"/>
            <w:r w:rsidRPr="00C63537">
              <w:rPr>
                <w:rFonts w:ascii="Aptos" w:hAnsi="Aptos"/>
                <w:sz w:val="18"/>
                <w:szCs w:val="18"/>
                <w:lang w:val="es-ES"/>
              </w:rPr>
              <w:t>count</w:t>
            </w:r>
            <w:proofErr w:type="spellEnd"/>
            <w:r w:rsidRPr="00C63537">
              <w:rPr>
                <w:rFonts w:ascii="Aptos" w:hAnsi="Aptos"/>
                <w:sz w:val="18"/>
                <w:szCs w:val="18"/>
                <w:lang w:val="es-ES"/>
              </w:rPr>
              <w:t>: 127</w:t>
            </w:r>
          </w:p>
        </w:tc>
        <w:tc>
          <w:tcPr>
            <w:tcW w:w="4079" w:type="dxa"/>
          </w:tcPr>
          <w:p w14:paraId="128BC39C" w14:textId="7F1421D7" w:rsidR="00C63537" w:rsidRPr="00C63537" w:rsidRDefault="00C63537" w:rsidP="00AD7A09">
            <w:pPr>
              <w:rPr>
                <w:rFonts w:ascii="Aptos" w:hAnsi="Aptos"/>
                <w:sz w:val="18"/>
                <w:szCs w:val="18"/>
                <w:lang w:val="es-ES"/>
              </w:rPr>
            </w:pPr>
            <w:r w:rsidRPr="00C63537">
              <w:rPr>
                <w:rFonts w:ascii="Aptos" w:hAnsi="Aptos"/>
                <w:sz w:val="18"/>
                <w:szCs w:val="18"/>
                <w:lang w:val="es-ES"/>
              </w:rPr>
              <w:t>Número de Partes: 127</w:t>
            </w:r>
          </w:p>
        </w:tc>
      </w:tr>
      <w:tr w:rsidR="00C63537" w:rsidRPr="00C63537" w14:paraId="104497CB" w14:textId="77777777" w:rsidTr="00C63537">
        <w:tc>
          <w:tcPr>
            <w:tcW w:w="5342" w:type="dxa"/>
          </w:tcPr>
          <w:p w14:paraId="08C752EA" w14:textId="77777777" w:rsidR="00C63537" w:rsidRPr="00C63537" w:rsidRDefault="00C63537" w:rsidP="00AD7A09">
            <w:pPr>
              <w:rPr>
                <w:rFonts w:ascii="Aptos" w:hAnsi="Aptos"/>
                <w:sz w:val="18"/>
                <w:szCs w:val="18"/>
                <w:lang w:val="es-ES"/>
              </w:rPr>
            </w:pPr>
            <w:proofErr w:type="spellStart"/>
            <w:r w:rsidRPr="00C63537">
              <w:rPr>
                <w:rFonts w:ascii="Aptos" w:hAnsi="Aptos"/>
                <w:sz w:val="18"/>
                <w:szCs w:val="18"/>
                <w:lang w:val="es-ES"/>
              </w:rPr>
              <w:t>Region</w:t>
            </w:r>
            <w:proofErr w:type="spellEnd"/>
          </w:p>
        </w:tc>
        <w:tc>
          <w:tcPr>
            <w:tcW w:w="4079" w:type="dxa"/>
          </w:tcPr>
          <w:p w14:paraId="61C48198" w14:textId="426326FF" w:rsidR="00C63537" w:rsidRPr="00C63537" w:rsidRDefault="00C63537" w:rsidP="00AD7A09">
            <w:pPr>
              <w:rPr>
                <w:rFonts w:ascii="Aptos" w:hAnsi="Aptos"/>
                <w:sz w:val="18"/>
                <w:szCs w:val="18"/>
                <w:lang w:val="es-ES"/>
              </w:rPr>
            </w:pPr>
            <w:r w:rsidRPr="00C63537">
              <w:rPr>
                <w:rFonts w:ascii="Aptos" w:hAnsi="Aptos"/>
                <w:sz w:val="18"/>
                <w:szCs w:val="18"/>
                <w:lang w:val="es-ES"/>
              </w:rPr>
              <w:t>Región</w:t>
            </w:r>
          </w:p>
        </w:tc>
      </w:tr>
      <w:tr w:rsidR="00C63537" w:rsidRPr="00C63537" w14:paraId="1CE5EE38" w14:textId="77777777" w:rsidTr="00C63537">
        <w:tc>
          <w:tcPr>
            <w:tcW w:w="5342" w:type="dxa"/>
          </w:tcPr>
          <w:p w14:paraId="327FF2CE" w14:textId="77777777" w:rsidR="00C63537" w:rsidRPr="00C63537" w:rsidRDefault="00C63537" w:rsidP="00AD7A09">
            <w:pPr>
              <w:rPr>
                <w:rFonts w:ascii="Aptos" w:hAnsi="Aptos"/>
                <w:sz w:val="18"/>
                <w:szCs w:val="18"/>
                <w:lang w:val="es-ES"/>
              </w:rPr>
            </w:pPr>
            <w:r w:rsidRPr="00C63537">
              <w:rPr>
                <w:rFonts w:ascii="Aptos" w:hAnsi="Aptos"/>
                <w:sz w:val="18"/>
                <w:szCs w:val="18"/>
                <w:lang w:val="es-ES"/>
              </w:rPr>
              <w:t>African States</w:t>
            </w:r>
          </w:p>
        </w:tc>
        <w:tc>
          <w:tcPr>
            <w:tcW w:w="4079" w:type="dxa"/>
          </w:tcPr>
          <w:p w14:paraId="71929B2E" w14:textId="70DBE212" w:rsidR="00C63537" w:rsidRPr="00C63537" w:rsidRDefault="00C63537" w:rsidP="00AD7A09">
            <w:pPr>
              <w:rPr>
                <w:rFonts w:ascii="Aptos" w:hAnsi="Aptos"/>
                <w:sz w:val="18"/>
                <w:szCs w:val="18"/>
                <w:lang w:val="es-ES"/>
              </w:rPr>
            </w:pPr>
            <w:r w:rsidRPr="00C63537">
              <w:rPr>
                <w:rFonts w:ascii="Aptos" w:hAnsi="Aptos"/>
                <w:sz w:val="18"/>
                <w:szCs w:val="18"/>
                <w:lang w:val="es-ES"/>
              </w:rPr>
              <w:t>Estados de África</w:t>
            </w:r>
          </w:p>
        </w:tc>
      </w:tr>
      <w:tr w:rsidR="00C63537" w:rsidRPr="00C63537" w14:paraId="48FCFDA3" w14:textId="77777777" w:rsidTr="00C63537">
        <w:tc>
          <w:tcPr>
            <w:tcW w:w="5342" w:type="dxa"/>
          </w:tcPr>
          <w:p w14:paraId="3BF09982" w14:textId="77777777" w:rsidR="00C63537" w:rsidRPr="00C63537" w:rsidRDefault="00C63537" w:rsidP="00AD7A09">
            <w:pPr>
              <w:rPr>
                <w:rFonts w:ascii="Aptos" w:hAnsi="Aptos"/>
                <w:sz w:val="18"/>
                <w:szCs w:val="18"/>
                <w:lang w:val="es-ES"/>
              </w:rPr>
            </w:pPr>
            <w:r w:rsidRPr="00C63537">
              <w:rPr>
                <w:rFonts w:ascii="Aptos" w:hAnsi="Aptos"/>
                <w:sz w:val="18"/>
                <w:szCs w:val="18"/>
                <w:lang w:val="es-ES"/>
              </w:rPr>
              <w:t>Asia-Pacific States</w:t>
            </w:r>
          </w:p>
        </w:tc>
        <w:tc>
          <w:tcPr>
            <w:tcW w:w="4079" w:type="dxa"/>
          </w:tcPr>
          <w:p w14:paraId="183DEECA" w14:textId="3E7CB9C9" w:rsidR="00C63537" w:rsidRPr="00C63537" w:rsidRDefault="00C63537" w:rsidP="00AD7A09">
            <w:pPr>
              <w:rPr>
                <w:rFonts w:ascii="Aptos" w:hAnsi="Aptos"/>
                <w:sz w:val="18"/>
                <w:szCs w:val="18"/>
                <w:lang w:val="es-ES"/>
              </w:rPr>
            </w:pPr>
            <w:r w:rsidRPr="00C63537">
              <w:rPr>
                <w:rFonts w:ascii="Aptos" w:hAnsi="Aptos"/>
                <w:sz w:val="18"/>
                <w:szCs w:val="18"/>
                <w:lang w:val="es-ES"/>
              </w:rPr>
              <w:t>Estados de Asia y el Pacífico</w:t>
            </w:r>
          </w:p>
        </w:tc>
      </w:tr>
      <w:tr w:rsidR="00C63537" w:rsidRPr="00C63537" w14:paraId="6491229E" w14:textId="77777777" w:rsidTr="00C63537">
        <w:tc>
          <w:tcPr>
            <w:tcW w:w="5342" w:type="dxa"/>
          </w:tcPr>
          <w:p w14:paraId="2C9B2DF5" w14:textId="77777777" w:rsidR="00C63537" w:rsidRPr="00C63537" w:rsidRDefault="00C63537" w:rsidP="00AD7A09">
            <w:pPr>
              <w:rPr>
                <w:rFonts w:ascii="Aptos" w:hAnsi="Aptos"/>
                <w:sz w:val="18"/>
                <w:szCs w:val="18"/>
                <w:lang w:val="en-US"/>
              </w:rPr>
            </w:pPr>
            <w:r w:rsidRPr="00C63537">
              <w:rPr>
                <w:rFonts w:ascii="Aptos" w:hAnsi="Aptos"/>
                <w:sz w:val="18"/>
                <w:szCs w:val="18"/>
                <w:lang w:val="en-US"/>
              </w:rPr>
              <w:t>Latin American and Caribbean States</w:t>
            </w:r>
          </w:p>
        </w:tc>
        <w:tc>
          <w:tcPr>
            <w:tcW w:w="4079" w:type="dxa"/>
          </w:tcPr>
          <w:p w14:paraId="583EECC4" w14:textId="51F02790" w:rsidR="00C63537" w:rsidRPr="00C63537" w:rsidRDefault="00C63537" w:rsidP="00AD7A09">
            <w:pPr>
              <w:rPr>
                <w:rFonts w:ascii="Aptos" w:hAnsi="Aptos"/>
                <w:sz w:val="18"/>
                <w:szCs w:val="18"/>
                <w:lang w:val="es-ES"/>
              </w:rPr>
            </w:pPr>
            <w:r w:rsidRPr="00C63537">
              <w:rPr>
                <w:rFonts w:ascii="Aptos" w:hAnsi="Aptos"/>
                <w:sz w:val="18"/>
                <w:szCs w:val="18"/>
                <w:lang w:val="es-ES"/>
              </w:rPr>
              <w:t>Estados de América Latina y el Caribe</w:t>
            </w:r>
          </w:p>
        </w:tc>
      </w:tr>
      <w:tr w:rsidR="00C63537" w:rsidRPr="00C63537" w14:paraId="62B90A7C" w14:textId="77777777" w:rsidTr="00C63537">
        <w:tc>
          <w:tcPr>
            <w:tcW w:w="5342" w:type="dxa"/>
          </w:tcPr>
          <w:p w14:paraId="2EE9E330" w14:textId="77777777" w:rsidR="00C63537" w:rsidRPr="00C63537" w:rsidRDefault="00C63537" w:rsidP="00AD7A09">
            <w:pPr>
              <w:rPr>
                <w:rFonts w:ascii="Aptos" w:hAnsi="Aptos"/>
                <w:sz w:val="18"/>
                <w:szCs w:val="18"/>
                <w:lang w:val="es-ES"/>
              </w:rPr>
            </w:pPr>
            <w:r w:rsidRPr="00C63537">
              <w:rPr>
                <w:rFonts w:ascii="Aptos" w:hAnsi="Aptos"/>
                <w:sz w:val="18"/>
                <w:szCs w:val="18"/>
                <w:lang w:val="es-ES"/>
              </w:rPr>
              <w:t xml:space="preserve"> Eastern European States</w:t>
            </w:r>
          </w:p>
        </w:tc>
        <w:tc>
          <w:tcPr>
            <w:tcW w:w="4079" w:type="dxa"/>
          </w:tcPr>
          <w:p w14:paraId="5DBD6F78" w14:textId="052AAD76" w:rsidR="00C63537" w:rsidRPr="00C63537" w:rsidRDefault="00C63537" w:rsidP="00AD7A09">
            <w:pPr>
              <w:rPr>
                <w:rFonts w:ascii="Aptos" w:hAnsi="Aptos"/>
                <w:sz w:val="18"/>
                <w:szCs w:val="18"/>
                <w:lang w:val="es-ES"/>
              </w:rPr>
            </w:pPr>
            <w:r w:rsidRPr="00C63537">
              <w:rPr>
                <w:rFonts w:ascii="Aptos" w:hAnsi="Aptos"/>
                <w:sz w:val="18"/>
                <w:szCs w:val="18"/>
                <w:lang w:val="es-ES"/>
              </w:rPr>
              <w:t>Estados de Europa Oriental</w:t>
            </w:r>
          </w:p>
        </w:tc>
      </w:tr>
      <w:tr w:rsidR="00C63537" w:rsidRPr="00C63537" w14:paraId="4938A92B" w14:textId="77777777" w:rsidTr="00C63537">
        <w:tc>
          <w:tcPr>
            <w:tcW w:w="5342" w:type="dxa"/>
          </w:tcPr>
          <w:p w14:paraId="6FD41A66" w14:textId="77777777" w:rsidR="00C63537" w:rsidRPr="00C63537" w:rsidRDefault="00C63537" w:rsidP="00AD7A09">
            <w:pPr>
              <w:rPr>
                <w:rFonts w:ascii="Aptos" w:hAnsi="Aptos"/>
                <w:sz w:val="18"/>
                <w:szCs w:val="18"/>
                <w:lang w:val="en-US"/>
              </w:rPr>
            </w:pPr>
            <w:r w:rsidRPr="00C63537">
              <w:rPr>
                <w:rFonts w:ascii="Aptos" w:hAnsi="Aptos"/>
                <w:sz w:val="18"/>
                <w:szCs w:val="18"/>
                <w:lang w:val="en-US"/>
              </w:rPr>
              <w:t>Western European and Other States</w:t>
            </w:r>
          </w:p>
        </w:tc>
        <w:tc>
          <w:tcPr>
            <w:tcW w:w="4079" w:type="dxa"/>
          </w:tcPr>
          <w:p w14:paraId="3705B5B7" w14:textId="514D3BCB" w:rsidR="00C63537" w:rsidRPr="00C63537" w:rsidRDefault="00C63537" w:rsidP="00AD7A09">
            <w:pPr>
              <w:rPr>
                <w:rFonts w:ascii="Aptos" w:hAnsi="Aptos"/>
                <w:sz w:val="18"/>
                <w:szCs w:val="18"/>
                <w:lang w:val="es-ES"/>
              </w:rPr>
            </w:pPr>
            <w:r w:rsidRPr="00C63537">
              <w:rPr>
                <w:rFonts w:ascii="Aptos" w:hAnsi="Aptos"/>
                <w:sz w:val="18"/>
                <w:szCs w:val="18"/>
                <w:lang w:val="es-ES"/>
              </w:rPr>
              <w:t>Estados de Europa Occidental y otros Estados</w:t>
            </w:r>
          </w:p>
        </w:tc>
      </w:tr>
    </w:tbl>
    <w:p w14:paraId="454DDBE1" w14:textId="77777777" w:rsidR="00B32FCB" w:rsidRPr="005E3D50" w:rsidRDefault="00B32FCB" w:rsidP="00B32FCB">
      <w:pPr>
        <w:rPr>
          <w:lang w:val="es-ES" w:eastAsia="ja-JP"/>
        </w:rPr>
      </w:pPr>
    </w:p>
    <w:p w14:paraId="14821EC1" w14:textId="6C5D87D6" w:rsidR="00AF630E" w:rsidRPr="005E3D50" w:rsidRDefault="00AF630E" w:rsidP="00AF630E">
      <w:pPr>
        <w:pStyle w:val="Caption"/>
        <w:rPr>
          <w:i w:val="0"/>
          <w:iCs w:val="0"/>
          <w:sz w:val="20"/>
          <w:szCs w:val="20"/>
          <w:lang w:val="es-ES"/>
        </w:rPr>
      </w:pPr>
      <w:r w:rsidRPr="005E3D50">
        <w:rPr>
          <w:i w:val="0"/>
          <w:iCs w:val="0"/>
          <w:sz w:val="20"/>
          <w:szCs w:val="20"/>
          <w:lang w:val="es-ES"/>
        </w:rPr>
        <w:t>Figura 30</w:t>
      </w:r>
    </w:p>
    <w:p w14:paraId="5EE2A0F0" w14:textId="5E43FCA3" w:rsidR="00AF630E" w:rsidRPr="005E3D50" w:rsidRDefault="00AF630E" w:rsidP="00AF630E">
      <w:pPr>
        <w:pStyle w:val="Caption"/>
        <w:rPr>
          <w:rFonts w:ascii="Aptos" w:hAnsi="Aptos"/>
          <w:b/>
          <w:bCs/>
          <w:i w:val="0"/>
          <w:iCs w:val="0"/>
          <w:sz w:val="20"/>
          <w:szCs w:val="20"/>
          <w:lang w:val="es-ES"/>
        </w:rPr>
      </w:pPr>
      <w:r w:rsidRPr="005E3D50">
        <w:rPr>
          <w:rFonts w:ascii="Aptos" w:hAnsi="Aptos"/>
          <w:b/>
          <w:bCs/>
          <w:i w:val="0"/>
          <w:iCs w:val="0"/>
          <w:sz w:val="20"/>
          <w:szCs w:val="20"/>
          <w:lang w:val="es-ES"/>
        </w:rPr>
        <w:t>Porcentaje de indicadores armonizados con la meta 6 del Marco que sugieren tendencias de mejora, estables y negativas, respectivamente</w:t>
      </w:r>
    </w:p>
    <w:p w14:paraId="2B208E10" w14:textId="77777777" w:rsidR="00AF630E" w:rsidRPr="005E3D50" w:rsidRDefault="00AF630E" w:rsidP="00B32FCB">
      <w:pPr>
        <w:rPr>
          <w:lang w:val="es-ES" w:eastAsia="ja-JP"/>
        </w:rPr>
      </w:pPr>
    </w:p>
    <w:p w14:paraId="4AEAD535" w14:textId="70BF24BE" w:rsidR="00E61F26" w:rsidRPr="005E3D50" w:rsidRDefault="00BE57E9" w:rsidP="005463F7">
      <w:pPr>
        <w:pStyle w:val="Caption"/>
        <w:rPr>
          <w:rFonts w:ascii="Aptos" w:hAnsi="Aptos"/>
          <w:i w:val="0"/>
          <w:lang w:val="es-ES"/>
        </w:rPr>
      </w:pPr>
      <w:bookmarkStart w:id="226" w:name="_Ref231153832"/>
      <w:r w:rsidRPr="005E3D50">
        <w:rPr>
          <w:noProof/>
          <w:lang w:val="en-US" w:eastAsia="en-US"/>
        </w:rPr>
        <w:lastRenderedPageBreak/>
        <w:drawing>
          <wp:inline distT="0" distB="0" distL="0" distR="0" wp14:anchorId="35D3E1A5" wp14:editId="302AC262">
            <wp:extent cx="5731510" cy="2456180"/>
            <wp:effectExtent l="0" t="0" r="0" b="0"/>
            <wp:docPr id="1742375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75090" name="Picture 1742375090"/>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26"/>
    <w:p w14:paraId="28639DD2" w14:textId="77777777" w:rsidR="004B1E88" w:rsidRPr="005E3D50" w:rsidRDefault="004B1E88" w:rsidP="004B1E88">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Las proporciones están ponderadas por Parte. Las tendencias incluyen datos de 1 indicador de cabecera de 21 Partes y 63 indicadores nacionales de un total de 17 Partes. El gráfico circular muestra la distribución de las Partes que presentaron indicadores para la meta 6,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23" w:type="dxa"/>
        <w:tblLook w:val="04A0" w:firstRow="1" w:lastRow="0" w:firstColumn="1" w:lastColumn="0" w:noHBand="0" w:noVBand="1"/>
      </w:tblPr>
      <w:tblGrid>
        <w:gridCol w:w="4855"/>
        <w:gridCol w:w="4368"/>
      </w:tblGrid>
      <w:tr w:rsidR="00687668" w:rsidRPr="00687668" w14:paraId="7464DAF9" w14:textId="77777777" w:rsidTr="00687668">
        <w:tc>
          <w:tcPr>
            <w:tcW w:w="9223" w:type="dxa"/>
            <w:gridSpan w:val="2"/>
          </w:tcPr>
          <w:p w14:paraId="01E06EEE" w14:textId="7E082E7F" w:rsidR="00687668"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30</w:t>
            </w:r>
          </w:p>
        </w:tc>
      </w:tr>
      <w:tr w:rsidR="00687668" w:rsidRPr="00687668" w14:paraId="7C66614D" w14:textId="77777777" w:rsidTr="00687668">
        <w:tc>
          <w:tcPr>
            <w:tcW w:w="4855" w:type="dxa"/>
          </w:tcPr>
          <w:p w14:paraId="5C31734C" w14:textId="53E9B149" w:rsidR="00687668" w:rsidRPr="002B1D2B" w:rsidRDefault="00687668" w:rsidP="00B93410">
            <w:pPr>
              <w:rPr>
                <w:rFonts w:ascii="Aptos" w:hAnsi="Aptos"/>
                <w:sz w:val="18"/>
                <w:szCs w:val="18"/>
                <w:lang w:val="es-ES"/>
              </w:rPr>
            </w:pPr>
            <w:r w:rsidRPr="002B1D2B">
              <w:rPr>
                <w:rFonts w:ascii="Aptos" w:hAnsi="Aptos"/>
                <w:sz w:val="18"/>
                <w:szCs w:val="18"/>
                <w:lang w:val="es-ES"/>
              </w:rPr>
              <w:t>English</w:t>
            </w:r>
          </w:p>
        </w:tc>
        <w:tc>
          <w:tcPr>
            <w:tcW w:w="4368" w:type="dxa"/>
          </w:tcPr>
          <w:p w14:paraId="702119BA" w14:textId="0ECEA444" w:rsidR="00687668"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687668" w:rsidRPr="00687668" w14:paraId="50B9FB48" w14:textId="77777777" w:rsidTr="00687668">
        <w:tc>
          <w:tcPr>
            <w:tcW w:w="4855" w:type="dxa"/>
          </w:tcPr>
          <w:p w14:paraId="7EAFC214" w14:textId="77777777" w:rsidR="00687668" w:rsidRPr="00687668" w:rsidRDefault="00687668" w:rsidP="00687668">
            <w:pPr>
              <w:rPr>
                <w:rFonts w:ascii="Aptos" w:hAnsi="Aptos"/>
                <w:sz w:val="18"/>
                <w:szCs w:val="18"/>
                <w:lang w:val="es-ES"/>
              </w:rPr>
            </w:pPr>
            <w:proofErr w:type="spellStart"/>
            <w:r w:rsidRPr="00687668">
              <w:rPr>
                <w:rFonts w:ascii="Aptos" w:hAnsi="Aptos"/>
                <w:sz w:val="18"/>
                <w:szCs w:val="18"/>
                <w:lang w:val="es-ES"/>
              </w:rPr>
              <w:t>Proportion</w:t>
            </w:r>
            <w:proofErr w:type="spellEnd"/>
          </w:p>
        </w:tc>
        <w:tc>
          <w:tcPr>
            <w:tcW w:w="4368" w:type="dxa"/>
          </w:tcPr>
          <w:p w14:paraId="37B563E4" w14:textId="0DBF47E6" w:rsidR="00687668" w:rsidRPr="00687668" w:rsidRDefault="00687668" w:rsidP="00687668">
            <w:pPr>
              <w:rPr>
                <w:rFonts w:ascii="Aptos" w:hAnsi="Aptos"/>
                <w:sz w:val="18"/>
                <w:szCs w:val="18"/>
                <w:lang w:val="es-ES"/>
              </w:rPr>
            </w:pPr>
            <w:r w:rsidRPr="00687668">
              <w:rPr>
                <w:rFonts w:ascii="Aptos" w:hAnsi="Aptos"/>
                <w:sz w:val="18"/>
                <w:szCs w:val="18"/>
                <w:lang w:val="es-ES"/>
              </w:rPr>
              <w:t>Proporción</w:t>
            </w:r>
          </w:p>
        </w:tc>
      </w:tr>
      <w:tr w:rsidR="00687668" w:rsidRPr="00687668" w14:paraId="44A6490A" w14:textId="77777777" w:rsidTr="00687668">
        <w:tc>
          <w:tcPr>
            <w:tcW w:w="4855" w:type="dxa"/>
          </w:tcPr>
          <w:p w14:paraId="09E9E548" w14:textId="77777777" w:rsidR="00687668" w:rsidRPr="00687668" w:rsidRDefault="00687668" w:rsidP="00687668">
            <w:pPr>
              <w:rPr>
                <w:rFonts w:ascii="Aptos" w:hAnsi="Aptos"/>
                <w:sz w:val="18"/>
                <w:szCs w:val="18"/>
                <w:lang w:val="es-ES"/>
              </w:rPr>
            </w:pPr>
            <w:r w:rsidRPr="00687668">
              <w:rPr>
                <w:rFonts w:ascii="Aptos" w:hAnsi="Aptos"/>
                <w:sz w:val="18"/>
                <w:szCs w:val="18"/>
                <w:lang w:val="es-ES"/>
              </w:rPr>
              <w:t xml:space="preserve">Current </w:t>
            </w:r>
            <w:proofErr w:type="gramStart"/>
            <w:r w:rsidRPr="00687668">
              <w:rPr>
                <w:rFonts w:ascii="Aptos" w:hAnsi="Aptos"/>
                <w:sz w:val="18"/>
                <w:szCs w:val="18"/>
                <w:lang w:val="es-ES"/>
              </w:rPr>
              <w:t>Status</w:t>
            </w:r>
            <w:proofErr w:type="gramEnd"/>
          </w:p>
        </w:tc>
        <w:tc>
          <w:tcPr>
            <w:tcW w:w="4368" w:type="dxa"/>
          </w:tcPr>
          <w:p w14:paraId="6D0DB2C0" w14:textId="7E35F919" w:rsidR="00687668" w:rsidRPr="00687668" w:rsidRDefault="00687668" w:rsidP="00687668">
            <w:pPr>
              <w:rPr>
                <w:rFonts w:ascii="Aptos" w:hAnsi="Aptos"/>
                <w:sz w:val="18"/>
                <w:szCs w:val="18"/>
                <w:lang w:val="es-ES"/>
              </w:rPr>
            </w:pPr>
            <w:r w:rsidRPr="00687668">
              <w:rPr>
                <w:rFonts w:ascii="Aptos" w:hAnsi="Aptos"/>
                <w:sz w:val="18"/>
                <w:szCs w:val="18"/>
                <w:lang w:val="es-ES"/>
              </w:rPr>
              <w:t>Estado actual</w:t>
            </w:r>
          </w:p>
        </w:tc>
      </w:tr>
      <w:tr w:rsidR="00687668" w:rsidRPr="00687668" w14:paraId="03B68075" w14:textId="77777777" w:rsidTr="00687668">
        <w:tc>
          <w:tcPr>
            <w:tcW w:w="4855" w:type="dxa"/>
          </w:tcPr>
          <w:p w14:paraId="3A4CD5EE" w14:textId="77777777" w:rsidR="00687668" w:rsidRPr="00687668" w:rsidRDefault="00687668" w:rsidP="00687668">
            <w:pPr>
              <w:rPr>
                <w:rFonts w:ascii="Aptos" w:hAnsi="Aptos"/>
                <w:sz w:val="18"/>
                <w:szCs w:val="18"/>
                <w:lang w:val="es-ES"/>
              </w:rPr>
            </w:pPr>
            <w:proofErr w:type="spellStart"/>
            <w:r w:rsidRPr="00687668">
              <w:rPr>
                <w:rFonts w:ascii="Aptos" w:hAnsi="Aptos"/>
                <w:sz w:val="18"/>
                <w:szCs w:val="18"/>
                <w:lang w:val="es-ES"/>
              </w:rPr>
              <w:t>improving</w:t>
            </w:r>
            <w:proofErr w:type="spellEnd"/>
          </w:p>
        </w:tc>
        <w:tc>
          <w:tcPr>
            <w:tcW w:w="4368" w:type="dxa"/>
          </w:tcPr>
          <w:p w14:paraId="30B7E860" w14:textId="77A23D46" w:rsidR="00687668" w:rsidRPr="00687668" w:rsidRDefault="00687668" w:rsidP="00687668">
            <w:pPr>
              <w:rPr>
                <w:rFonts w:ascii="Aptos" w:hAnsi="Aptos"/>
                <w:sz w:val="18"/>
                <w:szCs w:val="18"/>
                <w:lang w:val="es-ES"/>
              </w:rPr>
            </w:pPr>
            <w:r w:rsidRPr="00687668">
              <w:rPr>
                <w:rFonts w:ascii="Aptos" w:hAnsi="Aptos"/>
                <w:sz w:val="18"/>
                <w:szCs w:val="18"/>
                <w:lang w:val="es-ES"/>
              </w:rPr>
              <w:t>mejorando</w:t>
            </w:r>
          </w:p>
        </w:tc>
      </w:tr>
      <w:tr w:rsidR="00687668" w:rsidRPr="00687668" w14:paraId="572A6296" w14:textId="77777777" w:rsidTr="00687668">
        <w:tc>
          <w:tcPr>
            <w:tcW w:w="4855" w:type="dxa"/>
          </w:tcPr>
          <w:p w14:paraId="0B6AC32D" w14:textId="77777777" w:rsidR="00687668" w:rsidRPr="00687668" w:rsidRDefault="00687668" w:rsidP="00687668">
            <w:pPr>
              <w:rPr>
                <w:rFonts w:ascii="Aptos" w:hAnsi="Aptos"/>
                <w:sz w:val="18"/>
                <w:szCs w:val="18"/>
                <w:lang w:val="es-ES"/>
              </w:rPr>
            </w:pPr>
            <w:proofErr w:type="spellStart"/>
            <w:r w:rsidRPr="00687668">
              <w:rPr>
                <w:rFonts w:ascii="Aptos" w:hAnsi="Aptos"/>
                <w:sz w:val="18"/>
                <w:szCs w:val="18"/>
                <w:lang w:val="es-ES"/>
              </w:rPr>
              <w:t>stable</w:t>
            </w:r>
            <w:proofErr w:type="spellEnd"/>
          </w:p>
        </w:tc>
        <w:tc>
          <w:tcPr>
            <w:tcW w:w="4368" w:type="dxa"/>
          </w:tcPr>
          <w:p w14:paraId="19CE5171" w14:textId="261596C0" w:rsidR="00687668" w:rsidRPr="00687668" w:rsidRDefault="00687668" w:rsidP="00687668">
            <w:pPr>
              <w:rPr>
                <w:rFonts w:ascii="Aptos" w:hAnsi="Aptos"/>
                <w:sz w:val="18"/>
                <w:szCs w:val="18"/>
                <w:lang w:val="es-ES"/>
              </w:rPr>
            </w:pPr>
            <w:r w:rsidRPr="00687668">
              <w:rPr>
                <w:rFonts w:ascii="Aptos" w:hAnsi="Aptos"/>
                <w:sz w:val="18"/>
                <w:szCs w:val="18"/>
                <w:lang w:val="es-ES"/>
              </w:rPr>
              <w:t>estable</w:t>
            </w:r>
          </w:p>
        </w:tc>
      </w:tr>
      <w:tr w:rsidR="00687668" w:rsidRPr="00687668" w14:paraId="1FF4A2BA" w14:textId="77777777" w:rsidTr="00687668">
        <w:tc>
          <w:tcPr>
            <w:tcW w:w="4855" w:type="dxa"/>
          </w:tcPr>
          <w:p w14:paraId="1014E6B1" w14:textId="77777777" w:rsidR="00687668" w:rsidRPr="00687668" w:rsidRDefault="00687668" w:rsidP="00687668">
            <w:pPr>
              <w:rPr>
                <w:rFonts w:ascii="Aptos" w:hAnsi="Aptos"/>
                <w:sz w:val="18"/>
                <w:szCs w:val="18"/>
                <w:lang w:val="es-ES"/>
              </w:rPr>
            </w:pPr>
            <w:proofErr w:type="spellStart"/>
            <w:r w:rsidRPr="00687668">
              <w:rPr>
                <w:rFonts w:ascii="Aptos" w:hAnsi="Aptos"/>
                <w:sz w:val="18"/>
                <w:szCs w:val="18"/>
                <w:lang w:val="es-ES"/>
              </w:rPr>
              <w:t>moving</w:t>
            </w:r>
            <w:proofErr w:type="spellEnd"/>
            <w:r w:rsidRPr="00687668">
              <w:rPr>
                <w:rFonts w:ascii="Aptos" w:hAnsi="Aptos"/>
                <w:sz w:val="18"/>
                <w:szCs w:val="18"/>
                <w:lang w:val="es-ES"/>
              </w:rPr>
              <w:t xml:space="preserve"> </w:t>
            </w:r>
            <w:proofErr w:type="spellStart"/>
            <w:r w:rsidRPr="00687668">
              <w:rPr>
                <w:rFonts w:ascii="Aptos" w:hAnsi="Aptos"/>
                <w:sz w:val="18"/>
                <w:szCs w:val="18"/>
                <w:lang w:val="es-ES"/>
              </w:rPr>
              <w:t>away</w:t>
            </w:r>
            <w:proofErr w:type="spellEnd"/>
          </w:p>
        </w:tc>
        <w:tc>
          <w:tcPr>
            <w:tcW w:w="4368" w:type="dxa"/>
          </w:tcPr>
          <w:p w14:paraId="0CE2D1BF" w14:textId="25450204" w:rsidR="00687668" w:rsidRPr="00687668" w:rsidRDefault="00687668" w:rsidP="00687668">
            <w:pPr>
              <w:rPr>
                <w:rFonts w:ascii="Aptos" w:hAnsi="Aptos"/>
                <w:sz w:val="18"/>
                <w:szCs w:val="18"/>
                <w:lang w:val="es-ES"/>
              </w:rPr>
            </w:pPr>
            <w:r w:rsidRPr="00687668">
              <w:rPr>
                <w:rFonts w:ascii="Aptos" w:hAnsi="Aptos"/>
                <w:sz w:val="18"/>
                <w:szCs w:val="18"/>
                <w:lang w:val="es-ES"/>
              </w:rPr>
              <w:t>alejándose</w:t>
            </w:r>
          </w:p>
        </w:tc>
      </w:tr>
      <w:tr w:rsidR="00687668" w:rsidRPr="00687668" w14:paraId="441772F2" w14:textId="77777777" w:rsidTr="00687668">
        <w:tc>
          <w:tcPr>
            <w:tcW w:w="4855" w:type="dxa"/>
          </w:tcPr>
          <w:p w14:paraId="07136F5F" w14:textId="77777777" w:rsidR="00687668" w:rsidRPr="00687668" w:rsidRDefault="00687668" w:rsidP="00687668">
            <w:pPr>
              <w:rPr>
                <w:rFonts w:ascii="Aptos" w:hAnsi="Aptos"/>
                <w:sz w:val="18"/>
                <w:szCs w:val="18"/>
                <w:lang w:val="es-ES"/>
              </w:rPr>
            </w:pPr>
            <w:r w:rsidRPr="00687668">
              <w:rPr>
                <w:rFonts w:ascii="Aptos" w:hAnsi="Aptos"/>
                <w:sz w:val="18"/>
                <w:szCs w:val="18"/>
                <w:lang w:val="es-ES"/>
              </w:rPr>
              <w:t xml:space="preserve">Party </w:t>
            </w:r>
            <w:proofErr w:type="spellStart"/>
            <w:r w:rsidRPr="00687668">
              <w:rPr>
                <w:rFonts w:ascii="Aptos" w:hAnsi="Aptos"/>
                <w:sz w:val="18"/>
                <w:szCs w:val="18"/>
                <w:lang w:val="es-ES"/>
              </w:rPr>
              <w:t>count</w:t>
            </w:r>
            <w:proofErr w:type="spellEnd"/>
            <w:r w:rsidRPr="00687668">
              <w:rPr>
                <w:rFonts w:ascii="Aptos" w:hAnsi="Aptos"/>
                <w:sz w:val="18"/>
                <w:szCs w:val="18"/>
                <w:lang w:val="es-ES"/>
              </w:rPr>
              <w:t>: 35</w:t>
            </w:r>
          </w:p>
        </w:tc>
        <w:tc>
          <w:tcPr>
            <w:tcW w:w="4368" w:type="dxa"/>
          </w:tcPr>
          <w:p w14:paraId="0FA45306" w14:textId="636B2B1E" w:rsidR="00687668" w:rsidRPr="00687668" w:rsidRDefault="00687668" w:rsidP="00687668">
            <w:pPr>
              <w:rPr>
                <w:rFonts w:ascii="Aptos" w:hAnsi="Aptos"/>
                <w:sz w:val="18"/>
                <w:szCs w:val="18"/>
                <w:lang w:val="es-ES"/>
              </w:rPr>
            </w:pPr>
            <w:r w:rsidRPr="00687668">
              <w:rPr>
                <w:rFonts w:ascii="Aptos" w:hAnsi="Aptos"/>
                <w:sz w:val="18"/>
                <w:szCs w:val="18"/>
                <w:lang w:val="es-ES"/>
              </w:rPr>
              <w:t>Número de Partes: 35</w:t>
            </w:r>
          </w:p>
        </w:tc>
      </w:tr>
      <w:tr w:rsidR="00687668" w:rsidRPr="00687668" w14:paraId="3283BB26" w14:textId="77777777" w:rsidTr="00687668">
        <w:tc>
          <w:tcPr>
            <w:tcW w:w="4855" w:type="dxa"/>
          </w:tcPr>
          <w:p w14:paraId="52A197C9" w14:textId="77777777" w:rsidR="00687668" w:rsidRPr="00687668" w:rsidRDefault="00687668" w:rsidP="00687668">
            <w:pPr>
              <w:rPr>
                <w:rFonts w:ascii="Aptos" w:hAnsi="Aptos"/>
                <w:sz w:val="18"/>
                <w:szCs w:val="18"/>
                <w:lang w:val="es-ES"/>
              </w:rPr>
            </w:pPr>
            <w:proofErr w:type="spellStart"/>
            <w:r w:rsidRPr="00687668">
              <w:rPr>
                <w:rFonts w:ascii="Aptos" w:hAnsi="Aptos"/>
                <w:sz w:val="18"/>
                <w:szCs w:val="18"/>
                <w:lang w:val="es-ES"/>
              </w:rPr>
              <w:t>Region</w:t>
            </w:r>
            <w:proofErr w:type="spellEnd"/>
          </w:p>
        </w:tc>
        <w:tc>
          <w:tcPr>
            <w:tcW w:w="4368" w:type="dxa"/>
          </w:tcPr>
          <w:p w14:paraId="1C48ED1D" w14:textId="21620BAC" w:rsidR="00687668" w:rsidRPr="00687668" w:rsidRDefault="00687668" w:rsidP="00687668">
            <w:pPr>
              <w:rPr>
                <w:rFonts w:ascii="Aptos" w:hAnsi="Aptos"/>
                <w:sz w:val="18"/>
                <w:szCs w:val="18"/>
                <w:lang w:val="es-ES"/>
              </w:rPr>
            </w:pPr>
            <w:r w:rsidRPr="00687668">
              <w:rPr>
                <w:rFonts w:ascii="Aptos" w:hAnsi="Aptos"/>
                <w:sz w:val="18"/>
                <w:szCs w:val="18"/>
                <w:lang w:val="es-ES"/>
              </w:rPr>
              <w:t>Región</w:t>
            </w:r>
          </w:p>
        </w:tc>
      </w:tr>
      <w:tr w:rsidR="00687668" w:rsidRPr="00687668" w14:paraId="38DD43E8" w14:textId="77777777" w:rsidTr="00687668">
        <w:tc>
          <w:tcPr>
            <w:tcW w:w="4855" w:type="dxa"/>
          </w:tcPr>
          <w:p w14:paraId="02AF6CC9" w14:textId="77777777" w:rsidR="00687668" w:rsidRPr="00687668" w:rsidRDefault="00687668" w:rsidP="00687668">
            <w:pPr>
              <w:rPr>
                <w:rFonts w:ascii="Aptos" w:hAnsi="Aptos"/>
                <w:sz w:val="18"/>
                <w:szCs w:val="18"/>
                <w:lang w:val="es-ES"/>
              </w:rPr>
            </w:pPr>
            <w:r w:rsidRPr="00687668">
              <w:rPr>
                <w:rFonts w:ascii="Aptos" w:hAnsi="Aptos"/>
                <w:sz w:val="18"/>
                <w:szCs w:val="18"/>
                <w:lang w:val="es-ES"/>
              </w:rPr>
              <w:t>African States</w:t>
            </w:r>
          </w:p>
        </w:tc>
        <w:tc>
          <w:tcPr>
            <w:tcW w:w="4368" w:type="dxa"/>
          </w:tcPr>
          <w:p w14:paraId="1EED158A" w14:textId="49667CEE" w:rsidR="00687668" w:rsidRPr="00687668" w:rsidRDefault="00687668" w:rsidP="00687668">
            <w:pPr>
              <w:rPr>
                <w:rFonts w:ascii="Aptos" w:hAnsi="Aptos"/>
                <w:sz w:val="18"/>
                <w:szCs w:val="18"/>
                <w:lang w:val="es-ES"/>
              </w:rPr>
            </w:pPr>
            <w:r w:rsidRPr="00687668">
              <w:rPr>
                <w:rFonts w:ascii="Aptos" w:hAnsi="Aptos"/>
                <w:sz w:val="18"/>
                <w:szCs w:val="18"/>
                <w:lang w:val="es-ES"/>
              </w:rPr>
              <w:t>Estados de África</w:t>
            </w:r>
          </w:p>
        </w:tc>
      </w:tr>
      <w:tr w:rsidR="00687668" w:rsidRPr="00687668" w14:paraId="627AFF7F" w14:textId="77777777" w:rsidTr="00687668">
        <w:tc>
          <w:tcPr>
            <w:tcW w:w="4855" w:type="dxa"/>
          </w:tcPr>
          <w:p w14:paraId="1B82E157" w14:textId="77777777" w:rsidR="00687668" w:rsidRPr="00687668" w:rsidRDefault="00687668" w:rsidP="00687668">
            <w:pPr>
              <w:rPr>
                <w:rFonts w:ascii="Aptos" w:hAnsi="Aptos"/>
                <w:sz w:val="18"/>
                <w:szCs w:val="18"/>
                <w:lang w:val="es-ES"/>
              </w:rPr>
            </w:pPr>
            <w:r w:rsidRPr="00687668">
              <w:rPr>
                <w:rFonts w:ascii="Aptos" w:hAnsi="Aptos"/>
                <w:sz w:val="18"/>
                <w:szCs w:val="18"/>
                <w:lang w:val="es-ES"/>
              </w:rPr>
              <w:t>Asia-Pacific States</w:t>
            </w:r>
          </w:p>
        </w:tc>
        <w:tc>
          <w:tcPr>
            <w:tcW w:w="4368" w:type="dxa"/>
          </w:tcPr>
          <w:p w14:paraId="070B9A14" w14:textId="7BD3A02E" w:rsidR="00687668" w:rsidRPr="00687668" w:rsidRDefault="00687668" w:rsidP="00687668">
            <w:pPr>
              <w:rPr>
                <w:rFonts w:ascii="Aptos" w:hAnsi="Aptos"/>
                <w:sz w:val="18"/>
                <w:szCs w:val="18"/>
                <w:lang w:val="es-ES"/>
              </w:rPr>
            </w:pPr>
            <w:r w:rsidRPr="00687668">
              <w:rPr>
                <w:rFonts w:ascii="Aptos" w:hAnsi="Aptos"/>
                <w:sz w:val="18"/>
                <w:szCs w:val="18"/>
                <w:lang w:val="es-ES"/>
              </w:rPr>
              <w:t>Estados de Asia y el Pacífico</w:t>
            </w:r>
          </w:p>
        </w:tc>
      </w:tr>
      <w:tr w:rsidR="00687668" w:rsidRPr="00687668" w14:paraId="0D95E74A" w14:textId="77777777" w:rsidTr="00687668">
        <w:tc>
          <w:tcPr>
            <w:tcW w:w="4855" w:type="dxa"/>
          </w:tcPr>
          <w:p w14:paraId="23A88640" w14:textId="77777777" w:rsidR="00687668" w:rsidRPr="00687668" w:rsidRDefault="00687668" w:rsidP="00687668">
            <w:pPr>
              <w:rPr>
                <w:rFonts w:ascii="Aptos" w:hAnsi="Aptos"/>
                <w:sz w:val="18"/>
                <w:szCs w:val="18"/>
                <w:lang w:val="en-US"/>
              </w:rPr>
            </w:pPr>
            <w:r w:rsidRPr="00687668">
              <w:rPr>
                <w:rFonts w:ascii="Aptos" w:hAnsi="Aptos"/>
                <w:sz w:val="18"/>
                <w:szCs w:val="18"/>
                <w:lang w:val="en-US"/>
              </w:rPr>
              <w:t>Latin American and Caribbean States</w:t>
            </w:r>
          </w:p>
        </w:tc>
        <w:tc>
          <w:tcPr>
            <w:tcW w:w="4368" w:type="dxa"/>
          </w:tcPr>
          <w:p w14:paraId="13331A4C" w14:textId="00B5103B" w:rsidR="00687668" w:rsidRPr="00687668" w:rsidRDefault="00687668" w:rsidP="00687668">
            <w:pPr>
              <w:rPr>
                <w:rFonts w:ascii="Aptos" w:hAnsi="Aptos"/>
                <w:sz w:val="18"/>
                <w:szCs w:val="18"/>
                <w:lang w:val="es-ES"/>
              </w:rPr>
            </w:pPr>
            <w:r w:rsidRPr="00687668">
              <w:rPr>
                <w:rFonts w:ascii="Aptos" w:hAnsi="Aptos"/>
                <w:sz w:val="18"/>
                <w:szCs w:val="18"/>
                <w:lang w:val="es-ES"/>
              </w:rPr>
              <w:t>Estados de América Latina y el Caribe</w:t>
            </w:r>
          </w:p>
        </w:tc>
      </w:tr>
      <w:tr w:rsidR="00687668" w:rsidRPr="00687668" w14:paraId="636002DD" w14:textId="77777777" w:rsidTr="00687668">
        <w:tc>
          <w:tcPr>
            <w:tcW w:w="4855" w:type="dxa"/>
          </w:tcPr>
          <w:p w14:paraId="4AD6B79B" w14:textId="77777777" w:rsidR="00687668" w:rsidRPr="00687668" w:rsidRDefault="00687668" w:rsidP="00687668">
            <w:pPr>
              <w:rPr>
                <w:rFonts w:ascii="Aptos" w:hAnsi="Aptos"/>
                <w:sz w:val="18"/>
                <w:szCs w:val="18"/>
                <w:lang w:val="es-ES"/>
              </w:rPr>
            </w:pPr>
            <w:r w:rsidRPr="00687668">
              <w:rPr>
                <w:rFonts w:ascii="Aptos" w:hAnsi="Aptos"/>
                <w:sz w:val="18"/>
                <w:szCs w:val="18"/>
                <w:lang w:val="es-ES"/>
              </w:rPr>
              <w:t xml:space="preserve"> Eastern European States</w:t>
            </w:r>
          </w:p>
        </w:tc>
        <w:tc>
          <w:tcPr>
            <w:tcW w:w="4368" w:type="dxa"/>
          </w:tcPr>
          <w:p w14:paraId="2A4E9837" w14:textId="3D3C634D" w:rsidR="00687668" w:rsidRPr="00687668" w:rsidRDefault="00687668" w:rsidP="00687668">
            <w:pPr>
              <w:rPr>
                <w:rFonts w:ascii="Aptos" w:hAnsi="Aptos"/>
                <w:sz w:val="18"/>
                <w:szCs w:val="18"/>
                <w:lang w:val="es-ES"/>
              </w:rPr>
            </w:pPr>
            <w:r w:rsidRPr="00687668">
              <w:rPr>
                <w:rFonts w:ascii="Aptos" w:hAnsi="Aptos"/>
                <w:sz w:val="18"/>
                <w:szCs w:val="18"/>
                <w:lang w:val="es-ES"/>
              </w:rPr>
              <w:t>Estados de Europa Oriental</w:t>
            </w:r>
          </w:p>
        </w:tc>
      </w:tr>
      <w:tr w:rsidR="00687668" w:rsidRPr="00687668" w14:paraId="7E310364" w14:textId="77777777" w:rsidTr="00687668">
        <w:tc>
          <w:tcPr>
            <w:tcW w:w="4855" w:type="dxa"/>
          </w:tcPr>
          <w:p w14:paraId="755AB5B8" w14:textId="77777777" w:rsidR="00687668" w:rsidRPr="00687668" w:rsidRDefault="00687668" w:rsidP="00687668">
            <w:pPr>
              <w:rPr>
                <w:rFonts w:ascii="Aptos" w:hAnsi="Aptos"/>
                <w:sz w:val="18"/>
                <w:szCs w:val="18"/>
                <w:lang w:val="en-US"/>
              </w:rPr>
            </w:pPr>
            <w:r w:rsidRPr="00687668">
              <w:rPr>
                <w:rFonts w:ascii="Aptos" w:hAnsi="Aptos"/>
                <w:sz w:val="18"/>
                <w:szCs w:val="18"/>
                <w:lang w:val="en-US"/>
              </w:rPr>
              <w:t>Western European and other States</w:t>
            </w:r>
          </w:p>
        </w:tc>
        <w:tc>
          <w:tcPr>
            <w:tcW w:w="4368" w:type="dxa"/>
          </w:tcPr>
          <w:p w14:paraId="33FA4117" w14:textId="50BA5FD5" w:rsidR="00687668" w:rsidRPr="00687668" w:rsidRDefault="00687668" w:rsidP="00687668">
            <w:pPr>
              <w:rPr>
                <w:rFonts w:ascii="Aptos" w:hAnsi="Aptos"/>
                <w:sz w:val="18"/>
                <w:szCs w:val="18"/>
                <w:lang w:val="es-ES"/>
              </w:rPr>
            </w:pPr>
            <w:r w:rsidRPr="00687668">
              <w:rPr>
                <w:rFonts w:ascii="Aptos" w:hAnsi="Aptos"/>
                <w:sz w:val="18"/>
                <w:szCs w:val="18"/>
                <w:lang w:val="es-ES"/>
              </w:rPr>
              <w:t>Estados de Europa Occidental y otros Estados</w:t>
            </w:r>
          </w:p>
        </w:tc>
      </w:tr>
    </w:tbl>
    <w:p w14:paraId="055C68DF" w14:textId="77777777" w:rsidR="00B70AA4" w:rsidRPr="005E3D50" w:rsidRDefault="00B70AA4" w:rsidP="00B70AA4">
      <w:pPr>
        <w:rPr>
          <w:lang w:val="es-ES"/>
        </w:rPr>
      </w:pPr>
    </w:p>
    <w:p w14:paraId="452FF001" w14:textId="77777777" w:rsidR="00B70AA4" w:rsidRPr="005E3D50" w:rsidRDefault="00B70AA4" w:rsidP="00377C60">
      <w:pPr>
        <w:pStyle w:val="Heading5"/>
        <w:rPr>
          <w:lang w:val="es-ES"/>
        </w:rPr>
      </w:pPr>
      <w:bookmarkStart w:id="227" w:name="_Toc235821119"/>
      <w:r w:rsidRPr="005E3D50">
        <w:rPr>
          <w:lang w:val="es-ES"/>
        </w:rPr>
        <w:t>Autoevaluación de progresos</w:t>
      </w:r>
      <w:bookmarkEnd w:id="227"/>
    </w:p>
    <w:p w14:paraId="3E279923" w14:textId="15D4F04D" w:rsidR="00C2078E" w:rsidRPr="005E3D50" w:rsidRDefault="00C2078E" w:rsidP="00C2078E">
      <w:pPr>
        <w:rPr>
          <w:rStyle w:val="eop"/>
          <w:rFonts w:ascii="Aptos" w:hAnsi="Aptos"/>
          <w:lang w:val="es-ES"/>
        </w:rPr>
      </w:pPr>
      <w:r w:rsidRPr="005E3D50">
        <w:rPr>
          <w:lang w:val="es-ES"/>
        </w:rPr>
        <w:t>Según la autoevaluación realizada por las Partes en sus informes nacionales, menos de un tercio (31 %) de las metas presentadas como estrechamente armonizadas con la meta 6 están en vías de alcanzarse, frente al 66 % que no muestran progresos significativos o muestran progresos insuficientes, y muy pocas (1 %, correspondiente a dos metas nacionales) que se informa que ya se alcanzaron (véase la figura 31).</w:t>
      </w:r>
      <w:r w:rsidRPr="005E3D50">
        <w:rPr>
          <w:rStyle w:val="eop"/>
          <w:rFonts w:ascii="Aptos" w:hAnsi="Aptos"/>
          <w:lang w:val="es-ES"/>
        </w:rPr>
        <w:t> </w:t>
      </w:r>
    </w:p>
    <w:p w14:paraId="146DCC52" w14:textId="77777777" w:rsidR="00D35C02" w:rsidRPr="005E3D50" w:rsidRDefault="00D35C02" w:rsidP="00C2078E">
      <w:pPr>
        <w:rPr>
          <w:rStyle w:val="eop"/>
          <w:rFonts w:ascii="Aptos" w:hAnsi="Aptos"/>
          <w:lang w:val="es-ES"/>
        </w:rPr>
      </w:pPr>
    </w:p>
    <w:p w14:paraId="026A69E4" w14:textId="2CF848A8" w:rsidR="00D35C02" w:rsidRPr="005E3D50" w:rsidRDefault="00D35C02" w:rsidP="00D35C02">
      <w:pPr>
        <w:pStyle w:val="Caption"/>
        <w:rPr>
          <w:i w:val="0"/>
          <w:iCs w:val="0"/>
          <w:sz w:val="20"/>
          <w:szCs w:val="20"/>
          <w:lang w:val="es-ES"/>
        </w:rPr>
      </w:pPr>
      <w:r w:rsidRPr="005E3D50">
        <w:rPr>
          <w:i w:val="0"/>
          <w:iCs w:val="0"/>
          <w:sz w:val="20"/>
          <w:szCs w:val="20"/>
          <w:lang w:val="es-ES"/>
        </w:rPr>
        <w:t xml:space="preserve">Figura 31 </w:t>
      </w:r>
    </w:p>
    <w:p w14:paraId="476CFDAF" w14:textId="77777777" w:rsidR="00D35C02" w:rsidRPr="005E3D50" w:rsidRDefault="00D35C02" w:rsidP="00D35C02">
      <w:pPr>
        <w:pStyle w:val="Caption"/>
        <w:rPr>
          <w:b/>
          <w:bCs/>
          <w:i w:val="0"/>
          <w:iCs w:val="0"/>
          <w:sz w:val="20"/>
          <w:szCs w:val="20"/>
          <w:lang w:val="es-ES"/>
        </w:rPr>
      </w:pPr>
      <w:r w:rsidRPr="005E3D50">
        <w:rPr>
          <w:b/>
          <w:bCs/>
          <w:i w:val="0"/>
          <w:iCs w:val="0"/>
          <w:sz w:val="20"/>
          <w:szCs w:val="20"/>
          <w:lang w:val="es-ES"/>
        </w:rPr>
        <w:lastRenderedPageBreak/>
        <w:t xml:space="preserve">Progresos indicados por las autoevaluaciones para todas las metas nacionales presentadas como estrechamente armonizadas con la meta 6 del Marco </w:t>
      </w:r>
    </w:p>
    <w:p w14:paraId="29EF3A7D" w14:textId="77777777" w:rsidR="00672082" w:rsidRPr="005E3D50" w:rsidRDefault="00672082" w:rsidP="00C2078E">
      <w:pPr>
        <w:rPr>
          <w:rStyle w:val="eop"/>
          <w:rFonts w:ascii="Aptos" w:hAnsi="Aptos"/>
          <w:lang w:val="es-ES"/>
        </w:rPr>
      </w:pPr>
    </w:p>
    <w:p w14:paraId="3A837A40" w14:textId="31F53F54" w:rsidR="00E61F26" w:rsidRPr="005E3D50" w:rsidRDefault="00C2078E" w:rsidP="005463F7">
      <w:pPr>
        <w:pStyle w:val="Caption"/>
        <w:rPr>
          <w:lang w:val="es-ES"/>
        </w:rPr>
      </w:pPr>
      <w:bookmarkStart w:id="228" w:name="_Ref231154082"/>
      <w:r w:rsidRPr="005E3D50">
        <w:rPr>
          <w:rFonts w:ascii="Aptos" w:hAnsi="Aptos"/>
          <w:noProof/>
          <w:lang w:val="en-US" w:eastAsia="en-US"/>
        </w:rPr>
        <w:drawing>
          <wp:inline distT="0" distB="0" distL="0" distR="0" wp14:anchorId="4E00CCE6" wp14:editId="0FC171E5">
            <wp:extent cx="5731510" cy="2292350"/>
            <wp:effectExtent l="0" t="0" r="0" b="6350"/>
            <wp:docPr id="210014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42132" name="Picture 2100142132"/>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28"/>
    <w:p w14:paraId="5499245E" w14:textId="77777777" w:rsidR="00807E50" w:rsidRDefault="00807E50" w:rsidP="00807E50">
      <w:pPr>
        <w:pStyle w:val="Caption"/>
        <w:rPr>
          <w:rFonts w:ascii="Aptos" w:hAnsi="Aptos"/>
          <w:i w:val="0"/>
          <w:iCs w:val="0"/>
          <w:lang w:val="es-ES"/>
        </w:rPr>
      </w:pPr>
      <w:r w:rsidRPr="005E3D50">
        <w:rPr>
          <w:lang w:val="es-ES"/>
        </w:rPr>
        <w:t>Nota:</w:t>
      </w:r>
      <w:r w:rsidRPr="005E3D50">
        <w:rPr>
          <w:i w:val="0"/>
          <w:iCs w:val="0"/>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hAnsi="Aptos"/>
          <w:i w:val="0"/>
          <w:iCs w:val="0"/>
          <w:lang w:val="es-ES"/>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66" w:type="dxa"/>
        <w:tblLook w:val="04A0" w:firstRow="1" w:lastRow="0" w:firstColumn="1" w:lastColumn="0" w:noHBand="0" w:noVBand="1"/>
      </w:tblPr>
      <w:tblGrid>
        <w:gridCol w:w="5133"/>
        <w:gridCol w:w="4233"/>
      </w:tblGrid>
      <w:tr w:rsidR="00FD24E0" w:rsidRPr="00FD24E0" w14:paraId="55EF436B" w14:textId="77777777" w:rsidTr="00FD24E0">
        <w:tc>
          <w:tcPr>
            <w:tcW w:w="9366" w:type="dxa"/>
            <w:gridSpan w:val="2"/>
          </w:tcPr>
          <w:p w14:paraId="367C5BE7" w14:textId="70AE86C6" w:rsidR="00FD24E0"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31</w:t>
            </w:r>
          </w:p>
        </w:tc>
      </w:tr>
      <w:tr w:rsidR="00FD24E0" w:rsidRPr="00FD24E0" w14:paraId="654AF80A" w14:textId="77777777" w:rsidTr="00FD24E0">
        <w:tc>
          <w:tcPr>
            <w:tcW w:w="5133" w:type="dxa"/>
          </w:tcPr>
          <w:p w14:paraId="56FA4F83" w14:textId="54038CB3" w:rsidR="00FD24E0" w:rsidRPr="002B1D2B" w:rsidRDefault="00FD24E0" w:rsidP="00B93410">
            <w:pPr>
              <w:rPr>
                <w:rFonts w:ascii="Aptos" w:hAnsi="Aptos"/>
                <w:sz w:val="18"/>
                <w:szCs w:val="18"/>
                <w:lang w:val="es-ES"/>
              </w:rPr>
            </w:pPr>
            <w:r w:rsidRPr="002B1D2B">
              <w:rPr>
                <w:rFonts w:ascii="Aptos" w:hAnsi="Aptos"/>
                <w:sz w:val="18"/>
                <w:szCs w:val="18"/>
                <w:lang w:val="es-ES"/>
              </w:rPr>
              <w:t>English</w:t>
            </w:r>
          </w:p>
        </w:tc>
        <w:tc>
          <w:tcPr>
            <w:tcW w:w="4232" w:type="dxa"/>
          </w:tcPr>
          <w:p w14:paraId="5BC94727" w14:textId="625607FB" w:rsidR="00FD24E0"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FD24E0" w:rsidRPr="00FD24E0" w14:paraId="23EC0A51" w14:textId="77777777" w:rsidTr="00FD24E0">
        <w:tc>
          <w:tcPr>
            <w:tcW w:w="5133" w:type="dxa"/>
          </w:tcPr>
          <w:p w14:paraId="081A83D5" w14:textId="77777777" w:rsidR="00FD24E0" w:rsidRPr="00FD24E0" w:rsidRDefault="00FD24E0" w:rsidP="00FD24E0">
            <w:pPr>
              <w:rPr>
                <w:rFonts w:ascii="Aptos" w:hAnsi="Aptos"/>
                <w:sz w:val="18"/>
                <w:szCs w:val="18"/>
                <w:lang w:val="es-ES"/>
              </w:rPr>
            </w:pPr>
            <w:proofErr w:type="spellStart"/>
            <w:r w:rsidRPr="00FD24E0">
              <w:rPr>
                <w:rFonts w:ascii="Aptos" w:hAnsi="Aptos"/>
                <w:sz w:val="18"/>
                <w:szCs w:val="18"/>
                <w:lang w:val="es-ES"/>
              </w:rPr>
              <w:t>Percentage</w:t>
            </w:r>
            <w:proofErr w:type="spellEnd"/>
            <w:r w:rsidRPr="00FD24E0">
              <w:rPr>
                <w:rFonts w:ascii="Aptos" w:hAnsi="Aptos"/>
                <w:sz w:val="18"/>
                <w:szCs w:val="18"/>
                <w:lang w:val="es-ES"/>
              </w:rPr>
              <w:t xml:space="preserve"> of </w:t>
            </w:r>
            <w:proofErr w:type="spellStart"/>
            <w:r w:rsidRPr="00FD24E0">
              <w:rPr>
                <w:rFonts w:ascii="Aptos" w:hAnsi="Aptos"/>
                <w:sz w:val="18"/>
                <w:szCs w:val="18"/>
                <w:lang w:val="es-ES"/>
              </w:rPr>
              <w:t>national</w:t>
            </w:r>
            <w:proofErr w:type="spellEnd"/>
            <w:r w:rsidRPr="00FD24E0">
              <w:rPr>
                <w:rFonts w:ascii="Aptos" w:hAnsi="Aptos"/>
                <w:sz w:val="18"/>
                <w:szCs w:val="18"/>
                <w:lang w:val="es-ES"/>
              </w:rPr>
              <w:t xml:space="preserve"> targets</w:t>
            </w:r>
          </w:p>
        </w:tc>
        <w:tc>
          <w:tcPr>
            <w:tcW w:w="4232" w:type="dxa"/>
          </w:tcPr>
          <w:p w14:paraId="7C4040F1" w14:textId="6ABCF7CD" w:rsidR="00FD24E0" w:rsidRPr="00FD24E0" w:rsidRDefault="00FD24E0" w:rsidP="00FD24E0">
            <w:pPr>
              <w:rPr>
                <w:rFonts w:ascii="Aptos" w:hAnsi="Aptos"/>
                <w:sz w:val="18"/>
                <w:szCs w:val="18"/>
                <w:lang w:val="es-ES"/>
              </w:rPr>
            </w:pPr>
            <w:r w:rsidRPr="00FD24E0">
              <w:rPr>
                <w:rFonts w:ascii="Aptos" w:hAnsi="Aptos"/>
                <w:sz w:val="18"/>
                <w:szCs w:val="18"/>
                <w:lang w:val="es-ES"/>
              </w:rPr>
              <w:t>Porcentaje de metas nacionales</w:t>
            </w:r>
          </w:p>
        </w:tc>
      </w:tr>
      <w:tr w:rsidR="00FD24E0" w:rsidRPr="00FD24E0" w14:paraId="0A303013" w14:textId="77777777" w:rsidTr="00FD24E0">
        <w:tc>
          <w:tcPr>
            <w:tcW w:w="5133" w:type="dxa"/>
          </w:tcPr>
          <w:p w14:paraId="31547887" w14:textId="77777777" w:rsidR="00FD24E0" w:rsidRPr="00FD24E0" w:rsidRDefault="00FD24E0" w:rsidP="00FD24E0">
            <w:pPr>
              <w:rPr>
                <w:rFonts w:ascii="Aptos" w:hAnsi="Aptos"/>
                <w:sz w:val="18"/>
                <w:szCs w:val="18"/>
                <w:lang w:val="es-ES"/>
              </w:rPr>
            </w:pPr>
            <w:proofErr w:type="spellStart"/>
            <w:r w:rsidRPr="00FD24E0">
              <w:rPr>
                <w:rFonts w:ascii="Aptos" w:hAnsi="Aptos"/>
                <w:sz w:val="18"/>
                <w:szCs w:val="18"/>
                <w:lang w:val="es-ES"/>
              </w:rPr>
              <w:t>Progress</w:t>
            </w:r>
            <w:proofErr w:type="spellEnd"/>
            <w:r w:rsidRPr="00FD24E0">
              <w:rPr>
                <w:rFonts w:ascii="Aptos" w:hAnsi="Aptos"/>
                <w:sz w:val="18"/>
                <w:szCs w:val="18"/>
                <w:lang w:val="es-ES"/>
              </w:rPr>
              <w:t xml:space="preserve"> Level</w:t>
            </w:r>
          </w:p>
        </w:tc>
        <w:tc>
          <w:tcPr>
            <w:tcW w:w="4232" w:type="dxa"/>
          </w:tcPr>
          <w:p w14:paraId="10A0A83D" w14:textId="6E7B63D3" w:rsidR="00FD24E0" w:rsidRPr="00FD24E0" w:rsidRDefault="00FD24E0" w:rsidP="00FD24E0">
            <w:pPr>
              <w:rPr>
                <w:rFonts w:ascii="Aptos" w:hAnsi="Aptos"/>
                <w:sz w:val="18"/>
                <w:szCs w:val="18"/>
                <w:lang w:val="es-ES"/>
              </w:rPr>
            </w:pPr>
            <w:r w:rsidRPr="00FD24E0">
              <w:rPr>
                <w:rFonts w:ascii="Aptos" w:hAnsi="Aptos"/>
                <w:sz w:val="18"/>
                <w:szCs w:val="18"/>
                <w:lang w:val="es-ES"/>
              </w:rPr>
              <w:t>Nivel de progreso</w:t>
            </w:r>
          </w:p>
        </w:tc>
      </w:tr>
      <w:tr w:rsidR="00FD24E0" w:rsidRPr="00FD24E0" w14:paraId="34E03657" w14:textId="77777777" w:rsidTr="00FD24E0">
        <w:tc>
          <w:tcPr>
            <w:tcW w:w="5133" w:type="dxa"/>
          </w:tcPr>
          <w:p w14:paraId="75B110C1" w14:textId="77777777" w:rsidR="00FD24E0" w:rsidRPr="00FD24E0" w:rsidRDefault="00FD24E0" w:rsidP="00FD24E0">
            <w:pPr>
              <w:rPr>
                <w:rFonts w:ascii="Aptos" w:hAnsi="Aptos"/>
                <w:sz w:val="18"/>
                <w:szCs w:val="18"/>
                <w:lang w:val="es-ES"/>
              </w:rPr>
            </w:pPr>
            <w:proofErr w:type="spellStart"/>
            <w:r w:rsidRPr="00FD24E0">
              <w:rPr>
                <w:rFonts w:ascii="Aptos" w:hAnsi="Aptos"/>
                <w:sz w:val="18"/>
                <w:szCs w:val="18"/>
                <w:lang w:val="es-ES"/>
              </w:rPr>
              <w:t>Achieved</w:t>
            </w:r>
            <w:proofErr w:type="spellEnd"/>
          </w:p>
        </w:tc>
        <w:tc>
          <w:tcPr>
            <w:tcW w:w="4232" w:type="dxa"/>
          </w:tcPr>
          <w:p w14:paraId="24DCC3BC" w14:textId="0EB190D6" w:rsidR="00FD24E0" w:rsidRPr="00FD24E0" w:rsidRDefault="00FD24E0" w:rsidP="00FD24E0">
            <w:pPr>
              <w:rPr>
                <w:rFonts w:ascii="Aptos" w:hAnsi="Aptos"/>
                <w:sz w:val="18"/>
                <w:szCs w:val="18"/>
                <w:lang w:val="es-ES"/>
              </w:rPr>
            </w:pPr>
            <w:r w:rsidRPr="00FD24E0">
              <w:rPr>
                <w:rFonts w:ascii="Aptos" w:hAnsi="Aptos"/>
                <w:sz w:val="18"/>
                <w:szCs w:val="18"/>
                <w:lang w:val="es-ES"/>
              </w:rPr>
              <w:t>Alcanzada</w:t>
            </w:r>
          </w:p>
        </w:tc>
      </w:tr>
      <w:tr w:rsidR="00FD24E0" w:rsidRPr="00FD24E0" w14:paraId="00A31F47" w14:textId="77777777" w:rsidTr="00FD24E0">
        <w:tc>
          <w:tcPr>
            <w:tcW w:w="5133" w:type="dxa"/>
          </w:tcPr>
          <w:p w14:paraId="18917B27" w14:textId="77777777" w:rsidR="00FD24E0" w:rsidRPr="00FD24E0" w:rsidRDefault="00FD24E0" w:rsidP="00FD24E0">
            <w:pPr>
              <w:rPr>
                <w:rFonts w:ascii="Aptos" w:hAnsi="Aptos"/>
                <w:sz w:val="18"/>
                <w:szCs w:val="18"/>
                <w:lang w:val="en-US"/>
              </w:rPr>
            </w:pPr>
            <w:r w:rsidRPr="00FD24E0">
              <w:rPr>
                <w:rFonts w:ascii="Aptos" w:hAnsi="Aptos"/>
                <w:sz w:val="18"/>
                <w:szCs w:val="18"/>
                <w:lang w:val="en-US"/>
              </w:rPr>
              <w:t>On track to achieve target</w:t>
            </w:r>
          </w:p>
        </w:tc>
        <w:tc>
          <w:tcPr>
            <w:tcW w:w="4232" w:type="dxa"/>
          </w:tcPr>
          <w:p w14:paraId="202E4EF4" w14:textId="4D0E2CE5" w:rsidR="00FD24E0" w:rsidRPr="00FD24E0" w:rsidRDefault="00FD24E0" w:rsidP="00FD24E0">
            <w:pPr>
              <w:rPr>
                <w:rFonts w:ascii="Aptos" w:hAnsi="Aptos"/>
                <w:sz w:val="18"/>
                <w:szCs w:val="18"/>
                <w:lang w:val="es-ES"/>
              </w:rPr>
            </w:pPr>
            <w:r w:rsidRPr="00FD24E0">
              <w:rPr>
                <w:rFonts w:ascii="Aptos" w:hAnsi="Aptos"/>
                <w:sz w:val="18"/>
                <w:szCs w:val="18"/>
                <w:lang w:val="es-ES"/>
              </w:rPr>
              <w:t>En vías de alcanzar la meta</w:t>
            </w:r>
          </w:p>
        </w:tc>
      </w:tr>
      <w:tr w:rsidR="00FD24E0" w:rsidRPr="00FD24E0" w14:paraId="34005CD6" w14:textId="77777777" w:rsidTr="00FD24E0">
        <w:tc>
          <w:tcPr>
            <w:tcW w:w="5133" w:type="dxa"/>
          </w:tcPr>
          <w:p w14:paraId="0CF3A61C" w14:textId="77777777" w:rsidR="00FD24E0" w:rsidRPr="00FD24E0" w:rsidRDefault="00FD24E0" w:rsidP="00FD24E0">
            <w:pPr>
              <w:rPr>
                <w:rFonts w:ascii="Aptos" w:hAnsi="Aptos"/>
                <w:sz w:val="18"/>
                <w:szCs w:val="18"/>
                <w:lang w:val="en-US"/>
              </w:rPr>
            </w:pPr>
            <w:r w:rsidRPr="00FD24E0">
              <w:rPr>
                <w:rFonts w:ascii="Aptos" w:hAnsi="Aptos"/>
                <w:sz w:val="18"/>
                <w:szCs w:val="18"/>
                <w:lang w:val="en-US"/>
              </w:rPr>
              <w:t>Progress towards target but at an insufficient rate</w:t>
            </w:r>
          </w:p>
        </w:tc>
        <w:tc>
          <w:tcPr>
            <w:tcW w:w="4232" w:type="dxa"/>
          </w:tcPr>
          <w:p w14:paraId="7A38464D" w14:textId="33DD2E26" w:rsidR="00FD24E0" w:rsidRPr="00FD24E0" w:rsidRDefault="00FD24E0" w:rsidP="00FD24E0">
            <w:pPr>
              <w:rPr>
                <w:rFonts w:ascii="Aptos" w:hAnsi="Aptos"/>
                <w:sz w:val="18"/>
                <w:szCs w:val="18"/>
                <w:lang w:val="es-ES"/>
              </w:rPr>
            </w:pPr>
            <w:r w:rsidRPr="00FD24E0">
              <w:rPr>
                <w:rFonts w:ascii="Aptos" w:hAnsi="Aptos"/>
                <w:sz w:val="18"/>
                <w:szCs w:val="18"/>
                <w:lang w:val="es-ES"/>
              </w:rPr>
              <w:t xml:space="preserve">Se ha progresado hacia la </w:t>
            </w:r>
            <w:proofErr w:type="gramStart"/>
            <w:r w:rsidRPr="00FD24E0">
              <w:rPr>
                <w:rFonts w:ascii="Aptos" w:hAnsi="Aptos"/>
                <w:sz w:val="18"/>
                <w:szCs w:val="18"/>
                <w:lang w:val="es-ES"/>
              </w:rPr>
              <w:t>meta</w:t>
            </w:r>
            <w:proofErr w:type="gramEnd"/>
            <w:r w:rsidRPr="00FD24E0">
              <w:rPr>
                <w:rFonts w:ascii="Aptos" w:hAnsi="Aptos"/>
                <w:sz w:val="18"/>
                <w:szCs w:val="18"/>
                <w:lang w:val="es-ES"/>
              </w:rPr>
              <w:t xml:space="preserve"> pero a un ritmo insuficiente</w:t>
            </w:r>
          </w:p>
        </w:tc>
      </w:tr>
      <w:tr w:rsidR="00FD24E0" w:rsidRPr="00FD24E0" w14:paraId="20A66B1B" w14:textId="77777777" w:rsidTr="00FD24E0">
        <w:tc>
          <w:tcPr>
            <w:tcW w:w="5133" w:type="dxa"/>
          </w:tcPr>
          <w:p w14:paraId="0CF63B1D"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 xml:space="preserve">No </w:t>
            </w:r>
            <w:proofErr w:type="spellStart"/>
            <w:r w:rsidRPr="00FD24E0">
              <w:rPr>
                <w:rFonts w:ascii="Aptos" w:hAnsi="Aptos"/>
                <w:sz w:val="18"/>
                <w:szCs w:val="18"/>
                <w:lang w:val="es-ES"/>
              </w:rPr>
              <w:t>significant</w:t>
            </w:r>
            <w:proofErr w:type="spellEnd"/>
            <w:r w:rsidRPr="00FD24E0">
              <w:rPr>
                <w:rFonts w:ascii="Aptos" w:hAnsi="Aptos"/>
                <w:sz w:val="18"/>
                <w:szCs w:val="18"/>
                <w:lang w:val="es-ES"/>
              </w:rPr>
              <w:t xml:space="preserve"> </w:t>
            </w:r>
            <w:proofErr w:type="spellStart"/>
            <w:r w:rsidRPr="00FD24E0">
              <w:rPr>
                <w:rFonts w:ascii="Aptos" w:hAnsi="Aptos"/>
                <w:sz w:val="18"/>
                <w:szCs w:val="18"/>
                <w:lang w:val="es-ES"/>
              </w:rPr>
              <w:t>change</w:t>
            </w:r>
            <w:proofErr w:type="spellEnd"/>
          </w:p>
        </w:tc>
        <w:tc>
          <w:tcPr>
            <w:tcW w:w="4232" w:type="dxa"/>
          </w:tcPr>
          <w:p w14:paraId="5D4671F1" w14:textId="4740434B" w:rsidR="00FD24E0" w:rsidRPr="00FD24E0" w:rsidRDefault="00FD24E0" w:rsidP="00FD24E0">
            <w:pPr>
              <w:rPr>
                <w:rFonts w:ascii="Aptos" w:hAnsi="Aptos"/>
                <w:sz w:val="18"/>
                <w:szCs w:val="18"/>
                <w:lang w:val="es-ES"/>
              </w:rPr>
            </w:pPr>
            <w:r w:rsidRPr="00FD24E0">
              <w:rPr>
                <w:rFonts w:ascii="Aptos" w:hAnsi="Aptos"/>
                <w:sz w:val="18"/>
                <w:szCs w:val="18"/>
                <w:lang w:val="es-ES"/>
              </w:rPr>
              <w:t>No hay cambios significativos</w:t>
            </w:r>
          </w:p>
        </w:tc>
      </w:tr>
      <w:tr w:rsidR="00FD24E0" w:rsidRPr="00FD24E0" w14:paraId="4BE7A327" w14:textId="77777777" w:rsidTr="00FD24E0">
        <w:tc>
          <w:tcPr>
            <w:tcW w:w="5133" w:type="dxa"/>
          </w:tcPr>
          <w:p w14:paraId="2B67A8DA"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Unknown</w:t>
            </w:r>
          </w:p>
        </w:tc>
        <w:tc>
          <w:tcPr>
            <w:tcW w:w="4232" w:type="dxa"/>
          </w:tcPr>
          <w:p w14:paraId="42C575F5" w14:textId="076265C6" w:rsidR="00FD24E0" w:rsidRPr="00FD24E0" w:rsidRDefault="00FD24E0" w:rsidP="00FD24E0">
            <w:pPr>
              <w:rPr>
                <w:rFonts w:ascii="Aptos" w:hAnsi="Aptos"/>
                <w:sz w:val="18"/>
                <w:szCs w:val="18"/>
                <w:lang w:val="es-ES"/>
              </w:rPr>
            </w:pPr>
            <w:r w:rsidRPr="00FD24E0">
              <w:rPr>
                <w:rFonts w:ascii="Aptos" w:hAnsi="Aptos"/>
                <w:sz w:val="18"/>
                <w:szCs w:val="18"/>
                <w:lang w:val="es-ES"/>
              </w:rPr>
              <w:t>Se desconoce</w:t>
            </w:r>
          </w:p>
        </w:tc>
      </w:tr>
      <w:tr w:rsidR="00FD24E0" w:rsidRPr="00FD24E0" w14:paraId="60EB4512" w14:textId="77777777" w:rsidTr="00FD24E0">
        <w:tc>
          <w:tcPr>
            <w:tcW w:w="5133" w:type="dxa"/>
          </w:tcPr>
          <w:p w14:paraId="106AEE8E"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 xml:space="preserve">Party </w:t>
            </w:r>
            <w:proofErr w:type="spellStart"/>
            <w:r w:rsidRPr="00FD24E0">
              <w:rPr>
                <w:rFonts w:ascii="Aptos" w:hAnsi="Aptos"/>
                <w:sz w:val="18"/>
                <w:szCs w:val="18"/>
                <w:lang w:val="es-ES"/>
              </w:rPr>
              <w:t>count</w:t>
            </w:r>
            <w:proofErr w:type="spellEnd"/>
            <w:r w:rsidRPr="00FD24E0">
              <w:rPr>
                <w:rFonts w:ascii="Aptos" w:hAnsi="Aptos"/>
                <w:sz w:val="18"/>
                <w:szCs w:val="18"/>
                <w:lang w:val="es-ES"/>
              </w:rPr>
              <w:t>: 93</w:t>
            </w:r>
          </w:p>
        </w:tc>
        <w:tc>
          <w:tcPr>
            <w:tcW w:w="4232" w:type="dxa"/>
          </w:tcPr>
          <w:p w14:paraId="714E79D3" w14:textId="64E70204" w:rsidR="00FD24E0" w:rsidRPr="00FD24E0" w:rsidRDefault="00FD24E0" w:rsidP="00FD24E0">
            <w:pPr>
              <w:rPr>
                <w:rFonts w:ascii="Aptos" w:hAnsi="Aptos"/>
                <w:sz w:val="18"/>
                <w:szCs w:val="18"/>
                <w:lang w:val="es-ES"/>
              </w:rPr>
            </w:pPr>
            <w:r w:rsidRPr="00FD24E0">
              <w:rPr>
                <w:rFonts w:ascii="Aptos" w:hAnsi="Aptos"/>
                <w:sz w:val="18"/>
                <w:szCs w:val="18"/>
                <w:lang w:val="es-ES"/>
              </w:rPr>
              <w:t>Número de Partes: 93</w:t>
            </w:r>
          </w:p>
        </w:tc>
      </w:tr>
      <w:tr w:rsidR="00FD24E0" w:rsidRPr="00FD24E0" w14:paraId="4FCB5639" w14:textId="77777777" w:rsidTr="00FD24E0">
        <w:tc>
          <w:tcPr>
            <w:tcW w:w="5133" w:type="dxa"/>
          </w:tcPr>
          <w:p w14:paraId="3CC5BC40" w14:textId="77777777" w:rsidR="00FD24E0" w:rsidRPr="00FD24E0" w:rsidRDefault="00FD24E0" w:rsidP="00FD24E0">
            <w:pPr>
              <w:rPr>
                <w:rFonts w:ascii="Aptos" w:hAnsi="Aptos"/>
                <w:sz w:val="18"/>
                <w:szCs w:val="18"/>
                <w:lang w:val="es-ES"/>
              </w:rPr>
            </w:pPr>
            <w:proofErr w:type="spellStart"/>
            <w:r w:rsidRPr="00FD24E0">
              <w:rPr>
                <w:rFonts w:ascii="Aptos" w:hAnsi="Aptos"/>
                <w:sz w:val="18"/>
                <w:szCs w:val="18"/>
                <w:lang w:val="es-ES"/>
              </w:rPr>
              <w:t>Region</w:t>
            </w:r>
            <w:proofErr w:type="spellEnd"/>
          </w:p>
        </w:tc>
        <w:tc>
          <w:tcPr>
            <w:tcW w:w="4232" w:type="dxa"/>
          </w:tcPr>
          <w:p w14:paraId="08D3AEA2" w14:textId="0D455049" w:rsidR="00FD24E0" w:rsidRPr="00FD24E0" w:rsidRDefault="00FD24E0" w:rsidP="00FD24E0">
            <w:pPr>
              <w:rPr>
                <w:rFonts w:ascii="Aptos" w:hAnsi="Aptos"/>
                <w:sz w:val="18"/>
                <w:szCs w:val="18"/>
                <w:lang w:val="es-ES"/>
              </w:rPr>
            </w:pPr>
            <w:r w:rsidRPr="00FD24E0">
              <w:rPr>
                <w:rFonts w:ascii="Aptos" w:hAnsi="Aptos"/>
                <w:sz w:val="18"/>
                <w:szCs w:val="18"/>
                <w:lang w:val="es-ES"/>
              </w:rPr>
              <w:t>Región</w:t>
            </w:r>
          </w:p>
        </w:tc>
      </w:tr>
      <w:tr w:rsidR="00FD24E0" w:rsidRPr="00FD24E0" w14:paraId="5FA25B81" w14:textId="77777777" w:rsidTr="00FD24E0">
        <w:tc>
          <w:tcPr>
            <w:tcW w:w="5133" w:type="dxa"/>
          </w:tcPr>
          <w:p w14:paraId="46B7BB92"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African States</w:t>
            </w:r>
          </w:p>
        </w:tc>
        <w:tc>
          <w:tcPr>
            <w:tcW w:w="4232" w:type="dxa"/>
          </w:tcPr>
          <w:p w14:paraId="11A3BB57" w14:textId="3725CB86" w:rsidR="00FD24E0" w:rsidRPr="00FD24E0" w:rsidRDefault="00FD24E0" w:rsidP="00FD24E0">
            <w:pPr>
              <w:rPr>
                <w:rFonts w:ascii="Aptos" w:hAnsi="Aptos"/>
                <w:sz w:val="18"/>
                <w:szCs w:val="18"/>
                <w:lang w:val="es-ES"/>
              </w:rPr>
            </w:pPr>
            <w:r w:rsidRPr="00FD24E0">
              <w:rPr>
                <w:rFonts w:ascii="Aptos" w:hAnsi="Aptos"/>
                <w:sz w:val="18"/>
                <w:szCs w:val="18"/>
                <w:lang w:val="es-ES"/>
              </w:rPr>
              <w:t>Estados de África</w:t>
            </w:r>
          </w:p>
        </w:tc>
      </w:tr>
      <w:tr w:rsidR="00FD24E0" w:rsidRPr="00FD24E0" w14:paraId="20B89286" w14:textId="77777777" w:rsidTr="00FD24E0">
        <w:tc>
          <w:tcPr>
            <w:tcW w:w="5133" w:type="dxa"/>
          </w:tcPr>
          <w:p w14:paraId="729D5334"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Asia-Pacific States</w:t>
            </w:r>
          </w:p>
        </w:tc>
        <w:tc>
          <w:tcPr>
            <w:tcW w:w="4232" w:type="dxa"/>
          </w:tcPr>
          <w:p w14:paraId="188DEEF3" w14:textId="3FFDA6B3" w:rsidR="00FD24E0" w:rsidRPr="00FD24E0" w:rsidRDefault="00FD24E0" w:rsidP="00FD24E0">
            <w:pPr>
              <w:rPr>
                <w:rFonts w:ascii="Aptos" w:hAnsi="Aptos"/>
                <w:sz w:val="18"/>
                <w:szCs w:val="18"/>
                <w:lang w:val="es-ES"/>
              </w:rPr>
            </w:pPr>
            <w:r w:rsidRPr="00FD24E0">
              <w:rPr>
                <w:rFonts w:ascii="Aptos" w:hAnsi="Aptos"/>
                <w:sz w:val="18"/>
                <w:szCs w:val="18"/>
                <w:lang w:val="es-ES"/>
              </w:rPr>
              <w:t>Estados de Asia y el Pacífico</w:t>
            </w:r>
          </w:p>
        </w:tc>
      </w:tr>
      <w:tr w:rsidR="00FD24E0" w:rsidRPr="00FD24E0" w14:paraId="1CCF556E" w14:textId="77777777" w:rsidTr="00FD24E0">
        <w:tc>
          <w:tcPr>
            <w:tcW w:w="5133" w:type="dxa"/>
          </w:tcPr>
          <w:p w14:paraId="63D9E902" w14:textId="77777777" w:rsidR="00FD24E0" w:rsidRPr="00FD24E0" w:rsidRDefault="00FD24E0" w:rsidP="00FD24E0">
            <w:pPr>
              <w:rPr>
                <w:rFonts w:ascii="Aptos" w:hAnsi="Aptos"/>
                <w:sz w:val="18"/>
                <w:szCs w:val="18"/>
                <w:lang w:val="en-US"/>
              </w:rPr>
            </w:pPr>
            <w:r w:rsidRPr="00FD24E0">
              <w:rPr>
                <w:rFonts w:ascii="Aptos" w:hAnsi="Aptos"/>
                <w:sz w:val="18"/>
                <w:szCs w:val="18"/>
                <w:lang w:val="en-US"/>
              </w:rPr>
              <w:t>Latin American and Caribbean States</w:t>
            </w:r>
          </w:p>
        </w:tc>
        <w:tc>
          <w:tcPr>
            <w:tcW w:w="4232" w:type="dxa"/>
          </w:tcPr>
          <w:p w14:paraId="39CCD2C2" w14:textId="00F104C3" w:rsidR="00FD24E0" w:rsidRPr="00FD24E0" w:rsidRDefault="00FD24E0" w:rsidP="00FD24E0">
            <w:pPr>
              <w:rPr>
                <w:rFonts w:ascii="Aptos" w:hAnsi="Aptos"/>
                <w:sz w:val="18"/>
                <w:szCs w:val="18"/>
                <w:lang w:val="es-ES"/>
              </w:rPr>
            </w:pPr>
            <w:r w:rsidRPr="00FD24E0">
              <w:rPr>
                <w:rFonts w:ascii="Aptos" w:hAnsi="Aptos"/>
                <w:sz w:val="18"/>
                <w:szCs w:val="18"/>
                <w:lang w:val="es-ES"/>
              </w:rPr>
              <w:t>Estados de América Latina y el Caribe</w:t>
            </w:r>
          </w:p>
        </w:tc>
      </w:tr>
      <w:tr w:rsidR="00FD24E0" w:rsidRPr="00FD24E0" w14:paraId="0C3A6147" w14:textId="77777777" w:rsidTr="00FD24E0">
        <w:tc>
          <w:tcPr>
            <w:tcW w:w="5133" w:type="dxa"/>
          </w:tcPr>
          <w:p w14:paraId="590D2E8F" w14:textId="77777777" w:rsidR="00FD24E0" w:rsidRPr="00FD24E0" w:rsidRDefault="00FD24E0" w:rsidP="00FD24E0">
            <w:pPr>
              <w:rPr>
                <w:rFonts w:ascii="Aptos" w:hAnsi="Aptos"/>
                <w:sz w:val="18"/>
                <w:szCs w:val="18"/>
                <w:lang w:val="es-ES"/>
              </w:rPr>
            </w:pPr>
            <w:r w:rsidRPr="00FD24E0">
              <w:rPr>
                <w:rFonts w:ascii="Aptos" w:hAnsi="Aptos"/>
                <w:sz w:val="18"/>
                <w:szCs w:val="18"/>
                <w:lang w:val="es-ES"/>
              </w:rPr>
              <w:t xml:space="preserve"> Eastern European States</w:t>
            </w:r>
          </w:p>
        </w:tc>
        <w:tc>
          <w:tcPr>
            <w:tcW w:w="4232" w:type="dxa"/>
          </w:tcPr>
          <w:p w14:paraId="69BFF65E" w14:textId="39505740" w:rsidR="00FD24E0" w:rsidRPr="00FD24E0" w:rsidRDefault="00FD24E0" w:rsidP="00FD24E0">
            <w:pPr>
              <w:rPr>
                <w:rFonts w:ascii="Aptos" w:hAnsi="Aptos"/>
                <w:sz w:val="18"/>
                <w:szCs w:val="18"/>
                <w:lang w:val="es-ES"/>
              </w:rPr>
            </w:pPr>
            <w:r w:rsidRPr="00FD24E0">
              <w:rPr>
                <w:rFonts w:ascii="Aptos" w:hAnsi="Aptos"/>
                <w:sz w:val="18"/>
                <w:szCs w:val="18"/>
                <w:lang w:val="es-ES"/>
              </w:rPr>
              <w:t>Estados de Europa Oriental</w:t>
            </w:r>
          </w:p>
        </w:tc>
      </w:tr>
      <w:tr w:rsidR="00FD24E0" w:rsidRPr="00FD24E0" w14:paraId="2F16EEA2" w14:textId="77777777" w:rsidTr="00FD24E0">
        <w:tc>
          <w:tcPr>
            <w:tcW w:w="5133" w:type="dxa"/>
          </w:tcPr>
          <w:p w14:paraId="36B2A1AF" w14:textId="77777777" w:rsidR="00FD24E0" w:rsidRPr="00FD24E0" w:rsidRDefault="00FD24E0" w:rsidP="00FD24E0">
            <w:pPr>
              <w:rPr>
                <w:rFonts w:ascii="Aptos" w:hAnsi="Aptos"/>
                <w:sz w:val="18"/>
                <w:szCs w:val="18"/>
                <w:lang w:val="en-US"/>
              </w:rPr>
            </w:pPr>
            <w:r w:rsidRPr="00FD24E0">
              <w:rPr>
                <w:rFonts w:ascii="Aptos" w:hAnsi="Aptos"/>
                <w:sz w:val="18"/>
                <w:szCs w:val="18"/>
                <w:lang w:val="en-US"/>
              </w:rPr>
              <w:t>Western European and other States</w:t>
            </w:r>
          </w:p>
        </w:tc>
        <w:tc>
          <w:tcPr>
            <w:tcW w:w="4232" w:type="dxa"/>
          </w:tcPr>
          <w:p w14:paraId="7DF17596" w14:textId="5A3004BF" w:rsidR="00FD24E0" w:rsidRPr="00FD24E0" w:rsidRDefault="00FD24E0" w:rsidP="00FD24E0">
            <w:pPr>
              <w:rPr>
                <w:rFonts w:ascii="Aptos" w:hAnsi="Aptos"/>
                <w:sz w:val="18"/>
                <w:szCs w:val="18"/>
                <w:lang w:val="es-ES"/>
              </w:rPr>
            </w:pPr>
            <w:r w:rsidRPr="00FD24E0">
              <w:rPr>
                <w:rFonts w:ascii="Aptos" w:hAnsi="Aptos"/>
                <w:sz w:val="18"/>
                <w:szCs w:val="18"/>
                <w:lang w:val="es-ES"/>
              </w:rPr>
              <w:t>Estados de Europa Occidental y otros Estados</w:t>
            </w:r>
          </w:p>
        </w:tc>
      </w:tr>
    </w:tbl>
    <w:p w14:paraId="0526AC8C" w14:textId="77777777" w:rsidR="00FD24E0" w:rsidRPr="00FD24E0" w:rsidRDefault="00FD24E0" w:rsidP="00FD24E0">
      <w:pPr>
        <w:rPr>
          <w:lang w:val="es-ES" w:eastAsia="ja-JP"/>
        </w:rPr>
      </w:pPr>
    </w:p>
    <w:p w14:paraId="466CBA63" w14:textId="77777777" w:rsidR="00951174" w:rsidRPr="005E3D50" w:rsidRDefault="00951174" w:rsidP="00601DF3">
      <w:pPr>
        <w:pStyle w:val="Heading6"/>
        <w:rPr>
          <w:lang w:val="es-ES" w:eastAsia="ja-JP"/>
        </w:rPr>
      </w:pPr>
    </w:p>
    <w:p w14:paraId="67AD8474" w14:textId="4E161FCE" w:rsidR="00951174" w:rsidRPr="005E3D50" w:rsidRDefault="00951174" w:rsidP="00951174">
      <w:pPr>
        <w:pStyle w:val="Heading5"/>
        <w:rPr>
          <w:lang w:val="es-ES"/>
        </w:rPr>
      </w:pPr>
      <w:bookmarkStart w:id="229" w:name="_Toc235821120"/>
      <w:r w:rsidRPr="005E3D50">
        <w:rPr>
          <w:lang w:val="es-ES"/>
        </w:rPr>
        <w:t>Medidas, logros y dificultades</w:t>
      </w:r>
      <w:bookmarkEnd w:id="229"/>
      <w:r w:rsidRPr="005E3D50">
        <w:rPr>
          <w:lang w:val="es-ES"/>
        </w:rPr>
        <w:t xml:space="preserve"> en la implementación</w:t>
      </w:r>
    </w:p>
    <w:p w14:paraId="6DACE45B" w14:textId="77777777" w:rsidR="00E92D34" w:rsidRPr="005E3D50" w:rsidRDefault="00E92D34" w:rsidP="009345F3">
      <w:pPr>
        <w:pStyle w:val="Heading6"/>
        <w:rPr>
          <w:lang w:val="es-ES" w:eastAsia="ja-JP"/>
        </w:rPr>
      </w:pPr>
    </w:p>
    <w:p w14:paraId="181724D0" w14:textId="0873EE55" w:rsidR="009345F3" w:rsidRPr="005E3D50" w:rsidRDefault="009345F3" w:rsidP="009345F3">
      <w:pPr>
        <w:pStyle w:val="Heading6"/>
        <w:rPr>
          <w:lang w:val="es-ES"/>
        </w:rPr>
      </w:pPr>
      <w:bookmarkStart w:id="230" w:name="_Toc235821121"/>
      <w:r w:rsidRPr="005E3D50">
        <w:rPr>
          <w:lang w:val="es-ES"/>
        </w:rPr>
        <w:t>Resumen de medidas en apoyo de la meta 6</w:t>
      </w:r>
      <w:bookmarkEnd w:id="230"/>
      <w:r w:rsidRPr="005E3D50">
        <w:rPr>
          <w:lang w:val="es-ES"/>
        </w:rPr>
        <w:t xml:space="preserve"> del Marco</w:t>
      </w:r>
    </w:p>
    <w:p w14:paraId="4553D3B9" w14:textId="77777777" w:rsidR="00E92D34" w:rsidRPr="005E3D50" w:rsidRDefault="00E92D34" w:rsidP="00B908BE">
      <w:pPr>
        <w:rPr>
          <w:lang w:val="es-ES"/>
        </w:rPr>
      </w:pPr>
    </w:p>
    <w:p w14:paraId="37FE889C" w14:textId="3FDE5491" w:rsidR="003F2CE4" w:rsidRPr="005E3D50" w:rsidRDefault="003F2CE4" w:rsidP="003F2CE4">
      <w:pPr>
        <w:rPr>
          <w:lang w:val="es-ES"/>
        </w:rPr>
      </w:pPr>
      <w:r w:rsidRPr="005E3D50">
        <w:rPr>
          <w:lang w:val="es-ES"/>
        </w:rPr>
        <w:t>Entre las medidas presentadas en apoyo de la meta 6 se incluyen programas de bioseguridad insular y planes de gestión específicos para determinadas especies exóticas invasoras. Muchas Partes presentaron información sobre medidas para interceptar especies exóticas invasoras en las fronteras, así como sobre campañas para erradicar especies exóticas invasoras mediante la eliminación mecánica o el control biológico. Entre las medidas jurídicas y regulatorias habituales se incluyen legislación nacional relativa a las especies exóticas invasoras y restricciones a determinadas especies exóticas invasoras que suscitan preocupación. Se informa ampliamente sobre medidas relacionadas con la investigación, el seguimiento y la recopilación de datos, que incluyen estudios e inventarios nacionales de especies exóticas invasoras, el establecimiento de sistemas de seguimiento y bases de datos, el seguimiento mediante ciencia ciudadana y el análisis de las vías por las que se transportan las especies exóticas invasoras. Muchas Partes informaron que habían llevado a cabo campañas de sensibilización pública para llamar la atención sobre los riesgos que plantean las especies exóticas invasoras, y que habían involucrado a la población para que colaborara en su erradicación o en la prevención de su propagación (véanse los recuadros 22 y 23).</w:t>
      </w:r>
    </w:p>
    <w:p w14:paraId="3C3DD326" w14:textId="77777777" w:rsidR="003F2CE4" w:rsidRPr="005E3D50" w:rsidRDefault="003F2CE4" w:rsidP="009345F3">
      <w:pPr>
        <w:pStyle w:val="Heading6"/>
        <w:rPr>
          <w:lang w:val="es-ES"/>
        </w:rPr>
      </w:pPr>
      <w:bookmarkStart w:id="231" w:name="_Toc235821122"/>
    </w:p>
    <w:p w14:paraId="340C42D7" w14:textId="0CABF760" w:rsidR="009345F3" w:rsidRPr="005E3D50" w:rsidRDefault="009345F3" w:rsidP="009345F3">
      <w:pPr>
        <w:pStyle w:val="Heading6"/>
        <w:rPr>
          <w:lang w:val="es-ES"/>
        </w:rPr>
      </w:pPr>
      <w:r w:rsidRPr="005E3D50">
        <w:rPr>
          <w:lang w:val="es-ES"/>
        </w:rPr>
        <w:t>Ejemplos de logros y progresos en la implementación</w:t>
      </w:r>
      <w:bookmarkEnd w:id="231"/>
    </w:p>
    <w:p w14:paraId="67F19B74" w14:textId="77777777" w:rsidR="00CF7532" w:rsidRPr="005E3D50" w:rsidRDefault="00CF7532" w:rsidP="00CF7532">
      <w:pPr>
        <w:rPr>
          <w:lang w:val="es-ES" w:eastAsia="ja-JP"/>
        </w:rPr>
      </w:pPr>
    </w:p>
    <w:p w14:paraId="23A062EE" w14:textId="19AB5F9F" w:rsidR="00E07F83" w:rsidRPr="005E3D50" w:rsidRDefault="00E07F83" w:rsidP="006340D0">
      <w:pPr>
        <w:pStyle w:val="Caption"/>
        <w:rPr>
          <w:b/>
          <w:i w:val="0"/>
          <w:sz w:val="20"/>
          <w:szCs w:val="20"/>
          <w:lang w:val="es-ES"/>
        </w:rPr>
      </w:pPr>
    </w:p>
    <w:tbl>
      <w:tblPr>
        <w:tblStyle w:val="TableGrid"/>
        <w:tblW w:w="0" w:type="auto"/>
        <w:tblLook w:val="04A0" w:firstRow="1" w:lastRow="0" w:firstColumn="1" w:lastColumn="0" w:noHBand="0" w:noVBand="1"/>
      </w:tblPr>
      <w:tblGrid>
        <w:gridCol w:w="9350"/>
      </w:tblGrid>
      <w:tr w:rsidR="00B4756C" w:rsidRPr="005E3D50" w14:paraId="3DC47576" w14:textId="77777777" w:rsidTr="002E142D">
        <w:tc>
          <w:tcPr>
            <w:tcW w:w="10910" w:type="dxa"/>
            <w:shd w:val="clear" w:color="auto" w:fill="D1D1D1" w:themeFill="background2" w:themeFillShade="E6"/>
          </w:tcPr>
          <w:p w14:paraId="66D86CDB" w14:textId="77777777" w:rsidR="00B4756C" w:rsidRPr="005E3D50" w:rsidRDefault="00B4756C" w:rsidP="00980EC3">
            <w:pPr>
              <w:rPr>
                <w:i/>
                <w:iCs/>
                <w:lang w:val="es-ES"/>
              </w:rPr>
            </w:pPr>
          </w:p>
          <w:p w14:paraId="055F5665" w14:textId="47C2AB4B" w:rsidR="00FF5106" w:rsidRPr="005E3D50" w:rsidRDefault="00FF5106" w:rsidP="00FF5106">
            <w:pPr>
              <w:pStyle w:val="Caption"/>
              <w:rPr>
                <w:i w:val="0"/>
                <w:iCs w:val="0"/>
                <w:sz w:val="20"/>
                <w:szCs w:val="20"/>
                <w:lang w:val="es-ES"/>
              </w:rPr>
            </w:pPr>
            <w:r w:rsidRPr="005E3D50">
              <w:rPr>
                <w:i w:val="0"/>
                <w:iCs w:val="0"/>
                <w:sz w:val="20"/>
                <w:szCs w:val="20"/>
                <w:lang w:val="es-ES"/>
              </w:rPr>
              <w:t>Recuadro 22</w:t>
            </w:r>
          </w:p>
          <w:p w14:paraId="744E92B6" w14:textId="358200FD" w:rsidR="00FF5106" w:rsidRPr="005E3D50" w:rsidRDefault="00FF5106" w:rsidP="00FF5106">
            <w:pPr>
              <w:rPr>
                <w:b/>
                <w:bCs/>
                <w:sz w:val="20"/>
                <w:szCs w:val="20"/>
                <w:lang w:val="es-ES"/>
              </w:rPr>
            </w:pPr>
            <w:r w:rsidRPr="005E3D50">
              <w:rPr>
                <w:b/>
                <w:bCs/>
                <w:sz w:val="20"/>
                <w:szCs w:val="20"/>
                <w:lang w:val="es-ES"/>
              </w:rPr>
              <w:t>Financiación combinada para el control de especies invasoras en zonas urbanas de captación de agua en Sudáfrica</w:t>
            </w:r>
          </w:p>
          <w:p w14:paraId="7E853D9F" w14:textId="77777777" w:rsidR="00FF5106" w:rsidRPr="005E3D50" w:rsidRDefault="00FF5106" w:rsidP="00FF5106">
            <w:pPr>
              <w:rPr>
                <w:i/>
                <w:iCs/>
                <w:lang w:val="es-ES"/>
              </w:rPr>
            </w:pPr>
          </w:p>
          <w:p w14:paraId="462CCB8F" w14:textId="71F64575" w:rsidR="00166953" w:rsidRPr="005E3D50" w:rsidRDefault="00166953" w:rsidP="00166953">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La financiación insuficiente e inestable ha limitado durante mucho tiempo la gestión eficaz de las especies exóticas invasoras en Sudáfrica. </w:t>
            </w:r>
            <w:r w:rsidR="00FC4508" w:rsidRPr="005E3D50">
              <w:rPr>
                <w:rFonts w:ascii="Aptos" w:hAnsi="Aptos"/>
                <w:color w:val="000000" w:themeColor="text1"/>
                <w:sz w:val="20"/>
                <w:szCs w:val="20"/>
                <w:lang w:val="es-ES"/>
              </w:rPr>
              <w:t>Además, l</w:t>
            </w:r>
            <w:r w:rsidRPr="005E3D50">
              <w:rPr>
                <w:rFonts w:ascii="Aptos" w:hAnsi="Aptos"/>
                <w:color w:val="000000" w:themeColor="text1"/>
                <w:sz w:val="20"/>
                <w:szCs w:val="20"/>
                <w:lang w:val="es-ES"/>
              </w:rPr>
              <w:t>a magnitud y persistencia de las invasiones biológicas en las zonas de captación de agua, las áreas protegidas, los ecosistemas costeros y las zonas críticas para la biodiversidad terrestre han superado la capacidad de los mecanismos convencionales de financiación pública. Reconociendo estas limitaciones, Sudáfrica ha desarrollado un marco de gobernanza que combina la reforma de la normativa, la restauración de los ecosistemas e instrumentos de financiación innovadores para apoyar la gestión a largo plazo de las especies exóticas invasoras.</w:t>
            </w:r>
          </w:p>
          <w:p w14:paraId="3F8A1733" w14:textId="77777777" w:rsidR="00166953" w:rsidRPr="005E3D50" w:rsidRDefault="00166953" w:rsidP="00166953">
            <w:pPr>
              <w:spacing w:line="276" w:lineRule="auto"/>
              <w:rPr>
                <w:rFonts w:ascii="Aptos" w:eastAsia="Aptos" w:hAnsi="Aptos" w:cs="Aptos"/>
                <w:color w:val="000000" w:themeColor="text1"/>
                <w:sz w:val="20"/>
                <w:szCs w:val="20"/>
                <w:lang w:val="es-ES" w:eastAsia="zh-CN"/>
              </w:rPr>
            </w:pPr>
          </w:p>
          <w:p w14:paraId="2FA8DFBD" w14:textId="23C86E0C" w:rsidR="00166953" w:rsidRPr="005E3D50" w:rsidRDefault="00166953" w:rsidP="00166953">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Este enfoque, implementado a nivel nacional con intervenciones destacadas en las zonas de captación de agua de Ciudad del Cabo y el sistema del curso alto del río </w:t>
            </w:r>
            <w:proofErr w:type="spellStart"/>
            <w:r w:rsidRPr="005E3D50">
              <w:rPr>
                <w:rFonts w:ascii="Aptos" w:hAnsi="Aptos"/>
                <w:color w:val="000000" w:themeColor="text1"/>
                <w:sz w:val="20"/>
                <w:szCs w:val="20"/>
                <w:lang w:val="es-ES"/>
              </w:rPr>
              <w:t>Jukskei</w:t>
            </w:r>
            <w:proofErr w:type="spellEnd"/>
            <w:r w:rsidRPr="005E3D50">
              <w:rPr>
                <w:rFonts w:ascii="Aptos" w:hAnsi="Aptos"/>
                <w:color w:val="000000" w:themeColor="text1"/>
                <w:sz w:val="20"/>
                <w:szCs w:val="20"/>
                <w:lang w:val="es-ES"/>
              </w:rPr>
              <w:t xml:space="preserve">, ha evolucionado a través de la legislación sobre biodiversidad y agricultura promulgada entre 1983 y 2004, con posteriores reglamentaciones revisadas sobre especies invasoras que entraron en vigor en 2021. </w:t>
            </w:r>
            <w:r w:rsidRPr="005E3D50">
              <w:rPr>
                <w:color w:val="000000" w:themeColor="text1"/>
                <w:sz w:val="20"/>
                <w:szCs w:val="20"/>
                <w:lang w:val="es-ES"/>
              </w:rPr>
              <w:t xml:space="preserve">Una nueva estrategia y plan de gestión nacionales en materia de especies exóticas invasoras orientarán las medidas para el período </w:t>
            </w:r>
            <w:r w:rsidR="00932045" w:rsidRPr="005E3D50">
              <w:rPr>
                <w:color w:val="000000" w:themeColor="text1"/>
                <w:sz w:val="20"/>
                <w:szCs w:val="20"/>
                <w:lang w:val="es-ES"/>
              </w:rPr>
              <w:t xml:space="preserve">comprendido entre </w:t>
            </w:r>
            <w:r w:rsidRPr="005E3D50">
              <w:rPr>
                <w:color w:val="000000" w:themeColor="text1"/>
                <w:sz w:val="20"/>
                <w:szCs w:val="20"/>
                <w:lang w:val="es-ES"/>
              </w:rPr>
              <w:t>2026</w:t>
            </w:r>
            <w:r w:rsidR="00932045" w:rsidRPr="005E3D50">
              <w:rPr>
                <w:color w:val="000000" w:themeColor="text1"/>
                <w:sz w:val="20"/>
                <w:szCs w:val="20"/>
                <w:lang w:val="es-ES"/>
              </w:rPr>
              <w:t xml:space="preserve"> y </w:t>
            </w:r>
            <w:r w:rsidRPr="005E3D50">
              <w:rPr>
                <w:color w:val="000000" w:themeColor="text1"/>
                <w:sz w:val="20"/>
                <w:szCs w:val="20"/>
                <w:lang w:val="es-ES"/>
              </w:rPr>
              <w:t>2036.</w:t>
            </w:r>
          </w:p>
          <w:p w14:paraId="7C9C11D3" w14:textId="77777777" w:rsidR="00166953" w:rsidRPr="005E3D50" w:rsidRDefault="00166953" w:rsidP="00166953">
            <w:pPr>
              <w:spacing w:line="276" w:lineRule="auto"/>
              <w:rPr>
                <w:rFonts w:ascii="Aptos" w:eastAsia="Aptos" w:hAnsi="Aptos" w:cs="Aptos"/>
                <w:color w:val="000000" w:themeColor="text1"/>
                <w:sz w:val="20"/>
                <w:szCs w:val="20"/>
                <w:lang w:val="es-ES" w:eastAsia="zh-CN"/>
              </w:rPr>
            </w:pPr>
          </w:p>
          <w:p w14:paraId="0A64C663" w14:textId="77777777" w:rsidR="00166953" w:rsidRPr="005E3D50" w:rsidRDefault="00166953" w:rsidP="00166953">
            <w:pPr>
              <w:spacing w:line="276" w:lineRule="auto"/>
              <w:rPr>
                <w:rFonts w:ascii="Aptos" w:eastAsia="Aptos" w:hAnsi="Aptos" w:cs="Aptos"/>
                <w:color w:val="000000" w:themeColor="text1"/>
                <w:sz w:val="20"/>
                <w:szCs w:val="20"/>
                <w:lang w:val="es-ES"/>
              </w:rPr>
            </w:pPr>
            <w:r w:rsidRPr="005E3D50">
              <w:rPr>
                <w:color w:val="000000" w:themeColor="text1"/>
                <w:sz w:val="20"/>
                <w:szCs w:val="20"/>
                <w:lang w:val="es-ES"/>
              </w:rPr>
              <w:t>Una característica distintiva del enfoque de Sudáfrica es el establecimiento de mecanismos de financiación combinada que articulan asignaciones presupuestarias gubernamentales, inversiones del sector privado y contribuciones de ONG.</w:t>
            </w:r>
            <w:r w:rsidRPr="005E3D50">
              <w:rPr>
                <w:rFonts w:ascii="Aptos" w:hAnsi="Aptos"/>
                <w:color w:val="000000" w:themeColor="text1"/>
                <w:sz w:val="20"/>
                <w:szCs w:val="20"/>
                <w:lang w:val="es-ES"/>
              </w:rPr>
              <w:t xml:space="preserve"> Estos mecanismos han ampliado los recursos financieros disponibles para el control de las especies invasoras, reduciendo al mismo tiempo la dependencia exclusiva del gasto público. Un ejemplo es la iniciativa </w:t>
            </w:r>
            <w:proofErr w:type="spellStart"/>
            <w:r w:rsidRPr="005E3D50">
              <w:rPr>
                <w:rFonts w:ascii="Aptos" w:hAnsi="Aptos"/>
                <w:color w:val="000000" w:themeColor="text1"/>
                <w:sz w:val="20"/>
                <w:szCs w:val="20"/>
                <w:lang w:val="es-ES"/>
              </w:rPr>
              <w:t>Greater</w:t>
            </w:r>
            <w:proofErr w:type="spellEnd"/>
            <w:r w:rsidRPr="005E3D50">
              <w:rPr>
                <w:rFonts w:ascii="Aptos" w:hAnsi="Aptos"/>
                <w:color w:val="000000" w:themeColor="text1"/>
                <w:sz w:val="20"/>
                <w:szCs w:val="20"/>
                <w:lang w:val="es-ES"/>
              </w:rPr>
              <w:t xml:space="preserve"> Cape Town Water Fund, que movilizó más de 180 millones de rands de asociados del sector privado para apoyar la eliminación de peces de agua dulce invasores y especies de plantas exóticas en las zonas de captación de agua que abastecen a Ciudad del Cabo. </w:t>
            </w:r>
          </w:p>
          <w:p w14:paraId="571B8BAC" w14:textId="77777777" w:rsidR="00166953" w:rsidRPr="005E3D50" w:rsidRDefault="00166953" w:rsidP="00166953">
            <w:pPr>
              <w:spacing w:line="276" w:lineRule="auto"/>
              <w:rPr>
                <w:rFonts w:ascii="Aptos" w:eastAsia="Aptos" w:hAnsi="Aptos" w:cs="Aptos"/>
                <w:color w:val="000000" w:themeColor="text1"/>
                <w:sz w:val="20"/>
                <w:szCs w:val="20"/>
                <w:lang w:val="es-ES" w:eastAsia="zh-CN"/>
              </w:rPr>
            </w:pPr>
          </w:p>
          <w:p w14:paraId="56CA18CE" w14:textId="0EE98E4B" w:rsidR="00166953" w:rsidRPr="005E3D50" w:rsidRDefault="00166953" w:rsidP="00166953">
            <w:pPr>
              <w:spacing w:line="276" w:lineRule="auto"/>
              <w:rPr>
                <w:rFonts w:ascii="Aptos" w:eastAsia="Aptos" w:hAnsi="Aptos" w:cs="Aptos"/>
                <w:color w:val="000000" w:themeColor="text1"/>
                <w:sz w:val="20"/>
                <w:szCs w:val="20"/>
                <w:lang w:val="es-ES"/>
              </w:rPr>
            </w:pPr>
            <w:r w:rsidRPr="005E3D50">
              <w:rPr>
                <w:rFonts w:ascii="Aptos" w:hAnsi="Aptos"/>
                <w:color w:val="000000" w:themeColor="text1"/>
                <w:sz w:val="20"/>
                <w:szCs w:val="20"/>
                <w:lang w:val="es-ES"/>
              </w:rPr>
              <w:t xml:space="preserve">En lo que respecta a la implementación, los organismos gubernamentales han liderado el desarrollo de legislación, la planificación estratégica, los sistemas de concesión de permisos y los mecanismos de apoyo fiscal. Las ONG y los asociados del sector empresarial han aportado recursos financieros y conocimientos técnicos especializados mediante iniciativas conjuntas de financiación y programas de restauración. Se ha proporcionado apoyo adicional a través de iniciativas internacionales, entre ellas el proyecto del Fondo para el Medio Ambiente Mundial relacionado con las especies exóticas invasoras, que fortaleció los marcos de políticas, la capacidad institucional, la sensibilización pública y las medidas de bioseguridad en los puntos de entrada. Un proyecto de reducción del riesgo de desastres basada en los ecosistemas, apoyado por el Fondo Verde para el Clima, reforzó aún más los vínculos entre la gestión de especies invasoras y los objetivos de restauración de los ecosistemas y resiliencia climática, mientras que la iniciativa </w:t>
            </w:r>
            <w:r w:rsidR="001D1527" w:rsidRPr="005E3D50">
              <w:rPr>
                <w:rFonts w:ascii="Aptos" w:hAnsi="Aptos"/>
                <w:color w:val="000000" w:themeColor="text1"/>
                <w:sz w:val="20"/>
                <w:szCs w:val="20"/>
                <w:lang w:val="es-ES"/>
              </w:rPr>
              <w:t xml:space="preserve">para lograr comunidades sostenibles y adaptación al clima en Sudáfrica </w:t>
            </w:r>
            <w:r w:rsidRPr="005E3D50">
              <w:rPr>
                <w:rFonts w:ascii="Aptos" w:hAnsi="Aptos"/>
                <w:color w:val="000000" w:themeColor="text1"/>
                <w:sz w:val="20"/>
                <w:szCs w:val="20"/>
                <w:lang w:val="es-ES"/>
              </w:rPr>
              <w:t xml:space="preserve">contribuyó a la rehabilitación de la cuenca </w:t>
            </w:r>
            <w:r w:rsidR="001D1527" w:rsidRPr="005E3D50">
              <w:rPr>
                <w:rFonts w:ascii="Aptos" w:hAnsi="Aptos"/>
                <w:color w:val="000000" w:themeColor="text1"/>
                <w:sz w:val="20"/>
                <w:szCs w:val="20"/>
                <w:lang w:val="es-ES"/>
              </w:rPr>
              <w:t xml:space="preserve">alta </w:t>
            </w:r>
            <w:r w:rsidRPr="005E3D50">
              <w:rPr>
                <w:rFonts w:ascii="Aptos" w:hAnsi="Aptos"/>
                <w:color w:val="000000" w:themeColor="text1"/>
                <w:sz w:val="20"/>
                <w:szCs w:val="20"/>
                <w:lang w:val="es-ES"/>
              </w:rPr>
              <w:t xml:space="preserve">del río </w:t>
            </w:r>
            <w:proofErr w:type="spellStart"/>
            <w:r w:rsidRPr="005E3D50">
              <w:rPr>
                <w:rFonts w:ascii="Aptos" w:hAnsi="Aptos"/>
                <w:color w:val="000000" w:themeColor="text1"/>
                <w:sz w:val="20"/>
                <w:szCs w:val="20"/>
                <w:lang w:val="es-ES"/>
              </w:rPr>
              <w:t>Jukskei</w:t>
            </w:r>
            <w:proofErr w:type="spellEnd"/>
            <w:r w:rsidRPr="005E3D50">
              <w:rPr>
                <w:rFonts w:ascii="Aptos" w:hAnsi="Aptos"/>
                <w:color w:val="000000" w:themeColor="text1"/>
                <w:sz w:val="20"/>
                <w:szCs w:val="20"/>
                <w:lang w:val="es-ES"/>
              </w:rPr>
              <w:t>.</w:t>
            </w:r>
          </w:p>
          <w:p w14:paraId="2050199B" w14:textId="77777777" w:rsidR="00D85F3C" w:rsidRPr="005E3D50" w:rsidRDefault="00D85F3C" w:rsidP="000F42F3">
            <w:pPr>
              <w:spacing w:line="276" w:lineRule="auto"/>
              <w:jc w:val="both"/>
              <w:rPr>
                <w:rFonts w:ascii="Aptos" w:eastAsia="Aptos" w:hAnsi="Aptos" w:cs="Aptos"/>
                <w:color w:val="000000" w:themeColor="text1"/>
                <w:lang w:val="es-ES" w:eastAsia="zh-CN"/>
              </w:rPr>
            </w:pPr>
          </w:p>
          <w:p w14:paraId="76D272C3" w14:textId="6E1C179D" w:rsidR="00D85F3C" w:rsidRPr="005E3D50" w:rsidRDefault="00D85F3C" w:rsidP="000F42F3">
            <w:pPr>
              <w:spacing w:line="276" w:lineRule="auto"/>
              <w:jc w:val="both"/>
              <w:rPr>
                <w:rFonts w:ascii="Aptos" w:eastAsia="Aptos" w:hAnsi="Aptos" w:cs="Aptos"/>
                <w:color w:val="000000" w:themeColor="text1"/>
                <w:sz w:val="20"/>
                <w:szCs w:val="20"/>
                <w:lang w:val="es-ES"/>
              </w:rPr>
            </w:pPr>
            <w:r w:rsidRPr="005E3D50">
              <w:rPr>
                <w:rFonts w:ascii="Aptos" w:hAnsi="Aptos"/>
                <w:i/>
                <w:iCs/>
                <w:color w:val="000000" w:themeColor="text1"/>
                <w:sz w:val="20"/>
                <w:szCs w:val="20"/>
                <w:lang w:val="es-ES"/>
              </w:rPr>
              <w:t>Metas pertinentes</w:t>
            </w:r>
            <w:r w:rsidRPr="005E3D50">
              <w:rPr>
                <w:rFonts w:ascii="Aptos" w:hAnsi="Aptos"/>
                <w:color w:val="000000" w:themeColor="text1"/>
                <w:sz w:val="20"/>
                <w:szCs w:val="20"/>
                <w:lang w:val="es-ES"/>
              </w:rPr>
              <w:t>: 4, 6 y 19.</w:t>
            </w:r>
          </w:p>
          <w:p w14:paraId="225387F3" w14:textId="086BEA33" w:rsidR="000A4A81" w:rsidRPr="005E3D50" w:rsidRDefault="000A4A81" w:rsidP="000F42F3">
            <w:pPr>
              <w:spacing w:line="276" w:lineRule="auto"/>
              <w:jc w:val="both"/>
              <w:rPr>
                <w:rFonts w:ascii="Aptos" w:eastAsia="Aptos" w:hAnsi="Aptos" w:cs="Aptos"/>
                <w:color w:val="000000" w:themeColor="text1"/>
                <w:sz w:val="20"/>
                <w:szCs w:val="20"/>
                <w:lang w:val="es-ES"/>
              </w:rPr>
            </w:pPr>
            <w:r w:rsidRPr="005E3D50">
              <w:rPr>
                <w:rFonts w:ascii="Aptos" w:hAnsi="Aptos"/>
                <w:i/>
                <w:color w:val="000000" w:themeColor="text1"/>
                <w:sz w:val="20"/>
                <w:szCs w:val="20"/>
                <w:lang w:val="es-ES"/>
              </w:rPr>
              <w:t xml:space="preserve">Fuente: </w:t>
            </w:r>
            <w:r w:rsidRPr="005E3D50">
              <w:rPr>
                <w:rFonts w:ascii="Aptos" w:hAnsi="Aptos"/>
                <w:color w:val="000000" w:themeColor="text1"/>
                <w:sz w:val="20"/>
                <w:szCs w:val="20"/>
                <w:lang w:val="es-ES"/>
              </w:rPr>
              <w:t>Sudáfrica, séptimo informe nacional presentado al Convenio.</w:t>
            </w:r>
          </w:p>
          <w:p w14:paraId="5D5C6CBD" w14:textId="33CD1489" w:rsidR="006340D0" w:rsidRPr="005E3D50" w:rsidRDefault="006340D0" w:rsidP="00980EC3">
            <w:pPr>
              <w:rPr>
                <w:lang w:val="es-ES" w:eastAsia="ja-JP"/>
              </w:rPr>
            </w:pPr>
          </w:p>
        </w:tc>
      </w:tr>
    </w:tbl>
    <w:p w14:paraId="43CFA3A6" w14:textId="77777777" w:rsidR="00B908BE" w:rsidRPr="005E3D50" w:rsidRDefault="00B908BE" w:rsidP="00B908BE">
      <w:pPr>
        <w:rPr>
          <w:i/>
          <w:iCs/>
          <w:lang w:val="es-ES" w:eastAsia="ja-JP"/>
        </w:rPr>
      </w:pPr>
    </w:p>
    <w:tbl>
      <w:tblPr>
        <w:tblStyle w:val="TableGrid"/>
        <w:tblW w:w="0" w:type="auto"/>
        <w:tblLook w:val="04A0" w:firstRow="1" w:lastRow="0" w:firstColumn="1" w:lastColumn="0" w:noHBand="0" w:noVBand="1"/>
      </w:tblPr>
      <w:tblGrid>
        <w:gridCol w:w="9350"/>
      </w:tblGrid>
      <w:tr w:rsidR="002E142D" w:rsidRPr="005E3D50" w14:paraId="0437DAF2" w14:textId="77777777" w:rsidTr="004C15AD">
        <w:trPr>
          <w:trHeight w:val="274"/>
        </w:trPr>
        <w:tc>
          <w:tcPr>
            <w:tcW w:w="9350" w:type="dxa"/>
            <w:shd w:val="clear" w:color="auto" w:fill="D1D1D1" w:themeFill="background2" w:themeFillShade="E6"/>
          </w:tcPr>
          <w:p w14:paraId="0CFDA551" w14:textId="77777777" w:rsidR="006A5D88" w:rsidRPr="005E3D50" w:rsidRDefault="006A5D88" w:rsidP="006A5D88">
            <w:pPr>
              <w:pStyle w:val="Caption"/>
              <w:keepNext/>
              <w:rPr>
                <w:i w:val="0"/>
                <w:iCs w:val="0"/>
                <w:sz w:val="20"/>
                <w:szCs w:val="20"/>
                <w:lang w:val="es-ES"/>
              </w:rPr>
            </w:pPr>
          </w:p>
          <w:p w14:paraId="236861DA" w14:textId="66E5E60E" w:rsidR="006A5D88" w:rsidRPr="005E3D50" w:rsidRDefault="006A5D88" w:rsidP="006A5D88">
            <w:pPr>
              <w:pStyle w:val="Caption"/>
              <w:keepNext/>
              <w:rPr>
                <w:i w:val="0"/>
                <w:iCs w:val="0"/>
                <w:sz w:val="20"/>
                <w:szCs w:val="20"/>
                <w:lang w:val="es-ES"/>
              </w:rPr>
            </w:pPr>
            <w:r w:rsidRPr="005E3D50">
              <w:rPr>
                <w:i w:val="0"/>
                <w:iCs w:val="0"/>
                <w:sz w:val="20"/>
                <w:szCs w:val="20"/>
                <w:lang w:val="es-ES"/>
              </w:rPr>
              <w:t xml:space="preserve">Recuadro 23 </w:t>
            </w:r>
          </w:p>
          <w:p w14:paraId="60C263A4" w14:textId="767EA94E" w:rsidR="000D568A" w:rsidRPr="005E3D50" w:rsidRDefault="006A5D88" w:rsidP="006A5D88">
            <w:pPr>
              <w:pStyle w:val="NormalWeb"/>
              <w:rPr>
                <w:rFonts w:asciiTheme="minorHAnsi" w:hAnsiTheme="minorHAnsi"/>
                <w:color w:val="000000"/>
                <w:lang w:val="es-ES"/>
              </w:rPr>
            </w:pPr>
            <w:r w:rsidRPr="005E3D50">
              <w:rPr>
                <w:rFonts w:asciiTheme="minorHAnsi" w:hAnsiTheme="minorHAnsi"/>
                <w:b/>
                <w:bCs/>
                <w:sz w:val="20"/>
                <w:szCs w:val="20"/>
                <w:lang w:val="es-ES"/>
              </w:rPr>
              <w:t>Colaboración transfronteriza y tecnología de ADN ambiental para el control de las invasiones de rata almizclera y coipo</w:t>
            </w:r>
          </w:p>
          <w:p w14:paraId="1E9092E7" w14:textId="13CA0FC7" w:rsidR="000D568A" w:rsidRPr="005E3D50" w:rsidRDefault="00E14BE8" w:rsidP="00EF09FC">
            <w:pPr>
              <w:pStyle w:val="NormalWeb"/>
              <w:spacing w:line="276" w:lineRule="auto"/>
              <w:rPr>
                <w:rFonts w:ascii="Aptos" w:hAnsi="Aptos"/>
                <w:color w:val="212121"/>
                <w:sz w:val="20"/>
                <w:szCs w:val="20"/>
                <w:lang w:val="es-ES"/>
              </w:rPr>
            </w:pPr>
            <w:r w:rsidRPr="005E3D50">
              <w:rPr>
                <w:rFonts w:ascii="Aptos" w:hAnsi="Aptos"/>
                <w:color w:val="000000"/>
                <w:sz w:val="20"/>
                <w:szCs w:val="20"/>
                <w:lang w:val="es-ES"/>
              </w:rPr>
              <w:t xml:space="preserve">El Reino de los Países Bajos se ha enfrentado a </w:t>
            </w:r>
            <w:r w:rsidR="0009382C">
              <w:rPr>
                <w:rFonts w:ascii="Aptos" w:hAnsi="Aptos"/>
                <w:color w:val="000000"/>
                <w:sz w:val="20"/>
                <w:szCs w:val="20"/>
                <w:lang w:val="es-ES"/>
              </w:rPr>
              <w:t>dificultades</w:t>
            </w:r>
            <w:r w:rsidRPr="005E3D50">
              <w:rPr>
                <w:rFonts w:ascii="Aptos" w:hAnsi="Aptos"/>
                <w:color w:val="000000"/>
                <w:sz w:val="20"/>
                <w:szCs w:val="20"/>
                <w:lang w:val="es-ES"/>
              </w:rPr>
              <w:t xml:space="preserve"> persistentes </w:t>
            </w:r>
            <w:r w:rsidR="0009382C">
              <w:rPr>
                <w:rFonts w:ascii="Aptos" w:hAnsi="Aptos"/>
                <w:color w:val="000000"/>
                <w:sz w:val="20"/>
                <w:szCs w:val="20"/>
                <w:lang w:val="es-ES"/>
              </w:rPr>
              <w:t>provocadas por</w:t>
            </w:r>
            <w:r w:rsidRPr="005E3D50">
              <w:rPr>
                <w:rFonts w:ascii="Aptos" w:hAnsi="Aptos"/>
                <w:color w:val="000000"/>
                <w:sz w:val="20"/>
                <w:szCs w:val="20"/>
                <w:lang w:val="es-ES"/>
              </w:rPr>
              <w:t xml:space="preserve"> mamíferos semiacuáticos invasores, en particular la rata almizclera (</w:t>
            </w:r>
            <w:proofErr w:type="spellStart"/>
            <w:r w:rsidRPr="005E3D50">
              <w:rPr>
                <w:rFonts w:ascii="Aptos" w:hAnsi="Aptos"/>
                <w:i/>
                <w:iCs/>
                <w:color w:val="000000"/>
                <w:sz w:val="20"/>
                <w:szCs w:val="20"/>
                <w:lang w:val="es-ES"/>
              </w:rPr>
              <w:t>Ondatra</w:t>
            </w:r>
            <w:proofErr w:type="spellEnd"/>
            <w:r w:rsidRPr="005E3D50">
              <w:rPr>
                <w:rFonts w:ascii="Aptos" w:hAnsi="Aptos"/>
                <w:i/>
                <w:iCs/>
                <w:color w:val="000000"/>
                <w:sz w:val="20"/>
                <w:szCs w:val="20"/>
                <w:lang w:val="es-ES"/>
              </w:rPr>
              <w:t xml:space="preserve"> </w:t>
            </w:r>
            <w:proofErr w:type="spellStart"/>
            <w:r w:rsidRPr="005E3D50">
              <w:rPr>
                <w:rFonts w:ascii="Aptos" w:hAnsi="Aptos"/>
                <w:i/>
                <w:iCs/>
                <w:color w:val="000000"/>
                <w:sz w:val="20"/>
                <w:szCs w:val="20"/>
                <w:lang w:val="es-ES"/>
              </w:rPr>
              <w:t>zibethicus</w:t>
            </w:r>
            <w:proofErr w:type="spellEnd"/>
            <w:r w:rsidRPr="005E3D50">
              <w:rPr>
                <w:rFonts w:ascii="Aptos" w:hAnsi="Aptos"/>
                <w:color w:val="000000"/>
                <w:sz w:val="20"/>
                <w:szCs w:val="20"/>
                <w:lang w:val="es-ES"/>
              </w:rPr>
              <w:t>) y el coipo (</w:t>
            </w:r>
            <w:proofErr w:type="spellStart"/>
            <w:r w:rsidRPr="005E3D50">
              <w:rPr>
                <w:rFonts w:ascii="Aptos" w:hAnsi="Aptos"/>
                <w:i/>
                <w:iCs/>
                <w:color w:val="000000"/>
                <w:sz w:val="20"/>
                <w:szCs w:val="20"/>
                <w:lang w:val="es-ES"/>
              </w:rPr>
              <w:t>Myocastor</w:t>
            </w:r>
            <w:proofErr w:type="spellEnd"/>
            <w:r w:rsidRPr="005E3D50">
              <w:rPr>
                <w:rFonts w:ascii="Aptos" w:hAnsi="Aptos"/>
                <w:i/>
                <w:iCs/>
                <w:color w:val="000000"/>
                <w:sz w:val="20"/>
                <w:szCs w:val="20"/>
                <w:lang w:val="es-ES"/>
              </w:rPr>
              <w:t xml:space="preserve"> </w:t>
            </w:r>
            <w:proofErr w:type="spellStart"/>
            <w:r w:rsidRPr="005E3D50">
              <w:rPr>
                <w:rFonts w:ascii="Aptos" w:hAnsi="Aptos"/>
                <w:i/>
                <w:iCs/>
                <w:color w:val="000000"/>
                <w:sz w:val="20"/>
                <w:szCs w:val="20"/>
                <w:lang w:val="es-ES"/>
              </w:rPr>
              <w:t>coypus</w:t>
            </w:r>
            <w:proofErr w:type="spellEnd"/>
            <w:r w:rsidRPr="005E3D50">
              <w:rPr>
                <w:rFonts w:ascii="Aptos" w:hAnsi="Aptos"/>
                <w:color w:val="000000"/>
                <w:sz w:val="20"/>
                <w:szCs w:val="20"/>
                <w:lang w:val="es-ES"/>
              </w:rPr>
              <w:t xml:space="preserve">), cuyas actividades de excavación socavan diques, riberas y otras infraestructuras de gestión del agua. Estos impactos plantean riesgos importantes para la protección contra las inundaciones y la seguridad hídrica en un país en el que extensas zonas se encuentran por debajo del nivel del mar. Los esfuerzos de gestión se han visto complicados, además, por la dispersión continua de ratas almizcleras desde países vecinos, especialmente Alemania, lo que dificulta su erradicación completa dentro de las fronteras nacionales. Los métodos tradicionales de captura también requieren importantes recursos humanos y económicos, mientras que </w:t>
            </w:r>
            <w:r w:rsidR="0060270F" w:rsidRPr="0060270F">
              <w:rPr>
                <w:rFonts w:ascii="Aptos" w:hAnsi="Aptos"/>
                <w:color w:val="000000"/>
                <w:sz w:val="20"/>
                <w:szCs w:val="20"/>
                <w:lang w:val="es-ES"/>
              </w:rPr>
              <w:t>el hecho de que los sistemas de madrigueras estén ocultos</w:t>
            </w:r>
            <w:r w:rsidRPr="005E3D50">
              <w:rPr>
                <w:rFonts w:ascii="Aptos" w:hAnsi="Aptos"/>
                <w:color w:val="000000"/>
                <w:sz w:val="20"/>
                <w:szCs w:val="20"/>
                <w:lang w:val="es-ES"/>
              </w:rPr>
              <w:t xml:space="preserve"> dificulta la detección y la eliminación de las especies. </w:t>
            </w:r>
          </w:p>
          <w:p w14:paraId="2B605793" w14:textId="0E40C804" w:rsidR="000D568A" w:rsidRPr="005E3D50" w:rsidRDefault="000D568A" w:rsidP="00EF09FC">
            <w:pPr>
              <w:pStyle w:val="NormalWeb"/>
              <w:spacing w:line="276" w:lineRule="auto"/>
              <w:rPr>
                <w:rFonts w:ascii="Aptos" w:hAnsi="Aptos"/>
                <w:color w:val="212121"/>
                <w:sz w:val="20"/>
                <w:szCs w:val="20"/>
                <w:lang w:val="es-ES"/>
              </w:rPr>
            </w:pPr>
            <w:r w:rsidRPr="005E3D50">
              <w:rPr>
                <w:rFonts w:ascii="Aptos" w:hAnsi="Aptos"/>
                <w:color w:val="000000"/>
                <w:sz w:val="20"/>
                <w:szCs w:val="20"/>
                <w:lang w:val="es-ES"/>
              </w:rPr>
              <w:t xml:space="preserve">Desde la puesta en marcha de un programa nacional de reducción de </w:t>
            </w:r>
            <w:r w:rsidR="00740F41">
              <w:rPr>
                <w:rFonts w:ascii="Aptos" w:hAnsi="Aptos"/>
                <w:color w:val="000000"/>
                <w:sz w:val="20"/>
                <w:szCs w:val="20"/>
                <w:lang w:val="es-ES"/>
              </w:rPr>
              <w:t>poblaciones</w:t>
            </w:r>
            <w:r w:rsidRPr="005E3D50">
              <w:rPr>
                <w:rFonts w:ascii="Aptos" w:hAnsi="Aptos"/>
                <w:color w:val="000000"/>
                <w:sz w:val="20"/>
                <w:szCs w:val="20"/>
                <w:lang w:val="es-ES"/>
              </w:rPr>
              <w:t xml:space="preserve"> en 2019, se han implementado medidas de gestión en cursos de agua interiores, humedales, riberas y regiones fronterizas de todo el país. Una característica distintiva del programa es el uso de técnicas de ADN ambiental (</w:t>
            </w:r>
            <w:proofErr w:type="spellStart"/>
            <w:r w:rsidRPr="005E3D50">
              <w:rPr>
                <w:rFonts w:ascii="Aptos" w:hAnsi="Aptos"/>
                <w:color w:val="000000"/>
                <w:sz w:val="20"/>
                <w:szCs w:val="20"/>
                <w:lang w:val="es-ES"/>
              </w:rPr>
              <w:t>eDNA</w:t>
            </w:r>
            <w:proofErr w:type="spellEnd"/>
            <w:r w:rsidRPr="005E3D50">
              <w:rPr>
                <w:rFonts w:ascii="Aptos" w:hAnsi="Aptos"/>
                <w:color w:val="000000"/>
                <w:sz w:val="20"/>
                <w:szCs w:val="20"/>
                <w:lang w:val="es-ES"/>
              </w:rPr>
              <w:t>) mediante el muestreo de agua y análisis por reacción en cadena de la polimerasa cuantitativa (</w:t>
            </w:r>
            <w:proofErr w:type="spellStart"/>
            <w:r w:rsidRPr="005E3D50">
              <w:rPr>
                <w:rFonts w:ascii="Aptos" w:hAnsi="Aptos"/>
                <w:color w:val="000000"/>
                <w:sz w:val="20"/>
                <w:szCs w:val="20"/>
                <w:lang w:val="es-ES"/>
              </w:rPr>
              <w:t>qPCR</w:t>
            </w:r>
            <w:proofErr w:type="spellEnd"/>
            <w:r w:rsidRPr="005E3D50">
              <w:rPr>
                <w:rFonts w:ascii="Aptos" w:hAnsi="Aptos"/>
                <w:color w:val="000000"/>
                <w:sz w:val="20"/>
                <w:szCs w:val="20"/>
                <w:lang w:val="es-ES"/>
              </w:rPr>
              <w:t>), para detectar la presencia de las especies de manera eficiente y precisa. Estos métodos complementan la captura convencional al reducir los costos de seguimiento, mejorar la precisión de la detección y minimizar los impactos en las especies no buscadas. La cooperación transfronteriza también ha facilitado el desarrollo de sistemas inteligentes de captura, protocolos normalizados de recopilación de datos y respuestas de gestión coordinadas. </w:t>
            </w:r>
          </w:p>
          <w:p w14:paraId="2A0C69F6" w14:textId="29816032" w:rsidR="00E14BE8" w:rsidRPr="005E3D50" w:rsidRDefault="00E14BE8" w:rsidP="00EF09FC">
            <w:pPr>
              <w:pStyle w:val="NormalWeb"/>
              <w:spacing w:line="276" w:lineRule="auto"/>
              <w:rPr>
                <w:rFonts w:ascii="Aptos" w:hAnsi="Aptos"/>
                <w:color w:val="212121"/>
                <w:sz w:val="20"/>
                <w:szCs w:val="20"/>
                <w:lang w:val="es-ES"/>
              </w:rPr>
            </w:pPr>
            <w:r w:rsidRPr="005E3D50">
              <w:rPr>
                <w:rFonts w:ascii="Aptos" w:hAnsi="Aptos"/>
                <w:color w:val="000000"/>
                <w:sz w:val="20"/>
                <w:szCs w:val="20"/>
                <w:lang w:val="es-ES"/>
              </w:rPr>
              <w:t xml:space="preserve">Un objetivo central del programa es eliminar las poblaciones viables de coipo tierra adentro y restringir las poblaciones de rata almizclera a las zonas fronterizas, con la meta cuantitativa de eliminar del país las poblaciones autosostenibles de rata almizclera presentes tierra adentro para 2034. El programa ha dado lugar a resultados significativos, entre los que se incluyen la erradicación satisfactoria del coipo de las zonas tierra adentro y una reducción drástica de ratas almizcleras. </w:t>
            </w:r>
            <w:r w:rsidRPr="005E3D50">
              <w:rPr>
                <w:rFonts w:ascii="Aptos" w:hAnsi="Aptos"/>
                <w:sz w:val="20"/>
                <w:szCs w:val="20"/>
                <w:lang w:val="es-ES"/>
              </w:rPr>
              <w:t>Las capturas anuales de rata almizclera han disminuido de aproximadamente 500.000 ejemplares a 85.000, lo que indica una reducción significativa de la presión ejercida por la población de ratas almizcleras y de los daños conexos a las infraestructuras.</w:t>
            </w:r>
            <w:r w:rsidRPr="005E3D50">
              <w:rPr>
                <w:rFonts w:ascii="Aptos" w:hAnsi="Aptos"/>
                <w:color w:val="000000"/>
                <w:sz w:val="20"/>
                <w:szCs w:val="20"/>
                <w:lang w:val="es-ES"/>
              </w:rPr>
              <w:t> </w:t>
            </w:r>
          </w:p>
          <w:p w14:paraId="3949C7C0" w14:textId="77777777" w:rsidR="000D568A" w:rsidRPr="005E3D50" w:rsidRDefault="00E14BE8" w:rsidP="00EF09FC">
            <w:pPr>
              <w:pStyle w:val="NormalWeb"/>
              <w:spacing w:line="276" w:lineRule="auto"/>
              <w:rPr>
                <w:rStyle w:val="apple-converted-space"/>
                <w:rFonts w:ascii="Aptos" w:hAnsi="Aptos"/>
                <w:color w:val="000000"/>
                <w:sz w:val="20"/>
                <w:szCs w:val="20"/>
                <w:lang w:val="es-ES"/>
              </w:rPr>
            </w:pPr>
            <w:r w:rsidRPr="005E3D50">
              <w:rPr>
                <w:rFonts w:ascii="Aptos" w:hAnsi="Aptos"/>
                <w:color w:val="000000"/>
                <w:sz w:val="20"/>
                <w:szCs w:val="20"/>
                <w:lang w:val="es-ES"/>
              </w:rPr>
              <w:t>En lo que respecta a la implementación, las autoridades responsables de la gestión del agua supervisan las operaciones sobre el terreno, despliegan equipos profesionales de captura y coordinan las medidas de control fronterizo. Los organismos nacionales mantienen un diálogo con los países vecinos para fortalecer los esfuerzos coordinados de gestión. Por su parte, las instituciones de investigación contribuyen al desarrollo y la aplicación de tecnologías de seguimiento innovadoras, mientras que los ciudadanos participan a través de plataformas oficiales de notificación que apoyan la vigilancia y la detección temprana.</w:t>
            </w:r>
            <w:r w:rsidRPr="005E3D50">
              <w:rPr>
                <w:rStyle w:val="apple-converted-space"/>
                <w:rFonts w:ascii="Aptos" w:hAnsi="Aptos"/>
                <w:color w:val="000000"/>
                <w:sz w:val="20"/>
                <w:szCs w:val="20"/>
                <w:lang w:val="es-ES"/>
              </w:rPr>
              <w:t> </w:t>
            </w:r>
          </w:p>
          <w:p w14:paraId="56F66994" w14:textId="0464E3F6" w:rsidR="00C646E9" w:rsidRPr="005E3D50" w:rsidRDefault="00C646E9" w:rsidP="006A5D88">
            <w:pPr>
              <w:pStyle w:val="NormalWeb"/>
              <w:spacing w:line="276" w:lineRule="auto"/>
              <w:rPr>
                <w:rStyle w:val="apple-converted-space"/>
                <w:rFonts w:asciiTheme="minorHAnsi" w:hAnsiTheme="minorHAnsi"/>
                <w:sz w:val="20"/>
                <w:szCs w:val="20"/>
                <w:lang w:val="es-ES"/>
              </w:rPr>
            </w:pPr>
            <w:r w:rsidRPr="005E3D50">
              <w:rPr>
                <w:rStyle w:val="apple-converted-space"/>
                <w:rFonts w:asciiTheme="minorHAnsi" w:hAnsiTheme="minorHAnsi"/>
                <w:i/>
                <w:sz w:val="20"/>
                <w:szCs w:val="20"/>
                <w:lang w:val="es-ES"/>
              </w:rPr>
              <w:lastRenderedPageBreak/>
              <w:t xml:space="preserve">Metas pertinentes: </w:t>
            </w:r>
            <w:r w:rsidRPr="005E3D50">
              <w:rPr>
                <w:rStyle w:val="apple-converted-space"/>
                <w:rFonts w:asciiTheme="minorHAnsi" w:hAnsiTheme="minorHAnsi"/>
                <w:sz w:val="20"/>
                <w:szCs w:val="20"/>
                <w:lang w:val="es-ES"/>
              </w:rPr>
              <w:t>4, 6, 20 y 21.</w:t>
            </w:r>
          </w:p>
          <w:p w14:paraId="08E2EA01" w14:textId="5B0244A1" w:rsidR="002E142D" w:rsidRPr="005E3D50" w:rsidRDefault="00C646E9" w:rsidP="004C15AD">
            <w:pPr>
              <w:pStyle w:val="NormalWeb"/>
              <w:spacing w:line="276" w:lineRule="auto"/>
              <w:rPr>
                <w:rFonts w:asciiTheme="minorHAnsi" w:hAnsiTheme="minorHAnsi"/>
                <w:color w:val="212121"/>
                <w:sz w:val="20"/>
                <w:szCs w:val="20"/>
                <w:lang w:val="es-ES"/>
              </w:rPr>
            </w:pPr>
            <w:r w:rsidRPr="005E3D50">
              <w:rPr>
                <w:rStyle w:val="apple-converted-space"/>
                <w:rFonts w:asciiTheme="minorHAnsi" w:hAnsiTheme="minorHAnsi"/>
                <w:i/>
                <w:sz w:val="20"/>
                <w:szCs w:val="20"/>
                <w:lang w:val="es-ES"/>
              </w:rPr>
              <w:t xml:space="preserve">Fuente: </w:t>
            </w:r>
            <w:r w:rsidRPr="005E3D50">
              <w:rPr>
                <w:rStyle w:val="apple-converted-space"/>
                <w:rFonts w:asciiTheme="minorHAnsi" w:hAnsiTheme="minorHAnsi"/>
                <w:sz w:val="20"/>
                <w:szCs w:val="20"/>
                <w:lang w:val="es-ES"/>
              </w:rPr>
              <w:t>Reino de los Países Bajos, séptimo informe nacional presentado al Convenio.</w:t>
            </w:r>
          </w:p>
        </w:tc>
      </w:tr>
    </w:tbl>
    <w:p w14:paraId="547F892B" w14:textId="77777777" w:rsidR="002E142D" w:rsidRPr="005E3D50" w:rsidRDefault="002E142D" w:rsidP="00B908BE">
      <w:pPr>
        <w:rPr>
          <w:i/>
          <w:iCs/>
          <w:lang w:val="es-ES" w:eastAsia="ja-JP"/>
        </w:rPr>
      </w:pPr>
    </w:p>
    <w:p w14:paraId="24D76EFE" w14:textId="01102161" w:rsidR="00C2078E" w:rsidRPr="005E3D50" w:rsidRDefault="00601DF3" w:rsidP="00601DF3">
      <w:pPr>
        <w:pStyle w:val="Heading6"/>
        <w:rPr>
          <w:lang w:val="es-ES"/>
        </w:rPr>
      </w:pPr>
      <w:bookmarkStart w:id="232" w:name="_Toc235821123"/>
      <w:r w:rsidRPr="005E3D50">
        <w:rPr>
          <w:lang w:val="es-ES"/>
        </w:rPr>
        <w:t>D</w:t>
      </w:r>
      <w:r w:rsidR="0077305C">
        <w:rPr>
          <w:lang w:val="es-ES"/>
        </w:rPr>
        <w:t>ificultade</w:t>
      </w:r>
      <w:r w:rsidRPr="005E3D50">
        <w:rPr>
          <w:lang w:val="es-ES"/>
        </w:rPr>
        <w:t>s</w:t>
      </w:r>
      <w:bookmarkEnd w:id="232"/>
    </w:p>
    <w:p w14:paraId="297F85A1" w14:textId="77777777" w:rsidR="000A4A81" w:rsidRPr="005E3D50" w:rsidRDefault="000A4A81" w:rsidP="000A4A81">
      <w:pPr>
        <w:rPr>
          <w:lang w:val="es-ES" w:eastAsia="ja-JP"/>
        </w:rPr>
      </w:pPr>
    </w:p>
    <w:p w14:paraId="50BAABEF" w14:textId="4FDDD131" w:rsidR="00B72FBE" w:rsidRPr="005E3D50" w:rsidRDefault="0089391E" w:rsidP="00B72FBE">
      <w:pPr>
        <w:rPr>
          <w:lang w:val="es-ES"/>
        </w:rPr>
      </w:pPr>
      <w:r w:rsidRPr="005E3D50">
        <w:rPr>
          <w:lang w:val="es-ES"/>
        </w:rPr>
        <w:t xml:space="preserve">Las Partes señalan que la falta de datos de referencia y de sistemas de seguimiento de las especies exóticas invasoras puede dificultar las evaluaciones de impacto necesarias para proporcionar una justificación sólida de la reglamentación y la gestión a nivel nacional. </w:t>
      </w:r>
      <w:r w:rsidR="00B34DA2">
        <w:rPr>
          <w:lang w:val="es-ES"/>
        </w:rPr>
        <w:t>S</w:t>
      </w:r>
      <w:r w:rsidRPr="005E3D50">
        <w:rPr>
          <w:lang w:val="es-ES"/>
        </w:rPr>
        <w:t>in valor</w:t>
      </w:r>
      <w:r w:rsidR="00B34DA2">
        <w:rPr>
          <w:lang w:val="es-ES"/>
        </w:rPr>
        <w:t>es</w:t>
      </w:r>
      <w:r w:rsidRPr="005E3D50">
        <w:rPr>
          <w:lang w:val="es-ES"/>
        </w:rPr>
        <w:t xml:space="preserve"> de referencia, es imposible calcular las tasas de introducción o establecimiento o verificar los progresos hacia </w:t>
      </w:r>
      <w:r w:rsidR="00232334">
        <w:rPr>
          <w:lang w:val="es-ES"/>
        </w:rPr>
        <w:t xml:space="preserve">la consecución de </w:t>
      </w:r>
      <w:r w:rsidRPr="005E3D50">
        <w:rPr>
          <w:lang w:val="es-ES"/>
        </w:rPr>
        <w:t>la meta de reducción del 50 %. A</w:t>
      </w:r>
      <w:r w:rsidR="00B34DA2">
        <w:rPr>
          <w:lang w:val="es-ES"/>
        </w:rPr>
        <w:t xml:space="preserve">demás, </w:t>
      </w:r>
      <w:r w:rsidRPr="005E3D50">
        <w:rPr>
          <w:lang w:val="es-ES"/>
        </w:rPr>
        <w:t xml:space="preserve">los sistemas de detección precoz y respuesta rápida </w:t>
      </w:r>
      <w:r w:rsidR="00B34DA2">
        <w:rPr>
          <w:lang w:val="es-ES"/>
        </w:rPr>
        <w:t xml:space="preserve">a menudo </w:t>
      </w:r>
      <w:r w:rsidRPr="005E3D50">
        <w:rPr>
          <w:lang w:val="es-ES"/>
        </w:rPr>
        <w:t xml:space="preserve">no existen o están poco desarrollados. La recurrencia y </w:t>
      </w:r>
      <w:proofErr w:type="spellStart"/>
      <w:r w:rsidRPr="005E3D50">
        <w:rPr>
          <w:lang w:val="es-ES"/>
        </w:rPr>
        <w:t>reinvasión</w:t>
      </w:r>
      <w:proofErr w:type="spellEnd"/>
      <w:r w:rsidRPr="005E3D50">
        <w:rPr>
          <w:lang w:val="es-ES"/>
        </w:rPr>
        <w:t xml:space="preserve"> de especies exóticas invasoras procedentes de países vecinos u otras zonas pueden socavar los esfuerzos de erradicación, que suelen ser de corto plazo y estar localizados. Varias Partes señalan que la ausencia de legislación específica sobre especies exóticas invasoras constituye un desafío para la </w:t>
      </w:r>
      <w:r w:rsidR="002A57CF">
        <w:rPr>
          <w:lang w:val="es-ES"/>
        </w:rPr>
        <w:t>consecución</w:t>
      </w:r>
      <w:r w:rsidRPr="005E3D50">
        <w:rPr>
          <w:lang w:val="es-ES"/>
        </w:rPr>
        <w:t xml:space="preserve"> de la meta 6. También se mencionan las limitaciones financieras, ya que la falta de financiación sostenida impide realizar los esfuerzos a largo plazo necesarios para controlar o erradicar las poblaciones de especies invasoras. La falta de integración sectorial en la gestión de las especies exóticas invasoras se señaló como otro obstáculo para controlar su propagación. Algunas Partes informan que, a pesar de las medidas de control, las tasas de establecimiento de especies exóticas invasoras continúan aumentando. Algunas Partes también señalan los desafíos específicos que plantean las especies acuáticas invasoras, que suelen ser más difíciles de detectar y gestionar.</w:t>
      </w:r>
    </w:p>
    <w:p w14:paraId="477F42A6" w14:textId="77777777" w:rsidR="004A1EBB" w:rsidRPr="005E3D50" w:rsidRDefault="004A1EBB" w:rsidP="00601DF3">
      <w:pPr>
        <w:rPr>
          <w:lang w:val="es-ES"/>
        </w:rPr>
      </w:pPr>
    </w:p>
    <w:p w14:paraId="653E8A2A" w14:textId="74C816B8" w:rsidR="004A1EBB" w:rsidRPr="005E3D50" w:rsidRDefault="00D3143B" w:rsidP="00D3143B">
      <w:pPr>
        <w:pStyle w:val="Heading5"/>
        <w:rPr>
          <w:lang w:val="es-ES"/>
        </w:rPr>
      </w:pPr>
      <w:bookmarkStart w:id="233" w:name="_Toc235821124"/>
      <w:r w:rsidRPr="005E3D50">
        <w:rPr>
          <w:lang w:val="es-ES"/>
        </w:rPr>
        <w:t>Contribuciones de actores distintos de los Gobiernos nacionales</w:t>
      </w:r>
      <w:bookmarkEnd w:id="233"/>
    </w:p>
    <w:p w14:paraId="25E05952" w14:textId="77777777" w:rsidR="00766EE7" w:rsidRPr="005E3D50" w:rsidRDefault="00766EE7" w:rsidP="00766EE7">
      <w:pPr>
        <w:rPr>
          <w:lang w:val="es-ES"/>
        </w:rPr>
      </w:pPr>
    </w:p>
    <w:p w14:paraId="492CD875" w14:textId="785211D5" w:rsidR="00B078D1" w:rsidRPr="005E3D50" w:rsidRDefault="00B078D1" w:rsidP="00731084">
      <w:pPr>
        <w:pStyle w:val="Heading6"/>
        <w:rPr>
          <w:lang w:val="es-ES"/>
        </w:rPr>
      </w:pPr>
      <w:bookmarkStart w:id="234" w:name="_Toc235821125"/>
      <w:r w:rsidRPr="005E3D50">
        <w:rPr>
          <w:lang w:val="es-ES"/>
        </w:rPr>
        <w:t>Compromisos presentados directamente a través de la herramienta de presentación de informes en línea</w:t>
      </w:r>
      <w:bookmarkEnd w:id="234"/>
    </w:p>
    <w:p w14:paraId="73597569" w14:textId="77777777" w:rsidR="00766EE7" w:rsidRPr="005E3D50" w:rsidRDefault="00766EE7" w:rsidP="00766EE7">
      <w:pPr>
        <w:rPr>
          <w:lang w:val="es-ES"/>
        </w:rPr>
      </w:pPr>
    </w:p>
    <w:p w14:paraId="21027817" w14:textId="77777777" w:rsidR="00A2580E" w:rsidRPr="005E3D50" w:rsidRDefault="00A2580E" w:rsidP="00A2580E">
      <w:pPr>
        <w:rPr>
          <w:lang w:val="es-ES"/>
        </w:rPr>
      </w:pPr>
      <w:r w:rsidRPr="005E3D50">
        <w:rPr>
          <w:lang w:val="es-ES"/>
        </w:rPr>
        <w:t xml:space="preserve">De los 180 compromisos sustantivos presentados por actores distintos de los Gobiernos nacionales, solo 5 están asociados principalmente con la meta 6. Cuatro de los compromisos proceden de ONG y 1 de una institución académica y de investigación. Cuatro de los cinco compromisos están relacionados con los datos y los conocimientos, lo que pone de relieve la importancia del seguimiento, los sistemas de alerta temprana y el </w:t>
      </w:r>
      <w:r w:rsidRPr="005E3D50">
        <w:rPr>
          <w:lang w:val="es-ES"/>
        </w:rPr>
        <w:lastRenderedPageBreak/>
        <w:t xml:space="preserve">intercambio de conocimientos en la gestión de las especies exóticas invasoras. Cuatro de los compromisos se centran en países europeos, mientras que uno aborda la gestión de las especies invasoras en pastizales de África (véase el recuadro 24). </w:t>
      </w:r>
    </w:p>
    <w:p w14:paraId="26ED9963" w14:textId="77777777" w:rsidR="00F33843" w:rsidRPr="005E3D50" w:rsidRDefault="00F33843" w:rsidP="00324C2D">
      <w:pPr>
        <w:rPr>
          <w:lang w:val="es-ES"/>
        </w:rPr>
      </w:pPr>
    </w:p>
    <w:p w14:paraId="34DAC249" w14:textId="7122CB5E" w:rsidR="00D102C3" w:rsidRPr="005E3D50" w:rsidRDefault="00D102C3" w:rsidP="00D102C3">
      <w:pPr>
        <w:pStyle w:val="Caption"/>
        <w:keepNext/>
        <w:rPr>
          <w:b/>
          <w:i w:val="0"/>
          <w:sz w:val="20"/>
          <w:szCs w:val="20"/>
          <w:lang w:val="es-ES"/>
        </w:rPr>
      </w:pPr>
    </w:p>
    <w:tbl>
      <w:tblPr>
        <w:tblStyle w:val="TableGrid"/>
        <w:tblW w:w="0" w:type="auto"/>
        <w:tblLook w:val="04A0" w:firstRow="1" w:lastRow="0" w:firstColumn="1" w:lastColumn="0" w:noHBand="0" w:noVBand="1"/>
      </w:tblPr>
      <w:tblGrid>
        <w:gridCol w:w="9016"/>
      </w:tblGrid>
      <w:tr w:rsidR="00A231A2" w:rsidRPr="005E3D50" w14:paraId="47DBFB42" w14:textId="77777777" w:rsidTr="38573CF5">
        <w:tc>
          <w:tcPr>
            <w:tcW w:w="9016" w:type="dxa"/>
            <w:shd w:val="clear" w:color="auto" w:fill="E8E8E8" w:themeFill="background2"/>
          </w:tcPr>
          <w:p w14:paraId="3EE20560" w14:textId="77777777" w:rsidR="001C55AD" w:rsidRPr="005E3D50" w:rsidRDefault="001C55AD" w:rsidP="00731084">
            <w:pPr>
              <w:rPr>
                <w:i/>
                <w:iCs/>
                <w:lang w:val="es-ES"/>
              </w:rPr>
            </w:pPr>
          </w:p>
          <w:p w14:paraId="5F88A838" w14:textId="5BDBF7BD" w:rsidR="00750E59" w:rsidRPr="005E3D50" w:rsidRDefault="00750E59" w:rsidP="00750E59">
            <w:pPr>
              <w:pStyle w:val="Caption"/>
              <w:keepNext/>
              <w:rPr>
                <w:i w:val="0"/>
                <w:iCs w:val="0"/>
                <w:sz w:val="20"/>
                <w:szCs w:val="20"/>
                <w:lang w:val="es-ES"/>
              </w:rPr>
            </w:pPr>
            <w:bookmarkStart w:id="235" w:name="_Ref230814913"/>
            <w:r w:rsidRPr="005E3D50">
              <w:rPr>
                <w:i w:val="0"/>
                <w:iCs w:val="0"/>
                <w:sz w:val="20"/>
                <w:szCs w:val="20"/>
                <w:lang w:val="es-ES"/>
              </w:rPr>
              <w:t>Recuadro 24</w:t>
            </w:r>
            <w:bookmarkEnd w:id="235"/>
            <w:r w:rsidRPr="005E3D50">
              <w:rPr>
                <w:i w:val="0"/>
                <w:iCs w:val="0"/>
                <w:sz w:val="20"/>
                <w:szCs w:val="20"/>
                <w:lang w:val="es-ES"/>
              </w:rPr>
              <w:t xml:space="preserve"> </w:t>
            </w:r>
          </w:p>
          <w:p w14:paraId="729F2CDA" w14:textId="3618DE9D" w:rsidR="00750E59" w:rsidRPr="005E3D50" w:rsidRDefault="00750E59" w:rsidP="00750E59">
            <w:pPr>
              <w:rPr>
                <w:sz w:val="20"/>
                <w:szCs w:val="20"/>
                <w:lang w:val="es-ES"/>
              </w:rPr>
            </w:pPr>
            <w:r w:rsidRPr="005E3D50">
              <w:rPr>
                <w:b/>
                <w:bCs/>
                <w:sz w:val="20"/>
                <w:szCs w:val="20"/>
                <w:lang w:val="es-ES"/>
              </w:rPr>
              <w:t>Abordar las especies exóticas invasoras como parte de la gestión participativa de los pastizales en África a través de la Organización del Sistema del CGIAR</w:t>
            </w:r>
          </w:p>
          <w:p w14:paraId="5BF9A2D2" w14:textId="77777777" w:rsidR="00750E59" w:rsidRPr="005E3D50" w:rsidRDefault="00750E59" w:rsidP="00956BCB">
            <w:pPr>
              <w:spacing w:line="276" w:lineRule="auto"/>
              <w:jc w:val="both"/>
              <w:rPr>
                <w:rFonts w:ascii="Aptos" w:eastAsia="Aptos" w:hAnsi="Aptos" w:cs="Aptos"/>
                <w:lang w:val="es-ES"/>
              </w:rPr>
            </w:pPr>
          </w:p>
          <w:p w14:paraId="697C7A5B" w14:textId="77777777" w:rsidR="00D1506D" w:rsidRPr="005E3D50" w:rsidRDefault="00D1506D" w:rsidP="005C2919">
            <w:pPr>
              <w:spacing w:line="276" w:lineRule="auto"/>
              <w:rPr>
                <w:rFonts w:ascii="Aptos" w:eastAsia="Aptos" w:hAnsi="Aptos" w:cs="Aptos"/>
                <w:sz w:val="20"/>
                <w:szCs w:val="20"/>
                <w:lang w:val="es-ES"/>
              </w:rPr>
            </w:pPr>
            <w:r w:rsidRPr="005E3D50">
              <w:rPr>
                <w:rFonts w:ascii="Aptos" w:hAnsi="Aptos"/>
                <w:sz w:val="20"/>
                <w:szCs w:val="20"/>
                <w:lang w:val="es-ES"/>
              </w:rPr>
              <w:t xml:space="preserve">La Organización del Sistema del CGIAR se ha comprometido a diseñar e implementar procesos de gestión participativa de pastizales en Etiopía, Kenya, Senegal y la República Unida de </w:t>
            </w:r>
            <w:proofErr w:type="spellStart"/>
            <w:r w:rsidRPr="005E3D50">
              <w:rPr>
                <w:rFonts w:ascii="Aptos" w:hAnsi="Aptos"/>
                <w:sz w:val="20"/>
                <w:szCs w:val="20"/>
                <w:lang w:val="es-ES"/>
              </w:rPr>
              <w:t>Tanzanía</w:t>
            </w:r>
            <w:proofErr w:type="spellEnd"/>
            <w:r w:rsidRPr="005E3D50">
              <w:rPr>
                <w:rFonts w:ascii="Aptos" w:hAnsi="Aptos"/>
                <w:sz w:val="20"/>
                <w:szCs w:val="20"/>
                <w:lang w:val="es-ES"/>
              </w:rPr>
              <w:t>, con el objetivo de lograr que 1 millón de hectáreas de pastizales se utilicen y gestionen de forma sostenible. La iniciativa comprende la formulación de planes conjuntos de gestión participativa de los pastizales, estrategias de restauración de los pastizales diseñadas conjuntamente y el desarrollo de herramientas y metodologías específicas para la gestión de las especies exóticas invasoras y la rehabilitación. Se hace un seguimiento de los progresos con respecto a dos indicadores de la meta 6 del Marco: la tasa de establecimiento de especies exóticas invasoras (indicador de cabecera 6.1) y el número de países que adoptan reglamentaciones pertinentes para reducir el impacto de las especies exóticas invasoras (indicador binario 6.b). Las estructuras de gobernanza inclusiva constituyen un principio central del diseño, y las comunidades locales y los Gobiernos participan activamente durante toda la implementación. Esta iniciativa se financia a través del Fondo Fiduciario del CGIAR, un mecanismo plurianual y con múltiples donantes que se ajusta a la estrategia de investigación e innovación del Sistema para 2030, y cuya ejecución está a cargo de un consorcio de centros del CGIAR. Los progresos se informan anualmente a través de las publicaciones y los canales de comunicación del CGIAR.</w:t>
            </w:r>
          </w:p>
          <w:p w14:paraId="1F686D00" w14:textId="77777777" w:rsidR="004B592C" w:rsidRPr="005E3D50" w:rsidRDefault="004B592C" w:rsidP="00956BCB">
            <w:pPr>
              <w:spacing w:line="276" w:lineRule="auto"/>
              <w:jc w:val="both"/>
              <w:rPr>
                <w:rFonts w:ascii="Aptos" w:eastAsia="Aptos" w:hAnsi="Aptos" w:cs="Aptos"/>
                <w:i/>
                <w:iCs/>
                <w:lang w:val="es-ES"/>
              </w:rPr>
            </w:pPr>
          </w:p>
          <w:p w14:paraId="1269D10A" w14:textId="438A6831" w:rsidR="00083224" w:rsidRPr="005E3D50" w:rsidRDefault="00083224" w:rsidP="00956BCB">
            <w:pPr>
              <w:spacing w:line="276" w:lineRule="auto"/>
              <w:jc w:val="both"/>
              <w:rPr>
                <w:rFonts w:ascii="Aptos" w:eastAsia="Aptos" w:hAnsi="Aptos" w:cs="Aptos"/>
                <w:sz w:val="20"/>
                <w:szCs w:val="20"/>
                <w:lang w:val="es-ES"/>
              </w:rPr>
            </w:pPr>
            <w:r w:rsidRPr="005E3D50">
              <w:rPr>
                <w:rFonts w:ascii="Aptos" w:hAnsi="Aptos"/>
                <w:i/>
                <w:iCs/>
                <w:sz w:val="20"/>
                <w:szCs w:val="20"/>
                <w:lang w:val="es-ES"/>
              </w:rPr>
              <w:t xml:space="preserve">Metas pertinentes: </w:t>
            </w:r>
            <w:r w:rsidRPr="005E3D50">
              <w:rPr>
                <w:rFonts w:ascii="Aptos" w:hAnsi="Aptos"/>
                <w:sz w:val="20"/>
                <w:szCs w:val="20"/>
                <w:lang w:val="es-ES"/>
              </w:rPr>
              <w:t>2, 6 y 22.</w:t>
            </w:r>
          </w:p>
          <w:p w14:paraId="448F4878" w14:textId="46BAFCB7" w:rsidR="00A231A2" w:rsidRPr="005E3D50" w:rsidRDefault="2921E5C7" w:rsidP="38573CF5">
            <w:pPr>
              <w:spacing w:line="276" w:lineRule="auto"/>
              <w:rPr>
                <w:i/>
                <w:iCs/>
                <w:sz w:val="20"/>
                <w:szCs w:val="20"/>
                <w:lang w:val="es-ES"/>
              </w:rPr>
            </w:pPr>
            <w:r w:rsidRPr="005E3D50">
              <w:rPr>
                <w:i/>
                <w:iCs/>
                <w:sz w:val="20"/>
                <w:szCs w:val="20"/>
                <w:lang w:val="es-ES"/>
              </w:rPr>
              <w:t>Fuente</w:t>
            </w:r>
            <w:r w:rsidRPr="005E3D50">
              <w:rPr>
                <w:sz w:val="20"/>
                <w:szCs w:val="20"/>
                <w:lang w:val="es-ES"/>
              </w:rPr>
              <w:t xml:space="preserve">: Organización del Sistema del CGIAR, compromiso de interesados (véase </w:t>
            </w:r>
            <w:hyperlink r:id="rId94">
              <w:r w:rsidRPr="005E3D50">
                <w:rPr>
                  <w:rStyle w:val="Hyperlink"/>
                  <w:sz w:val="20"/>
                  <w:szCs w:val="20"/>
                  <w:lang w:val="es-ES"/>
                </w:rPr>
                <w:t>https://ort.cbd.int/database/293918</w:t>
              </w:r>
            </w:hyperlink>
            <w:r w:rsidRPr="005E3D50">
              <w:rPr>
                <w:sz w:val="20"/>
                <w:szCs w:val="20"/>
                <w:lang w:val="es-ES"/>
              </w:rPr>
              <w:t>).</w:t>
            </w:r>
          </w:p>
        </w:tc>
      </w:tr>
    </w:tbl>
    <w:p w14:paraId="2DF92F93" w14:textId="77777777" w:rsidR="00F33843" w:rsidRPr="005E3D50" w:rsidRDefault="00F33843" w:rsidP="00324C2D">
      <w:pPr>
        <w:rPr>
          <w:lang w:val="es-ES"/>
        </w:rPr>
      </w:pPr>
    </w:p>
    <w:p w14:paraId="5F760A5D" w14:textId="2EB5F88C" w:rsidR="00B078D1" w:rsidRPr="005E3D50" w:rsidRDefault="00B078D1" w:rsidP="00731084">
      <w:pPr>
        <w:pStyle w:val="Heading6"/>
        <w:rPr>
          <w:lang w:val="es-ES"/>
        </w:rPr>
      </w:pPr>
      <w:bookmarkStart w:id="236" w:name="_Toc235821126"/>
      <w:r w:rsidRPr="005E3D50">
        <w:rPr>
          <w:lang w:val="es-ES"/>
        </w:rPr>
        <w:t>Contribuciones integradas en los informes nacionales</w:t>
      </w:r>
      <w:bookmarkEnd w:id="236"/>
    </w:p>
    <w:p w14:paraId="766AA4B2" w14:textId="77777777" w:rsidR="00541791" w:rsidRPr="005E3D50" w:rsidRDefault="00541791" w:rsidP="00541791">
      <w:pPr>
        <w:rPr>
          <w:lang w:val="es-ES"/>
        </w:rPr>
      </w:pPr>
    </w:p>
    <w:p w14:paraId="70D01213" w14:textId="2C45DEAF" w:rsidR="00B22C62" w:rsidRPr="005E3D50" w:rsidRDefault="00B22C62" w:rsidP="00B22C62">
      <w:pPr>
        <w:rPr>
          <w:lang w:val="es-ES"/>
        </w:rPr>
      </w:pPr>
      <w:r w:rsidRPr="005E3D50">
        <w:rPr>
          <w:lang w:val="es-ES"/>
        </w:rPr>
        <w:t xml:space="preserve">Las Partes señalan que la comunidad científica y el ámbito académico desempeñan funciones clave en la generación de conocimientos para apoyar la </w:t>
      </w:r>
      <w:r w:rsidR="000E31EA">
        <w:rPr>
          <w:lang w:val="es-ES"/>
        </w:rPr>
        <w:t>consecución</w:t>
      </w:r>
      <w:r w:rsidRPr="005E3D50">
        <w:rPr>
          <w:lang w:val="es-ES"/>
        </w:rPr>
        <w:t xml:space="preserve"> de la meta 6, por ejemplo mediante la elaboración de inventarios, listas de verificación y evaluaciones de riesgos de las especies exóticas invasoras, así como mediante el seguimiento y la vigilancia, el desarrollo de herramientas y plataformas, intervenciones directas como el control biológico y la eliminación física, el asesoramiento sobre políticas y la creación de capacidad. Las organizaciones intergubernamentales y los asociados internacionales </w:t>
      </w:r>
      <w:r w:rsidRPr="005E3D50">
        <w:rPr>
          <w:lang w:val="es-ES"/>
        </w:rPr>
        <w:lastRenderedPageBreak/>
        <w:t xml:space="preserve">actúan como </w:t>
      </w:r>
      <w:proofErr w:type="spellStart"/>
      <w:r w:rsidRPr="005E3D50">
        <w:rPr>
          <w:lang w:val="es-ES"/>
        </w:rPr>
        <w:t>cofinanciadores</w:t>
      </w:r>
      <w:proofErr w:type="spellEnd"/>
      <w:r w:rsidRPr="005E3D50">
        <w:rPr>
          <w:lang w:val="es-ES"/>
        </w:rPr>
        <w:t xml:space="preserve"> a través de mecanismos como el FMAM, y como proveedores de asistencia técnica a través de la FAO, CABI, la UICN y programas bilaterales. Los gobiernos subnacionales y las autoridades locales suelen ser responsables de ejecutar programas de control de las especies exóticas invasoras, así como de hacer cumplir la legislación o las ordenanzas pertinentes. Algunas Partes señalan que los pueblos indígenas y las comunidades locales contribuyen, entre otras funciones, a la vigilancia de primera línea en materia de bioseguridad, la eliminación mecánica de especies exóticas invasoras y la integración de los conocimientos tradicionales.</w:t>
      </w:r>
    </w:p>
    <w:p w14:paraId="7DD0B139" w14:textId="77777777" w:rsidR="00E30431" w:rsidRPr="005E3D50" w:rsidRDefault="00E30431" w:rsidP="00EF3328">
      <w:pPr>
        <w:pStyle w:val="Heading5"/>
        <w:rPr>
          <w:lang w:val="es-ES" w:eastAsia="ja-JP"/>
        </w:rPr>
      </w:pPr>
    </w:p>
    <w:p w14:paraId="79AD728C" w14:textId="69F2FD44" w:rsidR="00601DF3" w:rsidRPr="005E3D50" w:rsidRDefault="007460B9" w:rsidP="00EF3328">
      <w:pPr>
        <w:pStyle w:val="Heading5"/>
        <w:rPr>
          <w:lang w:val="es-ES"/>
        </w:rPr>
      </w:pPr>
      <w:bookmarkStart w:id="237" w:name="_Toc235821127"/>
      <w:r w:rsidRPr="005E3D50">
        <w:rPr>
          <w:lang w:val="es-ES"/>
        </w:rPr>
        <w:t>Ejemplos de vínculos con otros acuerdos, organizaciones y procesos</w:t>
      </w:r>
      <w:bookmarkEnd w:id="237"/>
    </w:p>
    <w:p w14:paraId="0B5F68F5" w14:textId="77777777" w:rsidR="008721A7" w:rsidRPr="005E3D50" w:rsidRDefault="008721A7" w:rsidP="008721A7">
      <w:pPr>
        <w:rPr>
          <w:lang w:val="es-ES" w:eastAsia="ja-JP"/>
        </w:rPr>
      </w:pPr>
    </w:p>
    <w:p w14:paraId="56CBBC46" w14:textId="42580EBD" w:rsidR="009C7556" w:rsidRPr="005E3D50" w:rsidRDefault="00925536" w:rsidP="009C7556">
      <w:pPr>
        <w:rPr>
          <w:lang w:val="es-ES"/>
        </w:rPr>
      </w:pPr>
      <w:r w:rsidRPr="005E3D50">
        <w:rPr>
          <w:lang w:val="es-ES"/>
        </w:rPr>
        <w:t xml:space="preserve">La principal vía de transferencia de especies acuáticas invasoras es el transporte marítimo, ya que los vectores relacionados con este (agua de lastre y </w:t>
      </w:r>
      <w:proofErr w:type="spellStart"/>
      <w:r w:rsidRPr="005E3D50">
        <w:rPr>
          <w:lang w:val="es-ES"/>
        </w:rPr>
        <w:t>bioincrustaciones</w:t>
      </w:r>
      <w:proofErr w:type="spellEnd"/>
      <w:r w:rsidRPr="005E3D50">
        <w:rPr>
          <w:lang w:val="es-ES"/>
        </w:rPr>
        <w:t xml:space="preserve">) representan la mayor parte de esas transferencias (Zhang y otros, 2026). Asimismo, la vía del transporte marítimo es, sin duda, la que se gestiona de forma más exhaustiva, por ejemplo, a través del Convenio internacional para el control y la gestión del agua de lastre y los sedimentos de los buques, 2004 (Convenio BWM). Este es un tratado jurídicamente vinculante negociado en el marco de la Organización Marítima Internacional (OMI), que está en vigor desde 2017 y actualmente cuenta con más de 100 Partes que representan más del 93 % del tonelaje de la marina mercante mundial. El Convenio BWM se creó con el propósito de prevenir la transferencia de especies acuáticas invasoras, garantizando que el agua de lastre y los sedimentos de los buques solo puedan descargarse si se han gestionado de conformidad con sus disposiciones. En 2023, el Comité de Protección del Medio Marino de la OMI adoptó directrices revisadas para el control y la gestión de las incrustaciones biológicas de los buques con el fin de reducir al mínimo la transferencia de especies acuáticas invasoras. Las directrices proporcionan un enfoque coherente a escala mundial para la gestión de las incrustaciones biológicas, es decir, la acumulación de diversos organismos acuáticos en las superficies de los buques (incluidos los cascos). Como ocurre con todas las directrices, estas no son obligatorias, pero los Estados Miembros de la OMI han decidido elaborar un marco jurídicamente vinculante para el control y la gestión de las </w:t>
      </w:r>
      <w:proofErr w:type="spellStart"/>
      <w:r w:rsidRPr="005E3D50">
        <w:rPr>
          <w:lang w:val="es-ES"/>
        </w:rPr>
        <w:t>bioincrustaciones</w:t>
      </w:r>
      <w:proofErr w:type="spellEnd"/>
      <w:r w:rsidRPr="005E3D50">
        <w:rPr>
          <w:lang w:val="es-ES"/>
        </w:rPr>
        <w:t xml:space="preserve"> de los buques, labor que comenzó en 2026 (OMI, 2023a, 2023b y 2025).</w:t>
      </w:r>
    </w:p>
    <w:p w14:paraId="6102AC2F" w14:textId="725A8AF5" w:rsidR="009C7556" w:rsidRPr="005E3D50" w:rsidRDefault="009C7556" w:rsidP="009C7556">
      <w:pPr>
        <w:rPr>
          <w:lang w:val="es-ES"/>
        </w:rPr>
      </w:pPr>
      <w:r w:rsidRPr="005E3D50">
        <w:rPr>
          <w:lang w:val="es-ES"/>
        </w:rPr>
        <w:t xml:space="preserve">Las vías también se abordan en la Convención Internacional de Protección Fitosanitaria (CIPF). Si bien la CIPF se centra en los riesgos relacionados con las plagas de las plantas, los beneficios derivados de sus medidas también se extienden a las especies exóticas invasoras y, por tanto, contribuyen a la meta 6. Por ejemplo, la Comisión de Medidas </w:t>
      </w:r>
      <w:r w:rsidRPr="005E3D50">
        <w:rPr>
          <w:lang w:val="es-ES"/>
        </w:rPr>
        <w:lastRenderedPageBreak/>
        <w:t>Fitosanitarias de la CIPF publicó en 2024 una recomendación sobre cómo minimizar el riesgo de plagas asociado al transporte en contenedores marítimos (Secretaría de la CIPF, 2024).</w:t>
      </w:r>
    </w:p>
    <w:p w14:paraId="3E947059" w14:textId="2529B02B" w:rsidR="009C7556" w:rsidRPr="005E3D50" w:rsidRDefault="009C7556" w:rsidP="009C7556">
      <w:pPr>
        <w:rPr>
          <w:lang w:val="es-ES"/>
        </w:rPr>
      </w:pPr>
      <w:r w:rsidRPr="005E3D50">
        <w:rPr>
          <w:lang w:val="es-ES"/>
        </w:rPr>
        <w:t xml:space="preserve">Las medidas para apoyar la </w:t>
      </w:r>
      <w:r w:rsidR="00A51C18">
        <w:rPr>
          <w:lang w:val="es-ES"/>
        </w:rPr>
        <w:t>consecución</w:t>
      </w:r>
      <w:r w:rsidRPr="005E3D50">
        <w:rPr>
          <w:lang w:val="es-ES"/>
        </w:rPr>
        <w:t xml:space="preserve"> de la meta 6 también se coordinan a través del Grupo de Enlace Interinstitucional sobre Especies Exóticas Invasoras, convocado por el Convenio sobre la Diversidad Biológica y en el que participan CABI, CITES, FAO, el Sistema Global de Información sobre Biodiversidad (GBIF), la Organización de Aviación Civil Internacional, OMI, CIPF, UICN, la Organización Mundial de Sanidad Animal, la Organización Mundial de Aduanas y la Organización Mundial del Comercio</w:t>
      </w:r>
      <w:r w:rsidR="0085450E" w:rsidRPr="005E3D50">
        <w:rPr>
          <w:rStyle w:val="FootnoteReference"/>
          <w:lang w:val="es-ES"/>
        </w:rPr>
        <w:footnoteReference w:id="23"/>
      </w:r>
      <w:r w:rsidRPr="005E3D50">
        <w:rPr>
          <w:lang w:val="es-ES"/>
        </w:rPr>
        <w:t xml:space="preserve">. </w:t>
      </w:r>
    </w:p>
    <w:p w14:paraId="5AFA3D82" w14:textId="1FB08844" w:rsidR="00601058" w:rsidRPr="005E3D50" w:rsidRDefault="007E0C0B" w:rsidP="00601058">
      <w:pPr>
        <w:rPr>
          <w:lang w:val="es-ES"/>
        </w:rPr>
      </w:pPr>
      <w:r w:rsidRPr="005E3D50">
        <w:rPr>
          <w:lang w:val="es-ES"/>
        </w:rPr>
        <w:t xml:space="preserve">Como se señala en el recuadro 5, los autores de la evaluación de la IPBES sobre las especies exóticas invasoras (IPBES, 2023a) ponen de relieve que para mitigar las invasiones biológicas se requiere un marco de gobernanza integrado estructurado en torno a la prevención, la detección temprana y el control estratégico. </w:t>
      </w:r>
      <w:r w:rsidRPr="005E3D50">
        <w:rPr>
          <w:rStyle w:val="citation-22"/>
          <w:lang w:val="es-ES"/>
        </w:rPr>
        <w:t>La prevención mediante una bioseguridad fronteriza sólida y la gestión de las vías se considera la defensa más eficaz y económica.</w:t>
      </w:r>
      <w:r w:rsidRPr="005E3D50">
        <w:rPr>
          <w:lang w:val="es-ES"/>
        </w:rPr>
        <w:t xml:space="preserve"> </w:t>
      </w:r>
      <w:r w:rsidRPr="005E3D50">
        <w:rPr>
          <w:rStyle w:val="citation-21"/>
          <w:lang w:val="es-ES"/>
        </w:rPr>
        <w:t>Cuando la prevención falla, los protocolos de detección temprana y respuesta rápida resultan fundamentales para reducir al mínimo las tasas de establecimiento, especialmente en las redes marinas y acuáticas conectadas más vulnerables.</w:t>
      </w:r>
      <w:r w:rsidRPr="005E3D50">
        <w:rPr>
          <w:lang w:val="es-ES"/>
        </w:rPr>
        <w:t xml:space="preserve"> </w:t>
      </w:r>
      <w:r w:rsidRPr="005E3D50">
        <w:rPr>
          <w:rStyle w:val="citation-20"/>
          <w:lang w:val="es-ES"/>
        </w:rPr>
        <w:t>En el caso de las poblaciones establecidas, se recomiendan intervenciones específicas para cada contexto, como la erradicación, la contención física o biológica y la restauración de los ecosistemas.</w:t>
      </w:r>
      <w:r w:rsidRPr="005E3D50">
        <w:rPr>
          <w:lang w:val="es-ES"/>
        </w:rPr>
        <w:t xml:space="preserve"> </w:t>
      </w:r>
      <w:r w:rsidR="00170BBB" w:rsidRPr="005E3D50">
        <w:rPr>
          <w:rStyle w:val="citation-19"/>
          <w:lang w:val="es-ES"/>
        </w:rPr>
        <w:t>Fundamentalmente, l</w:t>
      </w:r>
      <w:r w:rsidRPr="005E3D50">
        <w:rPr>
          <w:rStyle w:val="citation-19"/>
          <w:lang w:val="es-ES"/>
        </w:rPr>
        <w:t>os autores recomiendan la colaboración intersectorial, una financiación sostenida y la integración de sistemas de datos de acceso abierto.</w:t>
      </w:r>
      <w:r w:rsidRPr="005E3D50">
        <w:rPr>
          <w:lang w:val="es-ES"/>
        </w:rPr>
        <w:t xml:space="preserve"> </w:t>
      </w:r>
      <w:r w:rsidRPr="005E3D50">
        <w:rPr>
          <w:rStyle w:val="citation-18"/>
          <w:lang w:val="es-ES"/>
        </w:rPr>
        <w:t>Destacan que la elaboración conjunta de políticas con los interesados, los pueblos indígenas y las comunidades locales es esencial para alcanzar las metas ambientales mundiales, incluida la meta 6 del Marco.</w:t>
      </w:r>
    </w:p>
    <w:p w14:paraId="0C824BDE" w14:textId="4D1699CA" w:rsidR="008F71EA" w:rsidRPr="005E3D50" w:rsidRDefault="008F71EA" w:rsidP="00EF3328">
      <w:pPr>
        <w:rPr>
          <w:lang w:val="es-ES" w:eastAsia="ja-JP"/>
        </w:rPr>
      </w:pPr>
    </w:p>
    <w:p w14:paraId="3B5C0D0F" w14:textId="58EF6BB8" w:rsidR="00120352" w:rsidRPr="005E3D50" w:rsidRDefault="00120352" w:rsidP="74032CC2">
      <w:pPr>
        <w:pStyle w:val="Heading4"/>
        <w:rPr>
          <w:i w:val="0"/>
          <w:iCs w:val="0"/>
          <w:lang w:val="es-ES"/>
        </w:rPr>
      </w:pPr>
      <w:bookmarkStart w:id="238" w:name="_Toc235821128"/>
      <w:bookmarkStart w:id="239" w:name="_Toc239069201"/>
      <w:bookmarkStart w:id="240" w:name="_Toc242882979"/>
      <w:r w:rsidRPr="005E3D50">
        <w:rPr>
          <w:b/>
          <w:bCs/>
          <w:i w:val="0"/>
          <w:iCs w:val="0"/>
          <w:lang w:val="es-ES"/>
        </w:rPr>
        <w:t>Meta 7</w:t>
      </w:r>
      <w:r w:rsidRPr="005E3D50">
        <w:rPr>
          <w:i w:val="0"/>
          <w:iCs w:val="0"/>
          <w:lang w:val="es-ES"/>
        </w:rPr>
        <w:t>. Reducir la contaminación a niveles que no sean perjudiciales para la biodiversidad</w:t>
      </w:r>
      <w:bookmarkEnd w:id="238"/>
      <w:bookmarkEnd w:id="239"/>
      <w:bookmarkEnd w:id="240"/>
    </w:p>
    <w:p w14:paraId="264F6168" w14:textId="77777777" w:rsidR="00D6422E" w:rsidRPr="005E3D50" w:rsidRDefault="00D6422E" w:rsidP="00D6422E">
      <w:pPr>
        <w:rPr>
          <w:lang w:val="es-ES"/>
        </w:rPr>
      </w:pPr>
    </w:p>
    <w:p w14:paraId="3E59F11D" w14:textId="4D6EC0B5" w:rsidR="00E870FA" w:rsidRPr="005E3D50" w:rsidRDefault="00E870FA" w:rsidP="00E870FA">
      <w:pPr>
        <w:rPr>
          <w:i/>
          <w:iCs/>
          <w:sz w:val="22"/>
          <w:szCs w:val="22"/>
          <w:lang w:val="es-ES"/>
        </w:rPr>
      </w:pPr>
      <w:r w:rsidRPr="005E3D50">
        <w:rPr>
          <w:b/>
          <w:bCs/>
          <w:i/>
          <w:iCs/>
          <w:sz w:val="22"/>
          <w:szCs w:val="22"/>
          <w:lang w:val="es-ES"/>
        </w:rPr>
        <w:t>Texto de la meta</w:t>
      </w:r>
      <w:r w:rsidRPr="005E3D50">
        <w:rPr>
          <w:b/>
          <w:sz w:val="22"/>
          <w:szCs w:val="22"/>
          <w:lang w:val="es-ES"/>
        </w:rPr>
        <w:t>.</w:t>
      </w:r>
      <w:r w:rsidRPr="005E3D50">
        <w:rPr>
          <w:b/>
          <w:bCs/>
          <w:i/>
          <w:iCs/>
          <w:sz w:val="22"/>
          <w:szCs w:val="22"/>
          <w:lang w:val="es-ES"/>
        </w:rPr>
        <w:t xml:space="preserve"> </w:t>
      </w:r>
      <w:r w:rsidRPr="005E3D50">
        <w:rPr>
          <w:i/>
          <w:iCs/>
          <w:sz w:val="22"/>
          <w:szCs w:val="22"/>
          <w:lang w:val="es-ES"/>
        </w:rPr>
        <w:t xml:space="preserve">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w:t>
      </w:r>
      <w:r w:rsidRPr="005E3D50">
        <w:rPr>
          <w:i/>
          <w:iCs/>
          <w:sz w:val="22"/>
          <w:szCs w:val="22"/>
          <w:lang w:val="es-ES"/>
        </w:rPr>
        <w:lastRenderedPageBreak/>
        <w:t>teniendo en cuenta la seguridad alimentaria y los medios de vida; y c) previniendo, reduciendo y procurando eliminar la contaminación por plástico.</w:t>
      </w:r>
    </w:p>
    <w:p w14:paraId="08DDC1A1" w14:textId="77777777" w:rsidR="00E870FA" w:rsidRPr="005E3D50" w:rsidRDefault="00E870FA" w:rsidP="00E870FA">
      <w:pPr>
        <w:rPr>
          <w:lang w:val="es-ES"/>
        </w:rPr>
      </w:pPr>
    </w:p>
    <w:p w14:paraId="31CF9BC1" w14:textId="5A5202B1" w:rsidR="00EC0425" w:rsidRPr="005E3D50" w:rsidRDefault="00D6422E" w:rsidP="00EC0425">
      <w:pPr>
        <w:pStyle w:val="Heading5"/>
        <w:rPr>
          <w:lang w:val="es-ES"/>
        </w:rPr>
      </w:pPr>
      <w:r w:rsidRPr="005E3D50">
        <w:rPr>
          <w:lang w:val="es-ES"/>
        </w:rPr>
        <w:t>Panorama general de los progresos</w:t>
      </w:r>
    </w:p>
    <w:p w14:paraId="43550B1C" w14:textId="77777777" w:rsidR="00F118B4" w:rsidRPr="005E3D50" w:rsidRDefault="00F118B4" w:rsidP="00F118B4">
      <w:pPr>
        <w:rPr>
          <w:lang w:val="es-ES"/>
        </w:rPr>
      </w:pPr>
    </w:p>
    <w:tbl>
      <w:tblPr>
        <w:tblStyle w:val="TableGrid"/>
        <w:tblW w:w="0" w:type="auto"/>
        <w:tblLook w:val="04A0" w:firstRow="1" w:lastRow="0" w:firstColumn="1" w:lastColumn="0" w:noHBand="0" w:noVBand="1"/>
      </w:tblPr>
      <w:tblGrid>
        <w:gridCol w:w="9016"/>
      </w:tblGrid>
      <w:tr w:rsidR="004D0CD9" w:rsidRPr="005E3D50" w14:paraId="733EF1B4" w14:textId="77777777" w:rsidTr="00062226">
        <w:tc>
          <w:tcPr>
            <w:tcW w:w="9016" w:type="dxa"/>
            <w:shd w:val="clear" w:color="auto" w:fill="D1D1D1" w:themeFill="background2" w:themeFillShade="E6"/>
          </w:tcPr>
          <w:p w14:paraId="50E0C0AD" w14:textId="77777777" w:rsidR="00E870FA" w:rsidRPr="005E3D50" w:rsidRDefault="00E870FA" w:rsidP="00EC0425">
            <w:pPr>
              <w:rPr>
                <w:rFonts w:ascii="Aptos" w:eastAsia="Times New Roman" w:hAnsi="Aptos" w:cs="Calibri"/>
                <w:color w:val="000000"/>
                <w:lang w:val="es-ES"/>
              </w:rPr>
            </w:pPr>
            <w:bookmarkStart w:id="241" w:name="_Toc230654687"/>
          </w:p>
          <w:bookmarkEnd w:id="241"/>
          <w:p w14:paraId="456A9895" w14:textId="4CA79D9E" w:rsidR="00D67C2C" w:rsidRPr="005E3D50" w:rsidRDefault="00D67C2C" w:rsidP="00D67C2C">
            <w:pPr>
              <w:rPr>
                <w:rFonts w:ascii="Aptos" w:eastAsia="Times New Roman" w:hAnsi="Aptos" w:cs="Calibri"/>
                <w:color w:val="000000"/>
                <w:lang w:val="es-ES"/>
              </w:rPr>
            </w:pPr>
            <w:r w:rsidRPr="005E3D50">
              <w:rPr>
                <w:rFonts w:ascii="Aptos" w:hAnsi="Aptos"/>
                <w:color w:val="000000"/>
                <w:lang w:val="es-ES"/>
              </w:rPr>
              <w:t xml:space="preserve">Los progresos en </w:t>
            </w:r>
            <w:r w:rsidR="00E51448" w:rsidRPr="005E3D50">
              <w:rPr>
                <w:rFonts w:ascii="Aptos" w:hAnsi="Aptos"/>
                <w:color w:val="000000"/>
                <w:lang w:val="es-ES"/>
              </w:rPr>
              <w:t>el abordaje de</w:t>
            </w:r>
            <w:r w:rsidRPr="005E3D50">
              <w:rPr>
                <w:rFonts w:ascii="Aptos" w:hAnsi="Aptos"/>
                <w:color w:val="000000"/>
                <w:lang w:val="es-ES"/>
              </w:rPr>
              <w:t xml:space="preserve"> la contaminación son </w:t>
            </w:r>
            <w:r w:rsidR="00E51448" w:rsidRPr="005E3D50">
              <w:rPr>
                <w:rFonts w:ascii="Aptos" w:hAnsi="Aptos"/>
                <w:color w:val="000000"/>
                <w:lang w:val="es-ES"/>
              </w:rPr>
              <w:t xml:space="preserve">desiguales </w:t>
            </w:r>
            <w:r w:rsidRPr="005E3D50">
              <w:rPr>
                <w:rFonts w:ascii="Aptos" w:hAnsi="Aptos"/>
                <w:color w:val="000000"/>
                <w:lang w:val="es-ES"/>
              </w:rPr>
              <w:t xml:space="preserve">y las importantes carencias </w:t>
            </w:r>
            <w:r w:rsidR="00A64DE6" w:rsidRPr="005E3D50">
              <w:rPr>
                <w:rFonts w:ascii="Aptos" w:hAnsi="Aptos"/>
                <w:color w:val="000000"/>
                <w:lang w:val="es-ES"/>
              </w:rPr>
              <w:t>en la</w:t>
            </w:r>
            <w:r w:rsidRPr="005E3D50">
              <w:rPr>
                <w:rFonts w:ascii="Aptos" w:hAnsi="Aptos"/>
                <w:color w:val="000000"/>
                <w:lang w:val="es-ES"/>
              </w:rPr>
              <w:t xml:space="preserve"> disponibilidad de datos dificultan la evaluación de los progresos. La meta 7 abarca diversas fuentes de contaminación, que las Partes han abordado de formas diferentes al establecer sus metas nacionales. </w:t>
            </w:r>
            <w:r w:rsidR="00B478B3" w:rsidRPr="005E3D50">
              <w:rPr>
                <w:rFonts w:ascii="Aptos" w:hAnsi="Aptos"/>
                <w:color w:val="000000"/>
                <w:lang w:val="es-ES"/>
              </w:rPr>
              <w:t>Por lo tanto, l</w:t>
            </w:r>
            <w:r w:rsidRPr="005E3D50">
              <w:rPr>
                <w:rFonts w:ascii="Aptos" w:hAnsi="Aptos"/>
                <w:color w:val="000000"/>
                <w:lang w:val="es-ES"/>
              </w:rPr>
              <w:t xml:space="preserve">as tendencias </w:t>
            </w:r>
            <w:r w:rsidR="00E51448" w:rsidRPr="005E3D50">
              <w:rPr>
                <w:rFonts w:ascii="Aptos" w:hAnsi="Aptos"/>
                <w:color w:val="000000"/>
                <w:lang w:val="es-ES"/>
              </w:rPr>
              <w:t>comunicadas</w:t>
            </w:r>
            <w:r w:rsidRPr="005E3D50">
              <w:rPr>
                <w:rFonts w:ascii="Aptos" w:hAnsi="Aptos"/>
                <w:color w:val="000000"/>
                <w:lang w:val="es-ES"/>
              </w:rPr>
              <w:t xml:space="preserve"> en relación con los indicadores nacionales son divergentes</w:t>
            </w:r>
            <w:r w:rsidR="00B478B3" w:rsidRPr="005E3D50">
              <w:rPr>
                <w:rFonts w:ascii="Aptos" w:hAnsi="Aptos"/>
                <w:color w:val="000000"/>
                <w:lang w:val="es-ES"/>
              </w:rPr>
              <w:t>, y l</w:t>
            </w:r>
            <w:r w:rsidRPr="005E3D50">
              <w:rPr>
                <w:rFonts w:ascii="Aptos" w:hAnsi="Aptos"/>
                <w:color w:val="000000"/>
                <w:lang w:val="es-ES"/>
              </w:rPr>
              <w:t xml:space="preserve">a escasa presentación de datos sobre los indicadores de cabecera, los sistemas de seguimiento incompletos o desiguales y la comparabilidad limitada entre los indicadores restringen la evaluación agregada de los riesgos </w:t>
            </w:r>
            <w:r w:rsidR="00B478B3" w:rsidRPr="005E3D50">
              <w:rPr>
                <w:rFonts w:ascii="Aptos" w:hAnsi="Aptos"/>
                <w:color w:val="000000"/>
                <w:lang w:val="es-ES"/>
              </w:rPr>
              <w:t xml:space="preserve">de contaminación </w:t>
            </w:r>
            <w:r w:rsidRPr="005E3D50">
              <w:rPr>
                <w:rFonts w:ascii="Aptos" w:hAnsi="Aptos"/>
                <w:color w:val="000000"/>
                <w:lang w:val="es-ES"/>
              </w:rPr>
              <w:t xml:space="preserve">y </w:t>
            </w:r>
            <w:r w:rsidR="00B478B3" w:rsidRPr="005E3D50">
              <w:rPr>
                <w:rFonts w:ascii="Aptos" w:hAnsi="Aptos"/>
                <w:color w:val="000000"/>
                <w:lang w:val="es-ES"/>
              </w:rPr>
              <w:t>los progresos</w:t>
            </w:r>
            <w:r w:rsidRPr="005E3D50">
              <w:rPr>
                <w:rFonts w:ascii="Aptos" w:hAnsi="Aptos"/>
                <w:color w:val="000000"/>
                <w:lang w:val="es-ES"/>
              </w:rPr>
              <w:t xml:space="preserve">. </w:t>
            </w:r>
            <w:r w:rsidR="00B478B3" w:rsidRPr="005E3D50">
              <w:rPr>
                <w:rFonts w:ascii="Aptos" w:hAnsi="Aptos"/>
                <w:color w:val="000000"/>
                <w:lang w:val="es-ES"/>
              </w:rPr>
              <w:t>Además, l</w:t>
            </w:r>
            <w:r w:rsidRPr="005E3D50">
              <w:rPr>
                <w:rFonts w:ascii="Aptos" w:hAnsi="Aptos"/>
                <w:color w:val="000000"/>
                <w:lang w:val="es-ES"/>
              </w:rPr>
              <w:t xml:space="preserve">a mayoría de las Partes (60 %) reconocen que no están actualmente en vías de alcanzar las metas nacionales relacionadas con la meta 7. Uno de los principales obstáculos para avanzar hacia </w:t>
            </w:r>
            <w:r w:rsidR="00E51448" w:rsidRPr="005E3D50">
              <w:rPr>
                <w:rFonts w:ascii="Aptos" w:hAnsi="Aptos"/>
                <w:color w:val="000000"/>
                <w:lang w:val="es-ES"/>
              </w:rPr>
              <w:t>la consecución</w:t>
            </w:r>
            <w:r w:rsidRPr="005E3D50">
              <w:rPr>
                <w:rFonts w:ascii="Aptos" w:hAnsi="Aptos"/>
                <w:color w:val="000000"/>
                <w:lang w:val="es-ES"/>
              </w:rPr>
              <w:t xml:space="preserve"> de la meta 7 consiste en asegurar que los efectos sobre la seguridad alimentaria y los medios de vida se consideren y gestionen de forma eficaz y </w:t>
            </w:r>
            <w:r w:rsidR="00B478B3" w:rsidRPr="005E3D50">
              <w:rPr>
                <w:rFonts w:ascii="Aptos" w:hAnsi="Aptos"/>
                <w:color w:val="000000"/>
                <w:lang w:val="es-ES"/>
              </w:rPr>
              <w:t>justa</w:t>
            </w:r>
            <w:r w:rsidRPr="005E3D50">
              <w:rPr>
                <w:rFonts w:ascii="Aptos" w:hAnsi="Aptos"/>
                <w:color w:val="000000"/>
                <w:lang w:val="es-ES"/>
              </w:rPr>
              <w:t>.</w:t>
            </w:r>
          </w:p>
          <w:p w14:paraId="219F319C" w14:textId="3343F37D" w:rsidR="00E870FA" w:rsidRPr="005E3D50" w:rsidRDefault="00E870FA" w:rsidP="00EC0425">
            <w:pPr>
              <w:rPr>
                <w:rFonts w:ascii="Aptos" w:eastAsia="Times New Roman" w:hAnsi="Aptos" w:cs="Calibri"/>
                <w:color w:val="000000"/>
                <w:lang w:val="es-ES"/>
              </w:rPr>
            </w:pPr>
          </w:p>
        </w:tc>
      </w:tr>
    </w:tbl>
    <w:p w14:paraId="7104466F" w14:textId="77777777" w:rsidR="00743ADD" w:rsidRPr="005E3D50" w:rsidRDefault="00743ADD" w:rsidP="00743ADD">
      <w:pPr>
        <w:rPr>
          <w:lang w:val="es-ES"/>
        </w:rPr>
      </w:pPr>
    </w:p>
    <w:p w14:paraId="363AEE38" w14:textId="18B862AF" w:rsidR="00552D47" w:rsidRPr="005E3D50" w:rsidRDefault="00552D47" w:rsidP="00552D47">
      <w:pPr>
        <w:pStyle w:val="Heading5"/>
        <w:rPr>
          <w:lang w:val="es-ES"/>
        </w:rPr>
      </w:pPr>
      <w:r w:rsidRPr="005E3D50">
        <w:rPr>
          <w:lang w:val="es-ES"/>
        </w:rPr>
        <w:t>Grado en que las Partes cubren el alcance de la meta 7 del Marco en sus metas nacionales</w:t>
      </w:r>
    </w:p>
    <w:p w14:paraId="63B2BCC4" w14:textId="77777777" w:rsidR="00F118B4" w:rsidRPr="005E3D50" w:rsidRDefault="00F118B4" w:rsidP="00A33A9C">
      <w:pPr>
        <w:pStyle w:val="Heading5"/>
        <w:rPr>
          <w:lang w:val="es-ES"/>
        </w:rPr>
      </w:pPr>
    </w:p>
    <w:p w14:paraId="4A322BA5" w14:textId="638093C2" w:rsidR="00552D47" w:rsidRPr="005E3D50" w:rsidRDefault="00C61BA9" w:rsidP="00C61BA9">
      <w:pPr>
        <w:pStyle w:val="Caption"/>
        <w:keepNext/>
        <w:rPr>
          <w:i w:val="0"/>
          <w:iCs w:val="0"/>
          <w:sz w:val="20"/>
          <w:szCs w:val="20"/>
          <w:lang w:val="es-ES"/>
        </w:rPr>
      </w:pPr>
      <w:bookmarkStart w:id="242" w:name="_Ref230697525"/>
      <w:r w:rsidRPr="005E3D50">
        <w:rPr>
          <w:i w:val="0"/>
          <w:sz w:val="20"/>
          <w:szCs w:val="20"/>
          <w:lang w:val="es-ES"/>
        </w:rPr>
        <w:t>Cuadro 16</w:t>
      </w:r>
      <w:bookmarkEnd w:id="242"/>
      <w:r w:rsidRPr="005E3D50">
        <w:rPr>
          <w:i w:val="0"/>
          <w:sz w:val="20"/>
          <w:szCs w:val="20"/>
          <w:lang w:val="es-ES"/>
        </w:rPr>
        <w:t xml:space="preserve"> </w:t>
      </w:r>
    </w:p>
    <w:p w14:paraId="6A0B9F7F" w14:textId="737A8A58" w:rsidR="00C61BA9" w:rsidRPr="005E3D50" w:rsidRDefault="00C61BA9" w:rsidP="00C61BA9">
      <w:pPr>
        <w:pStyle w:val="Caption"/>
        <w:keepNext/>
        <w:rPr>
          <w:i w:val="0"/>
          <w:sz w:val="20"/>
          <w:szCs w:val="20"/>
          <w:lang w:val="es-ES"/>
        </w:rPr>
      </w:pPr>
      <w:r w:rsidRPr="005E3D50">
        <w:rPr>
          <w:b/>
          <w:bCs/>
          <w:i w:val="0"/>
          <w:sz w:val="20"/>
          <w:szCs w:val="20"/>
          <w:lang w:val="es-ES"/>
        </w:rPr>
        <w:t xml:space="preserve">Elementos de la meta 7 del Marco y cómo se abordan en las metas </w:t>
      </w:r>
      <w:proofErr w:type="spellStart"/>
      <w:r w:rsidRPr="005E3D50">
        <w:rPr>
          <w:b/>
          <w:bCs/>
          <w:i w:val="0"/>
          <w:sz w:val="20"/>
          <w:szCs w:val="20"/>
          <w:lang w:val="es-ES"/>
        </w:rPr>
        <w:t>nacionales</w:t>
      </w:r>
      <w:r w:rsidRPr="005E3D50">
        <w:rPr>
          <w:i w:val="0"/>
          <w:iCs w:val="0"/>
          <w:sz w:val="20"/>
          <w:szCs w:val="20"/>
          <w:vertAlign w:val="superscript"/>
          <w:lang w:val="es-ES"/>
        </w:rPr>
        <w:t>a</w:t>
      </w:r>
      <w:proofErr w:type="spellEnd"/>
    </w:p>
    <w:tbl>
      <w:tblPr>
        <w:tblStyle w:val="TableGrid"/>
        <w:tblW w:w="0" w:type="auto"/>
        <w:tblLook w:val="04A0" w:firstRow="1" w:lastRow="0" w:firstColumn="1" w:lastColumn="0" w:noHBand="0" w:noVBand="1"/>
      </w:tblPr>
      <w:tblGrid>
        <w:gridCol w:w="8359"/>
        <w:gridCol w:w="657"/>
      </w:tblGrid>
      <w:tr w:rsidR="003573F7" w:rsidRPr="005E3D50" w14:paraId="3D0EB929" w14:textId="77777777" w:rsidTr="005A4608">
        <w:tc>
          <w:tcPr>
            <w:tcW w:w="8359" w:type="dxa"/>
          </w:tcPr>
          <w:p w14:paraId="56C98E86" w14:textId="349A5559" w:rsidR="003573F7" w:rsidRPr="005E3D50" w:rsidRDefault="000C440D" w:rsidP="00A33A9C">
            <w:pPr>
              <w:rPr>
                <w:sz w:val="20"/>
                <w:szCs w:val="20"/>
                <w:lang w:val="es-ES"/>
              </w:rPr>
            </w:pPr>
            <w:r w:rsidRPr="005E3D50">
              <w:rPr>
                <w:sz w:val="20"/>
                <w:szCs w:val="20"/>
                <w:lang w:val="es-ES"/>
              </w:rPr>
              <w:t>Reducir para 2030 los riesgos de contaminación y el impacto negativo de la contaminación de todas las fuentes a niveles que no sean perjudiciales para la diversidad biológica, considerando los efectos acumulativos</w:t>
            </w:r>
          </w:p>
        </w:tc>
        <w:tc>
          <w:tcPr>
            <w:tcW w:w="657" w:type="dxa"/>
            <w:shd w:val="clear" w:color="auto" w:fill="92D050"/>
          </w:tcPr>
          <w:p w14:paraId="0D6D8186" w14:textId="5C5919E7" w:rsidR="003573F7" w:rsidRPr="005E3D50" w:rsidRDefault="00C00E51" w:rsidP="00A33A9C">
            <w:pPr>
              <w:rPr>
                <w:sz w:val="20"/>
                <w:szCs w:val="20"/>
                <w:lang w:val="es-ES"/>
              </w:rPr>
            </w:pPr>
            <w:r w:rsidRPr="005E3D50">
              <w:rPr>
                <w:sz w:val="20"/>
                <w:szCs w:val="20"/>
                <w:lang w:val="es-ES"/>
              </w:rPr>
              <w:t>71</w:t>
            </w:r>
          </w:p>
        </w:tc>
      </w:tr>
      <w:tr w:rsidR="003573F7" w:rsidRPr="005E3D50" w14:paraId="690D5B85" w14:textId="77777777" w:rsidTr="005A4608">
        <w:tc>
          <w:tcPr>
            <w:tcW w:w="8359" w:type="dxa"/>
          </w:tcPr>
          <w:p w14:paraId="78E23EAC" w14:textId="0AF627A9" w:rsidR="003573F7" w:rsidRPr="005E3D50" w:rsidRDefault="00386CC9" w:rsidP="00A33A9C">
            <w:pPr>
              <w:rPr>
                <w:sz w:val="20"/>
                <w:szCs w:val="20"/>
                <w:lang w:val="es-ES"/>
              </w:rPr>
            </w:pPr>
            <w:r w:rsidRPr="005E3D50">
              <w:rPr>
                <w:sz w:val="20"/>
                <w:szCs w:val="20"/>
                <w:lang w:val="es-ES"/>
              </w:rPr>
              <w:t>Reducir para 2030 los riesgos de contaminación y el impacto negativo de la contaminación de todas las fuentes a niveles que no sean perjudiciales para las funciones y los servicios de los ecosistemas, considerando los efectos acumulativos</w:t>
            </w:r>
          </w:p>
        </w:tc>
        <w:tc>
          <w:tcPr>
            <w:tcW w:w="657" w:type="dxa"/>
            <w:shd w:val="clear" w:color="auto" w:fill="92D050"/>
          </w:tcPr>
          <w:p w14:paraId="1A8B3217" w14:textId="4058C685" w:rsidR="003573F7" w:rsidRPr="005E3D50" w:rsidRDefault="00D0279E" w:rsidP="00A33A9C">
            <w:pPr>
              <w:rPr>
                <w:sz w:val="20"/>
                <w:szCs w:val="20"/>
                <w:lang w:val="es-ES"/>
              </w:rPr>
            </w:pPr>
            <w:r w:rsidRPr="005E3D50">
              <w:rPr>
                <w:sz w:val="20"/>
                <w:szCs w:val="20"/>
                <w:lang w:val="es-ES"/>
              </w:rPr>
              <w:t>60</w:t>
            </w:r>
          </w:p>
        </w:tc>
      </w:tr>
      <w:tr w:rsidR="003573F7" w:rsidRPr="005E3D50" w14:paraId="14DE1265" w14:textId="77777777" w:rsidTr="005A4608">
        <w:tc>
          <w:tcPr>
            <w:tcW w:w="8359" w:type="dxa"/>
          </w:tcPr>
          <w:p w14:paraId="407CDBE0" w14:textId="6082A227" w:rsidR="003573F7" w:rsidRPr="005E3D50" w:rsidRDefault="001C7272" w:rsidP="00E67C3A">
            <w:pPr>
              <w:rPr>
                <w:sz w:val="20"/>
                <w:szCs w:val="20"/>
                <w:lang w:val="es-ES"/>
              </w:rPr>
            </w:pPr>
            <w:r w:rsidRPr="005E3D50">
              <w:rPr>
                <w:sz w:val="20"/>
                <w:szCs w:val="20"/>
                <w:lang w:val="es-ES"/>
              </w:rPr>
              <w:t>Reducir al menos a la mitad el exceso de nutrientes que se liberan al medio ambiente, como por ejemplo mediante un ciclo y un uso más</w:t>
            </w:r>
            <w:r w:rsidR="00E67C3A" w:rsidRPr="005E3D50">
              <w:rPr>
                <w:sz w:val="20"/>
                <w:szCs w:val="20"/>
                <w:lang w:val="es-ES"/>
              </w:rPr>
              <w:t xml:space="preserve"> </w:t>
            </w:r>
            <w:r w:rsidRPr="005E3D50">
              <w:rPr>
                <w:sz w:val="20"/>
                <w:szCs w:val="20"/>
                <w:lang w:val="es-ES"/>
              </w:rPr>
              <w:t>eficientes de los nutrientes</w:t>
            </w:r>
          </w:p>
        </w:tc>
        <w:tc>
          <w:tcPr>
            <w:tcW w:w="657" w:type="dxa"/>
            <w:shd w:val="clear" w:color="auto" w:fill="FFFF00"/>
          </w:tcPr>
          <w:p w14:paraId="110C030F" w14:textId="798F8838" w:rsidR="003573F7" w:rsidRPr="005E3D50" w:rsidRDefault="00D16AFB" w:rsidP="00A33A9C">
            <w:pPr>
              <w:rPr>
                <w:sz w:val="20"/>
                <w:szCs w:val="20"/>
                <w:lang w:val="es-ES"/>
              </w:rPr>
            </w:pPr>
            <w:r w:rsidRPr="005E3D50">
              <w:rPr>
                <w:sz w:val="20"/>
                <w:szCs w:val="20"/>
                <w:lang w:val="es-ES"/>
              </w:rPr>
              <w:t>55</w:t>
            </w:r>
          </w:p>
        </w:tc>
      </w:tr>
      <w:tr w:rsidR="003573F7" w:rsidRPr="005E3D50" w14:paraId="754AFC24" w14:textId="77777777" w:rsidTr="005A4608">
        <w:tc>
          <w:tcPr>
            <w:tcW w:w="8359" w:type="dxa"/>
          </w:tcPr>
          <w:p w14:paraId="26746C28" w14:textId="2AE0A904" w:rsidR="003573F7" w:rsidRPr="005E3D50" w:rsidRDefault="0035730E" w:rsidP="00E67C3A">
            <w:pPr>
              <w:rPr>
                <w:sz w:val="20"/>
                <w:szCs w:val="20"/>
                <w:lang w:val="es-ES"/>
              </w:rPr>
            </w:pPr>
            <w:r w:rsidRPr="005E3D50">
              <w:rPr>
                <w:sz w:val="20"/>
                <w:szCs w:val="20"/>
                <w:lang w:val="es-ES"/>
              </w:rPr>
              <w:t>Reducir el riesgo general de los plaguicidas al menos a la mitad, incluido mediante la gestión integrada de plagas, basándose en la</w:t>
            </w:r>
            <w:r w:rsidR="00E67C3A" w:rsidRPr="005E3D50">
              <w:rPr>
                <w:sz w:val="20"/>
                <w:szCs w:val="20"/>
                <w:lang w:val="es-ES"/>
              </w:rPr>
              <w:t xml:space="preserve"> </w:t>
            </w:r>
            <w:r w:rsidRPr="005E3D50">
              <w:rPr>
                <w:sz w:val="20"/>
                <w:szCs w:val="20"/>
                <w:lang w:val="es-ES"/>
              </w:rPr>
              <w:t>ciencia, teniendo en cuenta la seguridad alimentaria y los medios de vida</w:t>
            </w:r>
          </w:p>
        </w:tc>
        <w:tc>
          <w:tcPr>
            <w:tcW w:w="657" w:type="dxa"/>
            <w:shd w:val="clear" w:color="auto" w:fill="FFFF00"/>
          </w:tcPr>
          <w:p w14:paraId="5B660E99" w14:textId="6FE1B691" w:rsidR="003573F7" w:rsidRPr="005E3D50" w:rsidRDefault="00DD333B" w:rsidP="00A33A9C">
            <w:pPr>
              <w:rPr>
                <w:sz w:val="20"/>
                <w:szCs w:val="20"/>
                <w:lang w:val="es-ES"/>
              </w:rPr>
            </w:pPr>
            <w:r w:rsidRPr="005E3D50">
              <w:rPr>
                <w:sz w:val="20"/>
                <w:szCs w:val="20"/>
                <w:lang w:val="es-ES"/>
              </w:rPr>
              <w:t>56</w:t>
            </w:r>
          </w:p>
        </w:tc>
      </w:tr>
      <w:tr w:rsidR="003573F7" w:rsidRPr="005E3D50" w14:paraId="75DC61D7" w14:textId="77777777" w:rsidTr="005A4608">
        <w:tc>
          <w:tcPr>
            <w:tcW w:w="8359" w:type="dxa"/>
          </w:tcPr>
          <w:p w14:paraId="58B7D4E2" w14:textId="37FCCCD4" w:rsidR="0032427D" w:rsidRPr="005E3D50" w:rsidRDefault="006767DE" w:rsidP="00A33A9C">
            <w:pPr>
              <w:rPr>
                <w:sz w:val="20"/>
                <w:szCs w:val="20"/>
                <w:lang w:val="es-ES"/>
              </w:rPr>
            </w:pPr>
            <w:r w:rsidRPr="005E3D50">
              <w:rPr>
                <w:sz w:val="20"/>
                <w:szCs w:val="20"/>
                <w:lang w:val="es-ES"/>
              </w:rPr>
              <w:t>Reducir el riesgo general de las sustancias químicas altamente peligrosas al menos a la mitad</w:t>
            </w:r>
          </w:p>
        </w:tc>
        <w:tc>
          <w:tcPr>
            <w:tcW w:w="657" w:type="dxa"/>
            <w:shd w:val="clear" w:color="auto" w:fill="FFFF00"/>
          </w:tcPr>
          <w:p w14:paraId="1F6EB9D8" w14:textId="04439567" w:rsidR="003573F7" w:rsidRPr="005E3D50" w:rsidRDefault="00245005" w:rsidP="00A33A9C">
            <w:pPr>
              <w:rPr>
                <w:sz w:val="20"/>
                <w:szCs w:val="20"/>
                <w:lang w:val="es-ES"/>
              </w:rPr>
            </w:pPr>
            <w:r w:rsidRPr="005E3D50">
              <w:rPr>
                <w:sz w:val="20"/>
                <w:szCs w:val="20"/>
                <w:lang w:val="es-ES"/>
              </w:rPr>
              <w:t>43</w:t>
            </w:r>
          </w:p>
        </w:tc>
      </w:tr>
      <w:tr w:rsidR="003573F7" w:rsidRPr="005E3D50" w14:paraId="2C6506FE" w14:textId="77777777" w:rsidTr="005A4608">
        <w:tc>
          <w:tcPr>
            <w:tcW w:w="8359" w:type="dxa"/>
          </w:tcPr>
          <w:p w14:paraId="52A1F73F" w14:textId="77777777" w:rsidR="003573F7" w:rsidRPr="005E3D50" w:rsidRDefault="00852CF6" w:rsidP="00A33A9C">
            <w:pPr>
              <w:rPr>
                <w:sz w:val="20"/>
                <w:szCs w:val="20"/>
                <w:lang w:val="es-ES"/>
              </w:rPr>
            </w:pPr>
            <w:r w:rsidRPr="005E3D50">
              <w:rPr>
                <w:sz w:val="20"/>
                <w:szCs w:val="20"/>
                <w:lang w:val="es-ES"/>
              </w:rPr>
              <w:t>Prevenir, reducir y procurar eliminar la contaminación por plástico</w:t>
            </w:r>
          </w:p>
          <w:p w14:paraId="22A27529" w14:textId="0E505CD2" w:rsidR="0032427D" w:rsidRPr="005E3D50" w:rsidRDefault="0032427D" w:rsidP="00A33A9C">
            <w:pPr>
              <w:rPr>
                <w:sz w:val="20"/>
                <w:szCs w:val="20"/>
                <w:lang w:val="es-ES"/>
              </w:rPr>
            </w:pPr>
          </w:p>
        </w:tc>
        <w:tc>
          <w:tcPr>
            <w:tcW w:w="657" w:type="dxa"/>
            <w:shd w:val="clear" w:color="auto" w:fill="FFFF00"/>
          </w:tcPr>
          <w:p w14:paraId="4D7569B4" w14:textId="3694FFEB" w:rsidR="003573F7" w:rsidRPr="005E3D50" w:rsidRDefault="009F5B1F" w:rsidP="00A33A9C">
            <w:pPr>
              <w:rPr>
                <w:sz w:val="20"/>
                <w:szCs w:val="20"/>
                <w:lang w:val="es-ES"/>
              </w:rPr>
            </w:pPr>
            <w:r w:rsidRPr="005E3D50">
              <w:rPr>
                <w:sz w:val="20"/>
                <w:szCs w:val="20"/>
                <w:lang w:val="es-ES"/>
              </w:rPr>
              <w:t>44</w:t>
            </w:r>
          </w:p>
        </w:tc>
      </w:tr>
      <w:tr w:rsidR="006B174F" w:rsidRPr="005E3D50" w14:paraId="792EF53A" w14:textId="77777777">
        <w:tc>
          <w:tcPr>
            <w:tcW w:w="9016" w:type="dxa"/>
            <w:gridSpan w:val="2"/>
          </w:tcPr>
          <w:p w14:paraId="170CECC4" w14:textId="64634689" w:rsidR="006B174F" w:rsidRPr="005E3D50" w:rsidRDefault="006B174F" w:rsidP="006B174F">
            <w:pPr>
              <w:pStyle w:val="p1"/>
              <w:keepNext/>
              <w:rPr>
                <w:rFonts w:asciiTheme="minorHAnsi" w:hAnsiTheme="minorHAnsi"/>
                <w:b/>
                <w:bCs/>
                <w:sz w:val="22"/>
                <w:szCs w:val="22"/>
                <w:lang w:val="es-ES"/>
              </w:rPr>
            </w:pPr>
            <w:r w:rsidRPr="005E3D50">
              <w:rPr>
                <w:rFonts w:asciiTheme="minorHAnsi" w:hAnsiTheme="minorHAnsi"/>
                <w:b/>
                <w:bCs/>
                <w:sz w:val="22"/>
                <w:szCs w:val="22"/>
                <w:lang w:val="es-ES"/>
              </w:rPr>
              <w:lastRenderedPageBreak/>
              <w:t>En promedio, las Partes han abordado, al menos en cierta medida, el 55 % de estos elementos en sus metas nacionales</w:t>
            </w:r>
          </w:p>
          <w:p w14:paraId="1C3D5D3F" w14:textId="77777777" w:rsidR="006B174F" w:rsidRPr="005E3D50" w:rsidRDefault="006B174F" w:rsidP="00A33A9C">
            <w:pPr>
              <w:rPr>
                <w:sz w:val="20"/>
                <w:szCs w:val="20"/>
                <w:lang w:val="es-ES"/>
              </w:rPr>
            </w:pPr>
          </w:p>
        </w:tc>
      </w:tr>
    </w:tbl>
    <w:p w14:paraId="20134EC8" w14:textId="0EBDEBC2" w:rsidR="0051516C" w:rsidRPr="005E3D50" w:rsidRDefault="0051516C" w:rsidP="00101A9D">
      <w:pPr>
        <w:rPr>
          <w:lang w:val="es-ES"/>
        </w:rPr>
      </w:pPr>
    </w:p>
    <w:p w14:paraId="25745F2F" w14:textId="77777777" w:rsidR="00F87E0E" w:rsidRPr="005E3D50" w:rsidRDefault="00F87E0E" w:rsidP="00F87E0E">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7C744511" w14:textId="09C13F12" w:rsidR="00F87E0E" w:rsidRPr="005E3D50" w:rsidRDefault="00F87E0E" w:rsidP="00F87E0E">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95" w:history="1">
        <w:r w:rsidRPr="005E3D50">
          <w:rPr>
            <w:rStyle w:val="Hyperlink"/>
            <w:rFonts w:ascii="Aptos" w:hAnsi="Aptos"/>
            <w:sz w:val="16"/>
            <w:szCs w:val="16"/>
            <w:lang w:val="es-ES"/>
          </w:rPr>
          <w:t>CBD/COP/16/INF/4</w:t>
        </w:r>
      </w:hyperlink>
      <w:r w:rsidRPr="005E3D50">
        <w:rPr>
          <w:sz w:val="16"/>
          <w:szCs w:val="16"/>
          <w:lang w:val="es-ES"/>
        </w:rPr>
        <w:t xml:space="preserve"> </w:t>
      </w:r>
      <w:r w:rsidRPr="005E3D50">
        <w:rPr>
          <w:rFonts w:ascii="Aptos" w:hAnsi="Aptos"/>
          <w:sz w:val="16"/>
          <w:szCs w:val="16"/>
          <w:lang w:val="es-ES"/>
        </w:rPr>
        <w:t>y Affinito y otros, 2025). En el documento </w:t>
      </w:r>
      <w:hyperlink r:id="rId96" w:history="1">
        <w:r w:rsidRPr="005E3D50">
          <w:rPr>
            <w:rStyle w:val="Hyperlink"/>
            <w:rFonts w:ascii="Aptos" w:hAnsi="Aptos"/>
            <w:sz w:val="16"/>
            <w:szCs w:val="16"/>
            <w:lang w:val="es-ES"/>
          </w:rPr>
          <w:t>CBD/SBI/7/INF/22</w:t>
        </w:r>
      </w:hyperlink>
      <w:r w:rsidRPr="005E3D50">
        <w:rPr>
          <w:rFonts w:ascii="Aptos" w:hAnsi="Aptos"/>
          <w:sz w:val="16"/>
          <w:szCs w:val="16"/>
          <w:lang w:val="es-ES"/>
        </w:rPr>
        <w:t xml:space="preserve"> se expone en detalle la metodología empleada para el análisis de las metas nacionales.</w:t>
      </w:r>
      <w:r w:rsidRPr="005E3D50">
        <w:rPr>
          <w:rStyle w:val="normaltextrun"/>
          <w:rFonts w:ascii="Aptos" w:hAnsi="Aptos"/>
          <w:sz w:val="16"/>
          <w:szCs w:val="16"/>
          <w:lang w:val="es-ES"/>
        </w:rPr>
        <w:t> </w:t>
      </w:r>
    </w:p>
    <w:p w14:paraId="273488E4" w14:textId="77777777" w:rsidR="00F87E0E" w:rsidRPr="005E3D50" w:rsidRDefault="00F87E0E" w:rsidP="00101A9D">
      <w:pPr>
        <w:rPr>
          <w:lang w:val="es-ES"/>
        </w:rPr>
      </w:pPr>
    </w:p>
    <w:p w14:paraId="2C5B5415" w14:textId="4E9B1F41" w:rsidR="00572D6F" w:rsidRPr="005E3D50" w:rsidRDefault="003C496E" w:rsidP="00572D6F">
      <w:pPr>
        <w:rPr>
          <w:lang w:val="es-ES"/>
        </w:rPr>
      </w:pPr>
      <w:r w:rsidRPr="005E3D50">
        <w:rPr>
          <w:lang w:val="es-ES"/>
        </w:rPr>
        <w:t>Los elementos de la meta 7 que abordan la mayoría de las Partes en sus metas nacionales son los relacionados con la reducción de los riesgos de contaminación a niveles que no sean perjudiciales para la diversidad biológica (71 % de las Partes) y las funciones y los servicios de los ecosistemas (60 %) (véase el cuadro 16). Una proporción menor incluye metas nacionales relativas a la reducción del exceso de nutrientes que se liberan al medio ambiente y a la reducción del riesgo general de los plaguicidas (55 % y 56 %, respectivamente). Los elementos aborda</w:t>
      </w:r>
      <w:r w:rsidR="00AA79EB">
        <w:rPr>
          <w:lang w:val="es-ES"/>
        </w:rPr>
        <w:t>dos por</w:t>
      </w:r>
      <w:r w:rsidRPr="005E3D50">
        <w:rPr>
          <w:lang w:val="es-ES"/>
        </w:rPr>
        <w:t xml:space="preserve"> el menor número de Partes en sus metas nacionales son aquellos relativos a la reducción del riesgo general de las sustancias químicas altamente peligrosas. Además, si bien muchas Partes señalan medidas específicas relacionadas con los plásticos, son menos las metas nacionales que abarcan todo el alcance de la meta en lo que respecta a prevenir, reducir y procurar eliminar la contaminación por plástico.</w:t>
      </w:r>
    </w:p>
    <w:p w14:paraId="31F59C4F" w14:textId="681DB945" w:rsidR="00821CCF" w:rsidRPr="005E3D50" w:rsidRDefault="00821CCF" w:rsidP="00821CCF">
      <w:pPr>
        <w:rPr>
          <w:lang w:val="es-ES"/>
        </w:rPr>
      </w:pPr>
      <w:r w:rsidRPr="005E3D50">
        <w:rPr>
          <w:lang w:val="es-ES"/>
        </w:rPr>
        <w:t>La meta 7 incluye componentes cuantitativos en lo que respecta a la reducción del exceso de nutrientes que se liberan al medio ambiente y la reducción del riesgo general de los plaguicidas y las sustancias químicas altamente peligrosas (es decir, “al menos a la mitad”). Alrededor de un quinto de las Partes incluyen componentes cuantitativos en sus metas nacionales relativas a la reducción de la liberación de nutrientes y de los riesgos derivados de los plaguicidas, y un porcentaje aún menor (13 %) ha</w:t>
      </w:r>
      <w:r w:rsidR="00370537" w:rsidRPr="005E3D50">
        <w:rPr>
          <w:lang w:val="es-ES"/>
        </w:rPr>
        <w:t>n</w:t>
      </w:r>
      <w:r w:rsidRPr="005E3D50">
        <w:rPr>
          <w:lang w:val="es-ES"/>
        </w:rPr>
        <w:t xml:space="preserve"> establecido metas nacionales para la reducción cuantificada del riesgo derivado de las sustancias químicas altamente peligrosas.</w:t>
      </w:r>
    </w:p>
    <w:p w14:paraId="4B53B2C4" w14:textId="0F4CAD02" w:rsidR="00101A9D" w:rsidRPr="005E3D50" w:rsidRDefault="00101A9D" w:rsidP="00101A9D">
      <w:pPr>
        <w:rPr>
          <w:lang w:val="es-ES"/>
        </w:rPr>
      </w:pPr>
      <w:r w:rsidRPr="005E3D50">
        <w:rPr>
          <w:lang w:val="es-ES"/>
        </w:rPr>
        <w:tab/>
        <w:t xml:space="preserve"> </w:t>
      </w:r>
    </w:p>
    <w:p w14:paraId="24759B41" w14:textId="77777777" w:rsidR="00B70AA4" w:rsidRPr="005E3D50" w:rsidRDefault="00B70AA4" w:rsidP="00B70AA4">
      <w:pPr>
        <w:pStyle w:val="Heading5"/>
        <w:rPr>
          <w:lang w:val="es-ES"/>
        </w:rPr>
      </w:pPr>
      <w:bookmarkStart w:id="243" w:name="_Toc235821131"/>
      <w:r w:rsidRPr="005E3D50">
        <w:rPr>
          <w:lang w:val="es-ES"/>
        </w:rPr>
        <w:t>Indicadores de progresos</w:t>
      </w:r>
      <w:bookmarkEnd w:id="243"/>
    </w:p>
    <w:p w14:paraId="577F3F13" w14:textId="77777777" w:rsidR="00792428" w:rsidRPr="005E3D50" w:rsidRDefault="00792428" w:rsidP="000927E9">
      <w:pPr>
        <w:pStyle w:val="Caption"/>
        <w:rPr>
          <w:i w:val="0"/>
          <w:iCs w:val="0"/>
          <w:sz w:val="20"/>
          <w:szCs w:val="20"/>
          <w:lang w:val="es-ES"/>
        </w:rPr>
      </w:pPr>
    </w:p>
    <w:p w14:paraId="6FF3FDA0" w14:textId="4F7859D4" w:rsidR="00291A90" w:rsidRPr="005E3D50" w:rsidRDefault="000927E9" w:rsidP="000927E9">
      <w:pPr>
        <w:pStyle w:val="Caption"/>
        <w:rPr>
          <w:i w:val="0"/>
          <w:iCs w:val="0"/>
          <w:sz w:val="20"/>
          <w:szCs w:val="20"/>
          <w:lang w:val="es-ES"/>
        </w:rPr>
      </w:pPr>
      <w:r w:rsidRPr="005E3D50">
        <w:rPr>
          <w:i w:val="0"/>
          <w:sz w:val="20"/>
          <w:szCs w:val="20"/>
          <w:lang w:val="es-ES"/>
        </w:rPr>
        <w:t>Cuadro 17</w:t>
      </w:r>
    </w:p>
    <w:p w14:paraId="23635524" w14:textId="7E55DCE1" w:rsidR="00A76A52" w:rsidRPr="005E3D50" w:rsidRDefault="000927E9" w:rsidP="000927E9">
      <w:pPr>
        <w:pStyle w:val="Caption"/>
        <w:rPr>
          <w:b/>
          <w:i w:val="0"/>
          <w:sz w:val="20"/>
          <w:szCs w:val="20"/>
          <w:lang w:val="es-ES"/>
        </w:rPr>
      </w:pPr>
      <w:r w:rsidRPr="005E3D50">
        <w:rPr>
          <w:b/>
          <w:bCs/>
          <w:i w:val="0"/>
          <w:iCs w:val="0"/>
          <w:sz w:val="20"/>
          <w:szCs w:val="20"/>
          <w:lang w:val="es-ES"/>
        </w:rPr>
        <w:t>Tablero de puntuación para indicadores de la meta 7 del Marco</w:t>
      </w:r>
    </w:p>
    <w:tbl>
      <w:tblPr>
        <w:tblW w:w="9016" w:type="dxa"/>
        <w:tblLook w:val="04A0" w:firstRow="1" w:lastRow="0" w:firstColumn="1" w:lastColumn="0" w:noHBand="0" w:noVBand="1"/>
      </w:tblPr>
      <w:tblGrid>
        <w:gridCol w:w="2818"/>
        <w:gridCol w:w="2139"/>
        <w:gridCol w:w="567"/>
        <w:gridCol w:w="2976"/>
        <w:gridCol w:w="516"/>
      </w:tblGrid>
      <w:tr w:rsidR="00A76A52" w:rsidRPr="005E3D50" w14:paraId="61F609DC"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tcPr>
          <w:p w14:paraId="34C61C79"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706" w:type="dxa"/>
            <w:gridSpan w:val="2"/>
            <w:tcBorders>
              <w:top w:val="single" w:sz="4" w:space="0" w:color="auto"/>
              <w:left w:val="nil"/>
              <w:bottom w:val="single" w:sz="4" w:space="0" w:color="auto"/>
              <w:right w:val="single" w:sz="4" w:space="0" w:color="auto"/>
            </w:tcBorders>
            <w:vAlign w:val="center"/>
          </w:tcPr>
          <w:p w14:paraId="2F3F11FE"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Uso del indicador</w:t>
            </w:r>
          </w:p>
        </w:tc>
        <w:tc>
          <w:tcPr>
            <w:tcW w:w="3492" w:type="dxa"/>
            <w:gridSpan w:val="2"/>
            <w:tcBorders>
              <w:top w:val="single" w:sz="4" w:space="0" w:color="auto"/>
              <w:left w:val="nil"/>
              <w:bottom w:val="single" w:sz="4" w:space="0" w:color="auto"/>
              <w:right w:val="single" w:sz="4" w:space="0" w:color="auto"/>
            </w:tcBorders>
            <w:vAlign w:val="center"/>
          </w:tcPr>
          <w:p w14:paraId="21A2146B" w14:textId="77777777" w:rsidR="00A76A52" w:rsidRPr="005E3D50" w:rsidRDefault="00A76A5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Resultados del indicador</w:t>
            </w:r>
          </w:p>
        </w:tc>
      </w:tr>
      <w:tr w:rsidR="00A76A52" w:rsidRPr="005E3D50" w14:paraId="46A9B4A1"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3795" w14:textId="22530EEB" w:rsidR="00A76A52" w:rsidRPr="005E3D50" w:rsidRDefault="00FF3A27">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Indicador de cabecera 7.1: índice del potencial de eutrofización costera</w:t>
            </w:r>
          </w:p>
        </w:tc>
        <w:tc>
          <w:tcPr>
            <w:tcW w:w="2139" w:type="dxa"/>
            <w:tcBorders>
              <w:top w:val="single" w:sz="4" w:space="0" w:color="auto"/>
              <w:left w:val="nil"/>
              <w:bottom w:val="single" w:sz="4" w:space="0" w:color="auto"/>
              <w:right w:val="single" w:sz="4" w:space="0" w:color="auto"/>
            </w:tcBorders>
            <w:vAlign w:val="center"/>
            <w:hideMark/>
          </w:tcPr>
          <w:p w14:paraId="12920FDF" w14:textId="3CEA32F9" w:rsidR="00A76A52" w:rsidRPr="005E3D50" w:rsidRDefault="00A76A5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10 % de las Partes, &lt;1 % tiene datos de series temporales</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8778F18"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6" w:type="dxa"/>
            <w:tcBorders>
              <w:top w:val="single" w:sz="4" w:space="0" w:color="auto"/>
              <w:left w:val="nil"/>
              <w:bottom w:val="single" w:sz="4" w:space="0" w:color="auto"/>
              <w:right w:val="single" w:sz="4" w:space="0" w:color="auto"/>
            </w:tcBorders>
            <w:vAlign w:val="center"/>
            <w:hideMark/>
          </w:tcPr>
          <w:p w14:paraId="6DB93E38" w14:textId="7EBA5F98" w:rsidR="00A76A52" w:rsidRPr="005E3D50" w:rsidRDefault="003D16B2" w:rsidP="00EE5E26">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Sin resultados: solo 2 Partes </w:t>
            </w:r>
            <w:r w:rsidR="00EE5E26" w:rsidRPr="005E3D50">
              <w:rPr>
                <w:rFonts w:ascii="Aptos" w:hAnsi="Aptos"/>
                <w:color w:val="000000"/>
                <w:sz w:val="20"/>
                <w:szCs w:val="20"/>
                <w:lang w:val="es-ES"/>
              </w:rPr>
              <w:t xml:space="preserve">presentaron </w:t>
            </w:r>
            <w:r w:rsidRPr="005E3D50">
              <w:rPr>
                <w:rFonts w:ascii="Aptos" w:hAnsi="Aptos"/>
                <w:color w:val="000000"/>
                <w:sz w:val="20"/>
                <w:szCs w:val="20"/>
                <w:lang w:val="es-ES"/>
              </w:rPr>
              <w:t>datos para el indicador como se describen en los metadatos</w:t>
            </w:r>
          </w:p>
        </w:tc>
        <w:tc>
          <w:tcPr>
            <w:tcW w:w="516"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7694D484" w14:textId="77777777" w:rsidR="00A76A52" w:rsidRPr="005E3D50" w:rsidRDefault="00A76A52">
            <w:pPr>
              <w:spacing w:after="0" w:line="240" w:lineRule="auto"/>
              <w:jc w:val="center"/>
              <w:rPr>
                <w:rFonts w:ascii="Aptos" w:eastAsia="Times New Roman" w:hAnsi="Aptos" w:cs="Calibri"/>
                <w:color w:val="000000"/>
                <w:kern w:val="0"/>
                <w:sz w:val="20"/>
                <w:szCs w:val="20"/>
                <w:lang w:val="es-ES" w:eastAsia="en-CA"/>
                <w14:ligatures w14:val="none"/>
              </w:rPr>
            </w:pPr>
          </w:p>
        </w:tc>
      </w:tr>
      <w:tr w:rsidR="00A76A52" w:rsidRPr="005E3D50" w14:paraId="4A030A8F"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78354E2" w14:textId="7B29A59F" w:rsidR="00A76A52" w:rsidRPr="005E3D50" w:rsidRDefault="00277EC6" w:rsidP="00FF3A27">
            <w:pPr>
              <w:rPr>
                <w:sz w:val="20"/>
                <w:szCs w:val="20"/>
                <w:lang w:val="es-ES"/>
              </w:rPr>
            </w:pPr>
            <w:bookmarkStart w:id="244" w:name="RANGE!B48"/>
            <w:r w:rsidRPr="005E3D50">
              <w:rPr>
                <w:sz w:val="20"/>
                <w:szCs w:val="20"/>
                <w:lang w:val="es-ES"/>
              </w:rPr>
              <w:t>Indicador de cabecera 7.2: concentración de plaguicidas en el medio ambiente y/o toxicidad total aplicada sin desglosar</w:t>
            </w:r>
            <w:bookmarkEnd w:id="244"/>
          </w:p>
        </w:tc>
        <w:tc>
          <w:tcPr>
            <w:tcW w:w="2139" w:type="dxa"/>
            <w:tcBorders>
              <w:top w:val="nil"/>
              <w:left w:val="nil"/>
              <w:bottom w:val="single" w:sz="4" w:space="0" w:color="auto"/>
              <w:right w:val="single" w:sz="4" w:space="0" w:color="auto"/>
            </w:tcBorders>
            <w:vAlign w:val="center"/>
            <w:hideMark/>
          </w:tcPr>
          <w:p w14:paraId="045C5E7D" w14:textId="7C569BEB" w:rsidR="00A76A52" w:rsidRPr="005E3D50" w:rsidRDefault="00786A9C">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14 % de las Partes</w:t>
            </w:r>
          </w:p>
        </w:tc>
        <w:tc>
          <w:tcPr>
            <w:tcW w:w="567" w:type="dxa"/>
            <w:tcBorders>
              <w:top w:val="nil"/>
              <w:left w:val="nil"/>
              <w:bottom w:val="single" w:sz="4" w:space="0" w:color="auto"/>
              <w:right w:val="single" w:sz="4" w:space="0" w:color="auto"/>
            </w:tcBorders>
            <w:shd w:val="clear" w:color="000000" w:fill="C00000"/>
            <w:vAlign w:val="center"/>
            <w:hideMark/>
          </w:tcPr>
          <w:p w14:paraId="66A1829A"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6" w:type="dxa"/>
            <w:tcBorders>
              <w:top w:val="nil"/>
              <w:left w:val="nil"/>
              <w:bottom w:val="single" w:sz="4" w:space="0" w:color="auto"/>
              <w:right w:val="single" w:sz="4" w:space="0" w:color="auto"/>
            </w:tcBorders>
            <w:vAlign w:val="center"/>
            <w:hideMark/>
          </w:tcPr>
          <w:p w14:paraId="5D1C39B1" w14:textId="24605A09" w:rsidR="00A76A52" w:rsidRPr="005E3D50" w:rsidRDefault="004C3404" w:rsidP="00294DAE">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Sin resultados: solo 5 Partes </w:t>
            </w:r>
            <w:r w:rsidR="00203EF9" w:rsidRPr="005E3D50">
              <w:rPr>
                <w:rFonts w:ascii="Aptos" w:hAnsi="Aptos"/>
                <w:color w:val="000000"/>
                <w:sz w:val="20"/>
                <w:szCs w:val="20"/>
                <w:lang w:val="es-ES"/>
              </w:rPr>
              <w:t xml:space="preserve">presentaron </w:t>
            </w:r>
            <w:r w:rsidRPr="005E3D50">
              <w:rPr>
                <w:rFonts w:ascii="Aptos" w:hAnsi="Aptos"/>
                <w:color w:val="000000"/>
                <w:sz w:val="20"/>
                <w:szCs w:val="20"/>
                <w:lang w:val="es-ES"/>
              </w:rPr>
              <w:t>datos para el indicador como se describen en los metadatos</w:t>
            </w:r>
            <w:r w:rsidR="00294DAE" w:rsidRPr="005E3D50">
              <w:rPr>
                <w:rFonts w:ascii="Aptos" w:hAnsi="Aptos"/>
                <w:color w:val="000000"/>
                <w:sz w:val="20"/>
                <w:szCs w:val="20"/>
                <w:lang w:val="es-ES"/>
              </w:rPr>
              <w:t>, pero utilizaron unidades diferentes</w:t>
            </w:r>
          </w:p>
        </w:tc>
        <w:tc>
          <w:tcPr>
            <w:tcW w:w="516" w:type="dxa"/>
            <w:tcBorders>
              <w:top w:val="nil"/>
              <w:left w:val="nil"/>
              <w:bottom w:val="single" w:sz="4" w:space="0" w:color="auto"/>
              <w:right w:val="single" w:sz="4" w:space="0" w:color="auto"/>
            </w:tcBorders>
            <w:shd w:val="clear" w:color="auto" w:fill="ADADAD" w:themeFill="background2" w:themeFillShade="BF"/>
            <w:vAlign w:val="center"/>
          </w:tcPr>
          <w:p w14:paraId="1EDE1CC9" w14:textId="77777777" w:rsidR="00A76A52" w:rsidRPr="005E3D50" w:rsidRDefault="00A76A52">
            <w:pPr>
              <w:spacing w:after="0" w:line="240" w:lineRule="auto"/>
              <w:jc w:val="center"/>
              <w:rPr>
                <w:rFonts w:ascii="Aptos" w:eastAsia="Times New Roman" w:hAnsi="Aptos" w:cs="Calibri"/>
                <w:color w:val="000000"/>
                <w:kern w:val="0"/>
                <w:sz w:val="20"/>
                <w:szCs w:val="20"/>
                <w:lang w:val="es-ES" w:eastAsia="en-CA"/>
                <w14:ligatures w14:val="none"/>
              </w:rPr>
            </w:pPr>
          </w:p>
        </w:tc>
      </w:tr>
      <w:tr w:rsidR="00A76A52" w:rsidRPr="005E3D50" w14:paraId="2413FF72"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1B8EAFC"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2139" w:type="dxa"/>
            <w:tcBorders>
              <w:top w:val="nil"/>
              <w:left w:val="nil"/>
              <w:bottom w:val="single" w:sz="4" w:space="0" w:color="auto"/>
              <w:right w:val="single" w:sz="4" w:space="0" w:color="auto"/>
            </w:tcBorders>
            <w:vAlign w:val="center"/>
            <w:hideMark/>
          </w:tcPr>
          <w:p w14:paraId="5E1BB9FC" w14:textId="7CC9E71C" w:rsidR="00A76A52" w:rsidRPr="005E3D50" w:rsidRDefault="00A76A52">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39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30 %</w:t>
            </w:r>
          </w:p>
        </w:tc>
        <w:tc>
          <w:tcPr>
            <w:tcW w:w="567" w:type="dxa"/>
            <w:tcBorders>
              <w:top w:val="nil"/>
              <w:left w:val="nil"/>
              <w:bottom w:val="single" w:sz="4" w:space="0" w:color="auto"/>
              <w:right w:val="single" w:sz="4" w:space="0" w:color="auto"/>
            </w:tcBorders>
            <w:shd w:val="clear" w:color="000000" w:fill="FFC000"/>
            <w:vAlign w:val="center"/>
            <w:hideMark/>
          </w:tcPr>
          <w:p w14:paraId="68BADCB9"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6" w:type="dxa"/>
            <w:tcBorders>
              <w:top w:val="nil"/>
              <w:left w:val="nil"/>
              <w:bottom w:val="single" w:sz="4" w:space="0" w:color="auto"/>
              <w:right w:val="single" w:sz="4" w:space="0" w:color="auto"/>
            </w:tcBorders>
            <w:vAlign w:val="center"/>
            <w:hideMark/>
          </w:tcPr>
          <w:p w14:paraId="5B390B30" w14:textId="77777777" w:rsidR="0068509C" w:rsidRPr="005E3D50" w:rsidRDefault="0068509C" w:rsidP="0068509C">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31 % registran tendencias positivas</w:t>
            </w:r>
          </w:p>
          <w:p w14:paraId="56A8E884" w14:textId="366F17FD" w:rsidR="00A76A52" w:rsidRPr="005E3D50" w:rsidRDefault="00A76A5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24 % registran tendencias negativas</w:t>
            </w:r>
          </w:p>
        </w:tc>
        <w:tc>
          <w:tcPr>
            <w:tcW w:w="516" w:type="dxa"/>
            <w:tcBorders>
              <w:top w:val="nil"/>
              <w:left w:val="nil"/>
              <w:bottom w:val="single" w:sz="4" w:space="0" w:color="auto"/>
              <w:right w:val="single" w:sz="4" w:space="0" w:color="auto"/>
            </w:tcBorders>
            <w:shd w:val="clear" w:color="auto" w:fill="FFC000"/>
            <w:vAlign w:val="center"/>
          </w:tcPr>
          <w:p w14:paraId="28ECEB84" w14:textId="77777777" w:rsidR="00A76A52" w:rsidRPr="005E3D50" w:rsidRDefault="00A76A52">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A76A52" w:rsidRPr="005E3D50" w14:paraId="308B7CCA" w14:textId="77777777">
        <w:trPr>
          <w:trHeight w:val="978"/>
        </w:trPr>
        <w:tc>
          <w:tcPr>
            <w:tcW w:w="2818" w:type="dxa"/>
            <w:tcBorders>
              <w:top w:val="nil"/>
              <w:left w:val="single" w:sz="4" w:space="0" w:color="auto"/>
              <w:bottom w:val="single" w:sz="4" w:space="0" w:color="auto"/>
              <w:right w:val="single" w:sz="4" w:space="0" w:color="auto"/>
            </w:tcBorders>
            <w:shd w:val="clear" w:color="000000" w:fill="FFFFFF"/>
            <w:vAlign w:val="center"/>
          </w:tcPr>
          <w:p w14:paraId="2E3B7FBF" w14:textId="77777777" w:rsidR="00A76A52" w:rsidRPr="005E3D50" w:rsidRDefault="00A76A52">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Observaciones </w:t>
            </w:r>
          </w:p>
        </w:tc>
        <w:tc>
          <w:tcPr>
            <w:tcW w:w="6198" w:type="dxa"/>
            <w:gridSpan w:val="4"/>
            <w:tcBorders>
              <w:top w:val="nil"/>
              <w:left w:val="nil"/>
              <w:bottom w:val="single" w:sz="4" w:space="0" w:color="auto"/>
              <w:right w:val="single" w:sz="4" w:space="0" w:color="auto"/>
            </w:tcBorders>
            <w:vAlign w:val="center"/>
          </w:tcPr>
          <w:p w14:paraId="3BA0993B" w14:textId="679A7449" w:rsidR="00A76A52" w:rsidRPr="005E3D50" w:rsidRDefault="00A76A52">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El uso de los indicadores de cabecera es limitado, pero algunos informes nacionales presentados parcialmente incluyen datos intermedios necesarios para compilar los indicadores.</w:t>
            </w:r>
          </w:p>
          <w:p w14:paraId="68B4F94C" w14:textId="77777777" w:rsidR="00057B27" w:rsidRPr="005E3D50" w:rsidRDefault="00057B27">
            <w:pPr>
              <w:spacing w:after="0" w:line="240" w:lineRule="auto"/>
              <w:rPr>
                <w:rFonts w:ascii="Aptos" w:eastAsia="Times New Roman" w:hAnsi="Aptos" w:cs="Times New Roman"/>
                <w:color w:val="000000"/>
                <w:kern w:val="0"/>
                <w:sz w:val="20"/>
                <w:szCs w:val="20"/>
                <w:lang w:val="es-ES" w:eastAsia="en-CA"/>
                <w14:ligatures w14:val="none"/>
              </w:rPr>
            </w:pPr>
          </w:p>
          <w:p w14:paraId="1B2333EB" w14:textId="24D46564" w:rsidR="00A76A52" w:rsidRPr="005E3D50" w:rsidRDefault="00A76A52" w:rsidP="00291124">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xml:space="preserve">Los datos </w:t>
            </w:r>
            <w:r w:rsidR="00291124" w:rsidRPr="005E3D50">
              <w:rPr>
                <w:rFonts w:ascii="Aptos" w:hAnsi="Aptos"/>
                <w:color w:val="000000"/>
                <w:sz w:val="20"/>
                <w:szCs w:val="20"/>
                <w:lang w:val="es-ES"/>
              </w:rPr>
              <w:t>presentados</w:t>
            </w:r>
            <w:r w:rsidRPr="005E3D50">
              <w:rPr>
                <w:rFonts w:ascii="Aptos" w:hAnsi="Aptos"/>
                <w:color w:val="000000"/>
                <w:sz w:val="20"/>
                <w:szCs w:val="20"/>
                <w:lang w:val="es-ES"/>
              </w:rPr>
              <w:t xml:space="preserve"> incluyen principalmente valores indirectos de los indicadores.</w:t>
            </w:r>
          </w:p>
        </w:tc>
      </w:tr>
    </w:tbl>
    <w:p w14:paraId="723F109F" w14:textId="77777777" w:rsidR="00A76A52" w:rsidRPr="005E3D50" w:rsidRDefault="00A76A52" w:rsidP="00A76A52">
      <w:pPr>
        <w:pStyle w:val="p1"/>
        <w:rPr>
          <w:rFonts w:ascii="Aptos" w:hAnsi="Aptos"/>
          <w:sz w:val="24"/>
          <w:szCs w:val="24"/>
          <w:lang w:val="es-ES"/>
        </w:rPr>
      </w:pPr>
    </w:p>
    <w:p w14:paraId="2FB3283B" w14:textId="61CB3721" w:rsidR="00997234" w:rsidRPr="005E3D50" w:rsidRDefault="00997234" w:rsidP="00997234">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Los colores correspondientes a los resultados de los indicadores de cabecera se basan en los progresos en la consecución de la meta (se asigna el color verde a los casos en que se están logrando progresos, amarillo cuando los progresos son dispares, rojo cuando los progresos son insuficientes y gris cuando no pueden evaluarse los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55761FEA" w14:textId="77777777" w:rsidR="00997234" w:rsidRPr="005E3D50" w:rsidRDefault="00997234" w:rsidP="009A12FE">
      <w:pPr>
        <w:rPr>
          <w:lang w:val="es-ES"/>
        </w:rPr>
      </w:pPr>
    </w:p>
    <w:p w14:paraId="15F528B8" w14:textId="249E2880" w:rsidR="00A77D98" w:rsidRPr="005E3D50" w:rsidRDefault="00A34269" w:rsidP="00A77D98">
      <w:pPr>
        <w:rPr>
          <w:rFonts w:ascii="Aptos" w:hAnsi="Aptos"/>
          <w:lang w:val="es-ES"/>
        </w:rPr>
      </w:pPr>
      <w:r w:rsidRPr="005E3D50">
        <w:rPr>
          <w:lang w:val="es-ES"/>
        </w:rPr>
        <w:t>Las Partes enfrentaron dificultades para compilar los dos indicadores de cabecera de la meta 7 (véase el cuadro 17). Entre ellas se incluían cuestiones metodológicas relacionadas con la modelización necesaria para el indicador de cabecera 7.1 (índice de eutrofización costera) y la metodología incompleta del indicador de cabecera 7.2 (concentración de plaguicidas en el medio ambiente y/o toxicidad total aplicada sin desglosar). Muchas Partes también señalaron la limitada disponibilidad de datos debido a que los sistemas de seguimiento estaban incompletos. Las diferencias en</w:t>
      </w:r>
      <w:r w:rsidR="00916342" w:rsidRPr="005E3D50">
        <w:rPr>
          <w:lang w:val="es-ES"/>
        </w:rPr>
        <w:t>tre</w:t>
      </w:r>
      <w:r w:rsidRPr="005E3D50">
        <w:rPr>
          <w:lang w:val="es-ES"/>
        </w:rPr>
        <w:t xml:space="preserve"> los marcos nacionales de presentación de informes de las Partes dieron lugar al uso de indicadores nacionales e indicadores indirectos </w:t>
      </w:r>
      <w:r w:rsidR="00916342" w:rsidRPr="005E3D50">
        <w:rPr>
          <w:lang w:val="es-ES"/>
        </w:rPr>
        <w:t>expresados en distintas</w:t>
      </w:r>
      <w:r w:rsidRPr="005E3D50">
        <w:rPr>
          <w:lang w:val="es-ES"/>
        </w:rPr>
        <w:t xml:space="preserve"> unidades, lo que dificultaba la agregación a nivel mundial. Sin embargo, cinco Partes presentaron estimaciones pa</w:t>
      </w:r>
      <w:r w:rsidR="00BF3AF3" w:rsidRPr="005E3D50">
        <w:rPr>
          <w:lang w:val="es-ES"/>
        </w:rPr>
        <w:t xml:space="preserve">ra el </w:t>
      </w:r>
      <w:r w:rsidR="00BF3AF3" w:rsidRPr="005E3D50">
        <w:rPr>
          <w:lang w:val="es-ES"/>
        </w:rPr>
        <w:lastRenderedPageBreak/>
        <w:t>indicador de cabecera 7.2</w:t>
      </w:r>
      <w:r w:rsidRPr="005E3D50">
        <w:rPr>
          <w:lang w:val="es-ES"/>
        </w:rPr>
        <w:t xml:space="preserve"> utilizando el proyecto de metodología para la toxicidad total aplicada sin desglosar. Entre ellas, al menos una Parte logró una reducción del 50 % de la toxicidad total aplicada sin desglosar, alcanzando así el objetivo de reducir a la mitad el riesgo general de los plaguicidas. Las Partes presentaron numerosos indicadores nacionales adicionales relacionados con la calidad del agua, la contaminación por plástico y el uso de plaguicidas, que mostraban tendencias tanto de avance hacia la meta como de alejamiento de ella (véase la figura 32).</w:t>
      </w:r>
      <w:r w:rsidRPr="005E3D50">
        <w:rPr>
          <w:rFonts w:ascii="Aptos" w:hAnsi="Aptos"/>
          <w:lang w:val="es-ES"/>
        </w:rPr>
        <w:t xml:space="preserve"> En general, resulta evidente que muchas Partes cuentan con metas que abordan varios elementos de la meta 7 y que se están realizando actividades de seguimiento para evaluar los progresos a nivel nacional; sin embargo, los datos utilizados actualmente carecen de la comparabilidad necesaria para compilar indicadores agregados que permitan evaluar los progresos en la implementación. </w:t>
      </w:r>
    </w:p>
    <w:p w14:paraId="429AFB30" w14:textId="77777777" w:rsidR="00043C70" w:rsidRPr="005E3D50" w:rsidRDefault="00043C70" w:rsidP="00A77D98">
      <w:pPr>
        <w:rPr>
          <w:rFonts w:ascii="Aptos" w:hAnsi="Aptos"/>
          <w:lang w:val="es-ES"/>
        </w:rPr>
      </w:pPr>
    </w:p>
    <w:p w14:paraId="170DAD93" w14:textId="6BA56490" w:rsidR="002643E2" w:rsidRPr="005E3D50" w:rsidRDefault="002643E2" w:rsidP="002643E2">
      <w:pPr>
        <w:pStyle w:val="Caption"/>
        <w:rPr>
          <w:i w:val="0"/>
          <w:iCs w:val="0"/>
          <w:sz w:val="20"/>
          <w:szCs w:val="20"/>
          <w:lang w:val="es-ES"/>
        </w:rPr>
      </w:pPr>
      <w:r w:rsidRPr="005E3D50">
        <w:rPr>
          <w:i w:val="0"/>
          <w:iCs w:val="0"/>
          <w:sz w:val="20"/>
          <w:szCs w:val="20"/>
          <w:lang w:val="es-ES"/>
        </w:rPr>
        <w:t xml:space="preserve">Figura 32 </w:t>
      </w:r>
    </w:p>
    <w:p w14:paraId="63876A5F" w14:textId="77777777" w:rsidR="002643E2" w:rsidRPr="005E3D50" w:rsidRDefault="002643E2" w:rsidP="002643E2">
      <w:pPr>
        <w:pStyle w:val="Caption"/>
        <w:rPr>
          <w:b/>
          <w:bCs/>
          <w:i w:val="0"/>
          <w:iCs w:val="0"/>
          <w:sz w:val="20"/>
          <w:szCs w:val="20"/>
          <w:lang w:val="es-ES"/>
        </w:rPr>
      </w:pPr>
      <w:r w:rsidRPr="005E3D50">
        <w:rPr>
          <w:b/>
          <w:bCs/>
          <w:i w:val="0"/>
          <w:iCs w:val="0"/>
          <w:sz w:val="20"/>
          <w:szCs w:val="20"/>
          <w:lang w:val="es-ES"/>
        </w:rPr>
        <w:t xml:space="preserve">Porcentaje de indicadores armonizados con la meta 7 del Marco que sugieren tendencias de mejora, estables y negativas, respectivamente </w:t>
      </w:r>
    </w:p>
    <w:p w14:paraId="5F0A5C98" w14:textId="2B8F1A52" w:rsidR="005837B7" w:rsidRPr="005E3D50" w:rsidRDefault="005837B7" w:rsidP="00A77D98">
      <w:pPr>
        <w:rPr>
          <w:rFonts w:ascii="Aptos" w:hAnsi="Aptos"/>
          <w:i/>
          <w:lang w:val="es-ES"/>
        </w:rPr>
      </w:pPr>
    </w:p>
    <w:p w14:paraId="305007C3" w14:textId="32FAEAB1" w:rsidR="00C3106C" w:rsidRPr="005E3D50" w:rsidRDefault="006B693E" w:rsidP="00A77D98">
      <w:pPr>
        <w:rPr>
          <w:rFonts w:ascii="Aptos" w:hAnsi="Aptos"/>
          <w:lang w:val="es-ES"/>
        </w:rPr>
      </w:pPr>
      <w:r w:rsidRPr="005E3D50">
        <w:rPr>
          <w:noProof/>
          <w:lang w:val="en-US"/>
        </w:rPr>
        <w:drawing>
          <wp:inline distT="0" distB="0" distL="0" distR="0" wp14:anchorId="55EE806B" wp14:editId="2FEAAD43">
            <wp:extent cx="5731510" cy="2456180"/>
            <wp:effectExtent l="0" t="0" r="0" b="0"/>
            <wp:docPr id="250733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33211" name="Picture 25073321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bookmarkStart w:id="245" w:name="_Ref231159593"/>
    </w:p>
    <w:bookmarkEnd w:id="245"/>
    <w:p w14:paraId="712B1EBC" w14:textId="6029E1F3" w:rsidR="00B70AA4" w:rsidRPr="005E3D50" w:rsidRDefault="00B70AA4" w:rsidP="003D2E7D">
      <w:pPr>
        <w:pStyle w:val="p1"/>
        <w:rPr>
          <w:lang w:val="es-ES"/>
        </w:rPr>
      </w:pPr>
    </w:p>
    <w:p w14:paraId="6F521F46" w14:textId="70D317FE" w:rsidR="001B710E" w:rsidRDefault="005436C3" w:rsidP="001B710E">
      <w:pPr>
        <w:pStyle w:val="Caption"/>
        <w:rPr>
          <w:rFonts w:ascii="Aptos" w:hAnsi="Aptos"/>
          <w:i w:val="0"/>
          <w:iCs w:val="0"/>
          <w:lang w:val="es-ES"/>
        </w:rPr>
      </w:pPr>
      <w:r w:rsidRPr="005E3D50">
        <w:rPr>
          <w:lang w:val="es-ES"/>
        </w:rPr>
        <w:t>Nota:</w:t>
      </w:r>
      <w:r w:rsidRPr="005E3D50">
        <w:rPr>
          <w:i w:val="0"/>
          <w:iCs w:val="0"/>
          <w:lang w:val="es-ES"/>
        </w:rPr>
        <w:t xml:space="preserve"> Las proporciones están ponderadas por Parte. </w:t>
      </w:r>
      <w:r w:rsidRPr="005E3D50">
        <w:rPr>
          <w:rFonts w:ascii="Arial" w:hAnsi="Arial"/>
          <w:i w:val="0"/>
          <w:iCs w:val="0"/>
          <w:lang w:val="es-ES"/>
        </w:rPr>
        <w:t>Las tendencias incluyen datos de 2 indicadores de cabecera de 24 Partes, y de 2 indicadores de componentes, 3 indicadores complementarios y 97 indicadores nacionales de un total de 22 Partes.</w:t>
      </w:r>
      <w:r w:rsidRPr="005E3D50">
        <w:rPr>
          <w:rFonts w:ascii="Aptos" w:hAnsi="Aptos"/>
          <w:i w:val="0"/>
          <w:iCs w:val="0"/>
          <w:lang w:val="es-ES"/>
        </w:rPr>
        <w:t xml:space="preserve"> El gráfico circular muestra la distribución de las Partes que presentaron indicadores para la meta 7,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93" w:type="dxa"/>
        <w:tblLook w:val="04A0" w:firstRow="1" w:lastRow="0" w:firstColumn="1" w:lastColumn="0" w:noHBand="0" w:noVBand="1"/>
      </w:tblPr>
      <w:tblGrid>
        <w:gridCol w:w="5463"/>
        <w:gridCol w:w="3830"/>
      </w:tblGrid>
      <w:tr w:rsidR="00A94263" w:rsidRPr="00A94263" w14:paraId="212A628D" w14:textId="77777777" w:rsidTr="0047737F">
        <w:tc>
          <w:tcPr>
            <w:tcW w:w="9293" w:type="dxa"/>
            <w:gridSpan w:val="2"/>
          </w:tcPr>
          <w:p w14:paraId="1A8E4B6B" w14:textId="0E39FECA" w:rsidR="00A94263" w:rsidRPr="002B1D2B" w:rsidRDefault="007533CC" w:rsidP="002B1D2B">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32</w:t>
            </w:r>
          </w:p>
        </w:tc>
      </w:tr>
      <w:tr w:rsidR="00A94263" w:rsidRPr="00A94263" w14:paraId="1D252D3F" w14:textId="77777777" w:rsidTr="00A94263">
        <w:tc>
          <w:tcPr>
            <w:tcW w:w="5463" w:type="dxa"/>
          </w:tcPr>
          <w:p w14:paraId="72137909" w14:textId="7E0DD33F" w:rsidR="00A94263" w:rsidRPr="002B1D2B" w:rsidRDefault="00A94263" w:rsidP="00B93410">
            <w:pPr>
              <w:rPr>
                <w:rFonts w:ascii="Aptos" w:hAnsi="Aptos"/>
                <w:sz w:val="18"/>
                <w:szCs w:val="18"/>
                <w:lang w:val="es-ES"/>
              </w:rPr>
            </w:pPr>
            <w:r w:rsidRPr="002B1D2B">
              <w:rPr>
                <w:rFonts w:ascii="Aptos" w:hAnsi="Aptos"/>
                <w:sz w:val="18"/>
                <w:szCs w:val="18"/>
                <w:lang w:val="es-ES"/>
              </w:rPr>
              <w:t>English</w:t>
            </w:r>
          </w:p>
        </w:tc>
        <w:tc>
          <w:tcPr>
            <w:tcW w:w="3830" w:type="dxa"/>
          </w:tcPr>
          <w:p w14:paraId="701748D9" w14:textId="6C37DC93" w:rsidR="00A94263"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A94263" w:rsidRPr="00A94263" w14:paraId="719DF84E" w14:textId="77777777" w:rsidTr="00A94263">
        <w:tc>
          <w:tcPr>
            <w:tcW w:w="5463" w:type="dxa"/>
          </w:tcPr>
          <w:p w14:paraId="36458DD9" w14:textId="77777777" w:rsidR="00A94263" w:rsidRPr="00A94263" w:rsidRDefault="00A94263" w:rsidP="00A94263">
            <w:pPr>
              <w:rPr>
                <w:rFonts w:ascii="Aptos" w:hAnsi="Aptos"/>
                <w:sz w:val="18"/>
                <w:szCs w:val="18"/>
                <w:lang w:val="es-ES"/>
              </w:rPr>
            </w:pPr>
            <w:proofErr w:type="spellStart"/>
            <w:r w:rsidRPr="00A94263">
              <w:rPr>
                <w:rFonts w:ascii="Aptos" w:hAnsi="Aptos"/>
                <w:sz w:val="18"/>
                <w:szCs w:val="18"/>
                <w:lang w:val="es-ES"/>
              </w:rPr>
              <w:t>Proportion</w:t>
            </w:r>
            <w:proofErr w:type="spellEnd"/>
          </w:p>
        </w:tc>
        <w:tc>
          <w:tcPr>
            <w:tcW w:w="3830" w:type="dxa"/>
          </w:tcPr>
          <w:p w14:paraId="255F8E02" w14:textId="3B5110D9" w:rsidR="00A94263" w:rsidRPr="00A94263" w:rsidRDefault="00A94263" w:rsidP="00A94263">
            <w:pPr>
              <w:rPr>
                <w:rFonts w:ascii="Aptos" w:hAnsi="Aptos"/>
                <w:sz w:val="18"/>
                <w:szCs w:val="18"/>
                <w:lang w:val="es-ES"/>
              </w:rPr>
            </w:pPr>
            <w:r w:rsidRPr="00A94263">
              <w:rPr>
                <w:rFonts w:ascii="Aptos" w:hAnsi="Aptos"/>
                <w:sz w:val="18"/>
                <w:szCs w:val="18"/>
                <w:lang w:val="es-ES"/>
              </w:rPr>
              <w:t>Proporción</w:t>
            </w:r>
          </w:p>
        </w:tc>
      </w:tr>
      <w:tr w:rsidR="00A94263" w:rsidRPr="00A94263" w14:paraId="4AAC1504" w14:textId="77777777" w:rsidTr="00A94263">
        <w:tc>
          <w:tcPr>
            <w:tcW w:w="5463" w:type="dxa"/>
          </w:tcPr>
          <w:p w14:paraId="544BC41E" w14:textId="77777777" w:rsidR="00A94263" w:rsidRPr="00A94263" w:rsidRDefault="00A94263" w:rsidP="00A94263">
            <w:pPr>
              <w:rPr>
                <w:rFonts w:ascii="Aptos" w:hAnsi="Aptos"/>
                <w:sz w:val="18"/>
                <w:szCs w:val="18"/>
                <w:lang w:val="es-ES"/>
              </w:rPr>
            </w:pPr>
            <w:r w:rsidRPr="00A94263">
              <w:rPr>
                <w:rFonts w:ascii="Aptos" w:hAnsi="Aptos"/>
                <w:sz w:val="18"/>
                <w:szCs w:val="18"/>
                <w:lang w:val="es-ES"/>
              </w:rPr>
              <w:t xml:space="preserve">Current </w:t>
            </w:r>
            <w:proofErr w:type="gramStart"/>
            <w:r w:rsidRPr="00A94263">
              <w:rPr>
                <w:rFonts w:ascii="Aptos" w:hAnsi="Aptos"/>
                <w:sz w:val="18"/>
                <w:szCs w:val="18"/>
                <w:lang w:val="es-ES"/>
              </w:rPr>
              <w:t>Status</w:t>
            </w:r>
            <w:proofErr w:type="gramEnd"/>
          </w:p>
        </w:tc>
        <w:tc>
          <w:tcPr>
            <w:tcW w:w="3830" w:type="dxa"/>
          </w:tcPr>
          <w:p w14:paraId="79AF8F6F" w14:textId="30002827" w:rsidR="00A94263" w:rsidRPr="00A94263" w:rsidRDefault="00A94263" w:rsidP="00A94263">
            <w:pPr>
              <w:rPr>
                <w:rFonts w:ascii="Aptos" w:hAnsi="Aptos"/>
                <w:sz w:val="18"/>
                <w:szCs w:val="18"/>
                <w:lang w:val="es-ES"/>
              </w:rPr>
            </w:pPr>
            <w:r w:rsidRPr="00A94263">
              <w:rPr>
                <w:rFonts w:ascii="Aptos" w:hAnsi="Aptos"/>
                <w:sz w:val="18"/>
                <w:szCs w:val="18"/>
                <w:lang w:val="es-ES"/>
              </w:rPr>
              <w:t>Estado actual</w:t>
            </w:r>
          </w:p>
        </w:tc>
      </w:tr>
      <w:tr w:rsidR="00A94263" w:rsidRPr="00A94263" w14:paraId="0452E06C" w14:textId="77777777" w:rsidTr="00A94263">
        <w:tc>
          <w:tcPr>
            <w:tcW w:w="5463" w:type="dxa"/>
          </w:tcPr>
          <w:p w14:paraId="46AF0B00" w14:textId="77777777" w:rsidR="00A94263" w:rsidRPr="00A94263" w:rsidRDefault="00A94263" w:rsidP="00A94263">
            <w:pPr>
              <w:rPr>
                <w:rFonts w:ascii="Aptos" w:hAnsi="Aptos"/>
                <w:sz w:val="18"/>
                <w:szCs w:val="18"/>
                <w:lang w:val="es-ES"/>
              </w:rPr>
            </w:pPr>
            <w:proofErr w:type="spellStart"/>
            <w:r w:rsidRPr="00A94263">
              <w:rPr>
                <w:rFonts w:ascii="Aptos" w:hAnsi="Aptos"/>
                <w:sz w:val="18"/>
                <w:szCs w:val="18"/>
                <w:lang w:val="es-ES"/>
              </w:rPr>
              <w:t>improving</w:t>
            </w:r>
            <w:proofErr w:type="spellEnd"/>
          </w:p>
        </w:tc>
        <w:tc>
          <w:tcPr>
            <w:tcW w:w="3830" w:type="dxa"/>
          </w:tcPr>
          <w:p w14:paraId="4445E2F4" w14:textId="11113969" w:rsidR="00A94263" w:rsidRPr="00A94263" w:rsidRDefault="00A94263" w:rsidP="00A94263">
            <w:pPr>
              <w:rPr>
                <w:rFonts w:ascii="Aptos" w:hAnsi="Aptos"/>
                <w:sz w:val="18"/>
                <w:szCs w:val="18"/>
                <w:lang w:val="es-ES"/>
              </w:rPr>
            </w:pPr>
            <w:r w:rsidRPr="00A94263">
              <w:rPr>
                <w:rFonts w:ascii="Aptos" w:hAnsi="Aptos"/>
                <w:sz w:val="18"/>
                <w:szCs w:val="18"/>
                <w:lang w:val="es-ES"/>
              </w:rPr>
              <w:t>mejorando</w:t>
            </w:r>
          </w:p>
        </w:tc>
      </w:tr>
      <w:tr w:rsidR="00A94263" w:rsidRPr="00A94263" w14:paraId="47EE41D4" w14:textId="77777777" w:rsidTr="00A94263">
        <w:tc>
          <w:tcPr>
            <w:tcW w:w="5463" w:type="dxa"/>
          </w:tcPr>
          <w:p w14:paraId="7A783A17" w14:textId="77777777" w:rsidR="00A94263" w:rsidRPr="00A94263" w:rsidRDefault="00A94263" w:rsidP="00A94263">
            <w:pPr>
              <w:rPr>
                <w:rFonts w:ascii="Aptos" w:hAnsi="Aptos"/>
                <w:sz w:val="18"/>
                <w:szCs w:val="18"/>
                <w:lang w:val="es-ES"/>
              </w:rPr>
            </w:pPr>
            <w:proofErr w:type="spellStart"/>
            <w:r w:rsidRPr="00A94263">
              <w:rPr>
                <w:rFonts w:ascii="Aptos" w:hAnsi="Aptos"/>
                <w:sz w:val="18"/>
                <w:szCs w:val="18"/>
                <w:lang w:val="es-ES"/>
              </w:rPr>
              <w:lastRenderedPageBreak/>
              <w:t>stable</w:t>
            </w:r>
            <w:proofErr w:type="spellEnd"/>
          </w:p>
        </w:tc>
        <w:tc>
          <w:tcPr>
            <w:tcW w:w="3830" w:type="dxa"/>
          </w:tcPr>
          <w:p w14:paraId="715980A9" w14:textId="5CD4316E" w:rsidR="00A94263" w:rsidRPr="00A94263" w:rsidRDefault="00A94263" w:rsidP="00A94263">
            <w:pPr>
              <w:rPr>
                <w:rFonts w:ascii="Aptos" w:hAnsi="Aptos"/>
                <w:sz w:val="18"/>
                <w:szCs w:val="18"/>
                <w:lang w:val="es-ES"/>
              </w:rPr>
            </w:pPr>
            <w:r w:rsidRPr="00A94263">
              <w:rPr>
                <w:rFonts w:ascii="Aptos" w:hAnsi="Aptos"/>
                <w:sz w:val="18"/>
                <w:szCs w:val="18"/>
                <w:lang w:val="es-ES"/>
              </w:rPr>
              <w:t>estable</w:t>
            </w:r>
          </w:p>
        </w:tc>
      </w:tr>
      <w:tr w:rsidR="00A94263" w:rsidRPr="00A94263" w14:paraId="56DA8BF6" w14:textId="77777777" w:rsidTr="00A94263">
        <w:tc>
          <w:tcPr>
            <w:tcW w:w="5463" w:type="dxa"/>
          </w:tcPr>
          <w:p w14:paraId="1A603C75" w14:textId="77777777" w:rsidR="00A94263" w:rsidRPr="00A94263" w:rsidRDefault="00A94263" w:rsidP="00A94263">
            <w:pPr>
              <w:rPr>
                <w:rFonts w:ascii="Aptos" w:hAnsi="Aptos"/>
                <w:sz w:val="18"/>
                <w:szCs w:val="18"/>
                <w:lang w:val="es-ES"/>
              </w:rPr>
            </w:pPr>
            <w:proofErr w:type="spellStart"/>
            <w:r w:rsidRPr="00A94263">
              <w:rPr>
                <w:rFonts w:ascii="Aptos" w:hAnsi="Aptos"/>
                <w:sz w:val="18"/>
                <w:szCs w:val="18"/>
                <w:lang w:val="es-ES"/>
              </w:rPr>
              <w:t>moving</w:t>
            </w:r>
            <w:proofErr w:type="spellEnd"/>
            <w:r w:rsidRPr="00A94263">
              <w:rPr>
                <w:rFonts w:ascii="Aptos" w:hAnsi="Aptos"/>
                <w:sz w:val="18"/>
                <w:szCs w:val="18"/>
                <w:lang w:val="es-ES"/>
              </w:rPr>
              <w:t xml:space="preserve"> </w:t>
            </w:r>
            <w:proofErr w:type="spellStart"/>
            <w:r w:rsidRPr="00A94263">
              <w:rPr>
                <w:rFonts w:ascii="Aptos" w:hAnsi="Aptos"/>
                <w:sz w:val="18"/>
                <w:szCs w:val="18"/>
                <w:lang w:val="es-ES"/>
              </w:rPr>
              <w:t>away</w:t>
            </w:r>
            <w:proofErr w:type="spellEnd"/>
          </w:p>
        </w:tc>
        <w:tc>
          <w:tcPr>
            <w:tcW w:w="3830" w:type="dxa"/>
          </w:tcPr>
          <w:p w14:paraId="78FC1131" w14:textId="53794351" w:rsidR="00A94263" w:rsidRPr="00A94263" w:rsidRDefault="00A94263" w:rsidP="00A94263">
            <w:pPr>
              <w:rPr>
                <w:rFonts w:ascii="Aptos" w:hAnsi="Aptos"/>
                <w:sz w:val="18"/>
                <w:szCs w:val="18"/>
                <w:lang w:val="es-ES"/>
              </w:rPr>
            </w:pPr>
            <w:r w:rsidRPr="00A94263">
              <w:rPr>
                <w:rFonts w:ascii="Aptos" w:hAnsi="Aptos"/>
                <w:sz w:val="18"/>
                <w:szCs w:val="18"/>
                <w:lang w:val="es-ES"/>
              </w:rPr>
              <w:t>alejándose</w:t>
            </w:r>
          </w:p>
        </w:tc>
      </w:tr>
      <w:tr w:rsidR="00A94263" w:rsidRPr="00A94263" w14:paraId="206E6C13" w14:textId="77777777" w:rsidTr="00A94263">
        <w:tc>
          <w:tcPr>
            <w:tcW w:w="5463" w:type="dxa"/>
          </w:tcPr>
          <w:p w14:paraId="19383A68" w14:textId="77777777" w:rsidR="00A94263" w:rsidRPr="00A94263" w:rsidRDefault="00A94263" w:rsidP="00A94263">
            <w:pPr>
              <w:rPr>
                <w:rFonts w:ascii="Aptos" w:hAnsi="Aptos"/>
                <w:sz w:val="18"/>
                <w:szCs w:val="18"/>
                <w:lang w:val="es-ES"/>
              </w:rPr>
            </w:pPr>
            <w:r w:rsidRPr="00A94263">
              <w:rPr>
                <w:rFonts w:ascii="Aptos" w:hAnsi="Aptos"/>
                <w:sz w:val="18"/>
                <w:szCs w:val="18"/>
                <w:lang w:val="es-ES"/>
              </w:rPr>
              <w:t xml:space="preserve">Party </w:t>
            </w:r>
            <w:proofErr w:type="spellStart"/>
            <w:r w:rsidRPr="00A94263">
              <w:rPr>
                <w:rFonts w:ascii="Aptos" w:hAnsi="Aptos"/>
                <w:sz w:val="18"/>
                <w:szCs w:val="18"/>
                <w:lang w:val="es-ES"/>
              </w:rPr>
              <w:t>count</w:t>
            </w:r>
            <w:proofErr w:type="spellEnd"/>
            <w:r w:rsidRPr="00A94263">
              <w:rPr>
                <w:rFonts w:ascii="Aptos" w:hAnsi="Aptos"/>
                <w:sz w:val="18"/>
                <w:szCs w:val="18"/>
                <w:lang w:val="es-ES"/>
              </w:rPr>
              <w:t>: 39</w:t>
            </w:r>
          </w:p>
        </w:tc>
        <w:tc>
          <w:tcPr>
            <w:tcW w:w="3830" w:type="dxa"/>
          </w:tcPr>
          <w:p w14:paraId="1D2559B0" w14:textId="6E186C04" w:rsidR="00A94263" w:rsidRPr="00A94263" w:rsidRDefault="00A94263" w:rsidP="00A94263">
            <w:pPr>
              <w:rPr>
                <w:rFonts w:ascii="Aptos" w:hAnsi="Aptos"/>
                <w:sz w:val="18"/>
                <w:szCs w:val="18"/>
                <w:lang w:val="es-ES"/>
              </w:rPr>
            </w:pPr>
            <w:r w:rsidRPr="00A94263">
              <w:rPr>
                <w:rFonts w:ascii="Aptos" w:hAnsi="Aptos"/>
                <w:sz w:val="18"/>
                <w:szCs w:val="18"/>
                <w:lang w:val="es-ES"/>
              </w:rPr>
              <w:t>Número de Partes: 39</w:t>
            </w:r>
          </w:p>
        </w:tc>
      </w:tr>
      <w:tr w:rsidR="00A94263" w:rsidRPr="00A94263" w14:paraId="4905A01F" w14:textId="77777777" w:rsidTr="00A94263">
        <w:tc>
          <w:tcPr>
            <w:tcW w:w="5463" w:type="dxa"/>
          </w:tcPr>
          <w:p w14:paraId="4734CE72" w14:textId="77777777" w:rsidR="00A94263" w:rsidRPr="00A94263" w:rsidRDefault="00A94263" w:rsidP="00A94263">
            <w:pPr>
              <w:rPr>
                <w:rFonts w:ascii="Aptos" w:hAnsi="Aptos"/>
                <w:sz w:val="18"/>
                <w:szCs w:val="18"/>
                <w:lang w:val="es-ES"/>
              </w:rPr>
            </w:pPr>
            <w:proofErr w:type="spellStart"/>
            <w:r w:rsidRPr="00A94263">
              <w:rPr>
                <w:rFonts w:ascii="Aptos" w:hAnsi="Aptos"/>
                <w:sz w:val="18"/>
                <w:szCs w:val="18"/>
                <w:lang w:val="es-ES"/>
              </w:rPr>
              <w:t>Region</w:t>
            </w:r>
            <w:proofErr w:type="spellEnd"/>
          </w:p>
        </w:tc>
        <w:tc>
          <w:tcPr>
            <w:tcW w:w="3830" w:type="dxa"/>
          </w:tcPr>
          <w:p w14:paraId="4FE0D86F" w14:textId="39F4BD61" w:rsidR="00A94263" w:rsidRPr="00A94263" w:rsidRDefault="00A94263" w:rsidP="00A94263">
            <w:pPr>
              <w:rPr>
                <w:rFonts w:ascii="Aptos" w:hAnsi="Aptos"/>
                <w:sz w:val="18"/>
                <w:szCs w:val="18"/>
                <w:lang w:val="es-ES"/>
              </w:rPr>
            </w:pPr>
            <w:r w:rsidRPr="00A94263">
              <w:rPr>
                <w:rFonts w:ascii="Aptos" w:hAnsi="Aptos"/>
                <w:sz w:val="18"/>
                <w:szCs w:val="18"/>
                <w:lang w:val="es-ES"/>
              </w:rPr>
              <w:t>Región</w:t>
            </w:r>
          </w:p>
        </w:tc>
      </w:tr>
      <w:tr w:rsidR="00A94263" w:rsidRPr="00A94263" w14:paraId="0D0CB10F" w14:textId="77777777" w:rsidTr="00A94263">
        <w:tc>
          <w:tcPr>
            <w:tcW w:w="5463" w:type="dxa"/>
          </w:tcPr>
          <w:p w14:paraId="77DC9355" w14:textId="77777777" w:rsidR="00A94263" w:rsidRPr="00A94263" w:rsidRDefault="00A94263" w:rsidP="00A94263">
            <w:pPr>
              <w:rPr>
                <w:rFonts w:ascii="Aptos" w:hAnsi="Aptos"/>
                <w:sz w:val="18"/>
                <w:szCs w:val="18"/>
                <w:lang w:val="es-ES"/>
              </w:rPr>
            </w:pPr>
            <w:r w:rsidRPr="00A94263">
              <w:rPr>
                <w:rFonts w:ascii="Aptos" w:hAnsi="Aptos"/>
                <w:sz w:val="18"/>
                <w:szCs w:val="18"/>
                <w:lang w:val="es-ES"/>
              </w:rPr>
              <w:t>African States</w:t>
            </w:r>
          </w:p>
        </w:tc>
        <w:tc>
          <w:tcPr>
            <w:tcW w:w="3830" w:type="dxa"/>
          </w:tcPr>
          <w:p w14:paraId="640D2E6B" w14:textId="7D1209AD" w:rsidR="00A94263" w:rsidRPr="00A94263" w:rsidRDefault="00A94263" w:rsidP="00A94263">
            <w:pPr>
              <w:rPr>
                <w:rFonts w:ascii="Aptos" w:hAnsi="Aptos"/>
                <w:sz w:val="18"/>
                <w:szCs w:val="18"/>
                <w:lang w:val="es-ES"/>
              </w:rPr>
            </w:pPr>
            <w:r w:rsidRPr="00A94263">
              <w:rPr>
                <w:rFonts w:ascii="Aptos" w:hAnsi="Aptos"/>
                <w:sz w:val="18"/>
                <w:szCs w:val="18"/>
                <w:lang w:val="es-ES"/>
              </w:rPr>
              <w:t>Estados de África</w:t>
            </w:r>
          </w:p>
        </w:tc>
      </w:tr>
      <w:tr w:rsidR="00A94263" w:rsidRPr="00A94263" w14:paraId="6C456C5A" w14:textId="77777777" w:rsidTr="00A94263">
        <w:tc>
          <w:tcPr>
            <w:tcW w:w="5463" w:type="dxa"/>
          </w:tcPr>
          <w:p w14:paraId="3AF13643" w14:textId="77777777" w:rsidR="00A94263" w:rsidRPr="00A94263" w:rsidRDefault="00A94263" w:rsidP="00A94263">
            <w:pPr>
              <w:rPr>
                <w:rFonts w:ascii="Aptos" w:hAnsi="Aptos"/>
                <w:sz w:val="18"/>
                <w:szCs w:val="18"/>
                <w:lang w:val="es-ES"/>
              </w:rPr>
            </w:pPr>
            <w:r w:rsidRPr="00A94263">
              <w:rPr>
                <w:rFonts w:ascii="Aptos" w:hAnsi="Aptos"/>
                <w:sz w:val="18"/>
                <w:szCs w:val="18"/>
                <w:lang w:val="es-ES"/>
              </w:rPr>
              <w:t>Asia-Pacific States</w:t>
            </w:r>
          </w:p>
        </w:tc>
        <w:tc>
          <w:tcPr>
            <w:tcW w:w="3830" w:type="dxa"/>
          </w:tcPr>
          <w:p w14:paraId="52BB6974" w14:textId="380A3114" w:rsidR="00A94263" w:rsidRPr="00A94263" w:rsidRDefault="00A94263" w:rsidP="00A94263">
            <w:pPr>
              <w:rPr>
                <w:rFonts w:ascii="Aptos" w:hAnsi="Aptos"/>
                <w:sz w:val="18"/>
                <w:szCs w:val="18"/>
                <w:lang w:val="es-ES"/>
              </w:rPr>
            </w:pPr>
            <w:r w:rsidRPr="00A94263">
              <w:rPr>
                <w:rFonts w:ascii="Aptos" w:hAnsi="Aptos"/>
                <w:sz w:val="18"/>
                <w:szCs w:val="18"/>
                <w:lang w:val="es-ES"/>
              </w:rPr>
              <w:t>Estados de Asia y el Pacífico</w:t>
            </w:r>
          </w:p>
        </w:tc>
      </w:tr>
      <w:tr w:rsidR="00A94263" w:rsidRPr="00A94263" w14:paraId="06BABD0B" w14:textId="77777777" w:rsidTr="00A94263">
        <w:tc>
          <w:tcPr>
            <w:tcW w:w="5463" w:type="dxa"/>
          </w:tcPr>
          <w:p w14:paraId="3E5ABBF8" w14:textId="77777777" w:rsidR="00A94263" w:rsidRPr="00A94263" w:rsidRDefault="00A94263" w:rsidP="00A94263">
            <w:pPr>
              <w:rPr>
                <w:rFonts w:ascii="Aptos" w:hAnsi="Aptos"/>
                <w:sz w:val="18"/>
                <w:szCs w:val="18"/>
                <w:lang w:val="en-US"/>
              </w:rPr>
            </w:pPr>
            <w:r w:rsidRPr="00A94263">
              <w:rPr>
                <w:rFonts w:ascii="Aptos" w:hAnsi="Aptos"/>
                <w:sz w:val="18"/>
                <w:szCs w:val="18"/>
                <w:lang w:val="en-US"/>
              </w:rPr>
              <w:t>Latin American and Caribbean States</w:t>
            </w:r>
          </w:p>
        </w:tc>
        <w:tc>
          <w:tcPr>
            <w:tcW w:w="3830" w:type="dxa"/>
          </w:tcPr>
          <w:p w14:paraId="39E9FBED" w14:textId="7A099039" w:rsidR="00A94263" w:rsidRPr="00A94263" w:rsidRDefault="00A94263" w:rsidP="00A94263">
            <w:pPr>
              <w:rPr>
                <w:rFonts w:ascii="Aptos" w:hAnsi="Aptos"/>
                <w:sz w:val="18"/>
                <w:szCs w:val="18"/>
                <w:lang w:val="es-ES"/>
              </w:rPr>
            </w:pPr>
            <w:r w:rsidRPr="00A94263">
              <w:rPr>
                <w:rFonts w:ascii="Aptos" w:hAnsi="Aptos"/>
                <w:sz w:val="18"/>
                <w:szCs w:val="18"/>
                <w:lang w:val="es-ES"/>
              </w:rPr>
              <w:t>Estados de América Latina y el Caribe</w:t>
            </w:r>
          </w:p>
        </w:tc>
      </w:tr>
      <w:tr w:rsidR="00A94263" w:rsidRPr="00A94263" w14:paraId="22361976" w14:textId="77777777" w:rsidTr="00A94263">
        <w:tc>
          <w:tcPr>
            <w:tcW w:w="5463" w:type="dxa"/>
          </w:tcPr>
          <w:p w14:paraId="44F3041F" w14:textId="77777777" w:rsidR="00A94263" w:rsidRPr="00A94263" w:rsidRDefault="00A94263" w:rsidP="00A94263">
            <w:pPr>
              <w:rPr>
                <w:rFonts w:ascii="Aptos" w:hAnsi="Aptos"/>
                <w:sz w:val="18"/>
                <w:szCs w:val="18"/>
                <w:lang w:val="es-ES"/>
              </w:rPr>
            </w:pPr>
            <w:r w:rsidRPr="00A94263">
              <w:rPr>
                <w:rFonts w:ascii="Aptos" w:hAnsi="Aptos"/>
                <w:sz w:val="18"/>
                <w:szCs w:val="18"/>
                <w:lang w:val="es-ES"/>
              </w:rPr>
              <w:t xml:space="preserve"> Eastern European States</w:t>
            </w:r>
          </w:p>
        </w:tc>
        <w:tc>
          <w:tcPr>
            <w:tcW w:w="3830" w:type="dxa"/>
          </w:tcPr>
          <w:p w14:paraId="39F1EAC9" w14:textId="5BEED13E" w:rsidR="00A94263" w:rsidRPr="00A94263" w:rsidRDefault="00A94263" w:rsidP="00A94263">
            <w:pPr>
              <w:rPr>
                <w:rFonts w:ascii="Aptos" w:hAnsi="Aptos"/>
                <w:sz w:val="18"/>
                <w:szCs w:val="18"/>
                <w:lang w:val="es-ES"/>
              </w:rPr>
            </w:pPr>
            <w:r w:rsidRPr="00A94263">
              <w:rPr>
                <w:rFonts w:ascii="Aptos" w:hAnsi="Aptos"/>
                <w:sz w:val="18"/>
                <w:szCs w:val="18"/>
                <w:lang w:val="es-ES"/>
              </w:rPr>
              <w:t>Estados de Europa Oriental</w:t>
            </w:r>
          </w:p>
        </w:tc>
      </w:tr>
      <w:tr w:rsidR="00A94263" w:rsidRPr="00A94263" w14:paraId="3642AC3C" w14:textId="77777777" w:rsidTr="00A94263">
        <w:tc>
          <w:tcPr>
            <w:tcW w:w="5463" w:type="dxa"/>
          </w:tcPr>
          <w:p w14:paraId="107B94A5" w14:textId="77777777" w:rsidR="00A94263" w:rsidRPr="00A94263" w:rsidRDefault="00A94263" w:rsidP="00A94263">
            <w:pPr>
              <w:rPr>
                <w:rFonts w:ascii="Aptos" w:hAnsi="Aptos"/>
                <w:sz w:val="18"/>
                <w:szCs w:val="18"/>
                <w:lang w:val="en-US"/>
              </w:rPr>
            </w:pPr>
            <w:r w:rsidRPr="00A94263">
              <w:rPr>
                <w:rFonts w:ascii="Aptos" w:hAnsi="Aptos"/>
                <w:sz w:val="18"/>
                <w:szCs w:val="18"/>
                <w:lang w:val="en-US"/>
              </w:rPr>
              <w:t>Western European and other States</w:t>
            </w:r>
          </w:p>
        </w:tc>
        <w:tc>
          <w:tcPr>
            <w:tcW w:w="3830" w:type="dxa"/>
          </w:tcPr>
          <w:p w14:paraId="70022A12" w14:textId="73DE1F25" w:rsidR="00A94263" w:rsidRPr="00A94263" w:rsidRDefault="00A94263" w:rsidP="00A94263">
            <w:pPr>
              <w:rPr>
                <w:rFonts w:ascii="Aptos" w:hAnsi="Aptos"/>
                <w:sz w:val="18"/>
                <w:szCs w:val="18"/>
                <w:lang w:val="es-ES"/>
              </w:rPr>
            </w:pPr>
            <w:r w:rsidRPr="00A94263">
              <w:rPr>
                <w:rFonts w:ascii="Aptos" w:hAnsi="Aptos"/>
                <w:sz w:val="18"/>
                <w:szCs w:val="18"/>
                <w:lang w:val="es-ES"/>
              </w:rPr>
              <w:t>Estados de Europa Occidental y otros Estados</w:t>
            </w:r>
          </w:p>
        </w:tc>
      </w:tr>
    </w:tbl>
    <w:p w14:paraId="09265EAF" w14:textId="77777777" w:rsidR="00A94263" w:rsidRPr="00A94263" w:rsidRDefault="00A94263" w:rsidP="00A94263">
      <w:pPr>
        <w:rPr>
          <w:lang w:val="es-ES" w:eastAsia="ja-JP"/>
        </w:rPr>
      </w:pPr>
    </w:p>
    <w:p w14:paraId="64F3E954" w14:textId="77777777" w:rsidR="005837B7" w:rsidRPr="005E3D50" w:rsidRDefault="005837B7" w:rsidP="003D2E7D">
      <w:pPr>
        <w:pStyle w:val="p1"/>
        <w:rPr>
          <w:lang w:val="es-ES"/>
        </w:rPr>
      </w:pPr>
    </w:p>
    <w:p w14:paraId="1E46F8F3" w14:textId="77777777" w:rsidR="00B70AA4" w:rsidRPr="005E3D50" w:rsidRDefault="00B70AA4" w:rsidP="00C2078E">
      <w:pPr>
        <w:pStyle w:val="Heading5"/>
        <w:rPr>
          <w:lang w:val="es-ES"/>
        </w:rPr>
      </w:pPr>
      <w:bookmarkStart w:id="246" w:name="_Toc235821132"/>
      <w:r w:rsidRPr="005E3D50">
        <w:rPr>
          <w:lang w:val="es-ES"/>
        </w:rPr>
        <w:t>Autoevaluación de progresos</w:t>
      </w:r>
      <w:bookmarkEnd w:id="246"/>
    </w:p>
    <w:p w14:paraId="74413DD2" w14:textId="77777777" w:rsidR="00357617" w:rsidRPr="005E3D50" w:rsidRDefault="00357617" w:rsidP="00E05E2B">
      <w:pPr>
        <w:rPr>
          <w:rStyle w:val="normaltextrun"/>
          <w:rFonts w:ascii="Aptos" w:hAnsi="Aptos"/>
          <w:lang w:val="es-ES"/>
        </w:rPr>
      </w:pPr>
    </w:p>
    <w:p w14:paraId="44372CAC" w14:textId="201F2B2D" w:rsidR="00E05E2B" w:rsidRPr="005E3D50" w:rsidRDefault="005C08E5" w:rsidP="00E05E2B">
      <w:pPr>
        <w:rPr>
          <w:rStyle w:val="eop"/>
          <w:rFonts w:ascii="Aptos" w:hAnsi="Aptos"/>
          <w:lang w:val="es-ES"/>
        </w:rPr>
      </w:pPr>
      <w:r w:rsidRPr="005E3D50">
        <w:rPr>
          <w:lang w:val="es-ES"/>
        </w:rPr>
        <w:t>Según la autoevaluación realizada por las Partes en sus informes nacionales, más de un tercio (35 %) de las metas nacionales presentadas como estrechamente armonizadas con la meta 7 están en vías de alcanzarse, mientras que el 60 % no muestran cambios significativos o muestran progresos insuficientes (véase la figura 33).</w:t>
      </w:r>
      <w:r w:rsidRPr="005E3D50">
        <w:rPr>
          <w:rStyle w:val="eop"/>
          <w:rFonts w:ascii="Aptos" w:hAnsi="Aptos"/>
          <w:lang w:val="es-ES"/>
        </w:rPr>
        <w:t> </w:t>
      </w:r>
    </w:p>
    <w:p w14:paraId="4AF63432" w14:textId="77777777" w:rsidR="000D3AC4" w:rsidRPr="005E3D50" w:rsidRDefault="000D3AC4" w:rsidP="00E05E2B">
      <w:pPr>
        <w:rPr>
          <w:rStyle w:val="eop"/>
          <w:rFonts w:ascii="Aptos" w:hAnsi="Aptos"/>
          <w:lang w:val="es-ES"/>
        </w:rPr>
      </w:pPr>
    </w:p>
    <w:p w14:paraId="5CEB1245" w14:textId="4107F2CD" w:rsidR="00542EA1" w:rsidRPr="005E3D50" w:rsidRDefault="00542EA1" w:rsidP="00542EA1">
      <w:pPr>
        <w:pStyle w:val="Caption"/>
        <w:rPr>
          <w:rStyle w:val="eop"/>
          <w:i w:val="0"/>
          <w:iCs w:val="0"/>
          <w:sz w:val="20"/>
          <w:szCs w:val="20"/>
          <w:lang w:val="es-ES"/>
        </w:rPr>
      </w:pPr>
      <w:r w:rsidRPr="005E3D50">
        <w:rPr>
          <w:i w:val="0"/>
          <w:iCs w:val="0"/>
          <w:sz w:val="20"/>
          <w:szCs w:val="20"/>
          <w:lang w:val="es-ES"/>
        </w:rPr>
        <w:t xml:space="preserve">Figura 33 </w:t>
      </w:r>
    </w:p>
    <w:p w14:paraId="1F40BB40" w14:textId="77777777" w:rsidR="000D3AC4" w:rsidRPr="005E3D50" w:rsidRDefault="000D3AC4" w:rsidP="000D3AC4">
      <w:pPr>
        <w:pStyle w:val="Caption"/>
        <w:rPr>
          <w:b/>
          <w:bCs/>
          <w:i w:val="0"/>
          <w:iCs w:val="0"/>
          <w:sz w:val="20"/>
          <w:szCs w:val="20"/>
          <w:lang w:val="es-ES"/>
        </w:rPr>
      </w:pPr>
      <w:r w:rsidRPr="005E3D50">
        <w:rPr>
          <w:b/>
          <w:bCs/>
          <w:i w:val="0"/>
          <w:iCs w:val="0"/>
          <w:sz w:val="20"/>
          <w:szCs w:val="20"/>
          <w:lang w:val="es-ES"/>
        </w:rPr>
        <w:t xml:space="preserve">Progresos indicados por las autoevaluaciones para todas las metas nacionales presentadas como estrechamente armonizadas con la meta 7 del Marco </w:t>
      </w:r>
    </w:p>
    <w:p w14:paraId="64616AF2" w14:textId="77777777" w:rsidR="000D3AC4" w:rsidRPr="005E3D50" w:rsidRDefault="000D3AC4" w:rsidP="00E05E2B">
      <w:pPr>
        <w:rPr>
          <w:rFonts w:ascii="Aptos" w:eastAsia="Aptos" w:hAnsi="Aptos" w:cs="Aptos"/>
          <w:lang w:val="es-ES"/>
        </w:rPr>
      </w:pPr>
    </w:p>
    <w:p w14:paraId="30BC71D2" w14:textId="5DB32B5E" w:rsidR="00414078" w:rsidRPr="005E3D50" w:rsidRDefault="00E05E2B" w:rsidP="003564C1">
      <w:pPr>
        <w:pStyle w:val="Caption"/>
        <w:rPr>
          <w:lang w:val="es-ES"/>
        </w:rPr>
      </w:pPr>
      <w:bookmarkStart w:id="247" w:name="_Ref231159776"/>
      <w:r w:rsidRPr="005E3D50">
        <w:rPr>
          <w:rFonts w:ascii="Aptos" w:hAnsi="Aptos"/>
          <w:noProof/>
          <w:lang w:val="en-US" w:eastAsia="en-US"/>
        </w:rPr>
        <w:drawing>
          <wp:inline distT="0" distB="0" distL="0" distR="0" wp14:anchorId="529DAE99" wp14:editId="064015B4">
            <wp:extent cx="5731510" cy="2292350"/>
            <wp:effectExtent l="0" t="0" r="0" b="6350"/>
            <wp:docPr id="45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85" name="Picture 4564385"/>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247"/>
    <w:p w14:paraId="05E0B94A" w14:textId="77777777" w:rsidR="007273D2" w:rsidRDefault="007273D2" w:rsidP="007273D2">
      <w:pPr>
        <w:pStyle w:val="Caption"/>
        <w:rPr>
          <w:rFonts w:ascii="Aptos" w:hAnsi="Aptos"/>
          <w:i w:val="0"/>
          <w:iCs w:val="0"/>
          <w:lang w:val="es-ES"/>
        </w:rPr>
      </w:pPr>
      <w:r w:rsidRPr="005E3D50">
        <w:rPr>
          <w:lang w:val="es-ES"/>
        </w:rPr>
        <w:t>Nota:</w:t>
      </w:r>
      <w:r w:rsidRPr="005E3D50">
        <w:rPr>
          <w:i w:val="0"/>
          <w:iCs w:val="0"/>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hAnsi="Aptos"/>
          <w:i w:val="0"/>
          <w:iCs w:val="0"/>
          <w:lang w:val="es-ES"/>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03" w:type="dxa"/>
        <w:tblLook w:val="04A0" w:firstRow="1" w:lastRow="0" w:firstColumn="1" w:lastColumn="0" w:noHBand="0" w:noVBand="1"/>
      </w:tblPr>
      <w:tblGrid>
        <w:gridCol w:w="5009"/>
        <w:gridCol w:w="4394"/>
      </w:tblGrid>
      <w:tr w:rsidR="00AA7025" w:rsidRPr="00AA7025" w14:paraId="6034625D" w14:textId="77777777" w:rsidTr="00AA7025">
        <w:tc>
          <w:tcPr>
            <w:tcW w:w="9403" w:type="dxa"/>
            <w:gridSpan w:val="2"/>
          </w:tcPr>
          <w:p w14:paraId="0431A0BB" w14:textId="0EFBC6D0" w:rsidR="00AA7025" w:rsidRPr="002B1D2B" w:rsidRDefault="007533CC" w:rsidP="002B1D2B">
            <w:pPr>
              <w:rPr>
                <w:rFonts w:ascii="Aptos" w:hAnsi="Aptos"/>
                <w:sz w:val="18"/>
                <w:szCs w:val="18"/>
                <w:lang w:val="es-ES"/>
              </w:rPr>
            </w:pPr>
            <w:r w:rsidRPr="002B1D2B">
              <w:rPr>
                <w:rFonts w:ascii="Aptos" w:hAnsi="Aptos"/>
                <w:sz w:val="18"/>
                <w:szCs w:val="18"/>
                <w:lang w:val="es-ES"/>
              </w:rPr>
              <w:lastRenderedPageBreak/>
              <w:t>Figura</w:t>
            </w:r>
            <w:r w:rsidR="002B1D2B" w:rsidRPr="002B1D2B">
              <w:rPr>
                <w:rFonts w:ascii="Aptos" w:hAnsi="Aptos"/>
                <w:sz w:val="18"/>
                <w:szCs w:val="18"/>
                <w:lang w:val="es-ES"/>
              </w:rPr>
              <w:t xml:space="preserve"> 33</w:t>
            </w:r>
          </w:p>
        </w:tc>
      </w:tr>
      <w:tr w:rsidR="00AA7025" w:rsidRPr="00AA7025" w14:paraId="31117DFB" w14:textId="77777777" w:rsidTr="00AA7025">
        <w:tc>
          <w:tcPr>
            <w:tcW w:w="5009" w:type="dxa"/>
          </w:tcPr>
          <w:p w14:paraId="54AE7B86" w14:textId="20F2475F" w:rsidR="00AA7025" w:rsidRPr="002B1D2B" w:rsidRDefault="00AA7025" w:rsidP="00AA7025">
            <w:pPr>
              <w:rPr>
                <w:rFonts w:ascii="Aptos" w:hAnsi="Aptos"/>
                <w:sz w:val="18"/>
                <w:szCs w:val="18"/>
                <w:lang w:val="es-ES"/>
              </w:rPr>
            </w:pPr>
            <w:r w:rsidRPr="002B1D2B">
              <w:rPr>
                <w:rFonts w:ascii="Aptos" w:hAnsi="Aptos"/>
                <w:sz w:val="18"/>
                <w:szCs w:val="18"/>
                <w:lang w:val="es-ES"/>
              </w:rPr>
              <w:t>English</w:t>
            </w:r>
          </w:p>
        </w:tc>
        <w:tc>
          <w:tcPr>
            <w:tcW w:w="4394" w:type="dxa"/>
          </w:tcPr>
          <w:p w14:paraId="44C5B98B" w14:textId="00947110" w:rsidR="00AA7025" w:rsidRPr="002B1D2B" w:rsidRDefault="007371B4" w:rsidP="00AA7025">
            <w:pPr>
              <w:rPr>
                <w:rFonts w:ascii="Aptos" w:hAnsi="Aptos"/>
                <w:sz w:val="18"/>
                <w:szCs w:val="18"/>
                <w:lang w:val="es-ES"/>
              </w:rPr>
            </w:pPr>
            <w:r w:rsidRPr="002B1D2B">
              <w:rPr>
                <w:rFonts w:ascii="Aptos" w:hAnsi="Aptos"/>
                <w:sz w:val="18"/>
                <w:szCs w:val="18"/>
                <w:lang w:val="es-ES"/>
              </w:rPr>
              <w:t>Español</w:t>
            </w:r>
          </w:p>
        </w:tc>
      </w:tr>
      <w:tr w:rsidR="00AA7025" w:rsidRPr="00AA7025" w14:paraId="000CE39D" w14:textId="77777777" w:rsidTr="00AA7025">
        <w:tc>
          <w:tcPr>
            <w:tcW w:w="5009" w:type="dxa"/>
          </w:tcPr>
          <w:p w14:paraId="071ACDF8" w14:textId="77777777" w:rsidR="00AA7025" w:rsidRPr="00AA7025" w:rsidRDefault="00AA7025" w:rsidP="00AA7025">
            <w:pPr>
              <w:rPr>
                <w:rFonts w:ascii="Aptos" w:hAnsi="Aptos"/>
                <w:sz w:val="18"/>
                <w:szCs w:val="18"/>
                <w:lang w:val="es-ES"/>
              </w:rPr>
            </w:pPr>
            <w:proofErr w:type="spellStart"/>
            <w:r w:rsidRPr="00AA7025">
              <w:rPr>
                <w:rFonts w:ascii="Aptos" w:hAnsi="Aptos"/>
                <w:sz w:val="18"/>
                <w:szCs w:val="18"/>
                <w:lang w:val="es-ES"/>
              </w:rPr>
              <w:t>Percentage</w:t>
            </w:r>
            <w:proofErr w:type="spellEnd"/>
            <w:r w:rsidRPr="00AA7025">
              <w:rPr>
                <w:rFonts w:ascii="Aptos" w:hAnsi="Aptos"/>
                <w:sz w:val="18"/>
                <w:szCs w:val="18"/>
                <w:lang w:val="es-ES"/>
              </w:rPr>
              <w:t xml:space="preserve"> of </w:t>
            </w:r>
            <w:proofErr w:type="spellStart"/>
            <w:r w:rsidRPr="00AA7025">
              <w:rPr>
                <w:rFonts w:ascii="Aptos" w:hAnsi="Aptos"/>
                <w:sz w:val="18"/>
                <w:szCs w:val="18"/>
                <w:lang w:val="es-ES"/>
              </w:rPr>
              <w:t>national</w:t>
            </w:r>
            <w:proofErr w:type="spellEnd"/>
            <w:r w:rsidRPr="00AA7025">
              <w:rPr>
                <w:rFonts w:ascii="Aptos" w:hAnsi="Aptos"/>
                <w:sz w:val="18"/>
                <w:szCs w:val="18"/>
                <w:lang w:val="es-ES"/>
              </w:rPr>
              <w:t xml:space="preserve"> targets</w:t>
            </w:r>
          </w:p>
        </w:tc>
        <w:tc>
          <w:tcPr>
            <w:tcW w:w="4394" w:type="dxa"/>
          </w:tcPr>
          <w:p w14:paraId="2A5C5705" w14:textId="1AB6E3E5" w:rsidR="00AA7025" w:rsidRPr="00AA7025" w:rsidRDefault="00AA7025" w:rsidP="00AA7025">
            <w:pPr>
              <w:rPr>
                <w:rFonts w:ascii="Aptos" w:hAnsi="Aptos"/>
                <w:sz w:val="18"/>
                <w:szCs w:val="18"/>
                <w:lang w:val="es-ES"/>
              </w:rPr>
            </w:pPr>
            <w:r w:rsidRPr="00AA7025">
              <w:rPr>
                <w:rFonts w:ascii="Aptos" w:hAnsi="Aptos"/>
                <w:sz w:val="18"/>
                <w:szCs w:val="18"/>
                <w:lang w:val="es-ES"/>
              </w:rPr>
              <w:t>Porcentaje de metas nacionales</w:t>
            </w:r>
          </w:p>
        </w:tc>
      </w:tr>
      <w:tr w:rsidR="00AA7025" w:rsidRPr="00AA7025" w14:paraId="0486E399" w14:textId="77777777" w:rsidTr="00AA7025">
        <w:tc>
          <w:tcPr>
            <w:tcW w:w="5009" w:type="dxa"/>
          </w:tcPr>
          <w:p w14:paraId="09849D6F" w14:textId="77777777" w:rsidR="00AA7025" w:rsidRPr="00AA7025" w:rsidRDefault="00AA7025" w:rsidP="00AA7025">
            <w:pPr>
              <w:rPr>
                <w:rFonts w:ascii="Aptos" w:hAnsi="Aptos"/>
                <w:sz w:val="18"/>
                <w:szCs w:val="18"/>
                <w:lang w:val="es-ES"/>
              </w:rPr>
            </w:pPr>
            <w:proofErr w:type="spellStart"/>
            <w:r w:rsidRPr="00AA7025">
              <w:rPr>
                <w:rFonts w:ascii="Aptos" w:hAnsi="Aptos"/>
                <w:sz w:val="18"/>
                <w:szCs w:val="18"/>
                <w:lang w:val="es-ES"/>
              </w:rPr>
              <w:t>Progress</w:t>
            </w:r>
            <w:proofErr w:type="spellEnd"/>
            <w:r w:rsidRPr="00AA7025">
              <w:rPr>
                <w:rFonts w:ascii="Aptos" w:hAnsi="Aptos"/>
                <w:sz w:val="18"/>
                <w:szCs w:val="18"/>
                <w:lang w:val="es-ES"/>
              </w:rPr>
              <w:t xml:space="preserve"> Level</w:t>
            </w:r>
          </w:p>
        </w:tc>
        <w:tc>
          <w:tcPr>
            <w:tcW w:w="4394" w:type="dxa"/>
          </w:tcPr>
          <w:p w14:paraId="3F9862EC" w14:textId="75517FB6" w:rsidR="00AA7025" w:rsidRPr="00AA7025" w:rsidRDefault="00AA7025" w:rsidP="00AA7025">
            <w:pPr>
              <w:rPr>
                <w:rFonts w:ascii="Aptos" w:hAnsi="Aptos"/>
                <w:sz w:val="18"/>
                <w:szCs w:val="18"/>
                <w:lang w:val="es-ES"/>
              </w:rPr>
            </w:pPr>
            <w:r w:rsidRPr="00AA7025">
              <w:rPr>
                <w:rFonts w:ascii="Aptos" w:hAnsi="Aptos"/>
                <w:sz w:val="18"/>
                <w:szCs w:val="18"/>
                <w:lang w:val="es-ES"/>
              </w:rPr>
              <w:t>Nivel de progreso</w:t>
            </w:r>
          </w:p>
        </w:tc>
      </w:tr>
      <w:tr w:rsidR="00AA7025" w:rsidRPr="00AA7025" w14:paraId="50DBFE40" w14:textId="77777777" w:rsidTr="00AA7025">
        <w:tc>
          <w:tcPr>
            <w:tcW w:w="5009" w:type="dxa"/>
          </w:tcPr>
          <w:p w14:paraId="45D60E9E" w14:textId="77777777" w:rsidR="00AA7025" w:rsidRPr="00AA7025" w:rsidRDefault="00AA7025" w:rsidP="00AA7025">
            <w:pPr>
              <w:rPr>
                <w:rFonts w:ascii="Aptos" w:hAnsi="Aptos"/>
                <w:sz w:val="18"/>
                <w:szCs w:val="18"/>
                <w:lang w:val="es-ES"/>
              </w:rPr>
            </w:pPr>
            <w:proofErr w:type="spellStart"/>
            <w:r w:rsidRPr="00AA7025">
              <w:rPr>
                <w:rFonts w:ascii="Aptos" w:hAnsi="Aptos"/>
                <w:sz w:val="18"/>
                <w:szCs w:val="18"/>
                <w:lang w:val="es-ES"/>
              </w:rPr>
              <w:t>Achieved</w:t>
            </w:r>
            <w:proofErr w:type="spellEnd"/>
          </w:p>
        </w:tc>
        <w:tc>
          <w:tcPr>
            <w:tcW w:w="4394" w:type="dxa"/>
          </w:tcPr>
          <w:p w14:paraId="3FFB996B" w14:textId="529D59CF" w:rsidR="00AA7025" w:rsidRPr="00AA7025" w:rsidRDefault="00AA7025" w:rsidP="00AA7025">
            <w:pPr>
              <w:rPr>
                <w:rFonts w:ascii="Aptos" w:hAnsi="Aptos"/>
                <w:sz w:val="18"/>
                <w:szCs w:val="18"/>
                <w:lang w:val="es-ES"/>
              </w:rPr>
            </w:pPr>
            <w:r w:rsidRPr="00AA7025">
              <w:rPr>
                <w:rFonts w:ascii="Aptos" w:hAnsi="Aptos"/>
                <w:sz w:val="18"/>
                <w:szCs w:val="18"/>
                <w:lang w:val="es-ES"/>
              </w:rPr>
              <w:t>Alcanzada</w:t>
            </w:r>
          </w:p>
        </w:tc>
      </w:tr>
      <w:tr w:rsidR="00AA7025" w:rsidRPr="00AA7025" w14:paraId="2B9380FC" w14:textId="77777777" w:rsidTr="00AA7025">
        <w:tc>
          <w:tcPr>
            <w:tcW w:w="5009" w:type="dxa"/>
          </w:tcPr>
          <w:p w14:paraId="22B5AB54" w14:textId="77777777" w:rsidR="00AA7025" w:rsidRPr="00AA7025" w:rsidRDefault="00AA7025" w:rsidP="00AA7025">
            <w:pPr>
              <w:rPr>
                <w:rFonts w:ascii="Aptos" w:hAnsi="Aptos"/>
                <w:sz w:val="18"/>
                <w:szCs w:val="18"/>
                <w:lang w:val="en-US"/>
              </w:rPr>
            </w:pPr>
            <w:r w:rsidRPr="00AA7025">
              <w:rPr>
                <w:rFonts w:ascii="Aptos" w:hAnsi="Aptos"/>
                <w:sz w:val="18"/>
                <w:szCs w:val="18"/>
                <w:lang w:val="en-US"/>
              </w:rPr>
              <w:t>On track to achieve target</w:t>
            </w:r>
          </w:p>
        </w:tc>
        <w:tc>
          <w:tcPr>
            <w:tcW w:w="4394" w:type="dxa"/>
          </w:tcPr>
          <w:p w14:paraId="2E7A7355" w14:textId="798B3B3A" w:rsidR="00AA7025" w:rsidRPr="00AA7025" w:rsidRDefault="00AA7025" w:rsidP="00AA7025">
            <w:pPr>
              <w:rPr>
                <w:rFonts w:ascii="Aptos" w:hAnsi="Aptos"/>
                <w:sz w:val="18"/>
                <w:szCs w:val="18"/>
                <w:lang w:val="es-ES"/>
              </w:rPr>
            </w:pPr>
            <w:r w:rsidRPr="00AA7025">
              <w:rPr>
                <w:rFonts w:ascii="Aptos" w:hAnsi="Aptos"/>
                <w:sz w:val="18"/>
                <w:szCs w:val="18"/>
                <w:lang w:val="es-ES"/>
              </w:rPr>
              <w:t>En vías de alcanzar la meta</w:t>
            </w:r>
          </w:p>
        </w:tc>
      </w:tr>
      <w:tr w:rsidR="00AA7025" w:rsidRPr="00AA7025" w14:paraId="1584BFBF" w14:textId="77777777" w:rsidTr="00AA7025">
        <w:tc>
          <w:tcPr>
            <w:tcW w:w="5009" w:type="dxa"/>
          </w:tcPr>
          <w:p w14:paraId="54C81225" w14:textId="77777777" w:rsidR="00AA7025" w:rsidRPr="00AA7025" w:rsidRDefault="00AA7025" w:rsidP="00AA7025">
            <w:pPr>
              <w:rPr>
                <w:rFonts w:ascii="Aptos" w:hAnsi="Aptos"/>
                <w:sz w:val="18"/>
                <w:szCs w:val="18"/>
                <w:lang w:val="en-US"/>
              </w:rPr>
            </w:pPr>
            <w:r w:rsidRPr="00AA7025">
              <w:rPr>
                <w:rFonts w:ascii="Aptos" w:hAnsi="Aptos"/>
                <w:sz w:val="18"/>
                <w:szCs w:val="18"/>
                <w:lang w:val="en-US"/>
              </w:rPr>
              <w:t>Progress towards target but at an insufficient rate</w:t>
            </w:r>
          </w:p>
        </w:tc>
        <w:tc>
          <w:tcPr>
            <w:tcW w:w="4394" w:type="dxa"/>
          </w:tcPr>
          <w:p w14:paraId="1A6D040A" w14:textId="6D6C28E3" w:rsidR="00AA7025" w:rsidRPr="00AA7025" w:rsidRDefault="00AA7025" w:rsidP="00AA7025">
            <w:pPr>
              <w:rPr>
                <w:rFonts w:ascii="Aptos" w:hAnsi="Aptos"/>
                <w:sz w:val="18"/>
                <w:szCs w:val="18"/>
                <w:lang w:val="es-ES"/>
              </w:rPr>
            </w:pPr>
            <w:r w:rsidRPr="00AA7025">
              <w:rPr>
                <w:rFonts w:ascii="Aptos" w:hAnsi="Aptos"/>
                <w:sz w:val="18"/>
                <w:szCs w:val="18"/>
                <w:lang w:val="es-ES"/>
              </w:rPr>
              <w:t xml:space="preserve">Se ha progresado hacia la </w:t>
            </w:r>
            <w:proofErr w:type="gramStart"/>
            <w:r w:rsidRPr="00AA7025">
              <w:rPr>
                <w:rFonts w:ascii="Aptos" w:hAnsi="Aptos"/>
                <w:sz w:val="18"/>
                <w:szCs w:val="18"/>
                <w:lang w:val="es-ES"/>
              </w:rPr>
              <w:t>meta</w:t>
            </w:r>
            <w:proofErr w:type="gramEnd"/>
            <w:r w:rsidRPr="00AA7025">
              <w:rPr>
                <w:rFonts w:ascii="Aptos" w:hAnsi="Aptos"/>
                <w:sz w:val="18"/>
                <w:szCs w:val="18"/>
                <w:lang w:val="es-ES"/>
              </w:rPr>
              <w:t xml:space="preserve"> pero a un ritmo insuficiente</w:t>
            </w:r>
          </w:p>
        </w:tc>
      </w:tr>
      <w:tr w:rsidR="00AA7025" w:rsidRPr="00AA7025" w14:paraId="70BBE5B8" w14:textId="77777777" w:rsidTr="00AA7025">
        <w:tc>
          <w:tcPr>
            <w:tcW w:w="5009" w:type="dxa"/>
          </w:tcPr>
          <w:p w14:paraId="20BCD111"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 xml:space="preserve">No </w:t>
            </w:r>
            <w:proofErr w:type="spellStart"/>
            <w:r w:rsidRPr="00AA7025">
              <w:rPr>
                <w:rFonts w:ascii="Aptos" w:hAnsi="Aptos"/>
                <w:sz w:val="18"/>
                <w:szCs w:val="18"/>
                <w:lang w:val="es-ES"/>
              </w:rPr>
              <w:t>significant</w:t>
            </w:r>
            <w:proofErr w:type="spellEnd"/>
            <w:r w:rsidRPr="00AA7025">
              <w:rPr>
                <w:rFonts w:ascii="Aptos" w:hAnsi="Aptos"/>
                <w:sz w:val="18"/>
                <w:szCs w:val="18"/>
                <w:lang w:val="es-ES"/>
              </w:rPr>
              <w:t xml:space="preserve"> </w:t>
            </w:r>
            <w:proofErr w:type="spellStart"/>
            <w:r w:rsidRPr="00AA7025">
              <w:rPr>
                <w:rFonts w:ascii="Aptos" w:hAnsi="Aptos"/>
                <w:sz w:val="18"/>
                <w:szCs w:val="18"/>
                <w:lang w:val="es-ES"/>
              </w:rPr>
              <w:t>change</w:t>
            </w:r>
            <w:proofErr w:type="spellEnd"/>
          </w:p>
        </w:tc>
        <w:tc>
          <w:tcPr>
            <w:tcW w:w="4394" w:type="dxa"/>
          </w:tcPr>
          <w:p w14:paraId="06AD2D84" w14:textId="69698060" w:rsidR="00AA7025" w:rsidRPr="00AA7025" w:rsidRDefault="00AA7025" w:rsidP="00AA7025">
            <w:pPr>
              <w:rPr>
                <w:rFonts w:ascii="Aptos" w:hAnsi="Aptos"/>
                <w:sz w:val="18"/>
                <w:szCs w:val="18"/>
                <w:lang w:val="es-ES"/>
              </w:rPr>
            </w:pPr>
            <w:r w:rsidRPr="00AA7025">
              <w:rPr>
                <w:rFonts w:ascii="Aptos" w:hAnsi="Aptos"/>
                <w:sz w:val="18"/>
                <w:szCs w:val="18"/>
                <w:lang w:val="es-ES"/>
              </w:rPr>
              <w:t>No hay cambios significativos</w:t>
            </w:r>
          </w:p>
        </w:tc>
      </w:tr>
      <w:tr w:rsidR="00AA7025" w:rsidRPr="00AA7025" w14:paraId="5C5342E0" w14:textId="77777777" w:rsidTr="00AA7025">
        <w:tc>
          <w:tcPr>
            <w:tcW w:w="5009" w:type="dxa"/>
          </w:tcPr>
          <w:p w14:paraId="7368B236"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Unknown</w:t>
            </w:r>
          </w:p>
        </w:tc>
        <w:tc>
          <w:tcPr>
            <w:tcW w:w="4394" w:type="dxa"/>
          </w:tcPr>
          <w:p w14:paraId="1289B0E4" w14:textId="0F6EE315" w:rsidR="00AA7025" w:rsidRPr="00AA7025" w:rsidRDefault="00AA7025" w:rsidP="00AA7025">
            <w:pPr>
              <w:rPr>
                <w:rFonts w:ascii="Aptos" w:hAnsi="Aptos"/>
                <w:sz w:val="18"/>
                <w:szCs w:val="18"/>
                <w:lang w:val="es-ES"/>
              </w:rPr>
            </w:pPr>
            <w:r w:rsidRPr="00AA7025">
              <w:rPr>
                <w:rFonts w:ascii="Aptos" w:hAnsi="Aptos"/>
                <w:sz w:val="18"/>
                <w:szCs w:val="18"/>
                <w:lang w:val="es-ES"/>
              </w:rPr>
              <w:t>Se desconoce</w:t>
            </w:r>
          </w:p>
        </w:tc>
      </w:tr>
      <w:tr w:rsidR="00AA7025" w:rsidRPr="00AA7025" w14:paraId="775CC6CA" w14:textId="77777777" w:rsidTr="00AA7025">
        <w:tc>
          <w:tcPr>
            <w:tcW w:w="5009" w:type="dxa"/>
          </w:tcPr>
          <w:p w14:paraId="01397F85"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 xml:space="preserve">Party </w:t>
            </w:r>
            <w:proofErr w:type="spellStart"/>
            <w:r w:rsidRPr="00AA7025">
              <w:rPr>
                <w:rFonts w:ascii="Aptos" w:hAnsi="Aptos"/>
                <w:sz w:val="18"/>
                <w:szCs w:val="18"/>
                <w:lang w:val="es-ES"/>
              </w:rPr>
              <w:t>count</w:t>
            </w:r>
            <w:proofErr w:type="spellEnd"/>
            <w:r w:rsidRPr="00AA7025">
              <w:rPr>
                <w:rFonts w:ascii="Aptos" w:hAnsi="Aptos"/>
                <w:sz w:val="18"/>
                <w:szCs w:val="18"/>
                <w:lang w:val="es-ES"/>
              </w:rPr>
              <w:t>: 89</w:t>
            </w:r>
          </w:p>
        </w:tc>
        <w:tc>
          <w:tcPr>
            <w:tcW w:w="4394" w:type="dxa"/>
          </w:tcPr>
          <w:p w14:paraId="15DDB343" w14:textId="2C0A47F0" w:rsidR="00AA7025" w:rsidRPr="00AA7025" w:rsidRDefault="00AA7025" w:rsidP="00AA7025">
            <w:pPr>
              <w:rPr>
                <w:rFonts w:ascii="Aptos" w:hAnsi="Aptos"/>
                <w:sz w:val="18"/>
                <w:szCs w:val="18"/>
                <w:lang w:val="es-ES"/>
              </w:rPr>
            </w:pPr>
            <w:r w:rsidRPr="00AA7025">
              <w:rPr>
                <w:rFonts w:ascii="Aptos" w:hAnsi="Aptos"/>
                <w:sz w:val="18"/>
                <w:szCs w:val="18"/>
                <w:lang w:val="es-ES"/>
              </w:rPr>
              <w:t>Número de Partes: 89</w:t>
            </w:r>
          </w:p>
        </w:tc>
      </w:tr>
      <w:tr w:rsidR="00AA7025" w:rsidRPr="00AA7025" w14:paraId="380498B8" w14:textId="77777777" w:rsidTr="00AA7025">
        <w:tc>
          <w:tcPr>
            <w:tcW w:w="5009" w:type="dxa"/>
          </w:tcPr>
          <w:p w14:paraId="3D43275F" w14:textId="77777777" w:rsidR="00AA7025" w:rsidRPr="00AA7025" w:rsidRDefault="00AA7025" w:rsidP="00AA7025">
            <w:pPr>
              <w:rPr>
                <w:rFonts w:ascii="Aptos" w:hAnsi="Aptos"/>
                <w:sz w:val="18"/>
                <w:szCs w:val="18"/>
                <w:lang w:val="es-ES"/>
              </w:rPr>
            </w:pPr>
            <w:proofErr w:type="spellStart"/>
            <w:r w:rsidRPr="00AA7025">
              <w:rPr>
                <w:rFonts w:ascii="Aptos" w:hAnsi="Aptos"/>
                <w:sz w:val="18"/>
                <w:szCs w:val="18"/>
                <w:lang w:val="es-ES"/>
              </w:rPr>
              <w:t>Region</w:t>
            </w:r>
            <w:proofErr w:type="spellEnd"/>
          </w:p>
        </w:tc>
        <w:tc>
          <w:tcPr>
            <w:tcW w:w="4394" w:type="dxa"/>
          </w:tcPr>
          <w:p w14:paraId="544A483E" w14:textId="21769B94" w:rsidR="00AA7025" w:rsidRPr="00AA7025" w:rsidRDefault="00AA7025" w:rsidP="00AA7025">
            <w:pPr>
              <w:rPr>
                <w:rFonts w:ascii="Aptos" w:hAnsi="Aptos"/>
                <w:sz w:val="18"/>
                <w:szCs w:val="18"/>
                <w:lang w:val="es-ES"/>
              </w:rPr>
            </w:pPr>
            <w:r w:rsidRPr="00AA7025">
              <w:rPr>
                <w:rFonts w:ascii="Aptos" w:hAnsi="Aptos"/>
                <w:sz w:val="18"/>
                <w:szCs w:val="18"/>
                <w:lang w:val="es-ES"/>
              </w:rPr>
              <w:t>Región</w:t>
            </w:r>
          </w:p>
        </w:tc>
      </w:tr>
      <w:tr w:rsidR="00AA7025" w:rsidRPr="00AA7025" w14:paraId="3FFC3401" w14:textId="77777777" w:rsidTr="00AA7025">
        <w:tc>
          <w:tcPr>
            <w:tcW w:w="5009" w:type="dxa"/>
          </w:tcPr>
          <w:p w14:paraId="23639866"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African States</w:t>
            </w:r>
          </w:p>
        </w:tc>
        <w:tc>
          <w:tcPr>
            <w:tcW w:w="4394" w:type="dxa"/>
          </w:tcPr>
          <w:p w14:paraId="3EDA3475" w14:textId="5E3B4AFD" w:rsidR="00AA7025" w:rsidRPr="00AA7025" w:rsidRDefault="00AA7025" w:rsidP="00AA7025">
            <w:pPr>
              <w:rPr>
                <w:rFonts w:ascii="Aptos" w:hAnsi="Aptos"/>
                <w:sz w:val="18"/>
                <w:szCs w:val="18"/>
                <w:lang w:val="es-ES"/>
              </w:rPr>
            </w:pPr>
            <w:r w:rsidRPr="00AA7025">
              <w:rPr>
                <w:rFonts w:ascii="Aptos" w:hAnsi="Aptos"/>
                <w:sz w:val="18"/>
                <w:szCs w:val="18"/>
                <w:lang w:val="es-ES"/>
              </w:rPr>
              <w:t>Estados de África</w:t>
            </w:r>
          </w:p>
        </w:tc>
      </w:tr>
      <w:tr w:rsidR="00AA7025" w:rsidRPr="00AA7025" w14:paraId="2B9A5BFC" w14:textId="77777777" w:rsidTr="00AA7025">
        <w:tc>
          <w:tcPr>
            <w:tcW w:w="5009" w:type="dxa"/>
          </w:tcPr>
          <w:p w14:paraId="4963E95F"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Asia-Pacific States</w:t>
            </w:r>
          </w:p>
        </w:tc>
        <w:tc>
          <w:tcPr>
            <w:tcW w:w="4394" w:type="dxa"/>
          </w:tcPr>
          <w:p w14:paraId="18FCC7A4" w14:textId="23B8BE07" w:rsidR="00AA7025" w:rsidRPr="00AA7025" w:rsidRDefault="00AA7025" w:rsidP="00AA7025">
            <w:pPr>
              <w:rPr>
                <w:rFonts w:ascii="Aptos" w:hAnsi="Aptos"/>
                <w:sz w:val="18"/>
                <w:szCs w:val="18"/>
                <w:lang w:val="es-ES"/>
              </w:rPr>
            </w:pPr>
            <w:r w:rsidRPr="00AA7025">
              <w:rPr>
                <w:rFonts w:ascii="Aptos" w:hAnsi="Aptos"/>
                <w:sz w:val="18"/>
                <w:szCs w:val="18"/>
                <w:lang w:val="es-ES"/>
              </w:rPr>
              <w:t>Estados de Asia y el Pacífico</w:t>
            </w:r>
          </w:p>
        </w:tc>
      </w:tr>
      <w:tr w:rsidR="00AA7025" w:rsidRPr="00AA7025" w14:paraId="3C6D0E47" w14:textId="77777777" w:rsidTr="00AA7025">
        <w:tc>
          <w:tcPr>
            <w:tcW w:w="5009" w:type="dxa"/>
          </w:tcPr>
          <w:p w14:paraId="5BC78D84" w14:textId="77777777" w:rsidR="00AA7025" w:rsidRPr="00AA7025" w:rsidRDefault="00AA7025" w:rsidP="00AA7025">
            <w:pPr>
              <w:rPr>
                <w:rFonts w:ascii="Aptos" w:hAnsi="Aptos"/>
                <w:sz w:val="18"/>
                <w:szCs w:val="18"/>
                <w:lang w:val="en-US"/>
              </w:rPr>
            </w:pPr>
            <w:r w:rsidRPr="00AA7025">
              <w:rPr>
                <w:rFonts w:ascii="Aptos" w:hAnsi="Aptos"/>
                <w:sz w:val="18"/>
                <w:szCs w:val="18"/>
                <w:lang w:val="en-US"/>
              </w:rPr>
              <w:t>Latin American and Caribbean States</w:t>
            </w:r>
          </w:p>
        </w:tc>
        <w:tc>
          <w:tcPr>
            <w:tcW w:w="4394" w:type="dxa"/>
          </w:tcPr>
          <w:p w14:paraId="118CD8EC" w14:textId="015EDE86" w:rsidR="00AA7025" w:rsidRPr="00AA7025" w:rsidRDefault="00AA7025" w:rsidP="00AA7025">
            <w:pPr>
              <w:rPr>
                <w:rFonts w:ascii="Aptos" w:hAnsi="Aptos"/>
                <w:sz w:val="18"/>
                <w:szCs w:val="18"/>
                <w:lang w:val="es-ES"/>
              </w:rPr>
            </w:pPr>
            <w:r w:rsidRPr="00AA7025">
              <w:rPr>
                <w:rFonts w:ascii="Aptos" w:hAnsi="Aptos"/>
                <w:sz w:val="18"/>
                <w:szCs w:val="18"/>
                <w:lang w:val="es-ES"/>
              </w:rPr>
              <w:t>Estados de América Latina y el Caribe</w:t>
            </w:r>
          </w:p>
        </w:tc>
      </w:tr>
      <w:tr w:rsidR="00AA7025" w:rsidRPr="00AA7025" w14:paraId="3E15D035" w14:textId="77777777" w:rsidTr="00AA7025">
        <w:tc>
          <w:tcPr>
            <w:tcW w:w="5009" w:type="dxa"/>
          </w:tcPr>
          <w:p w14:paraId="3EC99235" w14:textId="77777777" w:rsidR="00AA7025" w:rsidRPr="00AA7025" w:rsidRDefault="00AA7025" w:rsidP="00AA7025">
            <w:pPr>
              <w:rPr>
                <w:rFonts w:ascii="Aptos" w:hAnsi="Aptos"/>
                <w:sz w:val="18"/>
                <w:szCs w:val="18"/>
                <w:lang w:val="es-ES"/>
              </w:rPr>
            </w:pPr>
            <w:r w:rsidRPr="00AA7025">
              <w:rPr>
                <w:rFonts w:ascii="Aptos" w:hAnsi="Aptos"/>
                <w:sz w:val="18"/>
                <w:szCs w:val="18"/>
                <w:lang w:val="es-ES"/>
              </w:rPr>
              <w:t>Eastern European States</w:t>
            </w:r>
          </w:p>
        </w:tc>
        <w:tc>
          <w:tcPr>
            <w:tcW w:w="4394" w:type="dxa"/>
          </w:tcPr>
          <w:p w14:paraId="55FAE1FB" w14:textId="2F8B7533" w:rsidR="00AA7025" w:rsidRPr="00AA7025" w:rsidRDefault="00AA7025" w:rsidP="00AA7025">
            <w:pPr>
              <w:rPr>
                <w:rFonts w:ascii="Aptos" w:hAnsi="Aptos"/>
                <w:sz w:val="18"/>
                <w:szCs w:val="18"/>
                <w:lang w:val="es-ES"/>
              </w:rPr>
            </w:pPr>
            <w:r w:rsidRPr="00AA7025">
              <w:rPr>
                <w:rFonts w:ascii="Aptos" w:hAnsi="Aptos"/>
                <w:sz w:val="18"/>
                <w:szCs w:val="18"/>
                <w:lang w:val="es-ES"/>
              </w:rPr>
              <w:t>Estados de Europa Oriental</w:t>
            </w:r>
          </w:p>
        </w:tc>
      </w:tr>
      <w:tr w:rsidR="00AA7025" w:rsidRPr="00AA7025" w14:paraId="7F819AE5" w14:textId="77777777" w:rsidTr="00AA7025">
        <w:tc>
          <w:tcPr>
            <w:tcW w:w="5009" w:type="dxa"/>
          </w:tcPr>
          <w:p w14:paraId="65E15206" w14:textId="77777777" w:rsidR="00AA7025" w:rsidRPr="00AA7025" w:rsidRDefault="00AA7025" w:rsidP="00AA7025">
            <w:pPr>
              <w:rPr>
                <w:rFonts w:ascii="Aptos" w:hAnsi="Aptos"/>
                <w:sz w:val="18"/>
                <w:szCs w:val="18"/>
                <w:lang w:val="en-US"/>
              </w:rPr>
            </w:pPr>
            <w:r w:rsidRPr="00AA7025">
              <w:rPr>
                <w:rFonts w:ascii="Aptos" w:hAnsi="Aptos"/>
                <w:sz w:val="18"/>
                <w:szCs w:val="18"/>
                <w:lang w:val="en-US"/>
              </w:rPr>
              <w:t xml:space="preserve">Western European and other States </w:t>
            </w:r>
          </w:p>
        </w:tc>
        <w:tc>
          <w:tcPr>
            <w:tcW w:w="4394" w:type="dxa"/>
          </w:tcPr>
          <w:p w14:paraId="1014A90B" w14:textId="141BFA0D" w:rsidR="00AA7025" w:rsidRPr="00AA7025" w:rsidRDefault="00AA7025" w:rsidP="00AA7025">
            <w:pPr>
              <w:rPr>
                <w:rFonts w:ascii="Aptos" w:hAnsi="Aptos"/>
                <w:sz w:val="18"/>
                <w:szCs w:val="18"/>
                <w:lang w:val="es-ES"/>
              </w:rPr>
            </w:pPr>
            <w:r w:rsidRPr="00AA7025">
              <w:rPr>
                <w:rFonts w:ascii="Aptos" w:hAnsi="Aptos"/>
                <w:sz w:val="18"/>
                <w:szCs w:val="18"/>
                <w:lang w:val="es-ES"/>
              </w:rPr>
              <w:t xml:space="preserve">Estados de Europa Occidental y otros Estados </w:t>
            </w:r>
          </w:p>
        </w:tc>
      </w:tr>
    </w:tbl>
    <w:p w14:paraId="105F63A8" w14:textId="77777777" w:rsidR="0091356A" w:rsidRPr="005E3D50" w:rsidRDefault="0091356A" w:rsidP="00C36B3B">
      <w:pPr>
        <w:rPr>
          <w:lang w:val="es-ES" w:eastAsia="ja-JP"/>
        </w:rPr>
      </w:pPr>
    </w:p>
    <w:p w14:paraId="382C24EB" w14:textId="254D4F4B" w:rsidR="00C36B3B" w:rsidRPr="005E3D50" w:rsidRDefault="0091356A" w:rsidP="00C577F7">
      <w:pPr>
        <w:pStyle w:val="Heading5"/>
        <w:rPr>
          <w:lang w:val="es-ES"/>
        </w:rPr>
      </w:pPr>
      <w:bookmarkStart w:id="248" w:name="_Toc235821133"/>
      <w:r w:rsidRPr="005E3D50">
        <w:rPr>
          <w:lang w:val="es-ES"/>
        </w:rPr>
        <w:t>Medidas, logros y dificultades</w:t>
      </w:r>
      <w:bookmarkEnd w:id="248"/>
      <w:r w:rsidRPr="005E3D50">
        <w:rPr>
          <w:lang w:val="es-ES"/>
        </w:rPr>
        <w:t xml:space="preserve"> en la implementación</w:t>
      </w:r>
    </w:p>
    <w:p w14:paraId="1A6814B8" w14:textId="77777777" w:rsidR="008E423B" w:rsidRPr="005E3D50" w:rsidRDefault="008E423B" w:rsidP="008E423B">
      <w:pPr>
        <w:rPr>
          <w:lang w:val="es-ES" w:eastAsia="ja-JP"/>
        </w:rPr>
      </w:pPr>
    </w:p>
    <w:p w14:paraId="3AAB6D12" w14:textId="4F094F23" w:rsidR="0091356A" w:rsidRPr="005E3D50" w:rsidRDefault="0091356A" w:rsidP="00C577F7">
      <w:pPr>
        <w:pStyle w:val="Heading6"/>
        <w:rPr>
          <w:lang w:val="es-ES"/>
        </w:rPr>
      </w:pPr>
      <w:bookmarkStart w:id="249" w:name="_Toc235821134"/>
      <w:r w:rsidRPr="005E3D50">
        <w:rPr>
          <w:lang w:val="es-ES"/>
        </w:rPr>
        <w:t>Resumen de medidas en apoyo de la meta 7</w:t>
      </w:r>
      <w:bookmarkEnd w:id="249"/>
      <w:r w:rsidRPr="005E3D50">
        <w:rPr>
          <w:lang w:val="es-ES"/>
        </w:rPr>
        <w:t xml:space="preserve"> del Marco</w:t>
      </w:r>
    </w:p>
    <w:p w14:paraId="73DC0377" w14:textId="77777777" w:rsidR="008E423B" w:rsidRPr="005E3D50" w:rsidRDefault="008E423B" w:rsidP="008E423B">
      <w:pPr>
        <w:rPr>
          <w:lang w:val="es-ES" w:eastAsia="ja-JP"/>
        </w:rPr>
      </w:pPr>
    </w:p>
    <w:p w14:paraId="7E17F50E" w14:textId="1EEA0513" w:rsidR="00623B8F" w:rsidRPr="005E3D50" w:rsidRDefault="00623B8F" w:rsidP="00623B8F">
      <w:pPr>
        <w:rPr>
          <w:lang w:val="es-ES"/>
        </w:rPr>
      </w:pPr>
      <w:r w:rsidRPr="005E3D50">
        <w:rPr>
          <w:lang w:val="es-ES"/>
        </w:rPr>
        <w:t xml:space="preserve">Las medidas para hacer frente a la contaminación por plástico son las que las Partes señalan con mayor frecuencia en relación con la meta 7, y la gran mayoría de ellas señalan prohibiciones o restricciones relativas a los plásticos de un solo uso en artículos como bolsas, pajitas, cubiertos y poliestireno. Un gran número de Partes informan que utilizan la gestión integrada de plagas e imponen prohibiciones sobre los plaguicidas altamente peligrosos como medios para reducir los riesgos que plantea su uso. Otro grupo considerable de Partes, concentrado en Europa y Asia, señalan medidas regulatorias y técnicas para reducir las liberaciones de nutrientes procedentes de fertilizantes y purines. Un grupo más reducido de países señalan medidas para eliminar la contaminación por mercurio y contaminantes orgánicos persistentes, destacando las medidas adoptadas en el contexto del Convenio de Minamata sobre el Mercurio y el Convenio de Estocolmo sobre Contaminantes Orgánicos Persistentes. Un número creciente de Partes señalan inversiones en infraestructura de reciclaje y marcos de economía circular como respuesta estructural a la contaminación por plástico y </w:t>
      </w:r>
      <w:r w:rsidR="00D90D52" w:rsidRPr="005E3D50">
        <w:rPr>
          <w:lang w:val="es-ES"/>
        </w:rPr>
        <w:t>desechos</w:t>
      </w:r>
      <w:r w:rsidRPr="005E3D50">
        <w:rPr>
          <w:lang w:val="es-ES"/>
        </w:rPr>
        <w:t xml:space="preserve"> (véanse los recuadros 25 y 26). </w:t>
      </w:r>
    </w:p>
    <w:p w14:paraId="73C5E8D1" w14:textId="77777777" w:rsidR="009A12FE" w:rsidRPr="005E3D50" w:rsidRDefault="009A12FE" w:rsidP="00B8722B">
      <w:pPr>
        <w:rPr>
          <w:lang w:val="es-ES"/>
        </w:rPr>
      </w:pPr>
    </w:p>
    <w:p w14:paraId="1F4ED261" w14:textId="67DFEF34" w:rsidR="0091356A" w:rsidRPr="005E3D50" w:rsidRDefault="0091356A" w:rsidP="00C577F7">
      <w:pPr>
        <w:pStyle w:val="Heading6"/>
        <w:rPr>
          <w:lang w:val="es-ES"/>
        </w:rPr>
      </w:pPr>
      <w:bookmarkStart w:id="250" w:name="_Toc235821135"/>
      <w:r w:rsidRPr="005E3D50">
        <w:rPr>
          <w:lang w:val="es-ES"/>
        </w:rPr>
        <w:t>Ejemplos de logros y progresos en la implementación</w:t>
      </w:r>
      <w:bookmarkEnd w:id="250"/>
    </w:p>
    <w:p w14:paraId="68672686" w14:textId="77777777" w:rsidR="00FA3DF5" w:rsidRPr="005E3D50" w:rsidRDefault="00FA3DF5" w:rsidP="00FA3DF5">
      <w:pPr>
        <w:rPr>
          <w:lang w:val="es-ES" w:eastAsia="ja-JP"/>
        </w:rPr>
      </w:pPr>
    </w:p>
    <w:tbl>
      <w:tblPr>
        <w:tblStyle w:val="TableGrid"/>
        <w:tblW w:w="0" w:type="auto"/>
        <w:tblLook w:val="04A0" w:firstRow="1" w:lastRow="0" w:firstColumn="1" w:lastColumn="0" w:noHBand="0" w:noVBand="1"/>
      </w:tblPr>
      <w:tblGrid>
        <w:gridCol w:w="9350"/>
      </w:tblGrid>
      <w:tr w:rsidR="00353033" w:rsidRPr="005E3D50" w14:paraId="733CC0D3" w14:textId="77777777" w:rsidTr="00C13D25">
        <w:tc>
          <w:tcPr>
            <w:tcW w:w="9350" w:type="dxa"/>
            <w:shd w:val="clear" w:color="auto" w:fill="D1D1D1" w:themeFill="background2" w:themeFillShade="E6"/>
          </w:tcPr>
          <w:p w14:paraId="1E8CD320" w14:textId="77777777" w:rsidR="00931BC4" w:rsidRPr="005E3D50" w:rsidRDefault="00931BC4" w:rsidP="00353033">
            <w:pPr>
              <w:rPr>
                <w:i/>
                <w:iCs/>
                <w:lang w:val="es-ES"/>
              </w:rPr>
            </w:pPr>
          </w:p>
          <w:p w14:paraId="46D91166" w14:textId="290C5082" w:rsidR="00930675" w:rsidRPr="005E3D50" w:rsidRDefault="00930675" w:rsidP="00930675">
            <w:pPr>
              <w:pStyle w:val="Caption"/>
              <w:keepNext/>
              <w:rPr>
                <w:i w:val="0"/>
                <w:iCs w:val="0"/>
                <w:sz w:val="20"/>
                <w:szCs w:val="20"/>
                <w:lang w:val="es-ES"/>
              </w:rPr>
            </w:pPr>
            <w:r w:rsidRPr="005E3D50">
              <w:rPr>
                <w:i w:val="0"/>
                <w:iCs w:val="0"/>
                <w:sz w:val="20"/>
                <w:szCs w:val="20"/>
                <w:lang w:val="es-ES"/>
              </w:rPr>
              <w:lastRenderedPageBreak/>
              <w:t>Recuadro 25</w:t>
            </w:r>
          </w:p>
          <w:p w14:paraId="1D61A239" w14:textId="0BAFE27B" w:rsidR="00930675" w:rsidRPr="005E3D50" w:rsidRDefault="00930675" w:rsidP="00930675">
            <w:pPr>
              <w:pStyle w:val="Caption"/>
              <w:keepNext/>
              <w:rPr>
                <w:i w:val="0"/>
                <w:iCs w:val="0"/>
                <w:sz w:val="20"/>
                <w:szCs w:val="20"/>
                <w:lang w:val="es-ES"/>
              </w:rPr>
            </w:pPr>
            <w:r w:rsidRPr="005E3D50">
              <w:rPr>
                <w:b/>
                <w:bCs/>
                <w:i w:val="0"/>
                <w:iCs w:val="0"/>
                <w:sz w:val="20"/>
                <w:szCs w:val="20"/>
                <w:lang w:val="es-ES"/>
              </w:rPr>
              <w:t>Marco nacional de economía circular de Australia, que incluye la reducción cuantificada de la contaminación en distintos sectores</w:t>
            </w:r>
          </w:p>
          <w:p w14:paraId="0DFAA55B" w14:textId="77777777" w:rsidR="00930675" w:rsidRPr="005E3D50" w:rsidRDefault="00930675" w:rsidP="00930675">
            <w:pPr>
              <w:rPr>
                <w:i/>
                <w:iCs/>
                <w:lang w:val="es-ES"/>
              </w:rPr>
            </w:pPr>
          </w:p>
          <w:p w14:paraId="44D969A6" w14:textId="2C750427" w:rsidR="00FD5CC9" w:rsidRPr="005E3D50" w:rsidRDefault="00450FB7" w:rsidP="00846BBA">
            <w:pPr>
              <w:spacing w:line="276" w:lineRule="auto"/>
              <w:rPr>
                <w:rFonts w:ascii="Aptos" w:hAnsi="Aptos"/>
                <w:color w:val="000000"/>
                <w:sz w:val="20"/>
                <w:szCs w:val="20"/>
                <w:lang w:val="es-ES"/>
              </w:rPr>
            </w:pPr>
            <w:r w:rsidRPr="005E3D50">
              <w:rPr>
                <w:rFonts w:ascii="Aptos" w:hAnsi="Aptos"/>
                <w:color w:val="000000"/>
                <w:sz w:val="20"/>
                <w:szCs w:val="20"/>
                <w:lang w:val="es-ES"/>
              </w:rPr>
              <w:t xml:space="preserve">El aumento del consumo de materiales, la creciente generación de </w:t>
            </w:r>
            <w:r w:rsidR="002D22BC" w:rsidRPr="005E3D50">
              <w:rPr>
                <w:rFonts w:ascii="Aptos" w:hAnsi="Aptos"/>
                <w:color w:val="000000"/>
                <w:sz w:val="20"/>
                <w:szCs w:val="20"/>
                <w:lang w:val="es-ES"/>
              </w:rPr>
              <w:t>desechos</w:t>
            </w:r>
            <w:r w:rsidRPr="005E3D50">
              <w:rPr>
                <w:rFonts w:ascii="Aptos" w:hAnsi="Aptos"/>
                <w:color w:val="000000"/>
                <w:sz w:val="20"/>
                <w:szCs w:val="20"/>
                <w:lang w:val="es-ES"/>
              </w:rPr>
              <w:t xml:space="preserve"> y las persistentes presiones derivadas de la contaminación han planteado amenazas cada vez mayores para la diversidad biológica terrestre, de agua dulce y marina en toda Australia. Ante esta situación, Australia ha establecido progresivamente un ecosistema integrado de políticas y regulaciones nacionales para la economía circular que vincula la reducción de </w:t>
            </w:r>
            <w:r w:rsidR="002D22BC" w:rsidRPr="005E3D50">
              <w:rPr>
                <w:rFonts w:ascii="Aptos" w:hAnsi="Aptos"/>
                <w:color w:val="000000"/>
                <w:sz w:val="20"/>
                <w:szCs w:val="20"/>
                <w:lang w:val="es-ES"/>
              </w:rPr>
              <w:t>desechos</w:t>
            </w:r>
            <w:r w:rsidRPr="005E3D50">
              <w:rPr>
                <w:rFonts w:ascii="Aptos" w:hAnsi="Aptos"/>
                <w:color w:val="000000"/>
                <w:sz w:val="20"/>
                <w:szCs w:val="20"/>
                <w:lang w:val="es-ES"/>
              </w:rPr>
              <w:t xml:space="preserve">, la recuperación de recursos, la responsabilidad sobre los productos, la gestión de productos químicos industriales, la producción y el consumo sostenibles y los datos y la presentación de informes sobre economía circular. A partir de la aplicación de la Ley de </w:t>
            </w:r>
            <w:r w:rsidR="002D22BC" w:rsidRPr="005E3D50">
              <w:rPr>
                <w:rFonts w:ascii="Aptos" w:hAnsi="Aptos"/>
                <w:color w:val="000000"/>
                <w:sz w:val="20"/>
                <w:szCs w:val="20"/>
                <w:lang w:val="es-ES"/>
              </w:rPr>
              <w:t>r</w:t>
            </w:r>
            <w:r w:rsidRPr="005E3D50">
              <w:rPr>
                <w:rFonts w:ascii="Aptos" w:hAnsi="Aptos"/>
                <w:color w:val="000000"/>
                <w:sz w:val="20"/>
                <w:szCs w:val="20"/>
                <w:lang w:val="es-ES"/>
              </w:rPr>
              <w:t xml:space="preserve">eciclaje y </w:t>
            </w:r>
            <w:r w:rsidR="002D22BC" w:rsidRPr="005E3D50">
              <w:rPr>
                <w:rFonts w:ascii="Aptos" w:hAnsi="Aptos"/>
                <w:color w:val="000000"/>
                <w:sz w:val="20"/>
                <w:szCs w:val="20"/>
                <w:lang w:val="es-ES"/>
              </w:rPr>
              <w:t>r</w:t>
            </w:r>
            <w:r w:rsidRPr="005E3D50">
              <w:rPr>
                <w:rFonts w:ascii="Aptos" w:hAnsi="Aptos"/>
                <w:color w:val="000000"/>
                <w:sz w:val="20"/>
                <w:szCs w:val="20"/>
                <w:lang w:val="es-ES"/>
              </w:rPr>
              <w:t xml:space="preserve">educción de </w:t>
            </w:r>
            <w:r w:rsidR="002D22BC" w:rsidRPr="005E3D50">
              <w:rPr>
                <w:rFonts w:ascii="Aptos" w:hAnsi="Aptos"/>
                <w:color w:val="000000"/>
                <w:sz w:val="20"/>
                <w:szCs w:val="20"/>
                <w:lang w:val="es-ES"/>
              </w:rPr>
              <w:t>desechos</w:t>
            </w:r>
            <w:r w:rsidRPr="005E3D50">
              <w:rPr>
                <w:rFonts w:ascii="Aptos" w:hAnsi="Aptos"/>
                <w:color w:val="000000"/>
                <w:sz w:val="20"/>
                <w:szCs w:val="20"/>
                <w:lang w:val="es-ES"/>
              </w:rPr>
              <w:t xml:space="preserve"> de 2020, Australia ha reforzado progresivamente las disposiciones regulatorias, las inversiones, los mecanismos nacionales de presentación de informes y la colaboración entre jurisdicciones para reducir los efectos de la contaminación en la diversidad biológica y, al mismo tiempo, mejorar la eficiencia en el uso de los recursos. </w:t>
            </w:r>
            <w:r w:rsidRPr="005E3D50">
              <w:rPr>
                <w:rFonts w:ascii="Aptos" w:hAnsi="Aptos"/>
                <w:color w:val="000000"/>
                <w:sz w:val="20"/>
                <w:szCs w:val="20"/>
                <w:lang w:val="es-ES"/>
              </w:rPr>
              <w:br/>
              <w:t> </w:t>
            </w:r>
            <w:r w:rsidRPr="005E3D50">
              <w:rPr>
                <w:rFonts w:ascii="Aptos" w:hAnsi="Aptos"/>
                <w:color w:val="000000"/>
                <w:sz w:val="20"/>
                <w:szCs w:val="20"/>
                <w:lang w:val="es-ES"/>
              </w:rPr>
              <w:br/>
              <w:t xml:space="preserve">El informe nacional presentado por Australia al Convenio identifica una meta nacional destinada a aumentar la tasa de circularidad del país y reducir la contaminación y sus efectos en la diversidad biológica para 2030. La </w:t>
            </w:r>
            <w:r w:rsidR="00D14444" w:rsidRPr="005E3D50">
              <w:rPr>
                <w:rFonts w:ascii="Aptos" w:hAnsi="Aptos"/>
                <w:color w:val="000000"/>
                <w:sz w:val="20"/>
                <w:szCs w:val="20"/>
                <w:lang w:val="es-ES"/>
              </w:rPr>
              <w:t>presentación</w:t>
            </w:r>
            <w:r w:rsidRPr="005E3D50">
              <w:rPr>
                <w:rFonts w:ascii="Aptos" w:hAnsi="Aptos"/>
                <w:color w:val="000000"/>
                <w:sz w:val="20"/>
                <w:szCs w:val="20"/>
                <w:lang w:val="es-ES"/>
              </w:rPr>
              <w:t xml:space="preserve"> del marco de economía circular del país en diciembre de 2024 constituyó un hito clave, al establecer la ambición nacional de duplicar la circularidad de la economía de Australia para 2035, respaldada por metas destinadas a recuperar de forma segura el 80 % de los recursos, mejorar la productividad de los materiales en un 30 % y reducir la huella material per cápita en un 10 %. El marco se basa en reformas anteriores, que incluyen prohibiciones a la exportación de desechos, sistemas de responsabilidad sobre los productos, reformas en materia de envases, medidas </w:t>
            </w:r>
            <w:r w:rsidR="002B5DA7" w:rsidRPr="005E3D50">
              <w:rPr>
                <w:rFonts w:ascii="Aptos" w:hAnsi="Aptos"/>
                <w:color w:val="000000"/>
                <w:sz w:val="20"/>
                <w:szCs w:val="20"/>
                <w:lang w:val="es-ES"/>
              </w:rPr>
              <w:t>relativas a</w:t>
            </w:r>
            <w:r w:rsidRPr="005E3D50">
              <w:rPr>
                <w:rFonts w:ascii="Aptos" w:hAnsi="Aptos"/>
                <w:color w:val="000000"/>
                <w:sz w:val="20"/>
                <w:szCs w:val="20"/>
                <w:lang w:val="es-ES"/>
              </w:rPr>
              <w:t xml:space="preserve"> la política nacional de </w:t>
            </w:r>
            <w:r w:rsidR="00821BCA" w:rsidRPr="005E3D50">
              <w:rPr>
                <w:rFonts w:ascii="Aptos" w:hAnsi="Aptos"/>
                <w:color w:val="000000"/>
                <w:sz w:val="20"/>
                <w:szCs w:val="20"/>
                <w:lang w:val="es-ES"/>
              </w:rPr>
              <w:t>desechos</w:t>
            </w:r>
            <w:r w:rsidRPr="005E3D50">
              <w:rPr>
                <w:rFonts w:ascii="Aptos" w:hAnsi="Aptos"/>
                <w:color w:val="000000"/>
                <w:sz w:val="20"/>
                <w:szCs w:val="20"/>
                <w:lang w:val="es-ES"/>
              </w:rPr>
              <w:t xml:space="preserve"> y el fortalecimiento de la gestión ambiental de los productos químicos industriales. </w:t>
            </w:r>
            <w:r w:rsidRPr="005E3D50">
              <w:rPr>
                <w:rFonts w:ascii="Aptos" w:hAnsi="Aptos"/>
                <w:color w:val="000000"/>
                <w:sz w:val="20"/>
                <w:szCs w:val="20"/>
                <w:lang w:val="es-ES"/>
              </w:rPr>
              <w:br/>
              <w:t> </w:t>
            </w:r>
          </w:p>
          <w:p w14:paraId="04C64342" w14:textId="26BC5A04" w:rsidR="000C756A" w:rsidRPr="005E3D50" w:rsidRDefault="00FD5CC9" w:rsidP="00846BBA">
            <w:pPr>
              <w:spacing w:line="276" w:lineRule="auto"/>
              <w:rPr>
                <w:rFonts w:ascii="Aptos" w:hAnsi="Aptos"/>
                <w:color w:val="000000"/>
                <w:lang w:val="es-ES"/>
              </w:rPr>
            </w:pPr>
            <w:r w:rsidRPr="005E3D50">
              <w:rPr>
                <w:rFonts w:ascii="Aptos" w:hAnsi="Aptos"/>
                <w:color w:val="000000"/>
                <w:sz w:val="20"/>
                <w:szCs w:val="20"/>
                <w:lang w:val="es-ES"/>
              </w:rPr>
              <w:t>Una característica destacada del enfoque del país ha sido la evolución de los sistemas nacionales de datos, medición y presentación de informes. Australia ha trabajado con la Organización de Investigación Científica e Industrial del Commonwealth de Australia (CSIRO), los gobiernos estatales y territoriales, la industria y los investigadores para desarrollar indicadores de economía circular, cuentas de flujos de materiales y presentación de informes sobre la recuperación de recursos que sean coherentes a nivel nacional. Estos sistemas de datos actualmente permiten medir la circularidad, la productividad de los materiales, la huella material y los resultados de la recuperación de recursos, proporcionando una base empírica para la elaboración de políticas, la priorización de las inversiones y la presentación de informes sobre los progresos. </w:t>
            </w:r>
            <w:r w:rsidRPr="005E3D50">
              <w:rPr>
                <w:rFonts w:ascii="Aptos" w:hAnsi="Aptos"/>
                <w:color w:val="000000"/>
                <w:sz w:val="20"/>
                <w:szCs w:val="20"/>
                <w:lang w:val="es-ES"/>
              </w:rPr>
              <w:br/>
              <w:t> </w:t>
            </w:r>
            <w:r w:rsidRPr="005E3D50">
              <w:rPr>
                <w:rFonts w:ascii="Aptos" w:hAnsi="Aptos"/>
                <w:color w:val="000000"/>
                <w:sz w:val="20"/>
                <w:szCs w:val="20"/>
                <w:lang w:val="es-ES"/>
              </w:rPr>
              <w:br/>
              <w:t xml:space="preserve">En la implementación ha participado una amplia coalición de gobiernos, instituciones de investigación, empresas, inversores y comunidades. Entre las principales iniciativas figuran la ampliación de la infraestructura de reciclaje y reprocesamiento mediante el Fondo de </w:t>
            </w:r>
            <w:r w:rsidR="0047312E" w:rsidRPr="005E3D50">
              <w:rPr>
                <w:rFonts w:ascii="Aptos" w:hAnsi="Aptos"/>
                <w:color w:val="000000"/>
                <w:sz w:val="20"/>
                <w:szCs w:val="20"/>
                <w:lang w:val="es-ES"/>
              </w:rPr>
              <w:t>m</w:t>
            </w:r>
            <w:r w:rsidRPr="005E3D50">
              <w:rPr>
                <w:rFonts w:ascii="Aptos" w:hAnsi="Aptos"/>
                <w:color w:val="000000"/>
                <w:sz w:val="20"/>
                <w:szCs w:val="20"/>
                <w:lang w:val="es-ES"/>
              </w:rPr>
              <w:t xml:space="preserve">odernización del </w:t>
            </w:r>
            <w:r w:rsidR="0047312E" w:rsidRPr="005E3D50">
              <w:rPr>
                <w:rFonts w:ascii="Aptos" w:hAnsi="Aptos"/>
                <w:color w:val="000000"/>
                <w:sz w:val="20"/>
                <w:szCs w:val="20"/>
                <w:lang w:val="es-ES"/>
              </w:rPr>
              <w:t>r</w:t>
            </w:r>
            <w:r w:rsidRPr="005E3D50">
              <w:rPr>
                <w:rFonts w:ascii="Aptos" w:hAnsi="Aptos"/>
                <w:color w:val="000000"/>
                <w:sz w:val="20"/>
                <w:szCs w:val="20"/>
                <w:lang w:val="es-ES"/>
              </w:rPr>
              <w:t>eciclaje y otras inversiones conexas; la implantación de sistemas de depósito de envases en todo el país; medidas para eliminar gradualmente los plásticos problemáticos e innecesarios; mecanismos de responsabilidad sobre los productos; reformas del diseño y la reciclabilidad de los envases; la regulación de la exportación de desechos; y la aplicación de normas de gestión ambiental de los productos químicos industriales (</w:t>
            </w:r>
            <w:proofErr w:type="spellStart"/>
            <w:r w:rsidRPr="005E3D50">
              <w:rPr>
                <w:rFonts w:ascii="Aptos" w:hAnsi="Aptos"/>
                <w:color w:val="000000"/>
                <w:sz w:val="20"/>
                <w:szCs w:val="20"/>
                <w:lang w:val="es-ES"/>
              </w:rPr>
              <w:t>IChEMS</w:t>
            </w:r>
            <w:proofErr w:type="spellEnd"/>
            <w:r w:rsidRPr="005E3D50">
              <w:rPr>
                <w:rFonts w:ascii="Aptos" w:hAnsi="Aptos"/>
                <w:color w:val="000000"/>
                <w:sz w:val="20"/>
                <w:szCs w:val="20"/>
                <w:lang w:val="es-ES"/>
              </w:rPr>
              <w:t xml:space="preserve">), que establecen controles ambientales coherentes a nivel nacional para los productos químicos </w:t>
            </w:r>
            <w:r w:rsidRPr="005E3D50">
              <w:rPr>
                <w:rFonts w:ascii="Aptos" w:hAnsi="Aptos"/>
                <w:color w:val="000000"/>
                <w:sz w:val="20"/>
                <w:szCs w:val="20"/>
                <w:lang w:val="es-ES"/>
              </w:rPr>
              <w:lastRenderedPageBreak/>
              <w:t>industriales de mayor riesgo. </w:t>
            </w:r>
            <w:r w:rsidRPr="005E3D50">
              <w:rPr>
                <w:rFonts w:ascii="Aptos" w:hAnsi="Aptos"/>
                <w:color w:val="000000"/>
                <w:sz w:val="20"/>
                <w:szCs w:val="20"/>
                <w:lang w:val="es-ES"/>
              </w:rPr>
              <w:br/>
              <w:t> </w:t>
            </w:r>
            <w:r w:rsidRPr="005E3D50">
              <w:rPr>
                <w:rFonts w:ascii="Aptos" w:hAnsi="Aptos"/>
                <w:color w:val="000000"/>
                <w:sz w:val="20"/>
                <w:szCs w:val="20"/>
                <w:lang w:val="es-ES"/>
              </w:rPr>
              <w:br/>
              <w:t xml:space="preserve">El enfoque de Australia ha generado resultados ambientales cuantificables. </w:t>
            </w:r>
            <w:r w:rsidR="001276FA" w:rsidRPr="005E3D50">
              <w:rPr>
                <w:rFonts w:ascii="Aptos" w:hAnsi="Aptos"/>
                <w:color w:val="000000"/>
                <w:sz w:val="20"/>
                <w:szCs w:val="20"/>
                <w:lang w:val="es-ES"/>
              </w:rPr>
              <w:t>Por ejemplo, e</w:t>
            </w:r>
            <w:r w:rsidRPr="005E3D50">
              <w:rPr>
                <w:rFonts w:ascii="Aptos" w:hAnsi="Aptos"/>
                <w:color w:val="000000"/>
                <w:sz w:val="20"/>
                <w:szCs w:val="20"/>
                <w:lang w:val="es-ES"/>
              </w:rPr>
              <w:t xml:space="preserve">l seguimiento a largo plazo realizado por la Organización de Investigación Científica e Industrial del Commonwealth de Australia registró una reducción del 39 % de la densidad de </w:t>
            </w:r>
            <w:r w:rsidR="000568B1" w:rsidRPr="005E3D50">
              <w:rPr>
                <w:rFonts w:ascii="Aptos" w:hAnsi="Aptos"/>
                <w:color w:val="000000"/>
                <w:sz w:val="20"/>
                <w:szCs w:val="20"/>
                <w:lang w:val="es-ES"/>
              </w:rPr>
              <w:t>desechos</w:t>
            </w:r>
            <w:r w:rsidRPr="005E3D50">
              <w:rPr>
                <w:rFonts w:ascii="Aptos" w:hAnsi="Aptos"/>
                <w:color w:val="000000"/>
                <w:sz w:val="20"/>
                <w:szCs w:val="20"/>
                <w:lang w:val="es-ES"/>
              </w:rPr>
              <w:t xml:space="preserve"> plásticos costeros en las regiones metropolitanas estudiadas entre 2013 y 2023. </w:t>
            </w:r>
            <w:r w:rsidR="000568B1" w:rsidRPr="005E3D50">
              <w:rPr>
                <w:rFonts w:ascii="Aptos" w:hAnsi="Aptos"/>
                <w:color w:val="000000"/>
                <w:sz w:val="20"/>
                <w:szCs w:val="20"/>
                <w:lang w:val="es-ES"/>
              </w:rPr>
              <w:t>Además, l</w:t>
            </w:r>
            <w:r w:rsidRPr="005E3D50">
              <w:rPr>
                <w:rFonts w:ascii="Aptos" w:hAnsi="Aptos"/>
                <w:color w:val="000000"/>
                <w:sz w:val="20"/>
                <w:szCs w:val="20"/>
                <w:lang w:val="es-ES"/>
              </w:rPr>
              <w:t>a tasa nacional de recuperación de recursos aumentó del 62,7 % en 2019</w:t>
            </w:r>
            <w:r w:rsidR="00C64572" w:rsidRPr="005E3D50">
              <w:rPr>
                <w:rFonts w:ascii="Aptos" w:hAnsi="Aptos"/>
                <w:color w:val="000000"/>
                <w:sz w:val="20"/>
                <w:szCs w:val="20"/>
                <w:lang w:val="es-ES"/>
              </w:rPr>
              <w:t>-</w:t>
            </w:r>
            <w:r w:rsidRPr="005E3D50">
              <w:rPr>
                <w:rFonts w:ascii="Aptos" w:hAnsi="Aptos"/>
                <w:color w:val="000000"/>
                <w:sz w:val="20"/>
                <w:szCs w:val="20"/>
                <w:lang w:val="es-ES"/>
              </w:rPr>
              <w:t>20 al 66,0 % en 2022</w:t>
            </w:r>
            <w:r w:rsidR="00C64572" w:rsidRPr="005E3D50">
              <w:rPr>
                <w:rFonts w:ascii="Aptos" w:hAnsi="Aptos"/>
                <w:color w:val="000000"/>
                <w:sz w:val="20"/>
                <w:szCs w:val="20"/>
                <w:lang w:val="es-ES"/>
              </w:rPr>
              <w:t>-</w:t>
            </w:r>
            <w:r w:rsidRPr="005E3D50">
              <w:rPr>
                <w:rFonts w:ascii="Aptos" w:hAnsi="Aptos"/>
                <w:color w:val="000000"/>
                <w:sz w:val="20"/>
                <w:szCs w:val="20"/>
                <w:lang w:val="es-ES"/>
              </w:rPr>
              <w:t>23, mientras que la capacidad nacional de reciclaje y reprocesamiento se ha ampliado tras la aplicación de las prohibiciones a la exportación de desechos y las inversiones conexas en infraestructura. Los indicadores nacionales de economía circular también muestran mejoras graduales en la tasa de circularidad y la productividad de los materiales, así como una disminución gradual de la huella material per cápita a más largo plazo.</w:t>
            </w:r>
            <w:r w:rsidRPr="005E3D50">
              <w:rPr>
                <w:rFonts w:ascii="Aptos" w:hAnsi="Aptos"/>
                <w:color w:val="000000"/>
                <w:lang w:val="es-ES"/>
              </w:rPr>
              <w:t> </w:t>
            </w:r>
          </w:p>
          <w:p w14:paraId="4502CA33" w14:textId="21D1815F" w:rsidR="00A530AE" w:rsidRPr="005E3D50" w:rsidRDefault="00FD5CC9" w:rsidP="00846BBA">
            <w:pPr>
              <w:spacing w:line="276" w:lineRule="auto"/>
              <w:rPr>
                <w:rFonts w:ascii="Aptos" w:hAnsi="Aptos"/>
                <w:color w:val="000000"/>
                <w:sz w:val="20"/>
                <w:szCs w:val="20"/>
                <w:lang w:val="es-ES"/>
              </w:rPr>
            </w:pPr>
            <w:r w:rsidRPr="005E3D50">
              <w:rPr>
                <w:rFonts w:ascii="Aptos" w:hAnsi="Aptos"/>
                <w:color w:val="000000"/>
                <w:lang w:val="es-ES"/>
              </w:rPr>
              <w:br/>
            </w:r>
            <w:r w:rsidRPr="005E3D50">
              <w:rPr>
                <w:rFonts w:ascii="Aptos" w:hAnsi="Aptos"/>
                <w:i/>
                <w:iCs/>
                <w:color w:val="000000" w:themeColor="text1"/>
                <w:sz w:val="20"/>
                <w:szCs w:val="20"/>
                <w:lang w:val="es-ES"/>
              </w:rPr>
              <w:t xml:space="preserve">Metas pertinentes: </w:t>
            </w:r>
            <w:r w:rsidRPr="005E3D50">
              <w:rPr>
                <w:rFonts w:ascii="Aptos" w:hAnsi="Aptos"/>
                <w:color w:val="000000" w:themeColor="text1"/>
                <w:sz w:val="20"/>
                <w:szCs w:val="20"/>
                <w:lang w:val="es-ES"/>
              </w:rPr>
              <w:t>7, 11, 16 y 21.</w:t>
            </w:r>
          </w:p>
          <w:p w14:paraId="6FAF4404" w14:textId="0DA7C099" w:rsidR="00931BC4" w:rsidRPr="005E3D50" w:rsidRDefault="00A530AE" w:rsidP="00A530AE">
            <w:pPr>
              <w:spacing w:line="276" w:lineRule="auto"/>
              <w:rPr>
                <w:rFonts w:ascii="Aptos" w:eastAsia="Aptos" w:hAnsi="Aptos" w:cs="Aptos"/>
                <w:i/>
                <w:iCs/>
                <w:color w:val="000000" w:themeColor="text1"/>
                <w:sz w:val="20"/>
                <w:szCs w:val="20"/>
                <w:lang w:val="es-ES"/>
              </w:rPr>
            </w:pPr>
            <w:r w:rsidRPr="005E3D50">
              <w:rPr>
                <w:rFonts w:ascii="Aptos" w:hAnsi="Aptos"/>
                <w:i/>
                <w:iCs/>
                <w:color w:val="000000" w:themeColor="text1"/>
                <w:sz w:val="20"/>
                <w:szCs w:val="20"/>
                <w:lang w:val="es-ES"/>
              </w:rPr>
              <w:t xml:space="preserve">Fuentes: </w:t>
            </w:r>
            <w:r w:rsidRPr="005E3D50">
              <w:rPr>
                <w:rFonts w:ascii="Aptos" w:hAnsi="Aptos"/>
                <w:color w:val="000000" w:themeColor="text1"/>
                <w:sz w:val="20"/>
                <w:szCs w:val="20"/>
                <w:lang w:val="es-ES"/>
              </w:rPr>
              <w:t xml:space="preserve">Australia, séptimo informe nacional presentado al Convenio; y </w:t>
            </w:r>
            <w:r w:rsidRPr="005E3D50">
              <w:rPr>
                <w:sz w:val="20"/>
                <w:szCs w:val="20"/>
                <w:lang w:val="es-ES"/>
              </w:rPr>
              <w:t>DCCEEW, 2024.</w:t>
            </w:r>
          </w:p>
          <w:p w14:paraId="463FFB2D" w14:textId="77777777" w:rsidR="00100470" w:rsidRPr="005E3D50" w:rsidRDefault="00100470" w:rsidP="00353033">
            <w:pPr>
              <w:rPr>
                <w:i/>
                <w:iCs/>
                <w:lang w:val="es-ES" w:eastAsia="ja-JP"/>
              </w:rPr>
            </w:pPr>
          </w:p>
          <w:p w14:paraId="71660E3A" w14:textId="0F3C1B74" w:rsidR="00027E58" w:rsidRPr="005E3D50" w:rsidRDefault="00027E58" w:rsidP="00980EC3">
            <w:pPr>
              <w:rPr>
                <w:lang w:val="es-ES" w:eastAsia="ja-JP"/>
              </w:rPr>
            </w:pPr>
          </w:p>
        </w:tc>
      </w:tr>
    </w:tbl>
    <w:p w14:paraId="26DF2999" w14:textId="77777777" w:rsidR="001802DE" w:rsidRPr="005E3D50" w:rsidRDefault="001802DE" w:rsidP="00B8722B">
      <w:pPr>
        <w:rPr>
          <w:lang w:val="es-ES" w:eastAsia="ja-JP"/>
        </w:rPr>
      </w:pPr>
    </w:p>
    <w:p w14:paraId="70FC855B" w14:textId="554C0536" w:rsidR="005A4634" w:rsidRPr="005E3D50" w:rsidRDefault="005A4634" w:rsidP="005A4634">
      <w:pPr>
        <w:pStyle w:val="Caption"/>
        <w:keepNext/>
        <w:rPr>
          <w:lang w:val="es-ES"/>
        </w:rPr>
      </w:pPr>
    </w:p>
    <w:tbl>
      <w:tblPr>
        <w:tblStyle w:val="TableGrid"/>
        <w:tblW w:w="0" w:type="auto"/>
        <w:tblLook w:val="04A0" w:firstRow="1" w:lastRow="0" w:firstColumn="1" w:lastColumn="0" w:noHBand="0" w:noVBand="1"/>
      </w:tblPr>
      <w:tblGrid>
        <w:gridCol w:w="9350"/>
      </w:tblGrid>
      <w:tr w:rsidR="00977BD2" w:rsidRPr="005E3D50" w14:paraId="7388DF61" w14:textId="77777777" w:rsidTr="00977BD2">
        <w:tc>
          <w:tcPr>
            <w:tcW w:w="12950" w:type="dxa"/>
            <w:shd w:val="clear" w:color="auto" w:fill="D1D1D1" w:themeFill="background2" w:themeFillShade="E6"/>
          </w:tcPr>
          <w:p w14:paraId="6D9042DC" w14:textId="5253D7C3" w:rsidR="00AC3E30" w:rsidRPr="005E3D50" w:rsidRDefault="00AC3E30" w:rsidP="00AC3E30">
            <w:pPr>
              <w:spacing w:before="100" w:beforeAutospacing="1" w:after="100" w:afterAutospacing="1"/>
              <w:rPr>
                <w:sz w:val="20"/>
                <w:szCs w:val="20"/>
                <w:lang w:val="es-ES"/>
              </w:rPr>
            </w:pPr>
            <w:r w:rsidRPr="005E3D50">
              <w:rPr>
                <w:sz w:val="20"/>
                <w:szCs w:val="20"/>
                <w:lang w:val="es-ES"/>
              </w:rPr>
              <w:t>Recuadro 26</w:t>
            </w:r>
          </w:p>
          <w:p w14:paraId="7662B315" w14:textId="0AC974BE" w:rsidR="00AC3E30" w:rsidRPr="005E3D50" w:rsidRDefault="00AC3E30" w:rsidP="00AC3E30">
            <w:pPr>
              <w:spacing w:before="100" w:beforeAutospacing="1" w:after="100" w:afterAutospacing="1"/>
              <w:rPr>
                <w:sz w:val="20"/>
                <w:szCs w:val="20"/>
                <w:lang w:val="es-ES"/>
              </w:rPr>
            </w:pPr>
            <w:r w:rsidRPr="005E3D50">
              <w:rPr>
                <w:b/>
                <w:bCs/>
                <w:sz w:val="20"/>
                <w:szCs w:val="20"/>
                <w:lang w:val="es-ES"/>
              </w:rPr>
              <w:t>Progresos de Jordania en la reducción del uso de mercurio y el fortalecimiento del control de las importaciones</w:t>
            </w:r>
          </w:p>
          <w:p w14:paraId="24AE151A"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Jordania ha logrado progresos significativos en la implementación de medidas para reducir el uso de mercurio y de productos que contienen mercurio, al tiempo que ha reforzado el control normativo de su importación, en consonancia con sus compromisos en virtud del Convenio de Minamata sobre el Mercurio y la meta 7 del Marco. Como primer paso, Jordania completó un inventario nacional de mercurio, compuestos de mercurio y productos que contienen mercurio, así como de sus fuentes y usos, en distintos sectores. Sobre la base de esas conclusiones, Jordania preparó su evaluación inicial para la segunda reunión de la Conferencia de las Partes en el Convenio de Minamata sobre el Mercurio, celebrada en 2018, que sentó las bases para fortalecer su marco jurídico e institucional nacional para la gestión del mercurio.</w:t>
            </w:r>
          </w:p>
          <w:p w14:paraId="456C4589"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Tras la evaluación, Jordania modificó varias normativas nacionales que regulan los productos químicos y los desechos peligrosos. En las instrucciones para la gestión y manipulación de desechos peligrosos, publicadas en 2019, los desechos que contienen mercurio se clasificaron como desechos peligrosos y se exigió que su recogida, almacenamiento, transporte y eliminación se realizaran de manera ambientalmente racional para proteger la salud humana y la biodiversidad. Además, en virtud del Reglamento núm. 68 de 2020, se prohibió la importación de mercurio elemental y de compuestos de mercurio.</w:t>
            </w:r>
          </w:p>
          <w:p w14:paraId="65B4705C"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 xml:space="preserve">Jordania también puso en marcha un proyecto titulado “Gestión ambientalmente racional de desechos que contienen mercurio y reducción de los productos que contienen mercurio en Jordania”, en colaboración con la secretaría del Convenio de Minamata sobre el Mercurio y el Programa de las Naciones Unidas para el Medio Ambiente (PNUMA). El proyecto tenía por objeto fortalecer las capacidades </w:t>
            </w:r>
            <w:r w:rsidRPr="005E3D50">
              <w:rPr>
                <w:sz w:val="20"/>
                <w:szCs w:val="20"/>
                <w:lang w:val="es-ES"/>
              </w:rPr>
              <w:lastRenderedPageBreak/>
              <w:t>nacionales para la gestión ambientalmente racional de los productos y desechos que contienen mercurio, así como prevenir la liberación de mercurio al medio ambiente.</w:t>
            </w:r>
          </w:p>
          <w:p w14:paraId="56476039"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Sobre la base de los estudios analíticos realizados durante el proyecto, Jordania prohibió la importación de varios productos con mercurio añadido. Para mejorar la recogida y prevenir la liberación de mercurio al medio ambiente, Jordania estableció 32 puntos de recogida de desechos domésticos que contienen mercurio, incluidas lámparas fluorescentes usadas y desechos eléctricos y electrónicos, en todas las gobernaciones del país. Nueve de esos puntos de recogida se ubicaron en parques públicos para facilitar el acceso de la población y fomentar su eliminación segura por parte de los hogares.</w:t>
            </w:r>
          </w:p>
          <w:p w14:paraId="0B434CA4"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Jordania también ha elaborado un proyecto de plan de acción nacional para eliminar progresivamente el uso de la amalgama dental para 2030, de conformidad con las disposiciones del Convenio de Minamata sobre el Mercurio. Además, el Ministerio de Agricultura prohíbe desde hace muchos años el uso de mercurio en los plaguicidas agrícolas, lo que contribuye a prevenir la contaminación de los suelos y los recursos hídricos, así como a proteger los ecosistemas y la diversidad biológica.</w:t>
            </w:r>
          </w:p>
          <w:p w14:paraId="2FDFF291" w14:textId="77777777" w:rsidR="00FA2B4A" w:rsidRPr="005E3D50" w:rsidRDefault="00FA2B4A" w:rsidP="00FA2B4A">
            <w:pPr>
              <w:spacing w:before="100" w:beforeAutospacing="1" w:after="100" w:afterAutospacing="1"/>
              <w:rPr>
                <w:rFonts w:eastAsia="Times New Roman" w:cs="Times New Roman"/>
                <w:sz w:val="20"/>
                <w:szCs w:val="20"/>
                <w:lang w:val="es-ES"/>
              </w:rPr>
            </w:pPr>
            <w:r w:rsidRPr="005E3D50">
              <w:rPr>
                <w:sz w:val="20"/>
                <w:szCs w:val="20"/>
                <w:lang w:val="es-ES"/>
              </w:rPr>
              <w:t>En conjunto, estas medidas ponen de manifiesto el enfoque integrado del país respecto de la gestión del mercurio a través de reformas legislativas, el fortalecimiento de los controles de importación, la mejora de la infraestructura de gestión de desechos peligrosos, la sensibilización pública y la optimización de los sistemas de recogida. Estas medidas contribuyen directamente a reducir la contaminación, prevenir la liberación de mercurio al medio ambiente, proteger la diversidad biológica y los servicios de los ecosistemas y cumplir las obligaciones de Jordania en virtud del Convenio de Minamata sobre el Mercurio, al tiempo que apoyan la implementación de la meta 7 del Marco.</w:t>
            </w:r>
          </w:p>
          <w:p w14:paraId="19A69AB7" w14:textId="5C5E6B2A" w:rsidR="006C3ABA" w:rsidRPr="005E3D50" w:rsidRDefault="006C3ABA" w:rsidP="00F74FCF">
            <w:pPr>
              <w:spacing w:before="100" w:beforeAutospacing="1" w:after="100" w:afterAutospacing="1"/>
              <w:rPr>
                <w:rFonts w:eastAsia="Times New Roman" w:cs="Times New Roman"/>
                <w:sz w:val="20"/>
                <w:szCs w:val="20"/>
                <w:lang w:val="es-ES"/>
              </w:rPr>
            </w:pPr>
            <w:r w:rsidRPr="005E3D50">
              <w:rPr>
                <w:i/>
                <w:iCs/>
                <w:sz w:val="20"/>
                <w:szCs w:val="20"/>
                <w:lang w:val="es-ES"/>
              </w:rPr>
              <w:t xml:space="preserve">Metas pertinentes: </w:t>
            </w:r>
            <w:r w:rsidRPr="005E3D50">
              <w:rPr>
                <w:sz w:val="20"/>
                <w:szCs w:val="20"/>
                <w:lang w:val="es-ES"/>
              </w:rPr>
              <w:t>7.</w:t>
            </w:r>
          </w:p>
          <w:p w14:paraId="7893B143" w14:textId="0FC656C4" w:rsidR="006C3ABA" w:rsidRPr="005E3D50" w:rsidRDefault="006C3ABA" w:rsidP="00F74FCF">
            <w:pPr>
              <w:spacing w:before="100" w:beforeAutospacing="1" w:after="100" w:afterAutospacing="1"/>
              <w:rPr>
                <w:rFonts w:eastAsia="Times New Roman" w:cs="Times New Roman"/>
                <w:sz w:val="20"/>
                <w:szCs w:val="20"/>
                <w:lang w:val="es-ES"/>
              </w:rPr>
            </w:pPr>
            <w:r w:rsidRPr="005E3D50">
              <w:rPr>
                <w:i/>
                <w:iCs/>
                <w:sz w:val="20"/>
                <w:szCs w:val="20"/>
                <w:lang w:val="es-ES"/>
              </w:rPr>
              <w:t xml:space="preserve">Fuente: </w:t>
            </w:r>
            <w:r w:rsidRPr="005E3D50">
              <w:rPr>
                <w:sz w:val="20"/>
                <w:szCs w:val="20"/>
                <w:lang w:val="es-ES"/>
              </w:rPr>
              <w:t>Jordania, séptimo informe nacional presentado al Convenio.</w:t>
            </w:r>
          </w:p>
          <w:p w14:paraId="573DA8FD" w14:textId="77777777" w:rsidR="00977BD2" w:rsidRPr="005E3D50" w:rsidRDefault="00977BD2" w:rsidP="00B8722B">
            <w:pPr>
              <w:rPr>
                <w:lang w:val="es-ES" w:eastAsia="ja-JP"/>
              </w:rPr>
            </w:pPr>
          </w:p>
        </w:tc>
      </w:tr>
    </w:tbl>
    <w:p w14:paraId="0C554EB9" w14:textId="77777777" w:rsidR="00977BD2" w:rsidRPr="005E3D50" w:rsidRDefault="00977BD2" w:rsidP="00B8722B">
      <w:pPr>
        <w:rPr>
          <w:lang w:val="es-ES" w:eastAsia="ja-JP"/>
        </w:rPr>
      </w:pPr>
    </w:p>
    <w:p w14:paraId="5B453414" w14:textId="68996C36" w:rsidR="00C577F7" w:rsidRPr="005E3D50" w:rsidRDefault="00C577F7" w:rsidP="00C577F7">
      <w:pPr>
        <w:pStyle w:val="Heading6"/>
        <w:rPr>
          <w:lang w:val="es-ES"/>
        </w:rPr>
      </w:pPr>
      <w:bookmarkStart w:id="251" w:name="_Toc235821136"/>
      <w:r w:rsidRPr="005E3D50">
        <w:rPr>
          <w:lang w:val="es-ES"/>
        </w:rPr>
        <w:t>D</w:t>
      </w:r>
      <w:r w:rsidR="00C4532F">
        <w:rPr>
          <w:lang w:val="es-ES"/>
        </w:rPr>
        <w:t>ificultade</w:t>
      </w:r>
      <w:r w:rsidRPr="005E3D50">
        <w:rPr>
          <w:lang w:val="es-ES"/>
        </w:rPr>
        <w:t>s</w:t>
      </w:r>
      <w:bookmarkEnd w:id="251"/>
    </w:p>
    <w:p w14:paraId="58480E8B" w14:textId="77777777" w:rsidR="00B22558" w:rsidRPr="005E3D50" w:rsidRDefault="00B22558" w:rsidP="00B22558">
      <w:pPr>
        <w:rPr>
          <w:rStyle w:val="normaltextrun"/>
          <w:rFonts w:ascii="Aptos" w:hAnsi="Aptos" w:cs="Segoe UI"/>
          <w:lang w:val="es-ES"/>
        </w:rPr>
      </w:pPr>
    </w:p>
    <w:p w14:paraId="1562061B" w14:textId="46FE157F" w:rsidR="00B22558" w:rsidRPr="005E3D50" w:rsidRDefault="00B22558" w:rsidP="00B22558">
      <w:pPr>
        <w:rPr>
          <w:rFonts w:ascii="Segoe UI" w:hAnsi="Segoe UI" w:cs="Segoe UI"/>
          <w:sz w:val="18"/>
          <w:szCs w:val="18"/>
          <w:lang w:val="es-ES"/>
        </w:rPr>
      </w:pPr>
      <w:r w:rsidRPr="005E3D50">
        <w:rPr>
          <w:rStyle w:val="normaltextrun"/>
          <w:rFonts w:ascii="Aptos" w:hAnsi="Aptos"/>
          <w:lang w:val="es-ES"/>
        </w:rPr>
        <w:t>Las Partes señalaron la tensión existente entre la eliminación progresiva de productos peligrosos y la protección de la seguridad alimentaria y los medios de vida de los agricultores. Incluso en situaciones en que existen marcos jurídicos para reducir la contaminación, las medidas para hacerlos cumplir suelen ser débiles y la capacidad de implementación puede ser insuficiente. </w:t>
      </w:r>
      <w:r w:rsidR="00EC5D88" w:rsidRPr="005E3D50">
        <w:rPr>
          <w:rStyle w:val="normaltextrun"/>
          <w:rFonts w:ascii="Aptos" w:hAnsi="Aptos"/>
          <w:lang w:val="es-ES"/>
        </w:rPr>
        <w:t>Además, v</w:t>
      </w:r>
      <w:r w:rsidRPr="005E3D50">
        <w:rPr>
          <w:rStyle w:val="normaltextrun"/>
          <w:rFonts w:ascii="Aptos" w:hAnsi="Aptos"/>
          <w:lang w:val="es-ES"/>
        </w:rPr>
        <w:t xml:space="preserve">arias Partes señalan que la financiación nacional insuficiente constituye un obstáculo importante para la implementación. Varias Partes, especialmente países en desarrollo, señalan que la infraestructura inadecuada de tratamiento de aguas residuales constituye un problema persistente. Algunas Partes mencionan la dificultad particular que plantea evaluar la recuperación de las especies tras la contaminación costera y marina causada por accidentes marítimos. Muchas Partes reconocen que la insuficiente capacidad de seguimiento constituye un obstáculo para evaluar los progresos hacia la </w:t>
      </w:r>
      <w:r w:rsidR="006060E2">
        <w:rPr>
          <w:rStyle w:val="normaltextrun"/>
          <w:rFonts w:ascii="Aptos" w:hAnsi="Aptos"/>
          <w:lang w:val="es-ES"/>
        </w:rPr>
        <w:t xml:space="preserve">consecución de la </w:t>
      </w:r>
      <w:r w:rsidRPr="005E3D50">
        <w:rPr>
          <w:rStyle w:val="normaltextrun"/>
          <w:rFonts w:ascii="Aptos" w:hAnsi="Aptos"/>
          <w:lang w:val="es-ES"/>
        </w:rPr>
        <w:t xml:space="preserve">meta 7, incluida la falta de datos sobre la </w:t>
      </w:r>
      <w:r w:rsidRPr="005E3D50">
        <w:rPr>
          <w:rStyle w:val="normaltextrun"/>
          <w:rFonts w:ascii="Aptos" w:hAnsi="Aptos"/>
          <w:lang w:val="es-ES"/>
        </w:rPr>
        <w:lastRenderedPageBreak/>
        <w:t xml:space="preserve">contaminación procedente de todas las fuentes, así como la falta de datos sobre la venta y aplicación de plaguicidas y fertilizantes sintéticos. </w:t>
      </w:r>
    </w:p>
    <w:p w14:paraId="39B7A1D0" w14:textId="77777777" w:rsidR="001802DE" w:rsidRPr="005E3D50" w:rsidRDefault="001802DE" w:rsidP="00C36B3B">
      <w:pPr>
        <w:rPr>
          <w:lang w:val="es-ES" w:eastAsia="ja-JP"/>
        </w:rPr>
      </w:pPr>
    </w:p>
    <w:p w14:paraId="470DE7E5" w14:textId="66EFB126" w:rsidR="00C577F7" w:rsidRPr="005E3D50" w:rsidRDefault="00C577F7" w:rsidP="00C577F7">
      <w:pPr>
        <w:pStyle w:val="Heading5"/>
        <w:rPr>
          <w:lang w:val="es-ES"/>
        </w:rPr>
      </w:pPr>
      <w:bookmarkStart w:id="252" w:name="_Toc235821137"/>
      <w:r w:rsidRPr="005E3D50">
        <w:rPr>
          <w:lang w:val="es-ES"/>
        </w:rPr>
        <w:t>Contribuciones de actores distintos de los Gobiernos nacionales</w:t>
      </w:r>
      <w:bookmarkEnd w:id="252"/>
    </w:p>
    <w:p w14:paraId="2FA65D1C" w14:textId="77777777" w:rsidR="006F45DD" w:rsidRPr="005E3D50" w:rsidRDefault="006F45DD" w:rsidP="00814AF1">
      <w:pPr>
        <w:pStyle w:val="Heading6"/>
        <w:rPr>
          <w:lang w:val="es-ES" w:eastAsia="ja-JP"/>
        </w:rPr>
      </w:pPr>
    </w:p>
    <w:p w14:paraId="5DEA7C5A" w14:textId="67A3CF47" w:rsidR="00C44D3E" w:rsidRPr="005E3D50" w:rsidRDefault="00C44D3E" w:rsidP="00814AF1">
      <w:pPr>
        <w:pStyle w:val="Heading6"/>
        <w:rPr>
          <w:lang w:val="es-ES"/>
        </w:rPr>
      </w:pPr>
      <w:bookmarkStart w:id="253" w:name="_Toc235821138"/>
      <w:r w:rsidRPr="005E3D50">
        <w:rPr>
          <w:lang w:val="es-ES"/>
        </w:rPr>
        <w:t>Compromisos presentados directamente a través de la herramienta de presentación de informes en línea</w:t>
      </w:r>
      <w:bookmarkEnd w:id="253"/>
    </w:p>
    <w:p w14:paraId="14D4D248" w14:textId="77777777" w:rsidR="009B19C1" w:rsidRPr="005E3D50" w:rsidRDefault="009B19C1" w:rsidP="009B19C1">
      <w:pPr>
        <w:rPr>
          <w:lang w:val="es-ES" w:eastAsia="ja-JP"/>
        </w:rPr>
      </w:pPr>
    </w:p>
    <w:p w14:paraId="3239FE1D" w14:textId="785BFA25" w:rsidR="009B19C1" w:rsidRPr="005E3D50" w:rsidRDefault="009B19C1" w:rsidP="009B19C1">
      <w:pPr>
        <w:rPr>
          <w:lang w:val="es-ES"/>
        </w:rPr>
      </w:pPr>
      <w:r w:rsidRPr="005E3D50">
        <w:rPr>
          <w:lang w:val="es-ES"/>
        </w:rPr>
        <w:t>De los 180 compromisos sustantivos comunicados por actores distintos de los Gobiernos nacionales, solo 5 están asociados principalmente con la meta 7. Tres de ellos fueron comunicados por una única empresa privada (véase el recuadro 27), 1 por una ONG y 1 por una institución de investigación. Los tres compromisos empresariales tienen alcance mundial, el compromiso de la ONG se centra en Dinamarca y el compromiso de la institución de investigación (CGIAR) abarca África, América del Sur y Asia.</w:t>
      </w:r>
    </w:p>
    <w:p w14:paraId="571C4C95" w14:textId="5D3415ED" w:rsidR="009B19C1" w:rsidRPr="005E3D50" w:rsidRDefault="009B19C1" w:rsidP="009B19C1">
      <w:pPr>
        <w:rPr>
          <w:lang w:val="es-ES"/>
        </w:rPr>
      </w:pPr>
      <w:r w:rsidRPr="005E3D50">
        <w:rPr>
          <w:lang w:val="es-ES"/>
        </w:rPr>
        <w:t xml:space="preserve"> </w:t>
      </w:r>
    </w:p>
    <w:p w14:paraId="2D48A6AA" w14:textId="3E9E5A84" w:rsidR="00CC344E" w:rsidRPr="005E3D50" w:rsidRDefault="00CC344E" w:rsidP="00CC344E">
      <w:pPr>
        <w:pStyle w:val="Caption"/>
        <w:keepNext/>
        <w:rPr>
          <w:lang w:val="es-ES"/>
        </w:rPr>
      </w:pPr>
      <w:r w:rsidRPr="005E3D50">
        <w:rPr>
          <w:lang w:val="es-ES"/>
        </w:rPr>
        <w:t>(II.B.7-NSA-VEOLIA): Veolia: una empresa transnacional que aborda la contaminación y los desechos en operaciones en todo el mundo</w:t>
      </w:r>
    </w:p>
    <w:tbl>
      <w:tblPr>
        <w:tblStyle w:val="TableGrid"/>
        <w:tblW w:w="0" w:type="auto"/>
        <w:tblLook w:val="04A0" w:firstRow="1" w:lastRow="0" w:firstColumn="1" w:lastColumn="0" w:noHBand="0" w:noVBand="1"/>
      </w:tblPr>
      <w:tblGrid>
        <w:gridCol w:w="9016"/>
      </w:tblGrid>
      <w:tr w:rsidR="00FB74C0" w:rsidRPr="005E3D50" w14:paraId="5E3AC339" w14:textId="77777777" w:rsidTr="38573CF5">
        <w:tc>
          <w:tcPr>
            <w:tcW w:w="9016" w:type="dxa"/>
            <w:shd w:val="clear" w:color="auto" w:fill="E8E8E8" w:themeFill="background2"/>
          </w:tcPr>
          <w:p w14:paraId="65084EBE" w14:textId="77777777" w:rsidR="00C73769" w:rsidRPr="005E3D50" w:rsidRDefault="00C73769" w:rsidP="00C73769">
            <w:pPr>
              <w:rPr>
                <w:rFonts w:ascii="Aptos" w:hAnsi="Aptos"/>
                <w:color w:val="212121"/>
                <w:sz w:val="22"/>
                <w:szCs w:val="22"/>
                <w:lang w:val="es-ES"/>
              </w:rPr>
            </w:pPr>
          </w:p>
          <w:p w14:paraId="0456BF95" w14:textId="35252FE9" w:rsidR="009B19C1" w:rsidRPr="005E3D50" w:rsidRDefault="009B19C1" w:rsidP="00C73769">
            <w:pPr>
              <w:rPr>
                <w:sz w:val="20"/>
                <w:szCs w:val="20"/>
                <w:lang w:val="es-ES"/>
              </w:rPr>
            </w:pPr>
            <w:r w:rsidRPr="005E3D50">
              <w:rPr>
                <w:sz w:val="20"/>
                <w:szCs w:val="20"/>
                <w:lang w:val="es-ES"/>
              </w:rPr>
              <w:t>Recuadro 27</w:t>
            </w:r>
          </w:p>
          <w:p w14:paraId="44FC97B8" w14:textId="77777777" w:rsidR="0068148B" w:rsidRPr="005E3D50" w:rsidRDefault="0068148B" w:rsidP="00C73769">
            <w:pPr>
              <w:rPr>
                <w:sz w:val="20"/>
                <w:szCs w:val="20"/>
                <w:lang w:val="es-ES"/>
              </w:rPr>
            </w:pPr>
          </w:p>
          <w:p w14:paraId="1B0A6ABC" w14:textId="77777777" w:rsidR="0068148B" w:rsidRPr="005E3D50" w:rsidRDefault="0068148B" w:rsidP="0068148B">
            <w:pPr>
              <w:rPr>
                <w:rFonts w:ascii="Aptos" w:hAnsi="Aptos"/>
                <w:b/>
                <w:bCs/>
                <w:color w:val="212121"/>
                <w:sz w:val="20"/>
                <w:szCs w:val="20"/>
                <w:lang w:val="es-ES"/>
              </w:rPr>
            </w:pPr>
            <w:r w:rsidRPr="005E3D50">
              <w:rPr>
                <w:b/>
                <w:bCs/>
                <w:sz w:val="20"/>
                <w:szCs w:val="20"/>
                <w:lang w:val="es-ES"/>
              </w:rPr>
              <w:t>Veolia: una empresa transnacional que aborda la contaminación y los desechos en operaciones en todo el mundo</w:t>
            </w:r>
          </w:p>
          <w:p w14:paraId="0CB1B8F1" w14:textId="77777777" w:rsidR="009B19C1" w:rsidRPr="005E3D50" w:rsidRDefault="009B19C1" w:rsidP="00C73769">
            <w:pPr>
              <w:rPr>
                <w:rFonts w:ascii="Aptos" w:hAnsi="Aptos"/>
                <w:color w:val="212121"/>
                <w:sz w:val="22"/>
                <w:szCs w:val="22"/>
                <w:lang w:val="es-ES"/>
              </w:rPr>
            </w:pPr>
          </w:p>
          <w:p w14:paraId="24C265E1" w14:textId="58C0E1CD" w:rsidR="00B87440" w:rsidRPr="005E3D50" w:rsidRDefault="00B87440" w:rsidP="00B87440">
            <w:pPr>
              <w:rPr>
                <w:rFonts w:ascii="Aptos" w:hAnsi="Aptos"/>
                <w:color w:val="212121"/>
                <w:sz w:val="22"/>
                <w:szCs w:val="22"/>
                <w:lang w:val="es-ES"/>
              </w:rPr>
            </w:pPr>
            <w:r w:rsidRPr="005E3D50">
              <w:rPr>
                <w:color w:val="212121"/>
                <w:sz w:val="22"/>
                <w:szCs w:val="22"/>
                <w:lang w:val="es-ES"/>
              </w:rPr>
              <w:t xml:space="preserve">Veolia SA, </w:t>
            </w:r>
            <w:r w:rsidR="00A56046" w:rsidRPr="005E3D50">
              <w:rPr>
                <w:color w:val="212121"/>
                <w:sz w:val="22"/>
                <w:szCs w:val="22"/>
                <w:lang w:val="es-ES"/>
              </w:rPr>
              <w:t xml:space="preserve">una </w:t>
            </w:r>
            <w:r w:rsidRPr="005E3D50">
              <w:rPr>
                <w:color w:val="212121"/>
                <w:sz w:val="22"/>
                <w:szCs w:val="22"/>
                <w:lang w:val="es-ES"/>
              </w:rPr>
              <w:t>empresa multinacional francesa especializada en servicios de gestión del agua, los desechos y la energía, ha presentado ocho compromisos complementarios de alcance mundial para el período comprendido entre 2024 y 2027.</w:t>
            </w:r>
            <w:r w:rsidRPr="005E3D50">
              <w:rPr>
                <w:rFonts w:ascii="Aptos" w:hAnsi="Aptos"/>
                <w:color w:val="212121"/>
                <w:sz w:val="22"/>
                <w:szCs w:val="22"/>
                <w:lang w:val="es-ES"/>
              </w:rPr>
              <w:t xml:space="preserve"> </w:t>
            </w:r>
            <w:r w:rsidRPr="005E3D50">
              <w:rPr>
                <w:color w:val="212121"/>
                <w:sz w:val="22"/>
                <w:szCs w:val="22"/>
                <w:lang w:val="es-ES"/>
              </w:rPr>
              <w:t xml:space="preserve">Estos incluyen la reducción de la contaminación mediante la eliminación de productos fitosanitarios (plaguicidas, herbicidas y fungicidas) en el 95 % de sus instalaciones; una meta de eficiencia del tratamiento de aguas residuales </w:t>
            </w:r>
            <w:r w:rsidR="003E2C1F" w:rsidRPr="005E3D50">
              <w:rPr>
                <w:color w:val="212121"/>
                <w:sz w:val="22"/>
                <w:szCs w:val="22"/>
                <w:lang w:val="es-ES"/>
              </w:rPr>
              <w:t>consistente en alcanzar un</w:t>
            </w:r>
            <w:r w:rsidRPr="005E3D50">
              <w:rPr>
                <w:color w:val="212121"/>
                <w:sz w:val="22"/>
                <w:szCs w:val="22"/>
                <w:lang w:val="es-ES"/>
              </w:rPr>
              <w:t xml:space="preserve"> rendimiento de depuración de la demanda química de oxígeno</w:t>
            </w:r>
            <w:r w:rsidR="003E2C1F" w:rsidRPr="005E3D50">
              <w:rPr>
                <w:color w:val="212121"/>
                <w:sz w:val="22"/>
                <w:szCs w:val="22"/>
                <w:lang w:val="es-ES"/>
              </w:rPr>
              <w:t xml:space="preserve"> del 92 % </w:t>
            </w:r>
            <w:r w:rsidRPr="005E3D50">
              <w:rPr>
                <w:color w:val="212121"/>
                <w:sz w:val="22"/>
                <w:szCs w:val="22"/>
                <w:lang w:val="es-ES"/>
              </w:rPr>
              <w:t>en sus grandes plantas de tratamiento de aguas residuales (más de 100.000 habitantes equivalentes); y el tratamiento de 10 millones de toneladas métricas de desechos peligrosos, entre otras cosas mediante el reciclaje de baterías de litio y plástico.</w:t>
            </w:r>
          </w:p>
          <w:p w14:paraId="50CB225C" w14:textId="5B5CBD7B" w:rsidR="00B87440" w:rsidRPr="005E3D50" w:rsidRDefault="00B87440" w:rsidP="00B87440">
            <w:pPr>
              <w:rPr>
                <w:rFonts w:ascii="Aptos" w:hAnsi="Aptos"/>
                <w:color w:val="212121"/>
                <w:sz w:val="22"/>
                <w:szCs w:val="22"/>
                <w:lang w:val="es-ES"/>
              </w:rPr>
            </w:pPr>
            <w:r w:rsidRPr="005E3D50">
              <w:rPr>
                <w:rFonts w:ascii="Aptos" w:hAnsi="Aptos"/>
                <w:color w:val="212121"/>
                <w:sz w:val="22"/>
                <w:szCs w:val="22"/>
                <w:lang w:val="es-ES"/>
              </w:rPr>
              <w:br/>
              <w:t xml:space="preserve">En lo que respecta a la biodiversidad, Veolia se ha comprometido a </w:t>
            </w:r>
            <w:r w:rsidR="00EB27E4" w:rsidRPr="005E3D50">
              <w:rPr>
                <w:rFonts w:ascii="Aptos" w:hAnsi="Aptos"/>
                <w:color w:val="212121"/>
                <w:sz w:val="22"/>
                <w:szCs w:val="22"/>
                <w:lang w:val="es-ES"/>
              </w:rPr>
              <w:t>implementar</w:t>
            </w:r>
            <w:r w:rsidRPr="005E3D50">
              <w:rPr>
                <w:rFonts w:ascii="Aptos" w:hAnsi="Aptos"/>
                <w:color w:val="212121"/>
                <w:sz w:val="22"/>
                <w:szCs w:val="22"/>
                <w:lang w:val="es-ES"/>
              </w:rPr>
              <w:t xml:space="preserve"> su Carta de </w:t>
            </w:r>
            <w:r w:rsidR="00B66DC7" w:rsidRPr="005E3D50">
              <w:rPr>
                <w:rFonts w:ascii="Aptos" w:hAnsi="Aptos"/>
                <w:color w:val="212121"/>
                <w:sz w:val="22"/>
                <w:szCs w:val="22"/>
                <w:lang w:val="es-ES"/>
              </w:rPr>
              <w:t>e</w:t>
            </w:r>
            <w:r w:rsidRPr="005E3D50">
              <w:rPr>
                <w:rFonts w:ascii="Aptos" w:hAnsi="Aptos"/>
                <w:color w:val="212121"/>
                <w:sz w:val="22"/>
                <w:szCs w:val="22"/>
                <w:lang w:val="es-ES"/>
              </w:rPr>
              <w:t xml:space="preserve">spacios </w:t>
            </w:r>
            <w:r w:rsidR="00B66DC7" w:rsidRPr="005E3D50">
              <w:rPr>
                <w:rFonts w:ascii="Aptos" w:hAnsi="Aptos"/>
                <w:color w:val="212121"/>
                <w:sz w:val="22"/>
                <w:szCs w:val="22"/>
                <w:lang w:val="es-ES"/>
              </w:rPr>
              <w:t>v</w:t>
            </w:r>
            <w:r w:rsidRPr="005E3D50">
              <w:rPr>
                <w:rFonts w:ascii="Aptos" w:hAnsi="Aptos"/>
                <w:color w:val="212121"/>
                <w:sz w:val="22"/>
                <w:szCs w:val="22"/>
                <w:lang w:val="es-ES"/>
              </w:rPr>
              <w:t>erdes, elaborada junto con la UICN, en el 95 % de sus emplazamientos con más de una hectárea de espacio</w:t>
            </w:r>
            <w:r w:rsidR="00EB27E4" w:rsidRPr="005E3D50">
              <w:rPr>
                <w:rFonts w:ascii="Aptos" w:hAnsi="Aptos"/>
                <w:color w:val="212121"/>
                <w:sz w:val="22"/>
                <w:szCs w:val="22"/>
                <w:lang w:val="es-ES"/>
              </w:rPr>
              <w:t>s</w:t>
            </w:r>
            <w:r w:rsidRPr="005E3D50">
              <w:rPr>
                <w:rFonts w:ascii="Aptos" w:hAnsi="Aptos"/>
                <w:color w:val="212121"/>
                <w:sz w:val="22"/>
                <w:szCs w:val="22"/>
                <w:lang w:val="es-ES"/>
              </w:rPr>
              <w:t xml:space="preserve"> verde</w:t>
            </w:r>
            <w:r w:rsidR="00EB27E4" w:rsidRPr="005E3D50">
              <w:rPr>
                <w:rFonts w:ascii="Aptos" w:hAnsi="Aptos"/>
                <w:color w:val="212121"/>
                <w:sz w:val="22"/>
                <w:szCs w:val="22"/>
                <w:lang w:val="es-ES"/>
              </w:rPr>
              <w:t>s</w:t>
            </w:r>
            <w:r w:rsidRPr="005E3D50">
              <w:rPr>
                <w:rFonts w:ascii="Aptos" w:hAnsi="Aptos"/>
                <w:color w:val="212121"/>
                <w:sz w:val="22"/>
                <w:szCs w:val="22"/>
                <w:lang w:val="es-ES"/>
              </w:rPr>
              <w:t xml:space="preserve">, así como a realizar evaluaciones de la huella de biodiversidad y a </w:t>
            </w:r>
            <w:r w:rsidR="00EB27E4" w:rsidRPr="005E3D50">
              <w:rPr>
                <w:rFonts w:ascii="Aptos" w:hAnsi="Aptos"/>
                <w:color w:val="212121"/>
                <w:sz w:val="22"/>
                <w:szCs w:val="22"/>
                <w:lang w:val="es-ES"/>
              </w:rPr>
              <w:t>implementar</w:t>
            </w:r>
            <w:r w:rsidRPr="005E3D50">
              <w:rPr>
                <w:rFonts w:ascii="Aptos" w:hAnsi="Aptos"/>
                <w:color w:val="212121"/>
                <w:sz w:val="22"/>
                <w:szCs w:val="22"/>
                <w:lang w:val="es-ES"/>
              </w:rPr>
              <w:t xml:space="preserve"> planes de acción (con el objetivo de alcanzar una tasa </w:t>
            </w:r>
            <w:r w:rsidR="00EB27E4" w:rsidRPr="005E3D50">
              <w:rPr>
                <w:rFonts w:ascii="Aptos" w:hAnsi="Aptos"/>
                <w:color w:val="212121"/>
                <w:sz w:val="22"/>
                <w:szCs w:val="22"/>
                <w:lang w:val="es-ES"/>
              </w:rPr>
              <w:t xml:space="preserve">global </w:t>
            </w:r>
            <w:r w:rsidRPr="005E3D50">
              <w:rPr>
                <w:rFonts w:ascii="Aptos" w:hAnsi="Aptos"/>
                <w:color w:val="212121"/>
                <w:sz w:val="22"/>
                <w:szCs w:val="22"/>
                <w:lang w:val="es-ES"/>
              </w:rPr>
              <w:t xml:space="preserve">de </w:t>
            </w:r>
            <w:r w:rsidR="00EB27E4" w:rsidRPr="005E3D50">
              <w:rPr>
                <w:rFonts w:ascii="Aptos" w:hAnsi="Aptos"/>
                <w:color w:val="212121"/>
                <w:sz w:val="22"/>
                <w:szCs w:val="22"/>
                <w:lang w:val="es-ES"/>
              </w:rPr>
              <w:t>implementación</w:t>
            </w:r>
            <w:r w:rsidRPr="005E3D50">
              <w:rPr>
                <w:rFonts w:ascii="Aptos" w:hAnsi="Aptos"/>
                <w:color w:val="212121"/>
                <w:sz w:val="22"/>
                <w:szCs w:val="22"/>
                <w:lang w:val="es-ES"/>
              </w:rPr>
              <w:t xml:space="preserve"> del 85 %) en la totalidad de sus aproximadamente 150 emplazamientos sensibles.</w:t>
            </w:r>
          </w:p>
          <w:p w14:paraId="1BF1F10D" w14:textId="6645FF42" w:rsidR="00B87440" w:rsidRPr="005E3D50" w:rsidRDefault="00B87440" w:rsidP="00B87440">
            <w:pPr>
              <w:rPr>
                <w:rFonts w:ascii="Aptos" w:hAnsi="Aptos"/>
                <w:color w:val="212121"/>
                <w:sz w:val="22"/>
                <w:szCs w:val="22"/>
                <w:lang w:val="es-ES"/>
              </w:rPr>
            </w:pPr>
            <w:r w:rsidRPr="005E3D50">
              <w:rPr>
                <w:rFonts w:ascii="Aptos" w:hAnsi="Aptos"/>
                <w:color w:val="212121"/>
                <w:sz w:val="22"/>
                <w:szCs w:val="22"/>
                <w:lang w:val="es-ES"/>
              </w:rPr>
              <w:lastRenderedPageBreak/>
              <w:br/>
              <w:t>Los compromisos relativos a los recursos naturales incluyen preservar 1.500 millones de metros cúbicos de agua dulce mediante la reutilización, la desalinización y la reducción de las fugas de agua, junto con una política de deforestación cero y el abastecimiento de madera totalmente trazable y certificada para su cadena energética. Todos los compromisos se apoyan en una trayectoria hacia el logro de cero emisiones netas para 2050 y son objeto de un seguimiento anual mediante la presentación de inform</w:t>
            </w:r>
            <w:r w:rsidR="00653BF5" w:rsidRPr="005E3D50">
              <w:rPr>
                <w:rFonts w:ascii="Aptos" w:hAnsi="Aptos"/>
                <w:color w:val="212121"/>
                <w:sz w:val="22"/>
                <w:szCs w:val="22"/>
                <w:lang w:val="es-ES"/>
              </w:rPr>
              <w:t>es</w:t>
            </w:r>
            <w:r w:rsidRPr="005E3D50">
              <w:rPr>
                <w:rFonts w:ascii="Aptos" w:hAnsi="Aptos"/>
                <w:color w:val="212121"/>
                <w:sz w:val="22"/>
                <w:szCs w:val="22"/>
                <w:lang w:val="es-ES"/>
              </w:rPr>
              <w:t xml:space="preserve"> sobre sostenibilidad </w:t>
            </w:r>
            <w:r w:rsidR="00653BF5" w:rsidRPr="005E3D50">
              <w:rPr>
                <w:rFonts w:ascii="Aptos" w:hAnsi="Aptos"/>
                <w:color w:val="212121"/>
                <w:sz w:val="22"/>
                <w:szCs w:val="22"/>
                <w:lang w:val="es-ES"/>
              </w:rPr>
              <w:t xml:space="preserve">corporativa </w:t>
            </w:r>
            <w:r w:rsidRPr="005E3D50">
              <w:rPr>
                <w:rFonts w:ascii="Aptos" w:hAnsi="Aptos"/>
                <w:color w:val="212121"/>
                <w:sz w:val="22"/>
                <w:szCs w:val="22"/>
                <w:lang w:val="es-ES"/>
              </w:rPr>
              <w:t>de Veolia.</w:t>
            </w:r>
          </w:p>
          <w:p w14:paraId="1B3904A1" w14:textId="77777777" w:rsidR="00594409" w:rsidRPr="005E3D50" w:rsidRDefault="00594409" w:rsidP="00C73769">
            <w:pPr>
              <w:rPr>
                <w:rFonts w:ascii="Aptos" w:hAnsi="Aptos"/>
                <w:color w:val="212121"/>
                <w:sz w:val="22"/>
                <w:szCs w:val="22"/>
                <w:lang w:val="es-ES"/>
              </w:rPr>
            </w:pPr>
          </w:p>
          <w:p w14:paraId="66B5D132" w14:textId="39616A02" w:rsidR="00594409" w:rsidRPr="005E3D50" w:rsidRDefault="00594409" w:rsidP="00C73769">
            <w:pPr>
              <w:rPr>
                <w:rFonts w:ascii="Aptos" w:hAnsi="Aptos"/>
                <w:color w:val="212121"/>
                <w:sz w:val="20"/>
                <w:szCs w:val="20"/>
                <w:lang w:val="es-ES"/>
              </w:rPr>
            </w:pPr>
            <w:r w:rsidRPr="005E3D50">
              <w:rPr>
                <w:rFonts w:ascii="Aptos" w:hAnsi="Aptos"/>
                <w:i/>
                <w:iCs/>
                <w:color w:val="212121"/>
                <w:sz w:val="20"/>
                <w:szCs w:val="20"/>
                <w:lang w:val="es-ES"/>
              </w:rPr>
              <w:t xml:space="preserve">Metas pertinentes: </w:t>
            </w:r>
            <w:r w:rsidRPr="005E3D50">
              <w:rPr>
                <w:rFonts w:ascii="Aptos" w:hAnsi="Aptos"/>
                <w:color w:val="212121"/>
                <w:sz w:val="20"/>
                <w:szCs w:val="20"/>
                <w:lang w:val="es-ES"/>
              </w:rPr>
              <w:t>7, 8, 10, 12, 15 y 16.</w:t>
            </w:r>
          </w:p>
          <w:p w14:paraId="762A85E6" w14:textId="31BAFA7A" w:rsidR="00CB39FC" w:rsidRPr="005E3D50" w:rsidRDefault="73AABA35" w:rsidP="38573CF5">
            <w:pPr>
              <w:rPr>
                <w:sz w:val="18"/>
                <w:szCs w:val="18"/>
                <w:lang w:val="es-ES"/>
              </w:rPr>
            </w:pPr>
            <w:r w:rsidRPr="005E3D50">
              <w:rPr>
                <w:rFonts w:ascii="Aptos" w:hAnsi="Aptos"/>
                <w:i/>
                <w:iCs/>
                <w:color w:val="212121"/>
                <w:sz w:val="18"/>
                <w:szCs w:val="18"/>
                <w:lang w:val="es-ES"/>
              </w:rPr>
              <w:t>Fuente:</w:t>
            </w:r>
            <w:r w:rsidRPr="005E3D50">
              <w:rPr>
                <w:rFonts w:ascii="Aptos" w:hAnsi="Aptos"/>
                <w:color w:val="212121"/>
                <w:sz w:val="18"/>
                <w:szCs w:val="18"/>
                <w:lang w:val="es-ES"/>
              </w:rPr>
              <w:t xml:space="preserve"> Veolia, compromiso de interesados (disponibles en </w:t>
            </w:r>
            <w:hyperlink r:id="rId99" w:history="1">
              <w:r w:rsidRPr="005E3D50">
                <w:rPr>
                  <w:rStyle w:val="Hyperlink"/>
                  <w:sz w:val="18"/>
                  <w:szCs w:val="18"/>
                  <w:lang w:val="es-ES"/>
                </w:rPr>
                <w:t>https://ort.cbd.int/database/287708</w:t>
              </w:r>
            </w:hyperlink>
            <w:r w:rsidRPr="005E3D50">
              <w:rPr>
                <w:rStyle w:val="FootnoteTextChar"/>
                <w:sz w:val="18"/>
                <w:szCs w:val="18"/>
                <w:lang w:val="es-ES"/>
              </w:rPr>
              <w:t xml:space="preserve">, </w:t>
            </w:r>
            <w:hyperlink r:id="rId100">
              <w:r w:rsidRPr="005E3D50">
                <w:rPr>
                  <w:rStyle w:val="Hyperlink"/>
                  <w:sz w:val="18"/>
                  <w:szCs w:val="18"/>
                  <w:lang w:val="es-ES"/>
                </w:rPr>
                <w:t>https://ort.cbd.int/database/287712</w:t>
              </w:r>
            </w:hyperlink>
            <w:r w:rsidRPr="005E3D50">
              <w:rPr>
                <w:rStyle w:val="FootnoteTextChar"/>
                <w:sz w:val="18"/>
                <w:szCs w:val="18"/>
                <w:lang w:val="es-ES"/>
              </w:rPr>
              <w:t xml:space="preserve">, </w:t>
            </w:r>
            <w:hyperlink r:id="rId101">
              <w:r w:rsidRPr="005E3D50">
                <w:rPr>
                  <w:rStyle w:val="Hyperlink"/>
                  <w:sz w:val="18"/>
                  <w:szCs w:val="18"/>
                  <w:lang w:val="es-ES"/>
                </w:rPr>
                <w:t>https://ort.cbd.int/database/287714</w:t>
              </w:r>
            </w:hyperlink>
            <w:r w:rsidRPr="005E3D50">
              <w:rPr>
                <w:rStyle w:val="FootnoteTextChar"/>
                <w:sz w:val="18"/>
                <w:szCs w:val="18"/>
                <w:lang w:val="es-ES"/>
              </w:rPr>
              <w:t xml:space="preserve">, </w:t>
            </w:r>
            <w:hyperlink r:id="rId102">
              <w:r w:rsidRPr="005E3D50">
                <w:rPr>
                  <w:rStyle w:val="Hyperlink"/>
                  <w:sz w:val="18"/>
                  <w:szCs w:val="18"/>
                  <w:lang w:val="es-ES"/>
                </w:rPr>
                <w:t>https://ort.cbd.int/database/287709</w:t>
              </w:r>
            </w:hyperlink>
            <w:r w:rsidRPr="005E3D50">
              <w:rPr>
                <w:rStyle w:val="FootnoteTextChar"/>
                <w:sz w:val="18"/>
                <w:szCs w:val="18"/>
                <w:lang w:val="es-ES"/>
              </w:rPr>
              <w:t xml:space="preserve">, </w:t>
            </w:r>
            <w:hyperlink r:id="rId103">
              <w:r w:rsidRPr="005E3D50">
                <w:rPr>
                  <w:rStyle w:val="Hyperlink"/>
                  <w:sz w:val="18"/>
                  <w:szCs w:val="18"/>
                  <w:lang w:val="es-ES"/>
                </w:rPr>
                <w:t>https://ort.cbd.int/database/287710</w:t>
              </w:r>
            </w:hyperlink>
            <w:r w:rsidRPr="005E3D50">
              <w:rPr>
                <w:rStyle w:val="FootnoteTextChar"/>
                <w:sz w:val="18"/>
                <w:szCs w:val="18"/>
                <w:lang w:val="es-ES"/>
              </w:rPr>
              <w:t xml:space="preserve">, </w:t>
            </w:r>
            <w:hyperlink r:id="rId104">
              <w:r w:rsidRPr="005E3D50">
                <w:rPr>
                  <w:rStyle w:val="Hyperlink"/>
                  <w:sz w:val="18"/>
                  <w:szCs w:val="18"/>
                  <w:lang w:val="es-ES"/>
                </w:rPr>
                <w:t>https://ort.cbd.int/database/287711</w:t>
              </w:r>
            </w:hyperlink>
            <w:r w:rsidRPr="005E3D50">
              <w:rPr>
                <w:rStyle w:val="FootnoteTextChar"/>
                <w:sz w:val="18"/>
                <w:szCs w:val="18"/>
                <w:lang w:val="es-ES"/>
              </w:rPr>
              <w:t xml:space="preserve">, </w:t>
            </w:r>
            <w:hyperlink r:id="rId105">
              <w:r w:rsidRPr="005E3D50">
                <w:rPr>
                  <w:rStyle w:val="Hyperlink"/>
                  <w:sz w:val="18"/>
                  <w:szCs w:val="18"/>
                  <w:lang w:val="es-ES"/>
                </w:rPr>
                <w:t>https://ort.cbd.int/database/287707</w:t>
              </w:r>
            </w:hyperlink>
            <w:r w:rsidRPr="005E3D50">
              <w:rPr>
                <w:sz w:val="18"/>
                <w:szCs w:val="18"/>
                <w:lang w:val="es-ES"/>
              </w:rPr>
              <w:t xml:space="preserve"> y </w:t>
            </w:r>
            <w:hyperlink r:id="rId106" w:history="1">
              <w:r w:rsidRPr="005E3D50">
                <w:rPr>
                  <w:rStyle w:val="Hyperlink"/>
                  <w:sz w:val="18"/>
                  <w:szCs w:val="18"/>
                  <w:lang w:val="es-ES"/>
                </w:rPr>
                <w:t>https://ort.cbd.int/database/287715</w:t>
              </w:r>
            </w:hyperlink>
            <w:r w:rsidRPr="005E3D50">
              <w:rPr>
                <w:rStyle w:val="FootnoteTextChar"/>
                <w:sz w:val="18"/>
                <w:szCs w:val="18"/>
                <w:lang w:val="es-ES"/>
              </w:rPr>
              <w:t>).</w:t>
            </w:r>
          </w:p>
          <w:p w14:paraId="585FBF3D" w14:textId="77777777" w:rsidR="00CB39FC" w:rsidRPr="005E3D50" w:rsidRDefault="00CB39FC" w:rsidP="00CB39FC">
            <w:pPr>
              <w:pStyle w:val="FootnoteText"/>
              <w:rPr>
                <w:lang w:val="es-ES"/>
              </w:rPr>
            </w:pPr>
          </w:p>
          <w:p w14:paraId="7515781E" w14:textId="77777777" w:rsidR="00E62B97" w:rsidRPr="005E3D50" w:rsidRDefault="00E62B97" w:rsidP="00CB39FC">
            <w:pPr>
              <w:pStyle w:val="FootnoteText"/>
              <w:rPr>
                <w:lang w:val="es-ES"/>
              </w:rPr>
            </w:pPr>
          </w:p>
          <w:p w14:paraId="1DAD5ABB" w14:textId="6C387C92" w:rsidR="00DF0A74" w:rsidRPr="005E3D50" w:rsidRDefault="00DF0A74" w:rsidP="00C73769">
            <w:pPr>
              <w:rPr>
                <w:rFonts w:ascii="Aptos" w:hAnsi="Aptos"/>
                <w:color w:val="212121"/>
                <w:sz w:val="22"/>
                <w:szCs w:val="22"/>
                <w:lang w:val="es-ES"/>
              </w:rPr>
            </w:pPr>
          </w:p>
          <w:p w14:paraId="61E9B7BD" w14:textId="3DEE0437" w:rsidR="00EC738D" w:rsidRPr="005E3D50" w:rsidRDefault="00EC738D" w:rsidP="00814AF1">
            <w:pPr>
              <w:rPr>
                <w:lang w:val="es-ES" w:eastAsia="ja-JP"/>
              </w:rPr>
            </w:pPr>
          </w:p>
        </w:tc>
      </w:tr>
    </w:tbl>
    <w:p w14:paraId="5DB8B7B9" w14:textId="4AE8E182" w:rsidR="00814AF1" w:rsidRPr="005E3D50" w:rsidRDefault="00C452A6" w:rsidP="00814AF1">
      <w:pPr>
        <w:rPr>
          <w:lang w:val="es-ES"/>
        </w:rPr>
      </w:pPr>
      <w:r w:rsidRPr="005E3D50">
        <w:rPr>
          <w:lang w:val="es-ES"/>
        </w:rPr>
        <w:lastRenderedPageBreak/>
        <w:t xml:space="preserve"> </w:t>
      </w:r>
    </w:p>
    <w:p w14:paraId="08CB9344" w14:textId="5B88E5BC" w:rsidR="001E6B13" w:rsidRPr="005E3D50" w:rsidRDefault="00DD3948" w:rsidP="00814AF1">
      <w:pPr>
        <w:pStyle w:val="Heading6"/>
        <w:rPr>
          <w:lang w:val="es-ES"/>
        </w:rPr>
      </w:pPr>
      <w:bookmarkStart w:id="254" w:name="_Toc235821139"/>
      <w:r w:rsidRPr="005E3D50">
        <w:rPr>
          <w:lang w:val="es-ES"/>
        </w:rPr>
        <w:t>Contribuciones integradas en los informes nacionales</w:t>
      </w:r>
      <w:bookmarkEnd w:id="254"/>
    </w:p>
    <w:p w14:paraId="041D167D" w14:textId="77777777" w:rsidR="00E62B97" w:rsidRPr="005E3D50" w:rsidRDefault="00E62B97" w:rsidP="00E62B97">
      <w:pPr>
        <w:rPr>
          <w:lang w:val="es-ES" w:eastAsia="ja-JP"/>
        </w:rPr>
      </w:pPr>
    </w:p>
    <w:p w14:paraId="2DDC017C" w14:textId="62E435C9" w:rsidR="00E62B97" w:rsidRPr="005E3D50" w:rsidRDefault="00E62B97" w:rsidP="00E62B97">
      <w:pPr>
        <w:rPr>
          <w:lang w:val="es-ES"/>
        </w:rPr>
      </w:pPr>
      <w:r w:rsidRPr="005E3D50">
        <w:rPr>
          <w:lang w:val="es-ES"/>
        </w:rPr>
        <w:t xml:space="preserve">Las Partes señalan que los gobiernos subnacionales y las autoridades locales desempeñan diversas funciones </w:t>
      </w:r>
      <w:r w:rsidR="00CB4845" w:rsidRPr="005E3D50">
        <w:rPr>
          <w:lang w:val="es-ES"/>
        </w:rPr>
        <w:t>de</w:t>
      </w:r>
      <w:r w:rsidRPr="005E3D50">
        <w:rPr>
          <w:lang w:val="es-ES"/>
        </w:rPr>
        <w:t xml:space="preserve"> implementación </w:t>
      </w:r>
      <w:r w:rsidR="00CB4845" w:rsidRPr="005E3D50">
        <w:rPr>
          <w:lang w:val="es-ES"/>
        </w:rPr>
        <w:t>con respecto a</w:t>
      </w:r>
      <w:r w:rsidRPr="005E3D50">
        <w:rPr>
          <w:lang w:val="es-ES"/>
        </w:rPr>
        <w:t xml:space="preserve"> la meta 7, por ejemplo, estableciendo infraestructura para la gestión de desechos, velando por el cumplimiento de las ordenanzas locales y administrando programas agroambientales destinados a reducir la contaminación. Los actores empresariales y financieros también se mencionan de manera destacada en funciones tales como la gestión de empresas de recolección y reciclaje de desechos, la participación en marcos de responsabilidad ampliada de los productores, y la financiación de infraestructura para reducir la contaminación mediante mecanismos de responsabilidad social empresarial y cofinanciación. Las contribuciones de los actores sectoriales, en particular los agricultores, para la </w:t>
      </w:r>
      <w:r w:rsidR="003A7DAC" w:rsidRPr="005E3D50">
        <w:rPr>
          <w:lang w:val="es-ES"/>
        </w:rPr>
        <w:t>consecución</w:t>
      </w:r>
      <w:r w:rsidRPr="005E3D50">
        <w:rPr>
          <w:lang w:val="es-ES"/>
        </w:rPr>
        <w:t xml:space="preserve"> de la meta 7 incluyen la aplicación del manejo integrado de plagas, el uso de prácticas de reducción de insumos y la participación en programas agroambientales. En lo que respecta al seguimiento y los conocimientos, la comunidad científica y el mundo académico generan datos sobre residuos de plaguicidas, calidad del agua y microplásticos, y desarrollan herramientas, indicadores y datos empíricos para apoyar los esfuerzos destinados a reducir la contaminación y los desechos.</w:t>
      </w:r>
    </w:p>
    <w:p w14:paraId="51828373" w14:textId="77777777" w:rsidR="00EA3199" w:rsidRPr="005E3D50" w:rsidRDefault="00EA3199" w:rsidP="00EA3199">
      <w:pPr>
        <w:rPr>
          <w:lang w:val="es-ES" w:eastAsia="ja-JP"/>
        </w:rPr>
      </w:pPr>
    </w:p>
    <w:p w14:paraId="671086E9" w14:textId="1D821D71" w:rsidR="00C577F7" w:rsidRPr="005E3D50" w:rsidRDefault="00692224" w:rsidP="00C577F7">
      <w:pPr>
        <w:pStyle w:val="Heading5"/>
        <w:rPr>
          <w:lang w:val="es-ES"/>
        </w:rPr>
      </w:pPr>
      <w:bookmarkStart w:id="255" w:name="_Toc235821140"/>
      <w:r w:rsidRPr="005E3D50">
        <w:rPr>
          <w:lang w:val="es-ES"/>
        </w:rPr>
        <w:t>Ejemplos de vínculos con otros acuerdos, organizaciones y procesos</w:t>
      </w:r>
      <w:bookmarkEnd w:id="255"/>
    </w:p>
    <w:p w14:paraId="22A10B4A" w14:textId="77777777" w:rsidR="009949F5" w:rsidRPr="005E3D50" w:rsidRDefault="009949F5" w:rsidP="00491E90">
      <w:pPr>
        <w:rPr>
          <w:rFonts w:cs="Times New Roman"/>
          <w:lang w:val="es-ES"/>
        </w:rPr>
      </w:pPr>
    </w:p>
    <w:p w14:paraId="75614B37" w14:textId="5747B458" w:rsidR="00491E90" w:rsidRPr="005E3D50" w:rsidRDefault="006B5361" w:rsidP="00491E90">
      <w:pPr>
        <w:rPr>
          <w:rFonts w:eastAsia="Aptos Narrow"/>
          <w:color w:val="000000" w:themeColor="text1"/>
          <w:lang w:val="es-ES"/>
        </w:rPr>
      </w:pPr>
      <w:r w:rsidRPr="005E3D50">
        <w:rPr>
          <w:lang w:val="es-ES"/>
        </w:rPr>
        <w:lastRenderedPageBreak/>
        <w:t xml:space="preserve">El Marco Mundial sobre los Productos Químicos: por un Planeta Libre de los Daños derivados de los Productos Químicos y los Desechos, establecido en 2023 en la quinta Conferencia Internacional sobre Gestión de los Productos Químicos, </w:t>
      </w:r>
      <w:r w:rsidR="00975D80">
        <w:rPr>
          <w:lang w:val="es-ES"/>
        </w:rPr>
        <w:t>contiene</w:t>
      </w:r>
      <w:r w:rsidRPr="005E3D50">
        <w:rPr>
          <w:lang w:val="es-ES"/>
        </w:rPr>
        <w:t xml:space="preserve"> cinco objetivos estratégicos y 28 metas que abordan el ciclo de vida de </w:t>
      </w:r>
      <w:r w:rsidR="0098383C">
        <w:rPr>
          <w:lang w:val="es-ES"/>
        </w:rPr>
        <w:t>la</w:t>
      </w:r>
      <w:r w:rsidRPr="005E3D50">
        <w:rPr>
          <w:lang w:val="es-ES"/>
        </w:rPr>
        <w:t xml:space="preserve">s </w:t>
      </w:r>
      <w:r w:rsidR="0098383C">
        <w:rPr>
          <w:lang w:val="es-ES"/>
        </w:rPr>
        <w:t>sustancias</w:t>
      </w:r>
      <w:r w:rsidRPr="005E3D50">
        <w:rPr>
          <w:lang w:val="es-ES"/>
        </w:rPr>
        <w:t xml:space="preserve"> químic</w:t>
      </w:r>
      <w:r w:rsidR="0098383C">
        <w:rPr>
          <w:lang w:val="es-ES"/>
        </w:rPr>
        <w:t>a</w:t>
      </w:r>
      <w:r w:rsidRPr="005E3D50">
        <w:rPr>
          <w:lang w:val="es-ES"/>
        </w:rPr>
        <w:t>s, incluidos los productos y los desechos, con la visión general de lograr un planeta libre de los daños derivados de los productos químicos y los desechos</w:t>
      </w:r>
      <w:r w:rsidRPr="005E3D50">
        <w:rPr>
          <w:rStyle w:val="FootnoteReference"/>
          <w:rFonts w:cs="Times New Roman"/>
          <w:lang w:val="es-ES"/>
        </w:rPr>
        <w:footnoteReference w:id="24"/>
      </w:r>
      <w:r w:rsidRPr="005E3D50">
        <w:rPr>
          <w:lang w:val="es-ES"/>
        </w:rPr>
        <w:t>. Para hacer un seguimiento de los progresos y los efectos, el Marco Mundial sobre los Productos Químicos incluye una estructura de mensurabilidad con indicadores, en la que se propone un indicador de alto nivel sobre la “carga mundial sobre el medio ambiente atribuible a los productos químicos y los desechos”.</w:t>
      </w:r>
      <w:r w:rsidRPr="005E3D50">
        <w:rPr>
          <w:color w:val="000000" w:themeColor="text1"/>
          <w:lang w:val="es-ES"/>
        </w:rPr>
        <w:t xml:space="preserve"> El PNUMA y la secretaría del Marco Mundial sobre los Productos Químicos están apoyando el desarrollo de indicadores que puedan complementar el seguimiento de la meta 7 del Marco, entre otras cosas ayudando a cuantificar los efectos de la contaminación por </w:t>
      </w:r>
      <w:r w:rsidR="0098383C">
        <w:rPr>
          <w:color w:val="000000" w:themeColor="text1"/>
          <w:lang w:val="es-ES"/>
        </w:rPr>
        <w:t>productos</w:t>
      </w:r>
      <w:r w:rsidRPr="005E3D50">
        <w:rPr>
          <w:color w:val="000000" w:themeColor="text1"/>
          <w:lang w:val="es-ES"/>
        </w:rPr>
        <w:t xml:space="preserve"> químic</w:t>
      </w:r>
      <w:r w:rsidR="0098383C">
        <w:rPr>
          <w:color w:val="000000" w:themeColor="text1"/>
          <w:lang w:val="es-ES"/>
        </w:rPr>
        <w:t>o</w:t>
      </w:r>
      <w:r w:rsidRPr="005E3D50">
        <w:rPr>
          <w:color w:val="000000" w:themeColor="text1"/>
          <w:lang w:val="es-ES"/>
        </w:rPr>
        <w:t>s y desechos en la diversidad biológica, las funciones de los ecosistemas y los servicios de los ecosistemas (PNUMA, 2024a, 2024b, 2025a y 2025b).</w:t>
      </w:r>
    </w:p>
    <w:p w14:paraId="4D228656" w14:textId="5BD9E9EA" w:rsidR="00664465" w:rsidRPr="005E3D50" w:rsidRDefault="001B10DC" w:rsidP="00F21562">
      <w:pPr>
        <w:rPr>
          <w:rFonts w:cs="Times New Roman"/>
          <w:lang w:val="es-ES"/>
        </w:rPr>
      </w:pPr>
      <w:r w:rsidRPr="005E3D50">
        <w:rPr>
          <w:lang w:val="es-ES"/>
        </w:rPr>
        <w:t>Un ámbito concreto de conexión entre el Convenio de Minamata sobre el Mercurio y el Marco es la minería de oro artesanal y en pequeña escala, que se lleva a cabo principalmente mediante el uso de mercurio, está muy extendida en los países en desarrollo de América del Sur, África Subsahariana y Asia, y tiene efectos directos y graves en la salud humana y los ecosistemas. Hasta la fecha, 37 Partes en el Convenio de Minamata sobre el Mercurio han presentado planes de acción nacionales sobre la minería de oro artesanal y en pequeña escala, centrados en la formalización o regulación del sector y otros elementos obligatorios. Se prevé que la implementación de estos planes dé lugar a reducciones sustanciales del mercurio y, de ese modo, contribuya a la meta 7 del Marco. El PNUMA, con el apoyo del FMAM, está trabajando con la secretaría del Convenio de Minamata sobre el Mercurio y otros asociados en un programa llamado “</w:t>
      </w:r>
      <w:proofErr w:type="spellStart"/>
      <w:r w:rsidRPr="005E3D50">
        <w:rPr>
          <w:lang w:val="es-ES"/>
        </w:rPr>
        <w:t>planetGOLD</w:t>
      </w:r>
      <w:proofErr w:type="spellEnd"/>
      <w:r w:rsidRPr="005E3D50">
        <w:rPr>
          <w:lang w:val="es-ES"/>
        </w:rPr>
        <w:t>”</w:t>
      </w:r>
      <w:r w:rsidR="00394F8D" w:rsidRPr="005E3D50">
        <w:rPr>
          <w:rStyle w:val="FootnoteReference"/>
          <w:lang w:val="es-ES"/>
        </w:rPr>
        <w:footnoteReference w:id="25"/>
      </w:r>
      <w:r w:rsidRPr="005E3D50">
        <w:rPr>
          <w:lang w:val="es-ES"/>
        </w:rPr>
        <w:t xml:space="preserve">, cuyo objetivo es eliminar el mercurio de la cadena de suministro del oro y hacer que la minería de oro en pequeña escala sea más segura, limpia y rentable (Dossou </w:t>
      </w:r>
      <w:proofErr w:type="spellStart"/>
      <w:r w:rsidRPr="005E3D50">
        <w:rPr>
          <w:lang w:val="es-ES"/>
        </w:rPr>
        <w:t>Etui</w:t>
      </w:r>
      <w:proofErr w:type="spellEnd"/>
      <w:r w:rsidRPr="005E3D50">
        <w:rPr>
          <w:lang w:val="es-ES"/>
        </w:rPr>
        <w:t xml:space="preserve"> y otros, 2024; Convenio de Minamata sobre el Mercurio, 2024, 2025a y 2025b; y PNUMA, 2025a).</w:t>
      </w:r>
    </w:p>
    <w:p w14:paraId="40886A55" w14:textId="1C20DF32" w:rsidR="00664465" w:rsidRPr="005E3D50" w:rsidRDefault="008B2858" w:rsidP="00664465">
      <w:pPr>
        <w:rPr>
          <w:lang w:val="es-ES"/>
        </w:rPr>
      </w:pPr>
      <w:r w:rsidRPr="005E3D50">
        <w:rPr>
          <w:lang w:val="es-ES"/>
        </w:rPr>
        <w:t xml:space="preserve">Además, la Comisión Ballenera Internacional trabaja con el Convenio de Estocolmo sobre Contaminantes Orgánicos Persistentes y con el Convenio de Minamata sobre el Mercurio para hacer frente a la contaminación de los cetáceos. </w:t>
      </w:r>
      <w:bookmarkStart w:id="256" w:name="ZOTERO_BREF_iT2cev2FBIhaVCcKjn6M3"/>
      <w:r w:rsidRPr="005E3D50">
        <w:rPr>
          <w:lang w:val="es-ES"/>
        </w:rPr>
        <w:t xml:space="preserve">Asimismo, según los informes nacionales presentados por las Partes en la Convención sobre los Humedales, la </w:t>
      </w:r>
      <w:r w:rsidRPr="005E3D50">
        <w:rPr>
          <w:lang w:val="es-ES"/>
        </w:rPr>
        <w:lastRenderedPageBreak/>
        <w:t>contaminación es la amenaza señalada con mayor frecuencia para los sitios incluidos en la Lista de Ramsar de Humedales de Importancia Internacional (CBI, 2025 y Convención sobre los Humedales, 2025c)</w:t>
      </w:r>
      <w:bookmarkEnd w:id="256"/>
      <w:r w:rsidRPr="005E3D50">
        <w:rPr>
          <w:lang w:val="es-ES"/>
        </w:rPr>
        <w:t>. La Asociación sobre los Desechos Plásticos, en el marco del Convenio de Basilea sobre el Control de los Movimientos Transfronterizos de los Desechos Peligrosos y su Eliminación, ejecuta proyectos piloto que fortalecen la creación de capacidad, la gestión de desechos y los marcos de políticas para ayudar a los países a prevenir la acumulación de desechos plásticos y reducir al mínimo la contaminación en su origen (Secretaría de los Convenios de Basilea, Rotterdam y Estocolmo, 2025).</w:t>
      </w:r>
    </w:p>
    <w:p w14:paraId="53AA6605" w14:textId="241BBF55" w:rsidR="00066DE1" w:rsidRPr="005E3D50" w:rsidRDefault="001D4560" w:rsidP="00066DE1">
      <w:pPr>
        <w:rPr>
          <w:lang w:val="es-ES"/>
        </w:rPr>
      </w:pPr>
      <w:r w:rsidRPr="005E3D50">
        <w:rPr>
          <w:lang w:val="es-ES"/>
        </w:rPr>
        <w:t>Asimismo, existen sinergias entre los esfuerzos para implementar el Marco y el Memorando de Entendimiento sobre la Conservación de las Aves Rapaces Migratorias de África y Eurasia de la Convención sobre las Especies Migratorias (CMS, 2008), en particular para evitar el envenenamiento de las aves por plaguicidas y productos químicos nocivos.</w:t>
      </w:r>
    </w:p>
    <w:p w14:paraId="0846AD42" w14:textId="598CBC24" w:rsidR="00772BC7" w:rsidRPr="005E3D50" w:rsidRDefault="00772BC7" w:rsidP="00772BC7">
      <w:pPr>
        <w:rPr>
          <w:lang w:val="es-ES"/>
        </w:rPr>
      </w:pPr>
      <w:r w:rsidRPr="005E3D50">
        <w:rPr>
          <w:lang w:val="es-ES"/>
        </w:rPr>
        <w:t>Las actividades de los programas internacionales de cooperación en el marco del Convenio sobre la Contaminación Atmosférica Transfronteriza a Gran Distancia (ECE, 1979) y del Sistema Internacional de Gestión del Nitrógeno del PNUMA (INMS, 2026) pueden contribuir a gestionar las cargas de nutrientes en los ecosistemas. Estas iniciativas apoyan la cooperación internacional en materia de mitigación y las inversiones destinadas a implementar soluciones pertinentes para avanzar hacia la consecución de la meta 7.</w:t>
      </w:r>
    </w:p>
    <w:p w14:paraId="371B0C43" w14:textId="77777777" w:rsidR="00CC139B" w:rsidRPr="005E3D50" w:rsidRDefault="00CC139B" w:rsidP="00664465">
      <w:pPr>
        <w:rPr>
          <w:rFonts w:cs="Times New Roman"/>
          <w:lang w:val="es-ES"/>
        </w:rPr>
      </w:pPr>
    </w:p>
    <w:p w14:paraId="1B2F4DD3" w14:textId="3F76F4E5" w:rsidR="00120352" w:rsidRPr="005E3D50" w:rsidRDefault="00120352" w:rsidP="74032CC2">
      <w:pPr>
        <w:pStyle w:val="Heading4"/>
        <w:rPr>
          <w:i w:val="0"/>
          <w:iCs w:val="0"/>
          <w:lang w:val="es-ES"/>
        </w:rPr>
      </w:pPr>
      <w:bookmarkStart w:id="257" w:name="_Toc235821141"/>
      <w:bookmarkStart w:id="258" w:name="_Toc239069202"/>
      <w:bookmarkStart w:id="259" w:name="_Toc242882980"/>
      <w:r w:rsidRPr="005E3D50">
        <w:rPr>
          <w:b/>
          <w:bCs/>
          <w:i w:val="0"/>
          <w:iCs w:val="0"/>
          <w:lang w:val="es-ES"/>
        </w:rPr>
        <w:t xml:space="preserve">Meta 8. </w:t>
      </w:r>
      <w:r w:rsidRPr="005E3D50">
        <w:rPr>
          <w:i w:val="0"/>
          <w:iCs w:val="0"/>
          <w:lang w:val="es-ES"/>
        </w:rPr>
        <w:t>Minimizar el impacto del cambio climático en la biodiversidad y aumentar su resiliencia</w:t>
      </w:r>
      <w:bookmarkEnd w:id="257"/>
      <w:bookmarkEnd w:id="258"/>
      <w:bookmarkEnd w:id="259"/>
    </w:p>
    <w:p w14:paraId="2E38F649" w14:textId="77777777" w:rsidR="003576E2" w:rsidRPr="005E3D50" w:rsidRDefault="003576E2" w:rsidP="00856E28">
      <w:pPr>
        <w:rPr>
          <w:b/>
          <w:bCs/>
          <w:i/>
          <w:iCs/>
          <w:sz w:val="22"/>
          <w:szCs w:val="22"/>
          <w:lang w:val="es-ES"/>
        </w:rPr>
      </w:pPr>
    </w:p>
    <w:p w14:paraId="072927EA" w14:textId="4404FD29" w:rsidR="00856E28" w:rsidRPr="005E3D50" w:rsidRDefault="00856E28" w:rsidP="00856E28">
      <w:pPr>
        <w:rPr>
          <w:i/>
          <w:iCs/>
          <w:sz w:val="22"/>
          <w:szCs w:val="22"/>
          <w:lang w:val="es-ES"/>
        </w:rPr>
      </w:pPr>
      <w:r w:rsidRPr="005E3D50">
        <w:rPr>
          <w:b/>
          <w:bCs/>
          <w:sz w:val="22"/>
          <w:szCs w:val="22"/>
          <w:lang w:val="es-ES"/>
        </w:rPr>
        <w:t xml:space="preserve">Texto de la meta. </w:t>
      </w:r>
      <w:r w:rsidRPr="005E3D50">
        <w:rPr>
          <w:i/>
          <w:iCs/>
          <w:sz w:val="22"/>
          <w:szCs w:val="22"/>
          <w:lang w:val="es-ES"/>
        </w:rP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p w14:paraId="50ECEB5D" w14:textId="77777777" w:rsidR="00856E28" w:rsidRPr="005E3D50" w:rsidRDefault="00856E28" w:rsidP="00856E28">
      <w:pPr>
        <w:rPr>
          <w:i/>
          <w:iCs/>
          <w:sz w:val="22"/>
          <w:szCs w:val="22"/>
          <w:lang w:val="es-ES"/>
        </w:rPr>
      </w:pPr>
    </w:p>
    <w:p w14:paraId="4799F9CC" w14:textId="77777777" w:rsidR="00D4017A" w:rsidRPr="005E3D50" w:rsidRDefault="00D4017A" w:rsidP="0077417D">
      <w:pPr>
        <w:pStyle w:val="Heading5"/>
        <w:rPr>
          <w:lang w:val="es-ES"/>
        </w:rPr>
      </w:pPr>
    </w:p>
    <w:p w14:paraId="2DADC70C" w14:textId="2C85CA15" w:rsidR="0077417D" w:rsidRPr="005E3D50" w:rsidRDefault="00EC1A6A" w:rsidP="0077417D">
      <w:pPr>
        <w:pStyle w:val="Heading5"/>
        <w:rPr>
          <w:lang w:val="es-ES"/>
        </w:rPr>
      </w:pPr>
      <w:r w:rsidRPr="005E3D50">
        <w:rPr>
          <w:lang w:val="es-ES"/>
        </w:rPr>
        <w:t>Panorama general de los progresos</w:t>
      </w:r>
    </w:p>
    <w:tbl>
      <w:tblPr>
        <w:tblStyle w:val="TableGrid"/>
        <w:tblW w:w="0" w:type="auto"/>
        <w:tblLook w:val="04A0" w:firstRow="1" w:lastRow="0" w:firstColumn="1" w:lastColumn="0" w:noHBand="0" w:noVBand="1"/>
      </w:tblPr>
      <w:tblGrid>
        <w:gridCol w:w="9016"/>
      </w:tblGrid>
      <w:tr w:rsidR="0077417D" w:rsidRPr="005E3D50" w14:paraId="60762105" w14:textId="77777777" w:rsidTr="0077417D">
        <w:tc>
          <w:tcPr>
            <w:tcW w:w="9016" w:type="dxa"/>
            <w:shd w:val="clear" w:color="auto" w:fill="D1D1D1" w:themeFill="background2" w:themeFillShade="E6"/>
          </w:tcPr>
          <w:p w14:paraId="6C284F3A" w14:textId="77777777" w:rsidR="0084605A" w:rsidRPr="005E3D50" w:rsidRDefault="0084605A" w:rsidP="00640359">
            <w:pPr>
              <w:rPr>
                <w:rFonts w:ascii="Aptos" w:eastAsia="Times New Roman" w:hAnsi="Aptos" w:cs="Calibri"/>
                <w:color w:val="000000"/>
                <w:lang w:val="es-ES"/>
              </w:rPr>
            </w:pPr>
          </w:p>
          <w:p w14:paraId="006F2CF4" w14:textId="029CB4B3" w:rsidR="001B6768" w:rsidRPr="005E3D50" w:rsidRDefault="001B6768" w:rsidP="001B6768">
            <w:pPr>
              <w:rPr>
                <w:rFonts w:ascii="Aptos" w:eastAsia="Times New Roman" w:hAnsi="Aptos" w:cs="Calibri"/>
                <w:color w:val="000000"/>
                <w:lang w:val="es-ES"/>
              </w:rPr>
            </w:pPr>
            <w:r w:rsidRPr="005E3D50">
              <w:rPr>
                <w:rFonts w:ascii="Aptos" w:hAnsi="Aptos"/>
                <w:color w:val="000000"/>
                <w:lang w:val="es-ES"/>
              </w:rPr>
              <w:t xml:space="preserve">Las medidas destinadas a reforzar la resiliencia climática y la adaptación al cambio climático están avanzando, pero su implementación sigue viéndose limitada por </w:t>
            </w:r>
            <w:r w:rsidR="00411680" w:rsidRPr="005E3D50">
              <w:rPr>
                <w:rFonts w:ascii="Aptos" w:hAnsi="Aptos"/>
                <w:color w:val="000000"/>
                <w:lang w:val="es-ES"/>
              </w:rPr>
              <w:t>las carencias</w:t>
            </w:r>
            <w:r w:rsidRPr="005E3D50">
              <w:rPr>
                <w:rFonts w:ascii="Aptos" w:hAnsi="Aptos"/>
                <w:color w:val="000000"/>
                <w:lang w:val="es-ES"/>
              </w:rPr>
              <w:t xml:space="preserve"> de datos, la escasez de medios de implementación y la necesidad de una mayor coherencia </w:t>
            </w:r>
            <w:r w:rsidR="00AD0BCA" w:rsidRPr="005E3D50">
              <w:rPr>
                <w:rFonts w:ascii="Aptos" w:hAnsi="Aptos"/>
                <w:color w:val="000000"/>
                <w:lang w:val="es-ES"/>
              </w:rPr>
              <w:t>de</w:t>
            </w:r>
            <w:r w:rsidRPr="005E3D50">
              <w:rPr>
                <w:rFonts w:ascii="Aptos" w:hAnsi="Aptos"/>
                <w:color w:val="000000"/>
                <w:lang w:val="es-ES"/>
              </w:rPr>
              <w:t xml:space="preserve"> la planificación en materia de biodiversidad, clima y reducción </w:t>
            </w:r>
            <w:r w:rsidRPr="005E3D50">
              <w:rPr>
                <w:rFonts w:ascii="Aptos" w:hAnsi="Aptos"/>
                <w:color w:val="000000"/>
                <w:lang w:val="es-ES"/>
              </w:rPr>
              <w:lastRenderedPageBreak/>
              <w:t>del riesgo de desastres. En general, existe una buena armonización entre las metas nacionales y la meta 8 en todos los elementos, salvo en lo que se refiere a las metas relativas a minimizar los efectos de la acidificación de los océanos. La mitad de los indicadores comunicados por las Partes muestran tendencias positivas, lo que sugiere que las medidas aplicadas son, en general, eficaces. Sin embargo, las Partes reconocen en sus autoevaluaciones que no se está avanzando al ritmo suficiente para alcanzar la mitad de las metas. Entre los enfoques importantes señalados para abordar los elementos de la meta 8 se incluyen la restauración de los ecosistemas</w:t>
            </w:r>
            <w:r w:rsidR="00411680" w:rsidRPr="005E3D50">
              <w:rPr>
                <w:rFonts w:ascii="Aptos" w:hAnsi="Aptos"/>
                <w:color w:val="000000"/>
                <w:lang w:val="es-ES"/>
              </w:rPr>
              <w:t xml:space="preserve">, </w:t>
            </w:r>
            <w:r w:rsidRPr="005E3D50">
              <w:rPr>
                <w:rFonts w:ascii="Aptos" w:hAnsi="Aptos"/>
                <w:color w:val="000000"/>
                <w:lang w:val="es-ES"/>
              </w:rPr>
              <w:t>que también se señala en</w:t>
            </w:r>
            <w:r w:rsidR="00411680" w:rsidRPr="005E3D50">
              <w:rPr>
                <w:rFonts w:ascii="Aptos" w:hAnsi="Aptos"/>
                <w:color w:val="000000"/>
                <w:lang w:val="es-ES"/>
              </w:rPr>
              <w:t xml:space="preserve"> relación con</w:t>
            </w:r>
            <w:r w:rsidRPr="005E3D50">
              <w:rPr>
                <w:rFonts w:ascii="Aptos" w:hAnsi="Aptos"/>
                <w:color w:val="000000"/>
                <w:lang w:val="es-ES"/>
              </w:rPr>
              <w:t xml:space="preserve"> la meta 2</w:t>
            </w:r>
            <w:r w:rsidR="00411680" w:rsidRPr="005E3D50">
              <w:rPr>
                <w:rFonts w:ascii="Aptos" w:hAnsi="Aptos"/>
                <w:color w:val="000000"/>
                <w:lang w:val="es-ES"/>
              </w:rPr>
              <w:t xml:space="preserve">, </w:t>
            </w:r>
            <w:r w:rsidRPr="005E3D50">
              <w:rPr>
                <w:rFonts w:ascii="Aptos" w:hAnsi="Aptos"/>
                <w:color w:val="000000"/>
                <w:lang w:val="es-ES"/>
              </w:rPr>
              <w:t xml:space="preserve">y las soluciones basadas en la naturaleza, pero estos no se están aplicando a una escala suficiente. </w:t>
            </w:r>
          </w:p>
          <w:p w14:paraId="6167A6C8" w14:textId="0780FE9B" w:rsidR="008404EF" w:rsidRPr="005E3D50" w:rsidRDefault="008404EF" w:rsidP="00980EC3">
            <w:pPr>
              <w:rPr>
                <w:lang w:val="es-ES"/>
              </w:rPr>
            </w:pPr>
          </w:p>
        </w:tc>
      </w:tr>
    </w:tbl>
    <w:p w14:paraId="77565D7B" w14:textId="2C0438B0" w:rsidR="00A00FA5" w:rsidRPr="005E3D50" w:rsidRDefault="00A00FA5" w:rsidP="00A00FA5">
      <w:pPr>
        <w:rPr>
          <w:lang w:val="es-ES"/>
        </w:rPr>
      </w:pPr>
    </w:p>
    <w:p w14:paraId="5740EFF5" w14:textId="4CE3DFD2" w:rsidR="006F0690" w:rsidRPr="005E3D50" w:rsidRDefault="006F0690" w:rsidP="006F0690">
      <w:pPr>
        <w:pStyle w:val="Heading5"/>
        <w:rPr>
          <w:lang w:val="es-ES"/>
        </w:rPr>
      </w:pPr>
      <w:r w:rsidRPr="005E3D50">
        <w:rPr>
          <w:lang w:val="es-ES"/>
        </w:rPr>
        <w:t>Grado en que las Partes cubren el alcance de la meta 8 del Marco en sus metas nacionales</w:t>
      </w:r>
    </w:p>
    <w:p w14:paraId="71427C31" w14:textId="77777777" w:rsidR="006F0690" w:rsidRPr="005E3D50" w:rsidRDefault="006F0690" w:rsidP="006F0690">
      <w:pPr>
        <w:pStyle w:val="Caption"/>
        <w:rPr>
          <w:lang w:val="es-ES"/>
        </w:rPr>
      </w:pPr>
    </w:p>
    <w:p w14:paraId="5668C24D" w14:textId="3E5B2762" w:rsidR="00DA4F94" w:rsidRPr="005E3D50" w:rsidRDefault="00DA4F94" w:rsidP="00DA4F94">
      <w:pPr>
        <w:pStyle w:val="Caption"/>
        <w:keepNext/>
        <w:rPr>
          <w:i w:val="0"/>
          <w:iCs w:val="0"/>
          <w:sz w:val="20"/>
          <w:szCs w:val="20"/>
          <w:lang w:val="es-ES"/>
        </w:rPr>
      </w:pPr>
      <w:r w:rsidRPr="005E3D50">
        <w:rPr>
          <w:i w:val="0"/>
          <w:iCs w:val="0"/>
          <w:sz w:val="20"/>
          <w:szCs w:val="20"/>
          <w:lang w:val="es-ES"/>
        </w:rPr>
        <w:t xml:space="preserve">Cuadro 18 </w:t>
      </w:r>
    </w:p>
    <w:p w14:paraId="0B613F25" w14:textId="2F65249B" w:rsidR="006A3EDD" w:rsidRPr="005E3D50" w:rsidRDefault="00C33FBC" w:rsidP="00C33FBC">
      <w:pPr>
        <w:pStyle w:val="Caption"/>
        <w:keepNext/>
        <w:rPr>
          <w:i w:val="0"/>
          <w:iCs w:val="0"/>
          <w:sz w:val="20"/>
          <w:szCs w:val="20"/>
          <w:vertAlign w:val="superscript"/>
          <w:lang w:val="es-ES"/>
        </w:rPr>
      </w:pPr>
      <w:r w:rsidRPr="005E3D50">
        <w:rPr>
          <w:b/>
          <w:bCs/>
          <w:i w:val="0"/>
          <w:sz w:val="20"/>
          <w:szCs w:val="20"/>
          <w:lang w:val="es-ES"/>
        </w:rPr>
        <w:t xml:space="preserve">Elementos de la meta 8 del Marco y cómo se abordan en las metas </w:t>
      </w:r>
      <w:proofErr w:type="spellStart"/>
      <w:r w:rsidRPr="005E3D50">
        <w:rPr>
          <w:b/>
          <w:bCs/>
          <w:i w:val="0"/>
          <w:sz w:val="20"/>
          <w:szCs w:val="20"/>
          <w:lang w:val="es-ES"/>
        </w:rPr>
        <w:t>nacionales</w:t>
      </w:r>
      <w:r w:rsidRPr="005E3D50">
        <w:rPr>
          <w:i w:val="0"/>
          <w:iCs w:val="0"/>
          <w:sz w:val="20"/>
          <w:szCs w:val="20"/>
          <w:vertAlign w:val="superscript"/>
          <w:lang w:val="es-ES"/>
        </w:rPr>
        <w:t>a</w:t>
      </w:r>
      <w:proofErr w:type="spellEnd"/>
    </w:p>
    <w:p w14:paraId="2061AF40" w14:textId="77777777" w:rsidR="00C33FBC" w:rsidRPr="005E3D50" w:rsidRDefault="00C33FBC" w:rsidP="00C33FBC">
      <w:pPr>
        <w:rPr>
          <w:lang w:val="es-ES" w:eastAsia="ja-JP"/>
        </w:rPr>
      </w:pPr>
    </w:p>
    <w:tbl>
      <w:tblPr>
        <w:tblStyle w:val="TableGrid"/>
        <w:tblW w:w="0" w:type="auto"/>
        <w:tblLook w:val="04A0" w:firstRow="1" w:lastRow="0" w:firstColumn="1" w:lastColumn="0" w:noHBand="0" w:noVBand="1"/>
      </w:tblPr>
      <w:tblGrid>
        <w:gridCol w:w="8359"/>
        <w:gridCol w:w="657"/>
      </w:tblGrid>
      <w:tr w:rsidR="006F2942" w:rsidRPr="005E3D50" w14:paraId="6DD14154" w14:textId="77777777" w:rsidTr="00D03086">
        <w:tc>
          <w:tcPr>
            <w:tcW w:w="8359" w:type="dxa"/>
          </w:tcPr>
          <w:p w14:paraId="2D678A5B" w14:textId="276F8601" w:rsidR="006F2942" w:rsidRPr="005E3D50" w:rsidRDefault="00E02417" w:rsidP="00A00FA5">
            <w:pPr>
              <w:rPr>
                <w:sz w:val="20"/>
                <w:szCs w:val="20"/>
                <w:lang w:val="es-ES"/>
              </w:rPr>
            </w:pPr>
            <w:r w:rsidRPr="005E3D50">
              <w:rPr>
                <w:sz w:val="20"/>
                <w:szCs w:val="20"/>
                <w:lang w:val="es-ES"/>
              </w:rPr>
              <w:t>Minimizar el impacto del cambio climático y en la biodiversidad, y aumentar su resiliencia mediante medidas de mitigación, adaptación y reducción del riesgo de desastres</w:t>
            </w:r>
          </w:p>
        </w:tc>
        <w:tc>
          <w:tcPr>
            <w:tcW w:w="657" w:type="dxa"/>
            <w:shd w:val="clear" w:color="auto" w:fill="00B050"/>
          </w:tcPr>
          <w:p w14:paraId="78339468" w14:textId="53BFB210" w:rsidR="006F2942" w:rsidRPr="005E3D50" w:rsidRDefault="0058409F" w:rsidP="00A00FA5">
            <w:pPr>
              <w:rPr>
                <w:sz w:val="20"/>
                <w:szCs w:val="20"/>
                <w:lang w:val="es-ES"/>
              </w:rPr>
            </w:pPr>
            <w:r w:rsidRPr="005E3D50">
              <w:rPr>
                <w:sz w:val="20"/>
                <w:szCs w:val="20"/>
                <w:lang w:val="es-ES"/>
              </w:rPr>
              <w:t>83</w:t>
            </w:r>
          </w:p>
        </w:tc>
      </w:tr>
      <w:tr w:rsidR="006F2942" w:rsidRPr="005E3D50" w14:paraId="4734AAAF" w14:textId="77777777" w:rsidTr="00D03086">
        <w:tc>
          <w:tcPr>
            <w:tcW w:w="8359" w:type="dxa"/>
          </w:tcPr>
          <w:p w14:paraId="0FC434C5" w14:textId="4E5C2D84" w:rsidR="006F2942" w:rsidRPr="005E3D50" w:rsidRDefault="00DB47DD" w:rsidP="00A00FA5">
            <w:pPr>
              <w:rPr>
                <w:sz w:val="20"/>
                <w:szCs w:val="20"/>
                <w:lang w:val="es-ES"/>
              </w:rPr>
            </w:pPr>
            <w:r w:rsidRPr="005E3D50">
              <w:rPr>
                <w:sz w:val="20"/>
                <w:szCs w:val="20"/>
                <w:lang w:val="es-ES"/>
              </w:rPr>
              <w:t>Minimizar el impacto de la acidificación de los océanos en la biodiversidad, y aumentar su resiliencia mediante medidas de mitigación, adaptación y reducción del riesgo de desastres</w:t>
            </w:r>
          </w:p>
        </w:tc>
        <w:tc>
          <w:tcPr>
            <w:tcW w:w="657" w:type="dxa"/>
            <w:shd w:val="clear" w:color="auto" w:fill="FFC000"/>
          </w:tcPr>
          <w:p w14:paraId="752929C7" w14:textId="5FED9D60" w:rsidR="006F2942" w:rsidRPr="005E3D50" w:rsidRDefault="00396077" w:rsidP="00A00FA5">
            <w:pPr>
              <w:rPr>
                <w:sz w:val="20"/>
                <w:szCs w:val="20"/>
                <w:lang w:val="es-ES"/>
              </w:rPr>
            </w:pPr>
            <w:r w:rsidRPr="005E3D50">
              <w:rPr>
                <w:sz w:val="20"/>
                <w:szCs w:val="20"/>
                <w:lang w:val="es-ES"/>
              </w:rPr>
              <w:t>32</w:t>
            </w:r>
          </w:p>
        </w:tc>
      </w:tr>
      <w:tr w:rsidR="006F2942" w:rsidRPr="005E3D50" w14:paraId="67437668" w14:textId="77777777" w:rsidTr="00D03086">
        <w:tc>
          <w:tcPr>
            <w:tcW w:w="8359" w:type="dxa"/>
          </w:tcPr>
          <w:p w14:paraId="6FFC7311" w14:textId="77777777" w:rsidR="006F2942" w:rsidRPr="005E3D50" w:rsidRDefault="00143903" w:rsidP="00A00FA5">
            <w:pPr>
              <w:rPr>
                <w:sz w:val="20"/>
                <w:szCs w:val="20"/>
                <w:lang w:val="es-ES"/>
              </w:rPr>
            </w:pPr>
            <w:r w:rsidRPr="005E3D50">
              <w:rPr>
                <w:sz w:val="20"/>
                <w:szCs w:val="20"/>
                <w:lang w:val="es-ES"/>
              </w:rPr>
              <w:t>Aplicar soluciones basadas en la naturaleza</w:t>
            </w:r>
          </w:p>
          <w:p w14:paraId="4A84CAEC" w14:textId="4FFF762D" w:rsidR="005A4608" w:rsidRPr="005E3D50" w:rsidRDefault="005A4608" w:rsidP="00A00FA5">
            <w:pPr>
              <w:rPr>
                <w:sz w:val="20"/>
                <w:szCs w:val="20"/>
                <w:lang w:val="es-ES"/>
              </w:rPr>
            </w:pPr>
          </w:p>
        </w:tc>
        <w:tc>
          <w:tcPr>
            <w:tcW w:w="657" w:type="dxa"/>
            <w:shd w:val="clear" w:color="auto" w:fill="FFFF00"/>
          </w:tcPr>
          <w:p w14:paraId="6369A749" w14:textId="5A47E355" w:rsidR="006F2942" w:rsidRPr="005E3D50" w:rsidRDefault="00E1799F" w:rsidP="00A00FA5">
            <w:pPr>
              <w:rPr>
                <w:sz w:val="20"/>
                <w:szCs w:val="20"/>
                <w:lang w:val="es-ES"/>
              </w:rPr>
            </w:pPr>
            <w:r w:rsidRPr="005E3D50">
              <w:rPr>
                <w:sz w:val="20"/>
                <w:szCs w:val="20"/>
                <w:lang w:val="es-ES"/>
              </w:rPr>
              <w:t>65</w:t>
            </w:r>
          </w:p>
        </w:tc>
      </w:tr>
      <w:tr w:rsidR="006F2942" w:rsidRPr="005E3D50" w14:paraId="472EC93C" w14:textId="77777777" w:rsidTr="00D03086">
        <w:tc>
          <w:tcPr>
            <w:tcW w:w="8359" w:type="dxa"/>
          </w:tcPr>
          <w:p w14:paraId="58700FF3" w14:textId="77777777" w:rsidR="006F2942" w:rsidRPr="005E3D50" w:rsidRDefault="00C029BA" w:rsidP="00A00FA5">
            <w:pPr>
              <w:rPr>
                <w:sz w:val="20"/>
                <w:szCs w:val="20"/>
                <w:lang w:val="es-ES"/>
              </w:rPr>
            </w:pPr>
            <w:r w:rsidRPr="005E3D50">
              <w:rPr>
                <w:sz w:val="20"/>
                <w:szCs w:val="20"/>
                <w:lang w:val="es-ES"/>
              </w:rPr>
              <w:t>Aplicar enfoques basados en los ecosistemas</w:t>
            </w:r>
          </w:p>
          <w:p w14:paraId="22225A49" w14:textId="3513B493" w:rsidR="005A4608" w:rsidRPr="005E3D50" w:rsidRDefault="005A4608" w:rsidP="00A00FA5">
            <w:pPr>
              <w:rPr>
                <w:sz w:val="20"/>
                <w:szCs w:val="20"/>
                <w:lang w:val="es-ES"/>
              </w:rPr>
            </w:pPr>
          </w:p>
        </w:tc>
        <w:tc>
          <w:tcPr>
            <w:tcW w:w="657" w:type="dxa"/>
            <w:shd w:val="clear" w:color="auto" w:fill="FFFF00"/>
          </w:tcPr>
          <w:p w14:paraId="1AEE6894" w14:textId="446C7290" w:rsidR="006F2942" w:rsidRPr="005E3D50" w:rsidRDefault="00AB667B" w:rsidP="00A00FA5">
            <w:pPr>
              <w:rPr>
                <w:sz w:val="20"/>
                <w:szCs w:val="20"/>
                <w:lang w:val="es-ES"/>
              </w:rPr>
            </w:pPr>
            <w:r w:rsidRPr="005E3D50">
              <w:rPr>
                <w:sz w:val="20"/>
                <w:szCs w:val="20"/>
                <w:lang w:val="es-ES"/>
              </w:rPr>
              <w:t>61</w:t>
            </w:r>
          </w:p>
        </w:tc>
      </w:tr>
      <w:tr w:rsidR="006F2942" w:rsidRPr="005E3D50" w14:paraId="14B2C065" w14:textId="77777777" w:rsidTr="00D03086">
        <w:tc>
          <w:tcPr>
            <w:tcW w:w="8359" w:type="dxa"/>
          </w:tcPr>
          <w:p w14:paraId="2C8D387D" w14:textId="77777777" w:rsidR="006F2942" w:rsidRPr="005E3D50" w:rsidRDefault="00D56348" w:rsidP="00A00FA5">
            <w:pPr>
              <w:rPr>
                <w:sz w:val="20"/>
                <w:szCs w:val="20"/>
                <w:lang w:val="es-ES"/>
              </w:rPr>
            </w:pPr>
            <w:r w:rsidRPr="005E3D50">
              <w:rPr>
                <w:sz w:val="20"/>
                <w:szCs w:val="20"/>
                <w:lang w:val="es-ES"/>
              </w:rPr>
              <w:t>Minimizar los impactos negativos de la acción por el clima en la biodiversidad</w:t>
            </w:r>
          </w:p>
          <w:p w14:paraId="68EAE9F9" w14:textId="46FF0D33" w:rsidR="005A4608" w:rsidRPr="005E3D50" w:rsidRDefault="005A4608" w:rsidP="00A00FA5">
            <w:pPr>
              <w:rPr>
                <w:sz w:val="20"/>
                <w:szCs w:val="20"/>
                <w:lang w:val="es-ES"/>
              </w:rPr>
            </w:pPr>
          </w:p>
        </w:tc>
        <w:tc>
          <w:tcPr>
            <w:tcW w:w="657" w:type="dxa"/>
            <w:shd w:val="clear" w:color="auto" w:fill="FFFF00"/>
          </w:tcPr>
          <w:p w14:paraId="171ED3DF" w14:textId="14A5BC27" w:rsidR="006F2942" w:rsidRPr="005E3D50" w:rsidRDefault="00F05AD5" w:rsidP="00A00FA5">
            <w:pPr>
              <w:rPr>
                <w:sz w:val="20"/>
                <w:szCs w:val="20"/>
                <w:lang w:val="es-ES"/>
              </w:rPr>
            </w:pPr>
            <w:r w:rsidRPr="005E3D50">
              <w:rPr>
                <w:sz w:val="20"/>
                <w:szCs w:val="20"/>
                <w:lang w:val="es-ES"/>
              </w:rPr>
              <w:t>64</w:t>
            </w:r>
          </w:p>
        </w:tc>
      </w:tr>
      <w:tr w:rsidR="006F2942" w:rsidRPr="005E3D50" w14:paraId="29B67141" w14:textId="77777777" w:rsidTr="00D03086">
        <w:tc>
          <w:tcPr>
            <w:tcW w:w="8359" w:type="dxa"/>
          </w:tcPr>
          <w:p w14:paraId="2859FF48" w14:textId="77777777" w:rsidR="006F2942" w:rsidRPr="005E3D50" w:rsidRDefault="00D56348" w:rsidP="00A00FA5">
            <w:pPr>
              <w:rPr>
                <w:sz w:val="20"/>
                <w:szCs w:val="20"/>
                <w:lang w:val="es-ES"/>
              </w:rPr>
            </w:pPr>
            <w:r w:rsidRPr="005E3D50">
              <w:rPr>
                <w:sz w:val="20"/>
                <w:szCs w:val="20"/>
                <w:lang w:val="es-ES"/>
              </w:rPr>
              <w:t>Fomentar los impactos positivos de la acción por el clima en la biodiversidad</w:t>
            </w:r>
          </w:p>
          <w:p w14:paraId="288BA6E1" w14:textId="1D2CCBA1" w:rsidR="005A4608" w:rsidRPr="005E3D50" w:rsidRDefault="005A4608" w:rsidP="00A00FA5">
            <w:pPr>
              <w:rPr>
                <w:sz w:val="20"/>
                <w:szCs w:val="20"/>
                <w:lang w:val="es-ES"/>
              </w:rPr>
            </w:pPr>
          </w:p>
        </w:tc>
        <w:tc>
          <w:tcPr>
            <w:tcW w:w="657" w:type="dxa"/>
            <w:shd w:val="clear" w:color="auto" w:fill="FFFF00"/>
          </w:tcPr>
          <w:p w14:paraId="108DC475" w14:textId="09031483" w:rsidR="006F2942" w:rsidRPr="005E3D50" w:rsidRDefault="00D03086" w:rsidP="00A00FA5">
            <w:pPr>
              <w:rPr>
                <w:sz w:val="20"/>
                <w:szCs w:val="20"/>
                <w:lang w:val="es-ES"/>
              </w:rPr>
            </w:pPr>
            <w:r w:rsidRPr="005E3D50">
              <w:rPr>
                <w:sz w:val="20"/>
                <w:szCs w:val="20"/>
                <w:lang w:val="es-ES"/>
              </w:rPr>
              <w:t>66</w:t>
            </w:r>
          </w:p>
        </w:tc>
      </w:tr>
      <w:tr w:rsidR="00D0078C" w:rsidRPr="005E3D50" w14:paraId="2C2E82AA" w14:textId="77777777">
        <w:tc>
          <w:tcPr>
            <w:tcW w:w="9016" w:type="dxa"/>
            <w:gridSpan w:val="2"/>
          </w:tcPr>
          <w:p w14:paraId="460D9D5C" w14:textId="77777777" w:rsidR="00C13D25" w:rsidRDefault="00C13D25" w:rsidP="00EC2507">
            <w:pPr>
              <w:pStyle w:val="p1"/>
              <w:keepNext/>
              <w:rPr>
                <w:rFonts w:asciiTheme="minorHAnsi" w:hAnsiTheme="minorHAnsi"/>
                <w:b/>
                <w:bCs/>
                <w:sz w:val="22"/>
                <w:szCs w:val="22"/>
                <w:lang w:val="es-ES"/>
              </w:rPr>
            </w:pPr>
          </w:p>
          <w:p w14:paraId="5F95803F" w14:textId="68F2CF75" w:rsidR="00EC2507" w:rsidRPr="005E3D50" w:rsidRDefault="00EC2507" w:rsidP="00EC2507">
            <w:pPr>
              <w:pStyle w:val="p1"/>
              <w:keepNext/>
              <w:rPr>
                <w:rFonts w:asciiTheme="minorHAnsi" w:hAnsiTheme="minorHAnsi"/>
                <w:b/>
                <w:bCs/>
                <w:sz w:val="22"/>
                <w:szCs w:val="22"/>
                <w:lang w:val="es-ES"/>
              </w:rPr>
            </w:pPr>
            <w:r w:rsidRPr="005E3D50">
              <w:rPr>
                <w:rFonts w:asciiTheme="minorHAnsi" w:hAnsiTheme="minorHAnsi"/>
                <w:b/>
                <w:bCs/>
                <w:sz w:val="22"/>
                <w:szCs w:val="22"/>
                <w:lang w:val="es-ES"/>
              </w:rPr>
              <w:t>En promedio las Partes han abordado, al menos en cierta medida, el 62 % de estos elementos en sus metas nacionales</w:t>
            </w:r>
          </w:p>
          <w:p w14:paraId="12D5B933" w14:textId="77777777" w:rsidR="00D0078C" w:rsidRPr="005E3D50" w:rsidRDefault="00D0078C" w:rsidP="00A00FA5">
            <w:pPr>
              <w:rPr>
                <w:sz w:val="20"/>
                <w:szCs w:val="20"/>
                <w:lang w:val="es-ES"/>
              </w:rPr>
            </w:pPr>
          </w:p>
        </w:tc>
      </w:tr>
    </w:tbl>
    <w:p w14:paraId="281675E5" w14:textId="77777777" w:rsidR="00101A9D" w:rsidRPr="005E3D50" w:rsidRDefault="00101A9D" w:rsidP="00101A9D">
      <w:pPr>
        <w:rPr>
          <w:lang w:val="es-ES"/>
        </w:rPr>
      </w:pPr>
    </w:p>
    <w:p w14:paraId="24121BBD" w14:textId="77777777" w:rsidR="00B46085" w:rsidRPr="005E3D50" w:rsidRDefault="00B46085" w:rsidP="00B46085">
      <w:pPr>
        <w:rPr>
          <w:iCs/>
          <w:sz w:val="16"/>
          <w:szCs w:val="16"/>
          <w:lang w:val="es-ES"/>
        </w:rPr>
      </w:pPr>
      <w:r w:rsidRPr="005E3D50">
        <w:rPr>
          <w:i/>
          <w:sz w:val="16"/>
          <w:szCs w:val="16"/>
          <w:lang w:val="es-ES"/>
        </w:rPr>
        <w:t>Nota</w:t>
      </w:r>
      <w:r w:rsidRPr="005E3D50">
        <w:rPr>
          <w:iCs/>
          <w:sz w:val="16"/>
          <w:szCs w:val="16"/>
          <w:lang w:val="es-ES"/>
        </w:rPr>
        <w:t>: La columna de la derecha indica el porcentaje de Partes con metas nacionales que abordan al menos en cierta medida el elemento correspondiente.</w:t>
      </w:r>
    </w:p>
    <w:p w14:paraId="65BEDDC0" w14:textId="2D67A1C1" w:rsidR="00B46085" w:rsidRPr="005E3D50" w:rsidRDefault="00B46085" w:rsidP="00B46085">
      <w:pPr>
        <w:pStyle w:val="paragraph"/>
        <w:spacing w:before="0" w:beforeAutospacing="0" w:after="0" w:afterAutospacing="0"/>
        <w:textAlignment w:val="baseline"/>
        <w:rPr>
          <w:rFonts w:ascii="Segoe UI" w:hAnsi="Segoe UI" w:cs="Segoe UI"/>
          <w:sz w:val="16"/>
          <w:szCs w:val="16"/>
          <w:lang w:val="es-ES"/>
        </w:rPr>
      </w:pPr>
      <w:r w:rsidRPr="005E3D50">
        <w:rPr>
          <w:rFonts w:ascii="Aptos" w:hAnsi="Aptos"/>
          <w:sz w:val="16"/>
          <w:szCs w:val="16"/>
          <w:vertAlign w:val="superscript"/>
          <w:lang w:val="es-ES"/>
        </w:rPr>
        <w:t>a</w:t>
      </w:r>
      <w:r w:rsidRPr="005E3D50">
        <w:rPr>
          <w:rFonts w:ascii="Aptos" w:hAnsi="Aptos"/>
          <w:sz w:val="16"/>
          <w:szCs w:val="16"/>
          <w:lang w:val="es-ES"/>
        </w:rPr>
        <w:t xml:space="preserve"> Los elementos de cada meta fueron definidos por el Grupo Especial de Expertos Técnicos sobre los Indicadores para el Marco Mundial de Biodiversidad de Kunming-Montreal (véanse el anexo I del documento </w:t>
      </w:r>
      <w:hyperlink r:id="rId107" w:history="1">
        <w:r w:rsidRPr="005E3D50">
          <w:rPr>
            <w:rStyle w:val="Hyperlink"/>
            <w:rFonts w:ascii="Aptos" w:hAnsi="Aptos"/>
            <w:sz w:val="16"/>
            <w:szCs w:val="16"/>
            <w:lang w:val="es-ES"/>
          </w:rPr>
          <w:t>CBD/COP/16/INF/4</w:t>
        </w:r>
      </w:hyperlink>
      <w:r w:rsidRPr="005E3D50">
        <w:rPr>
          <w:rFonts w:ascii="Aptos" w:hAnsi="Aptos"/>
          <w:sz w:val="16"/>
          <w:szCs w:val="16"/>
          <w:lang w:val="es-ES"/>
        </w:rPr>
        <w:t xml:space="preserve"> y </w:t>
      </w:r>
      <w:r w:rsidRPr="005E3D50">
        <w:rPr>
          <w:rStyle w:val="normaltextrun"/>
          <w:rFonts w:ascii="Aptos" w:hAnsi="Aptos"/>
          <w:sz w:val="16"/>
          <w:szCs w:val="16"/>
          <w:lang w:val="es-ES"/>
        </w:rPr>
        <w:t>Affinito y otros, 2025</w:t>
      </w:r>
      <w:r w:rsidRPr="005E3D50">
        <w:rPr>
          <w:rFonts w:ascii="Aptos" w:hAnsi="Aptos"/>
          <w:sz w:val="16"/>
          <w:szCs w:val="16"/>
          <w:lang w:val="es-ES"/>
        </w:rPr>
        <w:t xml:space="preserve">). </w:t>
      </w:r>
      <w:r w:rsidRPr="005E3D50">
        <w:rPr>
          <w:rStyle w:val="normaltextrun"/>
          <w:rFonts w:ascii="Aptos" w:hAnsi="Aptos"/>
          <w:sz w:val="16"/>
          <w:szCs w:val="16"/>
          <w:lang w:val="es-ES"/>
        </w:rPr>
        <w:t>En el documento </w:t>
      </w:r>
      <w:hyperlink r:id="rId108" w:history="1">
        <w:r w:rsidRPr="005E3D50">
          <w:rPr>
            <w:rStyle w:val="Hyperlink"/>
            <w:rFonts w:ascii="Aptos" w:hAnsi="Aptos"/>
            <w:sz w:val="16"/>
            <w:szCs w:val="16"/>
            <w:lang w:val="es-ES"/>
          </w:rPr>
          <w:t>CBD/SBI/7/INF/22</w:t>
        </w:r>
      </w:hyperlink>
      <w:r w:rsidRPr="005E3D50">
        <w:rPr>
          <w:rStyle w:val="normaltextrun"/>
          <w:rFonts w:ascii="Aptos" w:hAnsi="Aptos"/>
          <w:sz w:val="16"/>
          <w:szCs w:val="16"/>
          <w:lang w:val="es-ES"/>
        </w:rPr>
        <w:t xml:space="preserve"> se expone en detalle la metodología empleada para el análisis de las metas nacionales. </w:t>
      </w:r>
    </w:p>
    <w:p w14:paraId="2AE338B3" w14:textId="736E2CBE" w:rsidR="00852172" w:rsidRPr="005E3D50" w:rsidRDefault="00852172" w:rsidP="00101A9D">
      <w:pPr>
        <w:rPr>
          <w:lang w:val="es-ES"/>
        </w:rPr>
      </w:pPr>
    </w:p>
    <w:p w14:paraId="3A0429D8" w14:textId="467B5A2D" w:rsidR="000B6971" w:rsidRPr="005E3D50" w:rsidRDefault="000B6971" w:rsidP="000B6971">
      <w:pPr>
        <w:rPr>
          <w:lang w:val="es-ES"/>
        </w:rPr>
      </w:pPr>
      <w:r w:rsidRPr="005E3D50">
        <w:rPr>
          <w:lang w:val="es-ES"/>
        </w:rPr>
        <w:t xml:space="preserve">La gran mayoría de las Partes (83 %) han establecido metas nacionales que, al menos en cierta medida, abordan el elemento </w:t>
      </w:r>
      <w:proofErr w:type="gramStart"/>
      <w:r w:rsidRPr="005E3D50">
        <w:rPr>
          <w:lang w:val="es-ES"/>
        </w:rPr>
        <w:t>de la meta destinado</w:t>
      </w:r>
      <w:proofErr w:type="gramEnd"/>
      <w:r w:rsidRPr="005E3D50">
        <w:rPr>
          <w:lang w:val="es-ES"/>
        </w:rPr>
        <w:t xml:space="preserve"> a minimizar el impacto del </w:t>
      </w:r>
      <w:r w:rsidRPr="005E3D50">
        <w:rPr>
          <w:lang w:val="es-ES"/>
        </w:rPr>
        <w:lastRenderedPageBreak/>
        <w:t>cambio climático en la biodiversidad y aumentar su resiliencia mediante medidas de mitigación, adaptación y reducción del riesgo de desastres (véase el cuadro 18). Una amplia mayoría de las Partes también abordan los elementos de la meta relativos a la aplicación de soluciones basadas en la naturaleza (65 %), la aplicación de enfoques basados en los ecosistemas (61 %), la reducción al mínimo de los impactos negativos de la acción por el clima en la biodiversidad (64 %) y el fomento de los impactos positivos de la acción por el clima en la biodiversidad (66 %). Menos de un tercio de las Partes (32 %) han establecido metas nacionales que abordan los efectos de la acidificación de los océanos en la diversidad biológica.</w:t>
      </w:r>
    </w:p>
    <w:p w14:paraId="678A4F6E" w14:textId="067707F9" w:rsidR="000B6971" w:rsidRPr="005E3D50" w:rsidRDefault="000B6971" w:rsidP="000B6971">
      <w:pPr>
        <w:rPr>
          <w:lang w:val="es-ES"/>
        </w:rPr>
      </w:pPr>
      <w:r w:rsidRPr="005E3D50">
        <w:rPr>
          <w:lang w:val="es-ES"/>
        </w:rPr>
        <w:t xml:space="preserve">Por lo tanto, a excepción del elemento relativo a la acidificación de los océanos, </w:t>
      </w:r>
      <w:r w:rsidR="0088621B" w:rsidRPr="005E3D50">
        <w:rPr>
          <w:lang w:val="es-ES"/>
        </w:rPr>
        <w:t xml:space="preserve">en general </w:t>
      </w:r>
      <w:r w:rsidRPr="005E3D50">
        <w:rPr>
          <w:lang w:val="es-ES"/>
        </w:rPr>
        <w:t xml:space="preserve">las Partes han armonizado sus metas nacionales con el amplio alcance de la meta 8. </w:t>
      </w:r>
      <w:r w:rsidR="0088621B" w:rsidRPr="005E3D50">
        <w:rPr>
          <w:lang w:val="es-ES"/>
        </w:rPr>
        <w:t>Esta</w:t>
      </w:r>
      <w:r w:rsidRPr="005E3D50">
        <w:rPr>
          <w:lang w:val="es-ES"/>
        </w:rPr>
        <w:t xml:space="preserve"> meta no incluye elementos cuantitativos.</w:t>
      </w:r>
    </w:p>
    <w:p w14:paraId="69B6E2BC" w14:textId="77777777" w:rsidR="00BF6B5C" w:rsidRPr="005E3D50" w:rsidRDefault="00BF6B5C" w:rsidP="00B70AA4">
      <w:pPr>
        <w:pStyle w:val="Heading5"/>
        <w:rPr>
          <w:lang w:val="es-ES"/>
        </w:rPr>
      </w:pPr>
    </w:p>
    <w:p w14:paraId="71BC253B" w14:textId="2541FA3D" w:rsidR="00B70AA4" w:rsidRPr="005E3D50" w:rsidRDefault="00B70AA4" w:rsidP="00B70AA4">
      <w:pPr>
        <w:pStyle w:val="Heading5"/>
        <w:rPr>
          <w:lang w:val="es-ES"/>
        </w:rPr>
      </w:pPr>
      <w:bookmarkStart w:id="260" w:name="_Toc235821144"/>
      <w:r w:rsidRPr="005E3D50">
        <w:rPr>
          <w:lang w:val="es-ES"/>
        </w:rPr>
        <w:t>Indicadores de progresos</w:t>
      </w:r>
      <w:bookmarkEnd w:id="260"/>
    </w:p>
    <w:p w14:paraId="3DB51E39" w14:textId="77777777" w:rsidR="000B6971" w:rsidRPr="005E3D50" w:rsidRDefault="000B6971" w:rsidP="000927E9">
      <w:pPr>
        <w:pStyle w:val="Caption"/>
        <w:rPr>
          <w:i w:val="0"/>
          <w:sz w:val="20"/>
          <w:szCs w:val="20"/>
          <w:lang w:val="es-ES"/>
        </w:rPr>
      </w:pPr>
    </w:p>
    <w:p w14:paraId="08F7A437" w14:textId="08F9A6C4" w:rsidR="00EA33B8" w:rsidRPr="005E3D50" w:rsidRDefault="000927E9" w:rsidP="000927E9">
      <w:pPr>
        <w:pStyle w:val="Caption"/>
        <w:rPr>
          <w:i w:val="0"/>
          <w:sz w:val="20"/>
          <w:szCs w:val="20"/>
          <w:lang w:val="es-ES"/>
        </w:rPr>
      </w:pPr>
      <w:r w:rsidRPr="005E3D50">
        <w:rPr>
          <w:i w:val="0"/>
          <w:sz w:val="20"/>
          <w:szCs w:val="20"/>
          <w:lang w:val="es-ES"/>
        </w:rPr>
        <w:t>Cuadro 19</w:t>
      </w:r>
      <w:r w:rsidRPr="005E3D50">
        <w:rPr>
          <w:i w:val="0"/>
          <w:iCs w:val="0"/>
          <w:sz w:val="20"/>
          <w:szCs w:val="20"/>
          <w:lang w:val="es-ES"/>
        </w:rPr>
        <w:t xml:space="preserve"> </w:t>
      </w:r>
    </w:p>
    <w:p w14:paraId="740A94F2" w14:textId="28EC079F" w:rsidR="00A27C6B" w:rsidRPr="005E3D50" w:rsidRDefault="00A27C6B" w:rsidP="00A27C6B">
      <w:pPr>
        <w:pStyle w:val="Caption"/>
        <w:rPr>
          <w:b/>
          <w:bCs/>
          <w:i w:val="0"/>
          <w:iCs w:val="0"/>
          <w:sz w:val="20"/>
          <w:szCs w:val="20"/>
          <w:lang w:val="es-ES"/>
        </w:rPr>
      </w:pPr>
      <w:r w:rsidRPr="005E3D50">
        <w:rPr>
          <w:b/>
          <w:bCs/>
          <w:i w:val="0"/>
          <w:iCs w:val="0"/>
          <w:sz w:val="20"/>
          <w:szCs w:val="20"/>
          <w:lang w:val="es-ES"/>
        </w:rPr>
        <w:t>Tablero de puntuación para indicadores de la meta 8 del Marco</w:t>
      </w:r>
    </w:p>
    <w:p w14:paraId="0B0DC089" w14:textId="77777777" w:rsidR="007638A8" w:rsidRPr="005E3D50" w:rsidRDefault="007638A8" w:rsidP="007638A8">
      <w:pPr>
        <w:rPr>
          <w:lang w:val="es-ES" w:eastAsia="ja-JP"/>
        </w:rPr>
      </w:pPr>
    </w:p>
    <w:tbl>
      <w:tblPr>
        <w:tblW w:w="9351" w:type="dxa"/>
        <w:tblLook w:val="04A0" w:firstRow="1" w:lastRow="0" w:firstColumn="1" w:lastColumn="0" w:noHBand="0" w:noVBand="1"/>
      </w:tblPr>
      <w:tblGrid>
        <w:gridCol w:w="3202"/>
        <w:gridCol w:w="1923"/>
        <w:gridCol w:w="1006"/>
        <w:gridCol w:w="2659"/>
        <w:gridCol w:w="561"/>
      </w:tblGrid>
      <w:tr w:rsidR="00EA33B8" w:rsidRPr="005E3D50" w14:paraId="5705393A" w14:textId="77777777" w:rsidTr="008F2E2A">
        <w:trPr>
          <w:trHeight w:val="631"/>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tcPr>
          <w:p w14:paraId="1F638948" w14:textId="77777777" w:rsidR="00EA33B8" w:rsidRPr="005E3D50" w:rsidRDefault="00EA33B8">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29" w:type="dxa"/>
            <w:gridSpan w:val="2"/>
            <w:tcBorders>
              <w:top w:val="single" w:sz="4" w:space="0" w:color="auto"/>
              <w:left w:val="nil"/>
              <w:bottom w:val="single" w:sz="4" w:space="0" w:color="auto"/>
              <w:right w:val="single" w:sz="4" w:space="0" w:color="auto"/>
            </w:tcBorders>
            <w:vAlign w:val="center"/>
          </w:tcPr>
          <w:p w14:paraId="48964494" w14:textId="77777777" w:rsidR="00EA33B8" w:rsidRPr="005E3D50" w:rsidRDefault="00EA33B8">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Uso del indicador</w:t>
            </w:r>
          </w:p>
        </w:tc>
        <w:tc>
          <w:tcPr>
            <w:tcW w:w="3220" w:type="dxa"/>
            <w:gridSpan w:val="2"/>
            <w:tcBorders>
              <w:top w:val="single" w:sz="4" w:space="0" w:color="auto"/>
              <w:left w:val="nil"/>
              <w:bottom w:val="single" w:sz="4" w:space="0" w:color="auto"/>
              <w:right w:val="single" w:sz="4" w:space="0" w:color="auto"/>
            </w:tcBorders>
            <w:vAlign w:val="center"/>
          </w:tcPr>
          <w:p w14:paraId="47D1CF29" w14:textId="77777777" w:rsidR="00EA33B8" w:rsidRPr="005E3D50" w:rsidRDefault="00EA33B8">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Resultados del indicador</w:t>
            </w:r>
          </w:p>
        </w:tc>
      </w:tr>
      <w:tr w:rsidR="0038715B" w:rsidRPr="005E3D50" w14:paraId="21D10341" w14:textId="77777777" w:rsidTr="004C15AD">
        <w:trPr>
          <w:trHeight w:val="1050"/>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713E08" w14:textId="345CC95A" w:rsidR="0038715B" w:rsidRPr="005E3D50" w:rsidRDefault="0038715B" w:rsidP="0038715B">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Indicador binario 8.b: número de países que cuentan con políticas para minimizar el impacto del cambio climático y la acidificación de los océanos en la diversidad biológica y para minimizar los impactos negativos de la acción por el clima en la diversidad biológica y fomentar los impactos positivos</w:t>
            </w:r>
          </w:p>
        </w:tc>
        <w:tc>
          <w:tcPr>
            <w:tcW w:w="1923" w:type="dxa"/>
            <w:tcBorders>
              <w:top w:val="single" w:sz="4" w:space="0" w:color="auto"/>
              <w:left w:val="nil"/>
              <w:bottom w:val="single" w:sz="4" w:space="0" w:color="auto"/>
              <w:right w:val="single" w:sz="4" w:space="0" w:color="auto"/>
            </w:tcBorders>
            <w:vAlign w:val="center"/>
            <w:hideMark/>
          </w:tcPr>
          <w:p w14:paraId="5965C28C" w14:textId="77777777" w:rsidR="0038715B" w:rsidRPr="005E3D50" w:rsidRDefault="0038715B" w:rsidP="0038715B">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127 </w:t>
            </w:r>
            <w:proofErr w:type="gramStart"/>
            <w:r w:rsidRPr="005E3D50">
              <w:rPr>
                <w:rFonts w:ascii="Aptos" w:hAnsi="Aptos"/>
                <w:color w:val="000000"/>
                <w:sz w:val="20"/>
                <w:szCs w:val="20"/>
                <w:lang w:val="es-ES"/>
              </w:rPr>
              <w:t>Partes</w:t>
            </w:r>
            <w:proofErr w:type="gramEnd"/>
          </w:p>
        </w:tc>
        <w:tc>
          <w:tcPr>
            <w:tcW w:w="1006" w:type="dxa"/>
            <w:tcBorders>
              <w:top w:val="single" w:sz="4" w:space="0" w:color="auto"/>
              <w:left w:val="nil"/>
              <w:bottom w:val="single" w:sz="4" w:space="0" w:color="auto"/>
              <w:right w:val="single" w:sz="4" w:space="0" w:color="auto"/>
            </w:tcBorders>
            <w:vAlign w:val="center"/>
            <w:hideMark/>
          </w:tcPr>
          <w:p w14:paraId="2FE568A0" w14:textId="76C1EE23" w:rsidR="0038715B" w:rsidRPr="005E3D50" w:rsidRDefault="0038715B" w:rsidP="0038715B">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n. </w:t>
            </w:r>
            <w:proofErr w:type="spellStart"/>
            <w:proofErr w:type="gramStart"/>
            <w:r w:rsidRPr="005E3D50">
              <w:rPr>
                <w:rFonts w:ascii="Aptos" w:hAnsi="Aptos"/>
                <w:color w:val="000000"/>
                <w:sz w:val="20"/>
                <w:szCs w:val="20"/>
                <w:lang w:val="es-ES"/>
              </w:rPr>
              <w:t>a.</w:t>
            </w:r>
            <w:r w:rsidRPr="005E3D50">
              <w:rPr>
                <w:rFonts w:ascii="Aptos" w:hAnsi="Aptos"/>
                <w:i/>
                <w:iCs/>
                <w:color w:val="000000"/>
                <w:sz w:val="20"/>
                <w:szCs w:val="20"/>
                <w:vertAlign w:val="superscript"/>
                <w:lang w:val="es-ES"/>
              </w:rPr>
              <w:t>a</w:t>
            </w:r>
            <w:proofErr w:type="spellEnd"/>
            <w:proofErr w:type="gramEnd"/>
          </w:p>
        </w:tc>
        <w:tc>
          <w:tcPr>
            <w:tcW w:w="2659" w:type="dxa"/>
            <w:tcBorders>
              <w:top w:val="single" w:sz="4" w:space="0" w:color="auto"/>
              <w:left w:val="nil"/>
              <w:bottom w:val="single" w:sz="4" w:space="0" w:color="auto"/>
              <w:right w:val="single" w:sz="4" w:space="0" w:color="auto"/>
            </w:tcBorders>
            <w:vAlign w:val="center"/>
            <w:hideMark/>
          </w:tcPr>
          <w:p w14:paraId="0EEB8DF5" w14:textId="799D101E" w:rsidR="0038715B" w:rsidRPr="005E3D50" w:rsidRDefault="0038715B" w:rsidP="0038715B">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El 24 % de las Partes tuvieron una puntuación alta (puntuación de 4 o 5)</w:t>
            </w:r>
          </w:p>
        </w:tc>
        <w:tc>
          <w:tcPr>
            <w:tcW w:w="561" w:type="dxa"/>
            <w:tcBorders>
              <w:top w:val="single" w:sz="4" w:space="0" w:color="auto"/>
              <w:left w:val="nil"/>
              <w:bottom w:val="single" w:sz="4" w:space="0" w:color="auto"/>
              <w:right w:val="single" w:sz="4" w:space="0" w:color="auto"/>
            </w:tcBorders>
            <w:shd w:val="clear" w:color="000000" w:fill="C00000"/>
            <w:vAlign w:val="center"/>
            <w:hideMark/>
          </w:tcPr>
          <w:p w14:paraId="7DB19C95" w14:textId="77777777" w:rsidR="0038715B" w:rsidRPr="005E3D50" w:rsidRDefault="0038715B" w:rsidP="0038715B">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r w:rsidR="0038715B" w:rsidRPr="005E3D50" w14:paraId="5612DE4E" w14:textId="77777777" w:rsidTr="004C15AD">
        <w:trPr>
          <w:trHeight w:val="1050"/>
        </w:trPr>
        <w:tc>
          <w:tcPr>
            <w:tcW w:w="3202" w:type="dxa"/>
            <w:tcBorders>
              <w:top w:val="nil"/>
              <w:left w:val="single" w:sz="4" w:space="0" w:color="auto"/>
              <w:bottom w:val="single" w:sz="4" w:space="0" w:color="auto"/>
              <w:right w:val="single" w:sz="4" w:space="0" w:color="auto"/>
            </w:tcBorders>
            <w:shd w:val="clear" w:color="000000" w:fill="FFFFFF"/>
            <w:vAlign w:val="center"/>
            <w:hideMark/>
          </w:tcPr>
          <w:p w14:paraId="6A76A981" w14:textId="77777777" w:rsidR="0038715B" w:rsidRPr="005E3D50" w:rsidRDefault="0038715B" w:rsidP="0038715B">
            <w:pPr>
              <w:spacing w:after="0" w:line="240" w:lineRule="auto"/>
              <w:jc w:val="center"/>
              <w:rPr>
                <w:rFonts w:ascii="Aptos" w:eastAsia="Times New Roman" w:hAnsi="Aptos" w:cs="Times New Roman"/>
                <w:color w:val="000000"/>
                <w:kern w:val="0"/>
                <w:sz w:val="20"/>
                <w:szCs w:val="20"/>
                <w:lang w:val="es-ES"/>
                <w14:ligatures w14:val="none"/>
              </w:rPr>
            </w:pPr>
            <w:r w:rsidRPr="005E3D50">
              <w:rPr>
                <w:color w:val="000000"/>
                <w:sz w:val="20"/>
                <w:szCs w:val="20"/>
                <w:lang w:val="es-ES"/>
              </w:rPr>
              <w:t>Todos los indicadores cuantitativos combinados</w:t>
            </w:r>
          </w:p>
        </w:tc>
        <w:tc>
          <w:tcPr>
            <w:tcW w:w="1923" w:type="dxa"/>
            <w:tcBorders>
              <w:top w:val="nil"/>
              <w:left w:val="nil"/>
              <w:bottom w:val="single" w:sz="4" w:space="0" w:color="auto"/>
              <w:right w:val="single" w:sz="4" w:space="0" w:color="auto"/>
            </w:tcBorders>
            <w:vAlign w:val="center"/>
            <w:hideMark/>
          </w:tcPr>
          <w:p w14:paraId="6551B259" w14:textId="6D1A53C8" w:rsidR="0038715B" w:rsidRPr="005E3D50" w:rsidRDefault="001F3C3D" w:rsidP="0038715B">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szCs w:val="20"/>
                <w:lang w:val="es-ES"/>
              </w:rPr>
              <w:t xml:space="preserve">32 </w:t>
            </w:r>
            <w:proofErr w:type="gramStart"/>
            <w:r w:rsidRPr="005E3D50">
              <w:rPr>
                <w:rFonts w:ascii="Aptos" w:hAnsi="Aptos"/>
                <w:color w:val="000000"/>
                <w:sz w:val="20"/>
                <w:szCs w:val="20"/>
                <w:lang w:val="es-ES"/>
              </w:rPr>
              <w:t>Partes</w:t>
            </w:r>
            <w:proofErr w:type="gramEnd"/>
            <w:r w:rsidRPr="005E3D50">
              <w:rPr>
                <w:rFonts w:ascii="Aptos" w:hAnsi="Aptos"/>
                <w:color w:val="000000"/>
                <w:sz w:val="20"/>
                <w:szCs w:val="20"/>
                <w:lang w:val="es-ES"/>
              </w:rPr>
              <w:t>, 18 %</w:t>
            </w:r>
          </w:p>
        </w:tc>
        <w:tc>
          <w:tcPr>
            <w:tcW w:w="1006" w:type="dxa"/>
            <w:tcBorders>
              <w:top w:val="nil"/>
              <w:left w:val="nil"/>
              <w:bottom w:val="single" w:sz="4" w:space="0" w:color="auto"/>
              <w:right w:val="single" w:sz="4" w:space="0" w:color="auto"/>
            </w:tcBorders>
            <w:shd w:val="clear" w:color="000000" w:fill="C00000"/>
            <w:vAlign w:val="center"/>
            <w:hideMark/>
          </w:tcPr>
          <w:p w14:paraId="0A33DD2C" w14:textId="77777777" w:rsidR="0038715B" w:rsidRPr="005E3D50" w:rsidRDefault="0038715B" w:rsidP="0038715B">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59" w:type="dxa"/>
            <w:tcBorders>
              <w:top w:val="nil"/>
              <w:left w:val="nil"/>
              <w:bottom w:val="single" w:sz="4" w:space="0" w:color="auto"/>
              <w:right w:val="single" w:sz="4" w:space="0" w:color="auto"/>
            </w:tcBorders>
            <w:vAlign w:val="center"/>
            <w:hideMark/>
          </w:tcPr>
          <w:p w14:paraId="44BEF536" w14:textId="77777777" w:rsidR="00ED0C72" w:rsidRPr="005E3D50" w:rsidRDefault="00ED0C72" w:rsidP="00ED0C7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42 % registran tendencias positivas</w:t>
            </w:r>
          </w:p>
          <w:p w14:paraId="7E71E10B" w14:textId="6CD1E591" w:rsidR="0038715B" w:rsidRPr="005E3D50" w:rsidRDefault="00ED0C72" w:rsidP="00ED0C72">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16 % registran tendencias negativas</w:t>
            </w:r>
          </w:p>
        </w:tc>
        <w:tc>
          <w:tcPr>
            <w:tcW w:w="561" w:type="dxa"/>
            <w:tcBorders>
              <w:top w:val="nil"/>
              <w:left w:val="nil"/>
              <w:bottom w:val="single" w:sz="4" w:space="0" w:color="auto"/>
              <w:right w:val="single" w:sz="4" w:space="0" w:color="auto"/>
            </w:tcBorders>
            <w:shd w:val="clear" w:color="000000" w:fill="92D050"/>
            <w:vAlign w:val="bottom"/>
            <w:hideMark/>
          </w:tcPr>
          <w:p w14:paraId="71D36692" w14:textId="77777777" w:rsidR="0038715B" w:rsidRPr="005E3D50" w:rsidRDefault="0038715B" w:rsidP="0038715B">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szCs w:val="20"/>
                <w:lang w:val="es-ES"/>
              </w:rPr>
              <w:t> </w:t>
            </w:r>
          </w:p>
        </w:tc>
      </w:tr>
    </w:tbl>
    <w:p w14:paraId="2CE74C80" w14:textId="77777777" w:rsidR="00EA33B8" w:rsidRPr="005E3D50" w:rsidRDefault="00EA33B8" w:rsidP="00EA33B8">
      <w:pPr>
        <w:rPr>
          <w:rFonts w:ascii="Aptos" w:hAnsi="Aptos"/>
          <w:lang w:val="es-ES" w:eastAsia="en-GB"/>
        </w:rPr>
      </w:pPr>
    </w:p>
    <w:p w14:paraId="795C5475" w14:textId="66852B63" w:rsidR="00BB5772" w:rsidRPr="005E3D50" w:rsidRDefault="00BB5772" w:rsidP="00BB5772">
      <w:pPr>
        <w:rPr>
          <w:rFonts w:ascii="Aptos" w:hAnsi="Aptos"/>
          <w:sz w:val="16"/>
          <w:szCs w:val="16"/>
          <w:lang w:val="es-ES"/>
        </w:rPr>
      </w:pPr>
      <w:r w:rsidRPr="005E3D50">
        <w:rPr>
          <w:rFonts w:ascii="Aptos" w:hAnsi="Aptos"/>
          <w:i/>
          <w:iCs/>
          <w:sz w:val="16"/>
          <w:szCs w:val="16"/>
          <w:lang w:val="es-ES"/>
        </w:rPr>
        <w:t>Nota:</w:t>
      </w:r>
      <w:r w:rsidRPr="005E3D50">
        <w:rPr>
          <w:rFonts w:ascii="Aptos" w:hAnsi="Aptos"/>
          <w:sz w:val="16"/>
          <w:szCs w:val="16"/>
          <w:lang w:val="es-ES"/>
        </w:rPr>
        <w:t xml:space="preserve"> </w:t>
      </w:r>
      <w:r w:rsidRPr="005E3D50">
        <w:rPr>
          <w:sz w:val="16"/>
          <w:szCs w:val="16"/>
          <w:lang w:val="es-ES"/>
        </w:rPr>
        <w:t>El código de colores tiene que ver con la evaluación general de los progresos en todas las metas, cuya metodología está explicada en el tablero de puntuación general resumido (véase el cuadro 3).</w:t>
      </w:r>
      <w:r w:rsidRPr="005E3D50">
        <w:rPr>
          <w:rFonts w:ascii="Aptos" w:hAnsi="Aptos"/>
          <w:sz w:val="16"/>
          <w:szCs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szCs w:val="16"/>
          <w:lang w:val="es-ES"/>
        </w:rPr>
        <w:t>más altas y más bajas</w:t>
      </w:r>
      <w:proofErr w:type="gramEnd"/>
      <w:r w:rsidRPr="005E3D50">
        <w:rPr>
          <w:rFonts w:ascii="Aptos" w:hAnsi="Aptos"/>
          <w:sz w:val="16"/>
          <w:szCs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w:t>
      </w:r>
      <w:r w:rsidRPr="005E3D50">
        <w:rPr>
          <w:rFonts w:ascii="Aptos" w:hAnsi="Aptos"/>
          <w:sz w:val="16"/>
          <w:szCs w:val="16"/>
          <w:lang w:val="es-ES"/>
        </w:rPr>
        <w:lastRenderedPageBreak/>
        <w:t xml:space="preserve">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66211313" w14:textId="77777777" w:rsidR="00BB5772" w:rsidRPr="005E3D50" w:rsidRDefault="00BB5772" w:rsidP="00BB5772">
      <w:pPr>
        <w:pStyle w:val="FootnoteText"/>
        <w:rPr>
          <w:sz w:val="16"/>
          <w:szCs w:val="16"/>
          <w:lang w:val="es-ES"/>
        </w:rPr>
      </w:pPr>
      <w:proofErr w:type="gramStart"/>
      <w:r w:rsidRPr="005E3D50">
        <w:rPr>
          <w:vertAlign w:val="superscript"/>
          <w:lang w:val="es-ES"/>
        </w:rPr>
        <w:t>a</w:t>
      </w:r>
      <w:proofErr w:type="gramEnd"/>
      <w:r w:rsidRPr="005E3D50">
        <w:rPr>
          <w:lang w:val="es-ES"/>
        </w:rPr>
        <w:t xml:space="preserve"> </w:t>
      </w:r>
      <w:r w:rsidRPr="005E3D50">
        <w:rPr>
          <w:sz w:val="16"/>
          <w:szCs w:val="16"/>
          <w:lang w:val="es-ES"/>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025DB42D" w14:textId="6CF6F8E1" w:rsidR="0052024A" w:rsidRPr="005E3D50" w:rsidRDefault="008A6BB0" w:rsidP="00FF7FAA">
      <w:pPr>
        <w:rPr>
          <w:rFonts w:ascii="Aptos" w:hAnsi="Aptos"/>
          <w:lang w:val="es-ES"/>
        </w:rPr>
      </w:pPr>
      <w:r w:rsidRPr="005E3D50">
        <w:rPr>
          <w:rFonts w:ascii="Aptos" w:hAnsi="Aptos"/>
          <w:lang w:val="es-ES"/>
        </w:rPr>
        <w:t xml:space="preserve">En lo que respecta al indicador binario de la meta 8, las Partes informaron en su mayoría que se encontraban en un nivel intermedio de implementación de las medidas relacionadas con los efectos del cambio climático y la acidificación de los océanos en la biodiversidad (véanse el cuadro 19 y la figura 34). Todas las Partes señalaron algunos progresos en relación con esas medidas, pero solo el 2 % señaló su implementación total. </w:t>
      </w:r>
      <w:r w:rsidRPr="005E3D50">
        <w:rPr>
          <w:lang w:val="es-ES"/>
        </w:rPr>
        <w:t>De hecho, casi todas las Partes (97 %) informan que las EPANB incluyen acciones destinadas a minimizar los impactos del cambio climático, y el 90 % informan que sus políticas y planes de acción incluyen soluciones basadas en la naturaleza.</w:t>
      </w:r>
      <w:r w:rsidRPr="005E3D50">
        <w:rPr>
          <w:rFonts w:ascii="Aptos" w:hAnsi="Aptos"/>
          <w:lang w:val="es-ES"/>
        </w:rPr>
        <w:t xml:space="preserve"> Un número menor de Partes señalaron progresos en la implementación de medidas para minimizar los impactos de la acidificación de los océanos. Los indicadores nacionales presentados que estaban armonizados con la meta 8 medían principalmente los impactos del cambio climático, más que la acidificación de los océanos. No obstante, las medidas más amplias relacionadas con el clima adoptadas por las Partes también podrían contribuir a reducir y/o minimizar los </w:t>
      </w:r>
      <w:r w:rsidR="007330F3">
        <w:rPr>
          <w:rFonts w:ascii="Aptos" w:hAnsi="Aptos"/>
          <w:lang w:val="es-ES"/>
        </w:rPr>
        <w:t>impactos</w:t>
      </w:r>
      <w:r w:rsidRPr="005E3D50">
        <w:rPr>
          <w:rFonts w:ascii="Aptos" w:hAnsi="Aptos"/>
          <w:lang w:val="es-ES"/>
        </w:rPr>
        <w:t xml:space="preserve"> de la acidificación de los océanos (véase la figura 35).</w:t>
      </w:r>
    </w:p>
    <w:p w14:paraId="7EFD73DF" w14:textId="77777777" w:rsidR="0052024A" w:rsidRPr="005E3D50" w:rsidRDefault="0052024A" w:rsidP="00FF7FAA">
      <w:pPr>
        <w:rPr>
          <w:rFonts w:ascii="Aptos" w:hAnsi="Aptos"/>
          <w:lang w:val="es-ES" w:eastAsia="en-GB"/>
        </w:rPr>
      </w:pPr>
    </w:p>
    <w:p w14:paraId="7C7593D9" w14:textId="0AF3AC28" w:rsidR="0052024A" w:rsidRPr="005E3D50" w:rsidRDefault="0052024A" w:rsidP="00FF7FAA">
      <w:pPr>
        <w:rPr>
          <w:sz w:val="20"/>
          <w:szCs w:val="20"/>
          <w:lang w:val="es-ES"/>
        </w:rPr>
      </w:pPr>
      <w:r w:rsidRPr="005E3D50">
        <w:rPr>
          <w:sz w:val="20"/>
          <w:szCs w:val="20"/>
          <w:lang w:val="es-ES"/>
        </w:rPr>
        <w:t>Figura 34</w:t>
      </w:r>
    </w:p>
    <w:p w14:paraId="2270E5F8" w14:textId="77777777" w:rsidR="00D26899" w:rsidRPr="005E3D50" w:rsidRDefault="00D26899" w:rsidP="00D26899">
      <w:pPr>
        <w:pStyle w:val="Caption"/>
        <w:rPr>
          <w:rFonts w:ascii="Aptos" w:hAnsi="Aptos"/>
          <w:b/>
          <w:bCs/>
          <w:i w:val="0"/>
          <w:iCs w:val="0"/>
          <w:sz w:val="20"/>
          <w:szCs w:val="20"/>
          <w:lang w:val="es-ES"/>
        </w:rPr>
      </w:pPr>
      <w:r w:rsidRPr="005E3D50">
        <w:rPr>
          <w:rFonts w:ascii="Aptos" w:hAnsi="Aptos"/>
          <w:b/>
          <w:bCs/>
          <w:i w:val="0"/>
          <w:iCs w:val="0"/>
          <w:sz w:val="20"/>
          <w:szCs w:val="20"/>
          <w:lang w:val="es-ES"/>
        </w:rPr>
        <w:t xml:space="preserve">Indicador binario 8.b: número de países que cuentan con políticas para minimizar el impacto del cambio climático y la acidificación de los océanos en la diversidad biológica y para minimizar los impactos negativos de la acción por el clima en la diversidad biológica y fomentar los impactos positivos </w:t>
      </w:r>
    </w:p>
    <w:p w14:paraId="6AB0F9ED" w14:textId="77777777" w:rsidR="00D26899" w:rsidRPr="005E3D50" w:rsidRDefault="00D26899" w:rsidP="00FF7FAA">
      <w:pPr>
        <w:rPr>
          <w:rFonts w:ascii="Aptos" w:hAnsi="Aptos"/>
          <w:sz w:val="20"/>
          <w:szCs w:val="20"/>
          <w:lang w:val="es-ES" w:eastAsia="en-GB"/>
        </w:rPr>
      </w:pPr>
    </w:p>
    <w:p w14:paraId="1C766AF0" w14:textId="7927AE7C" w:rsidR="00471C0F" w:rsidRPr="005E3D50" w:rsidRDefault="004C6F02" w:rsidP="00FF7FAA">
      <w:pPr>
        <w:rPr>
          <w:lang w:val="es-ES"/>
        </w:rPr>
      </w:pPr>
      <w:r w:rsidRPr="005E3D50">
        <w:rPr>
          <w:noProof/>
          <w:lang w:val="en-US"/>
        </w:rPr>
        <w:drawing>
          <wp:inline distT="0" distB="0" distL="0" distR="0" wp14:anchorId="1284D5C0" wp14:editId="0653C574">
            <wp:extent cx="5943600" cy="2264410"/>
            <wp:effectExtent l="0" t="0" r="0" b="0"/>
            <wp:docPr id="739191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91489" name="Picture 739191489"/>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65E8AD7" w14:textId="77777777" w:rsidR="007E1A6A" w:rsidRPr="005E3D50" w:rsidRDefault="007E1A6A" w:rsidP="007E1A6A">
      <w:pPr>
        <w:pStyle w:val="Caption"/>
        <w:rPr>
          <w:rFonts w:ascii="Aptos" w:hAnsi="Aptos"/>
          <w:i w:val="0"/>
          <w:iCs w:val="0"/>
          <w:lang w:val="es-ES"/>
        </w:rPr>
      </w:pPr>
      <w:r w:rsidRPr="005E3D50">
        <w:rPr>
          <w:rFonts w:ascii="Aptos" w:hAnsi="Aptos"/>
          <w:lang w:val="es-ES"/>
        </w:rPr>
        <w:lastRenderedPageBreak/>
        <w:t xml:space="preserve">Nota: </w:t>
      </w:r>
      <w:r w:rsidRPr="005E3D50">
        <w:rPr>
          <w:rFonts w:ascii="Aptos" w:hAnsi="Aptos"/>
          <w:i w:val="0"/>
          <w:iCs w:val="0"/>
          <w:lang w:val="es-ES"/>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hAnsi="Aptos"/>
          <w:i w:val="0"/>
          <w:iCs w:val="0"/>
          <w:lang w:val="es-ES"/>
        </w:rPr>
        <w:t>progresos</w:t>
      </w:r>
      <w:r w:rsidRPr="005E3D50">
        <w:rPr>
          <w:rFonts w:ascii="Aptos" w:hAnsi="Aptos"/>
          <w:i w:val="0"/>
          <w:iCs w:val="0"/>
          <w:vertAlign w:val="superscript"/>
          <w:lang w:val="es-ES"/>
        </w:rPr>
        <w:t>a</w:t>
      </w:r>
      <w:proofErr w:type="spellEnd"/>
      <w:r w:rsidRPr="005E3D50">
        <w:rPr>
          <w:rFonts w:ascii="Aptos" w:hAnsi="Aptos"/>
          <w:i w:val="0"/>
          <w:iCs w:val="0"/>
          <w:lang w:val="es-ES"/>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04013E37" w14:textId="7BB53144" w:rsidR="007E1A6A" w:rsidRPr="005E3D50" w:rsidRDefault="007E1A6A" w:rsidP="007E1A6A">
      <w:pPr>
        <w:rPr>
          <w:sz w:val="18"/>
          <w:szCs w:val="18"/>
          <w:lang w:val="es-ES"/>
        </w:rPr>
      </w:pPr>
      <w:r w:rsidRPr="005E3D50">
        <w:rPr>
          <w:sz w:val="18"/>
          <w:szCs w:val="18"/>
          <w:vertAlign w:val="superscript"/>
          <w:lang w:val="es-ES"/>
        </w:rPr>
        <w:t xml:space="preserve">a </w:t>
      </w:r>
      <w:r w:rsidRPr="005E3D50">
        <w:rPr>
          <w:sz w:val="18"/>
          <w:szCs w:val="18"/>
          <w:lang w:val="es-ES"/>
        </w:rPr>
        <w:t xml:space="preserve">La metodología empleada para calcular los niveles de puntuación para cada indicador binario, así como las preguntas incluidas para cada indicador, figuran en el documento </w:t>
      </w:r>
      <w:hyperlink r:id="rId110" w:history="1">
        <w:r w:rsidRPr="005E3D50">
          <w:rPr>
            <w:rStyle w:val="Hyperlink"/>
            <w:sz w:val="18"/>
            <w:szCs w:val="18"/>
            <w:lang w:val="es-ES"/>
          </w:rPr>
          <w:t>CBD/COP/16/INF/3/Rev.1</w:t>
        </w:r>
      </w:hyperlink>
      <w:r w:rsidRPr="005E3D50">
        <w:rPr>
          <w:sz w:val="18"/>
          <w:szCs w:val="18"/>
          <w:lang w:val="es-ES"/>
        </w:rPr>
        <w:t>.</w:t>
      </w:r>
    </w:p>
    <w:tbl>
      <w:tblPr>
        <w:tblStyle w:val="TableGrid"/>
        <w:tblW w:w="9321" w:type="dxa"/>
        <w:tblLook w:val="04A0" w:firstRow="1" w:lastRow="0" w:firstColumn="1" w:lastColumn="0" w:noHBand="0" w:noVBand="1"/>
      </w:tblPr>
      <w:tblGrid>
        <w:gridCol w:w="5269"/>
        <w:gridCol w:w="4052"/>
      </w:tblGrid>
      <w:tr w:rsidR="00656F90" w:rsidRPr="00656F90" w14:paraId="701B09EE" w14:textId="77777777" w:rsidTr="00656F90">
        <w:tc>
          <w:tcPr>
            <w:tcW w:w="9321" w:type="dxa"/>
            <w:gridSpan w:val="2"/>
          </w:tcPr>
          <w:p w14:paraId="5728B8AB" w14:textId="7012D6B4" w:rsidR="00656F90"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34</w:t>
            </w:r>
          </w:p>
        </w:tc>
      </w:tr>
      <w:tr w:rsidR="00656F90" w:rsidRPr="00656F90" w14:paraId="5286C2B0" w14:textId="77777777" w:rsidTr="00656F90">
        <w:tc>
          <w:tcPr>
            <w:tcW w:w="5269" w:type="dxa"/>
          </w:tcPr>
          <w:p w14:paraId="5858E7DF" w14:textId="7DC637E3" w:rsidR="00656F90" w:rsidRPr="002B1D2B" w:rsidRDefault="00656F90" w:rsidP="00B93410">
            <w:pPr>
              <w:rPr>
                <w:rFonts w:ascii="Aptos" w:hAnsi="Aptos"/>
                <w:sz w:val="18"/>
                <w:szCs w:val="18"/>
                <w:lang w:val="es-ES"/>
              </w:rPr>
            </w:pPr>
            <w:r w:rsidRPr="002B1D2B">
              <w:rPr>
                <w:rFonts w:ascii="Aptos" w:hAnsi="Aptos"/>
                <w:sz w:val="18"/>
                <w:szCs w:val="18"/>
                <w:lang w:val="es-ES"/>
              </w:rPr>
              <w:t>English</w:t>
            </w:r>
          </w:p>
        </w:tc>
        <w:tc>
          <w:tcPr>
            <w:tcW w:w="4051" w:type="dxa"/>
          </w:tcPr>
          <w:p w14:paraId="65C42BF4" w14:textId="08CAD07B" w:rsidR="00656F90"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656F90" w:rsidRPr="00656F90" w14:paraId="4DA7F9A6" w14:textId="77777777" w:rsidTr="00656F90">
        <w:tc>
          <w:tcPr>
            <w:tcW w:w="5269" w:type="dxa"/>
          </w:tcPr>
          <w:p w14:paraId="16E7CC81" w14:textId="77777777" w:rsidR="00656F90" w:rsidRPr="002B1D2B" w:rsidRDefault="00656F90" w:rsidP="00656F90">
            <w:pPr>
              <w:rPr>
                <w:rFonts w:ascii="Aptos" w:hAnsi="Aptos"/>
                <w:sz w:val="18"/>
                <w:szCs w:val="18"/>
                <w:lang w:val="es-ES"/>
              </w:rPr>
            </w:pPr>
            <w:proofErr w:type="spellStart"/>
            <w:r w:rsidRPr="002B1D2B">
              <w:rPr>
                <w:rFonts w:ascii="Aptos" w:hAnsi="Aptos"/>
                <w:sz w:val="18"/>
                <w:szCs w:val="18"/>
                <w:lang w:val="es-ES"/>
              </w:rPr>
              <w:t>Answers</w:t>
            </w:r>
            <w:proofErr w:type="spellEnd"/>
            <w:r w:rsidRPr="002B1D2B">
              <w:rPr>
                <w:rFonts w:ascii="Aptos" w:hAnsi="Aptos"/>
                <w:sz w:val="18"/>
                <w:szCs w:val="18"/>
                <w:lang w:val="es-ES"/>
              </w:rPr>
              <w:t xml:space="preserve"> (</w:t>
            </w:r>
            <w:proofErr w:type="spellStart"/>
            <w:r w:rsidRPr="002B1D2B">
              <w:rPr>
                <w:rFonts w:ascii="Aptos" w:hAnsi="Aptos"/>
                <w:sz w:val="18"/>
                <w:szCs w:val="18"/>
                <w:lang w:val="es-ES"/>
              </w:rPr>
              <w:t>percentage</w:t>
            </w:r>
            <w:proofErr w:type="spellEnd"/>
            <w:r w:rsidRPr="002B1D2B">
              <w:rPr>
                <w:rFonts w:ascii="Aptos" w:hAnsi="Aptos"/>
                <w:sz w:val="18"/>
                <w:szCs w:val="18"/>
                <w:lang w:val="es-ES"/>
              </w:rPr>
              <w:t>)</w:t>
            </w:r>
          </w:p>
        </w:tc>
        <w:tc>
          <w:tcPr>
            <w:tcW w:w="4051" w:type="dxa"/>
          </w:tcPr>
          <w:p w14:paraId="559D4049" w14:textId="0980E829" w:rsidR="00656F90" w:rsidRPr="002B1D2B" w:rsidRDefault="00656F90" w:rsidP="00656F90">
            <w:pPr>
              <w:rPr>
                <w:rFonts w:ascii="Aptos" w:hAnsi="Aptos"/>
                <w:sz w:val="18"/>
                <w:szCs w:val="18"/>
                <w:lang w:val="es-ES"/>
              </w:rPr>
            </w:pPr>
            <w:r w:rsidRPr="002B1D2B">
              <w:rPr>
                <w:rFonts w:ascii="Aptos" w:hAnsi="Aptos"/>
                <w:sz w:val="18"/>
                <w:szCs w:val="18"/>
                <w:lang w:val="es-ES"/>
              </w:rPr>
              <w:t>Respuestas (porcentaje)</w:t>
            </w:r>
          </w:p>
        </w:tc>
      </w:tr>
      <w:tr w:rsidR="00656F90" w:rsidRPr="00656F90" w14:paraId="790C1236" w14:textId="77777777" w:rsidTr="00656F90">
        <w:tc>
          <w:tcPr>
            <w:tcW w:w="5269" w:type="dxa"/>
          </w:tcPr>
          <w:p w14:paraId="40213E5B" w14:textId="77777777" w:rsidR="00656F90" w:rsidRPr="002B1D2B" w:rsidRDefault="00656F90" w:rsidP="00656F90">
            <w:pPr>
              <w:rPr>
                <w:rFonts w:ascii="Aptos" w:hAnsi="Aptos"/>
                <w:sz w:val="18"/>
                <w:szCs w:val="18"/>
                <w:lang w:val="es-ES"/>
              </w:rPr>
            </w:pPr>
            <w:r w:rsidRPr="002B1D2B">
              <w:rPr>
                <w:rFonts w:ascii="Aptos" w:hAnsi="Aptos"/>
                <w:sz w:val="18"/>
                <w:szCs w:val="18"/>
                <w:lang w:val="es-ES"/>
              </w:rPr>
              <w:t>Score Level</w:t>
            </w:r>
          </w:p>
        </w:tc>
        <w:tc>
          <w:tcPr>
            <w:tcW w:w="4051" w:type="dxa"/>
          </w:tcPr>
          <w:p w14:paraId="5661F5DC" w14:textId="315719A1" w:rsidR="00656F90" w:rsidRPr="002B1D2B" w:rsidRDefault="00656F90" w:rsidP="00656F90">
            <w:pPr>
              <w:rPr>
                <w:rFonts w:ascii="Aptos" w:hAnsi="Aptos"/>
                <w:sz w:val="18"/>
                <w:szCs w:val="18"/>
                <w:lang w:val="es-ES"/>
              </w:rPr>
            </w:pPr>
            <w:r w:rsidRPr="002B1D2B">
              <w:rPr>
                <w:rFonts w:ascii="Aptos" w:hAnsi="Aptos"/>
                <w:sz w:val="18"/>
                <w:szCs w:val="18"/>
                <w:lang w:val="es-ES"/>
              </w:rPr>
              <w:t>Nivel de puntuación</w:t>
            </w:r>
          </w:p>
        </w:tc>
      </w:tr>
      <w:tr w:rsidR="00656F90" w:rsidRPr="00656F90" w14:paraId="35E9405A" w14:textId="77777777" w:rsidTr="00656F90">
        <w:tc>
          <w:tcPr>
            <w:tcW w:w="5269" w:type="dxa"/>
          </w:tcPr>
          <w:p w14:paraId="5F2395D4" w14:textId="77777777" w:rsidR="00656F90" w:rsidRPr="002B1D2B" w:rsidRDefault="00656F90" w:rsidP="00656F90">
            <w:pPr>
              <w:rPr>
                <w:rFonts w:ascii="Aptos" w:hAnsi="Aptos"/>
                <w:sz w:val="18"/>
                <w:szCs w:val="18"/>
                <w:lang w:val="es-ES"/>
              </w:rPr>
            </w:pPr>
            <w:r w:rsidRPr="002B1D2B">
              <w:rPr>
                <w:rFonts w:ascii="Aptos" w:hAnsi="Aptos"/>
                <w:sz w:val="18"/>
                <w:szCs w:val="18"/>
                <w:lang w:val="es-ES"/>
              </w:rPr>
              <w:t xml:space="preserve">Party </w:t>
            </w:r>
            <w:proofErr w:type="spellStart"/>
            <w:r w:rsidRPr="002B1D2B">
              <w:rPr>
                <w:rFonts w:ascii="Aptos" w:hAnsi="Aptos"/>
                <w:sz w:val="18"/>
                <w:szCs w:val="18"/>
                <w:lang w:val="es-ES"/>
              </w:rPr>
              <w:t>count</w:t>
            </w:r>
            <w:proofErr w:type="spellEnd"/>
            <w:r w:rsidRPr="002B1D2B">
              <w:rPr>
                <w:rFonts w:ascii="Aptos" w:hAnsi="Aptos"/>
                <w:sz w:val="18"/>
                <w:szCs w:val="18"/>
                <w:lang w:val="es-ES"/>
              </w:rPr>
              <w:t>: 127</w:t>
            </w:r>
          </w:p>
        </w:tc>
        <w:tc>
          <w:tcPr>
            <w:tcW w:w="4051" w:type="dxa"/>
          </w:tcPr>
          <w:p w14:paraId="7337DBBA" w14:textId="757EF9D2" w:rsidR="00656F90" w:rsidRPr="002B1D2B" w:rsidRDefault="00656F90" w:rsidP="00656F90">
            <w:pPr>
              <w:rPr>
                <w:rFonts w:ascii="Aptos" w:hAnsi="Aptos"/>
                <w:sz w:val="18"/>
                <w:szCs w:val="18"/>
                <w:lang w:val="es-ES"/>
              </w:rPr>
            </w:pPr>
            <w:r w:rsidRPr="002B1D2B">
              <w:rPr>
                <w:rFonts w:ascii="Aptos" w:hAnsi="Aptos"/>
                <w:sz w:val="18"/>
                <w:szCs w:val="18"/>
                <w:lang w:val="es-ES"/>
              </w:rPr>
              <w:t>Número de Partes: 127</w:t>
            </w:r>
          </w:p>
        </w:tc>
      </w:tr>
      <w:tr w:rsidR="00656F90" w:rsidRPr="00656F90" w14:paraId="260590E6" w14:textId="77777777" w:rsidTr="00656F90">
        <w:tc>
          <w:tcPr>
            <w:tcW w:w="5269" w:type="dxa"/>
          </w:tcPr>
          <w:p w14:paraId="50569CD4" w14:textId="77777777" w:rsidR="00656F90" w:rsidRPr="002B1D2B" w:rsidRDefault="00656F90" w:rsidP="00656F90">
            <w:pPr>
              <w:rPr>
                <w:rFonts w:ascii="Aptos" w:hAnsi="Aptos"/>
                <w:sz w:val="18"/>
                <w:szCs w:val="18"/>
                <w:lang w:val="es-ES"/>
              </w:rPr>
            </w:pPr>
            <w:proofErr w:type="spellStart"/>
            <w:r w:rsidRPr="002B1D2B">
              <w:rPr>
                <w:rFonts w:ascii="Aptos" w:hAnsi="Aptos"/>
                <w:sz w:val="18"/>
                <w:szCs w:val="18"/>
                <w:lang w:val="es-ES"/>
              </w:rPr>
              <w:t>Region</w:t>
            </w:r>
            <w:proofErr w:type="spellEnd"/>
          </w:p>
        </w:tc>
        <w:tc>
          <w:tcPr>
            <w:tcW w:w="4051" w:type="dxa"/>
          </w:tcPr>
          <w:p w14:paraId="25CB4C94" w14:textId="2342E04E" w:rsidR="00656F90" w:rsidRPr="002B1D2B" w:rsidRDefault="00656F90" w:rsidP="00656F90">
            <w:pPr>
              <w:rPr>
                <w:rFonts w:ascii="Aptos" w:hAnsi="Aptos"/>
                <w:sz w:val="18"/>
                <w:szCs w:val="18"/>
                <w:lang w:val="es-ES"/>
              </w:rPr>
            </w:pPr>
            <w:r w:rsidRPr="002B1D2B">
              <w:rPr>
                <w:rFonts w:ascii="Aptos" w:hAnsi="Aptos"/>
                <w:sz w:val="18"/>
                <w:szCs w:val="18"/>
                <w:lang w:val="es-ES"/>
              </w:rPr>
              <w:t>Región</w:t>
            </w:r>
          </w:p>
        </w:tc>
      </w:tr>
      <w:tr w:rsidR="00656F90" w:rsidRPr="00656F90" w14:paraId="7D0FB183" w14:textId="77777777" w:rsidTr="00656F90">
        <w:tc>
          <w:tcPr>
            <w:tcW w:w="5269" w:type="dxa"/>
          </w:tcPr>
          <w:p w14:paraId="3E94879E" w14:textId="77777777" w:rsidR="00656F90" w:rsidRPr="002B1D2B" w:rsidRDefault="00656F90" w:rsidP="00656F90">
            <w:pPr>
              <w:rPr>
                <w:rFonts w:ascii="Aptos" w:hAnsi="Aptos"/>
                <w:sz w:val="18"/>
                <w:szCs w:val="18"/>
                <w:lang w:val="es-ES"/>
              </w:rPr>
            </w:pPr>
            <w:r w:rsidRPr="002B1D2B">
              <w:rPr>
                <w:rFonts w:ascii="Aptos" w:hAnsi="Aptos"/>
                <w:sz w:val="18"/>
                <w:szCs w:val="18"/>
                <w:lang w:val="es-ES"/>
              </w:rPr>
              <w:t>African States</w:t>
            </w:r>
          </w:p>
        </w:tc>
        <w:tc>
          <w:tcPr>
            <w:tcW w:w="4051" w:type="dxa"/>
          </w:tcPr>
          <w:p w14:paraId="63239DD9" w14:textId="57A3E348" w:rsidR="00656F90" w:rsidRPr="002B1D2B" w:rsidRDefault="00656F90" w:rsidP="00656F90">
            <w:pPr>
              <w:rPr>
                <w:rFonts w:ascii="Aptos" w:hAnsi="Aptos"/>
                <w:sz w:val="18"/>
                <w:szCs w:val="18"/>
                <w:lang w:val="es-ES"/>
              </w:rPr>
            </w:pPr>
            <w:r w:rsidRPr="002B1D2B">
              <w:rPr>
                <w:rFonts w:ascii="Aptos" w:hAnsi="Aptos"/>
                <w:sz w:val="18"/>
                <w:szCs w:val="18"/>
                <w:lang w:val="es-ES"/>
              </w:rPr>
              <w:t>Estados de África</w:t>
            </w:r>
          </w:p>
        </w:tc>
      </w:tr>
      <w:tr w:rsidR="00656F90" w:rsidRPr="00656F90" w14:paraId="1271F38E" w14:textId="77777777" w:rsidTr="00656F90">
        <w:tc>
          <w:tcPr>
            <w:tcW w:w="5269" w:type="dxa"/>
          </w:tcPr>
          <w:p w14:paraId="5E19E43A" w14:textId="77777777" w:rsidR="00656F90" w:rsidRPr="002B1D2B" w:rsidRDefault="00656F90" w:rsidP="00656F90">
            <w:pPr>
              <w:rPr>
                <w:rFonts w:ascii="Aptos" w:hAnsi="Aptos"/>
                <w:sz w:val="18"/>
                <w:szCs w:val="18"/>
                <w:lang w:val="es-ES"/>
              </w:rPr>
            </w:pPr>
            <w:r w:rsidRPr="002B1D2B">
              <w:rPr>
                <w:rFonts w:ascii="Aptos" w:hAnsi="Aptos"/>
                <w:sz w:val="18"/>
                <w:szCs w:val="18"/>
                <w:lang w:val="es-ES"/>
              </w:rPr>
              <w:t>Asia-Pacific States</w:t>
            </w:r>
          </w:p>
        </w:tc>
        <w:tc>
          <w:tcPr>
            <w:tcW w:w="4051" w:type="dxa"/>
          </w:tcPr>
          <w:p w14:paraId="22557CBC" w14:textId="45531DEB" w:rsidR="00656F90" w:rsidRPr="002B1D2B" w:rsidRDefault="00656F90" w:rsidP="00656F90">
            <w:pPr>
              <w:rPr>
                <w:rFonts w:ascii="Aptos" w:hAnsi="Aptos"/>
                <w:sz w:val="18"/>
                <w:szCs w:val="18"/>
                <w:lang w:val="es-ES"/>
              </w:rPr>
            </w:pPr>
            <w:r w:rsidRPr="002B1D2B">
              <w:rPr>
                <w:rFonts w:ascii="Aptos" w:hAnsi="Aptos"/>
                <w:sz w:val="18"/>
                <w:szCs w:val="18"/>
                <w:lang w:val="es-ES"/>
              </w:rPr>
              <w:t>Estados de Asia y el Pacífico</w:t>
            </w:r>
          </w:p>
        </w:tc>
      </w:tr>
      <w:tr w:rsidR="00656F90" w:rsidRPr="00656F90" w14:paraId="4082EC0E" w14:textId="77777777" w:rsidTr="00656F90">
        <w:tc>
          <w:tcPr>
            <w:tcW w:w="5269" w:type="dxa"/>
          </w:tcPr>
          <w:p w14:paraId="38993A6B" w14:textId="77777777" w:rsidR="00656F90" w:rsidRPr="002B1D2B" w:rsidRDefault="00656F90" w:rsidP="00656F90">
            <w:pPr>
              <w:rPr>
                <w:rFonts w:ascii="Aptos" w:hAnsi="Aptos"/>
                <w:sz w:val="18"/>
                <w:szCs w:val="18"/>
                <w:lang w:val="en-US"/>
              </w:rPr>
            </w:pPr>
            <w:r w:rsidRPr="002B1D2B">
              <w:rPr>
                <w:rFonts w:ascii="Aptos" w:hAnsi="Aptos"/>
                <w:sz w:val="18"/>
                <w:szCs w:val="18"/>
                <w:lang w:val="en-US"/>
              </w:rPr>
              <w:t>Latin American and Caribbean States</w:t>
            </w:r>
          </w:p>
        </w:tc>
        <w:tc>
          <w:tcPr>
            <w:tcW w:w="4051" w:type="dxa"/>
          </w:tcPr>
          <w:p w14:paraId="6962FEAC" w14:textId="20AF9544" w:rsidR="00656F90" w:rsidRPr="002B1D2B" w:rsidRDefault="00656F90" w:rsidP="00656F90">
            <w:pPr>
              <w:rPr>
                <w:rFonts w:ascii="Aptos" w:hAnsi="Aptos"/>
                <w:sz w:val="18"/>
                <w:szCs w:val="18"/>
                <w:lang w:val="es-ES"/>
              </w:rPr>
            </w:pPr>
            <w:r w:rsidRPr="002B1D2B">
              <w:rPr>
                <w:rFonts w:ascii="Aptos" w:hAnsi="Aptos"/>
                <w:sz w:val="18"/>
                <w:szCs w:val="18"/>
                <w:lang w:val="es-ES"/>
              </w:rPr>
              <w:t>Estados de América Latina y el Caribe</w:t>
            </w:r>
          </w:p>
        </w:tc>
      </w:tr>
      <w:tr w:rsidR="00656F90" w:rsidRPr="00656F90" w14:paraId="6C5242CB" w14:textId="77777777" w:rsidTr="00656F90">
        <w:tc>
          <w:tcPr>
            <w:tcW w:w="5269" w:type="dxa"/>
          </w:tcPr>
          <w:p w14:paraId="79A6A2A2" w14:textId="77777777" w:rsidR="00656F90" w:rsidRPr="002B1D2B" w:rsidRDefault="00656F90" w:rsidP="00656F90">
            <w:pPr>
              <w:rPr>
                <w:rFonts w:ascii="Aptos" w:hAnsi="Aptos"/>
                <w:sz w:val="18"/>
                <w:szCs w:val="18"/>
                <w:lang w:val="es-ES"/>
              </w:rPr>
            </w:pPr>
            <w:r w:rsidRPr="002B1D2B">
              <w:rPr>
                <w:rFonts w:ascii="Aptos" w:hAnsi="Aptos"/>
                <w:sz w:val="18"/>
                <w:szCs w:val="18"/>
                <w:lang w:val="es-ES"/>
              </w:rPr>
              <w:t xml:space="preserve"> Eastern European States</w:t>
            </w:r>
          </w:p>
        </w:tc>
        <w:tc>
          <w:tcPr>
            <w:tcW w:w="4051" w:type="dxa"/>
          </w:tcPr>
          <w:p w14:paraId="08BA20FC" w14:textId="0AFE23D4" w:rsidR="00656F90" w:rsidRPr="002B1D2B" w:rsidRDefault="00656F90" w:rsidP="00656F90">
            <w:pPr>
              <w:rPr>
                <w:rFonts w:ascii="Aptos" w:hAnsi="Aptos"/>
                <w:sz w:val="18"/>
                <w:szCs w:val="18"/>
                <w:lang w:val="es-ES"/>
              </w:rPr>
            </w:pPr>
            <w:r w:rsidRPr="002B1D2B">
              <w:rPr>
                <w:rFonts w:ascii="Aptos" w:hAnsi="Aptos"/>
                <w:sz w:val="18"/>
                <w:szCs w:val="18"/>
                <w:lang w:val="es-ES"/>
              </w:rPr>
              <w:t>Estados de Europa Oriental</w:t>
            </w:r>
          </w:p>
        </w:tc>
      </w:tr>
      <w:tr w:rsidR="00656F90" w:rsidRPr="00656F90" w14:paraId="180AD7FC" w14:textId="77777777" w:rsidTr="00656F90">
        <w:tc>
          <w:tcPr>
            <w:tcW w:w="5269" w:type="dxa"/>
          </w:tcPr>
          <w:p w14:paraId="2AD96846" w14:textId="77777777" w:rsidR="00656F90" w:rsidRPr="002B1D2B" w:rsidRDefault="00656F90" w:rsidP="00656F90">
            <w:pPr>
              <w:rPr>
                <w:rFonts w:ascii="Aptos" w:hAnsi="Aptos"/>
                <w:sz w:val="18"/>
                <w:szCs w:val="18"/>
                <w:lang w:val="en-US"/>
              </w:rPr>
            </w:pPr>
            <w:r w:rsidRPr="002B1D2B">
              <w:rPr>
                <w:rFonts w:ascii="Aptos" w:hAnsi="Aptos"/>
                <w:sz w:val="18"/>
                <w:szCs w:val="18"/>
                <w:lang w:val="en-US"/>
              </w:rPr>
              <w:t>Western European and other States</w:t>
            </w:r>
          </w:p>
        </w:tc>
        <w:tc>
          <w:tcPr>
            <w:tcW w:w="4051" w:type="dxa"/>
          </w:tcPr>
          <w:p w14:paraId="71820916" w14:textId="52B1327D" w:rsidR="00656F90" w:rsidRPr="002B1D2B" w:rsidRDefault="00656F90" w:rsidP="00656F90">
            <w:pPr>
              <w:rPr>
                <w:rFonts w:ascii="Aptos" w:hAnsi="Aptos"/>
                <w:sz w:val="18"/>
                <w:szCs w:val="18"/>
                <w:lang w:val="es-ES"/>
              </w:rPr>
            </w:pPr>
            <w:r w:rsidRPr="002B1D2B">
              <w:rPr>
                <w:rFonts w:ascii="Aptos" w:hAnsi="Aptos"/>
                <w:sz w:val="18"/>
                <w:szCs w:val="18"/>
                <w:lang w:val="es-ES"/>
              </w:rPr>
              <w:t>Estados de Europa Occidental y otros Estados</w:t>
            </w:r>
          </w:p>
        </w:tc>
      </w:tr>
    </w:tbl>
    <w:p w14:paraId="0DFF3FC6" w14:textId="77777777" w:rsidR="007E1A6A" w:rsidRPr="005E3D50" w:rsidRDefault="007E1A6A" w:rsidP="00EA33B8">
      <w:pPr>
        <w:rPr>
          <w:sz w:val="20"/>
          <w:szCs w:val="20"/>
          <w:lang w:val="es-ES"/>
        </w:rPr>
      </w:pPr>
    </w:p>
    <w:p w14:paraId="3746E48B" w14:textId="4F6BDE19" w:rsidR="009B6034" w:rsidRPr="005E3D50" w:rsidRDefault="009B6034" w:rsidP="00EA33B8">
      <w:pPr>
        <w:rPr>
          <w:rFonts w:ascii="Aptos" w:hAnsi="Aptos"/>
          <w:sz w:val="20"/>
          <w:szCs w:val="20"/>
          <w:lang w:val="es-ES"/>
        </w:rPr>
      </w:pPr>
      <w:r w:rsidRPr="005E3D50">
        <w:rPr>
          <w:sz w:val="20"/>
          <w:szCs w:val="20"/>
          <w:lang w:val="es-ES"/>
        </w:rPr>
        <w:t>Figura 35</w:t>
      </w:r>
    </w:p>
    <w:p w14:paraId="665CAECA" w14:textId="7D0415F9" w:rsidR="005D69A5" w:rsidRPr="005E3D50" w:rsidRDefault="005D69A5" w:rsidP="005D69A5">
      <w:pPr>
        <w:pStyle w:val="Caption"/>
        <w:rPr>
          <w:b/>
          <w:bCs/>
          <w:i w:val="0"/>
          <w:iCs w:val="0"/>
          <w:sz w:val="20"/>
          <w:szCs w:val="20"/>
          <w:lang w:val="es-ES"/>
        </w:rPr>
      </w:pPr>
      <w:r w:rsidRPr="005E3D50">
        <w:rPr>
          <w:b/>
          <w:bCs/>
          <w:i w:val="0"/>
          <w:iCs w:val="0"/>
          <w:sz w:val="20"/>
          <w:szCs w:val="20"/>
          <w:lang w:val="es-ES"/>
        </w:rPr>
        <w:t xml:space="preserve">Porcentaje de indicadores armonizados con la meta 8 del Marco que sugieren tendencias de mejora, estables y negativas, respectivamente </w:t>
      </w:r>
    </w:p>
    <w:p w14:paraId="540F3477" w14:textId="77777777" w:rsidR="005D69A5" w:rsidRPr="005E3D50" w:rsidRDefault="005D69A5" w:rsidP="00EA33B8">
      <w:pPr>
        <w:rPr>
          <w:rFonts w:ascii="Aptos" w:hAnsi="Aptos"/>
          <w:lang w:val="es-ES" w:eastAsia="ja-JP"/>
        </w:rPr>
      </w:pPr>
    </w:p>
    <w:p w14:paraId="6D3D1021" w14:textId="7030435E" w:rsidR="00471C0F" w:rsidRPr="005E3D50" w:rsidRDefault="00EA33B8" w:rsidP="00C36B3B">
      <w:pPr>
        <w:pStyle w:val="Caption"/>
        <w:rPr>
          <w:rFonts w:ascii="Aptos" w:hAnsi="Aptos"/>
          <w:i w:val="0"/>
          <w:iCs w:val="0"/>
          <w:lang w:val="es-ES"/>
        </w:rPr>
      </w:pPr>
      <w:r w:rsidRPr="005E3D50">
        <w:rPr>
          <w:rFonts w:ascii="Aptos" w:hAnsi="Aptos"/>
          <w:i w:val="0"/>
          <w:iCs w:val="0"/>
          <w:lang w:val="es-ES"/>
        </w:rPr>
        <w:t xml:space="preserve"> </w:t>
      </w:r>
      <w:r w:rsidRPr="005E3D50">
        <w:rPr>
          <w:noProof/>
          <w:lang w:val="en-US" w:eastAsia="en-US"/>
        </w:rPr>
        <w:drawing>
          <wp:inline distT="0" distB="0" distL="0" distR="0" wp14:anchorId="61BBA629" wp14:editId="3EB4E84F">
            <wp:extent cx="5731510" cy="2456180"/>
            <wp:effectExtent l="0" t="0" r="0" b="0"/>
            <wp:docPr id="523529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29711" name="Picture 52352971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822201" w14:textId="57F7C7B8" w:rsidR="001B710E" w:rsidRDefault="00007C4C" w:rsidP="001B710E">
      <w:pPr>
        <w:pStyle w:val="Caption"/>
        <w:rPr>
          <w:rFonts w:ascii="Aptos" w:hAnsi="Aptos"/>
          <w:i w:val="0"/>
          <w:iCs w:val="0"/>
          <w:lang w:val="es-ES"/>
        </w:rPr>
      </w:pPr>
      <w:r w:rsidRPr="005E3D50">
        <w:rPr>
          <w:rFonts w:ascii="Aptos" w:hAnsi="Aptos"/>
          <w:lang w:val="es-ES"/>
        </w:rPr>
        <w:t>Nota:</w:t>
      </w:r>
      <w:r w:rsidRPr="005E3D50">
        <w:rPr>
          <w:rFonts w:ascii="Aptos" w:hAnsi="Aptos"/>
          <w:i w:val="0"/>
          <w:iCs w:val="0"/>
          <w:lang w:val="es-ES"/>
        </w:rPr>
        <w:t xml:space="preserve"> Las proporciones están ponderadas por Parte. Las tendencias incluyen datos de 2 indicadores de componentes, 4 indicadores complementarios y 74 indicadores nacionales de un total de 32 Partes. El gráfico circular muestra la distribución de las Partes que presentaron indicadores para la meta 8,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172" w:type="dxa"/>
        <w:tblLook w:val="04A0" w:firstRow="1" w:lastRow="0" w:firstColumn="1" w:lastColumn="0" w:noHBand="0" w:noVBand="1"/>
      </w:tblPr>
      <w:tblGrid>
        <w:gridCol w:w="5391"/>
        <w:gridCol w:w="3781"/>
      </w:tblGrid>
      <w:tr w:rsidR="009B383C" w:rsidRPr="002B1D2B" w14:paraId="42E3EEF4" w14:textId="77777777" w:rsidTr="009B383C">
        <w:tc>
          <w:tcPr>
            <w:tcW w:w="9172" w:type="dxa"/>
            <w:gridSpan w:val="2"/>
          </w:tcPr>
          <w:p w14:paraId="5785CEB9" w14:textId="2DAFCCC0" w:rsidR="009B383C" w:rsidRPr="002B1D2B" w:rsidRDefault="007533CC" w:rsidP="00B93410">
            <w:pPr>
              <w:rPr>
                <w:rFonts w:ascii="Aptos" w:hAnsi="Aptos"/>
                <w:sz w:val="18"/>
                <w:szCs w:val="18"/>
                <w:lang w:val="es-ES"/>
              </w:rPr>
            </w:pPr>
            <w:r w:rsidRPr="002B1D2B">
              <w:rPr>
                <w:rFonts w:ascii="Aptos" w:hAnsi="Aptos"/>
                <w:sz w:val="18"/>
                <w:szCs w:val="18"/>
                <w:lang w:val="es-ES"/>
              </w:rPr>
              <w:t>Figura</w:t>
            </w:r>
            <w:r w:rsidR="002B1D2B" w:rsidRPr="002B1D2B">
              <w:rPr>
                <w:rFonts w:ascii="Aptos" w:hAnsi="Aptos"/>
                <w:sz w:val="18"/>
                <w:szCs w:val="18"/>
                <w:lang w:val="es-ES"/>
              </w:rPr>
              <w:t xml:space="preserve"> 35</w:t>
            </w:r>
          </w:p>
        </w:tc>
      </w:tr>
      <w:tr w:rsidR="009B383C" w:rsidRPr="002B1D2B" w14:paraId="6D1A25F4" w14:textId="77777777" w:rsidTr="009B383C">
        <w:tc>
          <w:tcPr>
            <w:tcW w:w="5391" w:type="dxa"/>
          </w:tcPr>
          <w:p w14:paraId="3D52E14E" w14:textId="09B4C2DD" w:rsidR="009B383C" w:rsidRPr="002B1D2B" w:rsidRDefault="009B383C" w:rsidP="00B93410">
            <w:pPr>
              <w:rPr>
                <w:rFonts w:ascii="Aptos" w:hAnsi="Aptos"/>
                <w:sz w:val="18"/>
                <w:szCs w:val="18"/>
                <w:lang w:val="es-ES"/>
              </w:rPr>
            </w:pPr>
            <w:r w:rsidRPr="002B1D2B">
              <w:rPr>
                <w:rFonts w:ascii="Aptos" w:hAnsi="Aptos"/>
                <w:sz w:val="18"/>
                <w:szCs w:val="18"/>
                <w:lang w:val="es-ES"/>
              </w:rPr>
              <w:t>English</w:t>
            </w:r>
          </w:p>
        </w:tc>
        <w:tc>
          <w:tcPr>
            <w:tcW w:w="3780" w:type="dxa"/>
          </w:tcPr>
          <w:p w14:paraId="2F9A3EEF" w14:textId="689A50C9" w:rsidR="009B383C"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9B383C" w:rsidRPr="002B1D2B" w14:paraId="1EC0016C" w14:textId="77777777" w:rsidTr="009B383C">
        <w:tc>
          <w:tcPr>
            <w:tcW w:w="5391" w:type="dxa"/>
          </w:tcPr>
          <w:p w14:paraId="1F2EFAA7" w14:textId="77777777" w:rsidR="009B383C" w:rsidRPr="002B1D2B" w:rsidRDefault="009B383C" w:rsidP="009B383C">
            <w:pPr>
              <w:rPr>
                <w:rFonts w:ascii="Aptos" w:hAnsi="Aptos"/>
                <w:sz w:val="18"/>
                <w:szCs w:val="18"/>
                <w:lang w:val="es-ES"/>
              </w:rPr>
            </w:pPr>
            <w:proofErr w:type="spellStart"/>
            <w:r w:rsidRPr="002B1D2B">
              <w:rPr>
                <w:rFonts w:ascii="Aptos" w:hAnsi="Aptos"/>
                <w:sz w:val="18"/>
                <w:szCs w:val="18"/>
                <w:lang w:val="es-ES"/>
              </w:rPr>
              <w:lastRenderedPageBreak/>
              <w:t>Proportion</w:t>
            </w:r>
            <w:proofErr w:type="spellEnd"/>
          </w:p>
        </w:tc>
        <w:tc>
          <w:tcPr>
            <w:tcW w:w="3780" w:type="dxa"/>
          </w:tcPr>
          <w:p w14:paraId="685299A1" w14:textId="737C2CEC" w:rsidR="009B383C" w:rsidRPr="002B1D2B" w:rsidRDefault="009B383C" w:rsidP="009B383C">
            <w:pPr>
              <w:rPr>
                <w:rFonts w:ascii="Aptos" w:hAnsi="Aptos"/>
                <w:sz w:val="18"/>
                <w:szCs w:val="18"/>
                <w:lang w:val="es-ES"/>
              </w:rPr>
            </w:pPr>
            <w:r w:rsidRPr="002B1D2B">
              <w:rPr>
                <w:rFonts w:ascii="Aptos" w:hAnsi="Aptos"/>
                <w:sz w:val="18"/>
                <w:szCs w:val="18"/>
                <w:lang w:val="es-ES"/>
              </w:rPr>
              <w:t>Proporción</w:t>
            </w:r>
          </w:p>
        </w:tc>
      </w:tr>
      <w:tr w:rsidR="009B383C" w:rsidRPr="002B1D2B" w14:paraId="104B8525" w14:textId="77777777" w:rsidTr="009B383C">
        <w:tc>
          <w:tcPr>
            <w:tcW w:w="5391" w:type="dxa"/>
          </w:tcPr>
          <w:p w14:paraId="47035BF5" w14:textId="77777777" w:rsidR="009B383C" w:rsidRPr="002B1D2B" w:rsidRDefault="009B383C" w:rsidP="009B383C">
            <w:pPr>
              <w:rPr>
                <w:rFonts w:ascii="Aptos" w:hAnsi="Aptos"/>
                <w:sz w:val="18"/>
                <w:szCs w:val="18"/>
                <w:lang w:val="es-ES"/>
              </w:rPr>
            </w:pPr>
            <w:r w:rsidRPr="002B1D2B">
              <w:rPr>
                <w:rFonts w:ascii="Aptos" w:hAnsi="Aptos"/>
                <w:sz w:val="18"/>
                <w:szCs w:val="18"/>
                <w:lang w:val="es-ES"/>
              </w:rPr>
              <w:t xml:space="preserve">Current </w:t>
            </w:r>
            <w:proofErr w:type="gramStart"/>
            <w:r w:rsidRPr="002B1D2B">
              <w:rPr>
                <w:rFonts w:ascii="Aptos" w:hAnsi="Aptos"/>
                <w:sz w:val="18"/>
                <w:szCs w:val="18"/>
                <w:lang w:val="es-ES"/>
              </w:rPr>
              <w:t>Status</w:t>
            </w:r>
            <w:proofErr w:type="gramEnd"/>
          </w:p>
        </w:tc>
        <w:tc>
          <w:tcPr>
            <w:tcW w:w="3780" w:type="dxa"/>
          </w:tcPr>
          <w:p w14:paraId="66EBAA08" w14:textId="7DD44195" w:rsidR="009B383C" w:rsidRPr="002B1D2B" w:rsidRDefault="009B383C" w:rsidP="009B383C">
            <w:pPr>
              <w:rPr>
                <w:rFonts w:ascii="Aptos" w:hAnsi="Aptos"/>
                <w:sz w:val="18"/>
                <w:szCs w:val="18"/>
                <w:lang w:val="es-ES"/>
              </w:rPr>
            </w:pPr>
            <w:r w:rsidRPr="002B1D2B">
              <w:rPr>
                <w:rFonts w:ascii="Aptos" w:hAnsi="Aptos"/>
                <w:sz w:val="18"/>
                <w:szCs w:val="18"/>
                <w:lang w:val="es-ES"/>
              </w:rPr>
              <w:t>Estado actual</w:t>
            </w:r>
          </w:p>
        </w:tc>
      </w:tr>
      <w:tr w:rsidR="009B383C" w:rsidRPr="002B1D2B" w14:paraId="4C70A2F5" w14:textId="77777777" w:rsidTr="009B383C">
        <w:tc>
          <w:tcPr>
            <w:tcW w:w="5391" w:type="dxa"/>
          </w:tcPr>
          <w:p w14:paraId="3C3F898C" w14:textId="77777777" w:rsidR="009B383C" w:rsidRPr="002B1D2B" w:rsidRDefault="009B383C" w:rsidP="009B383C">
            <w:pPr>
              <w:rPr>
                <w:rFonts w:ascii="Aptos" w:hAnsi="Aptos"/>
                <w:sz w:val="18"/>
                <w:szCs w:val="18"/>
                <w:lang w:val="es-ES"/>
              </w:rPr>
            </w:pPr>
            <w:proofErr w:type="spellStart"/>
            <w:r w:rsidRPr="002B1D2B">
              <w:rPr>
                <w:rFonts w:ascii="Aptos" w:hAnsi="Aptos"/>
                <w:sz w:val="18"/>
                <w:szCs w:val="18"/>
                <w:lang w:val="es-ES"/>
              </w:rPr>
              <w:t>improving</w:t>
            </w:r>
            <w:proofErr w:type="spellEnd"/>
          </w:p>
        </w:tc>
        <w:tc>
          <w:tcPr>
            <w:tcW w:w="3780" w:type="dxa"/>
          </w:tcPr>
          <w:p w14:paraId="6C8CA709" w14:textId="52E4E80A" w:rsidR="009B383C" w:rsidRPr="002B1D2B" w:rsidRDefault="009B383C" w:rsidP="009B383C">
            <w:pPr>
              <w:rPr>
                <w:rFonts w:ascii="Aptos" w:hAnsi="Aptos"/>
                <w:sz w:val="18"/>
                <w:szCs w:val="18"/>
                <w:lang w:val="es-ES"/>
              </w:rPr>
            </w:pPr>
            <w:r w:rsidRPr="002B1D2B">
              <w:rPr>
                <w:rFonts w:ascii="Aptos" w:hAnsi="Aptos"/>
                <w:sz w:val="18"/>
                <w:szCs w:val="18"/>
                <w:lang w:val="es-ES"/>
              </w:rPr>
              <w:t>mejorando</w:t>
            </w:r>
          </w:p>
        </w:tc>
      </w:tr>
      <w:tr w:rsidR="009B383C" w:rsidRPr="002B1D2B" w14:paraId="2304AE3A" w14:textId="77777777" w:rsidTr="009B383C">
        <w:tc>
          <w:tcPr>
            <w:tcW w:w="5391" w:type="dxa"/>
          </w:tcPr>
          <w:p w14:paraId="1828666D" w14:textId="77777777" w:rsidR="009B383C" w:rsidRPr="002B1D2B" w:rsidRDefault="009B383C" w:rsidP="009B383C">
            <w:pPr>
              <w:rPr>
                <w:rFonts w:ascii="Aptos" w:hAnsi="Aptos"/>
                <w:sz w:val="18"/>
                <w:szCs w:val="18"/>
                <w:lang w:val="es-ES"/>
              </w:rPr>
            </w:pPr>
            <w:proofErr w:type="spellStart"/>
            <w:r w:rsidRPr="002B1D2B">
              <w:rPr>
                <w:rFonts w:ascii="Aptos" w:hAnsi="Aptos"/>
                <w:sz w:val="18"/>
                <w:szCs w:val="18"/>
                <w:lang w:val="es-ES"/>
              </w:rPr>
              <w:t>stable</w:t>
            </w:r>
            <w:proofErr w:type="spellEnd"/>
          </w:p>
        </w:tc>
        <w:tc>
          <w:tcPr>
            <w:tcW w:w="3780" w:type="dxa"/>
          </w:tcPr>
          <w:p w14:paraId="60EE19C5" w14:textId="32A6ABAA" w:rsidR="009B383C" w:rsidRPr="002B1D2B" w:rsidRDefault="009B383C" w:rsidP="009B383C">
            <w:pPr>
              <w:rPr>
                <w:rFonts w:ascii="Aptos" w:hAnsi="Aptos"/>
                <w:sz w:val="18"/>
                <w:szCs w:val="18"/>
                <w:lang w:val="es-ES"/>
              </w:rPr>
            </w:pPr>
            <w:r w:rsidRPr="002B1D2B">
              <w:rPr>
                <w:rFonts w:ascii="Aptos" w:hAnsi="Aptos"/>
                <w:sz w:val="18"/>
                <w:szCs w:val="18"/>
                <w:lang w:val="es-ES"/>
              </w:rPr>
              <w:t>estable</w:t>
            </w:r>
          </w:p>
        </w:tc>
      </w:tr>
      <w:tr w:rsidR="009B383C" w:rsidRPr="002B1D2B" w14:paraId="0D808A3D" w14:textId="77777777" w:rsidTr="009B383C">
        <w:tc>
          <w:tcPr>
            <w:tcW w:w="5391" w:type="dxa"/>
          </w:tcPr>
          <w:p w14:paraId="059CBEAA" w14:textId="77777777" w:rsidR="009B383C" w:rsidRPr="002B1D2B" w:rsidRDefault="009B383C" w:rsidP="009B383C">
            <w:pPr>
              <w:rPr>
                <w:rFonts w:ascii="Aptos" w:hAnsi="Aptos"/>
                <w:sz w:val="18"/>
                <w:szCs w:val="18"/>
                <w:lang w:val="es-ES"/>
              </w:rPr>
            </w:pPr>
            <w:proofErr w:type="spellStart"/>
            <w:r w:rsidRPr="002B1D2B">
              <w:rPr>
                <w:rFonts w:ascii="Aptos" w:hAnsi="Aptos"/>
                <w:sz w:val="18"/>
                <w:szCs w:val="18"/>
                <w:lang w:val="es-ES"/>
              </w:rPr>
              <w:t>moving</w:t>
            </w:r>
            <w:proofErr w:type="spellEnd"/>
            <w:r w:rsidRPr="002B1D2B">
              <w:rPr>
                <w:rFonts w:ascii="Aptos" w:hAnsi="Aptos"/>
                <w:sz w:val="18"/>
                <w:szCs w:val="18"/>
                <w:lang w:val="es-ES"/>
              </w:rPr>
              <w:t xml:space="preserve"> </w:t>
            </w:r>
            <w:proofErr w:type="spellStart"/>
            <w:r w:rsidRPr="002B1D2B">
              <w:rPr>
                <w:rFonts w:ascii="Aptos" w:hAnsi="Aptos"/>
                <w:sz w:val="18"/>
                <w:szCs w:val="18"/>
                <w:lang w:val="es-ES"/>
              </w:rPr>
              <w:t>away</w:t>
            </w:r>
            <w:proofErr w:type="spellEnd"/>
          </w:p>
        </w:tc>
        <w:tc>
          <w:tcPr>
            <w:tcW w:w="3780" w:type="dxa"/>
          </w:tcPr>
          <w:p w14:paraId="694B4032" w14:textId="3F145F0A" w:rsidR="009B383C" w:rsidRPr="002B1D2B" w:rsidRDefault="009B383C" w:rsidP="009B383C">
            <w:pPr>
              <w:rPr>
                <w:rFonts w:ascii="Aptos" w:hAnsi="Aptos"/>
                <w:sz w:val="18"/>
                <w:szCs w:val="18"/>
                <w:lang w:val="es-ES"/>
              </w:rPr>
            </w:pPr>
            <w:r w:rsidRPr="002B1D2B">
              <w:rPr>
                <w:rFonts w:ascii="Aptos" w:hAnsi="Aptos"/>
                <w:sz w:val="18"/>
                <w:szCs w:val="18"/>
                <w:lang w:val="es-ES"/>
              </w:rPr>
              <w:t>alejándose</w:t>
            </w:r>
          </w:p>
        </w:tc>
      </w:tr>
      <w:tr w:rsidR="009B383C" w:rsidRPr="002B1D2B" w14:paraId="1BB30290" w14:textId="77777777" w:rsidTr="009B383C">
        <w:tc>
          <w:tcPr>
            <w:tcW w:w="5391" w:type="dxa"/>
          </w:tcPr>
          <w:p w14:paraId="17440DB8" w14:textId="77777777" w:rsidR="009B383C" w:rsidRPr="002B1D2B" w:rsidRDefault="009B383C" w:rsidP="009B383C">
            <w:pPr>
              <w:rPr>
                <w:rFonts w:ascii="Aptos" w:hAnsi="Aptos"/>
                <w:sz w:val="18"/>
                <w:szCs w:val="18"/>
                <w:lang w:val="es-ES"/>
              </w:rPr>
            </w:pPr>
            <w:r w:rsidRPr="002B1D2B">
              <w:rPr>
                <w:rFonts w:ascii="Aptos" w:hAnsi="Aptos"/>
                <w:sz w:val="18"/>
                <w:szCs w:val="18"/>
                <w:lang w:val="es-ES"/>
              </w:rPr>
              <w:t xml:space="preserve">Party </w:t>
            </w:r>
            <w:proofErr w:type="spellStart"/>
            <w:r w:rsidRPr="002B1D2B">
              <w:rPr>
                <w:rFonts w:ascii="Aptos" w:hAnsi="Aptos"/>
                <w:sz w:val="18"/>
                <w:szCs w:val="18"/>
                <w:lang w:val="es-ES"/>
              </w:rPr>
              <w:t>count</w:t>
            </w:r>
            <w:proofErr w:type="spellEnd"/>
            <w:r w:rsidRPr="002B1D2B">
              <w:rPr>
                <w:rFonts w:ascii="Aptos" w:hAnsi="Aptos"/>
                <w:sz w:val="18"/>
                <w:szCs w:val="18"/>
                <w:lang w:val="es-ES"/>
              </w:rPr>
              <w:t>: 32</w:t>
            </w:r>
          </w:p>
        </w:tc>
        <w:tc>
          <w:tcPr>
            <w:tcW w:w="3780" w:type="dxa"/>
          </w:tcPr>
          <w:p w14:paraId="28CF113B" w14:textId="0B8EEB03" w:rsidR="009B383C" w:rsidRPr="002B1D2B" w:rsidRDefault="009B383C" w:rsidP="009B383C">
            <w:pPr>
              <w:rPr>
                <w:rFonts w:ascii="Aptos" w:hAnsi="Aptos"/>
                <w:sz w:val="18"/>
                <w:szCs w:val="18"/>
                <w:lang w:val="es-ES"/>
              </w:rPr>
            </w:pPr>
            <w:r w:rsidRPr="002B1D2B">
              <w:rPr>
                <w:rFonts w:ascii="Aptos" w:hAnsi="Aptos"/>
                <w:sz w:val="18"/>
                <w:szCs w:val="18"/>
                <w:lang w:val="es-ES"/>
              </w:rPr>
              <w:t>Número de Partes: 32</w:t>
            </w:r>
          </w:p>
        </w:tc>
      </w:tr>
      <w:tr w:rsidR="009B383C" w:rsidRPr="002B1D2B" w14:paraId="6B43A9CB" w14:textId="77777777" w:rsidTr="009B383C">
        <w:tc>
          <w:tcPr>
            <w:tcW w:w="5391" w:type="dxa"/>
          </w:tcPr>
          <w:p w14:paraId="3D75FC2B" w14:textId="77777777" w:rsidR="009B383C" w:rsidRPr="002B1D2B" w:rsidRDefault="009B383C" w:rsidP="009B383C">
            <w:pPr>
              <w:rPr>
                <w:rFonts w:ascii="Aptos" w:hAnsi="Aptos"/>
                <w:sz w:val="18"/>
                <w:szCs w:val="18"/>
                <w:lang w:val="es-ES"/>
              </w:rPr>
            </w:pPr>
            <w:proofErr w:type="spellStart"/>
            <w:r w:rsidRPr="002B1D2B">
              <w:rPr>
                <w:rFonts w:ascii="Aptos" w:hAnsi="Aptos"/>
                <w:sz w:val="18"/>
                <w:szCs w:val="18"/>
                <w:lang w:val="es-ES"/>
              </w:rPr>
              <w:t>Region</w:t>
            </w:r>
            <w:proofErr w:type="spellEnd"/>
          </w:p>
        </w:tc>
        <w:tc>
          <w:tcPr>
            <w:tcW w:w="3780" w:type="dxa"/>
          </w:tcPr>
          <w:p w14:paraId="7257DDC0" w14:textId="04DA868B" w:rsidR="009B383C" w:rsidRPr="002B1D2B" w:rsidRDefault="009B383C" w:rsidP="009B383C">
            <w:pPr>
              <w:rPr>
                <w:rFonts w:ascii="Aptos" w:hAnsi="Aptos"/>
                <w:sz w:val="18"/>
                <w:szCs w:val="18"/>
                <w:lang w:val="es-ES"/>
              </w:rPr>
            </w:pPr>
            <w:r w:rsidRPr="002B1D2B">
              <w:rPr>
                <w:rFonts w:ascii="Aptos" w:hAnsi="Aptos"/>
                <w:sz w:val="18"/>
                <w:szCs w:val="18"/>
                <w:lang w:val="es-ES"/>
              </w:rPr>
              <w:t>Región</w:t>
            </w:r>
          </w:p>
        </w:tc>
      </w:tr>
      <w:tr w:rsidR="009B383C" w:rsidRPr="002B1D2B" w14:paraId="20D5DBE9" w14:textId="77777777" w:rsidTr="009B383C">
        <w:tc>
          <w:tcPr>
            <w:tcW w:w="5391" w:type="dxa"/>
          </w:tcPr>
          <w:p w14:paraId="1DD5AE7C" w14:textId="77777777" w:rsidR="009B383C" w:rsidRPr="002B1D2B" w:rsidRDefault="009B383C" w:rsidP="009B383C">
            <w:pPr>
              <w:rPr>
                <w:rFonts w:ascii="Aptos" w:hAnsi="Aptos"/>
                <w:sz w:val="18"/>
                <w:szCs w:val="18"/>
                <w:lang w:val="es-ES"/>
              </w:rPr>
            </w:pPr>
            <w:r w:rsidRPr="002B1D2B">
              <w:rPr>
                <w:rFonts w:ascii="Aptos" w:hAnsi="Aptos"/>
                <w:sz w:val="18"/>
                <w:szCs w:val="18"/>
                <w:lang w:val="es-ES"/>
              </w:rPr>
              <w:t>African States</w:t>
            </w:r>
          </w:p>
        </w:tc>
        <w:tc>
          <w:tcPr>
            <w:tcW w:w="3780" w:type="dxa"/>
          </w:tcPr>
          <w:p w14:paraId="29938784" w14:textId="4E683BAA" w:rsidR="009B383C" w:rsidRPr="002B1D2B" w:rsidRDefault="009B383C" w:rsidP="009B383C">
            <w:pPr>
              <w:rPr>
                <w:rFonts w:ascii="Aptos" w:hAnsi="Aptos"/>
                <w:sz w:val="18"/>
                <w:szCs w:val="18"/>
                <w:lang w:val="es-ES"/>
              </w:rPr>
            </w:pPr>
            <w:r w:rsidRPr="002B1D2B">
              <w:rPr>
                <w:rFonts w:ascii="Aptos" w:hAnsi="Aptos"/>
                <w:sz w:val="18"/>
                <w:szCs w:val="18"/>
                <w:lang w:val="es-ES"/>
              </w:rPr>
              <w:t>Estados de África</w:t>
            </w:r>
          </w:p>
        </w:tc>
      </w:tr>
      <w:tr w:rsidR="009B383C" w:rsidRPr="002B1D2B" w14:paraId="587FF21C" w14:textId="77777777" w:rsidTr="009B383C">
        <w:tc>
          <w:tcPr>
            <w:tcW w:w="5391" w:type="dxa"/>
          </w:tcPr>
          <w:p w14:paraId="476235BD" w14:textId="77777777" w:rsidR="009B383C" w:rsidRPr="002B1D2B" w:rsidRDefault="009B383C" w:rsidP="009B383C">
            <w:pPr>
              <w:rPr>
                <w:rFonts w:ascii="Aptos" w:hAnsi="Aptos"/>
                <w:sz w:val="18"/>
                <w:szCs w:val="18"/>
                <w:lang w:val="es-ES"/>
              </w:rPr>
            </w:pPr>
            <w:r w:rsidRPr="002B1D2B">
              <w:rPr>
                <w:rFonts w:ascii="Aptos" w:hAnsi="Aptos"/>
                <w:sz w:val="18"/>
                <w:szCs w:val="18"/>
                <w:lang w:val="es-ES"/>
              </w:rPr>
              <w:t>Asia-Pacific States</w:t>
            </w:r>
          </w:p>
        </w:tc>
        <w:tc>
          <w:tcPr>
            <w:tcW w:w="3780" w:type="dxa"/>
          </w:tcPr>
          <w:p w14:paraId="1DB46110" w14:textId="0FC5D94E" w:rsidR="009B383C" w:rsidRPr="002B1D2B" w:rsidRDefault="009B383C" w:rsidP="009B383C">
            <w:pPr>
              <w:rPr>
                <w:rFonts w:ascii="Aptos" w:hAnsi="Aptos"/>
                <w:sz w:val="18"/>
                <w:szCs w:val="18"/>
                <w:lang w:val="es-ES"/>
              </w:rPr>
            </w:pPr>
            <w:r w:rsidRPr="002B1D2B">
              <w:rPr>
                <w:rFonts w:ascii="Aptos" w:hAnsi="Aptos"/>
                <w:sz w:val="18"/>
                <w:szCs w:val="18"/>
                <w:lang w:val="es-ES"/>
              </w:rPr>
              <w:t>Estados de Asia y el Pacífico</w:t>
            </w:r>
          </w:p>
        </w:tc>
      </w:tr>
      <w:tr w:rsidR="009B383C" w:rsidRPr="002B1D2B" w14:paraId="0261B33B" w14:textId="77777777" w:rsidTr="009B383C">
        <w:tc>
          <w:tcPr>
            <w:tcW w:w="5391" w:type="dxa"/>
          </w:tcPr>
          <w:p w14:paraId="3F77FFFA" w14:textId="77777777" w:rsidR="009B383C" w:rsidRPr="002B1D2B" w:rsidRDefault="009B383C" w:rsidP="009B383C">
            <w:pPr>
              <w:rPr>
                <w:rFonts w:ascii="Aptos" w:hAnsi="Aptos"/>
                <w:sz w:val="18"/>
                <w:szCs w:val="18"/>
                <w:lang w:val="en-US"/>
              </w:rPr>
            </w:pPr>
            <w:r w:rsidRPr="002B1D2B">
              <w:rPr>
                <w:rFonts w:ascii="Aptos" w:hAnsi="Aptos"/>
                <w:sz w:val="18"/>
                <w:szCs w:val="18"/>
                <w:lang w:val="en-US"/>
              </w:rPr>
              <w:t>Latin American and Caribbean States</w:t>
            </w:r>
          </w:p>
        </w:tc>
        <w:tc>
          <w:tcPr>
            <w:tcW w:w="3780" w:type="dxa"/>
          </w:tcPr>
          <w:p w14:paraId="79A3F18F" w14:textId="342E3212" w:rsidR="009B383C" w:rsidRPr="002B1D2B" w:rsidRDefault="009B383C" w:rsidP="009B383C">
            <w:pPr>
              <w:rPr>
                <w:rFonts w:ascii="Aptos" w:hAnsi="Aptos"/>
                <w:sz w:val="18"/>
                <w:szCs w:val="18"/>
                <w:lang w:val="es-ES"/>
              </w:rPr>
            </w:pPr>
            <w:r w:rsidRPr="002B1D2B">
              <w:rPr>
                <w:rFonts w:ascii="Aptos" w:hAnsi="Aptos"/>
                <w:sz w:val="18"/>
                <w:szCs w:val="18"/>
                <w:lang w:val="es-ES"/>
              </w:rPr>
              <w:t>Estados de América Latina y el Caribe</w:t>
            </w:r>
          </w:p>
        </w:tc>
      </w:tr>
      <w:tr w:rsidR="009B383C" w:rsidRPr="002B1D2B" w14:paraId="5DF46DB5" w14:textId="77777777" w:rsidTr="009B383C">
        <w:tc>
          <w:tcPr>
            <w:tcW w:w="5391" w:type="dxa"/>
          </w:tcPr>
          <w:p w14:paraId="7925A1F1" w14:textId="77777777" w:rsidR="009B383C" w:rsidRPr="002B1D2B" w:rsidRDefault="009B383C" w:rsidP="009B383C">
            <w:pPr>
              <w:rPr>
                <w:rFonts w:ascii="Aptos" w:hAnsi="Aptos"/>
                <w:sz w:val="18"/>
                <w:szCs w:val="18"/>
                <w:lang w:val="es-ES"/>
              </w:rPr>
            </w:pPr>
            <w:r w:rsidRPr="002B1D2B">
              <w:rPr>
                <w:rFonts w:ascii="Aptos" w:hAnsi="Aptos"/>
                <w:sz w:val="18"/>
                <w:szCs w:val="18"/>
                <w:lang w:val="es-ES"/>
              </w:rPr>
              <w:t xml:space="preserve"> Eastern European States</w:t>
            </w:r>
          </w:p>
        </w:tc>
        <w:tc>
          <w:tcPr>
            <w:tcW w:w="3780" w:type="dxa"/>
          </w:tcPr>
          <w:p w14:paraId="33C28DA5" w14:textId="6B43A0DF" w:rsidR="009B383C" w:rsidRPr="002B1D2B" w:rsidRDefault="009B383C" w:rsidP="009B383C">
            <w:pPr>
              <w:rPr>
                <w:rFonts w:ascii="Aptos" w:hAnsi="Aptos"/>
                <w:sz w:val="18"/>
                <w:szCs w:val="18"/>
                <w:lang w:val="es-ES"/>
              </w:rPr>
            </w:pPr>
            <w:r w:rsidRPr="002B1D2B">
              <w:rPr>
                <w:rFonts w:ascii="Aptos" w:hAnsi="Aptos"/>
                <w:sz w:val="18"/>
                <w:szCs w:val="18"/>
                <w:lang w:val="es-ES"/>
              </w:rPr>
              <w:t>Estados de Europa Oriental</w:t>
            </w:r>
          </w:p>
        </w:tc>
      </w:tr>
      <w:tr w:rsidR="009B383C" w:rsidRPr="002B1D2B" w14:paraId="7A81276F" w14:textId="77777777" w:rsidTr="009B383C">
        <w:tc>
          <w:tcPr>
            <w:tcW w:w="5391" w:type="dxa"/>
          </w:tcPr>
          <w:p w14:paraId="052191B3" w14:textId="77777777" w:rsidR="009B383C" w:rsidRPr="002B1D2B" w:rsidRDefault="009B383C" w:rsidP="009B383C">
            <w:pPr>
              <w:rPr>
                <w:rFonts w:ascii="Aptos" w:hAnsi="Aptos"/>
                <w:sz w:val="18"/>
                <w:szCs w:val="18"/>
                <w:lang w:val="en-US"/>
              </w:rPr>
            </w:pPr>
            <w:r w:rsidRPr="002B1D2B">
              <w:rPr>
                <w:rFonts w:ascii="Aptos" w:hAnsi="Aptos"/>
                <w:sz w:val="18"/>
                <w:szCs w:val="18"/>
                <w:lang w:val="en-US"/>
              </w:rPr>
              <w:t xml:space="preserve">Western </w:t>
            </w:r>
            <w:proofErr w:type="spellStart"/>
            <w:r w:rsidRPr="002B1D2B">
              <w:rPr>
                <w:rFonts w:ascii="Aptos" w:hAnsi="Aptos"/>
                <w:sz w:val="18"/>
                <w:szCs w:val="18"/>
                <w:lang w:val="en-US"/>
              </w:rPr>
              <w:t>Europeean</w:t>
            </w:r>
            <w:proofErr w:type="spellEnd"/>
            <w:r w:rsidRPr="002B1D2B">
              <w:rPr>
                <w:rFonts w:ascii="Aptos" w:hAnsi="Aptos"/>
                <w:sz w:val="18"/>
                <w:szCs w:val="18"/>
                <w:lang w:val="en-US"/>
              </w:rPr>
              <w:t xml:space="preserve"> and other States</w:t>
            </w:r>
          </w:p>
        </w:tc>
        <w:tc>
          <w:tcPr>
            <w:tcW w:w="3780" w:type="dxa"/>
          </w:tcPr>
          <w:p w14:paraId="73DF2471" w14:textId="1C7F7E07" w:rsidR="009B383C" w:rsidRPr="002B1D2B" w:rsidRDefault="009B383C" w:rsidP="009B383C">
            <w:pPr>
              <w:rPr>
                <w:rFonts w:ascii="Aptos" w:hAnsi="Aptos"/>
                <w:sz w:val="18"/>
                <w:szCs w:val="18"/>
                <w:lang w:val="es-ES"/>
              </w:rPr>
            </w:pPr>
            <w:r w:rsidRPr="002B1D2B">
              <w:rPr>
                <w:rFonts w:ascii="Aptos" w:hAnsi="Aptos"/>
                <w:sz w:val="18"/>
                <w:szCs w:val="18"/>
                <w:lang w:val="es-ES"/>
              </w:rPr>
              <w:t>Estados de Europa Occidental y otros Estados</w:t>
            </w:r>
          </w:p>
        </w:tc>
      </w:tr>
    </w:tbl>
    <w:p w14:paraId="57CB622C" w14:textId="77777777" w:rsidR="001B710E" w:rsidRPr="005E3D50" w:rsidRDefault="001B710E" w:rsidP="001B710E">
      <w:pPr>
        <w:rPr>
          <w:lang w:val="es-ES" w:eastAsia="ja-JP"/>
        </w:rPr>
      </w:pPr>
    </w:p>
    <w:p w14:paraId="759CA53B" w14:textId="77777777" w:rsidR="00B70AA4" w:rsidRPr="005E3D50" w:rsidRDefault="00B70AA4" w:rsidP="00E05E2B">
      <w:pPr>
        <w:pStyle w:val="Heading5"/>
        <w:rPr>
          <w:lang w:val="es-ES"/>
        </w:rPr>
      </w:pPr>
      <w:bookmarkStart w:id="261" w:name="_Toc235821145"/>
      <w:r w:rsidRPr="005E3D50">
        <w:rPr>
          <w:lang w:val="es-ES"/>
        </w:rPr>
        <w:t>Autoevaluación de progresos</w:t>
      </w:r>
      <w:bookmarkEnd w:id="261"/>
    </w:p>
    <w:p w14:paraId="7FA3DB15" w14:textId="1592DFED" w:rsidR="00BD2557" w:rsidRPr="005E3D50" w:rsidRDefault="008C3D26" w:rsidP="00BD2557">
      <w:pPr>
        <w:rPr>
          <w:rStyle w:val="normaltextrun"/>
          <w:rFonts w:ascii="Aptos" w:hAnsi="Aptos"/>
          <w:lang w:val="es-ES"/>
        </w:rPr>
      </w:pPr>
      <w:r w:rsidRPr="005E3D50">
        <w:rPr>
          <w:lang w:val="es-ES"/>
        </w:rPr>
        <w:t>Según la autoevaluación realizada por las Partes en sus informes nacionales, el 42 % de las metas nacionales presentadas como estrechamente armonizadas con la meta 8 están en vías de alcanzarse, frente a un número mayor (53 %) que no muestran cambios significativos o bien muestran progresos insuficientes, y solo dos metas nacionales (1 %) que se informa que ya se alcanzaron (véase la figura 36).</w:t>
      </w:r>
    </w:p>
    <w:p w14:paraId="51DF5677" w14:textId="77777777" w:rsidR="00BD7C37" w:rsidRPr="005E3D50" w:rsidRDefault="00BD7C37" w:rsidP="00BD2557">
      <w:pPr>
        <w:rPr>
          <w:rStyle w:val="normaltextrun"/>
          <w:rFonts w:ascii="Aptos" w:hAnsi="Aptos"/>
          <w:sz w:val="20"/>
          <w:szCs w:val="20"/>
          <w:lang w:val="es-ES"/>
        </w:rPr>
      </w:pPr>
    </w:p>
    <w:p w14:paraId="6EBA1F8E" w14:textId="2E83DCDD" w:rsidR="003B45E1" w:rsidRPr="005E3D50" w:rsidRDefault="003B45E1" w:rsidP="003B45E1">
      <w:pPr>
        <w:pStyle w:val="Caption"/>
        <w:rPr>
          <w:i w:val="0"/>
          <w:iCs w:val="0"/>
          <w:sz w:val="20"/>
          <w:szCs w:val="20"/>
          <w:lang w:val="es-ES"/>
        </w:rPr>
      </w:pPr>
      <w:r w:rsidRPr="005E3D50">
        <w:rPr>
          <w:i w:val="0"/>
          <w:iCs w:val="0"/>
          <w:sz w:val="20"/>
          <w:szCs w:val="20"/>
          <w:lang w:val="es-ES"/>
        </w:rPr>
        <w:t xml:space="preserve">Figura 36 </w:t>
      </w:r>
    </w:p>
    <w:p w14:paraId="2D472E5F" w14:textId="7AA6F2FD" w:rsidR="00BD7C37" w:rsidRPr="005E3D50" w:rsidRDefault="00BD7C37" w:rsidP="00BD7C37">
      <w:pPr>
        <w:pStyle w:val="Caption"/>
        <w:rPr>
          <w:b/>
          <w:bCs/>
          <w:i w:val="0"/>
          <w:iCs w:val="0"/>
          <w:sz w:val="20"/>
          <w:szCs w:val="20"/>
          <w:lang w:val="es-ES"/>
        </w:rPr>
      </w:pPr>
      <w:r w:rsidRPr="005E3D50">
        <w:rPr>
          <w:b/>
          <w:bCs/>
          <w:i w:val="0"/>
          <w:iCs w:val="0"/>
          <w:sz w:val="20"/>
          <w:szCs w:val="20"/>
          <w:lang w:val="es-ES"/>
        </w:rPr>
        <w:t xml:space="preserve">Progresos indicados por las autoevaluaciones para todas las metas nacionales comunicadas como estrechamente armonizadas con la meta 8 del Marco </w:t>
      </w:r>
    </w:p>
    <w:p w14:paraId="5832BB45" w14:textId="77777777" w:rsidR="00BD7C37" w:rsidRPr="005E3D50" w:rsidRDefault="00BD7C37" w:rsidP="00BD2557">
      <w:pPr>
        <w:rPr>
          <w:rFonts w:ascii="Aptos" w:eastAsia="Aptos" w:hAnsi="Aptos" w:cs="Aptos"/>
          <w:lang w:val="es-ES"/>
        </w:rPr>
      </w:pPr>
    </w:p>
    <w:p w14:paraId="7DE88DFE" w14:textId="540127FC" w:rsidR="00471C0F" w:rsidRPr="005E3D50" w:rsidRDefault="00DA5BC5" w:rsidP="00BD2557">
      <w:pPr>
        <w:pStyle w:val="Caption"/>
        <w:rPr>
          <w:lang w:val="es-ES"/>
        </w:rPr>
      </w:pPr>
      <w:r w:rsidRPr="005E3D50">
        <w:rPr>
          <w:noProof/>
          <w:lang w:val="en-US" w:eastAsia="en-US"/>
        </w:rPr>
        <w:drawing>
          <wp:inline distT="0" distB="0" distL="0" distR="0" wp14:anchorId="2DAFAA5A" wp14:editId="1323DDAD">
            <wp:extent cx="5731510" cy="2292350"/>
            <wp:effectExtent l="0" t="0" r="0" b="6350"/>
            <wp:docPr id="884927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7366" name="Picture 88492736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224F30F" w14:textId="77777777" w:rsidR="006A5857" w:rsidRDefault="006A5857" w:rsidP="006A5857">
      <w:pPr>
        <w:pStyle w:val="Caption"/>
        <w:rPr>
          <w:rFonts w:ascii="Aptos" w:hAnsi="Aptos"/>
          <w:i w:val="0"/>
          <w:iCs w:val="0"/>
          <w:lang w:val="es-ES"/>
        </w:rPr>
      </w:pPr>
      <w:r w:rsidRPr="005E3D50">
        <w:rPr>
          <w:lang w:val="es-ES"/>
        </w:rPr>
        <w:t>Nota:</w:t>
      </w:r>
      <w:r w:rsidRPr="005E3D50">
        <w:rPr>
          <w:i w:val="0"/>
          <w:iCs w:val="0"/>
          <w:lang w:val="es-ES"/>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hAnsi="Aptos"/>
          <w:i w:val="0"/>
          <w:iCs w:val="0"/>
          <w:lang w:val="es-ES"/>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86" w:type="dxa"/>
        <w:tblLook w:val="04A0" w:firstRow="1" w:lastRow="0" w:firstColumn="1" w:lastColumn="0" w:noHBand="0" w:noVBand="1"/>
      </w:tblPr>
      <w:tblGrid>
        <w:gridCol w:w="5144"/>
        <w:gridCol w:w="4242"/>
      </w:tblGrid>
      <w:tr w:rsidR="00843875" w:rsidRPr="002B1D2B" w14:paraId="5EE063AD" w14:textId="77777777" w:rsidTr="00A41D06">
        <w:tc>
          <w:tcPr>
            <w:tcW w:w="9386" w:type="dxa"/>
            <w:gridSpan w:val="2"/>
          </w:tcPr>
          <w:p w14:paraId="52CF99AB" w14:textId="4131C12D" w:rsidR="00843875" w:rsidRPr="002B1D2B" w:rsidRDefault="007533CC" w:rsidP="00B93410">
            <w:pPr>
              <w:rPr>
                <w:rFonts w:ascii="Aptos" w:hAnsi="Aptos"/>
                <w:sz w:val="18"/>
                <w:szCs w:val="18"/>
                <w:lang w:val="es-ES"/>
              </w:rPr>
            </w:pPr>
            <w:r w:rsidRPr="002B1D2B">
              <w:rPr>
                <w:rFonts w:ascii="Aptos" w:hAnsi="Aptos"/>
                <w:sz w:val="18"/>
                <w:szCs w:val="18"/>
                <w:lang w:val="es-ES"/>
              </w:rPr>
              <w:lastRenderedPageBreak/>
              <w:t>Figura</w:t>
            </w:r>
            <w:r w:rsidR="002B1D2B" w:rsidRPr="002B1D2B">
              <w:rPr>
                <w:rFonts w:ascii="Aptos" w:hAnsi="Aptos"/>
                <w:sz w:val="18"/>
                <w:szCs w:val="18"/>
                <w:lang w:val="es-ES"/>
              </w:rPr>
              <w:t xml:space="preserve"> 36</w:t>
            </w:r>
          </w:p>
        </w:tc>
      </w:tr>
      <w:tr w:rsidR="00843875" w:rsidRPr="002B1D2B" w14:paraId="1462CC6E" w14:textId="77777777" w:rsidTr="00A41D06">
        <w:tc>
          <w:tcPr>
            <w:tcW w:w="5144" w:type="dxa"/>
          </w:tcPr>
          <w:p w14:paraId="615CBCB6" w14:textId="59568A8C" w:rsidR="00843875" w:rsidRPr="002B1D2B" w:rsidRDefault="00843875" w:rsidP="00B93410">
            <w:pPr>
              <w:rPr>
                <w:rFonts w:ascii="Aptos" w:hAnsi="Aptos"/>
                <w:sz w:val="18"/>
                <w:szCs w:val="18"/>
                <w:lang w:val="es-ES"/>
              </w:rPr>
            </w:pPr>
            <w:r w:rsidRPr="002B1D2B">
              <w:rPr>
                <w:rFonts w:ascii="Aptos" w:hAnsi="Aptos"/>
                <w:sz w:val="18"/>
                <w:szCs w:val="18"/>
                <w:lang w:val="es-ES"/>
              </w:rPr>
              <w:t>English</w:t>
            </w:r>
          </w:p>
        </w:tc>
        <w:tc>
          <w:tcPr>
            <w:tcW w:w="4241" w:type="dxa"/>
          </w:tcPr>
          <w:p w14:paraId="3DC07C4B" w14:textId="1DE5F724" w:rsidR="00843875" w:rsidRPr="002B1D2B" w:rsidRDefault="007371B4" w:rsidP="00B93410">
            <w:pPr>
              <w:rPr>
                <w:rFonts w:ascii="Aptos" w:hAnsi="Aptos"/>
                <w:sz w:val="18"/>
                <w:szCs w:val="18"/>
                <w:lang w:val="es-ES"/>
              </w:rPr>
            </w:pPr>
            <w:r w:rsidRPr="002B1D2B">
              <w:rPr>
                <w:rFonts w:ascii="Aptos" w:hAnsi="Aptos"/>
                <w:sz w:val="18"/>
                <w:szCs w:val="18"/>
                <w:lang w:val="es-ES"/>
              </w:rPr>
              <w:t>Español</w:t>
            </w:r>
          </w:p>
        </w:tc>
      </w:tr>
      <w:tr w:rsidR="00843875" w:rsidRPr="002B1D2B" w14:paraId="4AA0A8DE" w14:textId="77777777" w:rsidTr="00A41D06">
        <w:tc>
          <w:tcPr>
            <w:tcW w:w="5144" w:type="dxa"/>
          </w:tcPr>
          <w:p w14:paraId="2D4944D8" w14:textId="77777777" w:rsidR="00843875" w:rsidRPr="002B1D2B" w:rsidRDefault="00843875" w:rsidP="00843875">
            <w:pPr>
              <w:rPr>
                <w:rFonts w:ascii="Aptos" w:hAnsi="Aptos"/>
                <w:sz w:val="18"/>
                <w:szCs w:val="18"/>
                <w:lang w:val="es-ES"/>
              </w:rPr>
            </w:pPr>
            <w:proofErr w:type="spellStart"/>
            <w:r w:rsidRPr="002B1D2B">
              <w:rPr>
                <w:rFonts w:ascii="Aptos" w:hAnsi="Aptos"/>
                <w:sz w:val="18"/>
                <w:szCs w:val="18"/>
                <w:lang w:val="es-ES"/>
              </w:rPr>
              <w:t>Percentage</w:t>
            </w:r>
            <w:proofErr w:type="spellEnd"/>
            <w:r w:rsidRPr="002B1D2B">
              <w:rPr>
                <w:rFonts w:ascii="Aptos" w:hAnsi="Aptos"/>
                <w:sz w:val="18"/>
                <w:szCs w:val="18"/>
                <w:lang w:val="es-ES"/>
              </w:rPr>
              <w:t xml:space="preserve"> of </w:t>
            </w:r>
            <w:proofErr w:type="spellStart"/>
            <w:r w:rsidRPr="002B1D2B">
              <w:rPr>
                <w:rFonts w:ascii="Aptos" w:hAnsi="Aptos"/>
                <w:sz w:val="18"/>
                <w:szCs w:val="18"/>
                <w:lang w:val="es-ES"/>
              </w:rPr>
              <w:t>national</w:t>
            </w:r>
            <w:proofErr w:type="spellEnd"/>
            <w:r w:rsidRPr="002B1D2B">
              <w:rPr>
                <w:rFonts w:ascii="Aptos" w:hAnsi="Aptos"/>
                <w:sz w:val="18"/>
                <w:szCs w:val="18"/>
                <w:lang w:val="es-ES"/>
              </w:rPr>
              <w:t xml:space="preserve"> targets</w:t>
            </w:r>
          </w:p>
        </w:tc>
        <w:tc>
          <w:tcPr>
            <w:tcW w:w="4241" w:type="dxa"/>
          </w:tcPr>
          <w:p w14:paraId="6EE2E4BD" w14:textId="44795DC8" w:rsidR="00843875" w:rsidRPr="002B1D2B" w:rsidRDefault="00843875" w:rsidP="00843875">
            <w:pPr>
              <w:rPr>
                <w:rFonts w:ascii="Aptos" w:hAnsi="Aptos"/>
                <w:sz w:val="18"/>
                <w:szCs w:val="18"/>
                <w:lang w:val="es-ES"/>
              </w:rPr>
            </w:pPr>
            <w:r w:rsidRPr="002B1D2B">
              <w:rPr>
                <w:rFonts w:ascii="Aptos" w:hAnsi="Aptos"/>
                <w:sz w:val="18"/>
                <w:szCs w:val="18"/>
                <w:lang w:val="es-ES"/>
              </w:rPr>
              <w:t>Porcentaje de metas nacionales</w:t>
            </w:r>
          </w:p>
        </w:tc>
      </w:tr>
      <w:tr w:rsidR="00843875" w:rsidRPr="002B1D2B" w14:paraId="153FB58F" w14:textId="77777777" w:rsidTr="00A41D06">
        <w:tc>
          <w:tcPr>
            <w:tcW w:w="5144" w:type="dxa"/>
          </w:tcPr>
          <w:p w14:paraId="107B339A" w14:textId="77777777" w:rsidR="00843875" w:rsidRPr="002B1D2B" w:rsidRDefault="00843875" w:rsidP="00843875">
            <w:pPr>
              <w:rPr>
                <w:rFonts w:ascii="Aptos" w:hAnsi="Aptos"/>
                <w:sz w:val="18"/>
                <w:szCs w:val="18"/>
                <w:lang w:val="es-ES"/>
              </w:rPr>
            </w:pPr>
            <w:proofErr w:type="spellStart"/>
            <w:r w:rsidRPr="002B1D2B">
              <w:rPr>
                <w:rFonts w:ascii="Aptos" w:hAnsi="Aptos"/>
                <w:sz w:val="18"/>
                <w:szCs w:val="18"/>
                <w:lang w:val="es-ES"/>
              </w:rPr>
              <w:t>Progress</w:t>
            </w:r>
            <w:proofErr w:type="spellEnd"/>
            <w:r w:rsidRPr="002B1D2B">
              <w:rPr>
                <w:rFonts w:ascii="Aptos" w:hAnsi="Aptos"/>
                <w:sz w:val="18"/>
                <w:szCs w:val="18"/>
                <w:lang w:val="es-ES"/>
              </w:rPr>
              <w:t xml:space="preserve"> Level</w:t>
            </w:r>
          </w:p>
        </w:tc>
        <w:tc>
          <w:tcPr>
            <w:tcW w:w="4241" w:type="dxa"/>
          </w:tcPr>
          <w:p w14:paraId="61776473" w14:textId="7F0FA874" w:rsidR="00843875" w:rsidRPr="002B1D2B" w:rsidRDefault="00843875" w:rsidP="00843875">
            <w:pPr>
              <w:rPr>
                <w:rFonts w:ascii="Aptos" w:hAnsi="Aptos"/>
                <w:sz w:val="18"/>
                <w:szCs w:val="18"/>
                <w:lang w:val="es-ES"/>
              </w:rPr>
            </w:pPr>
            <w:r w:rsidRPr="002B1D2B">
              <w:rPr>
                <w:rFonts w:ascii="Aptos" w:hAnsi="Aptos"/>
                <w:sz w:val="18"/>
                <w:szCs w:val="18"/>
                <w:lang w:val="es-ES"/>
              </w:rPr>
              <w:t>Nivel de progreso</w:t>
            </w:r>
          </w:p>
        </w:tc>
      </w:tr>
      <w:tr w:rsidR="00843875" w:rsidRPr="002B1D2B" w14:paraId="12046E0B" w14:textId="77777777" w:rsidTr="00A41D06">
        <w:tc>
          <w:tcPr>
            <w:tcW w:w="5144" w:type="dxa"/>
          </w:tcPr>
          <w:p w14:paraId="4824FE26" w14:textId="77777777" w:rsidR="00843875" w:rsidRPr="002B1D2B" w:rsidRDefault="00843875" w:rsidP="00843875">
            <w:pPr>
              <w:rPr>
                <w:rFonts w:ascii="Aptos" w:hAnsi="Aptos"/>
                <w:sz w:val="18"/>
                <w:szCs w:val="18"/>
                <w:lang w:val="es-ES"/>
              </w:rPr>
            </w:pPr>
            <w:proofErr w:type="spellStart"/>
            <w:r w:rsidRPr="002B1D2B">
              <w:rPr>
                <w:rFonts w:ascii="Aptos" w:hAnsi="Aptos"/>
                <w:sz w:val="18"/>
                <w:szCs w:val="18"/>
                <w:lang w:val="es-ES"/>
              </w:rPr>
              <w:t>Achieved</w:t>
            </w:r>
            <w:proofErr w:type="spellEnd"/>
          </w:p>
        </w:tc>
        <w:tc>
          <w:tcPr>
            <w:tcW w:w="4241" w:type="dxa"/>
          </w:tcPr>
          <w:p w14:paraId="4E36D16B" w14:textId="16BE7270" w:rsidR="00843875" w:rsidRPr="002B1D2B" w:rsidRDefault="00843875" w:rsidP="00843875">
            <w:pPr>
              <w:rPr>
                <w:rFonts w:ascii="Aptos" w:hAnsi="Aptos"/>
                <w:sz w:val="18"/>
                <w:szCs w:val="18"/>
                <w:lang w:val="es-ES"/>
              </w:rPr>
            </w:pPr>
            <w:r w:rsidRPr="002B1D2B">
              <w:rPr>
                <w:rFonts w:ascii="Aptos" w:hAnsi="Aptos"/>
                <w:sz w:val="18"/>
                <w:szCs w:val="18"/>
                <w:lang w:val="es-ES"/>
              </w:rPr>
              <w:t>Alcanzada</w:t>
            </w:r>
          </w:p>
        </w:tc>
      </w:tr>
      <w:tr w:rsidR="00843875" w:rsidRPr="002B1D2B" w14:paraId="56B9FE18" w14:textId="77777777" w:rsidTr="00A41D06">
        <w:tc>
          <w:tcPr>
            <w:tcW w:w="5144" w:type="dxa"/>
          </w:tcPr>
          <w:p w14:paraId="4EFE50F8" w14:textId="77777777" w:rsidR="00843875" w:rsidRPr="002B1D2B" w:rsidRDefault="00843875" w:rsidP="00843875">
            <w:pPr>
              <w:rPr>
                <w:rFonts w:ascii="Aptos" w:hAnsi="Aptos"/>
                <w:sz w:val="18"/>
                <w:szCs w:val="18"/>
                <w:lang w:val="en-US"/>
              </w:rPr>
            </w:pPr>
            <w:r w:rsidRPr="002B1D2B">
              <w:rPr>
                <w:rFonts w:ascii="Aptos" w:hAnsi="Aptos"/>
                <w:sz w:val="18"/>
                <w:szCs w:val="18"/>
                <w:lang w:val="en-US"/>
              </w:rPr>
              <w:t>On track to achieve target</w:t>
            </w:r>
          </w:p>
        </w:tc>
        <w:tc>
          <w:tcPr>
            <w:tcW w:w="4241" w:type="dxa"/>
          </w:tcPr>
          <w:p w14:paraId="0D75240C" w14:textId="2338F5C0" w:rsidR="00843875" w:rsidRPr="002B1D2B" w:rsidRDefault="00843875" w:rsidP="00843875">
            <w:pPr>
              <w:rPr>
                <w:rFonts w:ascii="Aptos" w:hAnsi="Aptos"/>
                <w:sz w:val="18"/>
                <w:szCs w:val="18"/>
                <w:lang w:val="es-ES"/>
              </w:rPr>
            </w:pPr>
            <w:r w:rsidRPr="002B1D2B">
              <w:rPr>
                <w:rFonts w:ascii="Aptos" w:hAnsi="Aptos"/>
                <w:sz w:val="18"/>
                <w:szCs w:val="18"/>
                <w:lang w:val="es-ES"/>
              </w:rPr>
              <w:t>En vías de alcanzar la meta</w:t>
            </w:r>
          </w:p>
        </w:tc>
      </w:tr>
      <w:tr w:rsidR="00843875" w:rsidRPr="002B1D2B" w14:paraId="38CFB9FC" w14:textId="77777777" w:rsidTr="00A41D06">
        <w:tc>
          <w:tcPr>
            <w:tcW w:w="5144" w:type="dxa"/>
          </w:tcPr>
          <w:p w14:paraId="3855D58E" w14:textId="77777777" w:rsidR="00843875" w:rsidRPr="002B1D2B" w:rsidRDefault="00843875" w:rsidP="00843875">
            <w:pPr>
              <w:rPr>
                <w:rFonts w:ascii="Aptos" w:hAnsi="Aptos"/>
                <w:sz w:val="18"/>
                <w:szCs w:val="18"/>
                <w:lang w:val="en-US"/>
              </w:rPr>
            </w:pPr>
            <w:r w:rsidRPr="002B1D2B">
              <w:rPr>
                <w:rFonts w:ascii="Aptos" w:hAnsi="Aptos"/>
                <w:sz w:val="18"/>
                <w:szCs w:val="18"/>
                <w:lang w:val="en-US"/>
              </w:rPr>
              <w:t>Progress towards target but at an insufficient rate</w:t>
            </w:r>
          </w:p>
        </w:tc>
        <w:tc>
          <w:tcPr>
            <w:tcW w:w="4241" w:type="dxa"/>
          </w:tcPr>
          <w:p w14:paraId="4FEE8592" w14:textId="5B389007" w:rsidR="00843875" w:rsidRPr="002B1D2B" w:rsidRDefault="00843875" w:rsidP="00843875">
            <w:pPr>
              <w:rPr>
                <w:rFonts w:ascii="Aptos" w:hAnsi="Aptos"/>
                <w:sz w:val="18"/>
                <w:szCs w:val="18"/>
                <w:lang w:val="es-ES"/>
              </w:rPr>
            </w:pPr>
            <w:r w:rsidRPr="002B1D2B">
              <w:rPr>
                <w:rFonts w:ascii="Aptos" w:hAnsi="Aptos"/>
                <w:sz w:val="18"/>
                <w:szCs w:val="18"/>
                <w:lang w:val="es-ES"/>
              </w:rPr>
              <w:t xml:space="preserve">Se ha progresado hacia la </w:t>
            </w:r>
            <w:proofErr w:type="gramStart"/>
            <w:r w:rsidRPr="002B1D2B">
              <w:rPr>
                <w:rFonts w:ascii="Aptos" w:hAnsi="Aptos"/>
                <w:sz w:val="18"/>
                <w:szCs w:val="18"/>
                <w:lang w:val="es-ES"/>
              </w:rPr>
              <w:t>meta</w:t>
            </w:r>
            <w:proofErr w:type="gramEnd"/>
            <w:r w:rsidRPr="002B1D2B">
              <w:rPr>
                <w:rFonts w:ascii="Aptos" w:hAnsi="Aptos"/>
                <w:sz w:val="18"/>
                <w:szCs w:val="18"/>
                <w:lang w:val="es-ES"/>
              </w:rPr>
              <w:t xml:space="preserve"> pero a un ritmo insuficiente</w:t>
            </w:r>
          </w:p>
        </w:tc>
      </w:tr>
      <w:tr w:rsidR="00843875" w:rsidRPr="002B1D2B" w14:paraId="0281D08C" w14:textId="77777777" w:rsidTr="00A41D06">
        <w:tc>
          <w:tcPr>
            <w:tcW w:w="5144" w:type="dxa"/>
          </w:tcPr>
          <w:p w14:paraId="141EDB61" w14:textId="77777777" w:rsidR="00843875" w:rsidRPr="002B1D2B" w:rsidRDefault="00843875" w:rsidP="00843875">
            <w:pPr>
              <w:rPr>
                <w:rFonts w:ascii="Aptos" w:hAnsi="Aptos"/>
                <w:sz w:val="18"/>
                <w:szCs w:val="18"/>
                <w:lang w:val="es-ES"/>
              </w:rPr>
            </w:pPr>
            <w:r w:rsidRPr="002B1D2B">
              <w:rPr>
                <w:rFonts w:ascii="Aptos" w:hAnsi="Aptos"/>
                <w:sz w:val="18"/>
                <w:szCs w:val="18"/>
                <w:lang w:val="es-ES"/>
              </w:rPr>
              <w:t xml:space="preserve">No </w:t>
            </w:r>
            <w:proofErr w:type="spellStart"/>
            <w:r w:rsidRPr="002B1D2B">
              <w:rPr>
                <w:rFonts w:ascii="Aptos" w:hAnsi="Aptos"/>
                <w:sz w:val="18"/>
                <w:szCs w:val="18"/>
                <w:lang w:val="es-ES"/>
              </w:rPr>
              <w:t>significant</w:t>
            </w:r>
            <w:proofErr w:type="spellEnd"/>
            <w:r w:rsidRPr="002B1D2B">
              <w:rPr>
                <w:rFonts w:ascii="Aptos" w:hAnsi="Aptos"/>
                <w:sz w:val="18"/>
                <w:szCs w:val="18"/>
                <w:lang w:val="es-ES"/>
              </w:rPr>
              <w:t xml:space="preserve"> </w:t>
            </w:r>
            <w:proofErr w:type="spellStart"/>
            <w:r w:rsidRPr="002B1D2B">
              <w:rPr>
                <w:rFonts w:ascii="Aptos" w:hAnsi="Aptos"/>
                <w:sz w:val="18"/>
                <w:szCs w:val="18"/>
                <w:lang w:val="es-ES"/>
              </w:rPr>
              <w:t>change</w:t>
            </w:r>
            <w:proofErr w:type="spellEnd"/>
          </w:p>
        </w:tc>
        <w:tc>
          <w:tcPr>
            <w:tcW w:w="4241" w:type="dxa"/>
          </w:tcPr>
          <w:p w14:paraId="7ED2E21D" w14:textId="23FA4F1C" w:rsidR="00843875" w:rsidRPr="002B1D2B" w:rsidRDefault="00843875" w:rsidP="00843875">
            <w:pPr>
              <w:rPr>
                <w:rFonts w:ascii="Aptos" w:hAnsi="Aptos"/>
                <w:sz w:val="18"/>
                <w:szCs w:val="18"/>
                <w:lang w:val="es-ES"/>
              </w:rPr>
            </w:pPr>
            <w:r w:rsidRPr="002B1D2B">
              <w:rPr>
                <w:rFonts w:ascii="Aptos" w:hAnsi="Aptos"/>
                <w:sz w:val="18"/>
                <w:szCs w:val="18"/>
                <w:lang w:val="es-ES"/>
              </w:rPr>
              <w:t>No hay cambios significativos</w:t>
            </w:r>
          </w:p>
        </w:tc>
      </w:tr>
      <w:tr w:rsidR="00843875" w:rsidRPr="002B1D2B" w14:paraId="750EBD7E" w14:textId="77777777" w:rsidTr="00A41D06">
        <w:tc>
          <w:tcPr>
            <w:tcW w:w="5144" w:type="dxa"/>
          </w:tcPr>
          <w:p w14:paraId="492A32DF" w14:textId="77777777" w:rsidR="00843875" w:rsidRPr="002B1D2B" w:rsidRDefault="00843875" w:rsidP="00843875">
            <w:pPr>
              <w:rPr>
                <w:rFonts w:ascii="Aptos" w:hAnsi="Aptos"/>
                <w:sz w:val="18"/>
                <w:szCs w:val="18"/>
                <w:lang w:val="es-ES"/>
              </w:rPr>
            </w:pPr>
            <w:r w:rsidRPr="002B1D2B">
              <w:rPr>
                <w:rFonts w:ascii="Aptos" w:hAnsi="Aptos"/>
                <w:sz w:val="18"/>
                <w:szCs w:val="18"/>
                <w:lang w:val="es-ES"/>
              </w:rPr>
              <w:t>Unknown</w:t>
            </w:r>
          </w:p>
        </w:tc>
        <w:tc>
          <w:tcPr>
            <w:tcW w:w="4241" w:type="dxa"/>
          </w:tcPr>
          <w:p w14:paraId="72EE6EB3" w14:textId="54B9B498" w:rsidR="00843875" w:rsidRPr="002B1D2B" w:rsidRDefault="00843875" w:rsidP="00843875">
            <w:pPr>
              <w:rPr>
                <w:rFonts w:ascii="Aptos" w:hAnsi="Aptos"/>
                <w:sz w:val="18"/>
                <w:szCs w:val="18"/>
                <w:lang w:val="es-ES"/>
              </w:rPr>
            </w:pPr>
            <w:r w:rsidRPr="002B1D2B">
              <w:rPr>
                <w:rFonts w:ascii="Aptos" w:hAnsi="Aptos"/>
                <w:sz w:val="18"/>
                <w:szCs w:val="18"/>
                <w:lang w:val="es-ES"/>
              </w:rPr>
              <w:t>Se desconoce</w:t>
            </w:r>
          </w:p>
        </w:tc>
      </w:tr>
      <w:tr w:rsidR="00843875" w:rsidRPr="002B1D2B" w14:paraId="4E3165BF" w14:textId="77777777" w:rsidTr="00A41D06">
        <w:tc>
          <w:tcPr>
            <w:tcW w:w="5144" w:type="dxa"/>
          </w:tcPr>
          <w:p w14:paraId="51888EDF" w14:textId="77777777" w:rsidR="00843875" w:rsidRPr="002B1D2B" w:rsidRDefault="00843875" w:rsidP="00843875">
            <w:pPr>
              <w:rPr>
                <w:rFonts w:ascii="Aptos" w:hAnsi="Aptos"/>
                <w:sz w:val="18"/>
                <w:szCs w:val="18"/>
                <w:lang w:val="es-ES"/>
              </w:rPr>
            </w:pPr>
            <w:r w:rsidRPr="002B1D2B">
              <w:rPr>
                <w:rFonts w:ascii="Aptos" w:hAnsi="Aptos"/>
                <w:sz w:val="18"/>
                <w:szCs w:val="18"/>
                <w:lang w:val="es-ES"/>
              </w:rPr>
              <w:t xml:space="preserve">Party </w:t>
            </w:r>
            <w:proofErr w:type="spellStart"/>
            <w:r w:rsidRPr="002B1D2B">
              <w:rPr>
                <w:rFonts w:ascii="Aptos" w:hAnsi="Aptos"/>
                <w:sz w:val="18"/>
                <w:szCs w:val="18"/>
                <w:lang w:val="es-ES"/>
              </w:rPr>
              <w:t>count</w:t>
            </w:r>
            <w:proofErr w:type="spellEnd"/>
            <w:r w:rsidRPr="002B1D2B">
              <w:rPr>
                <w:rFonts w:ascii="Aptos" w:hAnsi="Aptos"/>
                <w:sz w:val="18"/>
                <w:szCs w:val="18"/>
                <w:lang w:val="es-ES"/>
              </w:rPr>
              <w:t>: 101</w:t>
            </w:r>
          </w:p>
        </w:tc>
        <w:tc>
          <w:tcPr>
            <w:tcW w:w="4241" w:type="dxa"/>
          </w:tcPr>
          <w:p w14:paraId="7EDDE3D7" w14:textId="735219BC" w:rsidR="00843875" w:rsidRPr="002B1D2B" w:rsidRDefault="00843875" w:rsidP="00843875">
            <w:pPr>
              <w:rPr>
                <w:rFonts w:ascii="Aptos" w:hAnsi="Aptos"/>
                <w:sz w:val="18"/>
                <w:szCs w:val="18"/>
                <w:lang w:val="es-ES"/>
              </w:rPr>
            </w:pPr>
            <w:r w:rsidRPr="002B1D2B">
              <w:rPr>
                <w:rFonts w:ascii="Aptos" w:hAnsi="Aptos"/>
                <w:sz w:val="18"/>
                <w:szCs w:val="18"/>
                <w:lang w:val="es-ES"/>
              </w:rPr>
              <w:t>Número de Partes: 101</w:t>
            </w:r>
          </w:p>
        </w:tc>
      </w:tr>
      <w:tr w:rsidR="00843875" w:rsidRPr="002B1D2B" w14:paraId="5FF8ABCC" w14:textId="77777777" w:rsidTr="00A41D06">
        <w:tc>
          <w:tcPr>
            <w:tcW w:w="5144" w:type="dxa"/>
          </w:tcPr>
          <w:p w14:paraId="58191C96" w14:textId="77777777" w:rsidR="00843875" w:rsidRPr="002B1D2B" w:rsidRDefault="00843875" w:rsidP="00843875">
            <w:pPr>
              <w:rPr>
                <w:rFonts w:ascii="Aptos" w:hAnsi="Aptos"/>
                <w:sz w:val="18"/>
                <w:szCs w:val="18"/>
                <w:lang w:val="es-ES"/>
              </w:rPr>
            </w:pPr>
            <w:proofErr w:type="spellStart"/>
            <w:r w:rsidRPr="002B1D2B">
              <w:rPr>
                <w:rFonts w:ascii="Aptos" w:hAnsi="Aptos"/>
                <w:sz w:val="18"/>
                <w:szCs w:val="18"/>
                <w:lang w:val="es-ES"/>
              </w:rPr>
              <w:t>Region</w:t>
            </w:r>
            <w:proofErr w:type="spellEnd"/>
          </w:p>
        </w:tc>
        <w:tc>
          <w:tcPr>
            <w:tcW w:w="4241" w:type="dxa"/>
          </w:tcPr>
          <w:p w14:paraId="566A9C47" w14:textId="2FB23E6E" w:rsidR="00843875" w:rsidRPr="002B1D2B" w:rsidRDefault="00843875" w:rsidP="00843875">
            <w:pPr>
              <w:rPr>
                <w:rFonts w:ascii="Aptos" w:hAnsi="Aptos"/>
                <w:sz w:val="18"/>
                <w:szCs w:val="18"/>
                <w:lang w:val="es-ES"/>
              </w:rPr>
            </w:pPr>
            <w:r w:rsidRPr="002B1D2B">
              <w:rPr>
                <w:rFonts w:ascii="Aptos" w:hAnsi="Aptos"/>
                <w:sz w:val="18"/>
                <w:szCs w:val="18"/>
                <w:lang w:val="es-ES"/>
              </w:rPr>
              <w:t>Región</w:t>
            </w:r>
          </w:p>
        </w:tc>
      </w:tr>
      <w:tr w:rsidR="00843875" w:rsidRPr="002B1D2B" w14:paraId="09A46969" w14:textId="77777777" w:rsidTr="00A41D06">
        <w:tc>
          <w:tcPr>
            <w:tcW w:w="5144" w:type="dxa"/>
          </w:tcPr>
          <w:p w14:paraId="61E39A28" w14:textId="77777777" w:rsidR="00843875" w:rsidRPr="002B1D2B" w:rsidRDefault="00843875" w:rsidP="00843875">
            <w:pPr>
              <w:rPr>
                <w:rFonts w:ascii="Aptos" w:hAnsi="Aptos"/>
                <w:sz w:val="18"/>
                <w:szCs w:val="18"/>
                <w:lang w:val="es-ES"/>
              </w:rPr>
            </w:pPr>
            <w:r w:rsidRPr="002B1D2B">
              <w:rPr>
                <w:rFonts w:ascii="Aptos" w:hAnsi="Aptos"/>
                <w:sz w:val="18"/>
                <w:szCs w:val="18"/>
                <w:lang w:val="es-ES"/>
              </w:rPr>
              <w:t>African States</w:t>
            </w:r>
          </w:p>
        </w:tc>
        <w:tc>
          <w:tcPr>
            <w:tcW w:w="4241" w:type="dxa"/>
          </w:tcPr>
          <w:p w14:paraId="739DE3B1" w14:textId="6411C29F" w:rsidR="00843875" w:rsidRPr="002B1D2B" w:rsidRDefault="00843875" w:rsidP="00843875">
            <w:pPr>
              <w:rPr>
                <w:rFonts w:ascii="Aptos" w:hAnsi="Aptos"/>
                <w:sz w:val="18"/>
                <w:szCs w:val="18"/>
                <w:lang w:val="es-ES"/>
              </w:rPr>
            </w:pPr>
            <w:r w:rsidRPr="002B1D2B">
              <w:rPr>
                <w:rFonts w:ascii="Aptos" w:hAnsi="Aptos"/>
                <w:sz w:val="18"/>
                <w:szCs w:val="18"/>
                <w:lang w:val="es-ES"/>
              </w:rPr>
              <w:t>Estados de África</w:t>
            </w:r>
          </w:p>
        </w:tc>
      </w:tr>
      <w:tr w:rsidR="00843875" w:rsidRPr="002B1D2B" w14:paraId="74F411D4" w14:textId="77777777" w:rsidTr="00A41D06">
        <w:tc>
          <w:tcPr>
            <w:tcW w:w="5144" w:type="dxa"/>
          </w:tcPr>
          <w:p w14:paraId="036C8F9B" w14:textId="77777777" w:rsidR="00843875" w:rsidRPr="002B1D2B" w:rsidRDefault="00843875" w:rsidP="00843875">
            <w:pPr>
              <w:rPr>
                <w:rFonts w:ascii="Aptos" w:hAnsi="Aptos"/>
                <w:sz w:val="18"/>
                <w:szCs w:val="18"/>
                <w:lang w:val="es-ES"/>
              </w:rPr>
            </w:pPr>
            <w:proofErr w:type="spellStart"/>
            <w:r w:rsidRPr="002B1D2B">
              <w:rPr>
                <w:rFonts w:ascii="Aptos" w:hAnsi="Aptos"/>
                <w:sz w:val="18"/>
                <w:szCs w:val="18"/>
                <w:lang w:val="es-ES"/>
              </w:rPr>
              <w:t>AsiaPacific</w:t>
            </w:r>
            <w:proofErr w:type="spellEnd"/>
            <w:r w:rsidRPr="002B1D2B">
              <w:rPr>
                <w:rFonts w:ascii="Aptos" w:hAnsi="Aptos"/>
                <w:sz w:val="18"/>
                <w:szCs w:val="18"/>
                <w:lang w:val="es-ES"/>
              </w:rPr>
              <w:t xml:space="preserve"> States</w:t>
            </w:r>
          </w:p>
        </w:tc>
        <w:tc>
          <w:tcPr>
            <w:tcW w:w="4241" w:type="dxa"/>
          </w:tcPr>
          <w:p w14:paraId="76CDD218" w14:textId="1864449A" w:rsidR="00843875" w:rsidRPr="002B1D2B" w:rsidRDefault="00843875" w:rsidP="00843875">
            <w:pPr>
              <w:rPr>
                <w:rFonts w:ascii="Aptos" w:hAnsi="Aptos"/>
                <w:sz w:val="18"/>
                <w:szCs w:val="18"/>
                <w:lang w:val="es-ES"/>
              </w:rPr>
            </w:pPr>
            <w:r w:rsidRPr="002B1D2B">
              <w:rPr>
                <w:rFonts w:ascii="Aptos" w:hAnsi="Aptos"/>
                <w:sz w:val="18"/>
                <w:szCs w:val="18"/>
                <w:lang w:val="es-ES"/>
              </w:rPr>
              <w:t>Estados de Asia y el Pacífico</w:t>
            </w:r>
          </w:p>
        </w:tc>
      </w:tr>
      <w:tr w:rsidR="00843875" w:rsidRPr="002B1D2B" w14:paraId="17874586" w14:textId="77777777" w:rsidTr="00A41D06">
        <w:tc>
          <w:tcPr>
            <w:tcW w:w="5144" w:type="dxa"/>
          </w:tcPr>
          <w:p w14:paraId="525CDC57" w14:textId="77777777" w:rsidR="00843875" w:rsidRPr="002B1D2B" w:rsidRDefault="00843875" w:rsidP="00843875">
            <w:pPr>
              <w:rPr>
                <w:rFonts w:ascii="Aptos" w:hAnsi="Aptos"/>
                <w:sz w:val="18"/>
                <w:szCs w:val="18"/>
                <w:lang w:val="en-US"/>
              </w:rPr>
            </w:pPr>
            <w:r w:rsidRPr="002B1D2B">
              <w:rPr>
                <w:rFonts w:ascii="Aptos" w:hAnsi="Aptos"/>
                <w:sz w:val="18"/>
                <w:szCs w:val="18"/>
                <w:lang w:val="en-US"/>
              </w:rPr>
              <w:t>Latin American and Caribbean States</w:t>
            </w:r>
          </w:p>
        </w:tc>
        <w:tc>
          <w:tcPr>
            <w:tcW w:w="4241" w:type="dxa"/>
          </w:tcPr>
          <w:p w14:paraId="4F7DC5DA" w14:textId="59A87E91" w:rsidR="00843875" w:rsidRPr="002B1D2B" w:rsidRDefault="00843875" w:rsidP="00843875">
            <w:pPr>
              <w:rPr>
                <w:rFonts w:ascii="Aptos" w:hAnsi="Aptos"/>
                <w:sz w:val="18"/>
                <w:szCs w:val="18"/>
                <w:lang w:val="es-ES"/>
              </w:rPr>
            </w:pPr>
            <w:r w:rsidRPr="002B1D2B">
              <w:rPr>
                <w:rFonts w:ascii="Aptos" w:hAnsi="Aptos"/>
                <w:sz w:val="18"/>
                <w:szCs w:val="18"/>
                <w:lang w:val="es-ES"/>
              </w:rPr>
              <w:t>Estados de América Latina y el Caribe</w:t>
            </w:r>
          </w:p>
        </w:tc>
      </w:tr>
      <w:tr w:rsidR="00843875" w:rsidRPr="002B1D2B" w14:paraId="251137E7" w14:textId="77777777" w:rsidTr="00A41D06">
        <w:tc>
          <w:tcPr>
            <w:tcW w:w="5144" w:type="dxa"/>
          </w:tcPr>
          <w:p w14:paraId="3B82D69C" w14:textId="77777777" w:rsidR="00843875" w:rsidRPr="002B1D2B" w:rsidRDefault="00843875" w:rsidP="00843875">
            <w:pPr>
              <w:rPr>
                <w:rFonts w:ascii="Aptos" w:hAnsi="Aptos"/>
                <w:sz w:val="18"/>
                <w:szCs w:val="18"/>
                <w:lang w:val="es-ES"/>
              </w:rPr>
            </w:pPr>
            <w:r w:rsidRPr="002B1D2B">
              <w:rPr>
                <w:rFonts w:ascii="Aptos" w:hAnsi="Aptos"/>
                <w:sz w:val="18"/>
                <w:szCs w:val="18"/>
                <w:lang w:val="es-ES"/>
              </w:rPr>
              <w:t xml:space="preserve"> Eastern European States</w:t>
            </w:r>
          </w:p>
        </w:tc>
        <w:tc>
          <w:tcPr>
            <w:tcW w:w="4241" w:type="dxa"/>
          </w:tcPr>
          <w:p w14:paraId="256FE99A" w14:textId="300C6A7A" w:rsidR="00843875" w:rsidRPr="002B1D2B" w:rsidRDefault="00843875" w:rsidP="00843875">
            <w:pPr>
              <w:rPr>
                <w:rFonts w:ascii="Aptos" w:hAnsi="Aptos"/>
                <w:sz w:val="18"/>
                <w:szCs w:val="18"/>
                <w:lang w:val="es-ES"/>
              </w:rPr>
            </w:pPr>
            <w:r w:rsidRPr="002B1D2B">
              <w:rPr>
                <w:rFonts w:ascii="Aptos" w:hAnsi="Aptos"/>
                <w:sz w:val="18"/>
                <w:szCs w:val="18"/>
                <w:lang w:val="es-ES"/>
              </w:rPr>
              <w:t>Estados de Europa Oriental</w:t>
            </w:r>
          </w:p>
        </w:tc>
      </w:tr>
      <w:tr w:rsidR="00843875" w:rsidRPr="002B1D2B" w14:paraId="4DCEF306" w14:textId="77777777" w:rsidTr="00A41D06">
        <w:tc>
          <w:tcPr>
            <w:tcW w:w="5144" w:type="dxa"/>
          </w:tcPr>
          <w:p w14:paraId="209A5E4E" w14:textId="77777777" w:rsidR="00843875" w:rsidRPr="002B1D2B" w:rsidRDefault="00843875" w:rsidP="00843875">
            <w:pPr>
              <w:rPr>
                <w:rFonts w:ascii="Aptos" w:hAnsi="Aptos"/>
                <w:sz w:val="18"/>
                <w:szCs w:val="18"/>
                <w:lang w:val="en-US"/>
              </w:rPr>
            </w:pPr>
            <w:r w:rsidRPr="002B1D2B">
              <w:rPr>
                <w:rFonts w:ascii="Aptos" w:hAnsi="Aptos"/>
                <w:sz w:val="18"/>
                <w:szCs w:val="18"/>
                <w:lang w:val="en-US"/>
              </w:rPr>
              <w:t>Western European and other States</w:t>
            </w:r>
          </w:p>
        </w:tc>
        <w:tc>
          <w:tcPr>
            <w:tcW w:w="4241" w:type="dxa"/>
          </w:tcPr>
          <w:p w14:paraId="5D209174" w14:textId="675D9014" w:rsidR="00843875" w:rsidRPr="002B1D2B" w:rsidRDefault="00843875" w:rsidP="00843875">
            <w:pPr>
              <w:rPr>
                <w:rFonts w:ascii="Aptos" w:hAnsi="Aptos"/>
                <w:sz w:val="18"/>
                <w:szCs w:val="18"/>
                <w:lang w:val="es-ES"/>
              </w:rPr>
            </w:pPr>
            <w:r w:rsidRPr="002B1D2B">
              <w:rPr>
                <w:rFonts w:ascii="Aptos" w:hAnsi="Aptos"/>
                <w:sz w:val="18"/>
                <w:szCs w:val="18"/>
                <w:lang w:val="es-ES"/>
              </w:rPr>
              <w:t>Estados de Europa Occidental y otros Estados</w:t>
            </w:r>
          </w:p>
        </w:tc>
      </w:tr>
    </w:tbl>
    <w:p w14:paraId="3DE39A62" w14:textId="77777777" w:rsidR="009A12FE" w:rsidRPr="005E3D50" w:rsidRDefault="009A12FE" w:rsidP="000B5B2B">
      <w:pPr>
        <w:pStyle w:val="Heading5"/>
        <w:rPr>
          <w:lang w:val="es-ES"/>
        </w:rPr>
      </w:pPr>
    </w:p>
    <w:p w14:paraId="4B1CB9F3" w14:textId="0CF2EF6C" w:rsidR="00101A9D" w:rsidRPr="005E3D50" w:rsidRDefault="002104BC" w:rsidP="000B5B2B">
      <w:pPr>
        <w:pStyle w:val="Heading5"/>
        <w:rPr>
          <w:lang w:val="es-ES"/>
        </w:rPr>
      </w:pPr>
      <w:bookmarkStart w:id="262" w:name="_Toc235821146"/>
      <w:r w:rsidRPr="005E3D50">
        <w:rPr>
          <w:lang w:val="es-ES"/>
        </w:rPr>
        <w:t>Medidas, logros y dificultades</w:t>
      </w:r>
      <w:bookmarkEnd w:id="262"/>
      <w:r w:rsidRPr="005E3D50">
        <w:rPr>
          <w:lang w:val="es-ES"/>
        </w:rPr>
        <w:t xml:space="preserve"> en la implementación</w:t>
      </w:r>
    </w:p>
    <w:p w14:paraId="4264BA0A" w14:textId="77777777" w:rsidR="0052495E" w:rsidRPr="005E3D50" w:rsidRDefault="0052495E" w:rsidP="0052495E">
      <w:pPr>
        <w:rPr>
          <w:lang w:val="es-ES"/>
        </w:rPr>
      </w:pPr>
    </w:p>
    <w:p w14:paraId="7570833B" w14:textId="70580A40" w:rsidR="002104BC" w:rsidRPr="005E3D50" w:rsidRDefault="00C46B59" w:rsidP="00BB0AB3">
      <w:pPr>
        <w:pStyle w:val="Heading6"/>
        <w:rPr>
          <w:lang w:val="es-ES"/>
        </w:rPr>
      </w:pPr>
      <w:bookmarkStart w:id="263" w:name="_Toc235821147"/>
      <w:r w:rsidRPr="005E3D50">
        <w:rPr>
          <w:lang w:val="es-ES"/>
        </w:rPr>
        <w:t>Resumen de medidas en apoyo de la meta 8</w:t>
      </w:r>
      <w:bookmarkEnd w:id="263"/>
      <w:r w:rsidRPr="005E3D50">
        <w:rPr>
          <w:lang w:val="es-ES"/>
        </w:rPr>
        <w:t xml:space="preserve"> del Marco</w:t>
      </w:r>
    </w:p>
    <w:p w14:paraId="544C9A21" w14:textId="77777777" w:rsidR="0052495E" w:rsidRPr="005E3D50" w:rsidRDefault="0052495E" w:rsidP="0052495E">
      <w:pPr>
        <w:rPr>
          <w:lang w:val="es-ES"/>
        </w:rPr>
      </w:pPr>
    </w:p>
    <w:p w14:paraId="2CC8D840" w14:textId="3E1A0614" w:rsidR="008E6050" w:rsidRPr="005E3D50" w:rsidRDefault="008E6050" w:rsidP="008E6050">
      <w:pPr>
        <w:rPr>
          <w:lang w:val="es-ES"/>
        </w:rPr>
      </w:pPr>
      <w:r w:rsidRPr="005E3D50">
        <w:rPr>
          <w:lang w:val="es-ES"/>
        </w:rPr>
        <w:t xml:space="preserve">El enfoque predominante para la </w:t>
      </w:r>
      <w:r w:rsidR="006142C6" w:rsidRPr="005E3D50">
        <w:rPr>
          <w:lang w:val="es-ES"/>
        </w:rPr>
        <w:t>consecución</w:t>
      </w:r>
      <w:r w:rsidRPr="005E3D50">
        <w:rPr>
          <w:lang w:val="es-ES"/>
        </w:rPr>
        <w:t xml:space="preserve"> de la meta 8 es la restauración de los ecosistemas como medida de adaptación al cambio climático y mitigación de sus efectos, por lo que las medidas están estrechamente armonizadas con aquellas relacionadas con la meta 2. La restauración de manglares es la medida señalada por el mayor número de Partes de las regiones de África, Asia y el Pacífico y América Latina, así como entre los pequeños Estados insulares en desarrollo. La </w:t>
      </w:r>
      <w:proofErr w:type="spellStart"/>
      <w:r w:rsidRPr="005E3D50">
        <w:rPr>
          <w:lang w:val="es-ES"/>
        </w:rPr>
        <w:t>rehumectación</w:t>
      </w:r>
      <w:proofErr w:type="spellEnd"/>
      <w:r w:rsidRPr="005E3D50">
        <w:rPr>
          <w:lang w:val="es-ES"/>
        </w:rPr>
        <w:t xml:space="preserve"> de turberas se concentra en Europa y Asia Central, mientras que un grupo más reducido de Estados costeros señalan actividades de restauración de arrecifes de coral. Entre las actividades conexas de investigación y seguimiento se incluyen evaluaciones de la vulnerabilidad climática, seguimiento de especies y hábitats, inventarios de gases de efecto invernadero, sistemas de alerta temprana, seguimiento de la acidificación de los océanos y plataformas de teledetección. Muchas Partes, especialmente entre los países en desarrollo y los pequeños Estados insulares en desarrollo, señalan que integran la diversidad biológica en sus instrumentos de planificación climática, concretamente en las contribuciones determinadas a </w:t>
      </w:r>
      <w:proofErr w:type="gramStart"/>
      <w:r w:rsidRPr="005E3D50">
        <w:rPr>
          <w:lang w:val="es-ES"/>
        </w:rPr>
        <w:t>nivel nacional y los planes nacionales</w:t>
      </w:r>
      <w:proofErr w:type="gramEnd"/>
      <w:r w:rsidRPr="005E3D50">
        <w:rPr>
          <w:lang w:val="es-ES"/>
        </w:rPr>
        <w:t xml:space="preserve"> de adaptación en el marco de la CMNUCC, así como en los marcos de reducción del riesgo de desastres (véase el recuadro 28). Alrededor de 40 Partes señalan que utilizan instrumentos económicos y financieros para apoyar la </w:t>
      </w:r>
      <w:r w:rsidR="006142C6" w:rsidRPr="005E3D50">
        <w:rPr>
          <w:lang w:val="es-ES"/>
        </w:rPr>
        <w:t xml:space="preserve">consecución </w:t>
      </w:r>
      <w:r w:rsidRPr="005E3D50">
        <w:rPr>
          <w:lang w:val="es-ES"/>
        </w:rPr>
        <w:t xml:space="preserve">de la meta 8, entre los que figuran pagos por servicios de los ecosistemas, mercados de carbono, fondos para el clima y financiación procedente de la reducción de emisiones mediante programas REDD+ en los países en desarrollo. </w:t>
      </w:r>
    </w:p>
    <w:p w14:paraId="16052B22" w14:textId="77777777" w:rsidR="00FE1505" w:rsidRPr="005E3D50" w:rsidRDefault="00FE1505" w:rsidP="00A349E8">
      <w:pPr>
        <w:rPr>
          <w:lang w:val="es-ES"/>
        </w:rPr>
      </w:pPr>
    </w:p>
    <w:p w14:paraId="75749DF4" w14:textId="6245AB13" w:rsidR="00C46B59" w:rsidRPr="005E3D50" w:rsidRDefault="00C46B59" w:rsidP="00BB0AB3">
      <w:pPr>
        <w:pStyle w:val="Heading6"/>
        <w:rPr>
          <w:lang w:val="es-ES"/>
        </w:rPr>
      </w:pPr>
      <w:bookmarkStart w:id="264" w:name="_Toc235821148"/>
      <w:r w:rsidRPr="005E3D50">
        <w:rPr>
          <w:lang w:val="es-ES"/>
        </w:rPr>
        <w:t>Ejemplos de logros y progresos en la implementación</w:t>
      </w:r>
      <w:bookmarkEnd w:id="264"/>
    </w:p>
    <w:p w14:paraId="1AF78DB1" w14:textId="77777777" w:rsidR="00B20B22" w:rsidRPr="005E3D50" w:rsidRDefault="00B20B22" w:rsidP="00F77750">
      <w:pPr>
        <w:pStyle w:val="Caption"/>
        <w:keepNext/>
        <w:rPr>
          <w:lang w:val="es-ES"/>
        </w:rPr>
      </w:pPr>
    </w:p>
    <w:p w14:paraId="36A88FAB" w14:textId="3D7CCA3A" w:rsidR="00F77750" w:rsidRPr="005E3D50" w:rsidRDefault="00F77750" w:rsidP="00F77750">
      <w:pPr>
        <w:pStyle w:val="Caption"/>
        <w:keepNext/>
        <w:rPr>
          <w:lang w:val="es-ES"/>
        </w:rPr>
      </w:pPr>
    </w:p>
    <w:tbl>
      <w:tblPr>
        <w:tblStyle w:val="TableGrid"/>
        <w:tblW w:w="0" w:type="auto"/>
        <w:tblLook w:val="04A0" w:firstRow="1" w:lastRow="0" w:firstColumn="1" w:lastColumn="0" w:noHBand="0" w:noVBand="1"/>
      </w:tblPr>
      <w:tblGrid>
        <w:gridCol w:w="9016"/>
      </w:tblGrid>
      <w:tr w:rsidR="00F77750" w:rsidRPr="005E3D50" w14:paraId="43098006" w14:textId="77777777">
        <w:tc>
          <w:tcPr>
            <w:tcW w:w="9016" w:type="dxa"/>
            <w:shd w:val="clear" w:color="auto" w:fill="D1D1D1" w:themeFill="background2" w:themeFillShade="E6"/>
          </w:tcPr>
          <w:p w14:paraId="40DB237F" w14:textId="77777777" w:rsidR="00C6139D" w:rsidRPr="005E3D50" w:rsidRDefault="00C6139D" w:rsidP="00C6139D">
            <w:pPr>
              <w:pStyle w:val="Caption"/>
              <w:keepNext/>
              <w:rPr>
                <w:i w:val="0"/>
                <w:iCs w:val="0"/>
                <w:sz w:val="20"/>
                <w:szCs w:val="20"/>
                <w:lang w:val="es-ES"/>
              </w:rPr>
            </w:pPr>
          </w:p>
          <w:p w14:paraId="184BD26D" w14:textId="2912FC72" w:rsidR="00C6139D" w:rsidRPr="005E3D50" w:rsidRDefault="00C6139D" w:rsidP="00C6139D">
            <w:pPr>
              <w:pStyle w:val="Caption"/>
              <w:keepNext/>
              <w:rPr>
                <w:i w:val="0"/>
                <w:iCs w:val="0"/>
                <w:sz w:val="20"/>
                <w:szCs w:val="20"/>
                <w:lang w:val="es-ES"/>
              </w:rPr>
            </w:pPr>
            <w:r w:rsidRPr="005E3D50">
              <w:rPr>
                <w:i w:val="0"/>
                <w:iCs w:val="0"/>
                <w:sz w:val="20"/>
                <w:szCs w:val="20"/>
                <w:lang w:val="es-ES"/>
              </w:rPr>
              <w:t>Recuadro 28</w:t>
            </w:r>
          </w:p>
          <w:p w14:paraId="0FFB47DB" w14:textId="77777777" w:rsidR="00C6139D" w:rsidRPr="005E3D50" w:rsidRDefault="00C6139D" w:rsidP="00C6139D">
            <w:pPr>
              <w:rPr>
                <w:b/>
                <w:bCs/>
                <w:sz w:val="20"/>
                <w:szCs w:val="20"/>
                <w:lang w:val="es-ES"/>
              </w:rPr>
            </w:pPr>
            <w:r w:rsidRPr="005E3D50">
              <w:rPr>
                <w:b/>
                <w:bCs/>
                <w:sz w:val="20"/>
                <w:szCs w:val="20"/>
                <w:lang w:val="es-ES"/>
              </w:rPr>
              <w:t>Manejo integral del fuego en el Brasil: un enfoque basado en los ecosistemas para aumentar la resiliencia climática</w:t>
            </w:r>
          </w:p>
          <w:p w14:paraId="29580873" w14:textId="77777777" w:rsidR="00C6139D" w:rsidRPr="005E3D50" w:rsidRDefault="00C6139D">
            <w:pPr>
              <w:rPr>
                <w:lang w:val="es-ES"/>
              </w:rPr>
            </w:pPr>
          </w:p>
          <w:p w14:paraId="33D5DC6F" w14:textId="07F6165B" w:rsidR="00EF605F" w:rsidRPr="005E3D50" w:rsidRDefault="00EF605F" w:rsidP="00EF605F">
            <w:pPr>
              <w:rPr>
                <w:sz w:val="20"/>
                <w:szCs w:val="20"/>
                <w:lang w:val="es-ES"/>
              </w:rPr>
            </w:pPr>
            <w:r w:rsidRPr="005E3D50">
              <w:rPr>
                <w:sz w:val="20"/>
                <w:szCs w:val="20"/>
                <w:lang w:val="es-ES"/>
              </w:rPr>
              <w:t xml:space="preserve">Los biomas de bosques y sabanas del Cerrado, la selva amazónica, los humedales del Pantanal y la Mata Atlántica del Brasil han sufrido incendios forestales más frecuentes y graves, exacerbados por las altas temperaturas y las sequías provocadas por el cambio climático. Esto daña la integridad de los ecosistemas y amenaza la diversidad biológica autóctona. Para minimizar los efectos del cambio climático en la diversidad biológica y aumentar la resiliencia de los ecosistemas </w:t>
            </w:r>
            <w:r w:rsidR="000C2F83">
              <w:rPr>
                <w:sz w:val="20"/>
                <w:szCs w:val="20"/>
                <w:lang w:val="es-ES"/>
              </w:rPr>
              <w:t>a través de</w:t>
            </w:r>
            <w:r w:rsidRPr="005E3D50">
              <w:rPr>
                <w:sz w:val="20"/>
                <w:szCs w:val="20"/>
                <w:lang w:val="es-ES"/>
              </w:rPr>
              <w:t xml:space="preserve"> medidas de adaptación basadas en los ecosistemas, el Brasil aplica desde 2014 un modelo de manejo integral del fuego en estos biomas. Entre 2014 y 2019, la aplicación del modelo en áreas protegidas del bioma del Cerrado aumentó en un 137 % las quemas prescritas realizadas al comienzo de la estación seca, al tiempo que logró una reducción del 62 % de la superficie total quemada, con un potencial estimado de reducción de emisiones de más de 1 millón de toneladas métricas de dióxido de carbono equivalente (CO</w:t>
            </w:r>
            <w:r w:rsidRPr="005E3D50">
              <w:rPr>
                <w:sz w:val="20"/>
                <w:szCs w:val="20"/>
                <w:vertAlign w:val="subscript"/>
                <w:lang w:val="es-ES"/>
              </w:rPr>
              <w:t>2</w:t>
            </w:r>
            <w:r w:rsidRPr="005E3D50">
              <w:rPr>
                <w:sz w:val="20"/>
                <w:szCs w:val="20"/>
                <w:lang w:val="es-ES"/>
              </w:rPr>
              <w:t>e). El modelo de manejo integral del fuego abarca todo el ciclo de prevención de incendios (preparación, detección, respuesta y recuperación posterior a los incendios) combinando técnicas científicas y normas específicas para cada bioma en planes de manejo integral del fuego. El ejemplo del Brasil ilustra cómo el manejo del fuego basado en los ecosistemas puede reducir la extensión y la gravedad de los incendios forestales, así como reducir las emisiones de carbono y aumentar la resiliencia de los ecosistemas frente a los riesgos de incendios inducidos por el cambio climático, contribuyendo así a la consecución de la meta 8.</w:t>
            </w:r>
          </w:p>
          <w:p w14:paraId="66AFBD2A" w14:textId="77777777" w:rsidR="00EF605F" w:rsidRPr="005E3D50" w:rsidRDefault="00EF605F" w:rsidP="00EF605F">
            <w:pPr>
              <w:rPr>
                <w:sz w:val="20"/>
                <w:szCs w:val="20"/>
                <w:lang w:val="es-ES"/>
              </w:rPr>
            </w:pPr>
          </w:p>
          <w:p w14:paraId="2AB0FF20" w14:textId="5F1D1D48" w:rsidR="008A2AE1" w:rsidRPr="005E3D50" w:rsidRDefault="008A2AE1" w:rsidP="009B12E8">
            <w:pPr>
              <w:rPr>
                <w:sz w:val="20"/>
                <w:szCs w:val="20"/>
                <w:lang w:val="es-ES"/>
              </w:rPr>
            </w:pPr>
            <w:r w:rsidRPr="005E3D50">
              <w:rPr>
                <w:i/>
                <w:iCs/>
                <w:sz w:val="20"/>
                <w:szCs w:val="20"/>
                <w:lang w:val="es-ES"/>
              </w:rPr>
              <w:t>Metas pertinentes:</w:t>
            </w:r>
            <w:r w:rsidRPr="005E3D50">
              <w:rPr>
                <w:sz w:val="20"/>
                <w:szCs w:val="20"/>
                <w:lang w:val="es-ES"/>
              </w:rPr>
              <w:t xml:space="preserve"> 8, 10 y 11.</w:t>
            </w:r>
          </w:p>
          <w:p w14:paraId="71BF2D97" w14:textId="54CA0AEA" w:rsidR="00A24F71" w:rsidRPr="005E3D50" w:rsidRDefault="008A2AE1">
            <w:pPr>
              <w:rPr>
                <w:sz w:val="20"/>
                <w:szCs w:val="20"/>
                <w:lang w:val="es-ES"/>
              </w:rPr>
            </w:pPr>
            <w:r w:rsidRPr="005E3D50">
              <w:rPr>
                <w:i/>
                <w:iCs/>
                <w:sz w:val="20"/>
                <w:szCs w:val="20"/>
                <w:lang w:val="es-ES"/>
              </w:rPr>
              <w:t>Fuentes:</w:t>
            </w:r>
            <w:r w:rsidRPr="005E3D50">
              <w:rPr>
                <w:sz w:val="20"/>
                <w:szCs w:val="20"/>
                <w:lang w:val="es-ES"/>
              </w:rPr>
              <w:t xml:space="preserve"> Brasil, séptimo informe nacional presentado al Convenio; y Franke y otros, 2024.</w:t>
            </w:r>
          </w:p>
          <w:p w14:paraId="557BE77F" w14:textId="77777777" w:rsidR="00F77750" w:rsidRPr="005E3D50" w:rsidRDefault="00F77750">
            <w:pPr>
              <w:rPr>
                <w:lang w:val="es-ES"/>
              </w:rPr>
            </w:pPr>
          </w:p>
          <w:p w14:paraId="22877E6A" w14:textId="44B36A94" w:rsidR="00F77750" w:rsidRPr="005E3D50" w:rsidRDefault="00F77750" w:rsidP="006201B5">
            <w:pPr>
              <w:rPr>
                <w:lang w:val="es-ES"/>
              </w:rPr>
            </w:pPr>
          </w:p>
        </w:tc>
      </w:tr>
    </w:tbl>
    <w:p w14:paraId="095F85EB" w14:textId="77777777" w:rsidR="003F709B" w:rsidRPr="005E3D50" w:rsidRDefault="003F709B" w:rsidP="0050685D">
      <w:pPr>
        <w:rPr>
          <w:lang w:val="es-ES"/>
        </w:rPr>
      </w:pPr>
    </w:p>
    <w:p w14:paraId="3970B326" w14:textId="0B54AA2C" w:rsidR="00BB0AB3" w:rsidRPr="005E3D50" w:rsidRDefault="00BB0AB3" w:rsidP="00BB0AB3">
      <w:pPr>
        <w:pStyle w:val="Heading6"/>
        <w:rPr>
          <w:lang w:val="es-ES"/>
        </w:rPr>
      </w:pPr>
      <w:bookmarkStart w:id="265" w:name="_Toc235821149"/>
      <w:r w:rsidRPr="005E3D50">
        <w:rPr>
          <w:lang w:val="es-ES"/>
        </w:rPr>
        <w:t>D</w:t>
      </w:r>
      <w:r w:rsidR="00B105E9">
        <w:rPr>
          <w:lang w:val="es-ES"/>
        </w:rPr>
        <w:t>ificultade</w:t>
      </w:r>
      <w:r w:rsidRPr="005E3D50">
        <w:rPr>
          <w:lang w:val="es-ES"/>
        </w:rPr>
        <w:t>s</w:t>
      </w:r>
      <w:bookmarkEnd w:id="265"/>
    </w:p>
    <w:p w14:paraId="4BA77287" w14:textId="77777777" w:rsidR="009C48D4" w:rsidRPr="005E3D50" w:rsidRDefault="009C48D4" w:rsidP="009C48D4">
      <w:pPr>
        <w:rPr>
          <w:lang w:val="es-ES"/>
        </w:rPr>
      </w:pPr>
    </w:p>
    <w:p w14:paraId="6294FC39" w14:textId="7A488872" w:rsidR="009C48D4" w:rsidRPr="005E3D50" w:rsidRDefault="009C48D4" w:rsidP="009C48D4">
      <w:pPr>
        <w:rPr>
          <w:rFonts w:ascii="Aptos" w:eastAsia="Aptos" w:hAnsi="Aptos" w:cs="Aptos"/>
          <w:lang w:val="es-ES"/>
        </w:rPr>
      </w:pPr>
      <w:r w:rsidRPr="005E3D50">
        <w:rPr>
          <w:lang w:val="es-ES"/>
        </w:rPr>
        <w:t>Muchas Partes que son países en desarrollo señalan la falta de financiación internacional disponible para apoyar eficazmente la adaptación al cambio climático y la resiliencia de la biodiversidad. Varias Partes señalan que aún no se ha logrado la integración de los planes en materia de biodiversidad, clima y reducción de desastres a nivel nacional. La fragmentación institucional implica que la planificación relativa al clima y la biodiversidad a menudo se lleve a cabo sin una coordinación formal y que los sistemas de seguimiento estén poco integrados entre las instituciones.</w:t>
      </w:r>
      <w:r w:rsidRPr="005E3D50">
        <w:rPr>
          <w:rFonts w:ascii="Aptos" w:hAnsi="Aptos"/>
          <w:lang w:val="es-ES"/>
        </w:rPr>
        <w:t xml:space="preserve"> </w:t>
      </w:r>
      <w:r w:rsidRPr="005E3D50">
        <w:rPr>
          <w:lang w:val="es-ES"/>
        </w:rPr>
        <w:t xml:space="preserve">Las soluciones basadas en la naturaleza y los enfoques basados en los ecosistemas suelen mantenerse fragmentados y no se </w:t>
      </w:r>
      <w:r w:rsidRPr="005E3D50">
        <w:rPr>
          <w:lang w:val="es-ES"/>
        </w:rPr>
        <w:lastRenderedPageBreak/>
        <w:t>implementan a una escala suficiente para generar resiliencia a nivel nacional.</w:t>
      </w:r>
      <w:r w:rsidRPr="005E3D50">
        <w:rPr>
          <w:rFonts w:ascii="Aptos" w:hAnsi="Aptos"/>
          <w:lang w:val="es-ES"/>
        </w:rPr>
        <w:t xml:space="preserve"> Entre los desafíos a los que se enfrentan las Partes, también se mencionan las tensiones entre los objetivos de mitigación del cambio climático y la conservación de la diversidad biológica.</w:t>
      </w:r>
      <w:r w:rsidRPr="005E3D50">
        <w:rPr>
          <w:lang w:val="es-ES"/>
        </w:rPr>
        <w:t xml:space="preserve"> </w:t>
      </w:r>
      <w:r w:rsidRPr="005E3D50">
        <w:rPr>
          <w:rFonts w:ascii="Aptos" w:hAnsi="Aptos"/>
          <w:lang w:val="es-ES"/>
        </w:rPr>
        <w:t xml:space="preserve">Incluso cuando estos enfoques están reconocidos formalmente, la escasez de especialistas capacitados limita su implementación efectiva. </w:t>
      </w:r>
      <w:r w:rsidRPr="005E3D50">
        <w:rPr>
          <w:lang w:val="es-ES"/>
        </w:rPr>
        <w:t xml:space="preserve">Varias Partes señalan asimismo la falta de datos sobre la acidificación de los océanos y sus efectos. </w:t>
      </w:r>
    </w:p>
    <w:p w14:paraId="2781B5B0" w14:textId="77777777" w:rsidR="000612CD" w:rsidRPr="005E3D50" w:rsidRDefault="000612CD" w:rsidP="00BB0AB3">
      <w:pPr>
        <w:pStyle w:val="Heading5"/>
        <w:rPr>
          <w:lang w:val="es-ES"/>
        </w:rPr>
      </w:pPr>
    </w:p>
    <w:p w14:paraId="7710F0C6" w14:textId="61883C09" w:rsidR="00251370" w:rsidRPr="005E3D50" w:rsidRDefault="003D0469" w:rsidP="00BB0AB3">
      <w:pPr>
        <w:pStyle w:val="Heading5"/>
        <w:rPr>
          <w:lang w:val="es-ES"/>
        </w:rPr>
      </w:pPr>
      <w:bookmarkStart w:id="266" w:name="_Toc235821150"/>
      <w:r w:rsidRPr="005E3D50">
        <w:rPr>
          <w:lang w:val="es-ES"/>
        </w:rPr>
        <w:t>Contribuciones de actores distintos de los Gobiernos nacionales</w:t>
      </w:r>
      <w:bookmarkEnd w:id="266"/>
    </w:p>
    <w:p w14:paraId="78E331C3" w14:textId="77777777" w:rsidR="007E7F10" w:rsidRPr="005E3D50" w:rsidRDefault="007E7F10" w:rsidP="008C2CC6">
      <w:pPr>
        <w:pStyle w:val="Heading6"/>
        <w:rPr>
          <w:lang w:val="es-ES"/>
        </w:rPr>
      </w:pPr>
    </w:p>
    <w:p w14:paraId="31060C06" w14:textId="7AE8BC85" w:rsidR="00591079" w:rsidRPr="005E3D50" w:rsidRDefault="00591079" w:rsidP="008C2CC6">
      <w:pPr>
        <w:pStyle w:val="Heading6"/>
        <w:rPr>
          <w:lang w:val="es-ES"/>
        </w:rPr>
      </w:pPr>
      <w:bookmarkStart w:id="267" w:name="_Toc235821151"/>
      <w:r w:rsidRPr="005E3D50">
        <w:rPr>
          <w:lang w:val="es-ES"/>
        </w:rPr>
        <w:t>Compromisos presentados directamente a través de la herramienta de presentación de informes en línea</w:t>
      </w:r>
      <w:bookmarkEnd w:id="267"/>
    </w:p>
    <w:p w14:paraId="6F6A2832" w14:textId="77777777" w:rsidR="007E7F10" w:rsidRPr="005E3D50" w:rsidRDefault="007E7F10" w:rsidP="008C2CC6">
      <w:pPr>
        <w:rPr>
          <w:lang w:val="es-ES"/>
        </w:rPr>
      </w:pPr>
    </w:p>
    <w:p w14:paraId="2115F661" w14:textId="3768B58C" w:rsidR="00F27CF4" w:rsidRPr="005E3D50" w:rsidRDefault="00F27CF4" w:rsidP="00F27CF4">
      <w:pPr>
        <w:rPr>
          <w:lang w:val="es-ES"/>
        </w:rPr>
      </w:pPr>
      <w:r w:rsidRPr="005E3D50">
        <w:rPr>
          <w:lang w:val="es-ES"/>
        </w:rPr>
        <w:t>De los 180 compromisos sustantivos presentados por actores distintos de los Gobiernos nacionales, solo 5 están relacionados principalmente con la meta 8. Cuatro de ellos proceden de ONG y 1 de una empresa transnacional. Los compromisos abarcan desde aquellos de alcance mundial hasta los centrados en los Balcanes Occidentales, e incluyen una iniciativa nacional de la Argentina. Las actividades temáticas incluyen apoyar las soluciones basadas en la naturaleza, aumentar la resiliencia de los ecosistemas, desarrollar marcos de gestión de áreas protegidas resilientes al clima y apoyar la acción climática basada en los océanos.</w:t>
      </w:r>
    </w:p>
    <w:p w14:paraId="198E0333" w14:textId="77777777" w:rsidR="00C72A35" w:rsidRPr="005E3D50" w:rsidRDefault="00C72A35" w:rsidP="008C2CC6">
      <w:pPr>
        <w:pStyle w:val="Heading6"/>
        <w:rPr>
          <w:lang w:val="es-ES"/>
        </w:rPr>
      </w:pPr>
    </w:p>
    <w:p w14:paraId="6E2FB1E0" w14:textId="3D7701D4" w:rsidR="00591079" w:rsidRPr="005E3D50" w:rsidRDefault="00591079" w:rsidP="008C2CC6">
      <w:pPr>
        <w:pStyle w:val="Heading6"/>
        <w:rPr>
          <w:lang w:val="es-ES"/>
        </w:rPr>
      </w:pPr>
      <w:bookmarkStart w:id="268" w:name="_Toc235821152"/>
      <w:r w:rsidRPr="005E3D50">
        <w:rPr>
          <w:lang w:val="es-ES"/>
        </w:rPr>
        <w:t>Contribuciones integradas en los informes nacionales</w:t>
      </w:r>
      <w:bookmarkEnd w:id="268"/>
    </w:p>
    <w:p w14:paraId="7E10B98E" w14:textId="77777777" w:rsidR="00715EA0" w:rsidRPr="005E3D50" w:rsidRDefault="00715EA0" w:rsidP="00715EA0">
      <w:pPr>
        <w:rPr>
          <w:lang w:val="es-ES"/>
        </w:rPr>
      </w:pPr>
    </w:p>
    <w:p w14:paraId="3599F552" w14:textId="34BEFE76" w:rsidR="00DF79B5" w:rsidRPr="005E3D50" w:rsidRDefault="00DF79B5" w:rsidP="00DF79B5">
      <w:pPr>
        <w:rPr>
          <w:lang w:val="es-ES"/>
        </w:rPr>
      </w:pPr>
      <w:r w:rsidRPr="005E3D50">
        <w:rPr>
          <w:lang w:val="es-ES"/>
        </w:rPr>
        <w:t xml:space="preserve">Los informes nacionales destacan el papel de asociados internacionales como el PNUD, el PNUMA, el FMAM y el Fondo Verde para el Clima (FVC), así como de los organismos bilaterales de desarrollo, en la implementación de medidas pertinentes para la meta 8, </w:t>
      </w:r>
      <w:r w:rsidR="00CF7EA1" w:rsidRPr="005E3D50">
        <w:rPr>
          <w:lang w:val="es-ES"/>
        </w:rPr>
        <w:t>que incluyen</w:t>
      </w:r>
      <w:r w:rsidRPr="005E3D50">
        <w:rPr>
          <w:lang w:val="es-ES"/>
        </w:rPr>
        <w:t xml:space="preserve"> la restauración de los ecosistemas, las soluciones basadas en la naturaleza y los proyectos de adaptación al cambio climático. En muchos países, las ONG actúan como principales responsables de la implementación sobre el terreno de actividades como la forestación, la restauración de ecosistemas y otras medidas </w:t>
      </w:r>
      <w:r w:rsidR="00B24A21">
        <w:rPr>
          <w:lang w:val="es-ES"/>
        </w:rPr>
        <w:t>relacionadas con</w:t>
      </w:r>
      <w:r w:rsidRPr="005E3D50">
        <w:rPr>
          <w:lang w:val="es-ES"/>
        </w:rPr>
        <w:t xml:space="preserve"> la meta 8. Los actores sectoriales, incluidos los grupos de agricultores, las comunidades pesqueras y los propietarios de bosques, suelen ser responsables de la implementación directa de soluciones basadas en la naturaleza y enfoques basados en los ecosistemas para la mitigación del cambio climático y la adaptación a él. Los gobiernos subnacionales y locales suelen ejecutar programas nacionales dentro de sus jurisdicciones y, en los </w:t>
      </w:r>
      <w:r w:rsidRPr="005E3D50">
        <w:rPr>
          <w:lang w:val="es-ES"/>
        </w:rPr>
        <w:lastRenderedPageBreak/>
        <w:t xml:space="preserve">sistemas federales, pueden desempeñar una función primordial en la cofinanciación y la gobernanza de las actividades necesarias para </w:t>
      </w:r>
      <w:r w:rsidR="0081548B" w:rsidRPr="005E3D50">
        <w:rPr>
          <w:lang w:val="es-ES"/>
        </w:rPr>
        <w:t>la consecución de</w:t>
      </w:r>
      <w:r w:rsidRPr="005E3D50">
        <w:rPr>
          <w:lang w:val="es-ES"/>
        </w:rPr>
        <w:t xml:space="preserve"> la meta 8.</w:t>
      </w:r>
    </w:p>
    <w:p w14:paraId="3AED1DCF" w14:textId="77777777" w:rsidR="00453328" w:rsidRDefault="00453328" w:rsidP="00462973">
      <w:pPr>
        <w:pStyle w:val="Heading5"/>
        <w:rPr>
          <w:lang w:val="es-ES"/>
        </w:rPr>
      </w:pPr>
      <w:bookmarkStart w:id="269" w:name="_Toc235821153"/>
    </w:p>
    <w:p w14:paraId="1BD97EFE" w14:textId="7DA841B1" w:rsidR="0043487E" w:rsidRPr="005E3D50" w:rsidRDefault="00462973" w:rsidP="00462973">
      <w:pPr>
        <w:pStyle w:val="Heading5"/>
        <w:rPr>
          <w:lang w:val="es-ES"/>
        </w:rPr>
      </w:pPr>
      <w:r w:rsidRPr="005E3D50">
        <w:rPr>
          <w:lang w:val="es-ES"/>
        </w:rPr>
        <w:t>Ejemplos de vínculos con otros acuerdos, organizaciones y procesos</w:t>
      </w:r>
      <w:bookmarkEnd w:id="269"/>
    </w:p>
    <w:p w14:paraId="02021C17" w14:textId="77777777" w:rsidR="00846709" w:rsidRPr="005E3D50" w:rsidRDefault="00846709" w:rsidP="0043487E">
      <w:pPr>
        <w:pStyle w:val="Default"/>
        <w:spacing w:line="276" w:lineRule="auto"/>
        <w:rPr>
          <w:rFonts w:asciiTheme="minorHAnsi" w:hAnsiTheme="minorHAnsi"/>
          <w:lang w:val="es-ES"/>
        </w:rPr>
      </w:pPr>
    </w:p>
    <w:p w14:paraId="383AEB92" w14:textId="5C7FCBB0" w:rsidR="006074DD" w:rsidRPr="005E3D50" w:rsidRDefault="00DD2695" w:rsidP="0043487E">
      <w:pPr>
        <w:pStyle w:val="Default"/>
        <w:spacing w:line="276" w:lineRule="auto"/>
        <w:rPr>
          <w:rFonts w:asciiTheme="minorHAnsi" w:hAnsiTheme="minorHAnsi"/>
          <w:lang w:val="es-ES"/>
        </w:rPr>
      </w:pPr>
      <w:r w:rsidRPr="005E3D50">
        <w:rPr>
          <w:rFonts w:asciiTheme="minorHAnsi" w:hAnsiTheme="minorHAnsi"/>
          <w:lang w:val="es-ES"/>
        </w:rPr>
        <w:t>Como se analiza en la sección II.E más adelante, la implementación efectiva del Marco depende de medidas coordinadas en todos los niveles entre las convenciones de Río sobre el clima, la diversidad biológica y la desertificación, por ejemplo, a través del Grupo de Enlace Mixto de las Convenciones de Río</w:t>
      </w:r>
      <w:r w:rsidRPr="005E3D50">
        <w:rPr>
          <w:rStyle w:val="FootnoteReference"/>
          <w:rFonts w:asciiTheme="minorHAnsi" w:hAnsiTheme="minorHAnsi"/>
          <w:lang w:val="es-ES"/>
        </w:rPr>
        <w:footnoteReference w:id="26"/>
      </w:r>
      <w:r w:rsidRPr="005E3D50">
        <w:rPr>
          <w:rFonts w:asciiTheme="minorHAnsi" w:hAnsiTheme="minorHAnsi"/>
          <w:lang w:val="es-ES"/>
        </w:rPr>
        <w:t xml:space="preserve">. La </w:t>
      </w:r>
      <w:r w:rsidR="0092369D" w:rsidRPr="005E3D50">
        <w:rPr>
          <w:rFonts w:asciiTheme="minorHAnsi" w:hAnsiTheme="minorHAnsi"/>
          <w:lang w:val="es-ES"/>
        </w:rPr>
        <w:t>consecución</w:t>
      </w:r>
      <w:r w:rsidRPr="005E3D50">
        <w:rPr>
          <w:rFonts w:asciiTheme="minorHAnsi" w:hAnsiTheme="minorHAnsi"/>
          <w:lang w:val="es-ES"/>
        </w:rPr>
        <w:t xml:space="preserve"> de la meta 8, en particular, está estrechamente relacionada con las políticas y medidas adoptadas por los Gobiernos en apoyo de la CMNUCC y el Acuerdo de París. Por ejemplo, en 2023, las Partes en el Acuerdo de París aprobaron el Marco de los Emiratos Árabes Unidos para la Resiliencia Climática Mundial, que incluye, entre otras metas para 2030 y años posteriores, “reducir los efectos del clima en los ecosistemas y la biodiversidad y acelerar el uso de la adaptación basada en los ecosistemas y de las soluciones basadas en la naturaleza, en particular mediante la gestión, la mejora, la restauración y la conservación de los ecosistemas y la biodiversidad, así como mediante la protección de los ecosistemas terrestres, de aguas interiores, de montaña, marinos y costeros” (CMNUCC, 2024b).</w:t>
      </w:r>
      <w:r w:rsidRPr="005E3D50">
        <w:rPr>
          <w:lang w:val="es-ES"/>
        </w:rPr>
        <w:t xml:space="preserve"> </w:t>
      </w:r>
      <w:r w:rsidRPr="005E3D50">
        <w:rPr>
          <w:rFonts w:asciiTheme="minorHAnsi" w:hAnsiTheme="minorHAnsi"/>
          <w:lang w:val="es-ES"/>
        </w:rPr>
        <w:t xml:space="preserve">Los enfoques basados en la naturaleza también se reflejan cada vez más en la planificación climática nacional, entre otras cosas </w:t>
      </w:r>
      <w:r w:rsidR="00CB7D51">
        <w:rPr>
          <w:rFonts w:asciiTheme="minorHAnsi" w:hAnsiTheme="minorHAnsi"/>
          <w:lang w:val="es-ES"/>
        </w:rPr>
        <w:t>a través de</w:t>
      </w:r>
      <w:r w:rsidRPr="005E3D50">
        <w:rPr>
          <w:rFonts w:asciiTheme="minorHAnsi" w:hAnsiTheme="minorHAnsi"/>
          <w:lang w:val="es-ES"/>
        </w:rPr>
        <w:t xml:space="preserve"> medidas de mitigación y adaptación basadas en los bosques y los océanos en las contribuciones determinadas a nivel nacional en el marco del Acuerdo de París, y mediante la integración de la adaptación basada en los ecosistemas en los planes nacionales de adaptación en el marco de la CMNUCC (PNUMA, 2021; y CMNUCC, 2025). Esto ofrece importantes oportunidades para que las Partes encuentren sinergias en la </w:t>
      </w:r>
      <w:r w:rsidR="00E761BE">
        <w:rPr>
          <w:rFonts w:asciiTheme="minorHAnsi" w:hAnsiTheme="minorHAnsi"/>
          <w:lang w:val="es-ES"/>
        </w:rPr>
        <w:t>implementación</w:t>
      </w:r>
      <w:r w:rsidRPr="005E3D50">
        <w:rPr>
          <w:rFonts w:asciiTheme="minorHAnsi" w:hAnsiTheme="minorHAnsi"/>
          <w:lang w:val="es-ES"/>
        </w:rPr>
        <w:t xml:space="preserve"> de la meta 8 mediante sus EPANB, contribuciones determinadas a </w:t>
      </w:r>
      <w:proofErr w:type="gramStart"/>
      <w:r w:rsidRPr="005E3D50">
        <w:rPr>
          <w:rFonts w:asciiTheme="minorHAnsi" w:hAnsiTheme="minorHAnsi"/>
          <w:lang w:val="es-ES"/>
        </w:rPr>
        <w:t>nivel nacional y planes nacionales</w:t>
      </w:r>
      <w:proofErr w:type="gramEnd"/>
      <w:r w:rsidRPr="005E3D50">
        <w:rPr>
          <w:rFonts w:asciiTheme="minorHAnsi" w:hAnsiTheme="minorHAnsi"/>
          <w:lang w:val="es-ES"/>
        </w:rPr>
        <w:t xml:space="preserve"> de adaptación.</w:t>
      </w:r>
    </w:p>
    <w:p w14:paraId="743BDBC7" w14:textId="77777777" w:rsidR="001F0C46" w:rsidRPr="005E3D50" w:rsidRDefault="001F0C46" w:rsidP="0043487E">
      <w:pPr>
        <w:pStyle w:val="Default"/>
        <w:spacing w:line="276" w:lineRule="auto"/>
        <w:rPr>
          <w:rFonts w:asciiTheme="minorHAnsi" w:hAnsiTheme="minorHAnsi"/>
          <w:lang w:val="es-ES"/>
        </w:rPr>
      </w:pPr>
    </w:p>
    <w:p w14:paraId="08962CF1" w14:textId="7EDC8E9B" w:rsidR="001F0C46" w:rsidRPr="005E3D50" w:rsidRDefault="001F0C46" w:rsidP="001F0C46">
      <w:pPr>
        <w:pStyle w:val="Default"/>
        <w:spacing w:line="276" w:lineRule="auto"/>
        <w:rPr>
          <w:rFonts w:asciiTheme="minorHAnsi" w:hAnsiTheme="minorHAnsi"/>
          <w:lang w:val="es-ES"/>
        </w:rPr>
      </w:pPr>
      <w:r w:rsidRPr="005E3D50">
        <w:rPr>
          <w:rFonts w:asciiTheme="minorHAnsi" w:hAnsiTheme="minorHAnsi"/>
          <w:lang w:val="es-ES"/>
        </w:rPr>
        <w:t xml:space="preserve">En lo que respecta a otros convenios relacionados con la diversidad biológica, se observa un aumento constante de la proporción de Partes Contratantes en la Convención sobre los Humedales que han establecido políticas o directrices para potenciar el papel de los humedales en la mitigación del cambio climático y la adaptación a él; sin embargo, es necesario avanzar más para continuar incorporando las medidas relativas a los humedales en las contribuciones determinadas a nivel nacional en el marco de la CMNUCC y en otras estrategias y planes de mitigación del cambio climático y adaptación a él </w:t>
      </w:r>
      <w:bookmarkStart w:id="270" w:name="ZOTERO_BREF_sRDhiLvs4QHD1VQIPgmSN"/>
      <w:r w:rsidRPr="005E3D50">
        <w:rPr>
          <w:rFonts w:asciiTheme="minorHAnsi" w:hAnsiTheme="minorHAnsi"/>
          <w:lang w:val="es-ES"/>
        </w:rPr>
        <w:t>(Convención sobre los Humedales, 2025c).</w:t>
      </w:r>
      <w:bookmarkEnd w:id="270"/>
    </w:p>
    <w:p w14:paraId="0446DA38" w14:textId="77777777" w:rsidR="001F0C46" w:rsidRPr="005E3D50" w:rsidRDefault="001F0C46" w:rsidP="001F0C46">
      <w:pPr>
        <w:pStyle w:val="Default"/>
        <w:spacing w:line="276" w:lineRule="auto"/>
        <w:rPr>
          <w:rFonts w:asciiTheme="minorHAnsi" w:hAnsiTheme="minorHAnsi"/>
          <w:lang w:val="es-ES"/>
        </w:rPr>
      </w:pPr>
    </w:p>
    <w:p w14:paraId="7B00B7E1" w14:textId="6220C88A" w:rsidR="0043487E" w:rsidRPr="005E3D50" w:rsidRDefault="003875FB" w:rsidP="0043487E">
      <w:pPr>
        <w:pStyle w:val="Default"/>
        <w:spacing w:line="276" w:lineRule="auto"/>
        <w:rPr>
          <w:rFonts w:asciiTheme="minorHAnsi" w:hAnsiTheme="minorHAnsi"/>
          <w:lang w:val="es-ES"/>
        </w:rPr>
      </w:pPr>
      <w:r w:rsidRPr="005E3D50">
        <w:rPr>
          <w:rFonts w:asciiTheme="minorHAnsi" w:hAnsiTheme="minorHAnsi"/>
          <w:lang w:val="es-ES"/>
        </w:rPr>
        <w:lastRenderedPageBreak/>
        <w:t>Las Partes en la Convención para la Protección del Patrimonio Mundial Cultural y Natural apoyan la meta 8 a través de la Iniciativa Arrecifes Resilientes, un programa mundial que ayuda a las comunidades cercanas a los arrecifes de coral incluidos en la Lista del Patrimonio Mundial a hacer frente a los crecientes efectos del cambio climático, la sobrepesca, la contaminación y el desarrollo costero</w:t>
      </w:r>
      <w:r w:rsidRPr="005E3D50">
        <w:rPr>
          <w:rStyle w:val="FootnoteReference"/>
          <w:rFonts w:asciiTheme="minorHAnsi" w:hAnsiTheme="minorHAnsi"/>
          <w:lang w:val="es-ES"/>
        </w:rPr>
        <w:footnoteReference w:id="27"/>
      </w:r>
      <w:r w:rsidRPr="005E3D50">
        <w:rPr>
          <w:rFonts w:asciiTheme="minorHAnsi" w:hAnsiTheme="minorHAnsi"/>
          <w:lang w:val="es-ES"/>
        </w:rPr>
        <w:t xml:space="preserve">. La Iniciativa reúne a administradores de arrecifes, comunidades locales, científicos, ONG e instituciones financieras para elaborar estrategias que fortalezcan tanto la resiliencia ecológica como la social. La Iniciativa se está implementando en cuatro sitios piloto de valor universal excepcional: la Gran Barrera de Coral y la Costa de </w:t>
      </w:r>
      <w:proofErr w:type="spellStart"/>
      <w:r w:rsidRPr="005E3D50">
        <w:rPr>
          <w:rFonts w:asciiTheme="minorHAnsi" w:hAnsiTheme="minorHAnsi"/>
          <w:lang w:val="es-ES"/>
        </w:rPr>
        <w:t>Ningaloo</w:t>
      </w:r>
      <w:proofErr w:type="spellEnd"/>
      <w:r w:rsidRPr="005E3D50">
        <w:rPr>
          <w:rFonts w:asciiTheme="minorHAnsi" w:hAnsiTheme="minorHAnsi"/>
          <w:lang w:val="es-ES"/>
        </w:rPr>
        <w:t xml:space="preserve"> (Australia), el Sistema de Reservas de la Barrera del Arrecife de Belice (Belice) y las Lagunas de Nueva Caledonia (Francia). En cada sitio, la Iniciativa apoya la elaboración de estrategias integradas de resiliencia, incorporando evaluaciones de los riesgos climáticos en la gestión de los arrecifes y la planificación a largo plazo (UNESCO, 2025a).</w:t>
      </w:r>
    </w:p>
    <w:p w14:paraId="4B97C1C8" w14:textId="77777777" w:rsidR="00BA683B" w:rsidRPr="005E3D50" w:rsidRDefault="00BA683B" w:rsidP="0043487E">
      <w:pPr>
        <w:pStyle w:val="Default"/>
        <w:spacing w:line="276" w:lineRule="auto"/>
        <w:rPr>
          <w:b/>
          <w:bCs/>
          <w:sz w:val="22"/>
          <w:szCs w:val="22"/>
          <w:lang w:val="es-ES"/>
        </w:rPr>
      </w:pPr>
    </w:p>
    <w:p w14:paraId="6BEB2118" w14:textId="1CB70DC2" w:rsidR="0043487E" w:rsidRPr="005E3D50" w:rsidRDefault="00E77A49" w:rsidP="0043487E">
      <w:pPr>
        <w:pStyle w:val="Normalnumber"/>
        <w:keepNext w:val="0"/>
        <w:keepLines w:val="0"/>
        <w:suppressAutoHyphens w:val="0"/>
        <w:spacing w:before="0" w:line="276" w:lineRule="auto"/>
        <w:ind w:right="0"/>
        <w:rPr>
          <w:rFonts w:asciiTheme="minorHAnsi" w:hAnsiTheme="minorHAnsi"/>
          <w:sz w:val="24"/>
          <w:szCs w:val="24"/>
          <w:lang w:val="es-ES"/>
        </w:rPr>
      </w:pPr>
      <w:bookmarkStart w:id="271" w:name="ZOTERO_BREF_6odlFvJIwwclQqEyFrIql"/>
      <w:r w:rsidRPr="005E3D50">
        <w:rPr>
          <w:rFonts w:asciiTheme="minorHAnsi" w:hAnsiTheme="minorHAnsi"/>
          <w:sz w:val="24"/>
          <w:szCs w:val="24"/>
          <w:lang w:val="es-ES"/>
        </w:rPr>
        <w:t>Al limitar la liberación de contaminantes orgánicos persistentes, las medidas adoptadas por las Partes en el Convenio de Estocolmo sobre Contaminantes Orgánicos Persistentes ayudan a reducir las presiones a largo plazo sobre los ecosistemas, contribuyendo así a aumentar su resiliencia frente al cambio climático. Del mismo modo, mediante la prestación de asistencia técnica, la secretaría del Convenio de Rotterdam sobre el Procedimiento de Consentimiento Fundamentado Previo Aplicable a Ciertos Plaguicidas y Productos Químicos Peligrosos Objeto de Comercio Internacional, en colaboración con diversos asociados, ayuda a los países a adoptar medidas concertadas para reducir los riesgos derivados de los plaguicidas, entre otras cosas mediante alternativas más seguras y técnicas de manejo de plagas que pueden verse intensificadas por las condiciones relacionadas con el cambio climático. Estos esfuerzos están estrechamente armonizados con el objetivo de la meta 8 de aumentar la resiliencia de los ecosistemas, al tiempo que se abordan los contaminantes químicos que exacerban los efectos relacionados con el clima en la diversidad biológica (Secretaría de los Convenios de Basilea, Rotterdam y Estocolmo, 2025).</w:t>
      </w:r>
      <w:bookmarkEnd w:id="271"/>
      <w:r w:rsidRPr="005E3D50">
        <w:rPr>
          <w:rFonts w:asciiTheme="minorHAnsi" w:hAnsiTheme="minorHAnsi"/>
          <w:sz w:val="24"/>
          <w:szCs w:val="24"/>
          <w:lang w:val="es-ES"/>
        </w:rPr>
        <w:t xml:space="preserve"> </w:t>
      </w:r>
    </w:p>
    <w:p w14:paraId="36617ACC" w14:textId="61768201" w:rsidR="0043487E" w:rsidRPr="005E3D50" w:rsidRDefault="00BA683B" w:rsidP="0043487E">
      <w:pPr>
        <w:pStyle w:val="Normalnumber"/>
        <w:keepNext w:val="0"/>
        <w:keepLines w:val="0"/>
        <w:suppressAutoHyphens w:val="0"/>
        <w:spacing w:before="0" w:line="276" w:lineRule="auto"/>
        <w:ind w:right="0"/>
        <w:rPr>
          <w:rFonts w:asciiTheme="minorHAnsi" w:hAnsiTheme="minorHAnsi"/>
          <w:sz w:val="24"/>
          <w:szCs w:val="24"/>
          <w:lang w:val="es-ES"/>
        </w:rPr>
      </w:pPr>
      <w:r w:rsidRPr="005E3D50">
        <w:rPr>
          <w:rFonts w:asciiTheme="minorHAnsi" w:hAnsiTheme="minorHAnsi"/>
          <w:sz w:val="24"/>
          <w:szCs w:val="24"/>
          <w:lang w:val="es-ES"/>
        </w:rPr>
        <w:t xml:space="preserve">El Organismo Internacional de Energía Atómica, a través de su Centro Internacional de Coordinación sobre la Acidificación de los Océanos, con sede en Mónaco, promueve la colaboración internacional y la creación de capacidad para ayudar a los países a minimizar y hacer frente a la acidificación de los océanos. Conjuntamente con la COI-UNESCO, y en coordinación con el Convenio sobre la Diversidad Biológica, el Organismo está estableciendo un grupo de tareas sobre la acidificación de los océanos y la diversidad </w:t>
      </w:r>
      <w:r w:rsidRPr="005E3D50">
        <w:rPr>
          <w:rFonts w:asciiTheme="minorHAnsi" w:hAnsiTheme="minorHAnsi"/>
          <w:sz w:val="24"/>
          <w:szCs w:val="24"/>
          <w:lang w:val="es-ES"/>
        </w:rPr>
        <w:lastRenderedPageBreak/>
        <w:t>biológica, centrado específicamente en determinar la mejor manera de apoyar a los Estados Miembros en la evaluación de los efectos de la acidificación de los océanos y otros factores de estrés en la diversidad biológica marina, teniendo en cuenta al mismo tiempo los conocimientos tradicionales y trabajando con los pueblos indígenas y las comunidades locales para definir la labor científica necesaria a fin de encontrar soluciones pertinentes a nivel local (OIEA, 2025).</w:t>
      </w:r>
    </w:p>
    <w:p w14:paraId="72A4D7E3" w14:textId="77777777" w:rsidR="00AF0902" w:rsidRPr="005E3D50" w:rsidRDefault="00AF0902" w:rsidP="00A00FA5">
      <w:pPr>
        <w:rPr>
          <w:lang w:val="es-ES"/>
        </w:rPr>
      </w:pPr>
    </w:p>
    <w:p w14:paraId="429770C8" w14:textId="4AD3EDF7" w:rsidR="0063162A" w:rsidRPr="005E3D50" w:rsidRDefault="00FB5157" w:rsidP="00C36B3B">
      <w:pPr>
        <w:pStyle w:val="Heading3"/>
        <w:rPr>
          <w:lang w:val="es-ES"/>
        </w:rPr>
      </w:pPr>
      <w:bookmarkStart w:id="272" w:name="_Toc235821154"/>
      <w:bookmarkStart w:id="273" w:name="_Toc239069203"/>
      <w:bookmarkStart w:id="274" w:name="_Toc242882981"/>
      <w:r w:rsidRPr="005E3D50">
        <w:rPr>
          <w:lang w:val="es-ES"/>
        </w:rPr>
        <w:t>Satisfacer las necesidades de las personas mediante la utilización</w:t>
      </w:r>
      <w:r w:rsidR="009713BF" w:rsidRPr="005E3D50">
        <w:rPr>
          <w:lang w:val="es-ES"/>
        </w:rPr>
        <w:t xml:space="preserve"> </w:t>
      </w:r>
      <w:r w:rsidRPr="005E3D50">
        <w:rPr>
          <w:lang w:val="es-ES"/>
        </w:rPr>
        <w:t>sostenible y la participación en los beneficios</w:t>
      </w:r>
      <w:bookmarkEnd w:id="272"/>
      <w:bookmarkEnd w:id="273"/>
      <w:bookmarkEnd w:id="274"/>
    </w:p>
    <w:p w14:paraId="70F14340" w14:textId="77777777" w:rsidR="00031578" w:rsidRPr="005E3D50" w:rsidRDefault="00031578" w:rsidP="003F2847">
      <w:pPr>
        <w:pStyle w:val="Heading4"/>
        <w:rPr>
          <w:lang w:val="es-ES"/>
        </w:rPr>
      </w:pPr>
      <w:bookmarkStart w:id="275" w:name="_Toc235821155"/>
    </w:p>
    <w:p w14:paraId="6F155069"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276" w:name="_Toc239069204"/>
      <w:bookmarkStart w:id="277" w:name="_Toc1061794379"/>
      <w:bookmarkStart w:id="278" w:name="_Toc242882982"/>
      <w:bookmarkEnd w:id="275"/>
      <w:r w:rsidRPr="005E3D50">
        <w:rPr>
          <w:rFonts w:eastAsiaTheme="majorEastAsia" w:cstheme="majorBidi"/>
          <w:b/>
          <w:iCs/>
          <w:color w:val="0F4761" w:themeColor="accent1" w:themeShade="BF"/>
          <w:lang w:val="es-ES"/>
        </w:rPr>
        <w:t>Meta 9.</w:t>
      </w:r>
      <w:r w:rsidRPr="005E3D50">
        <w:rPr>
          <w:rFonts w:eastAsiaTheme="majorEastAsia" w:cstheme="majorBidi"/>
          <w:iCs/>
          <w:color w:val="0F4761" w:themeColor="accent1" w:themeShade="BF"/>
          <w:lang w:val="es-ES"/>
        </w:rPr>
        <w:t xml:space="preserve"> Gestionar las especies silvestres de manera sostenible para beneficio de las personas</w:t>
      </w:r>
      <w:bookmarkEnd w:id="276"/>
      <w:bookmarkEnd w:id="277"/>
      <w:bookmarkEnd w:id="278"/>
    </w:p>
    <w:p w14:paraId="1FBAB01A" w14:textId="77777777" w:rsidR="009713BF" w:rsidRPr="005E3D50" w:rsidRDefault="009713BF" w:rsidP="009713BF">
      <w:pPr>
        <w:rPr>
          <w:b/>
          <w:bCs/>
          <w:i/>
          <w:iCs/>
          <w:sz w:val="22"/>
          <w:szCs w:val="22"/>
          <w:lang w:val="es-ES"/>
        </w:rPr>
      </w:pPr>
    </w:p>
    <w:p w14:paraId="580294E9" w14:textId="77777777" w:rsidR="009713BF" w:rsidRPr="005E3D50" w:rsidRDefault="009713BF" w:rsidP="009713BF">
      <w:pPr>
        <w:rPr>
          <w:sz w:val="22"/>
          <w:szCs w:val="22"/>
          <w:lang w:val="es-ES"/>
        </w:rPr>
      </w:pPr>
      <w:r w:rsidRPr="005E3D50">
        <w:rPr>
          <w:b/>
          <w:sz w:val="22"/>
          <w:lang w:val="es-ES"/>
        </w:rPr>
        <w:t>Texto de la meta.</w:t>
      </w:r>
      <w:r w:rsidRPr="005E3D50">
        <w:rPr>
          <w:b/>
          <w:i/>
          <w:sz w:val="22"/>
          <w:lang w:val="es-ES"/>
        </w:rPr>
        <w:t xml:space="preserve"> </w:t>
      </w:r>
      <w:r w:rsidRPr="005E3D50">
        <w:rPr>
          <w:i/>
          <w:iCs/>
          <w:sz w:val="22"/>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r w:rsidRPr="005E3D50">
        <w:rPr>
          <w:sz w:val="22"/>
          <w:lang w:val="es-ES"/>
        </w:rPr>
        <w:t>.</w:t>
      </w:r>
    </w:p>
    <w:p w14:paraId="761782B6" w14:textId="77777777" w:rsidR="009713BF" w:rsidRPr="005E3D50" w:rsidRDefault="009713BF" w:rsidP="009713BF">
      <w:pPr>
        <w:rPr>
          <w:sz w:val="22"/>
          <w:szCs w:val="22"/>
          <w:lang w:val="es-ES"/>
        </w:rPr>
      </w:pPr>
    </w:p>
    <w:p w14:paraId="036868B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101F7809" w14:textId="77777777" w:rsidTr="006E6831">
        <w:tc>
          <w:tcPr>
            <w:tcW w:w="9016" w:type="dxa"/>
            <w:shd w:val="clear" w:color="auto" w:fill="D1D1D1" w:themeFill="background2" w:themeFillShade="E6"/>
          </w:tcPr>
          <w:p w14:paraId="5786865A" w14:textId="77777777" w:rsidR="009713BF" w:rsidRPr="005E3D50" w:rsidRDefault="009713BF" w:rsidP="009713BF">
            <w:pPr>
              <w:rPr>
                <w:rFonts w:ascii="Aptos" w:eastAsia="Times New Roman" w:hAnsi="Aptos" w:cs="Calibri"/>
                <w:color w:val="000000"/>
                <w:lang w:val="es-ES"/>
              </w:rPr>
            </w:pPr>
          </w:p>
          <w:p w14:paraId="5EDD2248"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 xml:space="preserve">Los progresos tendientes a garantizar la utilización sostenible de las especies silvestres y los beneficios relacionados siguen siendo desparejos, aunque varias Partes informan que han adoptado importantes políticas que promueven condiciones propicias y enfoques basados en la comunidad que sustentan medios de vida, la utilización consuetudinaria sostenible y resultados en materia de conservación. El alcance amplio de la meta 9 se aborda en metas nacionales, pero los elementos relacionados específicamente con los pueblos indígenas y las comunidades locales, así como con las personas que se encuentran en situación de vulnerabilidad, no están tan bien cubiertos. Las tendencias colectivas de los indicadores de cabecera de la meta resultan difíciles de determinar debido a carencias de datos y a su variabilidad, así como a cuestiones metodológicas. Los progresos comunicados a través del indicador binario con respecto a la aplicación de políticas fueron relativamente bajos, como también lo fueron los progresos logrados en las metas nacionales según las autoevaluaciones. Entre las dificultades de implementación que se señalaron figuran la falta de financiación, la persistencia de </w:t>
            </w:r>
            <w:r w:rsidRPr="005E3D50">
              <w:rPr>
                <w:rFonts w:ascii="Aptos" w:hAnsi="Aptos"/>
                <w:color w:val="000000"/>
                <w:lang w:val="es-ES"/>
              </w:rPr>
              <w:lastRenderedPageBreak/>
              <w:t>subsidios y otros incentivos perjudiciales para la diversidad biológica, la debilidad en la aplicación de la normativa y sistemas de seguimiento poco desarrollados.</w:t>
            </w:r>
          </w:p>
          <w:p w14:paraId="6478FA19" w14:textId="77777777" w:rsidR="009713BF" w:rsidRPr="005E3D50" w:rsidRDefault="009713BF" w:rsidP="009713BF">
            <w:pPr>
              <w:rPr>
                <w:lang w:val="es-ES"/>
              </w:rPr>
            </w:pPr>
          </w:p>
        </w:tc>
      </w:tr>
    </w:tbl>
    <w:p w14:paraId="224CBAC7" w14:textId="77777777" w:rsidR="009713BF" w:rsidRPr="005E3D50" w:rsidRDefault="009713BF" w:rsidP="009713BF">
      <w:pPr>
        <w:rPr>
          <w:lang w:val="es-ES"/>
        </w:rPr>
      </w:pPr>
    </w:p>
    <w:p w14:paraId="74A61F0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9 del Marco en sus metas nacionales</w:t>
      </w:r>
    </w:p>
    <w:p w14:paraId="240185B2"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6972C704"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20 </w:t>
      </w:r>
    </w:p>
    <w:p w14:paraId="7349DDFC" w14:textId="77777777" w:rsidR="009713BF" w:rsidRPr="005E3D50" w:rsidRDefault="009713BF" w:rsidP="009713BF">
      <w:pPr>
        <w:keepNext/>
        <w:spacing w:after="200" w:line="240" w:lineRule="auto"/>
        <w:rPr>
          <w:rFonts w:eastAsiaTheme="minorEastAsia"/>
          <w:color w:val="0E2841" w:themeColor="text2"/>
          <w:kern w:val="0"/>
          <w:sz w:val="20"/>
          <w:szCs w:val="20"/>
          <w:vertAlign w:val="superscript"/>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9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p w14:paraId="73D5FE36" w14:textId="77777777" w:rsidR="009713BF" w:rsidRPr="005E3D50" w:rsidRDefault="009713BF" w:rsidP="009713BF">
      <w:pPr>
        <w:rPr>
          <w:lang w:val="es-ES" w:eastAsia="ja-JP"/>
        </w:rPr>
      </w:pPr>
    </w:p>
    <w:tbl>
      <w:tblPr>
        <w:tblStyle w:val="TableGrid"/>
        <w:tblW w:w="0" w:type="auto"/>
        <w:tblLook w:val="04A0" w:firstRow="1" w:lastRow="0" w:firstColumn="1" w:lastColumn="0" w:noHBand="0" w:noVBand="1"/>
      </w:tblPr>
      <w:tblGrid>
        <w:gridCol w:w="8217"/>
        <w:gridCol w:w="799"/>
      </w:tblGrid>
      <w:tr w:rsidR="009713BF" w:rsidRPr="005E3D50" w14:paraId="4405FDDA" w14:textId="77777777" w:rsidTr="006E6831">
        <w:tc>
          <w:tcPr>
            <w:tcW w:w="8217" w:type="dxa"/>
          </w:tcPr>
          <w:p w14:paraId="73864C95" w14:textId="77777777" w:rsidR="009713BF" w:rsidRPr="005E3D50" w:rsidRDefault="009713BF" w:rsidP="009713BF">
            <w:pPr>
              <w:rPr>
                <w:sz w:val="20"/>
                <w:szCs w:val="20"/>
                <w:lang w:val="es-ES"/>
              </w:rPr>
            </w:pPr>
            <w:r w:rsidRPr="005E3D50">
              <w:rPr>
                <w:sz w:val="20"/>
                <w:lang w:val="es-ES"/>
              </w:rPr>
              <w:t>Garantizar que la gestión y el uso de especies silvestres sean sostenibles, brindando así beneficios sociales para las personas</w:t>
            </w:r>
          </w:p>
        </w:tc>
        <w:tc>
          <w:tcPr>
            <w:tcW w:w="799" w:type="dxa"/>
            <w:shd w:val="clear" w:color="auto" w:fill="92D050"/>
          </w:tcPr>
          <w:p w14:paraId="0234F0C9" w14:textId="77777777" w:rsidR="009713BF" w:rsidRPr="005E3D50" w:rsidRDefault="009713BF" w:rsidP="009713BF">
            <w:pPr>
              <w:rPr>
                <w:sz w:val="20"/>
                <w:szCs w:val="20"/>
                <w:lang w:val="es-ES"/>
              </w:rPr>
            </w:pPr>
            <w:r w:rsidRPr="005E3D50">
              <w:rPr>
                <w:sz w:val="20"/>
                <w:lang w:val="es-ES"/>
              </w:rPr>
              <w:t>67</w:t>
            </w:r>
          </w:p>
        </w:tc>
      </w:tr>
      <w:tr w:rsidR="009713BF" w:rsidRPr="005E3D50" w14:paraId="15E28BCF" w14:textId="77777777" w:rsidTr="006E6831">
        <w:tc>
          <w:tcPr>
            <w:tcW w:w="8217" w:type="dxa"/>
          </w:tcPr>
          <w:p w14:paraId="34E85BD5" w14:textId="77777777" w:rsidR="009713BF" w:rsidRPr="005E3D50" w:rsidRDefault="009713BF" w:rsidP="009713BF">
            <w:pPr>
              <w:rPr>
                <w:sz w:val="20"/>
                <w:szCs w:val="20"/>
                <w:lang w:val="es-ES"/>
              </w:rPr>
            </w:pPr>
            <w:r w:rsidRPr="005E3D50">
              <w:rPr>
                <w:sz w:val="20"/>
                <w:lang w:val="es-ES"/>
              </w:rPr>
              <w:t>Garantizar que la gestión y el uso de especies silvestres sean sostenibles, brindando así beneficios económicos para las personas</w:t>
            </w:r>
          </w:p>
        </w:tc>
        <w:tc>
          <w:tcPr>
            <w:tcW w:w="799" w:type="dxa"/>
            <w:shd w:val="clear" w:color="auto" w:fill="92D050"/>
          </w:tcPr>
          <w:p w14:paraId="5117B75F" w14:textId="77777777" w:rsidR="009713BF" w:rsidRPr="005E3D50" w:rsidRDefault="009713BF" w:rsidP="009713BF">
            <w:pPr>
              <w:rPr>
                <w:sz w:val="20"/>
                <w:szCs w:val="20"/>
                <w:lang w:val="es-ES"/>
              </w:rPr>
            </w:pPr>
            <w:r w:rsidRPr="005E3D50">
              <w:rPr>
                <w:sz w:val="20"/>
                <w:lang w:val="es-ES"/>
              </w:rPr>
              <w:t>65</w:t>
            </w:r>
          </w:p>
        </w:tc>
      </w:tr>
      <w:tr w:rsidR="009713BF" w:rsidRPr="005E3D50" w14:paraId="5647335A" w14:textId="77777777" w:rsidTr="006E6831">
        <w:tc>
          <w:tcPr>
            <w:tcW w:w="8217" w:type="dxa"/>
          </w:tcPr>
          <w:p w14:paraId="2F1A44F0" w14:textId="77777777" w:rsidR="009713BF" w:rsidRPr="005E3D50" w:rsidRDefault="009713BF" w:rsidP="009713BF">
            <w:pPr>
              <w:rPr>
                <w:sz w:val="20"/>
                <w:szCs w:val="20"/>
                <w:lang w:val="es-ES"/>
              </w:rPr>
            </w:pPr>
            <w:r w:rsidRPr="005E3D50">
              <w:rPr>
                <w:sz w:val="20"/>
                <w:lang w:val="es-ES"/>
              </w:rPr>
              <w:t>Garantizar que la gestión y el uso de especies silvestres sean sostenibles, brindando así beneficios ambientales para las personas</w:t>
            </w:r>
          </w:p>
        </w:tc>
        <w:tc>
          <w:tcPr>
            <w:tcW w:w="799" w:type="dxa"/>
            <w:shd w:val="clear" w:color="auto" w:fill="00B050"/>
          </w:tcPr>
          <w:p w14:paraId="1DD382A2" w14:textId="77777777" w:rsidR="009713BF" w:rsidRPr="005E3D50" w:rsidRDefault="009713BF" w:rsidP="009713BF">
            <w:pPr>
              <w:rPr>
                <w:sz w:val="20"/>
                <w:szCs w:val="20"/>
                <w:lang w:val="es-ES"/>
              </w:rPr>
            </w:pPr>
            <w:r w:rsidRPr="005E3D50">
              <w:rPr>
                <w:sz w:val="20"/>
                <w:lang w:val="es-ES"/>
              </w:rPr>
              <w:t>81</w:t>
            </w:r>
          </w:p>
        </w:tc>
      </w:tr>
      <w:tr w:rsidR="009713BF" w:rsidRPr="005E3D50" w14:paraId="0CCECE9C" w14:textId="77777777" w:rsidTr="006E6831">
        <w:tc>
          <w:tcPr>
            <w:tcW w:w="8217" w:type="dxa"/>
          </w:tcPr>
          <w:p w14:paraId="0489EDDF" w14:textId="77777777" w:rsidR="009713BF" w:rsidRPr="005E3D50" w:rsidRDefault="009713BF" w:rsidP="009713BF">
            <w:pPr>
              <w:rPr>
                <w:sz w:val="20"/>
                <w:szCs w:val="20"/>
                <w:lang w:val="es-ES"/>
              </w:rPr>
            </w:pPr>
            <w:r w:rsidRPr="005E3D50">
              <w:rPr>
                <w:sz w:val="20"/>
                <w:lang w:val="es-ES"/>
              </w:rPr>
              <w:t>La gestión y el uso sostenibles de las especies silvestres proporciona beneficios para las personas en situaciones de vulnerabilidad y para quienes más dependen de la diversidad biológica</w:t>
            </w:r>
          </w:p>
        </w:tc>
        <w:tc>
          <w:tcPr>
            <w:tcW w:w="799" w:type="dxa"/>
            <w:shd w:val="clear" w:color="auto" w:fill="FFC000"/>
          </w:tcPr>
          <w:p w14:paraId="3A774640" w14:textId="77777777" w:rsidR="009713BF" w:rsidRPr="005E3D50" w:rsidRDefault="009713BF" w:rsidP="009713BF">
            <w:pPr>
              <w:rPr>
                <w:sz w:val="20"/>
                <w:szCs w:val="20"/>
                <w:lang w:val="es-ES"/>
              </w:rPr>
            </w:pPr>
            <w:r w:rsidRPr="005E3D50">
              <w:rPr>
                <w:sz w:val="20"/>
                <w:lang w:val="es-ES"/>
              </w:rPr>
              <w:t>38</w:t>
            </w:r>
          </w:p>
        </w:tc>
      </w:tr>
      <w:tr w:rsidR="009713BF" w:rsidRPr="005E3D50" w14:paraId="52E1A284" w14:textId="77777777" w:rsidTr="006E6831">
        <w:tc>
          <w:tcPr>
            <w:tcW w:w="8217" w:type="dxa"/>
          </w:tcPr>
          <w:p w14:paraId="74D8E37A" w14:textId="77777777" w:rsidR="009713BF" w:rsidRPr="005E3D50" w:rsidRDefault="009713BF" w:rsidP="009713BF">
            <w:pPr>
              <w:rPr>
                <w:sz w:val="20"/>
                <w:szCs w:val="20"/>
                <w:lang w:val="es-ES"/>
              </w:rPr>
            </w:pPr>
            <w:r w:rsidRPr="005E3D50">
              <w:rPr>
                <w:sz w:val="20"/>
                <w:lang w:val="es-ES"/>
              </w:rPr>
              <w:t>Garantizar beneficios para las personas a través de actividades, productos y servicios sostenibles basados en la biodiversidad que la fortalezcan</w:t>
            </w:r>
          </w:p>
        </w:tc>
        <w:tc>
          <w:tcPr>
            <w:tcW w:w="799" w:type="dxa"/>
            <w:shd w:val="clear" w:color="auto" w:fill="92D050"/>
          </w:tcPr>
          <w:p w14:paraId="3F9BB0FD" w14:textId="77777777" w:rsidR="009713BF" w:rsidRPr="005E3D50" w:rsidRDefault="009713BF" w:rsidP="009713BF">
            <w:pPr>
              <w:rPr>
                <w:sz w:val="20"/>
                <w:szCs w:val="20"/>
                <w:lang w:val="es-ES"/>
              </w:rPr>
            </w:pPr>
            <w:r w:rsidRPr="005E3D50">
              <w:rPr>
                <w:sz w:val="20"/>
                <w:lang w:val="es-ES"/>
              </w:rPr>
              <w:t>65</w:t>
            </w:r>
          </w:p>
        </w:tc>
      </w:tr>
      <w:tr w:rsidR="009713BF" w:rsidRPr="005E3D50" w14:paraId="79B3AFB6" w14:textId="77777777" w:rsidTr="006E6831">
        <w:tc>
          <w:tcPr>
            <w:tcW w:w="8217" w:type="dxa"/>
          </w:tcPr>
          <w:p w14:paraId="35247C2B" w14:textId="77777777" w:rsidR="009713BF" w:rsidRPr="005E3D50" w:rsidRDefault="009713BF" w:rsidP="009713BF">
            <w:pPr>
              <w:rPr>
                <w:sz w:val="20"/>
                <w:szCs w:val="20"/>
                <w:lang w:val="es-ES"/>
              </w:rPr>
            </w:pPr>
            <w:r w:rsidRPr="005E3D50">
              <w:rPr>
                <w:sz w:val="20"/>
                <w:lang w:val="es-ES"/>
              </w:rPr>
              <w:t>Proteger y promover la utilización consuetudinaria sostenible por los pueblos indígenas y las comunidades locales</w:t>
            </w:r>
          </w:p>
        </w:tc>
        <w:tc>
          <w:tcPr>
            <w:tcW w:w="799" w:type="dxa"/>
            <w:shd w:val="clear" w:color="auto" w:fill="FFFF00"/>
          </w:tcPr>
          <w:p w14:paraId="53BC4BC5" w14:textId="77777777" w:rsidR="009713BF" w:rsidRPr="005E3D50" w:rsidRDefault="009713BF" w:rsidP="009713BF">
            <w:pPr>
              <w:rPr>
                <w:sz w:val="20"/>
                <w:szCs w:val="20"/>
                <w:lang w:val="es-ES"/>
              </w:rPr>
            </w:pPr>
            <w:r w:rsidRPr="005E3D50">
              <w:rPr>
                <w:sz w:val="20"/>
                <w:lang w:val="es-ES"/>
              </w:rPr>
              <w:t>47</w:t>
            </w:r>
          </w:p>
        </w:tc>
      </w:tr>
      <w:tr w:rsidR="009713BF" w:rsidRPr="005E3D50" w14:paraId="6B20199A" w14:textId="77777777" w:rsidTr="006E6831">
        <w:tc>
          <w:tcPr>
            <w:tcW w:w="9016" w:type="dxa"/>
            <w:gridSpan w:val="2"/>
          </w:tcPr>
          <w:p w14:paraId="7D68CF93"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38F04159"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61 % de estos elementos en sus metas nacionales</w:t>
            </w:r>
          </w:p>
          <w:p w14:paraId="7407D26A" w14:textId="77777777" w:rsidR="009713BF" w:rsidRPr="005E3D50" w:rsidRDefault="009713BF" w:rsidP="009713BF">
            <w:pPr>
              <w:rPr>
                <w:sz w:val="20"/>
                <w:szCs w:val="20"/>
                <w:lang w:val="es-ES"/>
              </w:rPr>
            </w:pPr>
          </w:p>
        </w:tc>
      </w:tr>
    </w:tbl>
    <w:p w14:paraId="498314C4" w14:textId="77777777" w:rsidR="009713BF" w:rsidRPr="005E3D50" w:rsidRDefault="009713BF" w:rsidP="009713BF">
      <w:pPr>
        <w:rPr>
          <w:i/>
          <w:sz w:val="16"/>
          <w:szCs w:val="16"/>
          <w:lang w:val="es-ES"/>
        </w:rPr>
      </w:pPr>
    </w:p>
    <w:p w14:paraId="44C08BBA" w14:textId="77777777" w:rsidR="009713BF" w:rsidRPr="005E3D50" w:rsidRDefault="009713BF" w:rsidP="009713BF">
      <w:pPr>
        <w:rPr>
          <w:iCs/>
          <w:sz w:val="16"/>
          <w:szCs w:val="16"/>
          <w:lang w:val="es-ES"/>
        </w:rPr>
      </w:pPr>
      <w:r w:rsidRPr="005E3D50">
        <w:rPr>
          <w:i/>
          <w:iCs/>
          <w:sz w:val="16"/>
          <w:lang w:val="es-ES"/>
        </w:rPr>
        <w:t>Nota</w:t>
      </w:r>
      <w:r w:rsidRPr="005E3D50">
        <w:rPr>
          <w:sz w:val="16"/>
          <w:lang w:val="es-ES"/>
        </w:rPr>
        <w:t>: La columna de la derecha indica el porcentaje de Partes con metas nacionales que abordan al menos en cierta medida el elemento correspondiente.</w:t>
      </w:r>
    </w:p>
    <w:p w14:paraId="29BD4752"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ascii="Times New Roman" w:eastAsia="Times New Roman" w:hAnsi="Times New Roman" w:cs="Times New Roman"/>
          <w:kern w:val="0"/>
          <w:sz w:val="16"/>
          <w:vertAlign w:val="superscript"/>
          <w:lang w:val="es-ES"/>
          <w14:ligatures w14:val="none"/>
        </w:rPr>
        <w:t>a</w:t>
      </w:r>
      <w:r w:rsidRPr="005E3D50">
        <w:rPr>
          <w:rFonts w:ascii="Aptos" w:eastAsia="Times New Roman" w:hAnsi="Aptos" w:cs="Times New Roman"/>
          <w:kern w:val="0"/>
          <w:sz w:val="16"/>
          <w:lang w:val="es-ES"/>
          <w14:ligatures w14:val="none"/>
        </w:rPr>
        <w:t xml:space="preserve"> Los elementos de cada meta fueron definidos por el Grupo Especial de Expertos Técnicos sobre los Indicadores para el Marco Mundial de Biodiversidad de Kunming-Montreal (véanse el anexo I del documento </w:t>
      </w:r>
      <w:hyperlink r:id="rId113"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14"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5D65EC14" w14:textId="77777777" w:rsidR="009713BF" w:rsidRPr="005E3D50" w:rsidRDefault="009713BF" w:rsidP="009713BF">
      <w:pPr>
        <w:rPr>
          <w:lang w:val="es-ES"/>
        </w:rPr>
      </w:pPr>
    </w:p>
    <w:p w14:paraId="2A1EAC8F" w14:textId="77777777" w:rsidR="009713BF" w:rsidRPr="005E3D50" w:rsidRDefault="009713BF" w:rsidP="009713BF">
      <w:pPr>
        <w:rPr>
          <w:lang w:val="es-ES"/>
        </w:rPr>
      </w:pPr>
      <w:r w:rsidRPr="005E3D50">
        <w:rPr>
          <w:lang w:val="es-ES"/>
        </w:rPr>
        <w:t xml:space="preserve">Una amplia mayoría de Partes han presentado metas nacionales que abordan elementos de la meta 9 relacionados con beneficios ambientales (81 % de las Partes), sociales (67 %) y económicos (65 %) derivados de la gestión y utilización sostenibles de la diversidad biológica (véase el cuadro 20). Una amplia mayoría de Partes (65 %) también han fijado metas nacionales tendientes a garantizar la generación de beneficios para las personas a través de actividades y productos sostenibles basados en la diversidad biológica y servicios que fortalecen la diversidad biológica. Menos de la mitad de las Partes (47 %) han fijado metas nacionales para proteger y fomentar la utilización consuetudinaria sostenible </w:t>
      </w:r>
      <w:r w:rsidRPr="005E3D50">
        <w:rPr>
          <w:lang w:val="es-ES"/>
        </w:rPr>
        <w:lastRenderedPageBreak/>
        <w:t>por pueblos indígenas y comunidades locales, aunque no todas las Partes consideran que este elemento sea pertinente para sus circunstancias nacionales. Un porcentaje aún menor de Partes (38 %) abordan el elemento de la meta 9 que se refiere a las personas en situaciones de vulnerabilidad y a quienes más dependen de la diversidad biológica. No hay elementos cuantitativos en la meta.</w:t>
      </w:r>
    </w:p>
    <w:p w14:paraId="75CEB600" w14:textId="77777777" w:rsidR="009713BF" w:rsidRPr="005E3D50" w:rsidRDefault="009713BF" w:rsidP="009713BF">
      <w:pPr>
        <w:rPr>
          <w:lang w:val="es-ES"/>
        </w:rPr>
      </w:pPr>
    </w:p>
    <w:p w14:paraId="162905D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279" w:name="_Toc235821158"/>
      <w:r w:rsidRPr="005E3D50">
        <w:rPr>
          <w:rFonts w:eastAsiaTheme="majorEastAsia" w:cstheme="majorBidi"/>
          <w:color w:val="0F4761" w:themeColor="accent1" w:themeShade="BF"/>
          <w:lang w:val="es-ES"/>
        </w:rPr>
        <w:t>Indicadores de progresos</w:t>
      </w:r>
      <w:bookmarkEnd w:id="279"/>
    </w:p>
    <w:p w14:paraId="3ED24CBE" w14:textId="77777777" w:rsidR="009713BF" w:rsidRPr="005E3D50" w:rsidRDefault="009713BF" w:rsidP="009713BF">
      <w:pPr>
        <w:keepNext/>
        <w:keepLines/>
        <w:spacing w:after="200" w:line="240" w:lineRule="auto"/>
        <w:rPr>
          <w:rFonts w:eastAsiaTheme="minorEastAsia"/>
          <w:color w:val="0E2841" w:themeColor="text2"/>
          <w:kern w:val="0"/>
          <w:sz w:val="20"/>
          <w:szCs w:val="20"/>
          <w:lang w:val="es-ES" w:eastAsia="ja-JP"/>
          <w14:ligatures w14:val="none"/>
        </w:rPr>
      </w:pPr>
    </w:p>
    <w:p w14:paraId="24D6F8FB" w14:textId="77777777" w:rsidR="009713BF" w:rsidRPr="005E3D50" w:rsidRDefault="009713BF" w:rsidP="009713BF">
      <w:pPr>
        <w:keepNext/>
        <w:keepLines/>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21 </w:t>
      </w:r>
    </w:p>
    <w:p w14:paraId="661A747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9 del Marco</w:t>
      </w:r>
    </w:p>
    <w:p w14:paraId="1FF418A3" w14:textId="77777777" w:rsidR="009713BF" w:rsidRPr="005E3D50" w:rsidRDefault="009713BF" w:rsidP="009713BF">
      <w:pPr>
        <w:rPr>
          <w:lang w:val="es-ES" w:eastAsia="ja-JP"/>
        </w:rPr>
      </w:pPr>
    </w:p>
    <w:tbl>
      <w:tblPr>
        <w:tblW w:w="9209" w:type="dxa"/>
        <w:tblLook w:val="04A0" w:firstRow="1" w:lastRow="0" w:firstColumn="1" w:lastColumn="0" w:noHBand="0" w:noVBand="1"/>
      </w:tblPr>
      <w:tblGrid>
        <w:gridCol w:w="2754"/>
        <w:gridCol w:w="2203"/>
        <w:gridCol w:w="708"/>
        <w:gridCol w:w="2835"/>
        <w:gridCol w:w="709"/>
      </w:tblGrid>
      <w:tr w:rsidR="009713BF" w:rsidRPr="005E3D50" w14:paraId="03AC006D" w14:textId="77777777" w:rsidTr="006E6831">
        <w:trPr>
          <w:trHeight w:val="773"/>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7261D94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11" w:type="dxa"/>
            <w:gridSpan w:val="2"/>
            <w:tcBorders>
              <w:top w:val="single" w:sz="4" w:space="0" w:color="auto"/>
              <w:left w:val="nil"/>
              <w:bottom w:val="single" w:sz="4" w:space="0" w:color="auto"/>
              <w:right w:val="single" w:sz="4" w:space="0" w:color="auto"/>
            </w:tcBorders>
            <w:vAlign w:val="center"/>
          </w:tcPr>
          <w:p w14:paraId="2ED9CEF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544" w:type="dxa"/>
            <w:gridSpan w:val="2"/>
            <w:tcBorders>
              <w:top w:val="single" w:sz="4" w:space="0" w:color="auto"/>
              <w:left w:val="nil"/>
              <w:bottom w:val="single" w:sz="4" w:space="0" w:color="auto"/>
              <w:right w:val="single" w:sz="4" w:space="0" w:color="auto"/>
            </w:tcBorders>
            <w:vAlign w:val="center"/>
          </w:tcPr>
          <w:p w14:paraId="74E4AC1E"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33CB3B15" w14:textId="77777777" w:rsidTr="006E6831">
        <w:trPr>
          <w:trHeight w:val="1050"/>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98FD1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9.1: beneficios de la utilización sostenible de especies silvestres</w:t>
            </w:r>
          </w:p>
        </w:tc>
        <w:tc>
          <w:tcPr>
            <w:tcW w:w="2203" w:type="dxa"/>
            <w:tcBorders>
              <w:top w:val="single" w:sz="4" w:space="0" w:color="auto"/>
              <w:left w:val="nil"/>
              <w:bottom w:val="single" w:sz="4" w:space="0" w:color="auto"/>
              <w:right w:val="single" w:sz="4" w:space="0" w:color="auto"/>
            </w:tcBorders>
            <w:hideMark/>
          </w:tcPr>
          <w:p w14:paraId="2032044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p w14:paraId="39DA8570"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p w14:paraId="0F3DE046"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10 % de las Partes</w:t>
            </w:r>
          </w:p>
        </w:tc>
        <w:tc>
          <w:tcPr>
            <w:tcW w:w="708" w:type="dxa"/>
            <w:tcBorders>
              <w:top w:val="single" w:sz="4" w:space="0" w:color="auto"/>
              <w:left w:val="nil"/>
              <w:bottom w:val="single" w:sz="4" w:space="0" w:color="auto"/>
              <w:right w:val="single" w:sz="4" w:space="0" w:color="auto"/>
            </w:tcBorders>
            <w:shd w:val="clear" w:color="000000" w:fill="C00000"/>
            <w:hideMark/>
          </w:tcPr>
          <w:p w14:paraId="53D194F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2A4C1EF9"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Sin resultados: la variedad de tipos de beneficios comunicados es demasiado amplia como para agregar datos de manera significativa</w:t>
            </w:r>
          </w:p>
        </w:tc>
        <w:tc>
          <w:tcPr>
            <w:tcW w:w="709"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454CF120"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59842403" w14:textId="77777777" w:rsidTr="006E6831">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16A6620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9.2: porcentaje de la población que trabaja en ocupaciones tradicionales</w:t>
            </w:r>
          </w:p>
        </w:tc>
        <w:tc>
          <w:tcPr>
            <w:tcW w:w="2203" w:type="dxa"/>
            <w:tcBorders>
              <w:top w:val="nil"/>
              <w:left w:val="nil"/>
              <w:bottom w:val="single" w:sz="4" w:space="0" w:color="auto"/>
              <w:right w:val="single" w:sz="4" w:space="0" w:color="auto"/>
            </w:tcBorders>
            <w:vAlign w:val="center"/>
            <w:hideMark/>
          </w:tcPr>
          <w:p w14:paraId="080B98BD"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19 % de las Partes</w:t>
            </w:r>
          </w:p>
          <w:p w14:paraId="3FEF373E"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13 % indicaron que “no es pertinente”</w:t>
            </w:r>
          </w:p>
        </w:tc>
        <w:tc>
          <w:tcPr>
            <w:tcW w:w="708" w:type="dxa"/>
            <w:tcBorders>
              <w:top w:val="nil"/>
              <w:left w:val="nil"/>
              <w:bottom w:val="single" w:sz="4" w:space="0" w:color="auto"/>
              <w:right w:val="single" w:sz="4" w:space="0" w:color="auto"/>
            </w:tcBorders>
            <w:shd w:val="clear" w:color="000000" w:fill="C00000"/>
            <w:vAlign w:val="center"/>
            <w:hideMark/>
          </w:tcPr>
          <w:p w14:paraId="5727224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nil"/>
              <w:left w:val="nil"/>
              <w:bottom w:val="single" w:sz="4" w:space="0" w:color="auto"/>
              <w:right w:val="single" w:sz="4" w:space="0" w:color="auto"/>
            </w:tcBorders>
            <w:vAlign w:val="center"/>
            <w:hideMark/>
          </w:tcPr>
          <w:p w14:paraId="135B1F6B"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Promedio general: 27 % (intervalo: 0 % a 80 %)</w:t>
            </w:r>
          </w:p>
          <w:p w14:paraId="29D0F7A2"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(tendencia descendiente a lo largo del tiempo)</w:t>
            </w:r>
          </w:p>
        </w:tc>
        <w:tc>
          <w:tcPr>
            <w:tcW w:w="709" w:type="dxa"/>
            <w:tcBorders>
              <w:top w:val="nil"/>
              <w:left w:val="nil"/>
              <w:bottom w:val="single" w:sz="4" w:space="0" w:color="auto"/>
              <w:right w:val="single" w:sz="4" w:space="0" w:color="auto"/>
            </w:tcBorders>
            <w:shd w:val="clear" w:color="auto" w:fill="C00000"/>
            <w:vAlign w:val="center"/>
          </w:tcPr>
          <w:p w14:paraId="50B8B853"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517EFE38" w14:textId="77777777" w:rsidTr="006E6831">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3D667B7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9.b: número de países que cuentan con políticas para gestionar de manera sostenible la utilización de especies silvestres, proporcionando beneficios sociales, económicos y ambientales a las personas, y para proteger y fomentar la utilización sostenible consuetudinaria por parte de los pueblos indígenas y las comunidades locales</w:t>
            </w:r>
          </w:p>
        </w:tc>
        <w:tc>
          <w:tcPr>
            <w:tcW w:w="2203" w:type="dxa"/>
            <w:tcBorders>
              <w:top w:val="nil"/>
              <w:left w:val="nil"/>
              <w:bottom w:val="single" w:sz="4" w:space="0" w:color="auto"/>
              <w:right w:val="single" w:sz="4" w:space="0" w:color="auto"/>
            </w:tcBorders>
            <w:vAlign w:val="center"/>
            <w:hideMark/>
          </w:tcPr>
          <w:p w14:paraId="1F9AEE5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8" w:type="dxa"/>
            <w:tcBorders>
              <w:top w:val="nil"/>
              <w:left w:val="nil"/>
              <w:bottom w:val="single" w:sz="4" w:space="0" w:color="auto"/>
              <w:right w:val="single" w:sz="4" w:space="0" w:color="auto"/>
            </w:tcBorders>
            <w:vAlign w:val="center"/>
            <w:hideMark/>
          </w:tcPr>
          <w:p w14:paraId="15B6CB0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n. </w:t>
            </w:r>
            <w:proofErr w:type="spellStart"/>
            <w:proofErr w:type="gramStart"/>
            <w:r w:rsidRPr="005E3D50">
              <w:rPr>
                <w:rFonts w:ascii="Aptos" w:hAnsi="Aptos"/>
                <w:color w:val="000000"/>
                <w:sz w:val="20"/>
                <w:lang w:val="es-ES"/>
              </w:rPr>
              <w:t>a.</w:t>
            </w:r>
            <w:r w:rsidRPr="005E3D50">
              <w:rPr>
                <w:rFonts w:ascii="Aptos" w:hAnsi="Aptos"/>
                <w:i/>
                <w:color w:val="000000"/>
                <w:sz w:val="20"/>
                <w:vertAlign w:val="superscript"/>
                <w:lang w:val="es-ES"/>
              </w:rPr>
              <w:t>a</w:t>
            </w:r>
            <w:proofErr w:type="spellEnd"/>
            <w:proofErr w:type="gramEnd"/>
          </w:p>
        </w:tc>
        <w:tc>
          <w:tcPr>
            <w:tcW w:w="2835" w:type="dxa"/>
            <w:tcBorders>
              <w:top w:val="nil"/>
              <w:left w:val="nil"/>
              <w:bottom w:val="single" w:sz="4" w:space="0" w:color="auto"/>
              <w:right w:val="single" w:sz="4" w:space="0" w:color="auto"/>
            </w:tcBorders>
            <w:vAlign w:val="center"/>
            <w:hideMark/>
          </w:tcPr>
          <w:p w14:paraId="2097F80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44 % de las Partes tuvieron una puntuación alta (puntuación de 4 o 5)</w:t>
            </w:r>
          </w:p>
        </w:tc>
        <w:tc>
          <w:tcPr>
            <w:tcW w:w="709" w:type="dxa"/>
            <w:tcBorders>
              <w:top w:val="nil"/>
              <w:left w:val="nil"/>
              <w:bottom w:val="single" w:sz="4" w:space="0" w:color="auto"/>
              <w:right w:val="single" w:sz="4" w:space="0" w:color="auto"/>
            </w:tcBorders>
            <w:shd w:val="clear" w:color="auto" w:fill="FFC000"/>
            <w:vAlign w:val="center"/>
          </w:tcPr>
          <w:p w14:paraId="011303A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5E364297" w14:textId="77777777" w:rsidTr="006E6831">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0FEB962C"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203" w:type="dxa"/>
            <w:tcBorders>
              <w:top w:val="nil"/>
              <w:left w:val="nil"/>
              <w:bottom w:val="single" w:sz="4" w:space="0" w:color="auto"/>
              <w:right w:val="single" w:sz="4" w:space="0" w:color="auto"/>
            </w:tcBorders>
            <w:vAlign w:val="center"/>
            <w:hideMark/>
          </w:tcPr>
          <w:p w14:paraId="5BECBD2C"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32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25 %</w:t>
            </w:r>
          </w:p>
        </w:tc>
        <w:tc>
          <w:tcPr>
            <w:tcW w:w="708" w:type="dxa"/>
            <w:tcBorders>
              <w:top w:val="nil"/>
              <w:left w:val="nil"/>
              <w:bottom w:val="single" w:sz="4" w:space="0" w:color="auto"/>
              <w:right w:val="nil"/>
            </w:tcBorders>
            <w:shd w:val="clear" w:color="auto" w:fill="C00000"/>
            <w:vAlign w:val="center"/>
            <w:hideMark/>
          </w:tcPr>
          <w:p w14:paraId="24221AC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4B69027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28 % registran tendencias positivas</w:t>
            </w:r>
          </w:p>
          <w:p w14:paraId="168FF9A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22 % registran tendencias negativas</w:t>
            </w:r>
          </w:p>
        </w:tc>
        <w:tc>
          <w:tcPr>
            <w:tcW w:w="709" w:type="dxa"/>
            <w:tcBorders>
              <w:top w:val="nil"/>
              <w:left w:val="single" w:sz="4" w:space="0" w:color="auto"/>
              <w:bottom w:val="single" w:sz="4" w:space="0" w:color="auto"/>
              <w:right w:val="single" w:sz="4" w:space="0" w:color="auto"/>
            </w:tcBorders>
            <w:shd w:val="clear" w:color="auto" w:fill="FFC000"/>
            <w:vAlign w:val="center"/>
          </w:tcPr>
          <w:p w14:paraId="2C69498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62A57B70"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017D56B3"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w:t>
      </w:r>
      <w:r w:rsidRPr="005E3D50">
        <w:rPr>
          <w:rFonts w:ascii="Aptos" w:hAnsi="Aptos"/>
          <w:sz w:val="16"/>
          <w:lang w:val="es-ES"/>
        </w:rPr>
        <w:lastRenderedPageBreak/>
        <w:t xml:space="preserve">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4073D0CB"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361DC554" w14:textId="77777777" w:rsidR="009713BF" w:rsidRPr="005E3D50" w:rsidRDefault="009713BF" w:rsidP="009713BF">
      <w:pPr>
        <w:rPr>
          <w:rFonts w:ascii="Aptos" w:hAnsi="Aptos"/>
          <w:strike/>
          <w:lang w:val="es-ES"/>
        </w:rPr>
      </w:pPr>
    </w:p>
    <w:p w14:paraId="2F27F4B1" w14:textId="77777777" w:rsidR="009713BF" w:rsidRPr="005E3D50" w:rsidRDefault="009713BF" w:rsidP="009713BF">
      <w:pPr>
        <w:rPr>
          <w:lang w:val="es-ES"/>
        </w:rPr>
      </w:pPr>
    </w:p>
    <w:p w14:paraId="2AE30797" w14:textId="77777777" w:rsidR="009713BF" w:rsidRPr="005E3D50" w:rsidRDefault="009713BF" w:rsidP="009713BF">
      <w:pPr>
        <w:rPr>
          <w:lang w:val="es-ES"/>
        </w:rPr>
      </w:pPr>
      <w:r w:rsidRPr="005E3D50">
        <w:rPr>
          <w:rFonts w:ascii="Aptos" w:hAnsi="Aptos"/>
          <w:lang w:val="es-ES"/>
        </w:rPr>
        <w:t xml:space="preserve">En el caso del indicador de cabecera 9.1 (beneficios de la utilización sostenible de especies silvestres), la información proporcionada fue escasa y no estaba estandarizada, muy probablemente debido a que la orientación metodológica a disposición de las Partes era incompleta (véase el cuadro 21). </w:t>
      </w:r>
      <w:r w:rsidRPr="005E3D50">
        <w:rPr>
          <w:lang w:val="es-ES"/>
        </w:rPr>
        <w:t>De las Partes cuyos informes nacionales se consideraron en el análisis, el 10 % presentó información para este indicador e incluyó varios tipos de beneficios (por ejemplo, ingresos, empleo, alimentos, valor de exportación y otros). Si bien los beneficios no son directamente comparables y no pudieron agregarse en una única tendencia, el análisis individual reveló que se produjeron más reducciones de beneficios que aumentos. Alrededor de la mitad de las Partes informaron que no hacen actualmente un seguimiento de los beneficios derivados de la utilización sostenible y explican esa falta de seguimiento por las dificultades metodológicas y de datos que supone. Con respecto al indicador de cabecera 9.2 (porcentaje de la población que trabaja en ocupaciones tradicionales), varias Partes plantearon que tienen dificultades para identificar qué constituye una ocupación tradicional, aduciendo que son muy específicas al lugar. Más de una de cada diez Partes afirmaron que este indicador no era pertinente para sus circunstancias nacionales. El porcentaje de personas que se dedican a ocupaciones tradicionales varía mucho entre el 19 % de Partes que presentaron datos al respecto, y durante el período de presentación de informes de 2020 a 2025 casi no hubo variación en este sentido (véase la figura 37).</w:t>
      </w:r>
    </w:p>
    <w:p w14:paraId="62A6E4CD" w14:textId="77777777" w:rsidR="009713BF" w:rsidRPr="005E3D50" w:rsidRDefault="009713BF" w:rsidP="009713BF">
      <w:pPr>
        <w:rPr>
          <w:lang w:val="es-ES"/>
        </w:rPr>
      </w:pPr>
      <w:r w:rsidRPr="005E3D50">
        <w:rPr>
          <w:lang w:val="es-ES"/>
        </w:rPr>
        <w:t xml:space="preserve">Con respecto a la aplicación de políticas que se comunicó mediante el indicador binario de la meta 9, muchas Partes informaron que han dado importantes pasos tendientes a aplicar políticas en materia de utilización sostenible de especies silvestres, y casi la mitad declararon que han adoptado instrumentos jurídicos o medidas administrativas que están plenamente en vigor (véase la figura 38). Por otra parte, alrededor de tres cuartos de las </w:t>
      </w:r>
      <w:r w:rsidRPr="005E3D50">
        <w:rPr>
          <w:lang w:val="es-ES"/>
        </w:rPr>
        <w:lastRenderedPageBreak/>
        <w:t>Partes informaron que han adoptado medidas al menos parciales para proteger y fomentar la utilización consuetudinaria sostenible de la diversidad biológica por los pueblos indígenas y las comunidades locales. De los indicadores nacionales que están armonizados con elementos de la meta, la mayoría tienen que ver con utilización consuetudinaria sostenible. Por lo tanto, si bien es necesario profundizar los métodos de seguimiento, las Partes comunican que se han logrado progresos en términos de una mejora del entorno propicio para apoyar la utilización sostenible de especies silvestres (véase la figura 39).</w:t>
      </w:r>
    </w:p>
    <w:p w14:paraId="37A4681C" w14:textId="77777777" w:rsidR="009713BF" w:rsidRPr="005E3D50" w:rsidRDefault="009713BF" w:rsidP="009713BF">
      <w:pPr>
        <w:rPr>
          <w:lang w:val="es-ES"/>
        </w:rPr>
      </w:pPr>
    </w:p>
    <w:p w14:paraId="393AD9A2" w14:textId="77777777" w:rsidR="009713BF" w:rsidRPr="005E3D50" w:rsidRDefault="009713BF" w:rsidP="009713BF">
      <w:pPr>
        <w:rPr>
          <w:sz w:val="20"/>
          <w:szCs w:val="20"/>
          <w:lang w:val="es-ES"/>
        </w:rPr>
      </w:pPr>
      <w:r w:rsidRPr="005E3D50">
        <w:rPr>
          <w:sz w:val="20"/>
          <w:lang w:val="es-ES"/>
        </w:rPr>
        <w:t>Figura 37</w:t>
      </w:r>
    </w:p>
    <w:p w14:paraId="21BBDF10" w14:textId="77777777" w:rsidR="009713BF" w:rsidRPr="005E3D50" w:rsidRDefault="009713BF" w:rsidP="009713BF">
      <w:pPr>
        <w:rPr>
          <w:rFonts w:eastAsiaTheme="minorEastAsia"/>
          <w:b/>
          <w:bCs/>
          <w:color w:val="0E2841" w:themeColor="text2"/>
          <w:kern w:val="0"/>
          <w:sz w:val="20"/>
          <w:szCs w:val="20"/>
          <w:lang w:val="es-ES"/>
          <w14:ligatures w14:val="none"/>
        </w:rPr>
      </w:pPr>
      <w:r w:rsidRPr="005E3D50">
        <w:rPr>
          <w:b/>
          <w:color w:val="0E2841" w:themeColor="text2"/>
          <w:sz w:val="20"/>
          <w:lang w:val="es-ES"/>
        </w:rPr>
        <w:t>Indicador de cabecera 9.2: porcentaje de la población que trabaja en ocupaciones tradicionales </w:t>
      </w:r>
    </w:p>
    <w:p w14:paraId="3F694008" w14:textId="77777777" w:rsidR="009713BF" w:rsidRPr="005E3D50" w:rsidRDefault="009713BF" w:rsidP="009713BF">
      <w:pPr>
        <w:rPr>
          <w:sz w:val="20"/>
          <w:szCs w:val="20"/>
          <w:lang w:val="es-ES"/>
        </w:rPr>
      </w:pPr>
    </w:p>
    <w:p w14:paraId="43CA36DE"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280" w:name="_Ref231164788"/>
      <w:r w:rsidRPr="005E3D50">
        <w:rPr>
          <w:rFonts w:ascii="Aptos" w:eastAsiaTheme="minorEastAsia" w:hAnsi="Aptos"/>
          <w:iCs/>
          <w:noProof/>
          <w:color w:val="0E2841" w:themeColor="text2"/>
          <w:kern w:val="0"/>
          <w:sz w:val="18"/>
          <w:szCs w:val="18"/>
          <w:lang w:val="en-US"/>
          <w14:ligatures w14:val="none"/>
        </w:rPr>
        <w:drawing>
          <wp:inline distT="0" distB="0" distL="0" distR="0" wp14:anchorId="7BBA5364" wp14:editId="361E2AF3">
            <wp:extent cx="4042161" cy="3031845"/>
            <wp:effectExtent l="0" t="0" r="0" b="3810"/>
            <wp:docPr id="14550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078" name="Picture 14550078"/>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4067290" cy="3050693"/>
                    </a:xfrm>
                    <a:prstGeom prst="rect">
                      <a:avLst/>
                    </a:prstGeom>
                  </pic:spPr>
                </pic:pic>
              </a:graphicData>
            </a:graphic>
          </wp:inline>
        </w:drawing>
      </w:r>
    </w:p>
    <w:bookmarkEnd w:id="280"/>
    <w:p w14:paraId="3FA7B2D2"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 </w:t>
      </w:r>
    </w:p>
    <w:p w14:paraId="1F8409C4" w14:textId="77777777" w:rsidR="009713BF" w:rsidRDefault="009713BF" w:rsidP="009713BF">
      <w:pPr>
        <w:rPr>
          <w:rFonts w:ascii="Aptos" w:hAnsi="Aptos"/>
          <w:color w:val="0E2841" w:themeColor="text2"/>
          <w:sz w:val="18"/>
          <w:lang w:val="es-ES"/>
        </w:rPr>
      </w:pPr>
      <w:r w:rsidRPr="005E3D50">
        <w:rPr>
          <w:i/>
          <w:iCs/>
          <w:color w:val="0E2841" w:themeColor="text2"/>
          <w:sz w:val="18"/>
          <w:lang w:val="es-ES"/>
        </w:rPr>
        <w:t>Nota</w:t>
      </w:r>
      <w:r w:rsidRPr="005E3D50">
        <w:rPr>
          <w:color w:val="0E2841" w:themeColor="text2"/>
          <w:sz w:val="18"/>
          <w:lang w:val="es-ES"/>
        </w:rPr>
        <w:t xml:space="preserve">: Los valores del indicador muestran el promedio general y el intervalo intercuartílico de todas las comunicaciones de las Partes para cada año. </w:t>
      </w:r>
      <w:r w:rsidRPr="005E3D50">
        <w:rPr>
          <w:rFonts w:ascii="Aptos" w:hAnsi="Aptos"/>
          <w:color w:val="0E2841" w:themeColor="text2"/>
          <w:sz w:val="18"/>
          <w:lang w:val="es-ES"/>
        </w:rPr>
        <w:t>El gráfico de barras de la derecha muestra la distribución de las Partes que presentan indicadores, por región.</w:t>
      </w:r>
      <w:r w:rsidRPr="005E3D50">
        <w:rPr>
          <w:color w:val="0E2841" w:themeColor="text2"/>
          <w:sz w:val="18"/>
          <w:lang w:val="es-ES"/>
        </w:rPr>
        <w:t> </w:t>
      </w:r>
      <w:r w:rsidRPr="005E3D50">
        <w:rPr>
          <w:rFonts w:ascii="Aptos" w:hAnsi="Aptos"/>
          <w:color w:val="0E2841" w:themeColor="text2"/>
          <w:sz w:val="18"/>
          <w:lang w:val="es-ES"/>
        </w:rPr>
        <w:t>Los colores de cada región se indican en la leyenda de la figura: los tonos más oscuros en cada región representan la proporción de Partes de esa región para las que se incluyen datos en el gráfico; los tonos más claros representan la proporción de Partes de la misma región para las que no se incluyen datos en el gráfico.</w:t>
      </w:r>
    </w:p>
    <w:tbl>
      <w:tblPr>
        <w:tblStyle w:val="TableGrid"/>
        <w:tblpPr w:leftFromText="180" w:rightFromText="180" w:vertAnchor="text" w:tblpY="1"/>
        <w:tblOverlap w:val="never"/>
        <w:tblW w:w="9347" w:type="dxa"/>
        <w:tblLook w:val="04A0" w:firstRow="1" w:lastRow="0" w:firstColumn="1" w:lastColumn="0" w:noHBand="0" w:noVBand="1"/>
      </w:tblPr>
      <w:tblGrid>
        <w:gridCol w:w="5116"/>
        <w:gridCol w:w="4231"/>
      </w:tblGrid>
      <w:tr w:rsidR="00473EB5" w:rsidRPr="00E4198A" w14:paraId="41EFDE4C" w14:textId="77777777" w:rsidTr="00B846E8">
        <w:tc>
          <w:tcPr>
            <w:tcW w:w="9347" w:type="dxa"/>
            <w:gridSpan w:val="2"/>
          </w:tcPr>
          <w:p w14:paraId="3CD7E819" w14:textId="75915990" w:rsidR="00473EB5" w:rsidRPr="002B1D2B" w:rsidRDefault="007533CC" w:rsidP="002B1D2B">
            <w:pPr>
              <w:rPr>
                <w:sz w:val="18"/>
                <w:szCs w:val="18"/>
                <w:lang w:val="es-ES"/>
              </w:rPr>
            </w:pPr>
            <w:r w:rsidRPr="002B1D2B">
              <w:rPr>
                <w:sz w:val="18"/>
                <w:szCs w:val="18"/>
                <w:lang w:val="es-ES"/>
              </w:rPr>
              <w:t>Figura</w:t>
            </w:r>
            <w:r w:rsidR="002B1D2B" w:rsidRPr="002B1D2B">
              <w:rPr>
                <w:sz w:val="18"/>
                <w:szCs w:val="18"/>
                <w:lang w:val="es-ES"/>
              </w:rPr>
              <w:t xml:space="preserve"> 37</w:t>
            </w:r>
          </w:p>
        </w:tc>
      </w:tr>
      <w:tr w:rsidR="00473EB5" w:rsidRPr="00E4198A" w14:paraId="06AA091E" w14:textId="77777777" w:rsidTr="00B846E8">
        <w:tc>
          <w:tcPr>
            <w:tcW w:w="5116" w:type="dxa"/>
          </w:tcPr>
          <w:p w14:paraId="2A2FF3EF" w14:textId="77777777" w:rsidR="00473EB5" w:rsidRPr="002B1D2B" w:rsidRDefault="00473EB5" w:rsidP="002B1D2B">
            <w:pPr>
              <w:spacing w:line="278" w:lineRule="auto"/>
              <w:rPr>
                <w:sz w:val="18"/>
                <w:szCs w:val="18"/>
                <w:lang w:val="es-ES"/>
              </w:rPr>
            </w:pPr>
            <w:r w:rsidRPr="002B1D2B">
              <w:rPr>
                <w:sz w:val="18"/>
                <w:szCs w:val="18"/>
                <w:lang w:val="es-ES"/>
              </w:rPr>
              <w:t xml:space="preserve">English </w:t>
            </w:r>
          </w:p>
        </w:tc>
        <w:tc>
          <w:tcPr>
            <w:tcW w:w="4231" w:type="dxa"/>
          </w:tcPr>
          <w:p w14:paraId="0CADE800" w14:textId="2CACFA8D" w:rsidR="00473EB5" w:rsidRPr="002B1D2B" w:rsidRDefault="007371B4" w:rsidP="002B1D2B">
            <w:pPr>
              <w:spacing w:line="278" w:lineRule="auto"/>
              <w:rPr>
                <w:sz w:val="18"/>
                <w:szCs w:val="18"/>
                <w:lang w:val="es-ES"/>
              </w:rPr>
            </w:pPr>
            <w:r w:rsidRPr="002B1D2B">
              <w:rPr>
                <w:sz w:val="18"/>
                <w:szCs w:val="18"/>
                <w:lang w:val="es-ES"/>
              </w:rPr>
              <w:t>Español</w:t>
            </w:r>
          </w:p>
        </w:tc>
      </w:tr>
      <w:tr w:rsidR="00473EB5" w:rsidRPr="00E4198A" w14:paraId="19C579E4" w14:textId="77777777" w:rsidTr="00B846E8">
        <w:tc>
          <w:tcPr>
            <w:tcW w:w="5116" w:type="dxa"/>
          </w:tcPr>
          <w:p w14:paraId="442C7174" w14:textId="77777777" w:rsidR="00473EB5" w:rsidRPr="00E4198A" w:rsidRDefault="00473EB5" w:rsidP="002B1D2B">
            <w:pPr>
              <w:spacing w:line="278" w:lineRule="auto"/>
              <w:rPr>
                <w:sz w:val="18"/>
                <w:szCs w:val="18"/>
                <w:lang w:val="en-US"/>
              </w:rPr>
            </w:pPr>
            <w:r w:rsidRPr="00E4198A">
              <w:rPr>
                <w:sz w:val="18"/>
                <w:szCs w:val="18"/>
                <w:lang w:val="en-US"/>
              </w:rPr>
              <w:t>Population in traditional occupations (percentage)</w:t>
            </w:r>
          </w:p>
        </w:tc>
        <w:tc>
          <w:tcPr>
            <w:tcW w:w="4231" w:type="dxa"/>
          </w:tcPr>
          <w:p w14:paraId="780959C3" w14:textId="77777777" w:rsidR="00473EB5" w:rsidRPr="00E4198A" w:rsidRDefault="00473EB5" w:rsidP="002B1D2B">
            <w:pPr>
              <w:spacing w:line="278" w:lineRule="auto"/>
              <w:rPr>
                <w:sz w:val="18"/>
                <w:szCs w:val="18"/>
                <w:lang w:val="es-ES"/>
              </w:rPr>
            </w:pPr>
            <w:r w:rsidRPr="00E4198A">
              <w:rPr>
                <w:sz w:val="18"/>
                <w:szCs w:val="18"/>
                <w:lang w:val="es-ES"/>
              </w:rPr>
              <w:t>Población que trabaja en ocupaciones tradicionales (porcentaje)</w:t>
            </w:r>
          </w:p>
        </w:tc>
      </w:tr>
      <w:tr w:rsidR="00473EB5" w:rsidRPr="00E4198A" w14:paraId="2A6F270E" w14:textId="77777777" w:rsidTr="00B846E8">
        <w:tc>
          <w:tcPr>
            <w:tcW w:w="5116" w:type="dxa"/>
          </w:tcPr>
          <w:p w14:paraId="47E1D09B" w14:textId="77777777" w:rsidR="00473EB5" w:rsidRPr="00E4198A" w:rsidRDefault="00473EB5" w:rsidP="002B1D2B">
            <w:pPr>
              <w:spacing w:line="278" w:lineRule="auto"/>
              <w:rPr>
                <w:sz w:val="18"/>
                <w:szCs w:val="18"/>
                <w:lang w:val="es-ES"/>
              </w:rPr>
            </w:pPr>
            <w:proofErr w:type="spellStart"/>
            <w:r w:rsidRPr="00E4198A">
              <w:rPr>
                <w:sz w:val="18"/>
                <w:szCs w:val="18"/>
                <w:lang w:val="es-ES"/>
              </w:rPr>
              <w:t>Year</w:t>
            </w:r>
            <w:proofErr w:type="spellEnd"/>
          </w:p>
        </w:tc>
        <w:tc>
          <w:tcPr>
            <w:tcW w:w="4231" w:type="dxa"/>
          </w:tcPr>
          <w:p w14:paraId="3D0CADAA" w14:textId="77777777" w:rsidR="00473EB5" w:rsidRPr="00E4198A" w:rsidRDefault="00473EB5" w:rsidP="002B1D2B">
            <w:pPr>
              <w:spacing w:line="278" w:lineRule="auto"/>
              <w:rPr>
                <w:sz w:val="18"/>
                <w:szCs w:val="18"/>
                <w:lang w:val="es-ES"/>
              </w:rPr>
            </w:pPr>
            <w:r w:rsidRPr="00E4198A">
              <w:rPr>
                <w:sz w:val="18"/>
                <w:szCs w:val="18"/>
                <w:lang w:val="es-ES"/>
              </w:rPr>
              <w:t>Año</w:t>
            </w:r>
          </w:p>
        </w:tc>
      </w:tr>
      <w:tr w:rsidR="00473EB5" w:rsidRPr="00E4198A" w14:paraId="7F3C7395" w14:textId="77777777" w:rsidTr="00B846E8">
        <w:tc>
          <w:tcPr>
            <w:tcW w:w="5116" w:type="dxa"/>
          </w:tcPr>
          <w:p w14:paraId="053A04D4" w14:textId="77777777" w:rsidR="00473EB5" w:rsidRPr="00E4198A" w:rsidRDefault="00473EB5" w:rsidP="002B1D2B">
            <w:pPr>
              <w:spacing w:line="278" w:lineRule="auto"/>
              <w:rPr>
                <w:sz w:val="18"/>
                <w:szCs w:val="18"/>
                <w:lang w:val="es-ES"/>
              </w:rPr>
            </w:pPr>
            <w:r w:rsidRPr="00E4198A">
              <w:rPr>
                <w:sz w:val="18"/>
                <w:szCs w:val="18"/>
                <w:lang w:val="es-ES"/>
              </w:rPr>
              <w:lastRenderedPageBreak/>
              <w:t xml:space="preserve">Party </w:t>
            </w:r>
            <w:proofErr w:type="spellStart"/>
            <w:r w:rsidRPr="00E4198A">
              <w:rPr>
                <w:sz w:val="18"/>
                <w:szCs w:val="18"/>
                <w:lang w:val="es-ES"/>
              </w:rPr>
              <w:t>count</w:t>
            </w:r>
            <w:proofErr w:type="spellEnd"/>
            <w:r w:rsidRPr="00E4198A">
              <w:rPr>
                <w:sz w:val="18"/>
                <w:szCs w:val="18"/>
                <w:lang w:val="es-ES"/>
              </w:rPr>
              <w:t>: 13</w:t>
            </w:r>
          </w:p>
        </w:tc>
        <w:tc>
          <w:tcPr>
            <w:tcW w:w="4231" w:type="dxa"/>
          </w:tcPr>
          <w:p w14:paraId="1DD7EA19" w14:textId="77777777" w:rsidR="00473EB5" w:rsidRPr="00E4198A" w:rsidRDefault="00473EB5" w:rsidP="002B1D2B">
            <w:pPr>
              <w:spacing w:line="278" w:lineRule="auto"/>
              <w:rPr>
                <w:sz w:val="18"/>
                <w:szCs w:val="18"/>
                <w:lang w:val="es-ES"/>
              </w:rPr>
            </w:pPr>
            <w:r w:rsidRPr="00E4198A">
              <w:rPr>
                <w:sz w:val="18"/>
                <w:szCs w:val="18"/>
                <w:lang w:val="es-ES"/>
              </w:rPr>
              <w:t>Número de Partes: 13</w:t>
            </w:r>
          </w:p>
        </w:tc>
      </w:tr>
      <w:tr w:rsidR="00473EB5" w:rsidRPr="00E4198A" w14:paraId="286B07A1" w14:textId="77777777" w:rsidTr="00B846E8">
        <w:tc>
          <w:tcPr>
            <w:tcW w:w="5116" w:type="dxa"/>
          </w:tcPr>
          <w:p w14:paraId="4D2B054D" w14:textId="77777777" w:rsidR="00473EB5" w:rsidRPr="00E4198A" w:rsidRDefault="00473EB5" w:rsidP="002B1D2B">
            <w:pPr>
              <w:spacing w:line="278" w:lineRule="auto"/>
              <w:rPr>
                <w:sz w:val="18"/>
                <w:szCs w:val="18"/>
                <w:lang w:val="es-ES"/>
              </w:rPr>
            </w:pPr>
            <w:r w:rsidRPr="00E4198A">
              <w:rPr>
                <w:sz w:val="18"/>
                <w:szCs w:val="18"/>
                <w:lang w:val="es-ES"/>
              </w:rPr>
              <w:t xml:space="preserve">Party </w:t>
            </w:r>
            <w:proofErr w:type="spellStart"/>
            <w:r w:rsidRPr="00E4198A">
              <w:rPr>
                <w:sz w:val="18"/>
                <w:szCs w:val="18"/>
                <w:lang w:val="es-ES"/>
              </w:rPr>
              <w:t>count</w:t>
            </w:r>
            <w:proofErr w:type="spellEnd"/>
            <w:r w:rsidRPr="00E4198A">
              <w:rPr>
                <w:sz w:val="18"/>
                <w:szCs w:val="18"/>
                <w:lang w:val="es-ES"/>
              </w:rPr>
              <w:t xml:space="preserve"> </w:t>
            </w:r>
            <w:proofErr w:type="spellStart"/>
            <w:r w:rsidRPr="00E4198A">
              <w:rPr>
                <w:sz w:val="18"/>
                <w:szCs w:val="18"/>
                <w:lang w:val="es-ES"/>
              </w:rPr>
              <w:t>by</w:t>
            </w:r>
            <w:proofErr w:type="spellEnd"/>
            <w:r w:rsidRPr="00E4198A">
              <w:rPr>
                <w:sz w:val="18"/>
                <w:szCs w:val="18"/>
                <w:lang w:val="es-ES"/>
              </w:rPr>
              <w:t xml:space="preserve"> </w:t>
            </w:r>
            <w:proofErr w:type="spellStart"/>
            <w:r w:rsidRPr="00E4198A">
              <w:rPr>
                <w:sz w:val="18"/>
                <w:szCs w:val="18"/>
                <w:lang w:val="es-ES"/>
              </w:rPr>
              <w:t>region</w:t>
            </w:r>
            <w:proofErr w:type="spellEnd"/>
          </w:p>
        </w:tc>
        <w:tc>
          <w:tcPr>
            <w:tcW w:w="4231" w:type="dxa"/>
          </w:tcPr>
          <w:p w14:paraId="067743A7" w14:textId="77777777" w:rsidR="00473EB5" w:rsidRPr="00E4198A" w:rsidRDefault="00473EB5" w:rsidP="002B1D2B">
            <w:pPr>
              <w:spacing w:line="278" w:lineRule="auto"/>
              <w:rPr>
                <w:sz w:val="18"/>
                <w:szCs w:val="18"/>
                <w:lang w:val="es-ES"/>
              </w:rPr>
            </w:pPr>
            <w:r w:rsidRPr="00E4198A">
              <w:rPr>
                <w:sz w:val="18"/>
                <w:szCs w:val="18"/>
                <w:lang w:val="es-ES"/>
              </w:rPr>
              <w:t>Número de Partes por región</w:t>
            </w:r>
          </w:p>
        </w:tc>
      </w:tr>
      <w:tr w:rsidR="00473EB5" w:rsidRPr="00E4198A" w14:paraId="004CAF93" w14:textId="77777777" w:rsidTr="00B846E8">
        <w:tc>
          <w:tcPr>
            <w:tcW w:w="5116" w:type="dxa"/>
          </w:tcPr>
          <w:p w14:paraId="2D107A8A" w14:textId="77777777" w:rsidR="00473EB5" w:rsidRPr="00E4198A" w:rsidRDefault="00473EB5" w:rsidP="002B1D2B">
            <w:pPr>
              <w:spacing w:line="278" w:lineRule="auto"/>
              <w:rPr>
                <w:sz w:val="18"/>
                <w:szCs w:val="18"/>
                <w:lang w:val="es-ES"/>
              </w:rPr>
            </w:pPr>
            <w:proofErr w:type="spellStart"/>
            <w:r w:rsidRPr="00E4198A">
              <w:rPr>
                <w:sz w:val="18"/>
                <w:szCs w:val="18"/>
                <w:lang w:val="es-ES"/>
              </w:rPr>
              <w:t>Region</w:t>
            </w:r>
            <w:proofErr w:type="spellEnd"/>
          </w:p>
        </w:tc>
        <w:tc>
          <w:tcPr>
            <w:tcW w:w="4231" w:type="dxa"/>
          </w:tcPr>
          <w:p w14:paraId="6C39CBCF" w14:textId="77777777" w:rsidR="00473EB5" w:rsidRPr="00E4198A" w:rsidRDefault="00473EB5" w:rsidP="002B1D2B">
            <w:pPr>
              <w:spacing w:line="278" w:lineRule="auto"/>
              <w:rPr>
                <w:sz w:val="18"/>
                <w:szCs w:val="18"/>
                <w:lang w:val="es-ES"/>
              </w:rPr>
            </w:pPr>
            <w:r w:rsidRPr="00E4198A">
              <w:rPr>
                <w:sz w:val="18"/>
                <w:szCs w:val="18"/>
                <w:lang w:val="es-ES"/>
              </w:rPr>
              <w:t>Región</w:t>
            </w:r>
          </w:p>
        </w:tc>
      </w:tr>
      <w:tr w:rsidR="00473EB5" w:rsidRPr="00E4198A" w14:paraId="5F69E980" w14:textId="77777777" w:rsidTr="00B846E8">
        <w:tc>
          <w:tcPr>
            <w:tcW w:w="5116" w:type="dxa"/>
          </w:tcPr>
          <w:p w14:paraId="18F8591F" w14:textId="77777777" w:rsidR="00473EB5" w:rsidRPr="00E4198A" w:rsidRDefault="00473EB5" w:rsidP="002B1D2B">
            <w:pPr>
              <w:spacing w:line="278" w:lineRule="auto"/>
              <w:rPr>
                <w:sz w:val="18"/>
                <w:szCs w:val="18"/>
                <w:lang w:val="es-ES"/>
              </w:rPr>
            </w:pPr>
            <w:r w:rsidRPr="00E4198A">
              <w:rPr>
                <w:sz w:val="18"/>
                <w:szCs w:val="18"/>
                <w:lang w:val="es-ES"/>
              </w:rPr>
              <w:t>African States</w:t>
            </w:r>
          </w:p>
        </w:tc>
        <w:tc>
          <w:tcPr>
            <w:tcW w:w="4231" w:type="dxa"/>
          </w:tcPr>
          <w:p w14:paraId="0A7FAF04" w14:textId="77777777" w:rsidR="00473EB5" w:rsidRPr="00E4198A" w:rsidRDefault="00473EB5" w:rsidP="002B1D2B">
            <w:pPr>
              <w:spacing w:line="278" w:lineRule="auto"/>
              <w:rPr>
                <w:sz w:val="18"/>
                <w:szCs w:val="18"/>
                <w:lang w:val="es-ES"/>
              </w:rPr>
            </w:pPr>
            <w:r w:rsidRPr="00E4198A">
              <w:rPr>
                <w:sz w:val="18"/>
                <w:szCs w:val="18"/>
                <w:lang w:val="es-ES"/>
              </w:rPr>
              <w:t>Estados de África</w:t>
            </w:r>
          </w:p>
        </w:tc>
      </w:tr>
      <w:tr w:rsidR="00473EB5" w:rsidRPr="00E4198A" w14:paraId="28B04932" w14:textId="77777777" w:rsidTr="00B846E8">
        <w:tc>
          <w:tcPr>
            <w:tcW w:w="5116" w:type="dxa"/>
          </w:tcPr>
          <w:p w14:paraId="7D2FB69C" w14:textId="77777777" w:rsidR="00473EB5" w:rsidRPr="00E4198A" w:rsidRDefault="00473EB5" w:rsidP="002B1D2B">
            <w:pPr>
              <w:spacing w:line="278" w:lineRule="auto"/>
              <w:rPr>
                <w:sz w:val="18"/>
                <w:szCs w:val="18"/>
                <w:lang w:val="es-ES"/>
              </w:rPr>
            </w:pPr>
            <w:r w:rsidRPr="00E4198A">
              <w:rPr>
                <w:sz w:val="18"/>
                <w:szCs w:val="18"/>
                <w:lang w:val="es-ES"/>
              </w:rPr>
              <w:t>Asia-Pacific States</w:t>
            </w:r>
          </w:p>
        </w:tc>
        <w:tc>
          <w:tcPr>
            <w:tcW w:w="4231" w:type="dxa"/>
          </w:tcPr>
          <w:p w14:paraId="2A7D6C4B" w14:textId="77777777" w:rsidR="00473EB5" w:rsidRPr="00E4198A" w:rsidRDefault="00473EB5" w:rsidP="002B1D2B">
            <w:pPr>
              <w:spacing w:line="278" w:lineRule="auto"/>
              <w:rPr>
                <w:sz w:val="18"/>
                <w:szCs w:val="18"/>
                <w:lang w:val="es-ES"/>
              </w:rPr>
            </w:pPr>
            <w:r w:rsidRPr="00E4198A">
              <w:rPr>
                <w:sz w:val="18"/>
                <w:szCs w:val="18"/>
                <w:lang w:val="es-ES"/>
              </w:rPr>
              <w:t>Estados de Asia y el Pacífico</w:t>
            </w:r>
          </w:p>
        </w:tc>
      </w:tr>
      <w:tr w:rsidR="00473EB5" w:rsidRPr="00E4198A" w14:paraId="3250B044" w14:textId="77777777" w:rsidTr="00B846E8">
        <w:tc>
          <w:tcPr>
            <w:tcW w:w="5116" w:type="dxa"/>
          </w:tcPr>
          <w:p w14:paraId="0DF4D5BD" w14:textId="77777777" w:rsidR="00473EB5" w:rsidRPr="00E4198A" w:rsidRDefault="00473EB5" w:rsidP="002B1D2B">
            <w:pPr>
              <w:spacing w:line="278" w:lineRule="auto"/>
              <w:rPr>
                <w:sz w:val="18"/>
                <w:szCs w:val="18"/>
                <w:lang w:val="en-US"/>
              </w:rPr>
            </w:pPr>
            <w:r w:rsidRPr="00E4198A">
              <w:rPr>
                <w:sz w:val="18"/>
                <w:szCs w:val="18"/>
                <w:lang w:val="en-US"/>
              </w:rPr>
              <w:t>Latin American and Caribbean States</w:t>
            </w:r>
          </w:p>
        </w:tc>
        <w:tc>
          <w:tcPr>
            <w:tcW w:w="4231" w:type="dxa"/>
          </w:tcPr>
          <w:p w14:paraId="04B86D95" w14:textId="77777777" w:rsidR="00473EB5" w:rsidRPr="00E4198A" w:rsidRDefault="00473EB5" w:rsidP="002B1D2B">
            <w:pPr>
              <w:spacing w:line="278" w:lineRule="auto"/>
              <w:rPr>
                <w:sz w:val="18"/>
                <w:szCs w:val="18"/>
                <w:lang w:val="es-ES"/>
              </w:rPr>
            </w:pPr>
            <w:r w:rsidRPr="00E4198A">
              <w:rPr>
                <w:sz w:val="18"/>
                <w:szCs w:val="18"/>
                <w:lang w:val="es-ES"/>
              </w:rPr>
              <w:t>Estados de América Latina y el Caribe</w:t>
            </w:r>
          </w:p>
        </w:tc>
      </w:tr>
      <w:tr w:rsidR="00473EB5" w:rsidRPr="00E4198A" w14:paraId="2447F102" w14:textId="77777777" w:rsidTr="00B846E8">
        <w:tc>
          <w:tcPr>
            <w:tcW w:w="5116" w:type="dxa"/>
          </w:tcPr>
          <w:p w14:paraId="5C86F0F3" w14:textId="77777777" w:rsidR="00473EB5" w:rsidRPr="00E4198A" w:rsidRDefault="00473EB5" w:rsidP="002B1D2B">
            <w:pPr>
              <w:spacing w:line="278" w:lineRule="auto"/>
              <w:rPr>
                <w:sz w:val="18"/>
                <w:szCs w:val="18"/>
                <w:lang w:val="es-ES"/>
              </w:rPr>
            </w:pPr>
            <w:r w:rsidRPr="00E4198A">
              <w:rPr>
                <w:sz w:val="18"/>
                <w:szCs w:val="18"/>
                <w:lang w:val="es-ES"/>
              </w:rPr>
              <w:t xml:space="preserve"> Eastern European States</w:t>
            </w:r>
          </w:p>
        </w:tc>
        <w:tc>
          <w:tcPr>
            <w:tcW w:w="4231" w:type="dxa"/>
          </w:tcPr>
          <w:p w14:paraId="3FD688B9" w14:textId="77777777" w:rsidR="00473EB5" w:rsidRPr="00E4198A" w:rsidRDefault="00473EB5" w:rsidP="002B1D2B">
            <w:pPr>
              <w:spacing w:line="278" w:lineRule="auto"/>
              <w:rPr>
                <w:sz w:val="18"/>
                <w:szCs w:val="18"/>
                <w:lang w:val="es-ES"/>
              </w:rPr>
            </w:pPr>
            <w:r w:rsidRPr="00E4198A">
              <w:rPr>
                <w:sz w:val="18"/>
                <w:szCs w:val="18"/>
                <w:lang w:val="es-ES"/>
              </w:rPr>
              <w:t>Estados de Europa Oriental</w:t>
            </w:r>
          </w:p>
        </w:tc>
      </w:tr>
      <w:tr w:rsidR="00473EB5" w:rsidRPr="00E4198A" w14:paraId="08A887BE" w14:textId="77777777" w:rsidTr="00B846E8">
        <w:tc>
          <w:tcPr>
            <w:tcW w:w="5116" w:type="dxa"/>
          </w:tcPr>
          <w:p w14:paraId="76F59E5C" w14:textId="77777777" w:rsidR="00473EB5" w:rsidRPr="00E4198A" w:rsidRDefault="00473EB5" w:rsidP="002B1D2B">
            <w:pPr>
              <w:spacing w:line="278" w:lineRule="auto"/>
              <w:rPr>
                <w:sz w:val="18"/>
                <w:szCs w:val="18"/>
                <w:lang w:val="en-US"/>
              </w:rPr>
            </w:pPr>
            <w:r w:rsidRPr="00E4198A">
              <w:rPr>
                <w:sz w:val="18"/>
                <w:szCs w:val="18"/>
                <w:lang w:val="en-US"/>
              </w:rPr>
              <w:t>Western European and other States</w:t>
            </w:r>
          </w:p>
        </w:tc>
        <w:tc>
          <w:tcPr>
            <w:tcW w:w="4231" w:type="dxa"/>
          </w:tcPr>
          <w:p w14:paraId="47C917F2" w14:textId="77777777" w:rsidR="00473EB5" w:rsidRPr="00E4198A" w:rsidRDefault="00473EB5" w:rsidP="002B1D2B">
            <w:pPr>
              <w:spacing w:line="278" w:lineRule="auto"/>
              <w:rPr>
                <w:sz w:val="18"/>
                <w:szCs w:val="18"/>
                <w:lang w:val="es-ES"/>
              </w:rPr>
            </w:pPr>
            <w:r w:rsidRPr="00E4198A">
              <w:rPr>
                <w:sz w:val="18"/>
                <w:szCs w:val="18"/>
                <w:lang w:val="es-ES"/>
              </w:rPr>
              <w:t>Estados de Europa Occidental y otros Estados</w:t>
            </w:r>
          </w:p>
        </w:tc>
      </w:tr>
    </w:tbl>
    <w:p w14:paraId="27777820" w14:textId="77777777" w:rsidR="009713BF" w:rsidRPr="005E3D50" w:rsidRDefault="009713BF" w:rsidP="009713BF">
      <w:pPr>
        <w:rPr>
          <w:lang w:val="es-ES" w:eastAsia="ja-JP"/>
        </w:rPr>
      </w:pPr>
    </w:p>
    <w:p w14:paraId="2D4827E3" w14:textId="77777777" w:rsidR="009713BF" w:rsidRPr="005E3D50" w:rsidRDefault="009713BF" w:rsidP="009713BF">
      <w:pPr>
        <w:rPr>
          <w:sz w:val="20"/>
          <w:szCs w:val="20"/>
          <w:lang w:val="es-ES"/>
        </w:rPr>
      </w:pPr>
      <w:r w:rsidRPr="005E3D50">
        <w:rPr>
          <w:sz w:val="20"/>
          <w:lang w:val="es-ES"/>
        </w:rPr>
        <w:t>Figura 38</w:t>
      </w:r>
    </w:p>
    <w:p w14:paraId="442EF526" w14:textId="77777777" w:rsidR="009713BF" w:rsidRPr="005E3D50" w:rsidRDefault="009713BF" w:rsidP="009713BF">
      <w:pPr>
        <w:spacing w:after="200" w:line="240" w:lineRule="auto"/>
        <w:rPr>
          <w:rFonts w:ascii="Aptos" w:eastAsiaTheme="minorEastAsia" w:hAnsi="Aptos"/>
          <w:b/>
          <w:bCs/>
          <w:color w:val="0E2841" w:themeColor="text2"/>
          <w:kern w:val="0"/>
          <w:sz w:val="20"/>
          <w:szCs w:val="20"/>
          <w:lang w:val="es-ES" w:eastAsia="ja-JP"/>
          <w14:ligatures w14:val="none"/>
        </w:rPr>
      </w:pPr>
      <w:r w:rsidRPr="005E3D50">
        <w:rPr>
          <w:rFonts w:ascii="Aptos" w:eastAsiaTheme="minorEastAsia" w:hAnsi="Aptos"/>
          <w:b/>
          <w:iCs/>
          <w:color w:val="0E2841" w:themeColor="text2"/>
          <w:kern w:val="0"/>
          <w:sz w:val="20"/>
          <w:szCs w:val="18"/>
          <w:lang w:val="es-ES" w:eastAsia="ja-JP"/>
          <w14:ligatures w14:val="none"/>
        </w:rPr>
        <w:t xml:space="preserve">Indicador binario 9.b: número de países que cuentan con políticas para gestionar de manera sostenible la utilización de especies silvestres, proporcionando beneficios sociales, económicos y ambientales a las personas, y para proteger y fomentar la utilización sostenible consuetudinaria por parte de los pueblos indígenas y las comunidades locales </w:t>
      </w:r>
    </w:p>
    <w:p w14:paraId="587F89CC" w14:textId="77777777" w:rsidR="009713BF" w:rsidRPr="005E3D50" w:rsidRDefault="009713BF" w:rsidP="009713BF">
      <w:pPr>
        <w:rPr>
          <w:sz w:val="20"/>
          <w:szCs w:val="20"/>
          <w:lang w:val="es-ES" w:eastAsia="ja-JP"/>
        </w:rPr>
      </w:pPr>
    </w:p>
    <w:p w14:paraId="2FD62C87"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281" w:name="_Ref231164864"/>
      <w:r w:rsidRPr="005E3D50">
        <w:rPr>
          <w:rFonts w:eastAsiaTheme="minorEastAsia"/>
          <w:i/>
          <w:iCs/>
          <w:noProof/>
          <w:color w:val="0E2841" w:themeColor="text2"/>
          <w:kern w:val="0"/>
          <w:sz w:val="18"/>
          <w:szCs w:val="18"/>
          <w:lang w:val="en-US"/>
          <w14:ligatures w14:val="none"/>
        </w:rPr>
        <w:drawing>
          <wp:inline distT="0" distB="0" distL="0" distR="0" wp14:anchorId="3E627D6D" wp14:editId="63728D92">
            <wp:extent cx="5943600" cy="2264410"/>
            <wp:effectExtent l="0" t="0" r="0" b="0"/>
            <wp:docPr id="2185327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32730" name="Picture 218532730"/>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81"/>
    <w:p w14:paraId="46771394"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Los colores de cada región se indican en la leyenda de la figura: los tonos más oscuros en cada región representan la proporción de Partes de esa región para las que se incluyen datos en el gráfico; los tonos más claros representan la proporción de Partes de la misma región para las que no se incluyen datos en el gráfico.</w:t>
      </w:r>
    </w:p>
    <w:p w14:paraId="6136FB1E" w14:textId="77777777" w:rsidR="009713BF" w:rsidRDefault="009713BF" w:rsidP="009713BF">
      <w:pPr>
        <w:rPr>
          <w:sz w:val="18"/>
          <w:lang w:val="es-ES"/>
        </w:rPr>
      </w:pPr>
      <w:r w:rsidRPr="005E3D50">
        <w:rPr>
          <w:sz w:val="18"/>
          <w:vertAlign w:val="superscript"/>
          <w:lang w:val="es-ES"/>
        </w:rPr>
        <w:t xml:space="preserve">a </w:t>
      </w:r>
      <w:r w:rsidRPr="005E3D50">
        <w:rPr>
          <w:sz w:val="18"/>
          <w:lang w:val="es-ES"/>
        </w:rPr>
        <w:t xml:space="preserve">La metodología empleada para calcular los niveles de puntuación para cada indicador binario, así como las preguntas incluidas para cada indicador, figuran en el documento </w:t>
      </w:r>
      <w:hyperlink r:id="rId117" w:history="1">
        <w:r w:rsidRPr="005E3D50">
          <w:rPr>
            <w:color w:val="000000" w:themeColor="text1"/>
            <w:sz w:val="18"/>
            <w:lang w:val="es-ES"/>
          </w:rPr>
          <w:t>CBD/COP/16/INF/3/Rev.1</w:t>
        </w:r>
      </w:hyperlink>
      <w:r w:rsidRPr="005E3D50">
        <w:rPr>
          <w:sz w:val="18"/>
          <w:lang w:val="es-ES"/>
        </w:rPr>
        <w:t>.</w:t>
      </w:r>
    </w:p>
    <w:tbl>
      <w:tblPr>
        <w:tblStyle w:val="TableGrid"/>
        <w:tblW w:w="9271" w:type="dxa"/>
        <w:tblLook w:val="04A0" w:firstRow="1" w:lastRow="0" w:firstColumn="1" w:lastColumn="0" w:noHBand="0" w:noVBand="1"/>
      </w:tblPr>
      <w:tblGrid>
        <w:gridCol w:w="5241"/>
        <w:gridCol w:w="4030"/>
      </w:tblGrid>
      <w:tr w:rsidR="00714C2E" w:rsidRPr="00714C2E" w14:paraId="7565324B" w14:textId="77777777" w:rsidTr="00714C2E">
        <w:tc>
          <w:tcPr>
            <w:tcW w:w="9271" w:type="dxa"/>
            <w:gridSpan w:val="2"/>
          </w:tcPr>
          <w:p w14:paraId="59BF2C1B" w14:textId="2CAECC68" w:rsidR="00714C2E" w:rsidRPr="002B1D2B" w:rsidRDefault="007533CC" w:rsidP="005F3039">
            <w:pPr>
              <w:rPr>
                <w:sz w:val="18"/>
                <w:szCs w:val="18"/>
                <w:lang w:val="es-ES"/>
              </w:rPr>
            </w:pPr>
            <w:r w:rsidRPr="002B1D2B">
              <w:rPr>
                <w:sz w:val="18"/>
                <w:szCs w:val="18"/>
                <w:lang w:val="es-ES"/>
              </w:rPr>
              <w:t>Figura</w:t>
            </w:r>
            <w:r w:rsidR="002B1D2B" w:rsidRPr="002B1D2B">
              <w:rPr>
                <w:sz w:val="18"/>
                <w:szCs w:val="18"/>
                <w:lang w:val="es-ES"/>
              </w:rPr>
              <w:t xml:space="preserve"> 38</w:t>
            </w:r>
          </w:p>
        </w:tc>
      </w:tr>
      <w:tr w:rsidR="00714C2E" w:rsidRPr="00714C2E" w14:paraId="7AB93C55" w14:textId="77777777" w:rsidTr="00714C2E">
        <w:tc>
          <w:tcPr>
            <w:tcW w:w="5241" w:type="dxa"/>
          </w:tcPr>
          <w:p w14:paraId="464759E3" w14:textId="0F3AEE21" w:rsidR="00714C2E" w:rsidRPr="002B1D2B" w:rsidRDefault="00714C2E" w:rsidP="005F3039">
            <w:pPr>
              <w:rPr>
                <w:sz w:val="18"/>
                <w:szCs w:val="18"/>
                <w:lang w:val="es-ES"/>
              </w:rPr>
            </w:pPr>
            <w:r w:rsidRPr="002B1D2B">
              <w:rPr>
                <w:sz w:val="18"/>
                <w:szCs w:val="18"/>
                <w:lang w:val="es-ES"/>
              </w:rPr>
              <w:t>English</w:t>
            </w:r>
          </w:p>
        </w:tc>
        <w:tc>
          <w:tcPr>
            <w:tcW w:w="4029" w:type="dxa"/>
          </w:tcPr>
          <w:p w14:paraId="3A503002" w14:textId="4F7ED6D2" w:rsidR="00714C2E" w:rsidRPr="002B1D2B" w:rsidRDefault="007371B4" w:rsidP="005F3039">
            <w:pPr>
              <w:rPr>
                <w:sz w:val="18"/>
                <w:szCs w:val="18"/>
                <w:lang w:val="es-ES"/>
              </w:rPr>
            </w:pPr>
            <w:r w:rsidRPr="002B1D2B">
              <w:rPr>
                <w:sz w:val="18"/>
                <w:szCs w:val="18"/>
                <w:lang w:val="es-ES"/>
              </w:rPr>
              <w:t>Español</w:t>
            </w:r>
          </w:p>
        </w:tc>
      </w:tr>
      <w:tr w:rsidR="00714C2E" w:rsidRPr="00714C2E" w14:paraId="056E1E6B" w14:textId="77777777" w:rsidTr="00714C2E">
        <w:tc>
          <w:tcPr>
            <w:tcW w:w="5241" w:type="dxa"/>
          </w:tcPr>
          <w:p w14:paraId="2F4C7B12" w14:textId="77777777" w:rsidR="00714C2E" w:rsidRPr="00714C2E" w:rsidRDefault="00714C2E" w:rsidP="005F3039">
            <w:pPr>
              <w:rPr>
                <w:sz w:val="18"/>
                <w:szCs w:val="18"/>
                <w:lang w:val="es-ES"/>
              </w:rPr>
            </w:pPr>
            <w:proofErr w:type="spellStart"/>
            <w:r w:rsidRPr="00714C2E">
              <w:rPr>
                <w:sz w:val="18"/>
                <w:szCs w:val="18"/>
                <w:lang w:val="es-ES"/>
              </w:rPr>
              <w:t>Answers</w:t>
            </w:r>
            <w:proofErr w:type="spellEnd"/>
            <w:r w:rsidRPr="00714C2E">
              <w:rPr>
                <w:sz w:val="18"/>
                <w:szCs w:val="18"/>
                <w:lang w:val="es-ES"/>
              </w:rPr>
              <w:t xml:space="preserve"> (</w:t>
            </w:r>
            <w:proofErr w:type="spellStart"/>
            <w:r w:rsidRPr="00714C2E">
              <w:rPr>
                <w:sz w:val="18"/>
                <w:szCs w:val="18"/>
                <w:lang w:val="es-ES"/>
              </w:rPr>
              <w:t>percentage</w:t>
            </w:r>
            <w:proofErr w:type="spellEnd"/>
            <w:r w:rsidRPr="00714C2E">
              <w:rPr>
                <w:sz w:val="18"/>
                <w:szCs w:val="18"/>
                <w:lang w:val="es-ES"/>
              </w:rPr>
              <w:t>)</w:t>
            </w:r>
          </w:p>
        </w:tc>
        <w:tc>
          <w:tcPr>
            <w:tcW w:w="4029" w:type="dxa"/>
          </w:tcPr>
          <w:p w14:paraId="241A347D" w14:textId="42E0B485" w:rsidR="00714C2E" w:rsidRPr="00714C2E" w:rsidRDefault="00714C2E" w:rsidP="005F3039">
            <w:pPr>
              <w:rPr>
                <w:sz w:val="18"/>
                <w:szCs w:val="18"/>
                <w:lang w:val="es-ES"/>
              </w:rPr>
            </w:pPr>
            <w:r w:rsidRPr="00714C2E">
              <w:rPr>
                <w:sz w:val="18"/>
                <w:szCs w:val="18"/>
                <w:lang w:val="es-ES"/>
              </w:rPr>
              <w:t>Respuestas (porcentaje)</w:t>
            </w:r>
          </w:p>
        </w:tc>
      </w:tr>
      <w:tr w:rsidR="00714C2E" w:rsidRPr="00714C2E" w14:paraId="6ACDC994" w14:textId="77777777" w:rsidTr="00714C2E">
        <w:tc>
          <w:tcPr>
            <w:tcW w:w="5241" w:type="dxa"/>
          </w:tcPr>
          <w:p w14:paraId="6C9196A8" w14:textId="77777777" w:rsidR="00714C2E" w:rsidRPr="00714C2E" w:rsidRDefault="00714C2E" w:rsidP="005F3039">
            <w:pPr>
              <w:rPr>
                <w:sz w:val="18"/>
                <w:szCs w:val="18"/>
                <w:lang w:val="es-ES"/>
              </w:rPr>
            </w:pPr>
            <w:r w:rsidRPr="00714C2E">
              <w:rPr>
                <w:sz w:val="18"/>
                <w:szCs w:val="18"/>
                <w:lang w:val="es-ES"/>
              </w:rPr>
              <w:t>Score Level</w:t>
            </w:r>
          </w:p>
        </w:tc>
        <w:tc>
          <w:tcPr>
            <w:tcW w:w="4029" w:type="dxa"/>
          </w:tcPr>
          <w:p w14:paraId="284D962E" w14:textId="417A38AB" w:rsidR="00714C2E" w:rsidRPr="00714C2E" w:rsidRDefault="00714C2E" w:rsidP="005F3039">
            <w:pPr>
              <w:rPr>
                <w:sz w:val="18"/>
                <w:szCs w:val="18"/>
                <w:lang w:val="es-ES"/>
              </w:rPr>
            </w:pPr>
            <w:r w:rsidRPr="00714C2E">
              <w:rPr>
                <w:sz w:val="18"/>
                <w:szCs w:val="18"/>
                <w:lang w:val="es-ES"/>
              </w:rPr>
              <w:t>Nivel de puntuación</w:t>
            </w:r>
          </w:p>
        </w:tc>
      </w:tr>
      <w:tr w:rsidR="00714C2E" w:rsidRPr="00714C2E" w14:paraId="39FDA965" w14:textId="77777777" w:rsidTr="00714C2E">
        <w:tc>
          <w:tcPr>
            <w:tcW w:w="5241" w:type="dxa"/>
          </w:tcPr>
          <w:p w14:paraId="73BB1B83" w14:textId="77777777" w:rsidR="00714C2E" w:rsidRPr="00714C2E" w:rsidRDefault="00714C2E" w:rsidP="005F3039">
            <w:pPr>
              <w:rPr>
                <w:sz w:val="18"/>
                <w:szCs w:val="18"/>
                <w:lang w:val="es-ES"/>
              </w:rPr>
            </w:pPr>
            <w:r w:rsidRPr="00714C2E">
              <w:rPr>
                <w:sz w:val="18"/>
                <w:szCs w:val="18"/>
                <w:lang w:val="es-ES"/>
              </w:rPr>
              <w:t xml:space="preserve">Party </w:t>
            </w:r>
            <w:proofErr w:type="spellStart"/>
            <w:r w:rsidRPr="00714C2E">
              <w:rPr>
                <w:sz w:val="18"/>
                <w:szCs w:val="18"/>
                <w:lang w:val="es-ES"/>
              </w:rPr>
              <w:t>count</w:t>
            </w:r>
            <w:proofErr w:type="spellEnd"/>
            <w:r w:rsidRPr="00714C2E">
              <w:rPr>
                <w:sz w:val="18"/>
                <w:szCs w:val="18"/>
                <w:lang w:val="es-ES"/>
              </w:rPr>
              <w:t>: 127</w:t>
            </w:r>
          </w:p>
        </w:tc>
        <w:tc>
          <w:tcPr>
            <w:tcW w:w="4029" w:type="dxa"/>
          </w:tcPr>
          <w:p w14:paraId="6C1B6E64" w14:textId="08DCD69C" w:rsidR="00714C2E" w:rsidRPr="00714C2E" w:rsidRDefault="00714C2E" w:rsidP="005F3039">
            <w:pPr>
              <w:rPr>
                <w:sz w:val="18"/>
                <w:szCs w:val="18"/>
                <w:lang w:val="es-ES"/>
              </w:rPr>
            </w:pPr>
            <w:r w:rsidRPr="00714C2E">
              <w:rPr>
                <w:sz w:val="18"/>
                <w:szCs w:val="18"/>
                <w:lang w:val="es-ES"/>
              </w:rPr>
              <w:t>Número de Partes: 127</w:t>
            </w:r>
          </w:p>
        </w:tc>
      </w:tr>
      <w:tr w:rsidR="00714C2E" w:rsidRPr="00714C2E" w14:paraId="0D8517F5" w14:textId="77777777" w:rsidTr="00714C2E">
        <w:tc>
          <w:tcPr>
            <w:tcW w:w="5241" w:type="dxa"/>
          </w:tcPr>
          <w:p w14:paraId="5358619B" w14:textId="77777777" w:rsidR="00714C2E" w:rsidRPr="00714C2E" w:rsidRDefault="00714C2E" w:rsidP="005F3039">
            <w:pPr>
              <w:rPr>
                <w:sz w:val="18"/>
                <w:szCs w:val="18"/>
                <w:lang w:val="es-ES"/>
              </w:rPr>
            </w:pPr>
            <w:proofErr w:type="spellStart"/>
            <w:r w:rsidRPr="00714C2E">
              <w:rPr>
                <w:sz w:val="18"/>
                <w:szCs w:val="18"/>
                <w:lang w:val="es-ES"/>
              </w:rPr>
              <w:t>Region</w:t>
            </w:r>
            <w:proofErr w:type="spellEnd"/>
          </w:p>
        </w:tc>
        <w:tc>
          <w:tcPr>
            <w:tcW w:w="4029" w:type="dxa"/>
          </w:tcPr>
          <w:p w14:paraId="00A54FF4" w14:textId="1B21D406" w:rsidR="00714C2E" w:rsidRPr="00714C2E" w:rsidRDefault="00714C2E" w:rsidP="005F3039">
            <w:pPr>
              <w:rPr>
                <w:sz w:val="18"/>
                <w:szCs w:val="18"/>
                <w:lang w:val="es-ES"/>
              </w:rPr>
            </w:pPr>
            <w:r w:rsidRPr="00714C2E">
              <w:rPr>
                <w:sz w:val="18"/>
                <w:szCs w:val="18"/>
                <w:lang w:val="es-ES"/>
              </w:rPr>
              <w:t>Región</w:t>
            </w:r>
          </w:p>
        </w:tc>
      </w:tr>
      <w:tr w:rsidR="00714C2E" w:rsidRPr="00714C2E" w14:paraId="02C97913" w14:textId="77777777" w:rsidTr="00714C2E">
        <w:tc>
          <w:tcPr>
            <w:tcW w:w="5241" w:type="dxa"/>
          </w:tcPr>
          <w:p w14:paraId="45F4C182" w14:textId="77777777" w:rsidR="00714C2E" w:rsidRPr="00714C2E" w:rsidRDefault="00714C2E" w:rsidP="005F3039">
            <w:pPr>
              <w:rPr>
                <w:sz w:val="18"/>
                <w:szCs w:val="18"/>
                <w:lang w:val="es-ES"/>
              </w:rPr>
            </w:pPr>
            <w:r w:rsidRPr="00714C2E">
              <w:rPr>
                <w:sz w:val="18"/>
                <w:szCs w:val="18"/>
                <w:lang w:val="es-ES"/>
              </w:rPr>
              <w:t>African States</w:t>
            </w:r>
          </w:p>
        </w:tc>
        <w:tc>
          <w:tcPr>
            <w:tcW w:w="4029" w:type="dxa"/>
          </w:tcPr>
          <w:p w14:paraId="59B07835" w14:textId="7BCFAA3D" w:rsidR="00714C2E" w:rsidRPr="00714C2E" w:rsidRDefault="00714C2E" w:rsidP="005F3039">
            <w:pPr>
              <w:rPr>
                <w:sz w:val="18"/>
                <w:szCs w:val="18"/>
                <w:lang w:val="es-ES"/>
              </w:rPr>
            </w:pPr>
            <w:r w:rsidRPr="00714C2E">
              <w:rPr>
                <w:sz w:val="18"/>
                <w:szCs w:val="18"/>
                <w:lang w:val="es-ES"/>
              </w:rPr>
              <w:t>Estados de África</w:t>
            </w:r>
          </w:p>
        </w:tc>
      </w:tr>
      <w:tr w:rsidR="00714C2E" w:rsidRPr="00714C2E" w14:paraId="62DBB73C" w14:textId="77777777" w:rsidTr="00714C2E">
        <w:tc>
          <w:tcPr>
            <w:tcW w:w="5241" w:type="dxa"/>
          </w:tcPr>
          <w:p w14:paraId="06368893" w14:textId="77777777" w:rsidR="00714C2E" w:rsidRPr="00714C2E" w:rsidRDefault="00714C2E" w:rsidP="005F3039">
            <w:pPr>
              <w:rPr>
                <w:sz w:val="18"/>
                <w:szCs w:val="18"/>
                <w:lang w:val="es-ES"/>
              </w:rPr>
            </w:pPr>
            <w:r w:rsidRPr="00714C2E">
              <w:rPr>
                <w:sz w:val="18"/>
                <w:szCs w:val="18"/>
                <w:lang w:val="es-ES"/>
              </w:rPr>
              <w:t>Asia-Pacific States</w:t>
            </w:r>
          </w:p>
        </w:tc>
        <w:tc>
          <w:tcPr>
            <w:tcW w:w="4029" w:type="dxa"/>
          </w:tcPr>
          <w:p w14:paraId="75222B7F" w14:textId="68C2F1F9" w:rsidR="00714C2E" w:rsidRPr="00714C2E" w:rsidRDefault="00714C2E" w:rsidP="005F3039">
            <w:pPr>
              <w:rPr>
                <w:sz w:val="18"/>
                <w:szCs w:val="18"/>
                <w:lang w:val="es-ES"/>
              </w:rPr>
            </w:pPr>
            <w:r w:rsidRPr="00714C2E">
              <w:rPr>
                <w:sz w:val="18"/>
                <w:szCs w:val="18"/>
                <w:lang w:val="es-ES"/>
              </w:rPr>
              <w:t>Estados de Asia y el Pacífico</w:t>
            </w:r>
          </w:p>
        </w:tc>
      </w:tr>
      <w:tr w:rsidR="00714C2E" w:rsidRPr="00714C2E" w14:paraId="79FC2DAF" w14:textId="77777777" w:rsidTr="00714C2E">
        <w:tc>
          <w:tcPr>
            <w:tcW w:w="5241" w:type="dxa"/>
          </w:tcPr>
          <w:p w14:paraId="221163DF" w14:textId="77777777" w:rsidR="00714C2E" w:rsidRPr="00714C2E" w:rsidRDefault="00714C2E" w:rsidP="005F3039">
            <w:pPr>
              <w:rPr>
                <w:sz w:val="18"/>
                <w:szCs w:val="18"/>
                <w:lang w:val="en-US"/>
              </w:rPr>
            </w:pPr>
            <w:r w:rsidRPr="00714C2E">
              <w:rPr>
                <w:sz w:val="18"/>
                <w:szCs w:val="18"/>
                <w:lang w:val="en-US"/>
              </w:rPr>
              <w:t>Latin American and Caribbean States</w:t>
            </w:r>
          </w:p>
        </w:tc>
        <w:tc>
          <w:tcPr>
            <w:tcW w:w="4029" w:type="dxa"/>
          </w:tcPr>
          <w:p w14:paraId="10312B25" w14:textId="19C9DB90" w:rsidR="00714C2E" w:rsidRPr="00714C2E" w:rsidRDefault="00714C2E" w:rsidP="005F3039">
            <w:pPr>
              <w:rPr>
                <w:sz w:val="18"/>
                <w:szCs w:val="18"/>
                <w:lang w:val="es-ES"/>
              </w:rPr>
            </w:pPr>
            <w:r w:rsidRPr="00714C2E">
              <w:rPr>
                <w:sz w:val="18"/>
                <w:szCs w:val="18"/>
                <w:lang w:val="es-ES"/>
              </w:rPr>
              <w:t>Estados de América Latina y el Caribe</w:t>
            </w:r>
          </w:p>
        </w:tc>
      </w:tr>
      <w:tr w:rsidR="00714C2E" w:rsidRPr="00714C2E" w14:paraId="4798EAE4" w14:textId="77777777" w:rsidTr="00714C2E">
        <w:tc>
          <w:tcPr>
            <w:tcW w:w="5241" w:type="dxa"/>
          </w:tcPr>
          <w:p w14:paraId="5A719E17" w14:textId="77777777" w:rsidR="00714C2E" w:rsidRPr="00714C2E" w:rsidRDefault="00714C2E" w:rsidP="005F3039">
            <w:pPr>
              <w:rPr>
                <w:sz w:val="18"/>
                <w:szCs w:val="18"/>
                <w:lang w:val="es-ES"/>
              </w:rPr>
            </w:pPr>
            <w:r w:rsidRPr="00714C2E">
              <w:rPr>
                <w:sz w:val="18"/>
                <w:szCs w:val="18"/>
                <w:lang w:val="es-ES"/>
              </w:rPr>
              <w:t xml:space="preserve"> Eastern European States</w:t>
            </w:r>
          </w:p>
        </w:tc>
        <w:tc>
          <w:tcPr>
            <w:tcW w:w="4029" w:type="dxa"/>
          </w:tcPr>
          <w:p w14:paraId="53CABA96" w14:textId="6FF8F1AF" w:rsidR="00714C2E" w:rsidRPr="00714C2E" w:rsidRDefault="00714C2E" w:rsidP="005F3039">
            <w:pPr>
              <w:rPr>
                <w:sz w:val="18"/>
                <w:szCs w:val="18"/>
                <w:lang w:val="es-ES"/>
              </w:rPr>
            </w:pPr>
            <w:r w:rsidRPr="00714C2E">
              <w:rPr>
                <w:sz w:val="18"/>
                <w:szCs w:val="18"/>
                <w:lang w:val="es-ES"/>
              </w:rPr>
              <w:t>Estados de Europa Oriental</w:t>
            </w:r>
          </w:p>
        </w:tc>
      </w:tr>
      <w:tr w:rsidR="00714C2E" w:rsidRPr="00714C2E" w14:paraId="69E9D1D0" w14:textId="77777777" w:rsidTr="00714C2E">
        <w:tc>
          <w:tcPr>
            <w:tcW w:w="5241" w:type="dxa"/>
          </w:tcPr>
          <w:p w14:paraId="5078004C" w14:textId="77777777" w:rsidR="00714C2E" w:rsidRPr="00714C2E" w:rsidRDefault="00714C2E" w:rsidP="005F3039">
            <w:pPr>
              <w:rPr>
                <w:sz w:val="18"/>
                <w:szCs w:val="18"/>
                <w:lang w:val="en-US"/>
              </w:rPr>
            </w:pPr>
            <w:r w:rsidRPr="00714C2E">
              <w:rPr>
                <w:sz w:val="18"/>
                <w:szCs w:val="18"/>
                <w:lang w:val="en-US"/>
              </w:rPr>
              <w:lastRenderedPageBreak/>
              <w:t>Western European and other States</w:t>
            </w:r>
          </w:p>
        </w:tc>
        <w:tc>
          <w:tcPr>
            <w:tcW w:w="4029" w:type="dxa"/>
          </w:tcPr>
          <w:p w14:paraId="26B04ACA" w14:textId="3C5CC6A1" w:rsidR="00714C2E" w:rsidRPr="00714C2E" w:rsidRDefault="00714C2E" w:rsidP="005F3039">
            <w:pPr>
              <w:rPr>
                <w:sz w:val="18"/>
                <w:szCs w:val="18"/>
                <w:lang w:val="es-ES"/>
              </w:rPr>
            </w:pPr>
            <w:r w:rsidRPr="00714C2E">
              <w:rPr>
                <w:sz w:val="18"/>
                <w:szCs w:val="18"/>
                <w:lang w:val="es-ES"/>
              </w:rPr>
              <w:t>Estados de Europa Occidental y otros Estados</w:t>
            </w:r>
          </w:p>
        </w:tc>
      </w:tr>
    </w:tbl>
    <w:p w14:paraId="154C8C63" w14:textId="77777777" w:rsidR="009713BF" w:rsidRPr="005E3D50" w:rsidRDefault="009713BF" w:rsidP="009713BF">
      <w:pPr>
        <w:spacing w:after="200" w:line="240" w:lineRule="auto"/>
        <w:rPr>
          <w:rFonts w:ascii="Aptos" w:eastAsiaTheme="minorEastAsia" w:hAnsi="Aptos"/>
          <w:i/>
          <w:iCs/>
          <w:color w:val="0E2841" w:themeColor="text2"/>
          <w:kern w:val="0"/>
          <w:sz w:val="18"/>
          <w:szCs w:val="18"/>
          <w:lang w:val="es-ES" w:eastAsia="ja-JP"/>
          <w14:ligatures w14:val="none"/>
        </w:rPr>
      </w:pPr>
    </w:p>
    <w:p w14:paraId="34B26751"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39</w:t>
      </w:r>
    </w:p>
    <w:p w14:paraId="3B324E7D"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9 del Marco que sugieren tendencias de mejora, estables y negativas, respectivamente </w:t>
      </w:r>
    </w:p>
    <w:p w14:paraId="13F9F6DE" w14:textId="77777777" w:rsidR="009713BF" w:rsidRPr="005E3D50" w:rsidRDefault="009713BF" w:rsidP="009713BF">
      <w:pPr>
        <w:spacing w:after="0" w:line="240" w:lineRule="auto"/>
        <w:textAlignment w:val="baseline"/>
        <w:rPr>
          <w:rFonts w:ascii="Aptos" w:eastAsia="Times New Roman" w:hAnsi="Aptos" w:cs="Segoe UI"/>
          <w:kern w:val="0"/>
          <w:sz w:val="18"/>
          <w:szCs w:val="18"/>
          <w:lang w:val="es-ES"/>
          <w14:ligatures w14:val="none"/>
        </w:rPr>
      </w:pPr>
    </w:p>
    <w:p w14:paraId="778053E0"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111E9F2E"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282" w:name="_Ref231164943"/>
      <w:r w:rsidRPr="005E3D50">
        <w:rPr>
          <w:rFonts w:eastAsiaTheme="minorEastAsia"/>
          <w:i/>
          <w:iCs/>
          <w:noProof/>
          <w:color w:val="0E2841" w:themeColor="text2"/>
          <w:kern w:val="0"/>
          <w:sz w:val="18"/>
          <w:szCs w:val="18"/>
          <w:lang w:val="en-US"/>
          <w14:ligatures w14:val="none"/>
        </w:rPr>
        <w:drawing>
          <wp:inline distT="0" distB="0" distL="0" distR="0" wp14:anchorId="3CAE051D" wp14:editId="7B06F2A9">
            <wp:extent cx="5731510" cy="2456180"/>
            <wp:effectExtent l="0" t="0" r="0" b="0"/>
            <wp:docPr id="14077983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8373" name="Picture 1407798373"/>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82"/>
    <w:p w14:paraId="5ECD6347"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Las proporciones están ponderadas por Parte. Las tendencias incluyen datos correspondientes a 2 indicadores de cabecera de 23 Partes y 1 indicador de componente, 1 indicador complementario y 36 indicadores nacionales de un total de 16 Partes. El gráfico circular muestra la distribución de las Partes que presentan indicadores para la meta 9, por región. Los colores de cada región se indican en la leyenda de la figura: los tonos más oscuros en cada región representan la proporción de Partes de esa región para las que se incluyen datos en el gráfico; los tonos más claros representan la proporción de Partes de la misma región para las que no se incluyen datos en el gráfico.</w:t>
      </w:r>
    </w:p>
    <w:tbl>
      <w:tblPr>
        <w:tblStyle w:val="TableGrid"/>
        <w:tblW w:w="9192" w:type="dxa"/>
        <w:tblLook w:val="04A0" w:firstRow="1" w:lastRow="0" w:firstColumn="1" w:lastColumn="0" w:noHBand="0" w:noVBand="1"/>
      </w:tblPr>
      <w:tblGrid>
        <w:gridCol w:w="5404"/>
        <w:gridCol w:w="3788"/>
      </w:tblGrid>
      <w:tr w:rsidR="006145E6" w:rsidRPr="006145E6" w14:paraId="12D50387" w14:textId="77777777" w:rsidTr="006145E6">
        <w:tc>
          <w:tcPr>
            <w:tcW w:w="5404" w:type="dxa"/>
          </w:tcPr>
          <w:p w14:paraId="5380637C" w14:textId="6C370FCB" w:rsidR="006145E6" w:rsidRPr="002B1D2B" w:rsidRDefault="007533CC" w:rsidP="005F3039">
            <w:pPr>
              <w:spacing w:line="278" w:lineRule="auto"/>
              <w:rPr>
                <w:sz w:val="18"/>
                <w:szCs w:val="18"/>
                <w:lang w:val="es-ES"/>
              </w:rPr>
            </w:pPr>
            <w:r w:rsidRPr="002B1D2B">
              <w:rPr>
                <w:sz w:val="18"/>
                <w:szCs w:val="18"/>
                <w:lang w:val="es-ES"/>
              </w:rPr>
              <w:t>Figura</w:t>
            </w:r>
            <w:r w:rsidR="002B1D2B" w:rsidRPr="002B1D2B">
              <w:rPr>
                <w:sz w:val="18"/>
                <w:szCs w:val="18"/>
                <w:lang w:val="es-ES"/>
              </w:rPr>
              <w:t xml:space="preserve"> 39</w:t>
            </w:r>
          </w:p>
        </w:tc>
        <w:tc>
          <w:tcPr>
            <w:tcW w:w="3788" w:type="dxa"/>
          </w:tcPr>
          <w:p w14:paraId="7F7568F4" w14:textId="2B816D81" w:rsidR="006145E6" w:rsidRPr="002B1D2B" w:rsidRDefault="006145E6" w:rsidP="005F3039">
            <w:pPr>
              <w:spacing w:line="278" w:lineRule="auto"/>
              <w:rPr>
                <w:sz w:val="18"/>
                <w:szCs w:val="18"/>
                <w:lang w:val="es-ES"/>
              </w:rPr>
            </w:pPr>
          </w:p>
        </w:tc>
      </w:tr>
      <w:tr w:rsidR="006145E6" w:rsidRPr="006145E6" w14:paraId="563C8984" w14:textId="77777777" w:rsidTr="006145E6">
        <w:tc>
          <w:tcPr>
            <w:tcW w:w="5404" w:type="dxa"/>
          </w:tcPr>
          <w:p w14:paraId="10F5091E" w14:textId="2240BD7C" w:rsidR="006145E6" w:rsidRPr="002B1D2B" w:rsidRDefault="006145E6" w:rsidP="005F3039">
            <w:pPr>
              <w:spacing w:line="278" w:lineRule="auto"/>
              <w:rPr>
                <w:sz w:val="18"/>
                <w:szCs w:val="18"/>
                <w:lang w:val="es-ES"/>
              </w:rPr>
            </w:pPr>
            <w:r w:rsidRPr="002B1D2B">
              <w:rPr>
                <w:sz w:val="18"/>
                <w:szCs w:val="18"/>
                <w:lang w:val="es-ES"/>
              </w:rPr>
              <w:t>English</w:t>
            </w:r>
          </w:p>
        </w:tc>
        <w:tc>
          <w:tcPr>
            <w:tcW w:w="3788" w:type="dxa"/>
          </w:tcPr>
          <w:p w14:paraId="236B8AC8" w14:textId="485E79FB" w:rsidR="006145E6" w:rsidRPr="002B1D2B" w:rsidRDefault="007371B4" w:rsidP="005F3039">
            <w:pPr>
              <w:spacing w:line="278" w:lineRule="auto"/>
              <w:rPr>
                <w:sz w:val="18"/>
                <w:szCs w:val="18"/>
                <w:lang w:val="es-ES"/>
              </w:rPr>
            </w:pPr>
            <w:r w:rsidRPr="002B1D2B">
              <w:rPr>
                <w:sz w:val="18"/>
                <w:szCs w:val="18"/>
                <w:lang w:val="es-ES"/>
              </w:rPr>
              <w:t>Español</w:t>
            </w:r>
          </w:p>
        </w:tc>
      </w:tr>
      <w:tr w:rsidR="006145E6" w:rsidRPr="006145E6" w14:paraId="50770B6C" w14:textId="77777777" w:rsidTr="006145E6">
        <w:tc>
          <w:tcPr>
            <w:tcW w:w="5404" w:type="dxa"/>
          </w:tcPr>
          <w:p w14:paraId="6B748283" w14:textId="77777777" w:rsidR="006145E6" w:rsidRPr="006145E6" w:rsidRDefault="006145E6" w:rsidP="005F3039">
            <w:pPr>
              <w:spacing w:line="278" w:lineRule="auto"/>
              <w:rPr>
                <w:sz w:val="18"/>
                <w:szCs w:val="18"/>
                <w:lang w:val="es-ES"/>
              </w:rPr>
            </w:pPr>
            <w:proofErr w:type="spellStart"/>
            <w:r w:rsidRPr="006145E6">
              <w:rPr>
                <w:sz w:val="18"/>
                <w:szCs w:val="18"/>
                <w:lang w:val="es-ES"/>
              </w:rPr>
              <w:t>Proportion</w:t>
            </w:r>
            <w:proofErr w:type="spellEnd"/>
          </w:p>
        </w:tc>
        <w:tc>
          <w:tcPr>
            <w:tcW w:w="3788" w:type="dxa"/>
          </w:tcPr>
          <w:p w14:paraId="6FBFDB91" w14:textId="41EA98BB" w:rsidR="006145E6" w:rsidRPr="006145E6" w:rsidRDefault="006145E6" w:rsidP="005F3039">
            <w:pPr>
              <w:spacing w:line="278" w:lineRule="auto"/>
              <w:rPr>
                <w:sz w:val="18"/>
                <w:szCs w:val="18"/>
                <w:lang w:val="es-ES"/>
              </w:rPr>
            </w:pPr>
            <w:r w:rsidRPr="006145E6">
              <w:rPr>
                <w:sz w:val="18"/>
                <w:szCs w:val="18"/>
                <w:lang w:val="es-ES"/>
              </w:rPr>
              <w:t>Proporción</w:t>
            </w:r>
          </w:p>
        </w:tc>
      </w:tr>
      <w:tr w:rsidR="006145E6" w:rsidRPr="006145E6" w14:paraId="1E8B7A4B" w14:textId="77777777" w:rsidTr="006145E6">
        <w:tc>
          <w:tcPr>
            <w:tcW w:w="5404" w:type="dxa"/>
          </w:tcPr>
          <w:p w14:paraId="01FE05FB" w14:textId="77777777" w:rsidR="006145E6" w:rsidRPr="006145E6" w:rsidRDefault="006145E6" w:rsidP="005F3039">
            <w:pPr>
              <w:spacing w:line="278" w:lineRule="auto"/>
              <w:rPr>
                <w:sz w:val="18"/>
                <w:szCs w:val="18"/>
                <w:lang w:val="es-ES"/>
              </w:rPr>
            </w:pPr>
            <w:r w:rsidRPr="006145E6">
              <w:rPr>
                <w:sz w:val="18"/>
                <w:szCs w:val="18"/>
                <w:lang w:val="es-ES"/>
              </w:rPr>
              <w:t xml:space="preserve">Current </w:t>
            </w:r>
            <w:proofErr w:type="gramStart"/>
            <w:r w:rsidRPr="006145E6">
              <w:rPr>
                <w:sz w:val="18"/>
                <w:szCs w:val="18"/>
                <w:lang w:val="es-ES"/>
              </w:rPr>
              <w:t>Status</w:t>
            </w:r>
            <w:proofErr w:type="gramEnd"/>
          </w:p>
        </w:tc>
        <w:tc>
          <w:tcPr>
            <w:tcW w:w="3788" w:type="dxa"/>
          </w:tcPr>
          <w:p w14:paraId="09381633" w14:textId="5FF22136" w:rsidR="006145E6" w:rsidRPr="006145E6" w:rsidRDefault="006145E6" w:rsidP="005F3039">
            <w:pPr>
              <w:spacing w:line="278" w:lineRule="auto"/>
              <w:rPr>
                <w:sz w:val="18"/>
                <w:szCs w:val="18"/>
                <w:lang w:val="es-ES"/>
              </w:rPr>
            </w:pPr>
            <w:r w:rsidRPr="006145E6">
              <w:rPr>
                <w:sz w:val="18"/>
                <w:szCs w:val="18"/>
                <w:lang w:val="es-ES"/>
              </w:rPr>
              <w:t>Estado actual</w:t>
            </w:r>
          </w:p>
        </w:tc>
      </w:tr>
      <w:tr w:rsidR="006145E6" w:rsidRPr="006145E6" w14:paraId="04587C55" w14:textId="77777777" w:rsidTr="006145E6">
        <w:tc>
          <w:tcPr>
            <w:tcW w:w="5404" w:type="dxa"/>
          </w:tcPr>
          <w:p w14:paraId="67DF5766" w14:textId="77777777" w:rsidR="006145E6" w:rsidRPr="006145E6" w:rsidRDefault="006145E6" w:rsidP="005F3039">
            <w:pPr>
              <w:spacing w:line="278" w:lineRule="auto"/>
              <w:rPr>
                <w:sz w:val="18"/>
                <w:szCs w:val="18"/>
                <w:lang w:val="es-ES"/>
              </w:rPr>
            </w:pPr>
            <w:proofErr w:type="spellStart"/>
            <w:r w:rsidRPr="006145E6">
              <w:rPr>
                <w:sz w:val="18"/>
                <w:szCs w:val="18"/>
                <w:lang w:val="es-ES"/>
              </w:rPr>
              <w:t>improving</w:t>
            </w:r>
            <w:proofErr w:type="spellEnd"/>
          </w:p>
        </w:tc>
        <w:tc>
          <w:tcPr>
            <w:tcW w:w="3788" w:type="dxa"/>
          </w:tcPr>
          <w:p w14:paraId="7E28E12E" w14:textId="66F1084E" w:rsidR="006145E6" w:rsidRPr="006145E6" w:rsidRDefault="006145E6" w:rsidP="005F3039">
            <w:pPr>
              <w:spacing w:line="278" w:lineRule="auto"/>
              <w:rPr>
                <w:sz w:val="18"/>
                <w:szCs w:val="18"/>
                <w:lang w:val="es-ES"/>
              </w:rPr>
            </w:pPr>
            <w:r w:rsidRPr="006145E6">
              <w:rPr>
                <w:sz w:val="18"/>
                <w:szCs w:val="18"/>
                <w:lang w:val="es-ES"/>
              </w:rPr>
              <w:t>mejorando</w:t>
            </w:r>
          </w:p>
        </w:tc>
      </w:tr>
      <w:tr w:rsidR="006145E6" w:rsidRPr="006145E6" w14:paraId="2DACC14F" w14:textId="77777777" w:rsidTr="006145E6">
        <w:tc>
          <w:tcPr>
            <w:tcW w:w="5404" w:type="dxa"/>
          </w:tcPr>
          <w:p w14:paraId="51A67995" w14:textId="77777777" w:rsidR="006145E6" w:rsidRPr="006145E6" w:rsidRDefault="006145E6" w:rsidP="005F3039">
            <w:pPr>
              <w:spacing w:line="278" w:lineRule="auto"/>
              <w:rPr>
                <w:sz w:val="18"/>
                <w:szCs w:val="18"/>
                <w:lang w:val="es-ES"/>
              </w:rPr>
            </w:pPr>
            <w:proofErr w:type="spellStart"/>
            <w:r w:rsidRPr="006145E6">
              <w:rPr>
                <w:sz w:val="18"/>
                <w:szCs w:val="18"/>
                <w:lang w:val="es-ES"/>
              </w:rPr>
              <w:t>stable</w:t>
            </w:r>
            <w:proofErr w:type="spellEnd"/>
          </w:p>
        </w:tc>
        <w:tc>
          <w:tcPr>
            <w:tcW w:w="3788" w:type="dxa"/>
          </w:tcPr>
          <w:p w14:paraId="7A932583" w14:textId="47D8838F" w:rsidR="006145E6" w:rsidRPr="006145E6" w:rsidRDefault="006145E6" w:rsidP="005F3039">
            <w:pPr>
              <w:spacing w:line="278" w:lineRule="auto"/>
              <w:rPr>
                <w:sz w:val="18"/>
                <w:szCs w:val="18"/>
                <w:lang w:val="es-ES"/>
              </w:rPr>
            </w:pPr>
            <w:r w:rsidRPr="006145E6">
              <w:rPr>
                <w:sz w:val="18"/>
                <w:szCs w:val="18"/>
                <w:lang w:val="es-ES"/>
              </w:rPr>
              <w:t>estable</w:t>
            </w:r>
          </w:p>
        </w:tc>
      </w:tr>
      <w:tr w:rsidR="006145E6" w:rsidRPr="006145E6" w14:paraId="4E75EB92" w14:textId="77777777" w:rsidTr="006145E6">
        <w:tc>
          <w:tcPr>
            <w:tcW w:w="5404" w:type="dxa"/>
          </w:tcPr>
          <w:p w14:paraId="5780C7EB" w14:textId="77777777" w:rsidR="006145E6" w:rsidRPr="006145E6" w:rsidRDefault="006145E6" w:rsidP="005F3039">
            <w:pPr>
              <w:spacing w:line="278" w:lineRule="auto"/>
              <w:rPr>
                <w:sz w:val="18"/>
                <w:szCs w:val="18"/>
                <w:lang w:val="es-ES"/>
              </w:rPr>
            </w:pPr>
            <w:proofErr w:type="spellStart"/>
            <w:r w:rsidRPr="006145E6">
              <w:rPr>
                <w:sz w:val="18"/>
                <w:szCs w:val="18"/>
                <w:lang w:val="es-ES"/>
              </w:rPr>
              <w:t>moving</w:t>
            </w:r>
            <w:proofErr w:type="spellEnd"/>
            <w:r w:rsidRPr="006145E6">
              <w:rPr>
                <w:sz w:val="18"/>
                <w:szCs w:val="18"/>
                <w:lang w:val="es-ES"/>
              </w:rPr>
              <w:t xml:space="preserve"> </w:t>
            </w:r>
            <w:proofErr w:type="spellStart"/>
            <w:r w:rsidRPr="006145E6">
              <w:rPr>
                <w:sz w:val="18"/>
                <w:szCs w:val="18"/>
                <w:lang w:val="es-ES"/>
              </w:rPr>
              <w:t>away</w:t>
            </w:r>
            <w:proofErr w:type="spellEnd"/>
          </w:p>
        </w:tc>
        <w:tc>
          <w:tcPr>
            <w:tcW w:w="3788" w:type="dxa"/>
          </w:tcPr>
          <w:p w14:paraId="02826282" w14:textId="583BDC04" w:rsidR="006145E6" w:rsidRPr="006145E6" w:rsidRDefault="006145E6" w:rsidP="005F3039">
            <w:pPr>
              <w:spacing w:line="278" w:lineRule="auto"/>
              <w:rPr>
                <w:sz w:val="18"/>
                <w:szCs w:val="18"/>
                <w:lang w:val="es-ES"/>
              </w:rPr>
            </w:pPr>
            <w:r w:rsidRPr="006145E6">
              <w:rPr>
                <w:sz w:val="18"/>
                <w:szCs w:val="18"/>
                <w:lang w:val="es-ES"/>
              </w:rPr>
              <w:t>alejándose</w:t>
            </w:r>
          </w:p>
        </w:tc>
      </w:tr>
      <w:tr w:rsidR="006145E6" w:rsidRPr="006145E6" w14:paraId="498771E4" w14:textId="77777777" w:rsidTr="006145E6">
        <w:tc>
          <w:tcPr>
            <w:tcW w:w="5404" w:type="dxa"/>
          </w:tcPr>
          <w:p w14:paraId="1CDB24BF" w14:textId="77777777" w:rsidR="006145E6" w:rsidRPr="006145E6" w:rsidRDefault="006145E6" w:rsidP="005F3039">
            <w:pPr>
              <w:spacing w:line="278" w:lineRule="auto"/>
              <w:rPr>
                <w:sz w:val="18"/>
                <w:szCs w:val="18"/>
                <w:lang w:val="es-ES"/>
              </w:rPr>
            </w:pPr>
            <w:r w:rsidRPr="006145E6">
              <w:rPr>
                <w:sz w:val="18"/>
                <w:szCs w:val="18"/>
                <w:lang w:val="es-ES"/>
              </w:rPr>
              <w:t xml:space="preserve">Party </w:t>
            </w:r>
            <w:proofErr w:type="spellStart"/>
            <w:r w:rsidRPr="006145E6">
              <w:rPr>
                <w:sz w:val="18"/>
                <w:szCs w:val="18"/>
                <w:lang w:val="es-ES"/>
              </w:rPr>
              <w:t>count</w:t>
            </w:r>
            <w:proofErr w:type="spellEnd"/>
            <w:r w:rsidRPr="006145E6">
              <w:rPr>
                <w:sz w:val="18"/>
                <w:szCs w:val="18"/>
                <w:lang w:val="es-ES"/>
              </w:rPr>
              <w:t>: 33</w:t>
            </w:r>
          </w:p>
        </w:tc>
        <w:tc>
          <w:tcPr>
            <w:tcW w:w="3788" w:type="dxa"/>
          </w:tcPr>
          <w:p w14:paraId="1E1D82AA" w14:textId="0B7461D8" w:rsidR="006145E6" w:rsidRPr="006145E6" w:rsidRDefault="006145E6" w:rsidP="005F3039">
            <w:pPr>
              <w:spacing w:line="278" w:lineRule="auto"/>
              <w:rPr>
                <w:sz w:val="18"/>
                <w:szCs w:val="18"/>
                <w:lang w:val="es-ES"/>
              </w:rPr>
            </w:pPr>
            <w:r w:rsidRPr="006145E6">
              <w:rPr>
                <w:sz w:val="18"/>
                <w:szCs w:val="18"/>
                <w:lang w:val="es-ES"/>
              </w:rPr>
              <w:t>Número de Partes: 33</w:t>
            </w:r>
          </w:p>
        </w:tc>
      </w:tr>
      <w:tr w:rsidR="006145E6" w:rsidRPr="006145E6" w14:paraId="45A3E271" w14:textId="77777777" w:rsidTr="006145E6">
        <w:tc>
          <w:tcPr>
            <w:tcW w:w="5404" w:type="dxa"/>
          </w:tcPr>
          <w:p w14:paraId="6C291D21" w14:textId="77777777" w:rsidR="006145E6" w:rsidRPr="006145E6" w:rsidRDefault="006145E6" w:rsidP="005F3039">
            <w:pPr>
              <w:spacing w:line="278" w:lineRule="auto"/>
              <w:rPr>
                <w:sz w:val="18"/>
                <w:szCs w:val="18"/>
                <w:lang w:val="es-ES"/>
              </w:rPr>
            </w:pPr>
            <w:proofErr w:type="spellStart"/>
            <w:r w:rsidRPr="006145E6">
              <w:rPr>
                <w:sz w:val="18"/>
                <w:szCs w:val="18"/>
                <w:lang w:val="es-ES"/>
              </w:rPr>
              <w:t>Region</w:t>
            </w:r>
            <w:proofErr w:type="spellEnd"/>
          </w:p>
        </w:tc>
        <w:tc>
          <w:tcPr>
            <w:tcW w:w="3788" w:type="dxa"/>
          </w:tcPr>
          <w:p w14:paraId="004F6B03" w14:textId="0ADA4D86" w:rsidR="006145E6" w:rsidRPr="006145E6" w:rsidRDefault="006145E6" w:rsidP="005F3039">
            <w:pPr>
              <w:spacing w:line="278" w:lineRule="auto"/>
              <w:rPr>
                <w:sz w:val="18"/>
                <w:szCs w:val="18"/>
                <w:lang w:val="es-ES"/>
              </w:rPr>
            </w:pPr>
            <w:r w:rsidRPr="006145E6">
              <w:rPr>
                <w:sz w:val="18"/>
                <w:szCs w:val="18"/>
                <w:lang w:val="es-ES"/>
              </w:rPr>
              <w:t>Región</w:t>
            </w:r>
          </w:p>
        </w:tc>
      </w:tr>
      <w:tr w:rsidR="006145E6" w:rsidRPr="006145E6" w14:paraId="5112213D" w14:textId="77777777" w:rsidTr="006145E6">
        <w:tc>
          <w:tcPr>
            <w:tcW w:w="5404" w:type="dxa"/>
          </w:tcPr>
          <w:p w14:paraId="3B32DF38" w14:textId="77777777" w:rsidR="006145E6" w:rsidRPr="006145E6" w:rsidRDefault="006145E6" w:rsidP="005F3039">
            <w:pPr>
              <w:spacing w:line="278" w:lineRule="auto"/>
              <w:rPr>
                <w:sz w:val="18"/>
                <w:szCs w:val="18"/>
                <w:lang w:val="es-ES"/>
              </w:rPr>
            </w:pPr>
            <w:r w:rsidRPr="006145E6">
              <w:rPr>
                <w:sz w:val="18"/>
                <w:szCs w:val="18"/>
                <w:lang w:val="es-ES"/>
              </w:rPr>
              <w:t>African States</w:t>
            </w:r>
          </w:p>
        </w:tc>
        <w:tc>
          <w:tcPr>
            <w:tcW w:w="3788" w:type="dxa"/>
          </w:tcPr>
          <w:p w14:paraId="29AA3CD7" w14:textId="73DCCE0A" w:rsidR="006145E6" w:rsidRPr="006145E6" w:rsidRDefault="006145E6" w:rsidP="005F3039">
            <w:pPr>
              <w:spacing w:line="278" w:lineRule="auto"/>
              <w:rPr>
                <w:sz w:val="18"/>
                <w:szCs w:val="18"/>
                <w:lang w:val="es-ES"/>
              </w:rPr>
            </w:pPr>
            <w:r w:rsidRPr="006145E6">
              <w:rPr>
                <w:sz w:val="18"/>
                <w:szCs w:val="18"/>
                <w:lang w:val="es-ES"/>
              </w:rPr>
              <w:t>Estados de África</w:t>
            </w:r>
          </w:p>
        </w:tc>
      </w:tr>
      <w:tr w:rsidR="006145E6" w:rsidRPr="006145E6" w14:paraId="3885A87D" w14:textId="77777777" w:rsidTr="006145E6">
        <w:tc>
          <w:tcPr>
            <w:tcW w:w="5404" w:type="dxa"/>
          </w:tcPr>
          <w:p w14:paraId="3F920950" w14:textId="77777777" w:rsidR="006145E6" w:rsidRPr="006145E6" w:rsidRDefault="006145E6" w:rsidP="005F3039">
            <w:pPr>
              <w:spacing w:line="278" w:lineRule="auto"/>
              <w:rPr>
                <w:sz w:val="18"/>
                <w:szCs w:val="18"/>
                <w:lang w:val="es-ES"/>
              </w:rPr>
            </w:pPr>
            <w:r w:rsidRPr="006145E6">
              <w:rPr>
                <w:sz w:val="18"/>
                <w:szCs w:val="18"/>
                <w:lang w:val="es-ES"/>
              </w:rPr>
              <w:t>Asia-Pacific States</w:t>
            </w:r>
          </w:p>
        </w:tc>
        <w:tc>
          <w:tcPr>
            <w:tcW w:w="3788" w:type="dxa"/>
          </w:tcPr>
          <w:p w14:paraId="607C07F8" w14:textId="78D956F5" w:rsidR="006145E6" w:rsidRPr="006145E6" w:rsidRDefault="006145E6" w:rsidP="005F3039">
            <w:pPr>
              <w:spacing w:line="278" w:lineRule="auto"/>
              <w:rPr>
                <w:sz w:val="18"/>
                <w:szCs w:val="18"/>
                <w:lang w:val="es-ES"/>
              </w:rPr>
            </w:pPr>
            <w:r w:rsidRPr="006145E6">
              <w:rPr>
                <w:sz w:val="18"/>
                <w:szCs w:val="18"/>
                <w:lang w:val="es-ES"/>
              </w:rPr>
              <w:t>Estados de Asia y el Pacífico</w:t>
            </w:r>
          </w:p>
        </w:tc>
      </w:tr>
      <w:tr w:rsidR="006145E6" w:rsidRPr="006145E6" w14:paraId="186BE1F4" w14:textId="77777777" w:rsidTr="006145E6">
        <w:tc>
          <w:tcPr>
            <w:tcW w:w="5404" w:type="dxa"/>
          </w:tcPr>
          <w:p w14:paraId="7A9D9C7F" w14:textId="77777777" w:rsidR="006145E6" w:rsidRPr="006145E6" w:rsidRDefault="006145E6" w:rsidP="005F3039">
            <w:pPr>
              <w:spacing w:line="278" w:lineRule="auto"/>
              <w:rPr>
                <w:sz w:val="18"/>
                <w:szCs w:val="18"/>
                <w:lang w:val="en-US"/>
              </w:rPr>
            </w:pPr>
            <w:r w:rsidRPr="006145E6">
              <w:rPr>
                <w:sz w:val="18"/>
                <w:szCs w:val="18"/>
                <w:lang w:val="en-US"/>
              </w:rPr>
              <w:t>Latin American and Caribbean States</w:t>
            </w:r>
          </w:p>
        </w:tc>
        <w:tc>
          <w:tcPr>
            <w:tcW w:w="3788" w:type="dxa"/>
          </w:tcPr>
          <w:p w14:paraId="0B89B338" w14:textId="44E9E2A0" w:rsidR="006145E6" w:rsidRPr="006145E6" w:rsidRDefault="006145E6" w:rsidP="005F3039">
            <w:pPr>
              <w:spacing w:line="278" w:lineRule="auto"/>
              <w:rPr>
                <w:sz w:val="18"/>
                <w:szCs w:val="18"/>
                <w:lang w:val="es-ES"/>
              </w:rPr>
            </w:pPr>
            <w:r w:rsidRPr="006145E6">
              <w:rPr>
                <w:sz w:val="18"/>
                <w:szCs w:val="18"/>
                <w:lang w:val="es-ES"/>
              </w:rPr>
              <w:t>Estados de América Latina y el Caribe</w:t>
            </w:r>
          </w:p>
        </w:tc>
      </w:tr>
      <w:tr w:rsidR="006145E6" w:rsidRPr="006145E6" w14:paraId="0D35A6F4" w14:textId="77777777" w:rsidTr="006145E6">
        <w:tc>
          <w:tcPr>
            <w:tcW w:w="5404" w:type="dxa"/>
          </w:tcPr>
          <w:p w14:paraId="7DC8127F" w14:textId="77777777" w:rsidR="006145E6" w:rsidRPr="006145E6" w:rsidRDefault="006145E6" w:rsidP="005F3039">
            <w:pPr>
              <w:spacing w:line="278" w:lineRule="auto"/>
              <w:rPr>
                <w:sz w:val="18"/>
                <w:szCs w:val="18"/>
                <w:lang w:val="es-ES"/>
              </w:rPr>
            </w:pPr>
            <w:r w:rsidRPr="006145E6">
              <w:rPr>
                <w:sz w:val="18"/>
                <w:szCs w:val="18"/>
                <w:lang w:val="es-ES"/>
              </w:rPr>
              <w:t xml:space="preserve"> Eastern European States</w:t>
            </w:r>
          </w:p>
        </w:tc>
        <w:tc>
          <w:tcPr>
            <w:tcW w:w="3788" w:type="dxa"/>
          </w:tcPr>
          <w:p w14:paraId="7F7A8F90" w14:textId="5BA7E412" w:rsidR="006145E6" w:rsidRPr="006145E6" w:rsidRDefault="006145E6" w:rsidP="005F3039">
            <w:pPr>
              <w:spacing w:line="278" w:lineRule="auto"/>
              <w:rPr>
                <w:sz w:val="18"/>
                <w:szCs w:val="18"/>
                <w:lang w:val="es-ES"/>
              </w:rPr>
            </w:pPr>
            <w:r w:rsidRPr="006145E6">
              <w:rPr>
                <w:sz w:val="18"/>
                <w:szCs w:val="18"/>
                <w:lang w:val="es-ES"/>
              </w:rPr>
              <w:t>Estados de Europa Oriental</w:t>
            </w:r>
          </w:p>
        </w:tc>
      </w:tr>
      <w:tr w:rsidR="006145E6" w:rsidRPr="006145E6" w14:paraId="36F59DBA" w14:textId="77777777" w:rsidTr="006145E6">
        <w:tc>
          <w:tcPr>
            <w:tcW w:w="5404" w:type="dxa"/>
          </w:tcPr>
          <w:p w14:paraId="5E529A35" w14:textId="77777777" w:rsidR="006145E6" w:rsidRPr="006145E6" w:rsidRDefault="006145E6" w:rsidP="005F3039">
            <w:pPr>
              <w:spacing w:line="278" w:lineRule="auto"/>
              <w:rPr>
                <w:sz w:val="18"/>
                <w:szCs w:val="18"/>
                <w:lang w:val="en-US"/>
              </w:rPr>
            </w:pPr>
            <w:r w:rsidRPr="006145E6">
              <w:rPr>
                <w:sz w:val="18"/>
                <w:szCs w:val="18"/>
                <w:lang w:val="en-US"/>
              </w:rPr>
              <w:t>Western European and other States</w:t>
            </w:r>
          </w:p>
        </w:tc>
        <w:tc>
          <w:tcPr>
            <w:tcW w:w="3788" w:type="dxa"/>
          </w:tcPr>
          <w:p w14:paraId="21F2CC9B" w14:textId="52E57F79" w:rsidR="006145E6" w:rsidRPr="006145E6" w:rsidRDefault="006145E6" w:rsidP="005F3039">
            <w:pPr>
              <w:spacing w:line="278" w:lineRule="auto"/>
              <w:rPr>
                <w:sz w:val="18"/>
                <w:szCs w:val="18"/>
                <w:lang w:val="es-ES"/>
              </w:rPr>
            </w:pPr>
            <w:r w:rsidRPr="006145E6">
              <w:rPr>
                <w:sz w:val="18"/>
                <w:szCs w:val="18"/>
                <w:lang w:val="es-ES"/>
              </w:rPr>
              <w:t>Estados de Europa Occidental y otros Estados</w:t>
            </w:r>
          </w:p>
        </w:tc>
      </w:tr>
    </w:tbl>
    <w:p w14:paraId="0866842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283" w:name="_Toc235821159"/>
    </w:p>
    <w:p w14:paraId="5FE841C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283"/>
    </w:p>
    <w:p w14:paraId="6C2F596F" w14:textId="77777777" w:rsidR="009713BF" w:rsidRPr="005E3D50" w:rsidRDefault="009713BF" w:rsidP="009713BF">
      <w:pPr>
        <w:rPr>
          <w:rFonts w:ascii="Aptos" w:hAnsi="Aptos"/>
          <w:lang w:val="es-ES"/>
        </w:rPr>
      </w:pPr>
    </w:p>
    <w:p w14:paraId="6F86ECBC" w14:textId="77777777" w:rsidR="009713BF" w:rsidRPr="005E3D50" w:rsidRDefault="009713BF" w:rsidP="009713BF">
      <w:pPr>
        <w:spacing w:after="200" w:line="240" w:lineRule="auto"/>
        <w:rPr>
          <w:rFonts w:eastAsiaTheme="minorEastAsia"/>
          <w:b/>
          <w:bCs/>
          <w:color w:val="0E2841" w:themeColor="text2"/>
          <w:kern w:val="0"/>
          <w:lang w:val="es-ES" w:eastAsia="ja-JP"/>
          <w14:ligatures w14:val="none"/>
        </w:rPr>
      </w:pPr>
      <w:r w:rsidRPr="005E3D50">
        <w:rPr>
          <w:rFonts w:ascii="Aptos" w:eastAsiaTheme="minorEastAsia" w:hAnsi="Aptos"/>
          <w:iCs/>
          <w:color w:val="0E2841" w:themeColor="text2"/>
          <w:kern w:val="0"/>
          <w:szCs w:val="18"/>
          <w:lang w:val="es-ES" w:eastAsia="ja-JP"/>
          <w14:ligatures w14:val="none"/>
        </w:rPr>
        <w:lastRenderedPageBreak/>
        <w:t>Según las autoevaluaciones realizadas por las Partes en sus informes nacionales, solo el 35 % de las metas nacionales presentadas como estrechamente armonizadas con la meta 9 están en vías de alcanzarse, frente a un número mucho mayor (58 %) que no muestran progresos significativos o bien muestran progresos insuficientes, y solo se informa de muy pocas (únicamente dos metas nacionales o el 1 %) que ya se alcanzaron (véase la figura 40).</w:t>
      </w:r>
    </w:p>
    <w:p w14:paraId="2634DA6A"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54ABE08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40</w:t>
      </w:r>
    </w:p>
    <w:p w14:paraId="60D2B5C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9 del Marco </w:t>
      </w:r>
    </w:p>
    <w:p w14:paraId="0E9549E0" w14:textId="77777777" w:rsidR="009713BF" w:rsidRPr="005E3D50" w:rsidRDefault="009713BF" w:rsidP="009713BF">
      <w:pPr>
        <w:rPr>
          <w:rFonts w:ascii="Aptos" w:eastAsia="Aptos" w:hAnsi="Aptos" w:cs="Aptos"/>
          <w:lang w:val="es-ES"/>
        </w:rPr>
      </w:pPr>
    </w:p>
    <w:p w14:paraId="103FC608"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54984863" wp14:editId="711DD5B4">
            <wp:extent cx="5731510" cy="2292350"/>
            <wp:effectExtent l="0" t="0" r="0" b="6350"/>
            <wp:docPr id="10378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4450" name="Picture 1037874450"/>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99CE876"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284" w:name="_Toc235821160"/>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Los colores de cada región se indican en la leyenda de la figura: los tonos más oscuros en cada región representan la proporción de Partes de esa región para las que se incluyen datos en el gráfico; los tonos más claros representan la proporción de Partes de la misma región para las que no se incluyen datos en el gráfico.</w:t>
      </w:r>
    </w:p>
    <w:tbl>
      <w:tblPr>
        <w:tblStyle w:val="TableGrid"/>
        <w:tblW w:w="9527" w:type="dxa"/>
        <w:tblLook w:val="04A0" w:firstRow="1" w:lastRow="0" w:firstColumn="1" w:lastColumn="0" w:noHBand="0" w:noVBand="1"/>
      </w:tblPr>
      <w:tblGrid>
        <w:gridCol w:w="5193"/>
        <w:gridCol w:w="4334"/>
      </w:tblGrid>
      <w:tr w:rsidR="002B1D2B" w:rsidRPr="005F3039" w14:paraId="69FDF165" w14:textId="77777777" w:rsidTr="00DC1592">
        <w:tc>
          <w:tcPr>
            <w:tcW w:w="9527" w:type="dxa"/>
            <w:gridSpan w:val="2"/>
          </w:tcPr>
          <w:p w14:paraId="0203E1E6" w14:textId="5A3A411C" w:rsidR="002B1D2B" w:rsidRPr="002B1D2B" w:rsidRDefault="002B1D2B" w:rsidP="005F3039">
            <w:pPr>
              <w:rPr>
                <w:sz w:val="18"/>
                <w:szCs w:val="18"/>
                <w:lang w:val="es-ES"/>
              </w:rPr>
            </w:pPr>
            <w:r>
              <w:rPr>
                <w:sz w:val="18"/>
                <w:szCs w:val="18"/>
                <w:lang w:val="es-ES"/>
              </w:rPr>
              <w:t>Figura 40</w:t>
            </w:r>
          </w:p>
        </w:tc>
      </w:tr>
      <w:tr w:rsidR="005F3039" w:rsidRPr="005F3039" w14:paraId="268BD587" w14:textId="77777777" w:rsidTr="005F3039">
        <w:tc>
          <w:tcPr>
            <w:tcW w:w="5193" w:type="dxa"/>
          </w:tcPr>
          <w:p w14:paraId="41452C6C" w14:textId="3CBFBDD9" w:rsidR="005F3039" w:rsidRPr="002B1D2B" w:rsidRDefault="005F3039" w:rsidP="005F3039">
            <w:pPr>
              <w:spacing w:line="278" w:lineRule="auto"/>
              <w:rPr>
                <w:sz w:val="18"/>
                <w:szCs w:val="18"/>
                <w:lang w:val="es-ES"/>
              </w:rPr>
            </w:pPr>
            <w:r w:rsidRPr="002B1D2B">
              <w:rPr>
                <w:sz w:val="18"/>
                <w:szCs w:val="18"/>
                <w:lang w:val="es-ES"/>
              </w:rPr>
              <w:t>English</w:t>
            </w:r>
          </w:p>
        </w:tc>
        <w:tc>
          <w:tcPr>
            <w:tcW w:w="4334" w:type="dxa"/>
          </w:tcPr>
          <w:p w14:paraId="15C604ED" w14:textId="51F3BAD6" w:rsidR="005F3039" w:rsidRPr="002B1D2B" w:rsidRDefault="007371B4" w:rsidP="005F3039">
            <w:pPr>
              <w:spacing w:line="278" w:lineRule="auto"/>
              <w:rPr>
                <w:sz w:val="18"/>
                <w:szCs w:val="18"/>
                <w:lang w:val="es-ES"/>
              </w:rPr>
            </w:pPr>
            <w:r w:rsidRPr="002B1D2B">
              <w:rPr>
                <w:sz w:val="18"/>
                <w:szCs w:val="18"/>
                <w:lang w:val="es-ES"/>
              </w:rPr>
              <w:t>Español</w:t>
            </w:r>
          </w:p>
        </w:tc>
      </w:tr>
      <w:tr w:rsidR="005F3039" w:rsidRPr="005F3039" w14:paraId="24C0819D" w14:textId="77777777" w:rsidTr="005F3039">
        <w:tc>
          <w:tcPr>
            <w:tcW w:w="5193" w:type="dxa"/>
          </w:tcPr>
          <w:p w14:paraId="5D8B61A6" w14:textId="77777777" w:rsidR="005F3039" w:rsidRPr="005F3039" w:rsidRDefault="005F3039" w:rsidP="005F3039">
            <w:pPr>
              <w:spacing w:line="278" w:lineRule="auto"/>
              <w:rPr>
                <w:sz w:val="18"/>
                <w:szCs w:val="18"/>
                <w:lang w:val="es-ES"/>
              </w:rPr>
            </w:pPr>
            <w:proofErr w:type="spellStart"/>
            <w:r w:rsidRPr="005F3039">
              <w:rPr>
                <w:sz w:val="18"/>
                <w:szCs w:val="18"/>
                <w:lang w:val="es-ES"/>
              </w:rPr>
              <w:t>Percentage</w:t>
            </w:r>
            <w:proofErr w:type="spellEnd"/>
            <w:r w:rsidRPr="005F3039">
              <w:rPr>
                <w:sz w:val="18"/>
                <w:szCs w:val="18"/>
                <w:lang w:val="es-ES"/>
              </w:rPr>
              <w:t xml:space="preserve"> of </w:t>
            </w:r>
            <w:proofErr w:type="spellStart"/>
            <w:r w:rsidRPr="005F3039">
              <w:rPr>
                <w:sz w:val="18"/>
                <w:szCs w:val="18"/>
                <w:lang w:val="es-ES"/>
              </w:rPr>
              <w:t>national</w:t>
            </w:r>
            <w:proofErr w:type="spellEnd"/>
            <w:r w:rsidRPr="005F3039">
              <w:rPr>
                <w:sz w:val="18"/>
                <w:szCs w:val="18"/>
                <w:lang w:val="es-ES"/>
              </w:rPr>
              <w:t xml:space="preserve"> targets</w:t>
            </w:r>
          </w:p>
        </w:tc>
        <w:tc>
          <w:tcPr>
            <w:tcW w:w="4334" w:type="dxa"/>
          </w:tcPr>
          <w:p w14:paraId="472E13B1" w14:textId="4E89CDF7" w:rsidR="005F3039" w:rsidRPr="005F3039" w:rsidRDefault="005F3039" w:rsidP="005F3039">
            <w:pPr>
              <w:spacing w:line="278" w:lineRule="auto"/>
              <w:rPr>
                <w:sz w:val="18"/>
                <w:szCs w:val="18"/>
                <w:lang w:val="es-ES"/>
              </w:rPr>
            </w:pPr>
            <w:r w:rsidRPr="005F3039">
              <w:rPr>
                <w:sz w:val="18"/>
                <w:szCs w:val="18"/>
                <w:lang w:val="es-ES"/>
              </w:rPr>
              <w:t>Porcentaje de metas nacionales</w:t>
            </w:r>
          </w:p>
        </w:tc>
      </w:tr>
      <w:tr w:rsidR="005F3039" w:rsidRPr="005F3039" w14:paraId="393A4249" w14:textId="77777777" w:rsidTr="005F3039">
        <w:tc>
          <w:tcPr>
            <w:tcW w:w="5193" w:type="dxa"/>
          </w:tcPr>
          <w:p w14:paraId="083935B6" w14:textId="77777777" w:rsidR="005F3039" w:rsidRPr="005F3039" w:rsidRDefault="005F3039" w:rsidP="005F3039">
            <w:pPr>
              <w:spacing w:line="278" w:lineRule="auto"/>
              <w:rPr>
                <w:sz w:val="18"/>
                <w:szCs w:val="18"/>
                <w:lang w:val="es-ES"/>
              </w:rPr>
            </w:pPr>
            <w:proofErr w:type="spellStart"/>
            <w:r w:rsidRPr="005F3039">
              <w:rPr>
                <w:sz w:val="18"/>
                <w:szCs w:val="18"/>
                <w:lang w:val="es-ES"/>
              </w:rPr>
              <w:t>Progress</w:t>
            </w:r>
            <w:proofErr w:type="spellEnd"/>
            <w:r w:rsidRPr="005F3039">
              <w:rPr>
                <w:sz w:val="18"/>
                <w:szCs w:val="18"/>
                <w:lang w:val="es-ES"/>
              </w:rPr>
              <w:t xml:space="preserve"> Level</w:t>
            </w:r>
          </w:p>
        </w:tc>
        <w:tc>
          <w:tcPr>
            <w:tcW w:w="4334" w:type="dxa"/>
          </w:tcPr>
          <w:p w14:paraId="15CE3A25" w14:textId="17AF51DA" w:rsidR="005F3039" w:rsidRPr="005F3039" w:rsidRDefault="005F3039" w:rsidP="005F3039">
            <w:pPr>
              <w:spacing w:line="278" w:lineRule="auto"/>
              <w:rPr>
                <w:sz w:val="18"/>
                <w:szCs w:val="18"/>
                <w:lang w:val="es-ES"/>
              </w:rPr>
            </w:pPr>
            <w:r w:rsidRPr="005F3039">
              <w:rPr>
                <w:sz w:val="18"/>
                <w:szCs w:val="18"/>
                <w:lang w:val="es-ES"/>
              </w:rPr>
              <w:t>Nivel de progreso</w:t>
            </w:r>
          </w:p>
        </w:tc>
      </w:tr>
      <w:tr w:rsidR="005F3039" w:rsidRPr="005F3039" w14:paraId="56F7EC94" w14:textId="77777777" w:rsidTr="005F3039">
        <w:tc>
          <w:tcPr>
            <w:tcW w:w="5193" w:type="dxa"/>
          </w:tcPr>
          <w:p w14:paraId="0B0DC02B" w14:textId="77777777" w:rsidR="005F3039" w:rsidRPr="005F3039" w:rsidRDefault="005F3039" w:rsidP="005F3039">
            <w:pPr>
              <w:spacing w:line="278" w:lineRule="auto"/>
              <w:rPr>
                <w:sz w:val="18"/>
                <w:szCs w:val="18"/>
                <w:lang w:val="es-ES"/>
              </w:rPr>
            </w:pPr>
            <w:proofErr w:type="spellStart"/>
            <w:r w:rsidRPr="005F3039">
              <w:rPr>
                <w:sz w:val="18"/>
                <w:szCs w:val="18"/>
                <w:lang w:val="es-ES"/>
              </w:rPr>
              <w:t>Achieved</w:t>
            </w:r>
            <w:proofErr w:type="spellEnd"/>
          </w:p>
        </w:tc>
        <w:tc>
          <w:tcPr>
            <w:tcW w:w="4334" w:type="dxa"/>
          </w:tcPr>
          <w:p w14:paraId="2991D656" w14:textId="3BE3D8DC" w:rsidR="005F3039" w:rsidRPr="005F3039" w:rsidRDefault="005F3039" w:rsidP="005F3039">
            <w:pPr>
              <w:spacing w:line="278" w:lineRule="auto"/>
              <w:rPr>
                <w:sz w:val="18"/>
                <w:szCs w:val="18"/>
                <w:lang w:val="es-ES"/>
              </w:rPr>
            </w:pPr>
            <w:r w:rsidRPr="005F3039">
              <w:rPr>
                <w:sz w:val="18"/>
                <w:szCs w:val="18"/>
                <w:lang w:val="es-ES"/>
              </w:rPr>
              <w:t>Alcanzada</w:t>
            </w:r>
          </w:p>
        </w:tc>
      </w:tr>
      <w:tr w:rsidR="005F3039" w:rsidRPr="005F3039" w14:paraId="2EF4C9DF" w14:textId="77777777" w:rsidTr="005F3039">
        <w:tc>
          <w:tcPr>
            <w:tcW w:w="5193" w:type="dxa"/>
          </w:tcPr>
          <w:p w14:paraId="003BD943" w14:textId="77777777" w:rsidR="005F3039" w:rsidRPr="005F3039" w:rsidRDefault="005F3039" w:rsidP="005F3039">
            <w:pPr>
              <w:spacing w:line="278" w:lineRule="auto"/>
              <w:rPr>
                <w:sz w:val="18"/>
                <w:szCs w:val="18"/>
                <w:lang w:val="en-US"/>
              </w:rPr>
            </w:pPr>
            <w:r w:rsidRPr="005F3039">
              <w:rPr>
                <w:sz w:val="18"/>
                <w:szCs w:val="18"/>
                <w:lang w:val="en-US"/>
              </w:rPr>
              <w:t>On track to achieve target</w:t>
            </w:r>
          </w:p>
        </w:tc>
        <w:tc>
          <w:tcPr>
            <w:tcW w:w="4334" w:type="dxa"/>
          </w:tcPr>
          <w:p w14:paraId="130A9D9C" w14:textId="2F034065" w:rsidR="005F3039" w:rsidRPr="005F3039" w:rsidRDefault="005F3039" w:rsidP="005F3039">
            <w:pPr>
              <w:spacing w:line="278" w:lineRule="auto"/>
              <w:rPr>
                <w:sz w:val="18"/>
                <w:szCs w:val="18"/>
                <w:lang w:val="es-ES"/>
              </w:rPr>
            </w:pPr>
            <w:r w:rsidRPr="005F3039">
              <w:rPr>
                <w:sz w:val="18"/>
                <w:szCs w:val="18"/>
                <w:lang w:val="es-ES"/>
              </w:rPr>
              <w:t>En vías de alcanzar la meta</w:t>
            </w:r>
          </w:p>
        </w:tc>
      </w:tr>
      <w:tr w:rsidR="005F3039" w:rsidRPr="005F3039" w14:paraId="6258D8C1" w14:textId="77777777" w:rsidTr="005F3039">
        <w:tc>
          <w:tcPr>
            <w:tcW w:w="5193" w:type="dxa"/>
          </w:tcPr>
          <w:p w14:paraId="7FF1305F" w14:textId="77777777" w:rsidR="005F3039" w:rsidRPr="005F3039" w:rsidRDefault="005F3039" w:rsidP="005F3039">
            <w:pPr>
              <w:spacing w:line="278" w:lineRule="auto"/>
              <w:rPr>
                <w:sz w:val="18"/>
                <w:szCs w:val="18"/>
                <w:lang w:val="en-US"/>
              </w:rPr>
            </w:pPr>
            <w:r w:rsidRPr="005F3039">
              <w:rPr>
                <w:sz w:val="18"/>
                <w:szCs w:val="18"/>
                <w:lang w:val="en-US"/>
              </w:rPr>
              <w:t>Progress towards target but at an insufficient rate</w:t>
            </w:r>
          </w:p>
        </w:tc>
        <w:tc>
          <w:tcPr>
            <w:tcW w:w="4334" w:type="dxa"/>
          </w:tcPr>
          <w:p w14:paraId="62D9ADD6" w14:textId="2ACA3FAE" w:rsidR="005F3039" w:rsidRPr="005F3039" w:rsidRDefault="005F3039" w:rsidP="005F3039">
            <w:pPr>
              <w:spacing w:line="278" w:lineRule="auto"/>
              <w:rPr>
                <w:sz w:val="18"/>
                <w:szCs w:val="18"/>
                <w:lang w:val="es-ES"/>
              </w:rPr>
            </w:pPr>
            <w:r w:rsidRPr="005F3039">
              <w:rPr>
                <w:sz w:val="18"/>
                <w:szCs w:val="18"/>
                <w:lang w:val="es-ES"/>
              </w:rPr>
              <w:t xml:space="preserve">Se ha progresado hacia la </w:t>
            </w:r>
            <w:proofErr w:type="gramStart"/>
            <w:r w:rsidRPr="005F3039">
              <w:rPr>
                <w:sz w:val="18"/>
                <w:szCs w:val="18"/>
                <w:lang w:val="es-ES"/>
              </w:rPr>
              <w:t>meta</w:t>
            </w:r>
            <w:proofErr w:type="gramEnd"/>
            <w:r w:rsidRPr="005F3039">
              <w:rPr>
                <w:sz w:val="18"/>
                <w:szCs w:val="18"/>
                <w:lang w:val="es-ES"/>
              </w:rPr>
              <w:t xml:space="preserve"> pero a un ritmo insuficiente</w:t>
            </w:r>
          </w:p>
        </w:tc>
      </w:tr>
      <w:tr w:rsidR="005F3039" w:rsidRPr="005F3039" w14:paraId="3A7797F3" w14:textId="77777777" w:rsidTr="005F3039">
        <w:tc>
          <w:tcPr>
            <w:tcW w:w="5193" w:type="dxa"/>
          </w:tcPr>
          <w:p w14:paraId="05805E53" w14:textId="77777777" w:rsidR="005F3039" w:rsidRPr="005F3039" w:rsidRDefault="005F3039" w:rsidP="005F3039">
            <w:pPr>
              <w:spacing w:line="278" w:lineRule="auto"/>
              <w:rPr>
                <w:sz w:val="18"/>
                <w:szCs w:val="18"/>
                <w:lang w:val="es-ES"/>
              </w:rPr>
            </w:pPr>
            <w:r w:rsidRPr="005F3039">
              <w:rPr>
                <w:sz w:val="18"/>
                <w:szCs w:val="18"/>
                <w:lang w:val="es-ES"/>
              </w:rPr>
              <w:t xml:space="preserve">No </w:t>
            </w:r>
            <w:proofErr w:type="spellStart"/>
            <w:r w:rsidRPr="005F3039">
              <w:rPr>
                <w:sz w:val="18"/>
                <w:szCs w:val="18"/>
                <w:lang w:val="es-ES"/>
              </w:rPr>
              <w:t>significant</w:t>
            </w:r>
            <w:proofErr w:type="spellEnd"/>
            <w:r w:rsidRPr="005F3039">
              <w:rPr>
                <w:sz w:val="18"/>
                <w:szCs w:val="18"/>
                <w:lang w:val="es-ES"/>
              </w:rPr>
              <w:t xml:space="preserve"> </w:t>
            </w:r>
            <w:proofErr w:type="spellStart"/>
            <w:r w:rsidRPr="005F3039">
              <w:rPr>
                <w:sz w:val="18"/>
                <w:szCs w:val="18"/>
                <w:lang w:val="es-ES"/>
              </w:rPr>
              <w:t>change</w:t>
            </w:r>
            <w:proofErr w:type="spellEnd"/>
          </w:p>
        </w:tc>
        <w:tc>
          <w:tcPr>
            <w:tcW w:w="4334" w:type="dxa"/>
          </w:tcPr>
          <w:p w14:paraId="28AF5372" w14:textId="2BF9B9A6" w:rsidR="005F3039" w:rsidRPr="005F3039" w:rsidRDefault="005F3039" w:rsidP="005F3039">
            <w:pPr>
              <w:spacing w:line="278" w:lineRule="auto"/>
              <w:rPr>
                <w:sz w:val="18"/>
                <w:szCs w:val="18"/>
                <w:lang w:val="es-ES"/>
              </w:rPr>
            </w:pPr>
            <w:r w:rsidRPr="005F3039">
              <w:rPr>
                <w:sz w:val="18"/>
                <w:szCs w:val="18"/>
                <w:lang w:val="es-ES"/>
              </w:rPr>
              <w:t>No hay cambios significativos</w:t>
            </w:r>
          </w:p>
        </w:tc>
      </w:tr>
      <w:tr w:rsidR="005F3039" w:rsidRPr="005F3039" w14:paraId="6A5779E8" w14:textId="77777777" w:rsidTr="005F3039">
        <w:tc>
          <w:tcPr>
            <w:tcW w:w="5193" w:type="dxa"/>
          </w:tcPr>
          <w:p w14:paraId="190D1CF2" w14:textId="77777777" w:rsidR="005F3039" w:rsidRPr="005F3039" w:rsidRDefault="005F3039" w:rsidP="005F3039">
            <w:pPr>
              <w:spacing w:line="278" w:lineRule="auto"/>
              <w:rPr>
                <w:sz w:val="18"/>
                <w:szCs w:val="18"/>
                <w:lang w:val="es-ES"/>
              </w:rPr>
            </w:pPr>
            <w:r w:rsidRPr="005F3039">
              <w:rPr>
                <w:sz w:val="18"/>
                <w:szCs w:val="18"/>
                <w:lang w:val="es-ES"/>
              </w:rPr>
              <w:t>Unknown</w:t>
            </w:r>
          </w:p>
        </w:tc>
        <w:tc>
          <w:tcPr>
            <w:tcW w:w="4334" w:type="dxa"/>
          </w:tcPr>
          <w:p w14:paraId="271C3753" w14:textId="2653DB11" w:rsidR="005F3039" w:rsidRPr="005F3039" w:rsidRDefault="005F3039" w:rsidP="005F3039">
            <w:pPr>
              <w:spacing w:line="278" w:lineRule="auto"/>
              <w:rPr>
                <w:sz w:val="18"/>
                <w:szCs w:val="18"/>
                <w:lang w:val="es-ES"/>
              </w:rPr>
            </w:pPr>
            <w:r w:rsidRPr="005F3039">
              <w:rPr>
                <w:sz w:val="18"/>
                <w:szCs w:val="18"/>
                <w:lang w:val="es-ES"/>
              </w:rPr>
              <w:t>Se desconoce</w:t>
            </w:r>
          </w:p>
        </w:tc>
      </w:tr>
      <w:tr w:rsidR="005F3039" w:rsidRPr="005F3039" w14:paraId="4BFF9ACD" w14:textId="77777777" w:rsidTr="005F3039">
        <w:tc>
          <w:tcPr>
            <w:tcW w:w="5193" w:type="dxa"/>
          </w:tcPr>
          <w:p w14:paraId="38ECAF5E" w14:textId="77777777" w:rsidR="005F3039" w:rsidRPr="005F3039" w:rsidRDefault="005F3039" w:rsidP="005F3039">
            <w:pPr>
              <w:spacing w:line="278" w:lineRule="auto"/>
              <w:rPr>
                <w:sz w:val="18"/>
                <w:szCs w:val="18"/>
                <w:lang w:val="es-ES"/>
              </w:rPr>
            </w:pPr>
            <w:r w:rsidRPr="005F3039">
              <w:rPr>
                <w:sz w:val="18"/>
                <w:szCs w:val="18"/>
                <w:lang w:val="es-ES"/>
              </w:rPr>
              <w:t xml:space="preserve">Party </w:t>
            </w:r>
            <w:proofErr w:type="spellStart"/>
            <w:r w:rsidRPr="005F3039">
              <w:rPr>
                <w:sz w:val="18"/>
                <w:szCs w:val="18"/>
                <w:lang w:val="es-ES"/>
              </w:rPr>
              <w:t>count</w:t>
            </w:r>
            <w:proofErr w:type="spellEnd"/>
            <w:r w:rsidRPr="005F3039">
              <w:rPr>
                <w:sz w:val="18"/>
                <w:szCs w:val="18"/>
                <w:lang w:val="es-ES"/>
              </w:rPr>
              <w:t>: 85</w:t>
            </w:r>
          </w:p>
        </w:tc>
        <w:tc>
          <w:tcPr>
            <w:tcW w:w="4334" w:type="dxa"/>
          </w:tcPr>
          <w:p w14:paraId="6B108D2D" w14:textId="7A07D2C5" w:rsidR="005F3039" w:rsidRPr="005F3039" w:rsidRDefault="005F3039" w:rsidP="005F3039">
            <w:pPr>
              <w:spacing w:line="278" w:lineRule="auto"/>
              <w:rPr>
                <w:sz w:val="18"/>
                <w:szCs w:val="18"/>
                <w:lang w:val="es-ES"/>
              </w:rPr>
            </w:pPr>
            <w:r w:rsidRPr="005F3039">
              <w:rPr>
                <w:sz w:val="18"/>
                <w:szCs w:val="18"/>
                <w:lang w:val="es-ES"/>
              </w:rPr>
              <w:t>Número de Partes: 85</w:t>
            </w:r>
          </w:p>
        </w:tc>
      </w:tr>
      <w:tr w:rsidR="005F3039" w:rsidRPr="005F3039" w14:paraId="0A80986A" w14:textId="77777777" w:rsidTr="005F3039">
        <w:tc>
          <w:tcPr>
            <w:tcW w:w="5193" w:type="dxa"/>
          </w:tcPr>
          <w:p w14:paraId="27E276E7" w14:textId="77777777" w:rsidR="005F3039" w:rsidRPr="005F3039" w:rsidRDefault="005F3039" w:rsidP="005F3039">
            <w:pPr>
              <w:spacing w:line="278" w:lineRule="auto"/>
              <w:rPr>
                <w:sz w:val="18"/>
                <w:szCs w:val="18"/>
                <w:lang w:val="es-ES"/>
              </w:rPr>
            </w:pPr>
            <w:proofErr w:type="spellStart"/>
            <w:r w:rsidRPr="005F3039">
              <w:rPr>
                <w:sz w:val="18"/>
                <w:szCs w:val="18"/>
                <w:lang w:val="es-ES"/>
              </w:rPr>
              <w:t>Region</w:t>
            </w:r>
            <w:proofErr w:type="spellEnd"/>
          </w:p>
        </w:tc>
        <w:tc>
          <w:tcPr>
            <w:tcW w:w="4334" w:type="dxa"/>
          </w:tcPr>
          <w:p w14:paraId="35F839E2" w14:textId="192DC73B" w:rsidR="005F3039" w:rsidRPr="005F3039" w:rsidRDefault="005F3039" w:rsidP="005F3039">
            <w:pPr>
              <w:spacing w:line="278" w:lineRule="auto"/>
              <w:rPr>
                <w:sz w:val="18"/>
                <w:szCs w:val="18"/>
                <w:lang w:val="es-ES"/>
              </w:rPr>
            </w:pPr>
            <w:r w:rsidRPr="005F3039">
              <w:rPr>
                <w:sz w:val="18"/>
                <w:szCs w:val="18"/>
                <w:lang w:val="es-ES"/>
              </w:rPr>
              <w:t>Región</w:t>
            </w:r>
          </w:p>
        </w:tc>
      </w:tr>
      <w:tr w:rsidR="005F3039" w:rsidRPr="005F3039" w14:paraId="162E95A7" w14:textId="77777777" w:rsidTr="005F3039">
        <w:tc>
          <w:tcPr>
            <w:tcW w:w="5193" w:type="dxa"/>
          </w:tcPr>
          <w:p w14:paraId="0263CEBD" w14:textId="77777777" w:rsidR="005F3039" w:rsidRPr="005F3039" w:rsidRDefault="005F3039" w:rsidP="005F3039">
            <w:pPr>
              <w:spacing w:line="278" w:lineRule="auto"/>
              <w:rPr>
                <w:sz w:val="18"/>
                <w:szCs w:val="18"/>
                <w:lang w:val="es-ES"/>
              </w:rPr>
            </w:pPr>
            <w:r w:rsidRPr="005F3039">
              <w:rPr>
                <w:sz w:val="18"/>
                <w:szCs w:val="18"/>
                <w:lang w:val="es-ES"/>
              </w:rPr>
              <w:lastRenderedPageBreak/>
              <w:t>African States</w:t>
            </w:r>
          </w:p>
        </w:tc>
        <w:tc>
          <w:tcPr>
            <w:tcW w:w="4334" w:type="dxa"/>
          </w:tcPr>
          <w:p w14:paraId="49FECCED" w14:textId="0C40D90F" w:rsidR="005F3039" w:rsidRPr="005F3039" w:rsidRDefault="005F3039" w:rsidP="005F3039">
            <w:pPr>
              <w:spacing w:line="278" w:lineRule="auto"/>
              <w:rPr>
                <w:sz w:val="18"/>
                <w:szCs w:val="18"/>
                <w:lang w:val="es-ES"/>
              </w:rPr>
            </w:pPr>
            <w:r w:rsidRPr="005F3039">
              <w:rPr>
                <w:sz w:val="18"/>
                <w:szCs w:val="18"/>
                <w:lang w:val="es-ES"/>
              </w:rPr>
              <w:t>Estados de África</w:t>
            </w:r>
          </w:p>
        </w:tc>
      </w:tr>
      <w:tr w:rsidR="005F3039" w:rsidRPr="005F3039" w14:paraId="70AA8645" w14:textId="77777777" w:rsidTr="005F3039">
        <w:tc>
          <w:tcPr>
            <w:tcW w:w="5193" w:type="dxa"/>
          </w:tcPr>
          <w:p w14:paraId="142FDEBE" w14:textId="77777777" w:rsidR="005F3039" w:rsidRPr="005F3039" w:rsidRDefault="005F3039" w:rsidP="005F3039">
            <w:pPr>
              <w:spacing w:line="278" w:lineRule="auto"/>
              <w:rPr>
                <w:sz w:val="18"/>
                <w:szCs w:val="18"/>
                <w:lang w:val="es-ES"/>
              </w:rPr>
            </w:pPr>
            <w:r w:rsidRPr="005F3039">
              <w:rPr>
                <w:sz w:val="18"/>
                <w:szCs w:val="18"/>
                <w:lang w:val="es-ES"/>
              </w:rPr>
              <w:t>Asia-Pacific States</w:t>
            </w:r>
          </w:p>
        </w:tc>
        <w:tc>
          <w:tcPr>
            <w:tcW w:w="4334" w:type="dxa"/>
          </w:tcPr>
          <w:p w14:paraId="0B80E5E9" w14:textId="2ED3D7E3" w:rsidR="005F3039" w:rsidRPr="005F3039" w:rsidRDefault="005F3039" w:rsidP="005F3039">
            <w:pPr>
              <w:spacing w:line="278" w:lineRule="auto"/>
              <w:rPr>
                <w:sz w:val="18"/>
                <w:szCs w:val="18"/>
                <w:lang w:val="es-ES"/>
              </w:rPr>
            </w:pPr>
            <w:r w:rsidRPr="005F3039">
              <w:rPr>
                <w:sz w:val="18"/>
                <w:szCs w:val="18"/>
                <w:lang w:val="es-ES"/>
              </w:rPr>
              <w:t>Estados de Asia y el Pacífico</w:t>
            </w:r>
          </w:p>
        </w:tc>
      </w:tr>
      <w:tr w:rsidR="005F3039" w:rsidRPr="005F3039" w14:paraId="24254E8D" w14:textId="77777777" w:rsidTr="005F3039">
        <w:tc>
          <w:tcPr>
            <w:tcW w:w="5193" w:type="dxa"/>
          </w:tcPr>
          <w:p w14:paraId="58EDFEC0" w14:textId="77777777" w:rsidR="005F3039" w:rsidRPr="005F3039" w:rsidRDefault="005F3039" w:rsidP="005F3039">
            <w:pPr>
              <w:spacing w:line="278" w:lineRule="auto"/>
              <w:rPr>
                <w:sz w:val="18"/>
                <w:szCs w:val="18"/>
                <w:lang w:val="en-US"/>
              </w:rPr>
            </w:pPr>
            <w:r w:rsidRPr="005F3039">
              <w:rPr>
                <w:sz w:val="18"/>
                <w:szCs w:val="18"/>
                <w:lang w:val="en-US"/>
              </w:rPr>
              <w:t>Latin American and Caribbean States</w:t>
            </w:r>
          </w:p>
        </w:tc>
        <w:tc>
          <w:tcPr>
            <w:tcW w:w="4334" w:type="dxa"/>
          </w:tcPr>
          <w:p w14:paraId="3D52E4FD" w14:textId="100DE53A" w:rsidR="005F3039" w:rsidRPr="005F3039" w:rsidRDefault="005F3039" w:rsidP="005F3039">
            <w:pPr>
              <w:spacing w:line="278" w:lineRule="auto"/>
              <w:rPr>
                <w:sz w:val="18"/>
                <w:szCs w:val="18"/>
                <w:lang w:val="es-ES"/>
              </w:rPr>
            </w:pPr>
            <w:r w:rsidRPr="005F3039">
              <w:rPr>
                <w:sz w:val="18"/>
                <w:szCs w:val="18"/>
                <w:lang w:val="es-ES"/>
              </w:rPr>
              <w:t>Estados de América Latina y el Caribe</w:t>
            </w:r>
          </w:p>
        </w:tc>
      </w:tr>
      <w:tr w:rsidR="005F3039" w:rsidRPr="005F3039" w14:paraId="01F6AB25" w14:textId="77777777" w:rsidTr="005F3039">
        <w:tc>
          <w:tcPr>
            <w:tcW w:w="5193" w:type="dxa"/>
          </w:tcPr>
          <w:p w14:paraId="46432E4B" w14:textId="77777777" w:rsidR="005F3039" w:rsidRPr="005F3039" w:rsidRDefault="005F3039" w:rsidP="005F3039">
            <w:pPr>
              <w:spacing w:line="278" w:lineRule="auto"/>
              <w:rPr>
                <w:sz w:val="18"/>
                <w:szCs w:val="18"/>
                <w:lang w:val="es-ES"/>
              </w:rPr>
            </w:pPr>
            <w:r w:rsidRPr="005F3039">
              <w:rPr>
                <w:sz w:val="18"/>
                <w:szCs w:val="18"/>
                <w:lang w:val="es-ES"/>
              </w:rPr>
              <w:t xml:space="preserve"> Eastern European States</w:t>
            </w:r>
          </w:p>
        </w:tc>
        <w:tc>
          <w:tcPr>
            <w:tcW w:w="4334" w:type="dxa"/>
          </w:tcPr>
          <w:p w14:paraId="1A53E07F" w14:textId="001F99AC" w:rsidR="005F3039" w:rsidRPr="005F3039" w:rsidRDefault="005F3039" w:rsidP="005F3039">
            <w:pPr>
              <w:spacing w:line="278" w:lineRule="auto"/>
              <w:rPr>
                <w:sz w:val="18"/>
                <w:szCs w:val="18"/>
                <w:lang w:val="es-ES"/>
              </w:rPr>
            </w:pPr>
            <w:r w:rsidRPr="005F3039">
              <w:rPr>
                <w:sz w:val="18"/>
                <w:szCs w:val="18"/>
                <w:lang w:val="es-ES"/>
              </w:rPr>
              <w:t>Estados de Europa Oriental</w:t>
            </w:r>
          </w:p>
        </w:tc>
      </w:tr>
      <w:tr w:rsidR="005F3039" w:rsidRPr="005F3039" w14:paraId="7EA71D09" w14:textId="77777777" w:rsidTr="005F3039">
        <w:tc>
          <w:tcPr>
            <w:tcW w:w="5193" w:type="dxa"/>
          </w:tcPr>
          <w:p w14:paraId="6F105765" w14:textId="77777777" w:rsidR="005F3039" w:rsidRPr="005F3039" w:rsidRDefault="005F3039" w:rsidP="005F3039">
            <w:pPr>
              <w:spacing w:line="278" w:lineRule="auto"/>
              <w:rPr>
                <w:sz w:val="18"/>
                <w:szCs w:val="18"/>
                <w:lang w:val="en-US"/>
              </w:rPr>
            </w:pPr>
            <w:r w:rsidRPr="005F3039">
              <w:rPr>
                <w:sz w:val="18"/>
                <w:szCs w:val="18"/>
                <w:lang w:val="en-US"/>
              </w:rPr>
              <w:t>Western European and other States</w:t>
            </w:r>
          </w:p>
        </w:tc>
        <w:tc>
          <w:tcPr>
            <w:tcW w:w="4334" w:type="dxa"/>
          </w:tcPr>
          <w:p w14:paraId="60F5BD4C" w14:textId="5757066B" w:rsidR="005F3039" w:rsidRPr="005F3039" w:rsidRDefault="005F3039" w:rsidP="005F3039">
            <w:pPr>
              <w:spacing w:line="278" w:lineRule="auto"/>
              <w:rPr>
                <w:sz w:val="18"/>
                <w:szCs w:val="18"/>
                <w:lang w:val="es-ES"/>
              </w:rPr>
            </w:pPr>
            <w:r w:rsidRPr="005F3039">
              <w:rPr>
                <w:sz w:val="18"/>
                <w:szCs w:val="18"/>
                <w:lang w:val="es-ES"/>
              </w:rPr>
              <w:t>Estados de Europa Occidental y otros Estados</w:t>
            </w:r>
          </w:p>
        </w:tc>
      </w:tr>
    </w:tbl>
    <w:p w14:paraId="4C64F662" w14:textId="77777777" w:rsidR="005F3039" w:rsidRPr="005E3D50" w:rsidRDefault="005F3039" w:rsidP="009713BF">
      <w:pPr>
        <w:spacing w:after="200" w:line="240" w:lineRule="auto"/>
        <w:rPr>
          <w:rFonts w:eastAsiaTheme="minorEastAsia"/>
          <w:color w:val="0E2841" w:themeColor="text2"/>
          <w:kern w:val="0"/>
          <w:sz w:val="18"/>
          <w:szCs w:val="18"/>
          <w:lang w:val="es-ES" w:eastAsia="ja-JP"/>
          <w14:ligatures w14:val="none"/>
        </w:rPr>
      </w:pPr>
    </w:p>
    <w:p w14:paraId="138EE29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6B9882A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Medidas, logros y dificultades </w:t>
      </w:r>
      <w:bookmarkEnd w:id="284"/>
      <w:r w:rsidRPr="005E3D50">
        <w:rPr>
          <w:rFonts w:eastAsiaTheme="majorEastAsia" w:cstheme="majorBidi"/>
          <w:color w:val="0F4761" w:themeColor="accent1" w:themeShade="BF"/>
          <w:lang w:val="es-ES"/>
        </w:rPr>
        <w:t>en la implementación</w:t>
      </w:r>
    </w:p>
    <w:p w14:paraId="54D9A799"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285" w:name="_Toc235821161"/>
    </w:p>
    <w:p w14:paraId="3CFF6B8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9</w:t>
      </w:r>
      <w:bookmarkEnd w:id="285"/>
      <w:r w:rsidRPr="005E3D50">
        <w:rPr>
          <w:rFonts w:eastAsiaTheme="majorEastAsia" w:cstheme="majorBidi"/>
          <w:i/>
          <w:iCs/>
          <w:color w:val="595959" w:themeColor="text1" w:themeTint="A6"/>
          <w:lang w:val="es-ES"/>
        </w:rPr>
        <w:t xml:space="preserve"> del Marco</w:t>
      </w:r>
    </w:p>
    <w:p w14:paraId="2DCCF6CE" w14:textId="77777777" w:rsidR="009713BF" w:rsidRPr="005E3D50" w:rsidRDefault="009713BF" w:rsidP="009713BF">
      <w:pPr>
        <w:rPr>
          <w:lang w:val="es-ES"/>
        </w:rPr>
      </w:pPr>
    </w:p>
    <w:p w14:paraId="2B2511BB" w14:textId="77777777" w:rsidR="009713BF" w:rsidRPr="005E3D50" w:rsidRDefault="009713BF" w:rsidP="009713BF">
      <w:pPr>
        <w:rPr>
          <w:lang w:val="es-ES"/>
        </w:rPr>
      </w:pPr>
      <w:r w:rsidRPr="005E3D50">
        <w:rPr>
          <w:lang w:val="es-ES"/>
        </w:rPr>
        <w:t>El tipo de medidas en apoyo a la meta 9 más ampliamente comunicado fue la adopción de normativa jurídica. Esto incluye la reglamentación de sistemas de cuotas, temporadas de veda y concesión de licencias para la extracción o explotación de especies silvestres, así como la implementación de controles de comercio para especies pertinentes amparadas por la CITES y por legislación de protección de especies (véase el recuadro 29). Muchas Partes informan que utilizan diversos modelos de gestión comunitaria de recursos naturales como la principal forma de garantizar la utilización sostenible de especies silvestres. Estos modelos ayudan a lograr resultados sociales y relacionados con derechos junto con beneficios de conservación. Tales resultados incluyen, por ejemplo, el reconocimiento formal de los derechos de los pueblos indígenas y las comunidades locales a utilizar recursos naturales conforme a gobernanza y prácticas consuetudinarias, así como la protección de sus conocimientos tradicionales. Muchas Partes informan que como contribución a la meta 9 han adoptado medidas para promover la gestión sostenible de la pesca. Varias Partes también informan que han introducido incentivos positivos para la gestión sostenible de especies silvestres, por ejemplo, compartiendo con las comunidades los ingresos derivados de la caza de trofeos, con el fin de apoyar medios de vida locales, o mediante pagos a agricultores para mantener corredores de fauna y flora silvestres.</w:t>
      </w:r>
    </w:p>
    <w:p w14:paraId="4826050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759CC6E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286" w:name="_Toc235821162"/>
      <w:r w:rsidRPr="005E3D50">
        <w:rPr>
          <w:rFonts w:eastAsiaTheme="majorEastAsia" w:cstheme="majorBidi"/>
          <w:i/>
          <w:iCs/>
          <w:color w:val="595959" w:themeColor="text1" w:themeTint="A6"/>
          <w:lang w:val="es-ES"/>
        </w:rPr>
        <w:t>Ejemplos de logros y progresos en la implementación</w:t>
      </w:r>
      <w:bookmarkEnd w:id="286"/>
    </w:p>
    <w:p w14:paraId="1A882799"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p w14:paraId="7463E6BB"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458F2C6B" w14:textId="77777777" w:rsidTr="006E6831">
        <w:tc>
          <w:tcPr>
            <w:tcW w:w="9016" w:type="dxa"/>
            <w:shd w:val="clear" w:color="auto" w:fill="D1D1D1" w:themeFill="background2" w:themeFillShade="E6"/>
          </w:tcPr>
          <w:p w14:paraId="37977F15" w14:textId="77777777" w:rsidR="009713BF" w:rsidRPr="005E3D50" w:rsidRDefault="009713BF" w:rsidP="009713BF">
            <w:pPr>
              <w:rPr>
                <w:lang w:val="es-ES"/>
              </w:rPr>
            </w:pPr>
          </w:p>
          <w:p w14:paraId="49F318E0" w14:textId="77777777" w:rsidR="009713BF" w:rsidRPr="005E3D50" w:rsidRDefault="009713BF" w:rsidP="009713BF">
            <w:pPr>
              <w:rPr>
                <w:sz w:val="20"/>
                <w:szCs w:val="20"/>
                <w:lang w:val="es-ES"/>
              </w:rPr>
            </w:pPr>
            <w:bookmarkStart w:id="287" w:name="_Ref235824026"/>
            <w:r w:rsidRPr="005E3D50">
              <w:rPr>
                <w:sz w:val="20"/>
                <w:lang w:val="es-ES"/>
              </w:rPr>
              <w:t>Recuadro 29</w:t>
            </w:r>
            <w:bookmarkEnd w:id="287"/>
          </w:p>
          <w:p w14:paraId="0E0E37D3" w14:textId="77777777" w:rsidR="009713BF" w:rsidRPr="005E3D50" w:rsidRDefault="009713BF" w:rsidP="009713BF">
            <w:pPr>
              <w:rPr>
                <w:sz w:val="20"/>
                <w:szCs w:val="20"/>
                <w:lang w:val="es-ES"/>
              </w:rPr>
            </w:pPr>
          </w:p>
          <w:p w14:paraId="52804316" w14:textId="77777777" w:rsidR="009713BF" w:rsidRPr="005E3D50" w:rsidRDefault="009713BF" w:rsidP="009713BF">
            <w:pPr>
              <w:rPr>
                <w:b/>
                <w:bCs/>
                <w:sz w:val="20"/>
                <w:szCs w:val="20"/>
                <w:lang w:val="es-ES"/>
              </w:rPr>
            </w:pPr>
            <w:r w:rsidRPr="005E3D50">
              <w:rPr>
                <w:b/>
                <w:sz w:val="20"/>
                <w:lang w:val="es-ES"/>
              </w:rPr>
              <w:t xml:space="preserve">La iniciativa Blue </w:t>
            </w:r>
            <w:proofErr w:type="spellStart"/>
            <w:r w:rsidRPr="005E3D50">
              <w:rPr>
                <w:b/>
                <w:sz w:val="20"/>
                <w:lang w:val="es-ES"/>
              </w:rPr>
              <w:t>BioTrade</w:t>
            </w:r>
            <w:proofErr w:type="spellEnd"/>
            <w:r w:rsidRPr="005E3D50">
              <w:rPr>
                <w:b/>
                <w:sz w:val="20"/>
                <w:lang w:val="es-ES"/>
              </w:rPr>
              <w:t xml:space="preserve"> de Granada: desarrollo de valor para el comercio y la producción sostenibles de la concha reina en el Caribe Oriental</w:t>
            </w:r>
          </w:p>
          <w:p w14:paraId="1D9A8DFE" w14:textId="77777777" w:rsidR="009713BF" w:rsidRPr="005E3D50" w:rsidRDefault="009713BF" w:rsidP="009713BF">
            <w:pPr>
              <w:rPr>
                <w:lang w:val="es-ES"/>
              </w:rPr>
            </w:pPr>
          </w:p>
          <w:p w14:paraId="4D460B6F" w14:textId="77777777" w:rsidR="009713BF" w:rsidRPr="005E3D50" w:rsidRDefault="009713BF" w:rsidP="009713BF">
            <w:pPr>
              <w:rPr>
                <w:sz w:val="20"/>
                <w:szCs w:val="20"/>
                <w:lang w:val="es-ES"/>
              </w:rPr>
            </w:pPr>
            <w:r w:rsidRPr="005E3D50">
              <w:rPr>
                <w:sz w:val="20"/>
                <w:lang w:val="es-ES"/>
              </w:rPr>
              <w:t xml:space="preserve">En Granada, la iniciativa Blue </w:t>
            </w:r>
            <w:proofErr w:type="spellStart"/>
            <w:r w:rsidRPr="005E3D50">
              <w:rPr>
                <w:sz w:val="20"/>
                <w:lang w:val="es-ES"/>
              </w:rPr>
              <w:t>BioTrade</w:t>
            </w:r>
            <w:proofErr w:type="spellEnd"/>
            <w:r w:rsidRPr="005E3D50">
              <w:rPr>
                <w:sz w:val="20"/>
                <w:lang w:val="es-ES"/>
              </w:rPr>
              <w:t>, ejecutada conjuntamente por la Conferencia de las Naciones Unidas sobre Comercio y Desarrollo, la CITES y la Organización de Estados del Caribe Oriental, ha impulsado la utilización sostenible de la biodiversidad marina, contribuyendo así directamente a la consecución de la meta 9. La concha reina (</w:t>
            </w:r>
            <w:proofErr w:type="spellStart"/>
            <w:r w:rsidRPr="005E3D50">
              <w:rPr>
                <w:i/>
                <w:sz w:val="20"/>
                <w:lang w:val="es-ES"/>
              </w:rPr>
              <w:t>Strombus</w:t>
            </w:r>
            <w:proofErr w:type="spellEnd"/>
            <w:r w:rsidRPr="005E3D50">
              <w:rPr>
                <w:i/>
                <w:sz w:val="20"/>
                <w:lang w:val="es-ES"/>
              </w:rPr>
              <w:t xml:space="preserve"> gigas</w:t>
            </w:r>
            <w:r w:rsidRPr="005E3D50">
              <w:rPr>
                <w:sz w:val="20"/>
                <w:lang w:val="es-ES"/>
              </w:rPr>
              <w:t xml:space="preserve">), una especie que en Granada es de importancia cultural y económica, está incluida en el Apéndice II de la CITES. Sin embargo, Granada había enfrentado suspensiones comerciales debido al incumplimiento de requisitos de la CITES en materia de gestión y presentación de informes. Ante esa situación, la iniciativa Blue </w:t>
            </w:r>
            <w:proofErr w:type="spellStart"/>
            <w:r w:rsidRPr="005E3D50">
              <w:rPr>
                <w:sz w:val="20"/>
                <w:lang w:val="es-ES"/>
              </w:rPr>
              <w:t>BioTrade</w:t>
            </w:r>
            <w:proofErr w:type="spellEnd"/>
            <w:r w:rsidRPr="005E3D50">
              <w:rPr>
                <w:sz w:val="20"/>
                <w:lang w:val="es-ES"/>
              </w:rPr>
              <w:t xml:space="preserve"> realizó una experiencia piloto de aplicación de la versión actualizada de los Principios y Criterios de </w:t>
            </w:r>
            <w:proofErr w:type="spellStart"/>
            <w:r w:rsidRPr="005E3D50">
              <w:rPr>
                <w:sz w:val="20"/>
                <w:lang w:val="es-ES"/>
              </w:rPr>
              <w:t>BioComercio</w:t>
            </w:r>
            <w:proofErr w:type="spellEnd"/>
            <w:r w:rsidRPr="005E3D50">
              <w:rPr>
                <w:sz w:val="20"/>
                <w:lang w:val="es-ES"/>
              </w:rPr>
              <w:t xml:space="preserve"> (2020) a la cadena de valor de la concha reina, con el objetivo de restablecer el comercio lícito, sostenible y trazable. Este proyecto prestó apoyo para evaluaciones de existencias, revisiones de reglamentaciones y creación de capacidad para autoridades de la industria de la pesca. También promovió la agregación de valor a través del procesamiento sostenible y la utilización de subproductos de concha, tales como artesanías y productos terapéuticos. Estas medidas ayudaron a Granada a evitar la imposición de nuevas suspensiones comerciales y sentaron las bases para mejorar el cumplimiento de los requisitos de la CITES. La combinación de la conservación de la diversidad biológica y la mejora de medios de vida de la iniciativa representa un ejemplo de cómo la cooperación en materia de comercio puede promover la utilización sostenible de especies silvestres. También resalta la importancia que revisten para la consecución de las metas de diversidad biológica el fortalecimiento institucional, la participación de los interesados y la colaboración regional.</w:t>
            </w:r>
          </w:p>
          <w:p w14:paraId="13318A14" w14:textId="77777777" w:rsidR="009713BF" w:rsidRPr="005E3D50" w:rsidRDefault="009713BF" w:rsidP="009713BF">
            <w:pPr>
              <w:rPr>
                <w:sz w:val="20"/>
                <w:szCs w:val="20"/>
                <w:lang w:val="es-ES"/>
              </w:rPr>
            </w:pPr>
          </w:p>
          <w:p w14:paraId="6E8AD231"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5, 9 y 10.</w:t>
            </w:r>
          </w:p>
          <w:p w14:paraId="5EAE9317" w14:textId="77777777" w:rsidR="009713BF" w:rsidRPr="005E3D50" w:rsidRDefault="009713BF" w:rsidP="009713BF">
            <w:pPr>
              <w:rPr>
                <w:i/>
                <w:iCs/>
                <w:sz w:val="20"/>
                <w:szCs w:val="20"/>
                <w:lang w:val="es-ES"/>
              </w:rPr>
            </w:pPr>
            <w:r w:rsidRPr="005E3D50">
              <w:rPr>
                <w:i/>
                <w:sz w:val="20"/>
                <w:lang w:val="es-ES"/>
              </w:rPr>
              <w:t xml:space="preserve">Fuente: </w:t>
            </w:r>
            <w:r w:rsidRPr="005E3D50">
              <w:rPr>
                <w:sz w:val="20"/>
                <w:lang w:val="es-ES"/>
              </w:rPr>
              <w:t>CITES, 2025a.</w:t>
            </w:r>
          </w:p>
          <w:p w14:paraId="6A4DCBC5" w14:textId="77777777" w:rsidR="009713BF" w:rsidRPr="005E3D50" w:rsidRDefault="009713BF" w:rsidP="009713BF">
            <w:pPr>
              <w:rPr>
                <w:lang w:val="es-ES"/>
              </w:rPr>
            </w:pPr>
          </w:p>
        </w:tc>
      </w:tr>
    </w:tbl>
    <w:p w14:paraId="20A7D545" w14:textId="77777777" w:rsidR="009713BF" w:rsidRPr="005E3D50" w:rsidRDefault="009713BF" w:rsidP="009713BF">
      <w:pPr>
        <w:rPr>
          <w:lang w:val="es-ES"/>
        </w:rPr>
      </w:pPr>
    </w:p>
    <w:p w14:paraId="61AD8E1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288" w:name="_Toc235821163"/>
      <w:r w:rsidRPr="005E3D50">
        <w:rPr>
          <w:rFonts w:eastAsiaTheme="majorEastAsia" w:cstheme="majorBidi"/>
          <w:i/>
          <w:iCs/>
          <w:color w:val="595959" w:themeColor="text1" w:themeTint="A6"/>
          <w:lang w:val="es-ES"/>
        </w:rPr>
        <w:t>Dificultades</w:t>
      </w:r>
      <w:bookmarkEnd w:id="288"/>
    </w:p>
    <w:p w14:paraId="5A30A98C" w14:textId="77777777" w:rsidR="009713BF" w:rsidRPr="005E3D50" w:rsidRDefault="009713BF" w:rsidP="009713BF">
      <w:pPr>
        <w:rPr>
          <w:lang w:val="es-ES"/>
        </w:rPr>
      </w:pPr>
    </w:p>
    <w:p w14:paraId="17E54B9C" w14:textId="77777777" w:rsidR="009713BF" w:rsidRPr="005E3D50" w:rsidRDefault="009713BF" w:rsidP="009713BF">
      <w:pPr>
        <w:rPr>
          <w:lang w:val="es-ES"/>
        </w:rPr>
      </w:pPr>
      <w:r w:rsidRPr="005E3D50">
        <w:rPr>
          <w:lang w:val="es-ES"/>
        </w:rPr>
        <w:t>Numerosas Partes señalan que la debilidad en los esfuerzos por hacer cumplir la normativa plantea una barrera para la consecución de la meta 9.</w:t>
      </w:r>
      <w:r w:rsidRPr="005E3D50">
        <w:rPr>
          <w:rFonts w:ascii="Aptos" w:hAnsi="Aptos"/>
          <w:lang w:val="es-ES"/>
        </w:rPr>
        <w:t xml:space="preserve"> Muchas informan que existen leyes y reglamentaciones en papel pero que falla su aplicación en la práctica, debido a la escasa capacidad institucional, la falta de personal y la fragmentación de competencias entre distintos organismos.</w:t>
      </w:r>
      <w:r w:rsidRPr="005E3D50">
        <w:rPr>
          <w:lang w:val="es-ES"/>
        </w:rPr>
        <w:t xml:space="preserve"> Entre otras dificultades se señalaron también la financiación insuficiente y la limitación de datos sobre especies silvestres que puedan usarse como insumo para programas de gestión sostenible.</w:t>
      </w:r>
      <w:r w:rsidRPr="005E3D50">
        <w:rPr>
          <w:rFonts w:ascii="Aptos" w:hAnsi="Aptos"/>
          <w:lang w:val="es-ES"/>
        </w:rPr>
        <w:t xml:space="preserve"> La mayoría de las Partes carecen de valores de referencia confiables sobre poblaciones de especies, niveles de explotación y umbrales ecológicos.</w:t>
      </w:r>
      <w:r w:rsidRPr="005E3D50">
        <w:rPr>
          <w:lang w:val="es-ES"/>
        </w:rPr>
        <w:t xml:space="preserve"> </w:t>
      </w:r>
      <w:r w:rsidRPr="005E3D50">
        <w:rPr>
          <w:rFonts w:ascii="Aptos" w:hAnsi="Aptos"/>
          <w:lang w:val="es-ES"/>
        </w:rPr>
        <w:t>Hay Partes que también comunican la ausencia de sistemas metódicos de seguimiento que evalúen la sostenibilidad y midan los beneficios socioeconómicos de la utilización de especies silvestres.</w:t>
      </w:r>
      <w:r w:rsidRPr="005E3D50">
        <w:rPr>
          <w:lang w:val="es-ES"/>
        </w:rPr>
        <w:t xml:space="preserve"> Algunas Partes asimismo subrayan que los limitados progresos en términos de participación en los beneficios por parte de pueblos indígenas y comunidades locales suponen una barrera para la gestión y utilización sostenibles de especies silvestres.</w:t>
      </w:r>
      <w:r w:rsidRPr="005E3D50">
        <w:rPr>
          <w:rFonts w:ascii="Aptos" w:hAnsi="Aptos"/>
          <w:lang w:val="es-ES"/>
        </w:rPr>
        <w:t xml:space="preserve"> Unas pocas Partes agregan que la pérdida de conocimientos tradicionales debido a una falta de transferencia intergeneracional, documentación deficiente y escasa integración en marcos formales de gobernanza es una </w:t>
      </w:r>
      <w:r w:rsidRPr="005E3D50">
        <w:rPr>
          <w:rFonts w:ascii="Aptos" w:hAnsi="Aptos"/>
          <w:lang w:val="es-ES"/>
        </w:rPr>
        <w:lastRenderedPageBreak/>
        <w:t>dificultad adicional.</w:t>
      </w:r>
      <w:r w:rsidRPr="005E3D50">
        <w:rPr>
          <w:lang w:val="es-ES"/>
        </w:rPr>
        <w:t xml:space="preserve"> En algunos informes nacionales también se subraya que la persistencia de subsidios perjudiciales para la diversidad biológica sigue planteando un desafío que dificulta la promoción de la gestión y la utilización sostenibles.</w:t>
      </w:r>
    </w:p>
    <w:p w14:paraId="52925ACA" w14:textId="77777777" w:rsidR="009713BF" w:rsidRPr="005E3D50" w:rsidRDefault="009713BF" w:rsidP="009713BF">
      <w:pPr>
        <w:rPr>
          <w:lang w:val="es-ES"/>
        </w:rPr>
      </w:pPr>
    </w:p>
    <w:p w14:paraId="53B1DD4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289" w:name="_Toc235821164"/>
      <w:r w:rsidRPr="005E3D50">
        <w:rPr>
          <w:rFonts w:eastAsiaTheme="majorEastAsia" w:cstheme="majorBidi"/>
          <w:color w:val="0F4761" w:themeColor="accent1" w:themeShade="BF"/>
          <w:lang w:val="es-ES"/>
        </w:rPr>
        <w:t>Contribuciones de actores distintos de los Gobiernos nacionales</w:t>
      </w:r>
      <w:bookmarkEnd w:id="289"/>
    </w:p>
    <w:p w14:paraId="6983148E" w14:textId="77777777" w:rsidR="009713BF" w:rsidRPr="005E3D50" w:rsidRDefault="009713BF" w:rsidP="009713BF">
      <w:pPr>
        <w:rPr>
          <w:lang w:val="es-ES"/>
        </w:rPr>
      </w:pPr>
    </w:p>
    <w:p w14:paraId="64B8800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290" w:name="_Toc235821165"/>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290"/>
    </w:p>
    <w:p w14:paraId="15144A5D" w14:textId="77777777" w:rsidR="009713BF" w:rsidRPr="005E3D50" w:rsidRDefault="009713BF" w:rsidP="009713BF">
      <w:pPr>
        <w:rPr>
          <w:lang w:val="es-ES"/>
        </w:rPr>
      </w:pPr>
    </w:p>
    <w:p w14:paraId="46757FA4" w14:textId="77777777" w:rsidR="009713BF" w:rsidRPr="005E3D50" w:rsidRDefault="009713BF" w:rsidP="009713BF">
      <w:pPr>
        <w:rPr>
          <w:lang w:val="es-ES"/>
        </w:rPr>
      </w:pPr>
      <w:bookmarkStart w:id="291" w:name="_Toc235821166"/>
      <w:r w:rsidRPr="005E3D50">
        <w:rPr>
          <w:lang w:val="es-ES"/>
        </w:rPr>
        <w:t>De los 180 compromisos sustantivos presentados por actores que no son Gobiernos nacionales, solo 1 tiene que ver principalmente con la meta 9. Ese compromiso fue presentado por Danish 92 Group, una red de la sociedad civil conformada por una amplia gama de ONG con sede en Dinamarca que trabajan en muchos países del mundo. El compromiso abarca contribuciones de múltiples integrantes de la red e incluye la promoción de actividades sostenibles de pesca y de explotación maderera y no maderera de productos forestales en Dinamarca, Madagascar, Uganda y Groenlandia, así como la documentación de prácticas de utilización consuetudinaria sostenible de pueblos indígenas de 31 países.</w:t>
      </w:r>
    </w:p>
    <w:p w14:paraId="24AE96B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58D89FA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Contribuciones integradas en los informes nacionales</w:t>
      </w:r>
      <w:bookmarkEnd w:id="291"/>
    </w:p>
    <w:p w14:paraId="0972AEB4" w14:textId="77777777" w:rsidR="009713BF" w:rsidRPr="005E3D50" w:rsidRDefault="009713BF" w:rsidP="009713BF">
      <w:pPr>
        <w:rPr>
          <w:lang w:val="es-ES"/>
        </w:rPr>
      </w:pPr>
    </w:p>
    <w:p w14:paraId="0FA4F6BA" w14:textId="77777777" w:rsidR="009713BF" w:rsidRPr="005E3D50" w:rsidRDefault="009713BF" w:rsidP="009713BF">
      <w:pPr>
        <w:rPr>
          <w:lang w:val="es-ES"/>
        </w:rPr>
      </w:pPr>
      <w:r w:rsidRPr="005E3D50">
        <w:rPr>
          <w:lang w:val="es-ES"/>
        </w:rPr>
        <w:t xml:space="preserve">Muchas Partes señalan que actores sectoriales tales como pescadores, cazadores, recolectores de productos forestales no madereros y criadores de fauna silvestre contribuyen a la consecución de la meta 9. Los enfoques nacionales adoptados para la explotación sostenible de especies silvestres suelen requerir la colaboración de estos grupos en funciones de gestión conjunta, explotación regulada y participación en la cadena de valor, entre otras. Los pueblos indígenas y las comunidades locales suelen contribuir a la implementación a través de consejos de recursos comunitarios, sistemas consuetudinarios de gobernanza y acuerdos formales de gestión conjunta. La contribución de la comunidad científica, actores sectoriales, ONG y ciudadanos se da a través de funciones de seguimiento y aportación de conocimientos necesarios para la meta 9, por ejemplo, mediante evaluaciones de existencias, mediciones o inventarios de especies objetivo. </w:t>
      </w:r>
    </w:p>
    <w:p w14:paraId="4699EE0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 xml:space="preserve"> </w:t>
      </w:r>
    </w:p>
    <w:p w14:paraId="1A4E303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292" w:name="_Toc235821167"/>
      <w:r w:rsidRPr="005E3D50">
        <w:rPr>
          <w:rFonts w:eastAsiaTheme="majorEastAsia" w:cstheme="majorBidi"/>
          <w:color w:val="0F4761" w:themeColor="accent1" w:themeShade="BF"/>
          <w:lang w:val="es-ES"/>
        </w:rPr>
        <w:t>Ejemplos de vínculos con otros acuerdos, procesos y organizaciones</w:t>
      </w:r>
      <w:bookmarkEnd w:id="292"/>
    </w:p>
    <w:p w14:paraId="449C1FAB" w14:textId="77777777" w:rsidR="009713BF" w:rsidRPr="005E3D50" w:rsidRDefault="009713BF" w:rsidP="009713BF">
      <w:pPr>
        <w:rPr>
          <w:lang w:val="es-ES"/>
        </w:rPr>
      </w:pPr>
    </w:p>
    <w:p w14:paraId="3477C8BA" w14:textId="77777777" w:rsidR="009713BF" w:rsidRPr="005E3D50" w:rsidRDefault="009713BF" w:rsidP="009713BF">
      <w:pPr>
        <w:rPr>
          <w:lang w:val="es-ES"/>
        </w:rPr>
      </w:pPr>
      <w:r w:rsidRPr="005E3D50">
        <w:rPr>
          <w:lang w:val="es-ES"/>
        </w:rPr>
        <w:t xml:space="preserve">La CITES introdujo una serie de estudios de casos sobre medios de subsistencia, titulada “CITES &amp; </w:t>
      </w:r>
      <w:proofErr w:type="spellStart"/>
      <w:r w:rsidRPr="005E3D50">
        <w:rPr>
          <w:lang w:val="es-ES"/>
        </w:rPr>
        <w:t>Livelihoods</w:t>
      </w:r>
      <w:proofErr w:type="spellEnd"/>
      <w:r w:rsidRPr="005E3D50">
        <w:rPr>
          <w:lang w:val="es-ES"/>
        </w:rPr>
        <w:t>”, con el propósito de demostrar que el comercio de fauna y flora silvestres bien regulado puede apoyar la utilización sostenible de especies silvestres, a la vez que mejora el bienestar de los pueblos indígenas y las comunidades locales, contribuyendo así directamente a la meta 9</w:t>
      </w:r>
      <w:r w:rsidRPr="005E3D50">
        <w:rPr>
          <w:vertAlign w:val="superscript"/>
          <w:lang w:val="es-ES"/>
        </w:rPr>
        <w:footnoteReference w:id="28"/>
      </w:r>
      <w:r w:rsidRPr="005E3D50">
        <w:rPr>
          <w:lang w:val="es-ES"/>
        </w:rPr>
        <w:t>. A través de estudios de casos de diversas regiones, la serie brinda ejemplos de gestión sostenible de fauna y flora silvestres que genera ingresos, empleo e inversiones sociales, incentiva la conservación, reduce la caza furtiva y promueve la utilización sostenible (véase el recuadro 29) (CITES, 2025a). Por otra parte, la iniciativa sobre diversidad biológica para la alimentación y la nutrición implementada por el Convenio (</w:t>
      </w:r>
      <w:proofErr w:type="spellStart"/>
      <w:r w:rsidRPr="005E3D50">
        <w:rPr>
          <w:lang w:val="es-ES"/>
        </w:rPr>
        <w:t>dec</w:t>
      </w:r>
      <w:proofErr w:type="spellEnd"/>
      <w:r w:rsidRPr="005E3D50">
        <w:rPr>
          <w:lang w:val="es-ES"/>
        </w:rPr>
        <w:t>. VIII/23 en CDB, 2006b), en asociación con la FAO (FAO, 2021), destaca el rol de apoyo al bienestar humano y las opciones de medios de vida que cumple la diversidad biológica, incluidas las especies silvestres. En aquellos casos en los que aún no se dispone de conjuntos completos de datos, esta iniciativa puede servir para ayudar a las Partes en la presentación de información referida a metas específicas.</w:t>
      </w:r>
    </w:p>
    <w:p w14:paraId="725C46BB" w14:textId="77777777" w:rsidR="009713BF" w:rsidRPr="005E3D50" w:rsidRDefault="009713BF" w:rsidP="009713BF">
      <w:pPr>
        <w:rPr>
          <w:lang w:val="es-ES"/>
        </w:rPr>
      </w:pPr>
    </w:p>
    <w:p w14:paraId="591278DB" w14:textId="77777777" w:rsidR="009713BF" w:rsidRPr="005E3D50" w:rsidRDefault="009713BF" w:rsidP="009713BF">
      <w:pPr>
        <w:keepNext/>
        <w:keepLines/>
        <w:spacing w:before="80" w:after="40"/>
        <w:outlineLvl w:val="3"/>
        <w:rPr>
          <w:rFonts w:eastAsiaTheme="majorEastAsia" w:cstheme="majorBidi"/>
          <w:iCs/>
          <w:color w:val="0F4761" w:themeColor="accent1" w:themeShade="BF"/>
          <w:lang w:val="es-ES"/>
        </w:rPr>
      </w:pPr>
      <w:bookmarkStart w:id="293" w:name="_Toc235821168"/>
      <w:bookmarkStart w:id="294" w:name="_Toc239069205"/>
      <w:bookmarkStart w:id="295" w:name="_Toc1200715226"/>
      <w:bookmarkStart w:id="296" w:name="_Toc242882983"/>
      <w:r w:rsidRPr="005E3D50">
        <w:rPr>
          <w:rFonts w:eastAsiaTheme="majorEastAsia" w:cstheme="majorBidi"/>
          <w:b/>
          <w:iCs/>
          <w:color w:val="0F4761" w:themeColor="accent1" w:themeShade="BF"/>
          <w:lang w:val="es-ES"/>
        </w:rPr>
        <w:t>Meta 10.</w:t>
      </w:r>
      <w:r w:rsidRPr="005E3D50">
        <w:rPr>
          <w:rFonts w:eastAsiaTheme="majorEastAsia" w:cstheme="majorBidi"/>
          <w:iCs/>
          <w:color w:val="0F4761" w:themeColor="accent1" w:themeShade="BF"/>
          <w:lang w:val="es-ES"/>
        </w:rPr>
        <w:t xml:space="preserve"> Mejorar la biodiversidad y la sostenibilidad en la agricultura, la acuicultura, la pesca y la silvicultura</w:t>
      </w:r>
      <w:bookmarkEnd w:id="293"/>
      <w:bookmarkEnd w:id="294"/>
      <w:bookmarkEnd w:id="295"/>
      <w:bookmarkEnd w:id="296"/>
    </w:p>
    <w:p w14:paraId="34B34C64" w14:textId="77777777" w:rsidR="009713BF" w:rsidRPr="005E3D50" w:rsidRDefault="009713BF" w:rsidP="009713BF">
      <w:pPr>
        <w:rPr>
          <w:lang w:val="es-ES"/>
        </w:rPr>
      </w:pPr>
    </w:p>
    <w:p w14:paraId="5D866235" w14:textId="77777777" w:rsidR="009713BF" w:rsidRPr="005E3D50" w:rsidRDefault="009713BF" w:rsidP="009713BF">
      <w:pPr>
        <w:rPr>
          <w:lang w:val="es-ES"/>
        </w:rPr>
      </w:pPr>
      <w:r w:rsidRPr="005E3D50">
        <w:rPr>
          <w:b/>
          <w:sz w:val="22"/>
          <w:lang w:val="es-ES"/>
        </w:rPr>
        <w:t>Texto de la meta.</w:t>
      </w:r>
      <w:r w:rsidRPr="005E3D50">
        <w:rPr>
          <w:i/>
          <w:sz w:val="22"/>
          <w:lang w:val="es-ES"/>
        </w:rPr>
        <w:t xml:space="preserve"> 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077268D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297" w:name="_Toc235821169"/>
    </w:p>
    <w:bookmarkEnd w:id="297"/>
    <w:p w14:paraId="4B2CD4E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36CA3D9F" w14:textId="77777777" w:rsidTr="006E6831">
        <w:tc>
          <w:tcPr>
            <w:tcW w:w="9016" w:type="dxa"/>
            <w:shd w:val="clear" w:color="auto" w:fill="D1D1D1" w:themeFill="background2" w:themeFillShade="E6"/>
          </w:tcPr>
          <w:p w14:paraId="11F15341" w14:textId="77777777" w:rsidR="009713BF" w:rsidRPr="005E3D50" w:rsidRDefault="009713BF" w:rsidP="009713BF">
            <w:pPr>
              <w:rPr>
                <w:rFonts w:ascii="Aptos" w:eastAsia="Times New Roman" w:hAnsi="Aptos" w:cs="Calibri"/>
                <w:color w:val="000000"/>
                <w:lang w:val="es-ES"/>
              </w:rPr>
            </w:pPr>
            <w:bookmarkStart w:id="298" w:name="_Toc230654721"/>
          </w:p>
          <w:bookmarkEnd w:id="298"/>
          <w:p w14:paraId="72139F34"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lastRenderedPageBreak/>
              <w:t>Los progresos colectivos siguen siendo desiguales entre los distintos sectores productivos, aunque se observan tendencias positivas recientes en algunas esferas. En general, en las metas nacionales presentadas por las Partes hay una buena cobertura de todo el alcance de la meta 10. Se observan claramente mejoras recientes en las tendencias de los indicadores cuantitativos de la meta 10, lo que sugiere que ha habido progresos en el fortalecimiento de la sostenibilidad de la agricultura y la silvicultura. No obstante, en sus autoevaluaciones las Partes reconocen que en más de la mitad de las metas nacionales relacionadas con la meta 10 los progresos logrados hasta el momento indican que no se estaría en vías de alcanzar la meta. Con respecto a la acuicultura sostenible, no es posible realizar una evaluación. Persisten importantes dificultades para aumentar el empleo de prácticas favorables a la diversidad biológica, salvaguardando al mismo tiempo la seguridad alimentaria, los medios de vida y el desarrollo sostenible. En particular, la ausencia de incentivos y la persistencia de subsidios perjudiciales, la falta de rigurosidad en la aplicación, la escasa capacidad de las comunidades locales y el aumento de las presiones externas, entre ellas el cambio climático, continúan obstaculizando los progresos.</w:t>
            </w:r>
          </w:p>
          <w:p w14:paraId="75CF8FBD" w14:textId="77777777" w:rsidR="009713BF" w:rsidRPr="005E3D50" w:rsidRDefault="009713BF" w:rsidP="009713BF">
            <w:pPr>
              <w:rPr>
                <w:lang w:val="es-ES"/>
              </w:rPr>
            </w:pPr>
          </w:p>
        </w:tc>
      </w:tr>
    </w:tbl>
    <w:p w14:paraId="07AACF43" w14:textId="77777777" w:rsidR="009713BF" w:rsidRPr="005E3D50" w:rsidRDefault="009713BF" w:rsidP="009713BF">
      <w:pPr>
        <w:rPr>
          <w:lang w:val="es-ES"/>
        </w:rPr>
      </w:pPr>
    </w:p>
    <w:p w14:paraId="3EDDF04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10 del Marco en sus metas nacionales</w:t>
      </w:r>
    </w:p>
    <w:p w14:paraId="63583480" w14:textId="77777777" w:rsidR="009713BF" w:rsidRPr="005E3D50" w:rsidRDefault="009713BF" w:rsidP="009713BF">
      <w:pPr>
        <w:rPr>
          <w:i/>
          <w:iCs/>
          <w:sz w:val="22"/>
          <w:szCs w:val="22"/>
          <w:lang w:val="es-ES"/>
        </w:rPr>
      </w:pPr>
    </w:p>
    <w:p w14:paraId="49E308BD"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bookmarkStart w:id="299" w:name="_Ref230719989"/>
      <w:bookmarkStart w:id="300" w:name="_Ref230719955"/>
      <w:r w:rsidRPr="005E3D50">
        <w:rPr>
          <w:rFonts w:eastAsiaTheme="minorEastAsia"/>
          <w:iCs/>
          <w:color w:val="0E2841" w:themeColor="text2"/>
          <w:kern w:val="0"/>
          <w:sz w:val="20"/>
          <w:szCs w:val="18"/>
          <w:lang w:val="es-ES" w:eastAsia="ja-JP"/>
          <w14:ligatures w14:val="none"/>
        </w:rPr>
        <w:t>Cuadro 22</w:t>
      </w:r>
      <w:bookmarkEnd w:id="299"/>
      <w:r w:rsidRPr="005E3D50">
        <w:rPr>
          <w:rFonts w:eastAsiaTheme="minorEastAsia"/>
          <w:iCs/>
          <w:color w:val="0E2841" w:themeColor="text2"/>
          <w:kern w:val="0"/>
          <w:sz w:val="20"/>
          <w:szCs w:val="18"/>
          <w:lang w:val="es-ES" w:eastAsia="ja-JP"/>
          <w14:ligatures w14:val="none"/>
        </w:rPr>
        <w:t xml:space="preserve"> </w:t>
      </w:r>
      <w:bookmarkEnd w:id="300"/>
    </w:p>
    <w:p w14:paraId="25D30644"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10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p w14:paraId="2BA41CBF" w14:textId="77777777" w:rsidR="009713BF" w:rsidRPr="005E3D50" w:rsidRDefault="009713BF" w:rsidP="009713BF">
      <w:pPr>
        <w:rPr>
          <w:lang w:val="es-ES" w:eastAsia="ja-JP"/>
        </w:rPr>
      </w:pPr>
    </w:p>
    <w:tbl>
      <w:tblPr>
        <w:tblStyle w:val="TableGrid"/>
        <w:tblW w:w="0" w:type="auto"/>
        <w:tblLook w:val="04A0" w:firstRow="1" w:lastRow="0" w:firstColumn="1" w:lastColumn="0" w:noHBand="0" w:noVBand="1"/>
      </w:tblPr>
      <w:tblGrid>
        <w:gridCol w:w="8359"/>
        <w:gridCol w:w="657"/>
      </w:tblGrid>
      <w:tr w:rsidR="009713BF" w:rsidRPr="005E3D50" w14:paraId="17EE475C" w14:textId="77777777" w:rsidTr="006E6831">
        <w:tc>
          <w:tcPr>
            <w:tcW w:w="8359" w:type="dxa"/>
          </w:tcPr>
          <w:p w14:paraId="51EF8E26" w14:textId="77777777" w:rsidR="009713BF" w:rsidRPr="005E3D50" w:rsidRDefault="009713BF" w:rsidP="009713BF">
            <w:pPr>
              <w:rPr>
                <w:sz w:val="20"/>
                <w:szCs w:val="20"/>
                <w:lang w:val="es-ES"/>
              </w:rPr>
            </w:pPr>
            <w:r w:rsidRPr="005E3D50">
              <w:rPr>
                <w:sz w:val="20"/>
                <w:lang w:val="es-ES"/>
              </w:rPr>
              <w:t>Garantizar que las superficies dedicadas a la agricultura estén gestionadas de manera sostenible</w:t>
            </w:r>
          </w:p>
          <w:p w14:paraId="6E2D1B92" w14:textId="77777777" w:rsidR="009713BF" w:rsidRPr="005E3D50" w:rsidRDefault="009713BF" w:rsidP="009713BF">
            <w:pPr>
              <w:rPr>
                <w:sz w:val="20"/>
                <w:szCs w:val="20"/>
                <w:lang w:val="es-ES"/>
              </w:rPr>
            </w:pPr>
          </w:p>
        </w:tc>
        <w:tc>
          <w:tcPr>
            <w:tcW w:w="657" w:type="dxa"/>
            <w:shd w:val="clear" w:color="auto" w:fill="00B050"/>
          </w:tcPr>
          <w:p w14:paraId="5387B316" w14:textId="77777777" w:rsidR="009713BF" w:rsidRPr="005E3D50" w:rsidRDefault="009713BF" w:rsidP="009713BF">
            <w:pPr>
              <w:rPr>
                <w:sz w:val="20"/>
                <w:szCs w:val="20"/>
                <w:lang w:val="es-ES"/>
              </w:rPr>
            </w:pPr>
            <w:r w:rsidRPr="005E3D50">
              <w:rPr>
                <w:sz w:val="20"/>
                <w:lang w:val="es-ES"/>
              </w:rPr>
              <w:t>82</w:t>
            </w:r>
          </w:p>
        </w:tc>
      </w:tr>
      <w:tr w:rsidR="009713BF" w:rsidRPr="005E3D50" w14:paraId="255A6C38" w14:textId="77777777" w:rsidTr="006E6831">
        <w:tc>
          <w:tcPr>
            <w:tcW w:w="8359" w:type="dxa"/>
          </w:tcPr>
          <w:p w14:paraId="2B344B45" w14:textId="77777777" w:rsidR="009713BF" w:rsidRPr="005E3D50" w:rsidRDefault="009713BF" w:rsidP="009713BF">
            <w:pPr>
              <w:rPr>
                <w:sz w:val="20"/>
                <w:szCs w:val="20"/>
                <w:lang w:val="es-ES"/>
              </w:rPr>
            </w:pPr>
            <w:r w:rsidRPr="005E3D50">
              <w:rPr>
                <w:sz w:val="20"/>
                <w:lang w:val="es-ES"/>
              </w:rPr>
              <w:t>Garantizar que las superficies dedicadas a la acuicultura estén gestionadas de manera sostenible</w:t>
            </w:r>
          </w:p>
          <w:p w14:paraId="10386E69" w14:textId="77777777" w:rsidR="009713BF" w:rsidRPr="005E3D50" w:rsidRDefault="009713BF" w:rsidP="009713BF">
            <w:pPr>
              <w:rPr>
                <w:sz w:val="20"/>
                <w:szCs w:val="20"/>
                <w:lang w:val="es-ES"/>
              </w:rPr>
            </w:pPr>
          </w:p>
        </w:tc>
        <w:tc>
          <w:tcPr>
            <w:tcW w:w="657" w:type="dxa"/>
            <w:shd w:val="clear" w:color="auto" w:fill="FFFF00"/>
          </w:tcPr>
          <w:p w14:paraId="5FF06B8A" w14:textId="77777777" w:rsidR="009713BF" w:rsidRPr="005E3D50" w:rsidRDefault="009713BF" w:rsidP="009713BF">
            <w:pPr>
              <w:rPr>
                <w:sz w:val="20"/>
                <w:szCs w:val="20"/>
                <w:lang w:val="es-ES"/>
              </w:rPr>
            </w:pPr>
            <w:r w:rsidRPr="005E3D50">
              <w:rPr>
                <w:sz w:val="20"/>
                <w:lang w:val="es-ES"/>
              </w:rPr>
              <w:t>52</w:t>
            </w:r>
          </w:p>
        </w:tc>
      </w:tr>
      <w:tr w:rsidR="009713BF" w:rsidRPr="005E3D50" w14:paraId="022B72D1" w14:textId="77777777" w:rsidTr="006E6831">
        <w:tc>
          <w:tcPr>
            <w:tcW w:w="8359" w:type="dxa"/>
          </w:tcPr>
          <w:p w14:paraId="18F66714" w14:textId="77777777" w:rsidR="009713BF" w:rsidRPr="005E3D50" w:rsidRDefault="009713BF" w:rsidP="009713BF">
            <w:pPr>
              <w:rPr>
                <w:sz w:val="20"/>
                <w:szCs w:val="20"/>
                <w:lang w:val="es-ES"/>
              </w:rPr>
            </w:pPr>
            <w:r w:rsidRPr="005E3D50">
              <w:rPr>
                <w:sz w:val="20"/>
                <w:lang w:val="es-ES"/>
              </w:rPr>
              <w:t>Garantizar que las superficies dedicadas a la pesca estén gestionadas de manera sostenible</w:t>
            </w:r>
          </w:p>
          <w:p w14:paraId="3FDD2FB9" w14:textId="77777777" w:rsidR="009713BF" w:rsidRPr="005E3D50" w:rsidRDefault="009713BF" w:rsidP="009713BF">
            <w:pPr>
              <w:rPr>
                <w:sz w:val="20"/>
                <w:szCs w:val="20"/>
                <w:lang w:val="es-ES"/>
              </w:rPr>
            </w:pPr>
          </w:p>
        </w:tc>
        <w:tc>
          <w:tcPr>
            <w:tcW w:w="657" w:type="dxa"/>
            <w:shd w:val="clear" w:color="auto" w:fill="92D050"/>
          </w:tcPr>
          <w:p w14:paraId="237CB4A9" w14:textId="77777777" w:rsidR="009713BF" w:rsidRPr="005E3D50" w:rsidRDefault="009713BF" w:rsidP="009713BF">
            <w:pPr>
              <w:rPr>
                <w:sz w:val="20"/>
                <w:szCs w:val="20"/>
                <w:lang w:val="es-ES"/>
              </w:rPr>
            </w:pPr>
            <w:r w:rsidRPr="005E3D50">
              <w:rPr>
                <w:sz w:val="20"/>
                <w:lang w:val="es-ES"/>
              </w:rPr>
              <w:t>70</w:t>
            </w:r>
          </w:p>
        </w:tc>
      </w:tr>
      <w:tr w:rsidR="009713BF" w:rsidRPr="005E3D50" w14:paraId="5331ED2B" w14:textId="77777777" w:rsidTr="006E6831">
        <w:tc>
          <w:tcPr>
            <w:tcW w:w="8359" w:type="dxa"/>
          </w:tcPr>
          <w:p w14:paraId="57E070F9" w14:textId="77777777" w:rsidR="009713BF" w:rsidRPr="005E3D50" w:rsidRDefault="009713BF" w:rsidP="009713BF">
            <w:pPr>
              <w:rPr>
                <w:sz w:val="20"/>
                <w:szCs w:val="20"/>
                <w:lang w:val="es-ES"/>
              </w:rPr>
            </w:pPr>
            <w:r w:rsidRPr="005E3D50">
              <w:rPr>
                <w:sz w:val="20"/>
                <w:lang w:val="es-ES"/>
              </w:rPr>
              <w:t>Garantizar que las superficies dedicadas a la silvicultura estén gestionadas de manera sostenible</w:t>
            </w:r>
          </w:p>
          <w:p w14:paraId="585AF160" w14:textId="77777777" w:rsidR="009713BF" w:rsidRPr="005E3D50" w:rsidRDefault="009713BF" w:rsidP="009713BF">
            <w:pPr>
              <w:rPr>
                <w:sz w:val="20"/>
                <w:szCs w:val="20"/>
                <w:lang w:val="es-ES"/>
              </w:rPr>
            </w:pPr>
          </w:p>
        </w:tc>
        <w:tc>
          <w:tcPr>
            <w:tcW w:w="657" w:type="dxa"/>
            <w:shd w:val="clear" w:color="auto" w:fill="92D050"/>
          </w:tcPr>
          <w:p w14:paraId="33EAD674" w14:textId="77777777" w:rsidR="009713BF" w:rsidRPr="005E3D50" w:rsidRDefault="009713BF" w:rsidP="009713BF">
            <w:pPr>
              <w:rPr>
                <w:sz w:val="20"/>
                <w:szCs w:val="20"/>
                <w:lang w:val="es-ES"/>
              </w:rPr>
            </w:pPr>
            <w:r w:rsidRPr="005E3D50">
              <w:rPr>
                <w:sz w:val="20"/>
                <w:lang w:val="es-ES"/>
              </w:rPr>
              <w:t>72</w:t>
            </w:r>
          </w:p>
        </w:tc>
      </w:tr>
      <w:tr w:rsidR="009713BF" w:rsidRPr="005E3D50" w14:paraId="1B5AA2D5" w14:textId="77777777" w:rsidTr="006E6831">
        <w:tc>
          <w:tcPr>
            <w:tcW w:w="8359" w:type="dxa"/>
          </w:tcPr>
          <w:p w14:paraId="3D6459F8" w14:textId="77777777" w:rsidR="009713BF" w:rsidRPr="005E3D50" w:rsidRDefault="009713BF" w:rsidP="009713BF">
            <w:pPr>
              <w:rPr>
                <w:sz w:val="20"/>
                <w:szCs w:val="20"/>
                <w:lang w:val="es-ES"/>
              </w:rPr>
            </w:pPr>
            <w:r w:rsidRPr="005E3D50">
              <w:rPr>
                <w:sz w:val="20"/>
                <w:lang w:val="es-ES"/>
              </w:rPr>
              <w:t>Garantizar un aumento sustancial del empleo de prácticas favorables a la diversidad biológica, tales como enfoques de intensificación sostenible, enfoques agroecológicos y otros enfoques innovadores</w:t>
            </w:r>
          </w:p>
        </w:tc>
        <w:tc>
          <w:tcPr>
            <w:tcW w:w="657" w:type="dxa"/>
            <w:shd w:val="clear" w:color="auto" w:fill="92D050"/>
          </w:tcPr>
          <w:p w14:paraId="4DDC66A5" w14:textId="77777777" w:rsidR="009713BF" w:rsidRPr="005E3D50" w:rsidRDefault="009713BF" w:rsidP="009713BF">
            <w:pPr>
              <w:rPr>
                <w:sz w:val="20"/>
                <w:szCs w:val="20"/>
                <w:lang w:val="es-ES"/>
              </w:rPr>
            </w:pPr>
            <w:r w:rsidRPr="005E3D50">
              <w:rPr>
                <w:sz w:val="20"/>
                <w:lang w:val="es-ES"/>
              </w:rPr>
              <w:t>61</w:t>
            </w:r>
          </w:p>
        </w:tc>
      </w:tr>
      <w:tr w:rsidR="009713BF" w:rsidRPr="005E3D50" w14:paraId="135B076C" w14:textId="77777777" w:rsidTr="006E6831">
        <w:tc>
          <w:tcPr>
            <w:tcW w:w="8359" w:type="dxa"/>
          </w:tcPr>
          <w:p w14:paraId="7F258584" w14:textId="77777777" w:rsidR="009713BF" w:rsidRPr="005E3D50" w:rsidRDefault="009713BF" w:rsidP="009713BF">
            <w:pPr>
              <w:rPr>
                <w:sz w:val="20"/>
                <w:szCs w:val="20"/>
                <w:lang w:val="es-ES"/>
              </w:rPr>
            </w:pPr>
            <w:r w:rsidRPr="005E3D50">
              <w:rPr>
                <w:sz w:val="20"/>
                <w:lang w:val="es-ES"/>
              </w:rPr>
              <w:t>Garantizar que la gestión sostenible de sectores productivos contribuya a la resiliencia y a la eficiencia y productividad a largo plazo de estos sistemas de producción</w:t>
            </w:r>
          </w:p>
        </w:tc>
        <w:tc>
          <w:tcPr>
            <w:tcW w:w="657" w:type="dxa"/>
            <w:shd w:val="clear" w:color="auto" w:fill="FFFF00"/>
          </w:tcPr>
          <w:p w14:paraId="5D80055F" w14:textId="77777777" w:rsidR="009713BF" w:rsidRPr="005E3D50" w:rsidRDefault="009713BF" w:rsidP="009713BF">
            <w:pPr>
              <w:rPr>
                <w:sz w:val="20"/>
                <w:szCs w:val="20"/>
                <w:lang w:val="es-ES"/>
              </w:rPr>
            </w:pPr>
            <w:r w:rsidRPr="005E3D50">
              <w:rPr>
                <w:sz w:val="20"/>
                <w:lang w:val="es-ES"/>
              </w:rPr>
              <w:t>51</w:t>
            </w:r>
          </w:p>
        </w:tc>
      </w:tr>
      <w:tr w:rsidR="009713BF" w:rsidRPr="005E3D50" w14:paraId="1DC8771B" w14:textId="77777777" w:rsidTr="006E6831">
        <w:tc>
          <w:tcPr>
            <w:tcW w:w="8359" w:type="dxa"/>
          </w:tcPr>
          <w:p w14:paraId="60E0ADBD" w14:textId="21591FD5" w:rsidR="009713BF" w:rsidRPr="005E3D50" w:rsidRDefault="009713BF" w:rsidP="009713BF">
            <w:pPr>
              <w:rPr>
                <w:sz w:val="20"/>
                <w:szCs w:val="20"/>
                <w:lang w:val="es-ES"/>
              </w:rPr>
            </w:pPr>
            <w:r w:rsidRPr="005E3D50">
              <w:rPr>
                <w:sz w:val="20"/>
                <w:lang w:val="es-ES"/>
              </w:rPr>
              <w:t>Garantizar que la gestión sostenible de sectores productivos contribuya a la seguridad alimentaria</w:t>
            </w:r>
          </w:p>
        </w:tc>
        <w:tc>
          <w:tcPr>
            <w:tcW w:w="657" w:type="dxa"/>
            <w:shd w:val="clear" w:color="auto" w:fill="FFFF00"/>
          </w:tcPr>
          <w:p w14:paraId="26762725" w14:textId="77777777" w:rsidR="009713BF" w:rsidRPr="005E3D50" w:rsidRDefault="009713BF" w:rsidP="009713BF">
            <w:pPr>
              <w:rPr>
                <w:sz w:val="20"/>
                <w:szCs w:val="20"/>
                <w:lang w:val="es-ES"/>
              </w:rPr>
            </w:pPr>
            <w:r w:rsidRPr="005E3D50">
              <w:rPr>
                <w:sz w:val="20"/>
                <w:lang w:val="es-ES"/>
              </w:rPr>
              <w:t>46</w:t>
            </w:r>
          </w:p>
        </w:tc>
      </w:tr>
      <w:tr w:rsidR="009713BF" w:rsidRPr="005E3D50" w14:paraId="12FF08E1" w14:textId="77777777" w:rsidTr="006E6831">
        <w:tc>
          <w:tcPr>
            <w:tcW w:w="8359" w:type="dxa"/>
          </w:tcPr>
          <w:p w14:paraId="2E8E1748" w14:textId="77777777" w:rsidR="009713BF" w:rsidRPr="005E3D50" w:rsidRDefault="009713BF" w:rsidP="009713BF">
            <w:pPr>
              <w:rPr>
                <w:sz w:val="20"/>
                <w:szCs w:val="20"/>
                <w:lang w:val="es-ES"/>
              </w:rPr>
            </w:pPr>
            <w:r w:rsidRPr="005E3D50">
              <w:rPr>
                <w:sz w:val="20"/>
                <w:lang w:val="es-ES"/>
              </w:rPr>
              <w:lastRenderedPageBreak/>
              <w:t xml:space="preserve">Garantizar que la gestión sostenible de sectores productivos contribuya a la conservación y restauración de la diversidad biológica </w:t>
            </w:r>
          </w:p>
        </w:tc>
        <w:tc>
          <w:tcPr>
            <w:tcW w:w="657" w:type="dxa"/>
            <w:shd w:val="clear" w:color="auto" w:fill="FFFF00"/>
          </w:tcPr>
          <w:p w14:paraId="1C200225" w14:textId="77777777" w:rsidR="009713BF" w:rsidRPr="005E3D50" w:rsidRDefault="009713BF" w:rsidP="009713BF">
            <w:pPr>
              <w:rPr>
                <w:sz w:val="20"/>
                <w:szCs w:val="20"/>
                <w:lang w:val="es-ES"/>
              </w:rPr>
            </w:pPr>
            <w:r w:rsidRPr="005E3D50">
              <w:rPr>
                <w:sz w:val="20"/>
                <w:lang w:val="es-ES"/>
              </w:rPr>
              <w:t>57</w:t>
            </w:r>
          </w:p>
        </w:tc>
      </w:tr>
      <w:tr w:rsidR="009713BF" w:rsidRPr="005E3D50" w14:paraId="53CF6B61" w14:textId="77777777" w:rsidTr="006E6831">
        <w:tc>
          <w:tcPr>
            <w:tcW w:w="8359" w:type="dxa"/>
          </w:tcPr>
          <w:p w14:paraId="5D04657F" w14:textId="77777777" w:rsidR="009713BF" w:rsidRPr="005E3D50" w:rsidRDefault="009713BF" w:rsidP="009713BF">
            <w:pPr>
              <w:rPr>
                <w:sz w:val="20"/>
                <w:szCs w:val="20"/>
                <w:lang w:val="es-ES"/>
              </w:rPr>
            </w:pPr>
            <w:r w:rsidRPr="005E3D50">
              <w:rPr>
                <w:sz w:val="20"/>
                <w:lang w:val="es-ES"/>
              </w:rPr>
              <w:t>Garantizar que la gestión sostenible de sectores productivos contribuya al mantenimiento de las contribuciones de la naturaleza a las personas, entre ellas las funciones y los servicios de los ecosistemas</w:t>
            </w:r>
          </w:p>
        </w:tc>
        <w:tc>
          <w:tcPr>
            <w:tcW w:w="657" w:type="dxa"/>
            <w:shd w:val="clear" w:color="auto" w:fill="FFFF00"/>
          </w:tcPr>
          <w:p w14:paraId="0CB6971A" w14:textId="77777777" w:rsidR="009713BF" w:rsidRPr="005E3D50" w:rsidRDefault="009713BF" w:rsidP="009713BF">
            <w:pPr>
              <w:rPr>
                <w:sz w:val="20"/>
                <w:szCs w:val="20"/>
                <w:lang w:val="es-ES"/>
              </w:rPr>
            </w:pPr>
            <w:r w:rsidRPr="005E3D50">
              <w:rPr>
                <w:sz w:val="20"/>
                <w:lang w:val="es-ES"/>
              </w:rPr>
              <w:t>51</w:t>
            </w:r>
          </w:p>
        </w:tc>
      </w:tr>
      <w:tr w:rsidR="009713BF" w:rsidRPr="005E3D50" w14:paraId="2435FE4E" w14:textId="77777777" w:rsidTr="006E6831">
        <w:tc>
          <w:tcPr>
            <w:tcW w:w="9016" w:type="dxa"/>
            <w:gridSpan w:val="2"/>
          </w:tcPr>
          <w:p w14:paraId="57574526" w14:textId="77777777" w:rsidR="009713BF" w:rsidRPr="005E3D50" w:rsidRDefault="009713BF" w:rsidP="009713BF">
            <w:pPr>
              <w:rPr>
                <w:b/>
                <w:bCs/>
                <w:sz w:val="20"/>
                <w:szCs w:val="20"/>
                <w:lang w:val="es-ES"/>
              </w:rPr>
            </w:pPr>
          </w:p>
          <w:p w14:paraId="4A04A5A3"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60 % de estos elementos en sus metas nacionales</w:t>
            </w:r>
          </w:p>
          <w:p w14:paraId="2F532818" w14:textId="77777777" w:rsidR="009713BF" w:rsidRPr="005E3D50" w:rsidRDefault="009713BF" w:rsidP="009713BF">
            <w:pPr>
              <w:rPr>
                <w:sz w:val="20"/>
                <w:szCs w:val="20"/>
                <w:lang w:val="es-ES"/>
              </w:rPr>
            </w:pPr>
          </w:p>
        </w:tc>
      </w:tr>
    </w:tbl>
    <w:p w14:paraId="4669CB28" w14:textId="77777777" w:rsidR="009713BF" w:rsidRPr="005E3D50" w:rsidRDefault="009713BF" w:rsidP="009713BF">
      <w:pPr>
        <w:rPr>
          <w:lang w:val="es-ES"/>
        </w:rPr>
      </w:pPr>
    </w:p>
    <w:p w14:paraId="63A388AF"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13BF8289"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xml:space="preserve">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20"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w:t>
      </w:r>
    </w:p>
    <w:p w14:paraId="34FF76E5" w14:textId="77777777" w:rsidR="009713BF" w:rsidRPr="005E3D50" w:rsidRDefault="009713BF" w:rsidP="009713BF">
      <w:pPr>
        <w:rPr>
          <w:lang w:val="es-ES"/>
        </w:rPr>
      </w:pPr>
    </w:p>
    <w:p w14:paraId="478100B7" w14:textId="77777777" w:rsidR="009713BF" w:rsidRPr="005E3D50" w:rsidRDefault="009713BF" w:rsidP="009713BF">
      <w:pPr>
        <w:rPr>
          <w:lang w:val="es-ES"/>
        </w:rPr>
      </w:pPr>
      <w:r w:rsidRPr="005E3D50">
        <w:rPr>
          <w:lang w:val="es-ES"/>
        </w:rPr>
        <w:t>Una amplia mayoría de Partes han presentado metas nacionales que abordan la agricultura sostenible (82 %), la silvicultura sostenible (72 %) y la pesca sostenible (70 %) (véase el cuadro 22). Un porcentaje menor de Partes (51 %) abordan la acuicultura sostenible. Una mayoría de Partes (61 %) han presentado también metas que abordan un aumento sustancial del empleo de prácticas favorables a la diversidad biológica. Alrededor de la mitad de las Partes han abordado elementos de la meta relacionados con la contribución de los sectores productivos a la conservación de la diversidad biológica (57 %), las contribuciones de la naturaleza a las personas (51 %), la resiliencia y la eficiencia a largo plazo de los sistemas de producción (51 %) y la seguridad alimentaria (46 %). En general, existe una buena cobertura de todo el alcance de la meta 10 en las metas nacionales presentadas. La meta 10 no incluye elementos cuantitativos específicos, pero sí está el compromiso de aumentar sustancialmente el empleo de prácticas favorables a la diversidad biológica.</w:t>
      </w:r>
    </w:p>
    <w:p w14:paraId="3B0537EF" w14:textId="77777777" w:rsidR="009713BF" w:rsidRPr="005E3D50" w:rsidRDefault="009713BF" w:rsidP="009713BF">
      <w:pPr>
        <w:rPr>
          <w:lang w:val="es-ES"/>
        </w:rPr>
      </w:pPr>
    </w:p>
    <w:p w14:paraId="523FA24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01" w:name="_Toc235821171"/>
      <w:r w:rsidRPr="005E3D50">
        <w:rPr>
          <w:rFonts w:eastAsiaTheme="majorEastAsia" w:cstheme="majorBidi"/>
          <w:color w:val="0F4761" w:themeColor="accent1" w:themeShade="BF"/>
          <w:lang w:val="es-ES"/>
        </w:rPr>
        <w:t>Indicadores de progresos</w:t>
      </w:r>
      <w:bookmarkEnd w:id="301"/>
    </w:p>
    <w:p w14:paraId="6E41E23F"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70918445"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23 </w:t>
      </w:r>
    </w:p>
    <w:p w14:paraId="198C2EC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10 del Marco</w:t>
      </w:r>
    </w:p>
    <w:p w14:paraId="31EC18F5" w14:textId="77777777" w:rsidR="009713BF" w:rsidRPr="005E3D50" w:rsidRDefault="009713BF" w:rsidP="009713BF">
      <w:pPr>
        <w:rPr>
          <w:lang w:val="es-ES" w:eastAsia="ja-JP"/>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142"/>
        <w:gridCol w:w="567"/>
        <w:gridCol w:w="2977"/>
        <w:gridCol w:w="567"/>
      </w:tblGrid>
      <w:tr w:rsidR="009713BF" w:rsidRPr="005E3D50" w14:paraId="483FD6CE" w14:textId="77777777" w:rsidTr="006E6831">
        <w:trPr>
          <w:trHeight w:val="1050"/>
        </w:trPr>
        <w:tc>
          <w:tcPr>
            <w:tcW w:w="3240" w:type="dxa"/>
            <w:shd w:val="clear" w:color="000000" w:fill="FFFFFF"/>
            <w:vAlign w:val="center"/>
          </w:tcPr>
          <w:p w14:paraId="4986487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709" w:type="dxa"/>
            <w:gridSpan w:val="2"/>
            <w:vAlign w:val="center"/>
          </w:tcPr>
          <w:p w14:paraId="3F96F8C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544" w:type="dxa"/>
            <w:gridSpan w:val="2"/>
            <w:vAlign w:val="center"/>
          </w:tcPr>
          <w:p w14:paraId="1DD3250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601B7679" w14:textId="77777777" w:rsidTr="006E6831">
        <w:trPr>
          <w:trHeight w:val="1050"/>
        </w:trPr>
        <w:tc>
          <w:tcPr>
            <w:tcW w:w="3240" w:type="dxa"/>
            <w:shd w:val="clear" w:color="000000" w:fill="FFFFFF"/>
            <w:vAlign w:val="center"/>
            <w:hideMark/>
          </w:tcPr>
          <w:p w14:paraId="54207A3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lastRenderedPageBreak/>
              <w:t>Indicador de cabecera 10.1: proporción de la superficie agrícola en que se practica una agricultura productiva y sostenible</w:t>
            </w:r>
          </w:p>
        </w:tc>
        <w:tc>
          <w:tcPr>
            <w:tcW w:w="2142" w:type="dxa"/>
            <w:vAlign w:val="center"/>
            <w:hideMark/>
          </w:tcPr>
          <w:p w14:paraId="7CFCB670"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31 % de las Partes</w:t>
            </w:r>
          </w:p>
        </w:tc>
        <w:tc>
          <w:tcPr>
            <w:tcW w:w="567" w:type="dxa"/>
            <w:shd w:val="clear" w:color="000000" w:fill="FFC000"/>
            <w:vAlign w:val="center"/>
            <w:hideMark/>
          </w:tcPr>
          <w:p w14:paraId="05EFE49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7" w:type="dxa"/>
            <w:vAlign w:val="center"/>
            <w:hideMark/>
          </w:tcPr>
          <w:p w14:paraId="5F206E82"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En conjunto, menos del 13 % de la superficie agrícola en la mitad de las Partes está sujeta a gestión productiva y sostenible, con porcentajes que van de 0,2 % a 100 %</w:t>
            </w:r>
          </w:p>
          <w:p w14:paraId="7A3C5747"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(con una tendencia ascendente en el tiempo)</w:t>
            </w:r>
          </w:p>
        </w:tc>
        <w:tc>
          <w:tcPr>
            <w:tcW w:w="567" w:type="dxa"/>
            <w:shd w:val="clear" w:color="000000" w:fill="FFC000"/>
            <w:vAlign w:val="center"/>
            <w:hideMark/>
          </w:tcPr>
          <w:p w14:paraId="77ED27C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1BD6A63A" w14:textId="77777777" w:rsidTr="006E6831">
        <w:trPr>
          <w:trHeight w:val="1050"/>
        </w:trPr>
        <w:tc>
          <w:tcPr>
            <w:tcW w:w="3240" w:type="dxa"/>
            <w:shd w:val="clear" w:color="000000" w:fill="FFFFFF"/>
            <w:vAlign w:val="center"/>
            <w:hideMark/>
          </w:tcPr>
          <w:p w14:paraId="189CEBE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10.2: avances hacia la gestión forestal sostenible</w:t>
            </w:r>
          </w:p>
        </w:tc>
        <w:tc>
          <w:tcPr>
            <w:tcW w:w="2142" w:type="dxa"/>
            <w:vAlign w:val="center"/>
            <w:hideMark/>
          </w:tcPr>
          <w:p w14:paraId="5713D97C"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50 % de las Partes</w:t>
            </w:r>
          </w:p>
        </w:tc>
        <w:tc>
          <w:tcPr>
            <w:tcW w:w="567" w:type="dxa"/>
            <w:shd w:val="clear" w:color="auto" w:fill="FFC000"/>
            <w:vAlign w:val="center"/>
            <w:hideMark/>
          </w:tcPr>
          <w:p w14:paraId="2F8B439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7" w:type="dxa"/>
            <w:vAlign w:val="center"/>
            <w:hideMark/>
          </w:tcPr>
          <w:p w14:paraId="0CACADA8"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En general, se registran tendencias estables en todos los subindicadores</w:t>
            </w:r>
          </w:p>
        </w:tc>
        <w:tc>
          <w:tcPr>
            <w:tcW w:w="567" w:type="dxa"/>
            <w:shd w:val="clear" w:color="000000" w:fill="FFC000"/>
            <w:vAlign w:val="center"/>
            <w:hideMark/>
          </w:tcPr>
          <w:p w14:paraId="578EC98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052D37EC" w14:textId="77777777" w:rsidTr="006E6831">
        <w:trPr>
          <w:trHeight w:val="1050"/>
        </w:trPr>
        <w:tc>
          <w:tcPr>
            <w:tcW w:w="3240" w:type="dxa"/>
            <w:shd w:val="clear" w:color="000000" w:fill="FFFFFF"/>
            <w:vAlign w:val="center"/>
            <w:hideMark/>
          </w:tcPr>
          <w:p w14:paraId="14B3B28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142" w:type="dxa"/>
            <w:vAlign w:val="center"/>
            <w:hideMark/>
          </w:tcPr>
          <w:p w14:paraId="4CD57688"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74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57 %</w:t>
            </w:r>
          </w:p>
        </w:tc>
        <w:tc>
          <w:tcPr>
            <w:tcW w:w="567" w:type="dxa"/>
            <w:shd w:val="clear" w:color="000000" w:fill="92D050"/>
            <w:vAlign w:val="center"/>
            <w:hideMark/>
          </w:tcPr>
          <w:p w14:paraId="343118CC"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977" w:type="dxa"/>
            <w:vAlign w:val="center"/>
            <w:hideMark/>
          </w:tcPr>
          <w:p w14:paraId="5A91185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24 % registran tendencias positivas</w:t>
            </w:r>
          </w:p>
          <w:p w14:paraId="0B5F670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12 % registran tendencias negativas</w:t>
            </w:r>
          </w:p>
        </w:tc>
        <w:tc>
          <w:tcPr>
            <w:tcW w:w="567" w:type="dxa"/>
            <w:shd w:val="clear" w:color="000000" w:fill="FFC000"/>
            <w:vAlign w:val="center"/>
            <w:hideMark/>
          </w:tcPr>
          <w:p w14:paraId="65FF109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05E34597" w14:textId="77777777" w:rsidTr="006E6831">
        <w:trPr>
          <w:trHeight w:val="1050"/>
        </w:trPr>
        <w:tc>
          <w:tcPr>
            <w:tcW w:w="3240" w:type="dxa"/>
            <w:shd w:val="clear" w:color="000000" w:fill="FFFFFF"/>
            <w:vAlign w:val="center"/>
          </w:tcPr>
          <w:p w14:paraId="32C706E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Observaciones</w:t>
            </w:r>
          </w:p>
        </w:tc>
        <w:tc>
          <w:tcPr>
            <w:tcW w:w="6253" w:type="dxa"/>
            <w:gridSpan w:val="4"/>
            <w:vAlign w:val="center"/>
          </w:tcPr>
          <w:p w14:paraId="18602E79"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Las comunicaciones incluyen datos para los indicadores referidos a tipos de explotaciones agrícolas, métodos agrícolas, tipos de bosques, programas de certificación y regímenes de gestión específicos.</w:t>
            </w:r>
          </w:p>
          <w:p w14:paraId="3CE3A309"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eastAsia="en-CA"/>
                <w14:ligatures w14:val="none"/>
              </w:rPr>
            </w:pPr>
          </w:p>
          <w:p w14:paraId="03F26A43"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Las Partes emplearon </w:t>
            </w:r>
            <w:proofErr w:type="gramStart"/>
            <w:r w:rsidRPr="005E3D50">
              <w:rPr>
                <w:rFonts w:ascii="Aptos" w:hAnsi="Aptos"/>
                <w:color w:val="000000"/>
                <w:sz w:val="20"/>
                <w:lang w:val="es-ES"/>
              </w:rPr>
              <w:t>tanto metodologías</w:t>
            </w:r>
            <w:proofErr w:type="gramEnd"/>
            <w:r w:rsidRPr="005E3D50">
              <w:rPr>
                <w:rFonts w:ascii="Aptos" w:hAnsi="Aptos"/>
                <w:color w:val="000000"/>
                <w:sz w:val="20"/>
                <w:lang w:val="es-ES"/>
              </w:rPr>
              <w:t xml:space="preserve"> para el indicador 10.1 y distintos subindicadores para el indicador 10.2.</w:t>
            </w:r>
          </w:p>
        </w:tc>
      </w:tr>
    </w:tbl>
    <w:p w14:paraId="7AF15CA3"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187BCE8E"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60AFE272" w14:textId="77777777" w:rsidR="009713BF" w:rsidRPr="005E3D50" w:rsidRDefault="009713BF" w:rsidP="009713BF">
      <w:pPr>
        <w:rPr>
          <w:lang w:val="es-ES"/>
        </w:rPr>
      </w:pPr>
    </w:p>
    <w:p w14:paraId="568F067B" w14:textId="77777777" w:rsidR="009713BF" w:rsidRPr="005E3D50" w:rsidRDefault="009713BF" w:rsidP="009713BF">
      <w:pPr>
        <w:rPr>
          <w:rFonts w:ascii="Aptos" w:hAnsi="Aptos"/>
          <w:lang w:val="es-ES"/>
        </w:rPr>
      </w:pPr>
      <w:r w:rsidRPr="005E3D50">
        <w:rPr>
          <w:lang w:val="es-ES"/>
        </w:rPr>
        <w:t xml:space="preserve">La cantidad de Partes que pudieron informar sobre el indicador de cabecera referido a bosques fue mayor que la que informó sobre el referido a agricultura (véase el cuadro 23). Esto se debió, entre otras cosas, a que estaba incompleta la orientación metodológica para el indicador de cabecera 10.1 </w:t>
      </w:r>
      <w:r w:rsidRPr="005E3D50">
        <w:rPr>
          <w:rFonts w:ascii="Aptos" w:hAnsi="Aptos"/>
          <w:lang w:val="es-ES"/>
        </w:rPr>
        <w:t>(proporción de la superficie agrícola en que se practica una agricultura productiva y sostenible), así como a la dependencia en el enfoque indirecto (</w:t>
      </w:r>
      <w:r w:rsidRPr="005E3D50">
        <w:rPr>
          <w:rFonts w:ascii="Aptos" w:hAnsi="Aptos"/>
          <w:i/>
          <w:iCs/>
          <w:lang w:val="es-ES"/>
        </w:rPr>
        <w:t>proxy</w:t>
      </w:r>
      <w:r w:rsidRPr="005E3D50">
        <w:rPr>
          <w:rFonts w:ascii="Aptos" w:hAnsi="Aptos"/>
          <w:lang w:val="es-ES"/>
        </w:rPr>
        <w:t xml:space="preserve">) sugerido por la FAO, que fue empleado por seis Partes. Otra razón probable es que el indicador de cabecera 10.2 (avances hacia la gestión forestal sostenible) contiene cinco subindicadores y muchas Partes pudieron informar sobre por lo menos uno de ellos. En ambos casos, varias Partes señalaron la dificultad de integrar datos de distintos organismos gubernamentales para informar sobre los indicadores, así como la necesidad de armonizar la presentación de informes nacionales para articular las </w:t>
      </w:r>
      <w:r w:rsidRPr="005E3D50">
        <w:rPr>
          <w:rFonts w:ascii="Aptos" w:hAnsi="Aptos"/>
          <w:lang w:val="es-ES"/>
        </w:rPr>
        <w:lastRenderedPageBreak/>
        <w:t>comunicaciones relacionadas con el Marco con las relacionadas con los Objetivos de Desarrollo Sostenible.</w:t>
      </w:r>
    </w:p>
    <w:p w14:paraId="47F87912" w14:textId="77777777" w:rsidR="009713BF" w:rsidRPr="005E3D50" w:rsidRDefault="009713BF" w:rsidP="009713BF">
      <w:pPr>
        <w:rPr>
          <w:lang w:val="es-ES"/>
        </w:rPr>
      </w:pPr>
      <w:r w:rsidRPr="005E3D50">
        <w:rPr>
          <w:lang w:val="es-ES"/>
        </w:rPr>
        <w:t xml:space="preserve">En el caso de aquellas Partes que comunicaron un valor porcentual para el indicador de cabecera 10.1, en su conjunto la proporción de tierras agrícolas con agricultura productiva y sostenible se ubicó en promedio en alrededor de 29 %, con un porcentaje mínimo de 0 % y un máximo de 100 % (véase la </w:t>
      </w:r>
      <w:r w:rsidRPr="005E3D50">
        <w:rPr>
          <w:color w:val="0E2841" w:themeColor="text2"/>
          <w:lang w:val="es-ES"/>
        </w:rPr>
        <w:t>figura 41</w:t>
      </w:r>
      <w:r w:rsidRPr="005E3D50">
        <w:rPr>
          <w:lang w:val="es-ES"/>
        </w:rPr>
        <w:t>). Seis Partes comunicaron una puntuación indirecta conforme a lo sugerido por la FAO para el indicador 2.4.1 de los ODS, que combina indicadores económicos, sociales y ambientales clave en un valor de 0 a 5. El promedio de los valores correspondientes a esta metodología indirecta fue de 2,7 para las Partes que comunicaron datos de esta manera, con un mínimo de 0,1 y un máximo de 4. Los datos nacionales comunicados a la FAO por 186 Partes empleando la metodología indirecta arrojaron un promedio de 3,3, lo que estaría indicando un nivel de progresos colectivos moderado, registrándose una tendencia de lenta mejoría desde 2015</w:t>
      </w:r>
      <w:r w:rsidRPr="005E3D50">
        <w:rPr>
          <w:vertAlign w:val="superscript"/>
          <w:lang w:val="es-ES"/>
        </w:rPr>
        <w:footnoteReference w:id="29"/>
      </w:r>
      <w:r w:rsidRPr="005E3D50">
        <w:rPr>
          <w:lang w:val="es-ES"/>
        </w:rPr>
        <w:t>. Los datos informados por las Partes también muestran una tendencia positiva lenta, lo cual corrobora la tendencia registrada por la FAO.</w:t>
      </w:r>
    </w:p>
    <w:p w14:paraId="22497FF5" w14:textId="77777777" w:rsidR="009713BF" w:rsidRPr="005E3D50" w:rsidRDefault="009713BF" w:rsidP="009713BF">
      <w:pPr>
        <w:rPr>
          <w:lang w:val="es-ES"/>
        </w:rPr>
      </w:pPr>
      <w:r w:rsidRPr="005E3D50">
        <w:rPr>
          <w:lang w:val="es-ES"/>
        </w:rPr>
        <w:t>Para el indicador de cabecera 10.2, cinco Partes presentaron un único valor general para el porcentaje de bosques sujetos a gestión sostenible. En promedio, un 11 % de los bosques de estas Partes se consideran gestionados de manera sostenible, con un mínimo de 1 % y un máximo de 36 % (véase la figura 42). </w:t>
      </w:r>
    </w:p>
    <w:p w14:paraId="78BE9A5D" w14:textId="77777777" w:rsidR="009713BF" w:rsidRPr="005E3D50" w:rsidRDefault="009713BF" w:rsidP="009713BF">
      <w:pPr>
        <w:rPr>
          <w:lang w:val="es-ES"/>
        </w:rPr>
      </w:pPr>
      <w:r w:rsidRPr="005E3D50">
        <w:rPr>
          <w:lang w:val="es-ES"/>
        </w:rPr>
        <w:t xml:space="preserve">A lo largo de los años, el cambio promedio en superficie forestal en estas Partes fue del 0,1 %, ubicándose en un intervalo de -3 % a 5 % entre 2020 y 2025. Datos comunicados a la FAO por 194 países y territorios indican que la pérdida forestal se ralentizó con respecto a la década de 1990; no obstante, las pérdidas netas registradas entre 2015 y 2025 fueron levemente mayores que las registradas entre 2000 y 2015. A pesar de los progresos en la reducción de la deforestación, el aumento de superficies forestales por expansión fue menor que antes. Datos comunicados tanto al Convenio (27 Partes) (véase la figura 43) como a la FAO (187 países y territorios) revelan un aumento de la biomasa superficial por hectárea desde 1990. </w:t>
      </w:r>
    </w:p>
    <w:p w14:paraId="4334E31D" w14:textId="77777777" w:rsidR="009713BF" w:rsidRPr="005E3D50" w:rsidRDefault="009713BF" w:rsidP="009713BF">
      <w:pPr>
        <w:rPr>
          <w:rFonts w:ascii="Aptos" w:hAnsi="Aptos" w:cs="Segoe UI"/>
          <w:lang w:val="es-ES"/>
        </w:rPr>
      </w:pPr>
      <w:r w:rsidRPr="005E3D50">
        <w:rPr>
          <w:lang w:val="es-ES"/>
        </w:rPr>
        <w:t xml:space="preserve">En las 26 Partes que presentaron datos sobre superficies forestales dentro de áreas protegidas establecidas por ley (que representan el 30 % de la superficie forestal de la totalidad de las Partes) no se registró aumento alguno entre 2020 y 2025, ubicándose en promedio en un 26 % (véase la figura 44). Según datos comunicados por países a la FAO, sin embargo, la proporción de bosques dentro de áreas protegidas establecidas por ley aumentó en los 15 años que van de 2010 a 2025, registrándose un aumento de entre </w:t>
      </w:r>
      <w:r w:rsidRPr="005E3D50">
        <w:rPr>
          <w:lang w:val="es-ES"/>
        </w:rPr>
        <w:lastRenderedPageBreak/>
        <w:t xml:space="preserve">18,2 % y 19,3 % a nivel mundial. Del mismo modo, tanto datos comunicados por 27 Partes en sus informes nacionales (véase la figura 45) como datos comunicados a la FAO revelan que alrededor de la mitad del total de la superficie forestal está sujeta a medidas de gestión a largo plazo (aumentando de 54,4 % en 2015 a 56,5 % en 2025 a nivel mundial, según la FAO). Asimismo, datos comunicados a la FAO indican que en general la </w:t>
      </w:r>
      <w:r w:rsidRPr="005E3D50">
        <w:rPr>
          <w:rFonts w:ascii="Aptos" w:hAnsi="Aptos"/>
          <w:lang w:val="es-ES"/>
        </w:rPr>
        <w:t>superficie forestal que está sujeta a un esquema de certificación de gestión forestal verificado independientemente ha aumentado en un 15,5 % desde 2010, y también indican que la reducción notificada en 25 comunicaciones de Partes para el período 2022-2023 (</w:t>
      </w:r>
      <w:r w:rsidRPr="005E3D50">
        <w:rPr>
          <w:lang w:val="es-ES"/>
        </w:rPr>
        <w:t>figura 46</w:t>
      </w:r>
      <w:r w:rsidRPr="005E3D50">
        <w:rPr>
          <w:rFonts w:ascii="Aptos" w:hAnsi="Aptos"/>
          <w:lang w:val="es-ES"/>
        </w:rPr>
        <w:t>) se debió a</w:t>
      </w:r>
      <w:r w:rsidRPr="005E3D50">
        <w:rPr>
          <w:lang w:val="es-ES"/>
        </w:rPr>
        <w:t xml:space="preserve"> suspensiones de certificaciones en Europa relacionadas con conflictos.</w:t>
      </w:r>
    </w:p>
    <w:p w14:paraId="5EF996CA" w14:textId="77777777" w:rsidR="009713BF" w:rsidRPr="005E3D50" w:rsidRDefault="009713BF" w:rsidP="009713BF">
      <w:pPr>
        <w:rPr>
          <w:rFonts w:ascii="Aptos" w:hAnsi="Aptos" w:cs="Segoe UI"/>
          <w:lang w:val="es-ES"/>
        </w:rPr>
      </w:pPr>
      <w:r w:rsidRPr="005E3D50">
        <w:rPr>
          <w:rFonts w:ascii="Aptos" w:hAnsi="Aptos"/>
          <w:lang w:val="es-ES"/>
        </w:rPr>
        <w:t>Un análisis de todos los indicadores cuantitativos presentados por las Partes, referidos en su mayoría a los sectores agrícola y forestal, revela más tendencias positivas (24 %) que negativas (12 %) (</w:t>
      </w:r>
      <w:r w:rsidRPr="005E3D50">
        <w:rPr>
          <w:lang w:val="es-ES"/>
        </w:rPr>
        <w:t>véase la figura 47</w:t>
      </w:r>
      <w:r w:rsidRPr="005E3D50">
        <w:rPr>
          <w:rFonts w:ascii="Aptos" w:hAnsi="Aptos"/>
          <w:lang w:val="es-ES"/>
        </w:rPr>
        <w:t xml:space="preserve">), lo que estaría indicando progresos en la consecución de las metas a nivel nacional. En los informes nacionales no se presentaron indicadores adicionales referidos a acuicultura sostenible. </w:t>
      </w:r>
      <w:bookmarkStart w:id="302" w:name="_Ref231197658"/>
    </w:p>
    <w:p w14:paraId="281AB99F" w14:textId="77777777" w:rsidR="009713BF" w:rsidRPr="005E3D50" w:rsidRDefault="009713BF" w:rsidP="009713BF">
      <w:pPr>
        <w:rPr>
          <w:rFonts w:eastAsiaTheme="minorEastAsia"/>
          <w:iCs/>
          <w:color w:val="0E2841" w:themeColor="text2"/>
          <w:kern w:val="0"/>
          <w:sz w:val="20"/>
          <w:szCs w:val="20"/>
          <w:lang w:val="es-ES" w:eastAsia="ja-JP"/>
          <w14:ligatures w14:val="none"/>
        </w:rPr>
      </w:pPr>
    </w:p>
    <w:p w14:paraId="244FD45E" w14:textId="77777777" w:rsidR="009713BF" w:rsidRPr="005E3D50" w:rsidRDefault="009713BF" w:rsidP="009713BF">
      <w:pPr>
        <w:rPr>
          <w:rFonts w:eastAsiaTheme="minorEastAsia"/>
          <w:iCs/>
          <w:color w:val="0E2841" w:themeColor="text2"/>
          <w:kern w:val="0"/>
          <w:sz w:val="20"/>
          <w:szCs w:val="20"/>
          <w:lang w:val="es-ES"/>
          <w14:ligatures w14:val="none"/>
        </w:rPr>
      </w:pPr>
      <w:r w:rsidRPr="005E3D50">
        <w:rPr>
          <w:color w:val="0E2841" w:themeColor="text2"/>
          <w:sz w:val="20"/>
          <w:lang w:val="es-ES"/>
        </w:rPr>
        <w:t>Figura 41</w:t>
      </w:r>
    </w:p>
    <w:p w14:paraId="2592D831" w14:textId="77777777" w:rsidR="009713BF" w:rsidRPr="005E3D50" w:rsidRDefault="009713BF" w:rsidP="009713BF">
      <w:pPr>
        <w:rPr>
          <w:rFonts w:ascii="Aptos" w:hAnsi="Aptos" w:cs="Segoe UI"/>
          <w:b/>
          <w:bCs/>
          <w:sz w:val="20"/>
          <w:szCs w:val="20"/>
          <w:lang w:val="es-ES"/>
        </w:rPr>
      </w:pPr>
      <w:r w:rsidRPr="005E3D50">
        <w:rPr>
          <w:b/>
          <w:color w:val="0E2841" w:themeColor="text2"/>
          <w:sz w:val="20"/>
          <w:lang w:val="es-ES"/>
        </w:rPr>
        <w:t>Indicador de cabecera 10.1: proporción de la superficie agrícola en que se practica una agricultura productiva y sostenible</w:t>
      </w:r>
    </w:p>
    <w:p w14:paraId="0D7C9291" w14:textId="77777777" w:rsidR="009713BF" w:rsidRPr="005E3D50" w:rsidRDefault="009713BF" w:rsidP="009713BF">
      <w:pPr>
        <w:rPr>
          <w:rFonts w:ascii="Aptos" w:hAnsi="Aptos" w:cs="Segoe UI"/>
          <w:iCs/>
          <w:sz w:val="20"/>
          <w:szCs w:val="20"/>
          <w:lang w:val="es-ES"/>
        </w:rPr>
      </w:pPr>
    </w:p>
    <w:p w14:paraId="7F0F7214" w14:textId="77777777" w:rsidR="009713BF" w:rsidRPr="005E3D50" w:rsidRDefault="009713BF" w:rsidP="009713BF">
      <w:pPr>
        <w:rPr>
          <w:rFonts w:ascii="Aptos" w:hAnsi="Aptos" w:cs="Segoe UI"/>
          <w:lang w:val="es-ES"/>
        </w:rPr>
      </w:pPr>
      <w:r w:rsidRPr="005E3D50">
        <w:rPr>
          <w:noProof/>
          <w:lang w:val="en-US"/>
        </w:rPr>
        <w:lastRenderedPageBreak/>
        <w:drawing>
          <wp:inline distT="0" distB="0" distL="0" distR="0" wp14:anchorId="209C4F22" wp14:editId="27947ED4">
            <wp:extent cx="5731510" cy="4298950"/>
            <wp:effectExtent l="0" t="0" r="0" b="6350"/>
            <wp:docPr id="16761153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15399" name="Picture 1676115399"/>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302"/>
    <w:p w14:paraId="0E986C52" w14:textId="77777777" w:rsidR="009713BF" w:rsidRDefault="009713BF" w:rsidP="009713BF">
      <w:pPr>
        <w:spacing w:after="200" w:line="240" w:lineRule="auto"/>
        <w:rPr>
          <w:rFonts w:ascii="Aptos" w:eastAsiaTheme="minorEastAsia" w:hAnsi="Aptos"/>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Nota: </w:t>
      </w:r>
      <w:r w:rsidRPr="005E3D50">
        <w:rPr>
          <w:rFonts w:eastAsiaTheme="minorEastAsia"/>
          <w:iCs/>
          <w:color w:val="0E2841" w:themeColor="text2"/>
          <w:kern w:val="0"/>
          <w:sz w:val="18"/>
          <w:szCs w:val="18"/>
          <w:lang w:val="es-ES" w:eastAsia="ja-JP"/>
          <w14:ligatures w14:val="none"/>
        </w:rPr>
        <w:t xml:space="preserve">Los valores del indicador muestran el promedio general y el intervalo intercuartílico de todas las comunicaciones de las Partes para cada año. El gráfico de barras de la derecha muestra la distribución de las Partes que presentan datos, por región. </w:t>
      </w:r>
      <w:r w:rsidRPr="005E3D50">
        <w:rPr>
          <w:rFonts w:ascii="Aptos" w:eastAsiaTheme="minorEastAsia" w:hAnsi="Aptos"/>
          <w:iCs/>
          <w:color w:val="0E2841" w:themeColor="text2"/>
          <w:kern w:val="0"/>
          <w:sz w:val="18"/>
          <w:szCs w:val="18"/>
          <w:lang w:val="es-ES" w:eastAsia="ja-JP"/>
          <w14:ligatures w14:val="none"/>
        </w:rPr>
        <w:t xml:space="preserve">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w:t>
      </w:r>
      <w:r w:rsidRPr="005E3D50">
        <w:rPr>
          <w:rFonts w:eastAsiaTheme="minorEastAsia"/>
          <w:iCs/>
          <w:color w:val="0E2841" w:themeColor="text2"/>
          <w:kern w:val="0"/>
          <w:sz w:val="18"/>
          <w:szCs w:val="18"/>
          <w:lang w:val="es-ES" w:eastAsia="ja-JP"/>
          <w14:ligatures w14:val="none"/>
        </w:rPr>
        <w:t>El gráfico circular muestra la proporción del total de superficies agrícolas de todas las Partes que corresponde a aquellas Partes que comunicaron datos para el indicador.</w:t>
      </w:r>
      <w:r w:rsidRPr="005E3D50">
        <w:rPr>
          <w:rFonts w:ascii="Aptos" w:eastAsiaTheme="minorEastAsia" w:hAnsi="Aptos"/>
          <w:i/>
          <w:iCs/>
          <w:color w:val="0E2841" w:themeColor="text2"/>
          <w:kern w:val="0"/>
          <w:sz w:val="18"/>
          <w:szCs w:val="18"/>
          <w:lang w:val="es-ES" w:eastAsia="ja-JP"/>
          <w14:ligatures w14:val="none"/>
        </w:rPr>
        <w:t xml:space="preserve"> </w:t>
      </w:r>
    </w:p>
    <w:tbl>
      <w:tblPr>
        <w:tblStyle w:val="TableGrid"/>
        <w:tblW w:w="9353" w:type="dxa"/>
        <w:tblLook w:val="04A0" w:firstRow="1" w:lastRow="0" w:firstColumn="1" w:lastColumn="0" w:noHBand="0" w:noVBand="1"/>
      </w:tblPr>
      <w:tblGrid>
        <w:gridCol w:w="5498"/>
        <w:gridCol w:w="3855"/>
      </w:tblGrid>
      <w:tr w:rsidR="009D180D" w:rsidRPr="009D180D" w14:paraId="36A67985" w14:textId="77777777" w:rsidTr="009D180D">
        <w:tc>
          <w:tcPr>
            <w:tcW w:w="9353" w:type="dxa"/>
            <w:gridSpan w:val="2"/>
          </w:tcPr>
          <w:p w14:paraId="124D32E7" w14:textId="16360D7B" w:rsidR="009D180D" w:rsidRPr="002B1D2B" w:rsidRDefault="007533CC" w:rsidP="009D180D">
            <w:pPr>
              <w:rPr>
                <w:sz w:val="18"/>
                <w:szCs w:val="18"/>
                <w:lang w:val="es-ES"/>
              </w:rPr>
            </w:pPr>
            <w:r w:rsidRPr="002B1D2B">
              <w:rPr>
                <w:sz w:val="18"/>
                <w:szCs w:val="18"/>
                <w:lang w:val="es-ES"/>
              </w:rPr>
              <w:t>Figura</w:t>
            </w:r>
            <w:r w:rsidR="002B1D2B" w:rsidRPr="002B1D2B">
              <w:rPr>
                <w:sz w:val="18"/>
                <w:szCs w:val="18"/>
                <w:lang w:val="es-ES"/>
              </w:rPr>
              <w:t xml:space="preserve"> 41</w:t>
            </w:r>
          </w:p>
        </w:tc>
      </w:tr>
      <w:tr w:rsidR="009D180D" w:rsidRPr="009D180D" w14:paraId="502DAD3D" w14:textId="77777777" w:rsidTr="009D180D">
        <w:tc>
          <w:tcPr>
            <w:tcW w:w="5498" w:type="dxa"/>
          </w:tcPr>
          <w:p w14:paraId="5C010BEB" w14:textId="77777777" w:rsidR="009D180D" w:rsidRPr="002B1D2B" w:rsidRDefault="009D180D" w:rsidP="009D180D">
            <w:pPr>
              <w:spacing w:line="278" w:lineRule="auto"/>
              <w:rPr>
                <w:sz w:val="18"/>
                <w:szCs w:val="18"/>
                <w:lang w:val="es-ES"/>
              </w:rPr>
            </w:pPr>
            <w:r w:rsidRPr="002B1D2B">
              <w:rPr>
                <w:sz w:val="18"/>
                <w:szCs w:val="18"/>
                <w:lang w:val="es-ES"/>
              </w:rPr>
              <w:t xml:space="preserve">English </w:t>
            </w:r>
          </w:p>
        </w:tc>
        <w:tc>
          <w:tcPr>
            <w:tcW w:w="3855" w:type="dxa"/>
          </w:tcPr>
          <w:p w14:paraId="2F3318D4" w14:textId="32CF1CC5" w:rsidR="009D180D" w:rsidRPr="002B1D2B" w:rsidRDefault="007371B4" w:rsidP="009D180D">
            <w:pPr>
              <w:spacing w:line="278" w:lineRule="auto"/>
              <w:rPr>
                <w:sz w:val="18"/>
                <w:szCs w:val="18"/>
                <w:lang w:val="es-ES"/>
              </w:rPr>
            </w:pPr>
            <w:r w:rsidRPr="002B1D2B">
              <w:rPr>
                <w:sz w:val="18"/>
                <w:szCs w:val="18"/>
                <w:lang w:val="es-ES"/>
              </w:rPr>
              <w:t>Español</w:t>
            </w:r>
          </w:p>
        </w:tc>
      </w:tr>
      <w:tr w:rsidR="009D180D" w:rsidRPr="009D180D" w14:paraId="52BA57BE" w14:textId="77777777" w:rsidTr="009D180D">
        <w:tc>
          <w:tcPr>
            <w:tcW w:w="5498" w:type="dxa"/>
          </w:tcPr>
          <w:p w14:paraId="035BCF49" w14:textId="77777777" w:rsidR="009D180D" w:rsidRPr="009D180D" w:rsidRDefault="009D180D" w:rsidP="009D180D">
            <w:pPr>
              <w:spacing w:line="278" w:lineRule="auto"/>
              <w:rPr>
                <w:sz w:val="18"/>
                <w:szCs w:val="18"/>
                <w:lang w:val="en-US"/>
              </w:rPr>
            </w:pPr>
            <w:r w:rsidRPr="009D180D">
              <w:rPr>
                <w:sz w:val="18"/>
                <w:szCs w:val="18"/>
                <w:lang w:val="en-US"/>
              </w:rPr>
              <w:t>Proportion of agricultural area that is productive and sustainable (%)</w:t>
            </w:r>
          </w:p>
        </w:tc>
        <w:tc>
          <w:tcPr>
            <w:tcW w:w="3855" w:type="dxa"/>
          </w:tcPr>
          <w:p w14:paraId="742BD9FD" w14:textId="486477AE" w:rsidR="009D180D" w:rsidRPr="009D180D" w:rsidRDefault="009D180D" w:rsidP="009D180D">
            <w:pPr>
              <w:spacing w:line="278" w:lineRule="auto"/>
              <w:rPr>
                <w:sz w:val="18"/>
                <w:szCs w:val="18"/>
                <w:lang w:val="es-ES"/>
              </w:rPr>
            </w:pPr>
            <w:r w:rsidRPr="009D180D">
              <w:rPr>
                <w:sz w:val="18"/>
                <w:szCs w:val="18"/>
                <w:lang w:val="es-ES"/>
              </w:rPr>
              <w:t>Proporción de la superficie agrícola que es agricultura y sostenible (%)</w:t>
            </w:r>
          </w:p>
        </w:tc>
      </w:tr>
      <w:tr w:rsidR="009D180D" w:rsidRPr="009D180D" w14:paraId="4F30CF1F" w14:textId="77777777" w:rsidTr="009D180D">
        <w:tc>
          <w:tcPr>
            <w:tcW w:w="5498" w:type="dxa"/>
          </w:tcPr>
          <w:p w14:paraId="51C4EC10" w14:textId="77777777" w:rsidR="009D180D" w:rsidRPr="009D180D" w:rsidRDefault="009D180D" w:rsidP="009D180D">
            <w:pPr>
              <w:spacing w:line="278" w:lineRule="auto"/>
              <w:rPr>
                <w:sz w:val="18"/>
                <w:szCs w:val="18"/>
                <w:lang w:val="es-ES"/>
              </w:rPr>
            </w:pPr>
            <w:proofErr w:type="spellStart"/>
            <w:r w:rsidRPr="009D180D">
              <w:rPr>
                <w:sz w:val="18"/>
                <w:szCs w:val="18"/>
                <w:lang w:val="es-ES"/>
              </w:rPr>
              <w:t>Year</w:t>
            </w:r>
            <w:proofErr w:type="spellEnd"/>
          </w:p>
        </w:tc>
        <w:tc>
          <w:tcPr>
            <w:tcW w:w="3855" w:type="dxa"/>
          </w:tcPr>
          <w:p w14:paraId="0AA10C10" w14:textId="515019F6" w:rsidR="009D180D" w:rsidRPr="009D180D" w:rsidRDefault="009D180D" w:rsidP="009D180D">
            <w:pPr>
              <w:spacing w:line="278" w:lineRule="auto"/>
              <w:rPr>
                <w:sz w:val="18"/>
                <w:szCs w:val="18"/>
                <w:lang w:val="es-ES"/>
              </w:rPr>
            </w:pPr>
            <w:r w:rsidRPr="009D180D">
              <w:rPr>
                <w:sz w:val="18"/>
                <w:szCs w:val="18"/>
                <w:lang w:val="es-ES"/>
              </w:rPr>
              <w:t>Año</w:t>
            </w:r>
          </w:p>
        </w:tc>
      </w:tr>
      <w:tr w:rsidR="009D180D" w:rsidRPr="009D180D" w14:paraId="7B5CACF1" w14:textId="77777777" w:rsidTr="009D180D">
        <w:tc>
          <w:tcPr>
            <w:tcW w:w="5498" w:type="dxa"/>
          </w:tcPr>
          <w:p w14:paraId="1E86AD62" w14:textId="77777777" w:rsidR="009D180D" w:rsidRPr="009D180D" w:rsidRDefault="009D180D" w:rsidP="009D180D">
            <w:pPr>
              <w:spacing w:line="278" w:lineRule="auto"/>
              <w:rPr>
                <w:sz w:val="18"/>
                <w:szCs w:val="18"/>
                <w:lang w:val="es-ES"/>
              </w:rPr>
            </w:pPr>
            <w:r w:rsidRPr="009D180D">
              <w:rPr>
                <w:sz w:val="18"/>
                <w:szCs w:val="18"/>
                <w:lang w:val="es-ES"/>
              </w:rPr>
              <w:t xml:space="preserve">Party </w:t>
            </w:r>
            <w:proofErr w:type="spellStart"/>
            <w:r w:rsidRPr="009D180D">
              <w:rPr>
                <w:sz w:val="18"/>
                <w:szCs w:val="18"/>
                <w:lang w:val="es-ES"/>
              </w:rPr>
              <w:t>count</w:t>
            </w:r>
            <w:proofErr w:type="spellEnd"/>
            <w:r w:rsidRPr="009D180D">
              <w:rPr>
                <w:sz w:val="18"/>
                <w:szCs w:val="18"/>
                <w:lang w:val="es-ES"/>
              </w:rPr>
              <w:t>: 30</w:t>
            </w:r>
          </w:p>
        </w:tc>
        <w:tc>
          <w:tcPr>
            <w:tcW w:w="3855" w:type="dxa"/>
          </w:tcPr>
          <w:p w14:paraId="2FB64944" w14:textId="0900E4B6" w:rsidR="009D180D" w:rsidRPr="009D180D" w:rsidRDefault="009D180D" w:rsidP="009D180D">
            <w:pPr>
              <w:spacing w:line="278" w:lineRule="auto"/>
              <w:rPr>
                <w:sz w:val="18"/>
                <w:szCs w:val="18"/>
                <w:lang w:val="es-ES"/>
              </w:rPr>
            </w:pPr>
            <w:r w:rsidRPr="009D180D">
              <w:rPr>
                <w:sz w:val="18"/>
                <w:szCs w:val="18"/>
                <w:lang w:val="es-ES"/>
              </w:rPr>
              <w:t>Número de Partes: 30</w:t>
            </w:r>
          </w:p>
        </w:tc>
      </w:tr>
      <w:tr w:rsidR="009D180D" w:rsidRPr="009D180D" w14:paraId="5DB59112" w14:textId="77777777" w:rsidTr="009D180D">
        <w:tc>
          <w:tcPr>
            <w:tcW w:w="5498" w:type="dxa"/>
          </w:tcPr>
          <w:p w14:paraId="2D639196" w14:textId="77777777" w:rsidR="009D180D" w:rsidRPr="009D180D" w:rsidRDefault="009D180D" w:rsidP="009D180D">
            <w:pPr>
              <w:spacing w:line="278" w:lineRule="auto"/>
              <w:rPr>
                <w:sz w:val="18"/>
                <w:szCs w:val="18"/>
                <w:lang w:val="es-ES"/>
              </w:rPr>
            </w:pPr>
            <w:r w:rsidRPr="009D180D">
              <w:rPr>
                <w:sz w:val="18"/>
                <w:szCs w:val="18"/>
                <w:lang w:val="es-ES"/>
              </w:rPr>
              <w:t xml:space="preserve">Share of </w:t>
            </w:r>
            <w:proofErr w:type="spellStart"/>
            <w:r w:rsidRPr="009D180D">
              <w:rPr>
                <w:sz w:val="18"/>
                <w:szCs w:val="18"/>
                <w:lang w:val="es-ES"/>
              </w:rPr>
              <w:t>agricultural</w:t>
            </w:r>
            <w:proofErr w:type="spellEnd"/>
            <w:r w:rsidRPr="009D180D">
              <w:rPr>
                <w:sz w:val="18"/>
                <w:szCs w:val="18"/>
                <w:lang w:val="es-ES"/>
              </w:rPr>
              <w:t xml:space="preserve"> </w:t>
            </w:r>
            <w:proofErr w:type="spellStart"/>
            <w:r w:rsidRPr="009D180D">
              <w:rPr>
                <w:sz w:val="18"/>
                <w:szCs w:val="18"/>
                <w:lang w:val="es-ES"/>
              </w:rPr>
              <w:t>area</w:t>
            </w:r>
            <w:proofErr w:type="spellEnd"/>
          </w:p>
        </w:tc>
        <w:tc>
          <w:tcPr>
            <w:tcW w:w="3855" w:type="dxa"/>
          </w:tcPr>
          <w:p w14:paraId="5FD50108" w14:textId="0252D4A4" w:rsidR="009D180D" w:rsidRPr="009D180D" w:rsidRDefault="009D180D" w:rsidP="009D180D">
            <w:pPr>
              <w:spacing w:line="278" w:lineRule="auto"/>
              <w:rPr>
                <w:sz w:val="18"/>
                <w:szCs w:val="18"/>
                <w:lang w:val="es-ES"/>
              </w:rPr>
            </w:pPr>
            <w:r w:rsidRPr="009D180D">
              <w:rPr>
                <w:sz w:val="18"/>
                <w:szCs w:val="18"/>
                <w:lang w:val="es-ES"/>
              </w:rPr>
              <w:t>Porcentaje de superficie agrícola</w:t>
            </w:r>
          </w:p>
        </w:tc>
      </w:tr>
      <w:tr w:rsidR="009D180D" w:rsidRPr="009D180D" w14:paraId="01F2F1CC" w14:textId="77777777" w:rsidTr="009D180D">
        <w:tc>
          <w:tcPr>
            <w:tcW w:w="5498" w:type="dxa"/>
          </w:tcPr>
          <w:p w14:paraId="198B38EE" w14:textId="77777777" w:rsidR="009D180D" w:rsidRPr="009D180D" w:rsidRDefault="009D180D" w:rsidP="009D180D">
            <w:pPr>
              <w:spacing w:line="278" w:lineRule="auto"/>
              <w:rPr>
                <w:sz w:val="18"/>
                <w:szCs w:val="18"/>
                <w:lang w:val="es-ES"/>
              </w:rPr>
            </w:pPr>
            <w:r w:rsidRPr="009D180D">
              <w:rPr>
                <w:sz w:val="18"/>
                <w:szCs w:val="18"/>
                <w:lang w:val="es-ES"/>
              </w:rPr>
              <w:t xml:space="preserve">Party </w:t>
            </w:r>
            <w:proofErr w:type="spellStart"/>
            <w:r w:rsidRPr="009D180D">
              <w:rPr>
                <w:sz w:val="18"/>
                <w:szCs w:val="18"/>
                <w:lang w:val="es-ES"/>
              </w:rPr>
              <w:t>count</w:t>
            </w:r>
            <w:proofErr w:type="spellEnd"/>
            <w:r w:rsidRPr="009D180D">
              <w:rPr>
                <w:sz w:val="18"/>
                <w:szCs w:val="18"/>
                <w:lang w:val="es-ES"/>
              </w:rPr>
              <w:t xml:space="preserve"> </w:t>
            </w:r>
            <w:proofErr w:type="spellStart"/>
            <w:r w:rsidRPr="009D180D">
              <w:rPr>
                <w:sz w:val="18"/>
                <w:szCs w:val="18"/>
                <w:lang w:val="es-ES"/>
              </w:rPr>
              <w:t>by</w:t>
            </w:r>
            <w:proofErr w:type="spellEnd"/>
            <w:r w:rsidRPr="009D180D">
              <w:rPr>
                <w:sz w:val="18"/>
                <w:szCs w:val="18"/>
                <w:lang w:val="es-ES"/>
              </w:rPr>
              <w:t xml:space="preserve"> </w:t>
            </w:r>
            <w:proofErr w:type="spellStart"/>
            <w:r w:rsidRPr="009D180D">
              <w:rPr>
                <w:sz w:val="18"/>
                <w:szCs w:val="18"/>
                <w:lang w:val="es-ES"/>
              </w:rPr>
              <w:t>region</w:t>
            </w:r>
            <w:proofErr w:type="spellEnd"/>
          </w:p>
        </w:tc>
        <w:tc>
          <w:tcPr>
            <w:tcW w:w="3855" w:type="dxa"/>
          </w:tcPr>
          <w:p w14:paraId="0D13D0B1" w14:textId="3EB445BC" w:rsidR="009D180D" w:rsidRPr="009D180D" w:rsidRDefault="009D180D" w:rsidP="009D180D">
            <w:pPr>
              <w:spacing w:line="278" w:lineRule="auto"/>
              <w:rPr>
                <w:sz w:val="18"/>
                <w:szCs w:val="18"/>
                <w:lang w:val="es-ES"/>
              </w:rPr>
            </w:pPr>
            <w:r w:rsidRPr="009D180D">
              <w:rPr>
                <w:sz w:val="18"/>
                <w:szCs w:val="18"/>
                <w:lang w:val="es-ES"/>
              </w:rPr>
              <w:t>Número de Partes por región</w:t>
            </w:r>
          </w:p>
        </w:tc>
      </w:tr>
      <w:tr w:rsidR="009D180D" w:rsidRPr="009D180D" w14:paraId="07BEC0B2" w14:textId="77777777" w:rsidTr="009D180D">
        <w:tc>
          <w:tcPr>
            <w:tcW w:w="5498" w:type="dxa"/>
          </w:tcPr>
          <w:p w14:paraId="6032C3D3" w14:textId="77777777" w:rsidR="009D180D" w:rsidRPr="009D180D" w:rsidRDefault="009D180D" w:rsidP="009D180D">
            <w:pPr>
              <w:spacing w:line="278" w:lineRule="auto"/>
              <w:rPr>
                <w:sz w:val="18"/>
                <w:szCs w:val="18"/>
                <w:lang w:val="es-ES"/>
              </w:rPr>
            </w:pPr>
            <w:proofErr w:type="spellStart"/>
            <w:r w:rsidRPr="009D180D">
              <w:rPr>
                <w:sz w:val="18"/>
                <w:szCs w:val="18"/>
                <w:lang w:val="es-ES"/>
              </w:rPr>
              <w:t>Region</w:t>
            </w:r>
            <w:proofErr w:type="spellEnd"/>
          </w:p>
        </w:tc>
        <w:tc>
          <w:tcPr>
            <w:tcW w:w="3855" w:type="dxa"/>
          </w:tcPr>
          <w:p w14:paraId="168F4FA5" w14:textId="24E412F2" w:rsidR="009D180D" w:rsidRPr="009D180D" w:rsidRDefault="009D180D" w:rsidP="009D180D">
            <w:pPr>
              <w:spacing w:line="278" w:lineRule="auto"/>
              <w:rPr>
                <w:sz w:val="18"/>
                <w:szCs w:val="18"/>
                <w:lang w:val="es-ES"/>
              </w:rPr>
            </w:pPr>
            <w:r w:rsidRPr="009D180D">
              <w:rPr>
                <w:sz w:val="18"/>
                <w:szCs w:val="18"/>
                <w:lang w:val="es-ES"/>
              </w:rPr>
              <w:t>Región</w:t>
            </w:r>
          </w:p>
        </w:tc>
      </w:tr>
      <w:tr w:rsidR="009D180D" w:rsidRPr="009D180D" w14:paraId="6C30F0D8" w14:textId="77777777" w:rsidTr="009D180D">
        <w:tc>
          <w:tcPr>
            <w:tcW w:w="5498" w:type="dxa"/>
          </w:tcPr>
          <w:p w14:paraId="3BF331E6" w14:textId="77777777" w:rsidR="009D180D" w:rsidRPr="009D180D" w:rsidRDefault="009D180D" w:rsidP="009D180D">
            <w:pPr>
              <w:spacing w:line="278" w:lineRule="auto"/>
              <w:rPr>
                <w:sz w:val="18"/>
                <w:szCs w:val="18"/>
                <w:lang w:val="es-ES"/>
              </w:rPr>
            </w:pPr>
            <w:r w:rsidRPr="009D180D">
              <w:rPr>
                <w:sz w:val="18"/>
                <w:szCs w:val="18"/>
                <w:lang w:val="es-ES"/>
              </w:rPr>
              <w:t>African States</w:t>
            </w:r>
          </w:p>
        </w:tc>
        <w:tc>
          <w:tcPr>
            <w:tcW w:w="3855" w:type="dxa"/>
          </w:tcPr>
          <w:p w14:paraId="7BCE1819" w14:textId="5CB789A1" w:rsidR="009D180D" w:rsidRPr="009D180D" w:rsidRDefault="009D180D" w:rsidP="009D180D">
            <w:pPr>
              <w:spacing w:line="278" w:lineRule="auto"/>
              <w:rPr>
                <w:sz w:val="18"/>
                <w:szCs w:val="18"/>
                <w:lang w:val="es-ES"/>
              </w:rPr>
            </w:pPr>
            <w:r w:rsidRPr="009D180D">
              <w:rPr>
                <w:sz w:val="18"/>
                <w:szCs w:val="18"/>
                <w:lang w:val="es-ES"/>
              </w:rPr>
              <w:t>Estados de África</w:t>
            </w:r>
          </w:p>
        </w:tc>
      </w:tr>
      <w:tr w:rsidR="009D180D" w:rsidRPr="009D180D" w14:paraId="0E38C724" w14:textId="77777777" w:rsidTr="009D180D">
        <w:tc>
          <w:tcPr>
            <w:tcW w:w="5498" w:type="dxa"/>
          </w:tcPr>
          <w:p w14:paraId="2C9491BF" w14:textId="77777777" w:rsidR="009D180D" w:rsidRPr="009D180D" w:rsidRDefault="009D180D" w:rsidP="009D180D">
            <w:pPr>
              <w:spacing w:line="278" w:lineRule="auto"/>
              <w:rPr>
                <w:sz w:val="18"/>
                <w:szCs w:val="18"/>
                <w:lang w:val="es-ES"/>
              </w:rPr>
            </w:pPr>
            <w:r w:rsidRPr="009D180D">
              <w:rPr>
                <w:sz w:val="18"/>
                <w:szCs w:val="18"/>
                <w:lang w:val="es-ES"/>
              </w:rPr>
              <w:t>Asia-Pacific States</w:t>
            </w:r>
          </w:p>
        </w:tc>
        <w:tc>
          <w:tcPr>
            <w:tcW w:w="3855" w:type="dxa"/>
          </w:tcPr>
          <w:p w14:paraId="5AA808DA" w14:textId="0827DCC7" w:rsidR="009D180D" w:rsidRPr="009D180D" w:rsidRDefault="009D180D" w:rsidP="009D180D">
            <w:pPr>
              <w:spacing w:line="278" w:lineRule="auto"/>
              <w:rPr>
                <w:sz w:val="18"/>
                <w:szCs w:val="18"/>
                <w:lang w:val="es-ES"/>
              </w:rPr>
            </w:pPr>
            <w:r w:rsidRPr="009D180D">
              <w:rPr>
                <w:sz w:val="18"/>
                <w:szCs w:val="18"/>
                <w:lang w:val="es-ES"/>
              </w:rPr>
              <w:t>Estados de Asia y el Pacífico</w:t>
            </w:r>
          </w:p>
        </w:tc>
      </w:tr>
      <w:tr w:rsidR="009D180D" w:rsidRPr="009D180D" w14:paraId="281D1CCA" w14:textId="77777777" w:rsidTr="009D180D">
        <w:tc>
          <w:tcPr>
            <w:tcW w:w="5498" w:type="dxa"/>
          </w:tcPr>
          <w:p w14:paraId="333C6175" w14:textId="77777777" w:rsidR="009D180D" w:rsidRPr="009D180D" w:rsidRDefault="009D180D" w:rsidP="009D180D">
            <w:pPr>
              <w:spacing w:line="278" w:lineRule="auto"/>
              <w:rPr>
                <w:sz w:val="18"/>
                <w:szCs w:val="18"/>
                <w:lang w:val="en-US"/>
              </w:rPr>
            </w:pPr>
            <w:r w:rsidRPr="009D180D">
              <w:rPr>
                <w:sz w:val="18"/>
                <w:szCs w:val="18"/>
                <w:lang w:val="en-US"/>
              </w:rPr>
              <w:t>Latin American and Caribbean States</w:t>
            </w:r>
          </w:p>
        </w:tc>
        <w:tc>
          <w:tcPr>
            <w:tcW w:w="3855" w:type="dxa"/>
          </w:tcPr>
          <w:p w14:paraId="2E7393E1" w14:textId="7C4D785C" w:rsidR="009D180D" w:rsidRPr="009D180D" w:rsidRDefault="009D180D" w:rsidP="009D180D">
            <w:pPr>
              <w:spacing w:line="278" w:lineRule="auto"/>
              <w:rPr>
                <w:sz w:val="18"/>
                <w:szCs w:val="18"/>
                <w:lang w:val="es-ES"/>
              </w:rPr>
            </w:pPr>
            <w:r w:rsidRPr="009D180D">
              <w:rPr>
                <w:sz w:val="18"/>
                <w:szCs w:val="18"/>
                <w:lang w:val="es-ES"/>
              </w:rPr>
              <w:t>Estados de América Latina y el Caribe</w:t>
            </w:r>
          </w:p>
        </w:tc>
      </w:tr>
      <w:tr w:rsidR="009D180D" w:rsidRPr="009D180D" w14:paraId="15361A44" w14:textId="77777777" w:rsidTr="009D180D">
        <w:tc>
          <w:tcPr>
            <w:tcW w:w="5498" w:type="dxa"/>
          </w:tcPr>
          <w:p w14:paraId="7FE64047" w14:textId="77777777" w:rsidR="009D180D" w:rsidRPr="009D180D" w:rsidRDefault="009D180D" w:rsidP="009D180D">
            <w:pPr>
              <w:spacing w:line="278" w:lineRule="auto"/>
              <w:rPr>
                <w:sz w:val="18"/>
                <w:szCs w:val="18"/>
                <w:lang w:val="es-ES"/>
              </w:rPr>
            </w:pPr>
            <w:r w:rsidRPr="009D180D">
              <w:rPr>
                <w:sz w:val="18"/>
                <w:szCs w:val="18"/>
                <w:lang w:val="es-ES"/>
              </w:rPr>
              <w:t xml:space="preserve"> Eastern European States</w:t>
            </w:r>
          </w:p>
        </w:tc>
        <w:tc>
          <w:tcPr>
            <w:tcW w:w="3855" w:type="dxa"/>
          </w:tcPr>
          <w:p w14:paraId="3F3CEE43" w14:textId="430F58DC" w:rsidR="009D180D" w:rsidRPr="009D180D" w:rsidRDefault="009D180D" w:rsidP="009D180D">
            <w:pPr>
              <w:spacing w:line="278" w:lineRule="auto"/>
              <w:rPr>
                <w:sz w:val="18"/>
                <w:szCs w:val="18"/>
                <w:lang w:val="es-ES"/>
              </w:rPr>
            </w:pPr>
            <w:r w:rsidRPr="009D180D">
              <w:rPr>
                <w:sz w:val="18"/>
                <w:szCs w:val="18"/>
                <w:lang w:val="es-ES"/>
              </w:rPr>
              <w:t>Estados de Europa Oriental</w:t>
            </w:r>
          </w:p>
        </w:tc>
      </w:tr>
      <w:tr w:rsidR="009D180D" w:rsidRPr="009D180D" w14:paraId="4D91C870" w14:textId="77777777" w:rsidTr="009D180D">
        <w:tc>
          <w:tcPr>
            <w:tcW w:w="5498" w:type="dxa"/>
          </w:tcPr>
          <w:p w14:paraId="579A514F" w14:textId="77777777" w:rsidR="009D180D" w:rsidRPr="009D180D" w:rsidRDefault="009D180D" w:rsidP="009D180D">
            <w:pPr>
              <w:spacing w:line="278" w:lineRule="auto"/>
              <w:rPr>
                <w:sz w:val="18"/>
                <w:szCs w:val="18"/>
                <w:lang w:val="en-US"/>
              </w:rPr>
            </w:pPr>
            <w:r w:rsidRPr="009D180D">
              <w:rPr>
                <w:sz w:val="18"/>
                <w:szCs w:val="18"/>
                <w:lang w:val="en-US"/>
              </w:rPr>
              <w:t>Western European and other States</w:t>
            </w:r>
          </w:p>
        </w:tc>
        <w:tc>
          <w:tcPr>
            <w:tcW w:w="3855" w:type="dxa"/>
          </w:tcPr>
          <w:p w14:paraId="562E1CCA" w14:textId="3ED0B814" w:rsidR="009D180D" w:rsidRPr="009D180D" w:rsidRDefault="009D180D" w:rsidP="009D180D">
            <w:pPr>
              <w:spacing w:line="278" w:lineRule="auto"/>
              <w:rPr>
                <w:sz w:val="18"/>
                <w:szCs w:val="18"/>
                <w:lang w:val="es-ES"/>
              </w:rPr>
            </w:pPr>
            <w:r w:rsidRPr="009D180D">
              <w:rPr>
                <w:sz w:val="18"/>
                <w:szCs w:val="18"/>
                <w:lang w:val="es-ES"/>
              </w:rPr>
              <w:t>Estados de Europa Occidental y otros Estados</w:t>
            </w:r>
          </w:p>
        </w:tc>
      </w:tr>
    </w:tbl>
    <w:p w14:paraId="2C40C068" w14:textId="77777777" w:rsidR="009D180D" w:rsidRPr="005E3D50" w:rsidRDefault="009D180D" w:rsidP="009713BF">
      <w:pPr>
        <w:spacing w:after="200" w:line="240" w:lineRule="auto"/>
        <w:rPr>
          <w:rFonts w:ascii="Aptos" w:eastAsiaTheme="minorEastAsia" w:hAnsi="Aptos" w:cs="Segoe UI"/>
          <w:i/>
          <w:iCs/>
          <w:color w:val="0E2841" w:themeColor="text2"/>
          <w:kern w:val="0"/>
          <w:sz w:val="18"/>
          <w:szCs w:val="18"/>
          <w:lang w:val="es-ES" w:eastAsia="ja-JP"/>
        </w:rPr>
      </w:pPr>
    </w:p>
    <w:p w14:paraId="08802D6E" w14:textId="77777777" w:rsidR="009713BF" w:rsidRPr="005E3D50" w:rsidRDefault="009713BF" w:rsidP="009713BF">
      <w:pPr>
        <w:rPr>
          <w:lang w:val="es-ES" w:eastAsia="ja-JP"/>
        </w:rPr>
      </w:pPr>
    </w:p>
    <w:p w14:paraId="385B8BCF" w14:textId="77777777" w:rsidR="009713BF" w:rsidRPr="005E3D50" w:rsidRDefault="009713BF" w:rsidP="009713BF">
      <w:pPr>
        <w:rPr>
          <w:sz w:val="20"/>
          <w:szCs w:val="20"/>
          <w:lang w:val="es-ES"/>
        </w:rPr>
      </w:pPr>
      <w:bookmarkStart w:id="303" w:name="_Ref239001159"/>
      <w:r w:rsidRPr="005E3D50">
        <w:rPr>
          <w:sz w:val="20"/>
          <w:lang w:val="es-ES"/>
        </w:rPr>
        <w:t>Figura 42</w:t>
      </w:r>
      <w:bookmarkEnd w:id="303"/>
    </w:p>
    <w:p w14:paraId="2B0F5C8B" w14:textId="77777777" w:rsidR="009713BF" w:rsidRPr="005E3D50" w:rsidRDefault="009713BF" w:rsidP="009713BF">
      <w:pPr>
        <w:rPr>
          <w:rFonts w:ascii="Aptos" w:eastAsiaTheme="minorEastAsia" w:hAnsi="Aptos"/>
          <w:b/>
          <w:bCs/>
          <w:color w:val="0E2841" w:themeColor="text2"/>
          <w:kern w:val="0"/>
          <w:sz w:val="20"/>
          <w:szCs w:val="20"/>
          <w:lang w:val="es-ES"/>
          <w14:ligatures w14:val="none"/>
        </w:rPr>
      </w:pPr>
      <w:r w:rsidRPr="005E3D50">
        <w:rPr>
          <w:b/>
          <w:color w:val="0E2841" w:themeColor="text2"/>
          <w:sz w:val="20"/>
          <w:lang w:val="es-ES"/>
        </w:rPr>
        <w:t>Indicador de cabecera 10.2: progresos hacia la gestión forestal sostenible, subindicador a – tasa anual de cambio en la superficie forestal</w:t>
      </w:r>
    </w:p>
    <w:p w14:paraId="075DF9E5" w14:textId="77777777" w:rsidR="009713BF" w:rsidRPr="005E3D50" w:rsidRDefault="009713BF" w:rsidP="009713BF">
      <w:pPr>
        <w:rPr>
          <w:sz w:val="20"/>
          <w:szCs w:val="20"/>
          <w:lang w:val="es-ES" w:eastAsia="ja-JP"/>
        </w:rPr>
      </w:pPr>
    </w:p>
    <w:p w14:paraId="3B487EEA"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06D25CB1" wp14:editId="4F3AA554">
            <wp:extent cx="5731510" cy="4298950"/>
            <wp:effectExtent l="0" t="0" r="0" b="6350"/>
            <wp:docPr id="2422039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03914" name="Picture 242203914"/>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7399DBD"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Los valores del indicador muestran el promedio general y el intervalo intercuartílico de todas las comunicaciones de las Partes para cada año.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gráfico circular muestra la proporción</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del </w:t>
      </w:r>
      <w:r w:rsidRPr="005E3D50">
        <w:rPr>
          <w:rFonts w:eastAsiaTheme="minorEastAsia"/>
          <w:iCs/>
          <w:color w:val="0E2841" w:themeColor="text2"/>
          <w:kern w:val="0"/>
          <w:sz w:val="18"/>
          <w:szCs w:val="18"/>
          <w:lang w:val="es-ES" w:eastAsia="ja-JP"/>
          <w14:ligatures w14:val="none"/>
        </w:rPr>
        <w:t>total de superficies forestadas de todas las Partes que corresponde a aquellas Partes que comunicaron datos para el indicador.</w:t>
      </w:r>
      <w:r w:rsidRPr="005E3D50">
        <w:rPr>
          <w:rFonts w:ascii="Aptos" w:eastAsiaTheme="minorEastAsia" w:hAnsi="Aptos"/>
          <w:iCs/>
          <w:color w:val="0E2841" w:themeColor="text2"/>
          <w:kern w:val="0"/>
          <w:sz w:val="18"/>
          <w:szCs w:val="18"/>
          <w:lang w:val="es-ES" w:eastAsia="ja-JP"/>
          <w14:ligatures w14:val="none"/>
        </w:rPr>
        <w:t> </w:t>
      </w:r>
    </w:p>
    <w:tbl>
      <w:tblPr>
        <w:tblStyle w:val="TableGrid"/>
        <w:tblW w:w="9438" w:type="dxa"/>
        <w:tblLook w:val="04A0" w:firstRow="1" w:lastRow="0" w:firstColumn="1" w:lastColumn="0" w:noHBand="0" w:noVBand="1"/>
      </w:tblPr>
      <w:tblGrid>
        <w:gridCol w:w="5530"/>
        <w:gridCol w:w="3908"/>
      </w:tblGrid>
      <w:tr w:rsidR="00F85112" w:rsidRPr="002B1D2B" w14:paraId="0A34ED15" w14:textId="77777777" w:rsidTr="00F85112">
        <w:tc>
          <w:tcPr>
            <w:tcW w:w="9438" w:type="dxa"/>
            <w:gridSpan w:val="2"/>
          </w:tcPr>
          <w:p w14:paraId="2C77C7B3" w14:textId="05BCE181" w:rsidR="00F85112" w:rsidRPr="002B1D2B" w:rsidRDefault="007533CC" w:rsidP="00F85112">
            <w:pPr>
              <w:rPr>
                <w:sz w:val="18"/>
                <w:szCs w:val="18"/>
                <w:lang w:val="es-ES"/>
              </w:rPr>
            </w:pPr>
            <w:r w:rsidRPr="002B1D2B">
              <w:rPr>
                <w:sz w:val="18"/>
                <w:szCs w:val="18"/>
                <w:lang w:val="es-ES"/>
              </w:rPr>
              <w:t>Figura</w:t>
            </w:r>
            <w:r w:rsidR="002B1D2B" w:rsidRPr="002B1D2B">
              <w:rPr>
                <w:sz w:val="18"/>
                <w:szCs w:val="18"/>
                <w:lang w:val="es-ES"/>
              </w:rPr>
              <w:t xml:space="preserve"> 42</w:t>
            </w:r>
          </w:p>
        </w:tc>
      </w:tr>
      <w:tr w:rsidR="00F85112" w:rsidRPr="002B1D2B" w14:paraId="25B8BFA2" w14:textId="77777777" w:rsidTr="00F85112">
        <w:tc>
          <w:tcPr>
            <w:tcW w:w="5530" w:type="dxa"/>
          </w:tcPr>
          <w:p w14:paraId="6EC787A4" w14:textId="77777777" w:rsidR="00F85112" w:rsidRPr="002B1D2B" w:rsidRDefault="00F85112" w:rsidP="00F85112">
            <w:pPr>
              <w:spacing w:line="278" w:lineRule="auto"/>
              <w:rPr>
                <w:sz w:val="18"/>
                <w:szCs w:val="18"/>
                <w:lang w:val="es-ES"/>
              </w:rPr>
            </w:pPr>
            <w:r w:rsidRPr="002B1D2B">
              <w:rPr>
                <w:sz w:val="18"/>
                <w:szCs w:val="18"/>
                <w:lang w:val="es-ES"/>
              </w:rPr>
              <w:t xml:space="preserve">English </w:t>
            </w:r>
          </w:p>
        </w:tc>
        <w:tc>
          <w:tcPr>
            <w:tcW w:w="3907" w:type="dxa"/>
          </w:tcPr>
          <w:p w14:paraId="77AB8587" w14:textId="7188419C" w:rsidR="00F85112" w:rsidRPr="002B1D2B" w:rsidRDefault="007371B4" w:rsidP="00F85112">
            <w:pPr>
              <w:spacing w:line="278" w:lineRule="auto"/>
              <w:rPr>
                <w:sz w:val="18"/>
                <w:szCs w:val="18"/>
                <w:lang w:val="es-ES"/>
              </w:rPr>
            </w:pPr>
            <w:r w:rsidRPr="002B1D2B">
              <w:rPr>
                <w:sz w:val="18"/>
                <w:szCs w:val="18"/>
                <w:lang w:val="es-ES"/>
              </w:rPr>
              <w:t>Español</w:t>
            </w:r>
          </w:p>
        </w:tc>
      </w:tr>
      <w:tr w:rsidR="00F85112" w:rsidRPr="002B1D2B" w14:paraId="7134E222" w14:textId="77777777" w:rsidTr="00F85112">
        <w:tc>
          <w:tcPr>
            <w:tcW w:w="5530" w:type="dxa"/>
          </w:tcPr>
          <w:p w14:paraId="3B9C72E8" w14:textId="77777777" w:rsidR="00F85112" w:rsidRPr="002B1D2B" w:rsidRDefault="00F85112" w:rsidP="00F85112">
            <w:pPr>
              <w:spacing w:line="278" w:lineRule="auto"/>
              <w:rPr>
                <w:sz w:val="18"/>
                <w:szCs w:val="18"/>
                <w:lang w:val="es-ES"/>
              </w:rPr>
            </w:pPr>
            <w:r w:rsidRPr="002B1D2B">
              <w:rPr>
                <w:sz w:val="18"/>
                <w:szCs w:val="18"/>
                <w:lang w:val="es-ES"/>
              </w:rPr>
              <w:t xml:space="preserve"> Forest </w:t>
            </w:r>
            <w:proofErr w:type="spellStart"/>
            <w:r w:rsidRPr="002B1D2B">
              <w:rPr>
                <w:sz w:val="18"/>
                <w:szCs w:val="18"/>
                <w:lang w:val="es-ES"/>
              </w:rPr>
              <w:t>area</w:t>
            </w:r>
            <w:proofErr w:type="spellEnd"/>
            <w:r w:rsidRPr="002B1D2B">
              <w:rPr>
                <w:sz w:val="18"/>
                <w:szCs w:val="18"/>
                <w:lang w:val="es-ES"/>
              </w:rPr>
              <w:t xml:space="preserve"> </w:t>
            </w:r>
            <w:proofErr w:type="spellStart"/>
            <w:r w:rsidRPr="002B1D2B">
              <w:rPr>
                <w:sz w:val="18"/>
                <w:szCs w:val="18"/>
                <w:lang w:val="es-ES"/>
              </w:rPr>
              <w:t>change</w:t>
            </w:r>
            <w:proofErr w:type="spellEnd"/>
            <w:r w:rsidRPr="002B1D2B">
              <w:rPr>
                <w:sz w:val="18"/>
                <w:szCs w:val="18"/>
                <w:lang w:val="es-ES"/>
              </w:rPr>
              <w:t xml:space="preserve"> (%)</w:t>
            </w:r>
          </w:p>
        </w:tc>
        <w:tc>
          <w:tcPr>
            <w:tcW w:w="3907" w:type="dxa"/>
          </w:tcPr>
          <w:p w14:paraId="7BF10BF0" w14:textId="2BDC298F" w:rsidR="00F85112" w:rsidRPr="002B1D2B" w:rsidRDefault="00F85112" w:rsidP="00F85112">
            <w:pPr>
              <w:spacing w:line="278" w:lineRule="auto"/>
              <w:rPr>
                <w:sz w:val="18"/>
                <w:szCs w:val="18"/>
                <w:lang w:val="es-ES"/>
              </w:rPr>
            </w:pPr>
            <w:r w:rsidRPr="002B1D2B">
              <w:rPr>
                <w:sz w:val="18"/>
                <w:szCs w:val="18"/>
                <w:lang w:val="es-ES"/>
              </w:rPr>
              <w:t>Cambios en la superficie forestal (%)</w:t>
            </w:r>
          </w:p>
        </w:tc>
      </w:tr>
      <w:tr w:rsidR="00F85112" w:rsidRPr="002B1D2B" w14:paraId="6E72F9F6" w14:textId="77777777" w:rsidTr="00F85112">
        <w:tc>
          <w:tcPr>
            <w:tcW w:w="5530" w:type="dxa"/>
          </w:tcPr>
          <w:p w14:paraId="14D42286" w14:textId="77777777" w:rsidR="00F85112" w:rsidRPr="002B1D2B" w:rsidRDefault="00F85112" w:rsidP="00F85112">
            <w:pPr>
              <w:spacing w:line="278" w:lineRule="auto"/>
              <w:rPr>
                <w:sz w:val="18"/>
                <w:szCs w:val="18"/>
                <w:lang w:val="es-ES"/>
              </w:rPr>
            </w:pPr>
            <w:proofErr w:type="spellStart"/>
            <w:r w:rsidRPr="002B1D2B">
              <w:rPr>
                <w:sz w:val="18"/>
                <w:szCs w:val="18"/>
                <w:lang w:val="es-ES"/>
              </w:rPr>
              <w:t>Year</w:t>
            </w:r>
            <w:proofErr w:type="spellEnd"/>
          </w:p>
        </w:tc>
        <w:tc>
          <w:tcPr>
            <w:tcW w:w="3907" w:type="dxa"/>
          </w:tcPr>
          <w:p w14:paraId="293D1F03" w14:textId="38330BF8" w:rsidR="00F85112" w:rsidRPr="002B1D2B" w:rsidRDefault="00F85112" w:rsidP="00F85112">
            <w:pPr>
              <w:spacing w:line="278" w:lineRule="auto"/>
              <w:rPr>
                <w:sz w:val="18"/>
                <w:szCs w:val="18"/>
                <w:lang w:val="es-ES"/>
              </w:rPr>
            </w:pPr>
            <w:r w:rsidRPr="002B1D2B">
              <w:rPr>
                <w:sz w:val="18"/>
                <w:szCs w:val="18"/>
                <w:lang w:val="es-ES"/>
              </w:rPr>
              <w:t>Año</w:t>
            </w:r>
          </w:p>
        </w:tc>
      </w:tr>
      <w:tr w:rsidR="00F85112" w:rsidRPr="002B1D2B" w14:paraId="50C105EA" w14:textId="77777777" w:rsidTr="00F85112">
        <w:tc>
          <w:tcPr>
            <w:tcW w:w="5530" w:type="dxa"/>
          </w:tcPr>
          <w:p w14:paraId="4BEC57AA" w14:textId="77777777" w:rsidR="00F85112" w:rsidRPr="002B1D2B" w:rsidRDefault="00F85112" w:rsidP="00F85112">
            <w:pPr>
              <w:spacing w:line="278" w:lineRule="auto"/>
              <w:rPr>
                <w:sz w:val="18"/>
                <w:szCs w:val="18"/>
                <w:lang w:val="es-ES"/>
              </w:rPr>
            </w:pPr>
            <w:r w:rsidRPr="002B1D2B">
              <w:rPr>
                <w:sz w:val="18"/>
                <w:szCs w:val="18"/>
                <w:lang w:val="es-ES"/>
              </w:rPr>
              <w:t xml:space="preserve">Party </w:t>
            </w:r>
            <w:proofErr w:type="spellStart"/>
            <w:r w:rsidRPr="002B1D2B">
              <w:rPr>
                <w:sz w:val="18"/>
                <w:szCs w:val="18"/>
                <w:lang w:val="es-ES"/>
              </w:rPr>
              <w:t>count</w:t>
            </w:r>
            <w:proofErr w:type="spellEnd"/>
            <w:r w:rsidRPr="002B1D2B">
              <w:rPr>
                <w:sz w:val="18"/>
                <w:szCs w:val="18"/>
                <w:lang w:val="es-ES"/>
              </w:rPr>
              <w:t>: 23</w:t>
            </w:r>
          </w:p>
        </w:tc>
        <w:tc>
          <w:tcPr>
            <w:tcW w:w="3907" w:type="dxa"/>
          </w:tcPr>
          <w:p w14:paraId="44EBF3FE" w14:textId="195F0BB4" w:rsidR="00F85112" w:rsidRPr="002B1D2B" w:rsidRDefault="00F85112" w:rsidP="00F85112">
            <w:pPr>
              <w:spacing w:line="278" w:lineRule="auto"/>
              <w:rPr>
                <w:sz w:val="18"/>
                <w:szCs w:val="18"/>
                <w:lang w:val="es-ES"/>
              </w:rPr>
            </w:pPr>
            <w:r w:rsidRPr="002B1D2B">
              <w:rPr>
                <w:sz w:val="18"/>
                <w:szCs w:val="18"/>
                <w:lang w:val="es-ES"/>
              </w:rPr>
              <w:t>Número de Partes: 23</w:t>
            </w:r>
          </w:p>
        </w:tc>
      </w:tr>
      <w:tr w:rsidR="00F85112" w:rsidRPr="002B1D2B" w14:paraId="56F318A6" w14:textId="77777777" w:rsidTr="00F85112">
        <w:tc>
          <w:tcPr>
            <w:tcW w:w="5530" w:type="dxa"/>
          </w:tcPr>
          <w:p w14:paraId="180CB050" w14:textId="77777777" w:rsidR="00F85112" w:rsidRPr="002B1D2B" w:rsidRDefault="00F85112" w:rsidP="00F85112">
            <w:pPr>
              <w:spacing w:line="278" w:lineRule="auto"/>
              <w:rPr>
                <w:sz w:val="18"/>
                <w:szCs w:val="18"/>
                <w:lang w:val="es-ES"/>
              </w:rPr>
            </w:pPr>
            <w:r w:rsidRPr="002B1D2B">
              <w:rPr>
                <w:sz w:val="18"/>
                <w:szCs w:val="18"/>
                <w:lang w:val="es-ES"/>
              </w:rPr>
              <w:t xml:space="preserve">Share of </w:t>
            </w:r>
            <w:proofErr w:type="spellStart"/>
            <w:r w:rsidRPr="002B1D2B">
              <w:rPr>
                <w:sz w:val="18"/>
                <w:szCs w:val="18"/>
                <w:lang w:val="es-ES"/>
              </w:rPr>
              <w:t>forest</w:t>
            </w:r>
            <w:proofErr w:type="spellEnd"/>
            <w:r w:rsidRPr="002B1D2B">
              <w:rPr>
                <w:sz w:val="18"/>
                <w:szCs w:val="18"/>
                <w:lang w:val="es-ES"/>
              </w:rPr>
              <w:t xml:space="preserve"> </w:t>
            </w:r>
            <w:proofErr w:type="spellStart"/>
            <w:r w:rsidRPr="002B1D2B">
              <w:rPr>
                <w:sz w:val="18"/>
                <w:szCs w:val="18"/>
                <w:lang w:val="es-ES"/>
              </w:rPr>
              <w:t>area</w:t>
            </w:r>
            <w:proofErr w:type="spellEnd"/>
          </w:p>
        </w:tc>
        <w:tc>
          <w:tcPr>
            <w:tcW w:w="3907" w:type="dxa"/>
          </w:tcPr>
          <w:p w14:paraId="39D4996C" w14:textId="6E50AD5D" w:rsidR="00F85112" w:rsidRPr="002B1D2B" w:rsidRDefault="00F85112" w:rsidP="00F85112">
            <w:pPr>
              <w:spacing w:line="278" w:lineRule="auto"/>
              <w:rPr>
                <w:sz w:val="18"/>
                <w:szCs w:val="18"/>
                <w:lang w:val="es-ES"/>
              </w:rPr>
            </w:pPr>
            <w:r w:rsidRPr="002B1D2B">
              <w:rPr>
                <w:sz w:val="18"/>
                <w:szCs w:val="18"/>
                <w:lang w:val="es-ES"/>
              </w:rPr>
              <w:t>Porcentaje de superficie forestal</w:t>
            </w:r>
          </w:p>
        </w:tc>
      </w:tr>
      <w:tr w:rsidR="00F85112" w:rsidRPr="002B1D2B" w14:paraId="74EFA8F3" w14:textId="77777777" w:rsidTr="00F85112">
        <w:tc>
          <w:tcPr>
            <w:tcW w:w="5530" w:type="dxa"/>
          </w:tcPr>
          <w:p w14:paraId="4705870C" w14:textId="77777777" w:rsidR="00F85112" w:rsidRPr="002B1D2B" w:rsidRDefault="00F85112" w:rsidP="00F85112">
            <w:pPr>
              <w:spacing w:line="278" w:lineRule="auto"/>
              <w:rPr>
                <w:sz w:val="18"/>
                <w:szCs w:val="18"/>
                <w:lang w:val="es-ES"/>
              </w:rPr>
            </w:pPr>
            <w:r w:rsidRPr="002B1D2B">
              <w:rPr>
                <w:sz w:val="18"/>
                <w:szCs w:val="18"/>
                <w:lang w:val="es-ES"/>
              </w:rPr>
              <w:t xml:space="preserve">Party </w:t>
            </w:r>
            <w:proofErr w:type="spellStart"/>
            <w:r w:rsidRPr="002B1D2B">
              <w:rPr>
                <w:sz w:val="18"/>
                <w:szCs w:val="18"/>
                <w:lang w:val="es-ES"/>
              </w:rPr>
              <w:t>count</w:t>
            </w:r>
            <w:proofErr w:type="spellEnd"/>
            <w:r w:rsidRPr="002B1D2B">
              <w:rPr>
                <w:sz w:val="18"/>
                <w:szCs w:val="18"/>
                <w:lang w:val="es-ES"/>
              </w:rPr>
              <w:t xml:space="preserve"> </w:t>
            </w:r>
            <w:proofErr w:type="spellStart"/>
            <w:r w:rsidRPr="002B1D2B">
              <w:rPr>
                <w:sz w:val="18"/>
                <w:szCs w:val="18"/>
                <w:lang w:val="es-ES"/>
              </w:rPr>
              <w:t>by</w:t>
            </w:r>
            <w:proofErr w:type="spellEnd"/>
            <w:r w:rsidRPr="002B1D2B">
              <w:rPr>
                <w:sz w:val="18"/>
                <w:szCs w:val="18"/>
                <w:lang w:val="es-ES"/>
              </w:rPr>
              <w:t xml:space="preserve"> </w:t>
            </w:r>
            <w:proofErr w:type="spellStart"/>
            <w:r w:rsidRPr="002B1D2B">
              <w:rPr>
                <w:sz w:val="18"/>
                <w:szCs w:val="18"/>
                <w:lang w:val="es-ES"/>
              </w:rPr>
              <w:t>region</w:t>
            </w:r>
            <w:proofErr w:type="spellEnd"/>
          </w:p>
        </w:tc>
        <w:tc>
          <w:tcPr>
            <w:tcW w:w="3907" w:type="dxa"/>
          </w:tcPr>
          <w:p w14:paraId="3A1AC308" w14:textId="2817B2BC" w:rsidR="00F85112" w:rsidRPr="002B1D2B" w:rsidRDefault="00F85112" w:rsidP="00F85112">
            <w:pPr>
              <w:spacing w:line="278" w:lineRule="auto"/>
              <w:rPr>
                <w:sz w:val="18"/>
                <w:szCs w:val="18"/>
                <w:lang w:val="es-ES"/>
              </w:rPr>
            </w:pPr>
            <w:r w:rsidRPr="002B1D2B">
              <w:rPr>
                <w:sz w:val="18"/>
                <w:szCs w:val="18"/>
                <w:lang w:val="es-ES"/>
              </w:rPr>
              <w:t>Número de Partes por región</w:t>
            </w:r>
          </w:p>
        </w:tc>
      </w:tr>
      <w:tr w:rsidR="00F85112" w:rsidRPr="002B1D2B" w14:paraId="7F23C39B" w14:textId="77777777" w:rsidTr="00F85112">
        <w:tc>
          <w:tcPr>
            <w:tcW w:w="5530" w:type="dxa"/>
          </w:tcPr>
          <w:p w14:paraId="29316AFD" w14:textId="77777777" w:rsidR="00F85112" w:rsidRPr="002B1D2B" w:rsidRDefault="00F85112" w:rsidP="00F85112">
            <w:pPr>
              <w:spacing w:line="278" w:lineRule="auto"/>
              <w:rPr>
                <w:sz w:val="18"/>
                <w:szCs w:val="18"/>
                <w:lang w:val="es-ES"/>
              </w:rPr>
            </w:pPr>
            <w:proofErr w:type="spellStart"/>
            <w:r w:rsidRPr="002B1D2B">
              <w:rPr>
                <w:sz w:val="18"/>
                <w:szCs w:val="18"/>
                <w:lang w:val="es-ES"/>
              </w:rPr>
              <w:t>Region</w:t>
            </w:r>
            <w:proofErr w:type="spellEnd"/>
          </w:p>
        </w:tc>
        <w:tc>
          <w:tcPr>
            <w:tcW w:w="3907" w:type="dxa"/>
          </w:tcPr>
          <w:p w14:paraId="67E2375C" w14:textId="3030AA25" w:rsidR="00F85112" w:rsidRPr="002B1D2B" w:rsidRDefault="00F85112" w:rsidP="00F85112">
            <w:pPr>
              <w:spacing w:line="278" w:lineRule="auto"/>
              <w:rPr>
                <w:sz w:val="18"/>
                <w:szCs w:val="18"/>
                <w:lang w:val="es-ES"/>
              </w:rPr>
            </w:pPr>
            <w:r w:rsidRPr="002B1D2B">
              <w:rPr>
                <w:sz w:val="18"/>
                <w:szCs w:val="18"/>
                <w:lang w:val="es-ES"/>
              </w:rPr>
              <w:t>Región</w:t>
            </w:r>
          </w:p>
        </w:tc>
      </w:tr>
      <w:tr w:rsidR="00F85112" w:rsidRPr="002B1D2B" w14:paraId="5D54E57C" w14:textId="77777777" w:rsidTr="00F85112">
        <w:tc>
          <w:tcPr>
            <w:tcW w:w="5530" w:type="dxa"/>
          </w:tcPr>
          <w:p w14:paraId="1A140A8C" w14:textId="77777777" w:rsidR="00F85112" w:rsidRPr="002B1D2B" w:rsidRDefault="00F85112" w:rsidP="00F85112">
            <w:pPr>
              <w:spacing w:line="278" w:lineRule="auto"/>
              <w:rPr>
                <w:sz w:val="18"/>
                <w:szCs w:val="18"/>
                <w:lang w:val="es-ES"/>
              </w:rPr>
            </w:pPr>
            <w:r w:rsidRPr="002B1D2B">
              <w:rPr>
                <w:sz w:val="18"/>
                <w:szCs w:val="18"/>
                <w:lang w:val="es-ES"/>
              </w:rPr>
              <w:lastRenderedPageBreak/>
              <w:t>African States</w:t>
            </w:r>
          </w:p>
        </w:tc>
        <w:tc>
          <w:tcPr>
            <w:tcW w:w="3907" w:type="dxa"/>
          </w:tcPr>
          <w:p w14:paraId="0DE54C71" w14:textId="55FC0ABB" w:rsidR="00F85112" w:rsidRPr="002B1D2B" w:rsidRDefault="00F85112" w:rsidP="00F85112">
            <w:pPr>
              <w:spacing w:line="278" w:lineRule="auto"/>
              <w:rPr>
                <w:sz w:val="18"/>
                <w:szCs w:val="18"/>
                <w:lang w:val="es-ES"/>
              </w:rPr>
            </w:pPr>
            <w:r w:rsidRPr="002B1D2B">
              <w:rPr>
                <w:sz w:val="18"/>
                <w:szCs w:val="18"/>
                <w:lang w:val="es-ES"/>
              </w:rPr>
              <w:t>Estados de África</w:t>
            </w:r>
          </w:p>
        </w:tc>
      </w:tr>
      <w:tr w:rsidR="00F85112" w:rsidRPr="002B1D2B" w14:paraId="629A18A9" w14:textId="77777777" w:rsidTr="00F85112">
        <w:tc>
          <w:tcPr>
            <w:tcW w:w="5530" w:type="dxa"/>
          </w:tcPr>
          <w:p w14:paraId="1CF4B89D" w14:textId="77777777" w:rsidR="00F85112" w:rsidRPr="002B1D2B" w:rsidRDefault="00F85112" w:rsidP="00F85112">
            <w:pPr>
              <w:spacing w:line="278" w:lineRule="auto"/>
              <w:rPr>
                <w:sz w:val="18"/>
                <w:szCs w:val="18"/>
                <w:lang w:val="es-ES"/>
              </w:rPr>
            </w:pPr>
            <w:r w:rsidRPr="002B1D2B">
              <w:rPr>
                <w:sz w:val="18"/>
                <w:szCs w:val="18"/>
                <w:lang w:val="es-ES"/>
              </w:rPr>
              <w:t>Asia-Pacific States</w:t>
            </w:r>
          </w:p>
        </w:tc>
        <w:tc>
          <w:tcPr>
            <w:tcW w:w="3907" w:type="dxa"/>
          </w:tcPr>
          <w:p w14:paraId="735B2E75" w14:textId="4134981A" w:rsidR="00F85112" w:rsidRPr="002B1D2B" w:rsidRDefault="00F85112" w:rsidP="00F85112">
            <w:pPr>
              <w:spacing w:line="278" w:lineRule="auto"/>
              <w:rPr>
                <w:sz w:val="18"/>
                <w:szCs w:val="18"/>
                <w:lang w:val="es-ES"/>
              </w:rPr>
            </w:pPr>
            <w:r w:rsidRPr="002B1D2B">
              <w:rPr>
                <w:sz w:val="18"/>
                <w:szCs w:val="18"/>
                <w:lang w:val="es-ES"/>
              </w:rPr>
              <w:t>Estados de Asia y el Pacífico</w:t>
            </w:r>
          </w:p>
        </w:tc>
      </w:tr>
      <w:tr w:rsidR="00F85112" w:rsidRPr="002B1D2B" w14:paraId="02B51192" w14:textId="77777777" w:rsidTr="00F85112">
        <w:tc>
          <w:tcPr>
            <w:tcW w:w="5530" w:type="dxa"/>
          </w:tcPr>
          <w:p w14:paraId="4CB0F7E4" w14:textId="77777777" w:rsidR="00F85112" w:rsidRPr="002B1D2B" w:rsidRDefault="00F85112" w:rsidP="00F85112">
            <w:pPr>
              <w:spacing w:line="278" w:lineRule="auto"/>
              <w:rPr>
                <w:sz w:val="18"/>
                <w:szCs w:val="18"/>
                <w:lang w:val="en-US"/>
              </w:rPr>
            </w:pPr>
            <w:r w:rsidRPr="002B1D2B">
              <w:rPr>
                <w:sz w:val="18"/>
                <w:szCs w:val="18"/>
                <w:lang w:val="en-US"/>
              </w:rPr>
              <w:t>Latin American and Caribbean States</w:t>
            </w:r>
          </w:p>
        </w:tc>
        <w:tc>
          <w:tcPr>
            <w:tcW w:w="3907" w:type="dxa"/>
          </w:tcPr>
          <w:p w14:paraId="3C22C044" w14:textId="19BBF411" w:rsidR="00F85112" w:rsidRPr="002B1D2B" w:rsidRDefault="00F85112" w:rsidP="00F85112">
            <w:pPr>
              <w:spacing w:line="278" w:lineRule="auto"/>
              <w:rPr>
                <w:sz w:val="18"/>
                <w:szCs w:val="18"/>
                <w:lang w:val="es-ES"/>
              </w:rPr>
            </w:pPr>
            <w:r w:rsidRPr="002B1D2B">
              <w:rPr>
                <w:sz w:val="18"/>
                <w:szCs w:val="18"/>
                <w:lang w:val="es-ES"/>
              </w:rPr>
              <w:t>Estados de América Latina y el Caribe</w:t>
            </w:r>
          </w:p>
        </w:tc>
      </w:tr>
      <w:tr w:rsidR="00F85112" w:rsidRPr="002B1D2B" w14:paraId="0663AA1E" w14:textId="77777777" w:rsidTr="00F85112">
        <w:tc>
          <w:tcPr>
            <w:tcW w:w="5530" w:type="dxa"/>
          </w:tcPr>
          <w:p w14:paraId="776FB12D" w14:textId="77777777" w:rsidR="00F85112" w:rsidRPr="002B1D2B" w:rsidRDefault="00F85112" w:rsidP="00F85112">
            <w:pPr>
              <w:spacing w:line="278" w:lineRule="auto"/>
              <w:rPr>
                <w:sz w:val="18"/>
                <w:szCs w:val="18"/>
                <w:lang w:val="es-ES"/>
              </w:rPr>
            </w:pPr>
            <w:r w:rsidRPr="002B1D2B">
              <w:rPr>
                <w:sz w:val="18"/>
                <w:szCs w:val="18"/>
                <w:lang w:val="es-ES"/>
              </w:rPr>
              <w:t xml:space="preserve"> Eastern European States</w:t>
            </w:r>
          </w:p>
        </w:tc>
        <w:tc>
          <w:tcPr>
            <w:tcW w:w="3907" w:type="dxa"/>
          </w:tcPr>
          <w:p w14:paraId="12ED12D3" w14:textId="5A8EE2C0" w:rsidR="00F85112" w:rsidRPr="002B1D2B" w:rsidRDefault="00F85112" w:rsidP="00F85112">
            <w:pPr>
              <w:spacing w:line="278" w:lineRule="auto"/>
              <w:rPr>
                <w:sz w:val="18"/>
                <w:szCs w:val="18"/>
                <w:lang w:val="es-ES"/>
              </w:rPr>
            </w:pPr>
            <w:r w:rsidRPr="002B1D2B">
              <w:rPr>
                <w:sz w:val="18"/>
                <w:szCs w:val="18"/>
                <w:lang w:val="es-ES"/>
              </w:rPr>
              <w:t>Estados de Europa Oriental</w:t>
            </w:r>
          </w:p>
        </w:tc>
      </w:tr>
      <w:tr w:rsidR="00F85112" w:rsidRPr="002B1D2B" w14:paraId="5890B647" w14:textId="77777777" w:rsidTr="00F85112">
        <w:tc>
          <w:tcPr>
            <w:tcW w:w="5530" w:type="dxa"/>
          </w:tcPr>
          <w:p w14:paraId="3882072F" w14:textId="77777777" w:rsidR="00F85112" w:rsidRPr="002B1D2B" w:rsidRDefault="00F85112" w:rsidP="00F85112">
            <w:pPr>
              <w:spacing w:line="278" w:lineRule="auto"/>
              <w:rPr>
                <w:sz w:val="18"/>
                <w:szCs w:val="18"/>
                <w:lang w:val="en-US"/>
              </w:rPr>
            </w:pPr>
            <w:r w:rsidRPr="002B1D2B">
              <w:rPr>
                <w:sz w:val="18"/>
                <w:szCs w:val="18"/>
                <w:lang w:val="en-US"/>
              </w:rPr>
              <w:t xml:space="preserve">Western European and </w:t>
            </w:r>
            <w:proofErr w:type="spellStart"/>
            <w:r w:rsidRPr="002B1D2B">
              <w:rPr>
                <w:sz w:val="18"/>
                <w:szCs w:val="18"/>
                <w:lang w:val="en-US"/>
              </w:rPr>
              <w:t>Ooher</w:t>
            </w:r>
            <w:proofErr w:type="spellEnd"/>
            <w:r w:rsidRPr="002B1D2B">
              <w:rPr>
                <w:sz w:val="18"/>
                <w:szCs w:val="18"/>
                <w:lang w:val="en-US"/>
              </w:rPr>
              <w:t xml:space="preserve"> States</w:t>
            </w:r>
          </w:p>
        </w:tc>
        <w:tc>
          <w:tcPr>
            <w:tcW w:w="3907" w:type="dxa"/>
          </w:tcPr>
          <w:p w14:paraId="6F5A5815" w14:textId="369DD0E5" w:rsidR="00F85112" w:rsidRPr="002B1D2B" w:rsidRDefault="00F85112" w:rsidP="00F85112">
            <w:pPr>
              <w:spacing w:line="278" w:lineRule="auto"/>
              <w:rPr>
                <w:sz w:val="18"/>
                <w:szCs w:val="18"/>
                <w:lang w:val="es-ES"/>
              </w:rPr>
            </w:pPr>
            <w:r w:rsidRPr="002B1D2B">
              <w:rPr>
                <w:sz w:val="18"/>
                <w:szCs w:val="18"/>
                <w:lang w:val="es-ES"/>
              </w:rPr>
              <w:t>Estados de Europa Occidental y otros Estados</w:t>
            </w:r>
          </w:p>
        </w:tc>
      </w:tr>
    </w:tbl>
    <w:p w14:paraId="2BAD5B55" w14:textId="77777777" w:rsidR="00F85112" w:rsidRPr="005E3D50" w:rsidRDefault="00F85112" w:rsidP="009713BF">
      <w:pPr>
        <w:spacing w:after="200" w:line="240" w:lineRule="auto"/>
        <w:rPr>
          <w:rFonts w:ascii="Aptos" w:eastAsiaTheme="minorEastAsia" w:hAnsi="Aptos" w:cs="Segoe UI"/>
          <w:color w:val="0E2841" w:themeColor="text2"/>
          <w:kern w:val="0"/>
          <w:sz w:val="18"/>
          <w:szCs w:val="18"/>
          <w:lang w:val="es-ES" w:eastAsia="ja-JP"/>
          <w14:ligatures w14:val="none"/>
        </w:rPr>
      </w:pPr>
    </w:p>
    <w:p w14:paraId="2865477C"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kern w:val="0"/>
          <w:lang w:val="es-ES"/>
          <w14:ligatures w14:val="none"/>
        </w:rPr>
        <w:t> </w:t>
      </w:r>
    </w:p>
    <w:p w14:paraId="50742222" w14:textId="77777777" w:rsidR="009713BF" w:rsidRPr="005E3D50" w:rsidRDefault="009713BF" w:rsidP="009713BF">
      <w:pPr>
        <w:spacing w:after="0" w:line="240" w:lineRule="auto"/>
        <w:textAlignment w:val="baseline"/>
        <w:rPr>
          <w:rFonts w:eastAsia="Times New Roman" w:cs="Times New Roman"/>
          <w:kern w:val="0"/>
          <w:sz w:val="20"/>
          <w:szCs w:val="20"/>
          <w:lang w:val="es-ES"/>
          <w14:ligatures w14:val="none"/>
        </w:rPr>
      </w:pPr>
      <w:r w:rsidRPr="005E3D50">
        <w:rPr>
          <w:rFonts w:eastAsia="Times New Roman" w:cs="Times New Roman"/>
          <w:kern w:val="0"/>
          <w:sz w:val="20"/>
          <w:lang w:val="es-ES"/>
          <w14:ligatures w14:val="none"/>
        </w:rPr>
        <w:t>Figura 43</w:t>
      </w:r>
    </w:p>
    <w:p w14:paraId="124E5423" w14:textId="77777777" w:rsidR="009713BF" w:rsidRPr="005E3D50" w:rsidRDefault="009713BF" w:rsidP="009713BF">
      <w:pPr>
        <w:spacing w:after="0" w:line="240" w:lineRule="auto"/>
        <w:textAlignment w:val="baseline"/>
        <w:rPr>
          <w:rFonts w:eastAsiaTheme="minorEastAsia"/>
          <w:b/>
          <w:bCs/>
          <w:color w:val="0E2841" w:themeColor="text2"/>
          <w:kern w:val="0"/>
          <w:sz w:val="20"/>
          <w:szCs w:val="20"/>
          <w:lang w:val="es-ES"/>
          <w14:ligatures w14:val="none"/>
        </w:rPr>
      </w:pPr>
      <w:r w:rsidRPr="005E3D50">
        <w:rPr>
          <w:rFonts w:eastAsia="Times New Roman" w:cs="Times New Roman"/>
          <w:b/>
          <w:color w:val="0E2841" w:themeColor="text2"/>
          <w:kern w:val="0"/>
          <w:sz w:val="20"/>
          <w:lang w:val="es-ES"/>
          <w14:ligatures w14:val="none"/>
        </w:rPr>
        <w:t>Indicador de cabecera 10.2: progresos hacia la gestión forestal sostenible, subindicador b – biomasa superficial en bosques</w:t>
      </w:r>
    </w:p>
    <w:p w14:paraId="61FE77C3" w14:textId="77777777" w:rsidR="009713BF" w:rsidRPr="005E3D50" w:rsidRDefault="009713BF" w:rsidP="009713BF">
      <w:pPr>
        <w:spacing w:after="0" w:line="240" w:lineRule="auto"/>
        <w:textAlignment w:val="baseline"/>
        <w:rPr>
          <w:rFonts w:eastAsia="Times New Roman" w:cs="Segoe UI"/>
          <w:kern w:val="0"/>
          <w:sz w:val="20"/>
          <w:szCs w:val="20"/>
          <w:lang w:val="es-ES"/>
          <w14:ligatures w14:val="none"/>
        </w:rPr>
      </w:pPr>
    </w:p>
    <w:p w14:paraId="7A4564C1"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17E555BE" wp14:editId="541725C6">
            <wp:extent cx="5731510" cy="4298950"/>
            <wp:effectExtent l="0" t="0" r="0" b="6350"/>
            <wp:docPr id="129039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9385" name="Picture 129039385"/>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337360D" w14:textId="77777777" w:rsidR="009713BF" w:rsidRPr="005E3D50" w:rsidRDefault="009713BF" w:rsidP="009713BF">
      <w:pPr>
        <w:spacing w:after="0" w:line="240" w:lineRule="auto"/>
        <w:textAlignment w:val="baseline"/>
        <w:rPr>
          <w:rFonts w:eastAsia="Times New Roman" w:cs="Segoe UI"/>
          <w:kern w:val="0"/>
          <w:sz w:val="18"/>
          <w:szCs w:val="18"/>
          <w:lang w:val="es-ES"/>
          <w14:ligatures w14:val="none"/>
        </w:rPr>
      </w:pPr>
      <w:r w:rsidRPr="005E3D50">
        <w:rPr>
          <w:rFonts w:eastAsia="Times New Roman" w:cs="Times New Roman"/>
          <w:i/>
          <w:kern w:val="0"/>
          <w:sz w:val="18"/>
          <w:lang w:val="es-ES"/>
          <w14:ligatures w14:val="none"/>
        </w:rPr>
        <w:t>Nota</w:t>
      </w:r>
      <w:r w:rsidRPr="005E3D50">
        <w:rPr>
          <w:rFonts w:eastAsia="Times New Roman" w:cs="Times New Roman"/>
          <w:kern w:val="0"/>
          <w:sz w:val="18"/>
          <w:lang w:val="es-ES"/>
          <w14:ligatures w14:val="none"/>
        </w:rPr>
        <w:t>: Los valores del indicador muestran el promedio general y el intervalo intercuartílico de todas las comunicaciones de las Partes para cada año.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gráfico circular muestra la proporción</w:t>
      </w:r>
      <w:r w:rsidRPr="005E3D50">
        <w:rPr>
          <w:rFonts w:ascii="Arial" w:eastAsia="Times New Roman" w:hAnsi="Arial" w:cs="Times New Roman"/>
          <w:kern w:val="0"/>
          <w:sz w:val="18"/>
          <w:lang w:val="es-ES"/>
          <w14:ligatures w14:val="none"/>
        </w:rPr>
        <w:t xml:space="preserve"> </w:t>
      </w:r>
      <w:r w:rsidRPr="005E3D50">
        <w:rPr>
          <w:rFonts w:eastAsia="Times New Roman" w:cs="Times New Roman"/>
          <w:kern w:val="0"/>
          <w:sz w:val="18"/>
          <w:lang w:val="es-ES"/>
          <w14:ligatures w14:val="none"/>
        </w:rPr>
        <w:t>del total de superficies forestadas de todas las Partes que corresponde a aquellas Partes que comunicaron datos para el indicador. </w:t>
      </w:r>
    </w:p>
    <w:p w14:paraId="082166F8" w14:textId="77777777" w:rsidR="009713BF" w:rsidRPr="005E3D50" w:rsidRDefault="009713BF" w:rsidP="009713BF">
      <w:pPr>
        <w:spacing w:after="0" w:line="240" w:lineRule="auto"/>
        <w:textAlignment w:val="baseline"/>
        <w:rPr>
          <w:rFonts w:eastAsia="Times New Roman" w:cs="Segoe UI"/>
          <w:kern w:val="0"/>
          <w:sz w:val="18"/>
          <w:szCs w:val="18"/>
          <w:lang w:val="es-ES"/>
          <w14:ligatures w14:val="none"/>
        </w:rPr>
      </w:pPr>
    </w:p>
    <w:tbl>
      <w:tblPr>
        <w:tblStyle w:val="TableGrid"/>
        <w:tblW w:w="9502" w:type="dxa"/>
        <w:tblLook w:val="04A0" w:firstRow="1" w:lastRow="0" w:firstColumn="1" w:lastColumn="0" w:noHBand="0" w:noVBand="1"/>
      </w:tblPr>
      <w:tblGrid>
        <w:gridCol w:w="3973"/>
        <w:gridCol w:w="5529"/>
      </w:tblGrid>
      <w:tr w:rsidR="00E00F06" w:rsidRPr="002B1D2B" w14:paraId="49C54102" w14:textId="77777777" w:rsidTr="00E00F06">
        <w:tc>
          <w:tcPr>
            <w:tcW w:w="9502" w:type="dxa"/>
            <w:gridSpan w:val="2"/>
          </w:tcPr>
          <w:p w14:paraId="75E0BD26" w14:textId="209C323E" w:rsidR="00E00F06" w:rsidRPr="002B1D2B" w:rsidRDefault="007533CC" w:rsidP="00E00F06">
            <w:pPr>
              <w:rPr>
                <w:sz w:val="18"/>
                <w:szCs w:val="18"/>
                <w:lang w:val="es-ES"/>
              </w:rPr>
            </w:pPr>
            <w:r w:rsidRPr="002B1D2B">
              <w:rPr>
                <w:sz w:val="18"/>
                <w:szCs w:val="18"/>
                <w:lang w:val="es-ES"/>
              </w:rPr>
              <w:t>Figura</w:t>
            </w:r>
            <w:r w:rsidR="002B1D2B" w:rsidRPr="002B1D2B">
              <w:rPr>
                <w:sz w:val="18"/>
                <w:szCs w:val="18"/>
                <w:lang w:val="es-ES"/>
              </w:rPr>
              <w:t xml:space="preserve"> 43</w:t>
            </w:r>
          </w:p>
        </w:tc>
      </w:tr>
      <w:tr w:rsidR="00E00F06" w:rsidRPr="002B1D2B" w14:paraId="146A7644" w14:textId="77777777" w:rsidTr="00E00F06">
        <w:tc>
          <w:tcPr>
            <w:tcW w:w="3973" w:type="dxa"/>
          </w:tcPr>
          <w:p w14:paraId="36152896" w14:textId="77777777" w:rsidR="00E00F06" w:rsidRPr="002B1D2B" w:rsidRDefault="00E00F06" w:rsidP="00E00F06">
            <w:pPr>
              <w:spacing w:line="278" w:lineRule="auto"/>
              <w:rPr>
                <w:sz w:val="18"/>
                <w:szCs w:val="18"/>
                <w:lang w:val="es-ES"/>
              </w:rPr>
            </w:pPr>
            <w:r w:rsidRPr="002B1D2B">
              <w:rPr>
                <w:sz w:val="18"/>
                <w:szCs w:val="18"/>
                <w:lang w:val="es-ES"/>
              </w:rPr>
              <w:t xml:space="preserve">English </w:t>
            </w:r>
          </w:p>
        </w:tc>
        <w:tc>
          <w:tcPr>
            <w:tcW w:w="5529" w:type="dxa"/>
          </w:tcPr>
          <w:p w14:paraId="64C2D177" w14:textId="16026A21" w:rsidR="00E00F06" w:rsidRPr="002B1D2B" w:rsidRDefault="007371B4" w:rsidP="00E00F06">
            <w:pPr>
              <w:spacing w:line="278" w:lineRule="auto"/>
              <w:rPr>
                <w:sz w:val="18"/>
                <w:szCs w:val="18"/>
                <w:lang w:val="es-ES"/>
              </w:rPr>
            </w:pPr>
            <w:r w:rsidRPr="002B1D2B">
              <w:rPr>
                <w:sz w:val="18"/>
                <w:szCs w:val="18"/>
                <w:lang w:val="es-ES"/>
              </w:rPr>
              <w:t>Español</w:t>
            </w:r>
          </w:p>
        </w:tc>
      </w:tr>
      <w:tr w:rsidR="00E00F06" w:rsidRPr="002B1D2B" w14:paraId="20CC26ED" w14:textId="77777777" w:rsidTr="00E00F06">
        <w:tc>
          <w:tcPr>
            <w:tcW w:w="3973" w:type="dxa"/>
          </w:tcPr>
          <w:p w14:paraId="5347C626" w14:textId="77777777" w:rsidR="00E00F06" w:rsidRPr="002B1D2B" w:rsidRDefault="00E00F06" w:rsidP="00E00F06">
            <w:pPr>
              <w:spacing w:line="278" w:lineRule="auto"/>
              <w:rPr>
                <w:sz w:val="18"/>
                <w:szCs w:val="18"/>
                <w:lang w:val="en-US"/>
              </w:rPr>
            </w:pPr>
            <w:r w:rsidRPr="002B1D2B">
              <w:rPr>
                <w:sz w:val="18"/>
                <w:szCs w:val="18"/>
                <w:lang w:val="en-US"/>
              </w:rPr>
              <w:t>Above-ground biomass (</w:t>
            </w:r>
            <w:proofErr w:type="spellStart"/>
            <w:proofErr w:type="gramStart"/>
            <w:r w:rsidRPr="002B1D2B">
              <w:rPr>
                <w:sz w:val="18"/>
                <w:szCs w:val="18"/>
                <w:lang w:val="en-US"/>
              </w:rPr>
              <w:t>tonnes</w:t>
            </w:r>
            <w:proofErr w:type="spellEnd"/>
            <w:proofErr w:type="gramEnd"/>
            <w:r w:rsidRPr="002B1D2B">
              <w:rPr>
                <w:sz w:val="18"/>
                <w:szCs w:val="18"/>
                <w:lang w:val="en-US"/>
              </w:rPr>
              <w:t>/ha)</w:t>
            </w:r>
          </w:p>
        </w:tc>
        <w:tc>
          <w:tcPr>
            <w:tcW w:w="5529" w:type="dxa"/>
          </w:tcPr>
          <w:p w14:paraId="03898988" w14:textId="58D25BA2" w:rsidR="00E00F06" w:rsidRPr="002B1D2B" w:rsidRDefault="00E00F06" w:rsidP="00E00F06">
            <w:pPr>
              <w:spacing w:line="278" w:lineRule="auto"/>
              <w:rPr>
                <w:sz w:val="18"/>
                <w:szCs w:val="18"/>
                <w:lang w:val="en-US"/>
              </w:rPr>
            </w:pPr>
            <w:r w:rsidRPr="002B1D2B">
              <w:rPr>
                <w:sz w:val="18"/>
                <w:szCs w:val="18"/>
                <w:lang w:val="es-ES"/>
              </w:rPr>
              <w:t>Biomasa superficial (toneladas/hectárea)</w:t>
            </w:r>
          </w:p>
        </w:tc>
      </w:tr>
      <w:tr w:rsidR="00E00F06" w:rsidRPr="002B1D2B" w14:paraId="740FBDF0" w14:textId="77777777" w:rsidTr="00E00F06">
        <w:tc>
          <w:tcPr>
            <w:tcW w:w="3973" w:type="dxa"/>
          </w:tcPr>
          <w:p w14:paraId="52FE1A1A" w14:textId="77777777" w:rsidR="00E00F06" w:rsidRPr="002B1D2B" w:rsidRDefault="00E00F06" w:rsidP="00E00F06">
            <w:pPr>
              <w:spacing w:line="278" w:lineRule="auto"/>
              <w:rPr>
                <w:sz w:val="18"/>
                <w:szCs w:val="18"/>
                <w:lang w:val="es-ES"/>
              </w:rPr>
            </w:pPr>
            <w:proofErr w:type="spellStart"/>
            <w:r w:rsidRPr="002B1D2B">
              <w:rPr>
                <w:sz w:val="18"/>
                <w:szCs w:val="18"/>
                <w:lang w:val="es-ES"/>
              </w:rPr>
              <w:t>Year</w:t>
            </w:r>
            <w:proofErr w:type="spellEnd"/>
          </w:p>
        </w:tc>
        <w:tc>
          <w:tcPr>
            <w:tcW w:w="5529" w:type="dxa"/>
          </w:tcPr>
          <w:p w14:paraId="793C46A3" w14:textId="1912414D" w:rsidR="00E00F06" w:rsidRPr="002B1D2B" w:rsidRDefault="00E00F06" w:rsidP="00E00F06">
            <w:pPr>
              <w:spacing w:line="278" w:lineRule="auto"/>
              <w:rPr>
                <w:sz w:val="18"/>
                <w:szCs w:val="18"/>
                <w:lang w:val="es-ES"/>
              </w:rPr>
            </w:pPr>
            <w:r w:rsidRPr="002B1D2B">
              <w:rPr>
                <w:sz w:val="18"/>
                <w:szCs w:val="18"/>
                <w:lang w:val="es-ES"/>
              </w:rPr>
              <w:t>Año</w:t>
            </w:r>
          </w:p>
        </w:tc>
      </w:tr>
      <w:tr w:rsidR="00E00F06" w:rsidRPr="002B1D2B" w14:paraId="435DB240" w14:textId="77777777" w:rsidTr="00E00F06">
        <w:tc>
          <w:tcPr>
            <w:tcW w:w="3973" w:type="dxa"/>
          </w:tcPr>
          <w:p w14:paraId="1AF69F6B" w14:textId="77777777" w:rsidR="00E00F06" w:rsidRPr="002B1D2B" w:rsidRDefault="00E00F06" w:rsidP="00E00F06">
            <w:pPr>
              <w:spacing w:line="278" w:lineRule="auto"/>
              <w:rPr>
                <w:sz w:val="18"/>
                <w:szCs w:val="18"/>
                <w:lang w:val="es-ES"/>
              </w:rPr>
            </w:pPr>
            <w:r w:rsidRPr="002B1D2B">
              <w:rPr>
                <w:sz w:val="18"/>
                <w:szCs w:val="18"/>
                <w:lang w:val="es-ES"/>
              </w:rPr>
              <w:lastRenderedPageBreak/>
              <w:t xml:space="preserve">Party </w:t>
            </w:r>
            <w:proofErr w:type="spellStart"/>
            <w:r w:rsidRPr="002B1D2B">
              <w:rPr>
                <w:sz w:val="18"/>
                <w:szCs w:val="18"/>
                <w:lang w:val="es-ES"/>
              </w:rPr>
              <w:t>count</w:t>
            </w:r>
            <w:proofErr w:type="spellEnd"/>
            <w:r w:rsidRPr="002B1D2B">
              <w:rPr>
                <w:sz w:val="18"/>
                <w:szCs w:val="18"/>
                <w:lang w:val="es-ES"/>
              </w:rPr>
              <w:t>: 27</w:t>
            </w:r>
          </w:p>
        </w:tc>
        <w:tc>
          <w:tcPr>
            <w:tcW w:w="5529" w:type="dxa"/>
          </w:tcPr>
          <w:p w14:paraId="024E8FD6" w14:textId="6C5FEC94" w:rsidR="00E00F06" w:rsidRPr="002B1D2B" w:rsidRDefault="00E00F06" w:rsidP="00E00F06">
            <w:pPr>
              <w:spacing w:line="278" w:lineRule="auto"/>
              <w:rPr>
                <w:sz w:val="18"/>
                <w:szCs w:val="18"/>
                <w:lang w:val="es-ES"/>
              </w:rPr>
            </w:pPr>
            <w:r w:rsidRPr="002B1D2B">
              <w:rPr>
                <w:sz w:val="18"/>
                <w:szCs w:val="18"/>
                <w:lang w:val="es-ES"/>
              </w:rPr>
              <w:t>Número de Partes: 27</w:t>
            </w:r>
          </w:p>
        </w:tc>
      </w:tr>
      <w:tr w:rsidR="00E00F06" w:rsidRPr="002B1D2B" w14:paraId="357BC29E" w14:textId="77777777" w:rsidTr="00E00F06">
        <w:tc>
          <w:tcPr>
            <w:tcW w:w="3973" w:type="dxa"/>
          </w:tcPr>
          <w:p w14:paraId="7C8C182A" w14:textId="77777777" w:rsidR="00E00F06" w:rsidRPr="002B1D2B" w:rsidRDefault="00E00F06" w:rsidP="00E00F06">
            <w:pPr>
              <w:spacing w:line="278" w:lineRule="auto"/>
              <w:rPr>
                <w:sz w:val="18"/>
                <w:szCs w:val="18"/>
                <w:lang w:val="es-ES"/>
              </w:rPr>
            </w:pPr>
            <w:r w:rsidRPr="002B1D2B">
              <w:rPr>
                <w:sz w:val="18"/>
                <w:szCs w:val="18"/>
                <w:lang w:val="es-ES"/>
              </w:rPr>
              <w:t xml:space="preserve">Share of </w:t>
            </w:r>
            <w:proofErr w:type="spellStart"/>
            <w:r w:rsidRPr="002B1D2B">
              <w:rPr>
                <w:sz w:val="18"/>
                <w:szCs w:val="18"/>
                <w:lang w:val="es-ES"/>
              </w:rPr>
              <w:t>forest</w:t>
            </w:r>
            <w:proofErr w:type="spellEnd"/>
            <w:r w:rsidRPr="002B1D2B">
              <w:rPr>
                <w:sz w:val="18"/>
                <w:szCs w:val="18"/>
                <w:lang w:val="es-ES"/>
              </w:rPr>
              <w:t xml:space="preserve"> </w:t>
            </w:r>
            <w:proofErr w:type="spellStart"/>
            <w:r w:rsidRPr="002B1D2B">
              <w:rPr>
                <w:sz w:val="18"/>
                <w:szCs w:val="18"/>
                <w:lang w:val="es-ES"/>
              </w:rPr>
              <w:t>area</w:t>
            </w:r>
            <w:proofErr w:type="spellEnd"/>
          </w:p>
        </w:tc>
        <w:tc>
          <w:tcPr>
            <w:tcW w:w="5529" w:type="dxa"/>
          </w:tcPr>
          <w:p w14:paraId="2587F813" w14:textId="3703E027" w:rsidR="00E00F06" w:rsidRPr="002B1D2B" w:rsidRDefault="00E00F06" w:rsidP="00E00F06">
            <w:pPr>
              <w:spacing w:line="278" w:lineRule="auto"/>
              <w:rPr>
                <w:sz w:val="18"/>
                <w:szCs w:val="18"/>
                <w:lang w:val="es-ES"/>
              </w:rPr>
            </w:pPr>
            <w:r w:rsidRPr="002B1D2B">
              <w:rPr>
                <w:sz w:val="18"/>
                <w:szCs w:val="18"/>
                <w:lang w:val="es-ES"/>
              </w:rPr>
              <w:t>Porcentaje de la superficie forestal</w:t>
            </w:r>
          </w:p>
        </w:tc>
      </w:tr>
      <w:tr w:rsidR="00E00F06" w:rsidRPr="002B1D2B" w14:paraId="12B62AEB" w14:textId="77777777" w:rsidTr="00E00F06">
        <w:tc>
          <w:tcPr>
            <w:tcW w:w="3973" w:type="dxa"/>
          </w:tcPr>
          <w:p w14:paraId="67E60A9A" w14:textId="77777777" w:rsidR="00E00F06" w:rsidRPr="002B1D2B" w:rsidRDefault="00E00F06" w:rsidP="00E00F06">
            <w:pPr>
              <w:spacing w:line="278" w:lineRule="auto"/>
              <w:rPr>
                <w:sz w:val="18"/>
                <w:szCs w:val="18"/>
                <w:lang w:val="es-ES"/>
              </w:rPr>
            </w:pPr>
            <w:r w:rsidRPr="002B1D2B">
              <w:rPr>
                <w:sz w:val="18"/>
                <w:szCs w:val="18"/>
                <w:lang w:val="es-ES"/>
              </w:rPr>
              <w:t xml:space="preserve">Party </w:t>
            </w:r>
            <w:proofErr w:type="spellStart"/>
            <w:r w:rsidRPr="002B1D2B">
              <w:rPr>
                <w:sz w:val="18"/>
                <w:szCs w:val="18"/>
                <w:lang w:val="es-ES"/>
              </w:rPr>
              <w:t>count</w:t>
            </w:r>
            <w:proofErr w:type="spellEnd"/>
            <w:r w:rsidRPr="002B1D2B">
              <w:rPr>
                <w:sz w:val="18"/>
                <w:szCs w:val="18"/>
                <w:lang w:val="es-ES"/>
              </w:rPr>
              <w:t xml:space="preserve"> </w:t>
            </w:r>
            <w:proofErr w:type="spellStart"/>
            <w:r w:rsidRPr="002B1D2B">
              <w:rPr>
                <w:sz w:val="18"/>
                <w:szCs w:val="18"/>
                <w:lang w:val="es-ES"/>
              </w:rPr>
              <w:t>by</w:t>
            </w:r>
            <w:proofErr w:type="spellEnd"/>
            <w:r w:rsidRPr="002B1D2B">
              <w:rPr>
                <w:sz w:val="18"/>
                <w:szCs w:val="18"/>
                <w:lang w:val="es-ES"/>
              </w:rPr>
              <w:t xml:space="preserve"> </w:t>
            </w:r>
            <w:proofErr w:type="spellStart"/>
            <w:r w:rsidRPr="002B1D2B">
              <w:rPr>
                <w:sz w:val="18"/>
                <w:szCs w:val="18"/>
                <w:lang w:val="es-ES"/>
              </w:rPr>
              <w:t>region</w:t>
            </w:r>
            <w:proofErr w:type="spellEnd"/>
          </w:p>
        </w:tc>
        <w:tc>
          <w:tcPr>
            <w:tcW w:w="5529" w:type="dxa"/>
          </w:tcPr>
          <w:p w14:paraId="7F31A2AA" w14:textId="2ABB11B5" w:rsidR="00E00F06" w:rsidRPr="002B1D2B" w:rsidRDefault="00E00F06" w:rsidP="00E00F06">
            <w:pPr>
              <w:spacing w:line="278" w:lineRule="auto"/>
              <w:rPr>
                <w:sz w:val="18"/>
                <w:szCs w:val="18"/>
                <w:lang w:val="es-ES"/>
              </w:rPr>
            </w:pPr>
            <w:r w:rsidRPr="002B1D2B">
              <w:rPr>
                <w:sz w:val="18"/>
                <w:szCs w:val="18"/>
                <w:lang w:val="es-ES"/>
              </w:rPr>
              <w:t>Número de Partes por región</w:t>
            </w:r>
          </w:p>
        </w:tc>
      </w:tr>
      <w:tr w:rsidR="00E00F06" w:rsidRPr="002B1D2B" w14:paraId="5E3F3B39" w14:textId="77777777" w:rsidTr="00E00F06">
        <w:tc>
          <w:tcPr>
            <w:tcW w:w="3973" w:type="dxa"/>
          </w:tcPr>
          <w:p w14:paraId="71993889" w14:textId="77777777" w:rsidR="00E00F06" w:rsidRPr="002B1D2B" w:rsidRDefault="00E00F06" w:rsidP="00E00F06">
            <w:pPr>
              <w:spacing w:line="278" w:lineRule="auto"/>
              <w:rPr>
                <w:sz w:val="18"/>
                <w:szCs w:val="18"/>
                <w:lang w:val="es-ES"/>
              </w:rPr>
            </w:pPr>
            <w:proofErr w:type="spellStart"/>
            <w:r w:rsidRPr="002B1D2B">
              <w:rPr>
                <w:sz w:val="18"/>
                <w:szCs w:val="18"/>
                <w:lang w:val="es-ES"/>
              </w:rPr>
              <w:t>Region</w:t>
            </w:r>
            <w:proofErr w:type="spellEnd"/>
          </w:p>
        </w:tc>
        <w:tc>
          <w:tcPr>
            <w:tcW w:w="5529" w:type="dxa"/>
          </w:tcPr>
          <w:p w14:paraId="1E1AC9D5" w14:textId="65A328EA" w:rsidR="00E00F06" w:rsidRPr="002B1D2B" w:rsidRDefault="00E00F06" w:rsidP="00E00F06">
            <w:pPr>
              <w:spacing w:line="278" w:lineRule="auto"/>
              <w:rPr>
                <w:sz w:val="18"/>
                <w:szCs w:val="18"/>
                <w:lang w:val="es-ES"/>
              </w:rPr>
            </w:pPr>
            <w:r w:rsidRPr="002B1D2B">
              <w:rPr>
                <w:sz w:val="18"/>
                <w:szCs w:val="18"/>
                <w:lang w:val="es-ES"/>
              </w:rPr>
              <w:t>Región</w:t>
            </w:r>
          </w:p>
        </w:tc>
      </w:tr>
      <w:tr w:rsidR="00E00F06" w:rsidRPr="002B1D2B" w14:paraId="0E5FB6BC" w14:textId="77777777" w:rsidTr="00E00F06">
        <w:tc>
          <w:tcPr>
            <w:tcW w:w="3973" w:type="dxa"/>
          </w:tcPr>
          <w:p w14:paraId="3ACFF56A" w14:textId="77777777" w:rsidR="00E00F06" w:rsidRPr="002B1D2B" w:rsidRDefault="00E00F06" w:rsidP="00E00F06">
            <w:pPr>
              <w:spacing w:line="278" w:lineRule="auto"/>
              <w:rPr>
                <w:sz w:val="18"/>
                <w:szCs w:val="18"/>
                <w:lang w:val="es-ES"/>
              </w:rPr>
            </w:pPr>
            <w:r w:rsidRPr="002B1D2B">
              <w:rPr>
                <w:sz w:val="18"/>
                <w:szCs w:val="18"/>
                <w:lang w:val="es-ES"/>
              </w:rPr>
              <w:t>African States</w:t>
            </w:r>
          </w:p>
        </w:tc>
        <w:tc>
          <w:tcPr>
            <w:tcW w:w="5529" w:type="dxa"/>
          </w:tcPr>
          <w:p w14:paraId="5706B913" w14:textId="3F6582E2" w:rsidR="00E00F06" w:rsidRPr="002B1D2B" w:rsidRDefault="00E00F06" w:rsidP="00E00F06">
            <w:pPr>
              <w:spacing w:line="278" w:lineRule="auto"/>
              <w:rPr>
                <w:sz w:val="18"/>
                <w:szCs w:val="18"/>
                <w:lang w:val="es-ES"/>
              </w:rPr>
            </w:pPr>
            <w:r w:rsidRPr="002B1D2B">
              <w:rPr>
                <w:sz w:val="18"/>
                <w:szCs w:val="18"/>
                <w:lang w:val="es-ES"/>
              </w:rPr>
              <w:t>Estados de África</w:t>
            </w:r>
          </w:p>
        </w:tc>
      </w:tr>
      <w:tr w:rsidR="00E00F06" w:rsidRPr="002B1D2B" w14:paraId="5921903E" w14:textId="77777777" w:rsidTr="00E00F06">
        <w:tc>
          <w:tcPr>
            <w:tcW w:w="3973" w:type="dxa"/>
          </w:tcPr>
          <w:p w14:paraId="08F20D23" w14:textId="77777777" w:rsidR="00E00F06" w:rsidRPr="002B1D2B" w:rsidRDefault="00E00F06" w:rsidP="00E00F06">
            <w:pPr>
              <w:spacing w:line="278" w:lineRule="auto"/>
              <w:rPr>
                <w:sz w:val="18"/>
                <w:szCs w:val="18"/>
                <w:lang w:val="es-ES"/>
              </w:rPr>
            </w:pPr>
            <w:r w:rsidRPr="002B1D2B">
              <w:rPr>
                <w:sz w:val="18"/>
                <w:szCs w:val="18"/>
                <w:lang w:val="es-ES"/>
              </w:rPr>
              <w:t>Asia-Pacific States</w:t>
            </w:r>
          </w:p>
        </w:tc>
        <w:tc>
          <w:tcPr>
            <w:tcW w:w="5529" w:type="dxa"/>
          </w:tcPr>
          <w:p w14:paraId="48EEAC17" w14:textId="345AE4D4" w:rsidR="00E00F06" w:rsidRPr="002B1D2B" w:rsidRDefault="00E00F06" w:rsidP="00E00F06">
            <w:pPr>
              <w:spacing w:line="278" w:lineRule="auto"/>
              <w:rPr>
                <w:sz w:val="18"/>
                <w:szCs w:val="18"/>
                <w:lang w:val="es-ES"/>
              </w:rPr>
            </w:pPr>
            <w:r w:rsidRPr="002B1D2B">
              <w:rPr>
                <w:sz w:val="18"/>
                <w:szCs w:val="18"/>
                <w:lang w:val="es-ES"/>
              </w:rPr>
              <w:t>Estados de Asia y el Pacífico</w:t>
            </w:r>
          </w:p>
        </w:tc>
      </w:tr>
      <w:tr w:rsidR="00E00F06" w:rsidRPr="002B1D2B" w14:paraId="6B460262" w14:textId="77777777" w:rsidTr="00E00F06">
        <w:tc>
          <w:tcPr>
            <w:tcW w:w="3973" w:type="dxa"/>
          </w:tcPr>
          <w:p w14:paraId="77A791E2" w14:textId="77777777" w:rsidR="00E00F06" w:rsidRPr="002B1D2B" w:rsidRDefault="00E00F06" w:rsidP="00E00F06">
            <w:pPr>
              <w:spacing w:line="278" w:lineRule="auto"/>
              <w:rPr>
                <w:sz w:val="18"/>
                <w:szCs w:val="18"/>
                <w:lang w:val="en-US"/>
              </w:rPr>
            </w:pPr>
            <w:r w:rsidRPr="002B1D2B">
              <w:rPr>
                <w:sz w:val="18"/>
                <w:szCs w:val="18"/>
                <w:lang w:val="en-US"/>
              </w:rPr>
              <w:t>Latin American and Caribbean States</w:t>
            </w:r>
          </w:p>
        </w:tc>
        <w:tc>
          <w:tcPr>
            <w:tcW w:w="5529" w:type="dxa"/>
          </w:tcPr>
          <w:p w14:paraId="72947280" w14:textId="1E0972DB" w:rsidR="00E00F06" w:rsidRPr="002B1D2B" w:rsidRDefault="00E00F06" w:rsidP="00E00F06">
            <w:pPr>
              <w:spacing w:line="278" w:lineRule="auto"/>
              <w:rPr>
                <w:sz w:val="18"/>
                <w:szCs w:val="18"/>
                <w:lang w:val="es-ES"/>
              </w:rPr>
            </w:pPr>
            <w:r w:rsidRPr="002B1D2B">
              <w:rPr>
                <w:sz w:val="18"/>
                <w:szCs w:val="18"/>
                <w:lang w:val="es-ES"/>
              </w:rPr>
              <w:t>Estados de América Latina y el Caribe</w:t>
            </w:r>
          </w:p>
        </w:tc>
      </w:tr>
      <w:tr w:rsidR="00E00F06" w:rsidRPr="002B1D2B" w14:paraId="39292248" w14:textId="77777777" w:rsidTr="00E00F06">
        <w:tc>
          <w:tcPr>
            <w:tcW w:w="3973" w:type="dxa"/>
          </w:tcPr>
          <w:p w14:paraId="77D6671A" w14:textId="77777777" w:rsidR="00E00F06" w:rsidRPr="002B1D2B" w:rsidRDefault="00E00F06" w:rsidP="00E00F06">
            <w:pPr>
              <w:spacing w:line="278" w:lineRule="auto"/>
              <w:rPr>
                <w:sz w:val="18"/>
                <w:szCs w:val="18"/>
                <w:lang w:val="es-ES"/>
              </w:rPr>
            </w:pPr>
            <w:r w:rsidRPr="002B1D2B">
              <w:rPr>
                <w:sz w:val="18"/>
                <w:szCs w:val="18"/>
                <w:lang w:val="es-ES"/>
              </w:rPr>
              <w:t xml:space="preserve"> Eastern European States</w:t>
            </w:r>
          </w:p>
        </w:tc>
        <w:tc>
          <w:tcPr>
            <w:tcW w:w="5529" w:type="dxa"/>
          </w:tcPr>
          <w:p w14:paraId="773E5A3C" w14:textId="6B880D3A" w:rsidR="00E00F06" w:rsidRPr="002B1D2B" w:rsidRDefault="00E00F06" w:rsidP="00E00F06">
            <w:pPr>
              <w:spacing w:line="278" w:lineRule="auto"/>
              <w:rPr>
                <w:sz w:val="18"/>
                <w:szCs w:val="18"/>
                <w:lang w:val="es-ES"/>
              </w:rPr>
            </w:pPr>
            <w:r w:rsidRPr="002B1D2B">
              <w:rPr>
                <w:sz w:val="18"/>
                <w:szCs w:val="18"/>
                <w:lang w:val="es-ES"/>
              </w:rPr>
              <w:t>Estados de Europa Oriental</w:t>
            </w:r>
          </w:p>
        </w:tc>
      </w:tr>
      <w:tr w:rsidR="00E00F06" w:rsidRPr="002B1D2B" w14:paraId="48E0A571" w14:textId="77777777" w:rsidTr="00E00F06">
        <w:tc>
          <w:tcPr>
            <w:tcW w:w="3973" w:type="dxa"/>
          </w:tcPr>
          <w:p w14:paraId="7A14F680" w14:textId="77777777" w:rsidR="00E00F06" w:rsidRPr="002B1D2B" w:rsidRDefault="00E00F06" w:rsidP="00E00F06">
            <w:pPr>
              <w:spacing w:line="278" w:lineRule="auto"/>
              <w:rPr>
                <w:sz w:val="18"/>
                <w:szCs w:val="18"/>
                <w:lang w:val="en-US"/>
              </w:rPr>
            </w:pPr>
            <w:r w:rsidRPr="002B1D2B">
              <w:rPr>
                <w:sz w:val="18"/>
                <w:szCs w:val="18"/>
                <w:lang w:val="en-US"/>
              </w:rPr>
              <w:t>Western European and other States</w:t>
            </w:r>
          </w:p>
        </w:tc>
        <w:tc>
          <w:tcPr>
            <w:tcW w:w="5529" w:type="dxa"/>
          </w:tcPr>
          <w:p w14:paraId="11417E3F" w14:textId="5D7069D2" w:rsidR="00E00F06" w:rsidRPr="002B1D2B" w:rsidRDefault="00E00F06" w:rsidP="00E00F06">
            <w:pPr>
              <w:spacing w:line="278" w:lineRule="auto"/>
              <w:rPr>
                <w:sz w:val="18"/>
                <w:szCs w:val="18"/>
                <w:lang w:val="es-ES"/>
              </w:rPr>
            </w:pPr>
            <w:r w:rsidRPr="002B1D2B">
              <w:rPr>
                <w:sz w:val="18"/>
                <w:szCs w:val="18"/>
                <w:lang w:val="es-ES"/>
              </w:rPr>
              <w:t>Estados de Europa Occidental y otros Estados</w:t>
            </w:r>
          </w:p>
        </w:tc>
      </w:tr>
    </w:tbl>
    <w:p w14:paraId="0477EE32" w14:textId="77777777" w:rsidR="009713BF" w:rsidRPr="005E3D50" w:rsidRDefault="009713BF" w:rsidP="009713BF">
      <w:pPr>
        <w:spacing w:after="0" w:line="240" w:lineRule="auto"/>
        <w:textAlignment w:val="baseline"/>
        <w:rPr>
          <w:rFonts w:eastAsia="Times New Roman" w:cs="Segoe UI"/>
          <w:kern w:val="0"/>
          <w:sz w:val="18"/>
          <w:szCs w:val="18"/>
          <w:lang w:val="es-ES"/>
          <w14:ligatures w14:val="none"/>
        </w:rPr>
      </w:pPr>
    </w:p>
    <w:p w14:paraId="07F9AD30" w14:textId="77777777" w:rsidR="009713BF" w:rsidRPr="005E3D50" w:rsidRDefault="009713BF" w:rsidP="009713BF">
      <w:pPr>
        <w:spacing w:after="0" w:line="240" w:lineRule="auto"/>
        <w:textAlignment w:val="baseline"/>
        <w:rPr>
          <w:rFonts w:eastAsia="Times New Roman" w:cs="Segoe UI"/>
          <w:kern w:val="0"/>
          <w:sz w:val="18"/>
          <w:szCs w:val="18"/>
          <w:lang w:val="es-ES"/>
          <w14:ligatures w14:val="none"/>
        </w:rPr>
      </w:pPr>
    </w:p>
    <w:p w14:paraId="1075C6AF" w14:textId="77777777" w:rsidR="009713BF" w:rsidRPr="005E3D50" w:rsidRDefault="009713BF" w:rsidP="009713BF">
      <w:pPr>
        <w:spacing w:after="0" w:line="240" w:lineRule="auto"/>
        <w:textAlignment w:val="baseline"/>
        <w:rPr>
          <w:rFonts w:eastAsia="Times New Roman" w:cs="Times New Roman"/>
          <w:kern w:val="0"/>
          <w:sz w:val="20"/>
          <w:szCs w:val="20"/>
          <w:lang w:val="es-ES"/>
          <w14:ligatures w14:val="none"/>
        </w:rPr>
      </w:pPr>
      <w:r w:rsidRPr="005E3D50">
        <w:rPr>
          <w:rFonts w:eastAsia="Times New Roman" w:cs="Times New Roman"/>
          <w:kern w:val="0"/>
          <w:sz w:val="20"/>
          <w:lang w:val="es-ES"/>
          <w14:ligatures w14:val="none"/>
        </w:rPr>
        <w:t>Figura 44</w:t>
      </w:r>
    </w:p>
    <w:p w14:paraId="1153DC8D" w14:textId="77777777" w:rsidR="009713BF" w:rsidRPr="005E3D50" w:rsidRDefault="009713BF" w:rsidP="009713BF">
      <w:pPr>
        <w:spacing w:after="0" w:line="240" w:lineRule="auto"/>
        <w:textAlignment w:val="baseline"/>
        <w:rPr>
          <w:rFonts w:ascii="Times New Roman" w:eastAsiaTheme="minorEastAsia" w:hAnsi="Times New Roman" w:cs="Times New Roman"/>
          <w:b/>
          <w:bCs/>
          <w:color w:val="0E2841" w:themeColor="text2"/>
          <w:kern w:val="0"/>
          <w:sz w:val="20"/>
          <w:szCs w:val="20"/>
          <w:lang w:val="es-ES"/>
          <w14:ligatures w14:val="none"/>
        </w:rPr>
      </w:pPr>
      <w:r w:rsidRPr="005E3D50">
        <w:rPr>
          <w:rFonts w:ascii="Aptos" w:eastAsia="Times New Roman" w:hAnsi="Aptos" w:cs="Times New Roman"/>
          <w:b/>
          <w:color w:val="0E2841" w:themeColor="text2"/>
          <w:kern w:val="0"/>
          <w:sz w:val="20"/>
          <w:lang w:val="es-ES"/>
          <w14:ligatures w14:val="none"/>
        </w:rPr>
        <w:t>Indicador de cabecera</w:t>
      </w:r>
      <w:r w:rsidRPr="005E3D50">
        <w:rPr>
          <w:rFonts w:ascii="Times New Roman" w:eastAsia="Times New Roman" w:hAnsi="Times New Roman" w:cs="Times New Roman"/>
          <w:b/>
          <w:color w:val="0E2841" w:themeColor="text2"/>
          <w:kern w:val="0"/>
          <w:sz w:val="20"/>
          <w:lang w:val="es-ES"/>
          <w14:ligatures w14:val="none"/>
        </w:rPr>
        <w:t> </w:t>
      </w:r>
      <w:r w:rsidRPr="005E3D50">
        <w:rPr>
          <w:rFonts w:ascii="Aptos" w:eastAsia="Times New Roman" w:hAnsi="Aptos" w:cs="Times New Roman"/>
          <w:b/>
          <w:color w:val="0E2841" w:themeColor="text2"/>
          <w:kern w:val="0"/>
          <w:sz w:val="20"/>
          <w:lang w:val="es-ES"/>
          <w14:ligatures w14:val="none"/>
        </w:rPr>
        <w:t>10.2:</w:t>
      </w:r>
      <w:r w:rsidRPr="005E3D50">
        <w:rPr>
          <w:rFonts w:ascii="Times New Roman" w:eastAsia="Times New Roman" w:hAnsi="Times New Roman" w:cs="Times New Roman"/>
          <w:b/>
          <w:color w:val="0E2841" w:themeColor="text2"/>
          <w:kern w:val="0"/>
          <w:sz w:val="20"/>
          <w:lang w:val="es-ES"/>
          <w14:ligatures w14:val="none"/>
        </w:rPr>
        <w:t> </w:t>
      </w:r>
      <w:r w:rsidRPr="005E3D50">
        <w:rPr>
          <w:rFonts w:ascii="Aptos" w:eastAsia="Times New Roman" w:hAnsi="Aptos" w:cs="Times New Roman"/>
          <w:b/>
          <w:color w:val="0E2841" w:themeColor="text2"/>
          <w:kern w:val="0"/>
          <w:sz w:val="20"/>
          <w:lang w:val="es-ES"/>
          <w14:ligatures w14:val="none"/>
        </w:rPr>
        <w:t>progresos hacia la gestión forestal sostenible</w:t>
      </w:r>
      <w:r w:rsidRPr="005E3D50">
        <w:rPr>
          <w:rFonts w:ascii="Times New Roman" w:eastAsia="Times New Roman" w:hAnsi="Times New Roman" w:cs="Times New Roman"/>
          <w:b/>
          <w:color w:val="0E2841" w:themeColor="text2"/>
          <w:kern w:val="0"/>
          <w:sz w:val="20"/>
          <w:lang w:val="es-ES"/>
          <w14:ligatures w14:val="none"/>
        </w:rPr>
        <w:t xml:space="preserve"> </w:t>
      </w:r>
      <w:r w:rsidRPr="005E3D50">
        <w:rPr>
          <w:rFonts w:ascii="Aptos" w:eastAsia="Times New Roman" w:hAnsi="Aptos" w:cs="Times New Roman"/>
          <w:b/>
          <w:color w:val="0E2841" w:themeColor="text2"/>
          <w:kern w:val="0"/>
          <w:sz w:val="20"/>
          <w:lang w:val="es-ES"/>
          <w14:ligatures w14:val="none"/>
        </w:rPr>
        <w:t>subindicador c – proporción de superficie forestal dentro de áreas protegidas establecidas por ley</w:t>
      </w:r>
    </w:p>
    <w:p w14:paraId="5940D0CF" w14:textId="77777777" w:rsidR="009713BF" w:rsidRPr="005E3D50" w:rsidRDefault="009713BF" w:rsidP="009713BF">
      <w:pPr>
        <w:spacing w:after="0" w:line="240" w:lineRule="auto"/>
        <w:textAlignment w:val="baseline"/>
        <w:rPr>
          <w:rFonts w:eastAsia="Times New Roman" w:cs="Segoe UI"/>
          <w:kern w:val="0"/>
          <w:sz w:val="20"/>
          <w:szCs w:val="20"/>
          <w:lang w:val="es-ES"/>
          <w14:ligatures w14:val="none"/>
        </w:rPr>
      </w:pPr>
    </w:p>
    <w:p w14:paraId="269768E5"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17110F46" wp14:editId="0483AAF4">
            <wp:extent cx="5731510" cy="4298950"/>
            <wp:effectExtent l="0" t="0" r="0" b="6350"/>
            <wp:docPr id="1404633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3388" name="Picture 140463388"/>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99FEEE9" w14:textId="77777777" w:rsidR="009713BF" w:rsidRDefault="009713BF" w:rsidP="009713BF">
      <w:pPr>
        <w:spacing w:after="200" w:line="240" w:lineRule="auto"/>
        <w:rPr>
          <w:rFonts w:ascii="Aptos" w:eastAsiaTheme="minorEastAsia" w:hAnsi="Aptos"/>
          <w:i/>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Los valores del indicador muestran el promedio general y el intervalo intercuartílico de todas las comunicaciones de las Partes para cada año.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Gráfico circular muestra la proporción</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del </w:t>
      </w:r>
      <w:r w:rsidRPr="005E3D50">
        <w:rPr>
          <w:rFonts w:eastAsiaTheme="minorEastAsia"/>
          <w:iCs/>
          <w:color w:val="0E2841" w:themeColor="text2"/>
          <w:kern w:val="0"/>
          <w:sz w:val="18"/>
          <w:szCs w:val="18"/>
          <w:lang w:val="es-ES" w:eastAsia="ja-JP"/>
          <w14:ligatures w14:val="none"/>
        </w:rPr>
        <w:t>total de superficies forestadas de todas las Partes que corresponde a aquellas Partes que comunicaron datos para el indicador.</w:t>
      </w:r>
      <w:r w:rsidRPr="005E3D50">
        <w:rPr>
          <w:rFonts w:ascii="Aptos" w:eastAsiaTheme="minorEastAsia" w:hAnsi="Aptos"/>
          <w:i/>
          <w:iCs/>
          <w:color w:val="0E2841" w:themeColor="text2"/>
          <w:kern w:val="0"/>
          <w:sz w:val="18"/>
          <w:szCs w:val="18"/>
          <w:lang w:val="es-ES" w:eastAsia="ja-JP"/>
          <w14:ligatures w14:val="none"/>
        </w:rPr>
        <w:t> </w:t>
      </w:r>
    </w:p>
    <w:tbl>
      <w:tblPr>
        <w:tblStyle w:val="TableGrid"/>
        <w:tblW w:w="9421" w:type="dxa"/>
        <w:tblLook w:val="04A0" w:firstRow="1" w:lastRow="0" w:firstColumn="1" w:lastColumn="0" w:noHBand="0" w:noVBand="1"/>
      </w:tblPr>
      <w:tblGrid>
        <w:gridCol w:w="5325"/>
        <w:gridCol w:w="4096"/>
      </w:tblGrid>
      <w:tr w:rsidR="00865CA9" w:rsidRPr="002B1D2B" w14:paraId="0CA310AD" w14:textId="77777777" w:rsidTr="00865CA9">
        <w:tc>
          <w:tcPr>
            <w:tcW w:w="9421" w:type="dxa"/>
            <w:gridSpan w:val="2"/>
          </w:tcPr>
          <w:p w14:paraId="57A26900" w14:textId="0F36C525" w:rsidR="00865CA9" w:rsidRPr="002B1D2B" w:rsidRDefault="007533CC" w:rsidP="00865CA9">
            <w:pPr>
              <w:rPr>
                <w:sz w:val="18"/>
                <w:szCs w:val="18"/>
                <w:lang w:val="es-ES"/>
              </w:rPr>
            </w:pPr>
            <w:r w:rsidRPr="002B1D2B">
              <w:rPr>
                <w:sz w:val="18"/>
                <w:szCs w:val="18"/>
                <w:lang w:val="es-ES"/>
              </w:rPr>
              <w:t>Figura</w:t>
            </w:r>
            <w:r w:rsidR="002B1D2B" w:rsidRPr="002B1D2B">
              <w:rPr>
                <w:sz w:val="18"/>
                <w:szCs w:val="18"/>
                <w:lang w:val="es-ES"/>
              </w:rPr>
              <w:t xml:space="preserve"> 44</w:t>
            </w:r>
          </w:p>
        </w:tc>
      </w:tr>
      <w:tr w:rsidR="00865CA9" w:rsidRPr="002B1D2B" w14:paraId="64B52B2C" w14:textId="77777777" w:rsidTr="00865CA9">
        <w:tc>
          <w:tcPr>
            <w:tcW w:w="5325" w:type="dxa"/>
          </w:tcPr>
          <w:p w14:paraId="5AE3CDD4" w14:textId="77777777" w:rsidR="00865CA9" w:rsidRPr="002B1D2B" w:rsidRDefault="00865CA9" w:rsidP="00865CA9">
            <w:pPr>
              <w:spacing w:line="278" w:lineRule="auto"/>
              <w:rPr>
                <w:sz w:val="18"/>
                <w:szCs w:val="18"/>
                <w:lang w:val="es-ES"/>
              </w:rPr>
            </w:pPr>
            <w:r w:rsidRPr="002B1D2B">
              <w:rPr>
                <w:sz w:val="18"/>
                <w:szCs w:val="18"/>
                <w:lang w:val="es-ES"/>
              </w:rPr>
              <w:lastRenderedPageBreak/>
              <w:t xml:space="preserve">English </w:t>
            </w:r>
          </w:p>
        </w:tc>
        <w:tc>
          <w:tcPr>
            <w:tcW w:w="4095" w:type="dxa"/>
          </w:tcPr>
          <w:p w14:paraId="705C3081" w14:textId="35B3EBD3" w:rsidR="00865CA9" w:rsidRPr="002B1D2B" w:rsidRDefault="007371B4" w:rsidP="00865CA9">
            <w:pPr>
              <w:spacing w:line="278" w:lineRule="auto"/>
              <w:rPr>
                <w:sz w:val="18"/>
                <w:szCs w:val="18"/>
                <w:lang w:val="es-ES"/>
              </w:rPr>
            </w:pPr>
            <w:r w:rsidRPr="002B1D2B">
              <w:rPr>
                <w:sz w:val="18"/>
                <w:szCs w:val="18"/>
                <w:lang w:val="es-ES"/>
              </w:rPr>
              <w:t>Español</w:t>
            </w:r>
          </w:p>
        </w:tc>
      </w:tr>
      <w:tr w:rsidR="00865CA9" w:rsidRPr="002B1D2B" w14:paraId="05712936" w14:textId="77777777" w:rsidTr="00865CA9">
        <w:tc>
          <w:tcPr>
            <w:tcW w:w="5325" w:type="dxa"/>
          </w:tcPr>
          <w:p w14:paraId="154616D2" w14:textId="77777777" w:rsidR="00865CA9" w:rsidRPr="002B1D2B" w:rsidRDefault="00865CA9" w:rsidP="00865CA9">
            <w:pPr>
              <w:spacing w:line="278" w:lineRule="auto"/>
              <w:rPr>
                <w:sz w:val="18"/>
                <w:szCs w:val="18"/>
                <w:lang w:val="en-US"/>
              </w:rPr>
            </w:pPr>
            <w:r w:rsidRPr="002B1D2B">
              <w:rPr>
                <w:sz w:val="18"/>
                <w:szCs w:val="18"/>
                <w:lang w:val="en-US"/>
              </w:rPr>
              <w:t>Forest in protected area (percentage)</w:t>
            </w:r>
          </w:p>
        </w:tc>
        <w:tc>
          <w:tcPr>
            <w:tcW w:w="4095" w:type="dxa"/>
          </w:tcPr>
          <w:p w14:paraId="3CE635FB" w14:textId="647CD779" w:rsidR="00865CA9" w:rsidRPr="002B1D2B" w:rsidRDefault="00865CA9" w:rsidP="00865CA9">
            <w:pPr>
              <w:spacing w:line="278" w:lineRule="auto"/>
              <w:rPr>
                <w:sz w:val="18"/>
                <w:szCs w:val="18"/>
                <w:lang w:val="es-ES"/>
              </w:rPr>
            </w:pPr>
            <w:r w:rsidRPr="002B1D2B">
              <w:rPr>
                <w:sz w:val="18"/>
                <w:szCs w:val="18"/>
                <w:lang w:val="es-ES"/>
              </w:rPr>
              <w:t>Bosques en áreas protegidas (porcentaje)</w:t>
            </w:r>
          </w:p>
        </w:tc>
      </w:tr>
      <w:tr w:rsidR="00865CA9" w:rsidRPr="002B1D2B" w14:paraId="56C92645" w14:textId="77777777" w:rsidTr="00865CA9">
        <w:tc>
          <w:tcPr>
            <w:tcW w:w="5325" w:type="dxa"/>
          </w:tcPr>
          <w:p w14:paraId="6146B590" w14:textId="77777777" w:rsidR="00865CA9" w:rsidRPr="002B1D2B" w:rsidRDefault="00865CA9" w:rsidP="00865CA9">
            <w:pPr>
              <w:spacing w:line="278" w:lineRule="auto"/>
              <w:rPr>
                <w:sz w:val="18"/>
                <w:szCs w:val="18"/>
                <w:lang w:val="es-ES"/>
              </w:rPr>
            </w:pPr>
            <w:proofErr w:type="spellStart"/>
            <w:r w:rsidRPr="002B1D2B">
              <w:rPr>
                <w:sz w:val="18"/>
                <w:szCs w:val="18"/>
                <w:lang w:val="es-ES"/>
              </w:rPr>
              <w:t>Year</w:t>
            </w:r>
            <w:proofErr w:type="spellEnd"/>
          </w:p>
        </w:tc>
        <w:tc>
          <w:tcPr>
            <w:tcW w:w="4095" w:type="dxa"/>
          </w:tcPr>
          <w:p w14:paraId="70B030F2" w14:textId="24633777" w:rsidR="00865CA9" w:rsidRPr="002B1D2B" w:rsidRDefault="00865CA9" w:rsidP="00865CA9">
            <w:pPr>
              <w:spacing w:line="278" w:lineRule="auto"/>
              <w:rPr>
                <w:sz w:val="18"/>
                <w:szCs w:val="18"/>
                <w:lang w:val="es-ES"/>
              </w:rPr>
            </w:pPr>
            <w:r w:rsidRPr="002B1D2B">
              <w:rPr>
                <w:sz w:val="18"/>
                <w:szCs w:val="18"/>
                <w:lang w:val="es-ES"/>
              </w:rPr>
              <w:t>Año</w:t>
            </w:r>
          </w:p>
        </w:tc>
      </w:tr>
      <w:tr w:rsidR="00865CA9" w:rsidRPr="002B1D2B" w14:paraId="7EF9293A" w14:textId="77777777" w:rsidTr="00865CA9">
        <w:tc>
          <w:tcPr>
            <w:tcW w:w="5325" w:type="dxa"/>
          </w:tcPr>
          <w:p w14:paraId="7DCE057F" w14:textId="77777777" w:rsidR="00865CA9" w:rsidRPr="002B1D2B" w:rsidRDefault="00865CA9" w:rsidP="00865CA9">
            <w:pPr>
              <w:spacing w:line="278" w:lineRule="auto"/>
              <w:rPr>
                <w:sz w:val="18"/>
                <w:szCs w:val="18"/>
                <w:lang w:val="es-ES"/>
              </w:rPr>
            </w:pPr>
            <w:r w:rsidRPr="002B1D2B">
              <w:rPr>
                <w:sz w:val="18"/>
                <w:szCs w:val="18"/>
                <w:lang w:val="es-ES"/>
              </w:rPr>
              <w:t xml:space="preserve">Party </w:t>
            </w:r>
            <w:proofErr w:type="spellStart"/>
            <w:r w:rsidRPr="002B1D2B">
              <w:rPr>
                <w:sz w:val="18"/>
                <w:szCs w:val="18"/>
                <w:lang w:val="es-ES"/>
              </w:rPr>
              <w:t>count</w:t>
            </w:r>
            <w:proofErr w:type="spellEnd"/>
            <w:r w:rsidRPr="002B1D2B">
              <w:rPr>
                <w:sz w:val="18"/>
                <w:szCs w:val="18"/>
                <w:lang w:val="es-ES"/>
              </w:rPr>
              <w:t>: 26</w:t>
            </w:r>
          </w:p>
        </w:tc>
        <w:tc>
          <w:tcPr>
            <w:tcW w:w="4095" w:type="dxa"/>
          </w:tcPr>
          <w:p w14:paraId="63B5D092" w14:textId="0D53A966" w:rsidR="00865CA9" w:rsidRPr="002B1D2B" w:rsidRDefault="00865CA9" w:rsidP="00865CA9">
            <w:pPr>
              <w:spacing w:line="278" w:lineRule="auto"/>
              <w:rPr>
                <w:sz w:val="18"/>
                <w:szCs w:val="18"/>
                <w:lang w:val="es-ES"/>
              </w:rPr>
            </w:pPr>
            <w:r w:rsidRPr="002B1D2B">
              <w:rPr>
                <w:sz w:val="18"/>
                <w:szCs w:val="18"/>
                <w:lang w:val="es-ES"/>
              </w:rPr>
              <w:t>Número de Partes: 26</w:t>
            </w:r>
          </w:p>
        </w:tc>
      </w:tr>
      <w:tr w:rsidR="00865CA9" w:rsidRPr="002B1D2B" w14:paraId="4AB07A40" w14:textId="77777777" w:rsidTr="00865CA9">
        <w:tc>
          <w:tcPr>
            <w:tcW w:w="5325" w:type="dxa"/>
          </w:tcPr>
          <w:p w14:paraId="37AFA57C" w14:textId="77777777" w:rsidR="00865CA9" w:rsidRPr="002B1D2B" w:rsidRDefault="00865CA9" w:rsidP="00865CA9">
            <w:pPr>
              <w:spacing w:line="278" w:lineRule="auto"/>
              <w:rPr>
                <w:sz w:val="18"/>
                <w:szCs w:val="18"/>
                <w:lang w:val="es-ES"/>
              </w:rPr>
            </w:pPr>
            <w:r w:rsidRPr="002B1D2B">
              <w:rPr>
                <w:sz w:val="18"/>
                <w:szCs w:val="18"/>
                <w:lang w:val="es-ES"/>
              </w:rPr>
              <w:t xml:space="preserve">Share of </w:t>
            </w:r>
            <w:proofErr w:type="spellStart"/>
            <w:r w:rsidRPr="002B1D2B">
              <w:rPr>
                <w:sz w:val="18"/>
                <w:szCs w:val="18"/>
                <w:lang w:val="es-ES"/>
              </w:rPr>
              <w:t>forest</w:t>
            </w:r>
            <w:proofErr w:type="spellEnd"/>
            <w:r w:rsidRPr="002B1D2B">
              <w:rPr>
                <w:sz w:val="18"/>
                <w:szCs w:val="18"/>
                <w:lang w:val="es-ES"/>
              </w:rPr>
              <w:t xml:space="preserve"> </w:t>
            </w:r>
            <w:proofErr w:type="spellStart"/>
            <w:r w:rsidRPr="002B1D2B">
              <w:rPr>
                <w:sz w:val="18"/>
                <w:szCs w:val="18"/>
                <w:lang w:val="es-ES"/>
              </w:rPr>
              <w:t>area</w:t>
            </w:r>
            <w:proofErr w:type="spellEnd"/>
          </w:p>
        </w:tc>
        <w:tc>
          <w:tcPr>
            <w:tcW w:w="4095" w:type="dxa"/>
          </w:tcPr>
          <w:p w14:paraId="686C52FF" w14:textId="5D966760" w:rsidR="00865CA9" w:rsidRPr="002B1D2B" w:rsidRDefault="00865CA9" w:rsidP="00865CA9">
            <w:pPr>
              <w:spacing w:line="278" w:lineRule="auto"/>
              <w:rPr>
                <w:sz w:val="18"/>
                <w:szCs w:val="18"/>
                <w:lang w:val="es-ES"/>
              </w:rPr>
            </w:pPr>
            <w:r w:rsidRPr="002B1D2B">
              <w:rPr>
                <w:sz w:val="18"/>
                <w:szCs w:val="18"/>
                <w:lang w:val="es-ES"/>
              </w:rPr>
              <w:t>Porcentaje de superficie forestal</w:t>
            </w:r>
          </w:p>
        </w:tc>
      </w:tr>
      <w:tr w:rsidR="00865CA9" w:rsidRPr="002B1D2B" w14:paraId="63117F5A" w14:textId="77777777" w:rsidTr="00865CA9">
        <w:tc>
          <w:tcPr>
            <w:tcW w:w="5325" w:type="dxa"/>
          </w:tcPr>
          <w:p w14:paraId="6F4EC87B" w14:textId="77777777" w:rsidR="00865CA9" w:rsidRPr="002B1D2B" w:rsidRDefault="00865CA9" w:rsidP="00865CA9">
            <w:pPr>
              <w:spacing w:line="278" w:lineRule="auto"/>
              <w:rPr>
                <w:sz w:val="18"/>
                <w:szCs w:val="18"/>
                <w:lang w:val="es-ES"/>
              </w:rPr>
            </w:pPr>
            <w:r w:rsidRPr="002B1D2B">
              <w:rPr>
                <w:sz w:val="18"/>
                <w:szCs w:val="18"/>
                <w:lang w:val="es-ES"/>
              </w:rPr>
              <w:t xml:space="preserve">Party </w:t>
            </w:r>
            <w:proofErr w:type="spellStart"/>
            <w:r w:rsidRPr="002B1D2B">
              <w:rPr>
                <w:sz w:val="18"/>
                <w:szCs w:val="18"/>
                <w:lang w:val="es-ES"/>
              </w:rPr>
              <w:t>count</w:t>
            </w:r>
            <w:proofErr w:type="spellEnd"/>
            <w:r w:rsidRPr="002B1D2B">
              <w:rPr>
                <w:sz w:val="18"/>
                <w:szCs w:val="18"/>
                <w:lang w:val="es-ES"/>
              </w:rPr>
              <w:t xml:space="preserve"> </w:t>
            </w:r>
            <w:proofErr w:type="spellStart"/>
            <w:r w:rsidRPr="002B1D2B">
              <w:rPr>
                <w:sz w:val="18"/>
                <w:szCs w:val="18"/>
                <w:lang w:val="es-ES"/>
              </w:rPr>
              <w:t>by</w:t>
            </w:r>
            <w:proofErr w:type="spellEnd"/>
            <w:r w:rsidRPr="002B1D2B">
              <w:rPr>
                <w:sz w:val="18"/>
                <w:szCs w:val="18"/>
                <w:lang w:val="es-ES"/>
              </w:rPr>
              <w:t xml:space="preserve"> </w:t>
            </w:r>
            <w:proofErr w:type="spellStart"/>
            <w:r w:rsidRPr="002B1D2B">
              <w:rPr>
                <w:sz w:val="18"/>
                <w:szCs w:val="18"/>
                <w:lang w:val="es-ES"/>
              </w:rPr>
              <w:t>region</w:t>
            </w:r>
            <w:proofErr w:type="spellEnd"/>
          </w:p>
        </w:tc>
        <w:tc>
          <w:tcPr>
            <w:tcW w:w="4095" w:type="dxa"/>
          </w:tcPr>
          <w:p w14:paraId="3C6E11B7" w14:textId="6E08A5FD" w:rsidR="00865CA9" w:rsidRPr="002B1D2B" w:rsidRDefault="00865CA9" w:rsidP="00865CA9">
            <w:pPr>
              <w:spacing w:line="278" w:lineRule="auto"/>
              <w:rPr>
                <w:sz w:val="18"/>
                <w:szCs w:val="18"/>
                <w:lang w:val="es-ES"/>
              </w:rPr>
            </w:pPr>
            <w:r w:rsidRPr="002B1D2B">
              <w:rPr>
                <w:sz w:val="18"/>
                <w:szCs w:val="18"/>
                <w:lang w:val="es-ES"/>
              </w:rPr>
              <w:t>Número de Partes por región</w:t>
            </w:r>
          </w:p>
        </w:tc>
      </w:tr>
      <w:tr w:rsidR="00865CA9" w:rsidRPr="002B1D2B" w14:paraId="709EE06C" w14:textId="77777777" w:rsidTr="00865CA9">
        <w:tc>
          <w:tcPr>
            <w:tcW w:w="5325" w:type="dxa"/>
          </w:tcPr>
          <w:p w14:paraId="314F7DF0" w14:textId="77777777" w:rsidR="00865CA9" w:rsidRPr="002B1D2B" w:rsidRDefault="00865CA9" w:rsidP="00865CA9">
            <w:pPr>
              <w:spacing w:line="278" w:lineRule="auto"/>
              <w:rPr>
                <w:sz w:val="18"/>
                <w:szCs w:val="18"/>
                <w:lang w:val="es-ES"/>
              </w:rPr>
            </w:pPr>
            <w:proofErr w:type="spellStart"/>
            <w:r w:rsidRPr="002B1D2B">
              <w:rPr>
                <w:sz w:val="18"/>
                <w:szCs w:val="18"/>
                <w:lang w:val="es-ES"/>
              </w:rPr>
              <w:t>Region</w:t>
            </w:r>
            <w:proofErr w:type="spellEnd"/>
          </w:p>
        </w:tc>
        <w:tc>
          <w:tcPr>
            <w:tcW w:w="4095" w:type="dxa"/>
          </w:tcPr>
          <w:p w14:paraId="519F2EDD" w14:textId="5CD4CC20" w:rsidR="00865CA9" w:rsidRPr="002B1D2B" w:rsidRDefault="00865CA9" w:rsidP="00865CA9">
            <w:pPr>
              <w:spacing w:line="278" w:lineRule="auto"/>
              <w:rPr>
                <w:sz w:val="18"/>
                <w:szCs w:val="18"/>
                <w:lang w:val="es-ES"/>
              </w:rPr>
            </w:pPr>
            <w:r w:rsidRPr="002B1D2B">
              <w:rPr>
                <w:sz w:val="18"/>
                <w:szCs w:val="18"/>
                <w:lang w:val="es-ES"/>
              </w:rPr>
              <w:t>Región</w:t>
            </w:r>
          </w:p>
        </w:tc>
      </w:tr>
      <w:tr w:rsidR="00865CA9" w:rsidRPr="002B1D2B" w14:paraId="07072CD1" w14:textId="77777777" w:rsidTr="00865CA9">
        <w:tc>
          <w:tcPr>
            <w:tcW w:w="5325" w:type="dxa"/>
          </w:tcPr>
          <w:p w14:paraId="1A148BEB" w14:textId="77777777" w:rsidR="00865CA9" w:rsidRPr="002B1D2B" w:rsidRDefault="00865CA9" w:rsidP="00865CA9">
            <w:pPr>
              <w:spacing w:line="278" w:lineRule="auto"/>
              <w:rPr>
                <w:sz w:val="18"/>
                <w:szCs w:val="18"/>
                <w:lang w:val="es-ES"/>
              </w:rPr>
            </w:pPr>
            <w:r w:rsidRPr="002B1D2B">
              <w:rPr>
                <w:sz w:val="18"/>
                <w:szCs w:val="18"/>
                <w:lang w:val="es-ES"/>
              </w:rPr>
              <w:t>African States</w:t>
            </w:r>
          </w:p>
        </w:tc>
        <w:tc>
          <w:tcPr>
            <w:tcW w:w="4095" w:type="dxa"/>
          </w:tcPr>
          <w:p w14:paraId="21487371" w14:textId="6AA7D325" w:rsidR="00865CA9" w:rsidRPr="002B1D2B" w:rsidRDefault="00865CA9" w:rsidP="00865CA9">
            <w:pPr>
              <w:spacing w:line="278" w:lineRule="auto"/>
              <w:rPr>
                <w:sz w:val="18"/>
                <w:szCs w:val="18"/>
                <w:lang w:val="es-ES"/>
              </w:rPr>
            </w:pPr>
            <w:r w:rsidRPr="002B1D2B">
              <w:rPr>
                <w:sz w:val="18"/>
                <w:szCs w:val="18"/>
                <w:lang w:val="es-ES"/>
              </w:rPr>
              <w:t>Estados de África</w:t>
            </w:r>
          </w:p>
        </w:tc>
      </w:tr>
      <w:tr w:rsidR="00865CA9" w:rsidRPr="002B1D2B" w14:paraId="69BE6D96" w14:textId="77777777" w:rsidTr="00865CA9">
        <w:tc>
          <w:tcPr>
            <w:tcW w:w="5325" w:type="dxa"/>
          </w:tcPr>
          <w:p w14:paraId="394F1269" w14:textId="77777777" w:rsidR="00865CA9" w:rsidRPr="002B1D2B" w:rsidRDefault="00865CA9" w:rsidP="00865CA9">
            <w:pPr>
              <w:spacing w:line="278" w:lineRule="auto"/>
              <w:rPr>
                <w:sz w:val="18"/>
                <w:szCs w:val="18"/>
                <w:lang w:val="es-ES"/>
              </w:rPr>
            </w:pPr>
            <w:r w:rsidRPr="002B1D2B">
              <w:rPr>
                <w:sz w:val="18"/>
                <w:szCs w:val="18"/>
                <w:lang w:val="es-ES"/>
              </w:rPr>
              <w:t>Asia-Pacific States</w:t>
            </w:r>
          </w:p>
        </w:tc>
        <w:tc>
          <w:tcPr>
            <w:tcW w:w="4095" w:type="dxa"/>
          </w:tcPr>
          <w:p w14:paraId="298220BC" w14:textId="435C2562" w:rsidR="00865CA9" w:rsidRPr="002B1D2B" w:rsidRDefault="00865CA9" w:rsidP="00865CA9">
            <w:pPr>
              <w:spacing w:line="278" w:lineRule="auto"/>
              <w:rPr>
                <w:sz w:val="18"/>
                <w:szCs w:val="18"/>
                <w:lang w:val="es-ES"/>
              </w:rPr>
            </w:pPr>
            <w:r w:rsidRPr="002B1D2B">
              <w:rPr>
                <w:sz w:val="18"/>
                <w:szCs w:val="18"/>
                <w:lang w:val="es-ES"/>
              </w:rPr>
              <w:t>Estados de Asia y el Pacífico</w:t>
            </w:r>
          </w:p>
        </w:tc>
      </w:tr>
      <w:tr w:rsidR="00865CA9" w:rsidRPr="002B1D2B" w14:paraId="57280EF8" w14:textId="77777777" w:rsidTr="00865CA9">
        <w:tc>
          <w:tcPr>
            <w:tcW w:w="5325" w:type="dxa"/>
          </w:tcPr>
          <w:p w14:paraId="497EF1E7" w14:textId="77777777" w:rsidR="00865CA9" w:rsidRPr="002B1D2B" w:rsidRDefault="00865CA9" w:rsidP="00865CA9">
            <w:pPr>
              <w:spacing w:line="278" w:lineRule="auto"/>
              <w:rPr>
                <w:sz w:val="18"/>
                <w:szCs w:val="18"/>
                <w:lang w:val="en-US"/>
              </w:rPr>
            </w:pPr>
            <w:r w:rsidRPr="002B1D2B">
              <w:rPr>
                <w:sz w:val="18"/>
                <w:szCs w:val="18"/>
                <w:lang w:val="en-US"/>
              </w:rPr>
              <w:t>Latin American and Caribbean States</w:t>
            </w:r>
          </w:p>
        </w:tc>
        <w:tc>
          <w:tcPr>
            <w:tcW w:w="4095" w:type="dxa"/>
          </w:tcPr>
          <w:p w14:paraId="2612FFAA" w14:textId="4112EC81" w:rsidR="00865CA9" w:rsidRPr="002B1D2B" w:rsidRDefault="00865CA9" w:rsidP="00865CA9">
            <w:pPr>
              <w:spacing w:line="278" w:lineRule="auto"/>
              <w:rPr>
                <w:sz w:val="18"/>
                <w:szCs w:val="18"/>
                <w:lang w:val="es-ES"/>
              </w:rPr>
            </w:pPr>
            <w:r w:rsidRPr="002B1D2B">
              <w:rPr>
                <w:sz w:val="18"/>
                <w:szCs w:val="18"/>
                <w:lang w:val="es-ES"/>
              </w:rPr>
              <w:t>Estados de América Latina y el Caribe</w:t>
            </w:r>
          </w:p>
        </w:tc>
      </w:tr>
      <w:tr w:rsidR="00865CA9" w:rsidRPr="002B1D2B" w14:paraId="51014CC7" w14:textId="77777777" w:rsidTr="00865CA9">
        <w:tc>
          <w:tcPr>
            <w:tcW w:w="5325" w:type="dxa"/>
          </w:tcPr>
          <w:p w14:paraId="36D314B0" w14:textId="77777777" w:rsidR="00865CA9" w:rsidRPr="002B1D2B" w:rsidRDefault="00865CA9" w:rsidP="00865CA9">
            <w:pPr>
              <w:spacing w:line="278" w:lineRule="auto"/>
              <w:rPr>
                <w:sz w:val="18"/>
                <w:szCs w:val="18"/>
                <w:lang w:val="es-ES"/>
              </w:rPr>
            </w:pPr>
            <w:r w:rsidRPr="002B1D2B">
              <w:rPr>
                <w:sz w:val="18"/>
                <w:szCs w:val="18"/>
                <w:lang w:val="es-ES"/>
              </w:rPr>
              <w:t xml:space="preserve"> Eastern European States</w:t>
            </w:r>
          </w:p>
        </w:tc>
        <w:tc>
          <w:tcPr>
            <w:tcW w:w="4095" w:type="dxa"/>
          </w:tcPr>
          <w:p w14:paraId="5ACD808C" w14:textId="0E07EAC8" w:rsidR="00865CA9" w:rsidRPr="002B1D2B" w:rsidRDefault="00865CA9" w:rsidP="00865CA9">
            <w:pPr>
              <w:spacing w:line="278" w:lineRule="auto"/>
              <w:rPr>
                <w:sz w:val="18"/>
                <w:szCs w:val="18"/>
                <w:lang w:val="es-ES"/>
              </w:rPr>
            </w:pPr>
            <w:r w:rsidRPr="002B1D2B">
              <w:rPr>
                <w:sz w:val="18"/>
                <w:szCs w:val="18"/>
                <w:lang w:val="es-ES"/>
              </w:rPr>
              <w:t>Estados de Europa Oriental</w:t>
            </w:r>
          </w:p>
        </w:tc>
      </w:tr>
      <w:tr w:rsidR="00865CA9" w:rsidRPr="002B1D2B" w14:paraId="7BDC201A" w14:textId="77777777" w:rsidTr="00865CA9">
        <w:tc>
          <w:tcPr>
            <w:tcW w:w="5325" w:type="dxa"/>
          </w:tcPr>
          <w:p w14:paraId="39EB3EB1" w14:textId="77777777" w:rsidR="00865CA9" w:rsidRPr="002B1D2B" w:rsidRDefault="00865CA9" w:rsidP="00865CA9">
            <w:pPr>
              <w:spacing w:line="278" w:lineRule="auto"/>
              <w:rPr>
                <w:sz w:val="18"/>
                <w:szCs w:val="18"/>
                <w:lang w:val="en-US"/>
              </w:rPr>
            </w:pPr>
            <w:r w:rsidRPr="002B1D2B">
              <w:rPr>
                <w:sz w:val="18"/>
                <w:szCs w:val="18"/>
                <w:lang w:val="en-US"/>
              </w:rPr>
              <w:t>Western European and other States</w:t>
            </w:r>
          </w:p>
        </w:tc>
        <w:tc>
          <w:tcPr>
            <w:tcW w:w="4095" w:type="dxa"/>
          </w:tcPr>
          <w:p w14:paraId="10D0E252" w14:textId="60C6ACEE" w:rsidR="00865CA9" w:rsidRPr="002B1D2B" w:rsidRDefault="00865CA9" w:rsidP="00865CA9">
            <w:pPr>
              <w:spacing w:line="278" w:lineRule="auto"/>
              <w:rPr>
                <w:sz w:val="18"/>
                <w:szCs w:val="18"/>
                <w:lang w:val="es-ES"/>
              </w:rPr>
            </w:pPr>
            <w:r w:rsidRPr="002B1D2B">
              <w:rPr>
                <w:sz w:val="18"/>
                <w:szCs w:val="18"/>
                <w:lang w:val="es-ES"/>
              </w:rPr>
              <w:t>Estados de Europa Occidental y otros Estados</w:t>
            </w:r>
          </w:p>
        </w:tc>
      </w:tr>
    </w:tbl>
    <w:p w14:paraId="01988F2A" w14:textId="77777777" w:rsidR="00865CA9" w:rsidRPr="005E3D50" w:rsidRDefault="00865CA9"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279D32B1" w14:textId="77777777" w:rsidR="009713BF" w:rsidRPr="005E3D50" w:rsidRDefault="009713BF" w:rsidP="009713BF">
      <w:pPr>
        <w:rPr>
          <w:lang w:val="es-ES" w:eastAsia="ja-JP"/>
        </w:rPr>
      </w:pPr>
    </w:p>
    <w:p w14:paraId="54AE862B" w14:textId="77777777" w:rsidR="009713BF" w:rsidRPr="005E3D50" w:rsidRDefault="009713BF" w:rsidP="009713BF">
      <w:pPr>
        <w:rPr>
          <w:sz w:val="20"/>
          <w:szCs w:val="20"/>
          <w:lang w:val="es-ES"/>
        </w:rPr>
      </w:pPr>
      <w:bookmarkStart w:id="304" w:name="_Ref235889238"/>
      <w:r w:rsidRPr="005E3D50">
        <w:rPr>
          <w:sz w:val="20"/>
          <w:lang w:val="es-ES"/>
        </w:rPr>
        <w:t>Figura 45</w:t>
      </w:r>
      <w:bookmarkEnd w:id="304"/>
    </w:p>
    <w:p w14:paraId="465DFF9B" w14:textId="77777777" w:rsidR="009713BF" w:rsidRPr="005E3D50" w:rsidRDefault="009713BF" w:rsidP="009713BF">
      <w:pPr>
        <w:spacing w:after="200" w:line="240" w:lineRule="auto"/>
        <w:rPr>
          <w:rFonts w:ascii="Aptos" w:eastAsiaTheme="minorEastAsia" w:hAnsi="Aptos" w:cs="Segoe UI"/>
          <w:b/>
          <w:bCs/>
          <w:color w:val="0E2841" w:themeColor="text2"/>
          <w:kern w:val="0"/>
          <w:sz w:val="20"/>
          <w:szCs w:val="20"/>
          <w:lang w:val="es-ES" w:eastAsia="ja-JP"/>
          <w14:ligatures w14:val="none"/>
        </w:rPr>
      </w:pPr>
      <w:r w:rsidRPr="005E3D50">
        <w:rPr>
          <w:rFonts w:ascii="Aptos" w:eastAsiaTheme="minorEastAsia" w:hAnsi="Aptos"/>
          <w:b/>
          <w:iCs/>
          <w:color w:val="0E2841" w:themeColor="text2"/>
          <w:kern w:val="0"/>
          <w:sz w:val="20"/>
          <w:szCs w:val="18"/>
          <w:lang w:val="es-ES" w:eastAsia="ja-JP"/>
          <w14:ligatures w14:val="none"/>
        </w:rPr>
        <w:t>Indicador 10.2.2: avances hacia la gestión forestal sostenible, subindicador d – proporción de superficie de bosques sujeta a un plan de gestión de bosques a largo plazo</w:t>
      </w:r>
    </w:p>
    <w:p w14:paraId="1F23AAF0" w14:textId="77777777" w:rsidR="009713BF" w:rsidRPr="005E3D50" w:rsidRDefault="009713BF" w:rsidP="009713BF">
      <w:pPr>
        <w:rPr>
          <w:sz w:val="20"/>
          <w:szCs w:val="20"/>
          <w:lang w:val="es-ES" w:eastAsia="ja-JP"/>
        </w:rPr>
      </w:pPr>
    </w:p>
    <w:p w14:paraId="3661738F"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4A4200CC" wp14:editId="612567C0">
            <wp:extent cx="5731510" cy="4298950"/>
            <wp:effectExtent l="0" t="0" r="0" b="6350"/>
            <wp:docPr id="766776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76046" name="Picture 766776046"/>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39AFB88"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rPr>
      </w:pPr>
      <w:bookmarkStart w:id="305" w:name="_Ref230786348"/>
      <w:r w:rsidRPr="005E3D50">
        <w:rPr>
          <w:rFonts w:ascii="Aptos" w:eastAsiaTheme="minorEastAsia" w:hAnsi="Aptos"/>
          <w:i/>
          <w:iCs/>
          <w:color w:val="0E2841" w:themeColor="text2"/>
          <w:kern w:val="0"/>
          <w:sz w:val="18"/>
          <w:szCs w:val="18"/>
          <w:lang w:val="es-ES" w:eastAsia="ja-JP"/>
          <w14:ligatures w14:val="none"/>
        </w:rPr>
        <w:lastRenderedPageBreak/>
        <w:t>Nota</w:t>
      </w:r>
      <w:r w:rsidRPr="005E3D50">
        <w:rPr>
          <w:rFonts w:ascii="Aptos" w:eastAsiaTheme="minorEastAsia" w:hAnsi="Aptos"/>
          <w:iCs/>
          <w:color w:val="0E2841" w:themeColor="text2"/>
          <w:kern w:val="0"/>
          <w:sz w:val="18"/>
          <w:szCs w:val="18"/>
          <w:lang w:val="es-ES" w:eastAsia="ja-JP"/>
          <w14:ligatures w14:val="none"/>
        </w:rPr>
        <w:t>: Los valores del indicador</w:t>
      </w:r>
      <w:r w:rsidRPr="005E3D50">
        <w:rPr>
          <w:rFonts w:eastAsiaTheme="minorEastAsia"/>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muestran el promedio general y el intervalo intercuartílico de todas las comunicaciones de las Partes para</w:t>
      </w:r>
      <w:r w:rsidRPr="005E3D50">
        <w:rPr>
          <w:rFonts w:eastAsiaTheme="minorEastAsia"/>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cada año. </w:t>
      </w:r>
      <w:r w:rsidRPr="005E3D50">
        <w:rPr>
          <w:rFonts w:eastAsiaTheme="minorEastAsia"/>
          <w:iCs/>
          <w:color w:val="0E2841" w:themeColor="text2"/>
          <w:kern w:val="0"/>
          <w:sz w:val="18"/>
          <w:szCs w:val="18"/>
          <w:lang w:val="es-ES" w:eastAsia="ja-JP"/>
          <w14:ligatures w14:val="none"/>
        </w:rPr>
        <w:t>El gráfico de barras de la derecha muestra</w:t>
      </w:r>
      <w:r w:rsidRPr="005E3D50">
        <w:rPr>
          <w:rFonts w:ascii="Aptos" w:eastAsiaTheme="minorEastAsia" w:hAnsi="Aptos"/>
          <w:iCs/>
          <w:color w:val="0E2841" w:themeColor="text2"/>
          <w:kern w:val="0"/>
          <w:sz w:val="18"/>
          <w:szCs w:val="18"/>
          <w:lang w:val="es-ES" w:eastAsia="ja-JP"/>
          <w14:ligatures w14:val="none"/>
        </w:rPr>
        <w:t xml:space="preserve">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gráfico circular muestra la proporción</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del </w:t>
      </w:r>
      <w:r w:rsidRPr="005E3D50">
        <w:rPr>
          <w:rFonts w:eastAsiaTheme="minorEastAsia"/>
          <w:iCs/>
          <w:color w:val="0E2841" w:themeColor="text2"/>
          <w:kern w:val="0"/>
          <w:sz w:val="18"/>
          <w:szCs w:val="18"/>
          <w:lang w:val="es-ES" w:eastAsia="ja-JP"/>
          <w14:ligatures w14:val="none"/>
        </w:rPr>
        <w:t>total de superficies forestadas de todas las Partes que corresponde a aquellas Partes que comunicaron datos para el indicador.</w:t>
      </w:r>
      <w:r w:rsidRPr="005E3D50">
        <w:rPr>
          <w:rFonts w:ascii="Aptos" w:eastAsiaTheme="minorEastAsia" w:hAnsi="Aptos"/>
          <w:i/>
          <w:iCs/>
          <w:color w:val="0E2841" w:themeColor="text2"/>
          <w:kern w:val="0"/>
          <w:sz w:val="18"/>
          <w:szCs w:val="18"/>
          <w:lang w:val="es-ES" w:eastAsia="ja-JP"/>
          <w14:ligatures w14:val="none"/>
        </w:rPr>
        <w:t xml:space="preserve"> </w:t>
      </w:r>
    </w:p>
    <w:tbl>
      <w:tblPr>
        <w:tblStyle w:val="TableGrid"/>
        <w:tblW w:w="934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82"/>
        <w:gridCol w:w="4060"/>
      </w:tblGrid>
      <w:tr w:rsidR="000503D0" w:rsidRPr="00720371" w14:paraId="0536A0E7" w14:textId="77777777" w:rsidTr="00720371">
        <w:tc>
          <w:tcPr>
            <w:tcW w:w="9342" w:type="dxa"/>
            <w:gridSpan w:val="2"/>
            <w:tcBorders>
              <w:top w:val="single" w:sz="4" w:space="0" w:color="auto"/>
              <w:bottom w:val="single" w:sz="4" w:space="0" w:color="auto"/>
            </w:tcBorders>
            <w:tcMar>
              <w:left w:w="105" w:type="dxa"/>
              <w:right w:w="105" w:type="dxa"/>
            </w:tcMar>
          </w:tcPr>
          <w:p w14:paraId="3186389D" w14:textId="44CF4003" w:rsidR="000503D0" w:rsidRPr="00720371" w:rsidRDefault="000503D0" w:rsidP="00720371">
            <w:pPr>
              <w:rPr>
                <w:sz w:val="18"/>
                <w:szCs w:val="18"/>
                <w:lang w:val="es-ES"/>
              </w:rPr>
            </w:pPr>
            <w:r w:rsidRPr="00720371">
              <w:rPr>
                <w:sz w:val="18"/>
                <w:szCs w:val="18"/>
                <w:lang w:val="es-ES"/>
              </w:rPr>
              <w:t>Figura 45</w:t>
            </w:r>
          </w:p>
        </w:tc>
      </w:tr>
      <w:tr w:rsidR="000503D0" w:rsidRPr="00720371" w14:paraId="07FDA909" w14:textId="77777777" w:rsidTr="00720371">
        <w:tc>
          <w:tcPr>
            <w:tcW w:w="5282" w:type="dxa"/>
            <w:tcBorders>
              <w:top w:val="single" w:sz="4" w:space="0" w:color="auto"/>
            </w:tcBorders>
            <w:tcMar>
              <w:left w:w="105" w:type="dxa"/>
              <w:right w:w="105" w:type="dxa"/>
            </w:tcMar>
          </w:tcPr>
          <w:p w14:paraId="51F47C8A" w14:textId="77777777" w:rsidR="000503D0" w:rsidRPr="00720371" w:rsidRDefault="000503D0" w:rsidP="00720371">
            <w:pPr>
              <w:spacing w:line="278" w:lineRule="auto"/>
              <w:rPr>
                <w:sz w:val="18"/>
                <w:szCs w:val="18"/>
                <w:lang w:val="es-ES"/>
              </w:rPr>
            </w:pPr>
            <w:r w:rsidRPr="00720371">
              <w:rPr>
                <w:sz w:val="18"/>
                <w:szCs w:val="18"/>
                <w:lang w:val="es-ES"/>
              </w:rPr>
              <w:t xml:space="preserve">English </w:t>
            </w:r>
          </w:p>
        </w:tc>
        <w:tc>
          <w:tcPr>
            <w:tcW w:w="4060" w:type="dxa"/>
            <w:tcBorders>
              <w:top w:val="single" w:sz="4" w:space="0" w:color="auto"/>
            </w:tcBorders>
            <w:tcMar>
              <w:left w:w="105" w:type="dxa"/>
              <w:right w:w="105" w:type="dxa"/>
            </w:tcMar>
          </w:tcPr>
          <w:p w14:paraId="2B5A8AC2" w14:textId="67839253" w:rsidR="000503D0" w:rsidRPr="00720371" w:rsidRDefault="007371B4" w:rsidP="00720371">
            <w:pPr>
              <w:spacing w:line="278" w:lineRule="auto"/>
              <w:rPr>
                <w:sz w:val="18"/>
                <w:szCs w:val="18"/>
                <w:lang w:val="es-ES"/>
              </w:rPr>
            </w:pPr>
            <w:r>
              <w:rPr>
                <w:sz w:val="18"/>
                <w:szCs w:val="18"/>
                <w:lang w:val="es-ES"/>
              </w:rPr>
              <w:t>Español</w:t>
            </w:r>
          </w:p>
        </w:tc>
      </w:tr>
      <w:tr w:rsidR="000503D0" w:rsidRPr="00720371" w14:paraId="40911A40" w14:textId="77777777" w:rsidTr="00720371">
        <w:tc>
          <w:tcPr>
            <w:tcW w:w="5282" w:type="dxa"/>
            <w:tcMar>
              <w:left w:w="105" w:type="dxa"/>
              <w:right w:w="105" w:type="dxa"/>
            </w:tcMar>
          </w:tcPr>
          <w:p w14:paraId="294A7891" w14:textId="77777777" w:rsidR="000503D0" w:rsidRPr="00720371" w:rsidRDefault="000503D0" w:rsidP="00720371">
            <w:pPr>
              <w:spacing w:line="278" w:lineRule="auto"/>
              <w:rPr>
                <w:sz w:val="18"/>
                <w:szCs w:val="18"/>
                <w:lang w:val="en-US"/>
              </w:rPr>
            </w:pPr>
            <w:r w:rsidRPr="00720371">
              <w:rPr>
                <w:sz w:val="18"/>
                <w:szCs w:val="18"/>
                <w:lang w:val="en-US"/>
              </w:rPr>
              <w:t>Forest area under long-term management (percentage)</w:t>
            </w:r>
          </w:p>
        </w:tc>
        <w:tc>
          <w:tcPr>
            <w:tcW w:w="4060" w:type="dxa"/>
            <w:tcMar>
              <w:left w:w="105" w:type="dxa"/>
              <w:right w:w="105" w:type="dxa"/>
            </w:tcMar>
          </w:tcPr>
          <w:p w14:paraId="2900124B" w14:textId="598A8559" w:rsidR="000503D0" w:rsidRPr="00720371" w:rsidRDefault="000503D0" w:rsidP="00720371">
            <w:pPr>
              <w:spacing w:line="278" w:lineRule="auto"/>
              <w:rPr>
                <w:sz w:val="18"/>
                <w:szCs w:val="18"/>
                <w:lang w:val="es-ES"/>
              </w:rPr>
            </w:pPr>
            <w:r w:rsidRPr="00720371">
              <w:rPr>
                <w:sz w:val="18"/>
                <w:szCs w:val="18"/>
                <w:lang w:val="es-ES"/>
              </w:rPr>
              <w:t>Superficie forestal sujeta a gestión a largo plazo (porcentaje)</w:t>
            </w:r>
          </w:p>
        </w:tc>
      </w:tr>
      <w:tr w:rsidR="000503D0" w:rsidRPr="00720371" w14:paraId="00D59880" w14:textId="77777777" w:rsidTr="00720371">
        <w:tc>
          <w:tcPr>
            <w:tcW w:w="5282" w:type="dxa"/>
            <w:tcMar>
              <w:left w:w="105" w:type="dxa"/>
              <w:right w:w="105" w:type="dxa"/>
            </w:tcMar>
          </w:tcPr>
          <w:p w14:paraId="19A8E783" w14:textId="77777777" w:rsidR="000503D0" w:rsidRPr="00720371" w:rsidRDefault="000503D0" w:rsidP="00720371">
            <w:pPr>
              <w:spacing w:line="278" w:lineRule="auto"/>
              <w:rPr>
                <w:sz w:val="18"/>
                <w:szCs w:val="18"/>
                <w:lang w:val="es-ES"/>
              </w:rPr>
            </w:pPr>
            <w:proofErr w:type="spellStart"/>
            <w:r w:rsidRPr="00720371">
              <w:rPr>
                <w:sz w:val="18"/>
                <w:szCs w:val="18"/>
                <w:lang w:val="es-ES"/>
              </w:rPr>
              <w:t>Year</w:t>
            </w:r>
            <w:proofErr w:type="spellEnd"/>
          </w:p>
        </w:tc>
        <w:tc>
          <w:tcPr>
            <w:tcW w:w="4060" w:type="dxa"/>
            <w:tcMar>
              <w:left w:w="105" w:type="dxa"/>
              <w:right w:w="105" w:type="dxa"/>
            </w:tcMar>
          </w:tcPr>
          <w:p w14:paraId="7FC65365" w14:textId="322A95DA" w:rsidR="000503D0" w:rsidRPr="00720371" w:rsidRDefault="000503D0" w:rsidP="00720371">
            <w:pPr>
              <w:spacing w:line="278" w:lineRule="auto"/>
              <w:rPr>
                <w:sz w:val="18"/>
                <w:szCs w:val="18"/>
                <w:lang w:val="es-ES"/>
              </w:rPr>
            </w:pPr>
            <w:r w:rsidRPr="00720371">
              <w:rPr>
                <w:sz w:val="18"/>
                <w:szCs w:val="18"/>
                <w:lang w:val="es-ES"/>
              </w:rPr>
              <w:t>Año</w:t>
            </w:r>
          </w:p>
        </w:tc>
      </w:tr>
      <w:tr w:rsidR="000503D0" w:rsidRPr="00720371" w14:paraId="1D45AC61" w14:textId="77777777" w:rsidTr="00720371">
        <w:tc>
          <w:tcPr>
            <w:tcW w:w="5282" w:type="dxa"/>
            <w:tcMar>
              <w:left w:w="105" w:type="dxa"/>
              <w:right w:w="105" w:type="dxa"/>
            </w:tcMar>
          </w:tcPr>
          <w:p w14:paraId="1D4811F6" w14:textId="77777777" w:rsidR="000503D0" w:rsidRPr="00720371" w:rsidRDefault="000503D0" w:rsidP="00720371">
            <w:pPr>
              <w:spacing w:line="278" w:lineRule="auto"/>
              <w:rPr>
                <w:sz w:val="18"/>
                <w:szCs w:val="18"/>
                <w:lang w:val="es-ES"/>
              </w:rPr>
            </w:pPr>
            <w:r w:rsidRPr="00720371">
              <w:rPr>
                <w:sz w:val="18"/>
                <w:szCs w:val="18"/>
                <w:lang w:val="es-ES"/>
              </w:rPr>
              <w:t xml:space="preserve">Party </w:t>
            </w:r>
            <w:proofErr w:type="spellStart"/>
            <w:r w:rsidRPr="00720371">
              <w:rPr>
                <w:sz w:val="18"/>
                <w:szCs w:val="18"/>
                <w:lang w:val="es-ES"/>
              </w:rPr>
              <w:t>count</w:t>
            </w:r>
            <w:proofErr w:type="spellEnd"/>
            <w:r w:rsidRPr="00720371">
              <w:rPr>
                <w:sz w:val="18"/>
                <w:szCs w:val="18"/>
                <w:lang w:val="es-ES"/>
              </w:rPr>
              <w:t>: 27</w:t>
            </w:r>
          </w:p>
        </w:tc>
        <w:tc>
          <w:tcPr>
            <w:tcW w:w="4060" w:type="dxa"/>
            <w:tcMar>
              <w:left w:w="105" w:type="dxa"/>
              <w:right w:w="105" w:type="dxa"/>
            </w:tcMar>
          </w:tcPr>
          <w:p w14:paraId="70E5CB54" w14:textId="26C3A2F7" w:rsidR="000503D0" w:rsidRPr="00720371" w:rsidRDefault="000503D0" w:rsidP="00720371">
            <w:pPr>
              <w:spacing w:line="278" w:lineRule="auto"/>
              <w:rPr>
                <w:sz w:val="18"/>
                <w:szCs w:val="18"/>
                <w:lang w:val="es-ES"/>
              </w:rPr>
            </w:pPr>
            <w:r w:rsidRPr="00720371">
              <w:rPr>
                <w:sz w:val="18"/>
                <w:szCs w:val="18"/>
                <w:lang w:val="es-ES"/>
              </w:rPr>
              <w:t>Número de Partes: 27</w:t>
            </w:r>
          </w:p>
        </w:tc>
      </w:tr>
      <w:tr w:rsidR="000503D0" w:rsidRPr="00720371" w14:paraId="69DF4092" w14:textId="77777777" w:rsidTr="00720371">
        <w:tc>
          <w:tcPr>
            <w:tcW w:w="5282" w:type="dxa"/>
            <w:tcMar>
              <w:left w:w="105" w:type="dxa"/>
              <w:right w:w="105" w:type="dxa"/>
            </w:tcMar>
          </w:tcPr>
          <w:p w14:paraId="14F2B7F8" w14:textId="77777777" w:rsidR="000503D0" w:rsidRPr="00720371" w:rsidRDefault="000503D0" w:rsidP="00720371">
            <w:pPr>
              <w:spacing w:line="278" w:lineRule="auto"/>
              <w:rPr>
                <w:sz w:val="18"/>
                <w:szCs w:val="18"/>
                <w:lang w:val="es-ES"/>
              </w:rPr>
            </w:pPr>
            <w:r w:rsidRPr="00720371">
              <w:rPr>
                <w:sz w:val="18"/>
                <w:szCs w:val="18"/>
                <w:lang w:val="es-ES"/>
              </w:rPr>
              <w:t xml:space="preserve">Share of </w:t>
            </w:r>
            <w:proofErr w:type="spellStart"/>
            <w:r w:rsidRPr="00720371">
              <w:rPr>
                <w:sz w:val="18"/>
                <w:szCs w:val="18"/>
                <w:lang w:val="es-ES"/>
              </w:rPr>
              <w:t>forest</w:t>
            </w:r>
            <w:proofErr w:type="spellEnd"/>
            <w:r w:rsidRPr="00720371">
              <w:rPr>
                <w:sz w:val="18"/>
                <w:szCs w:val="18"/>
                <w:lang w:val="es-ES"/>
              </w:rPr>
              <w:t xml:space="preserve"> </w:t>
            </w:r>
            <w:proofErr w:type="spellStart"/>
            <w:r w:rsidRPr="00720371">
              <w:rPr>
                <w:sz w:val="18"/>
                <w:szCs w:val="18"/>
                <w:lang w:val="es-ES"/>
              </w:rPr>
              <w:t>area</w:t>
            </w:r>
            <w:proofErr w:type="spellEnd"/>
          </w:p>
        </w:tc>
        <w:tc>
          <w:tcPr>
            <w:tcW w:w="4060" w:type="dxa"/>
            <w:tcMar>
              <w:left w:w="105" w:type="dxa"/>
              <w:right w:w="105" w:type="dxa"/>
            </w:tcMar>
          </w:tcPr>
          <w:p w14:paraId="3E885772" w14:textId="3A4F9E3F" w:rsidR="000503D0" w:rsidRPr="00720371" w:rsidRDefault="000503D0" w:rsidP="00720371">
            <w:pPr>
              <w:spacing w:line="278" w:lineRule="auto"/>
              <w:rPr>
                <w:sz w:val="18"/>
                <w:szCs w:val="18"/>
                <w:lang w:val="es-ES"/>
              </w:rPr>
            </w:pPr>
            <w:r w:rsidRPr="00720371">
              <w:rPr>
                <w:sz w:val="18"/>
                <w:szCs w:val="18"/>
                <w:lang w:val="es-ES"/>
              </w:rPr>
              <w:t>Porcentaje de la superficie forestal</w:t>
            </w:r>
          </w:p>
        </w:tc>
      </w:tr>
      <w:tr w:rsidR="000503D0" w:rsidRPr="00720371" w14:paraId="10BCBBE7" w14:textId="77777777" w:rsidTr="00720371">
        <w:tc>
          <w:tcPr>
            <w:tcW w:w="5282" w:type="dxa"/>
            <w:tcMar>
              <w:left w:w="105" w:type="dxa"/>
              <w:right w:w="105" w:type="dxa"/>
            </w:tcMar>
          </w:tcPr>
          <w:p w14:paraId="34BD0C30" w14:textId="77777777" w:rsidR="000503D0" w:rsidRPr="00720371" w:rsidRDefault="000503D0" w:rsidP="00720371">
            <w:pPr>
              <w:spacing w:line="278" w:lineRule="auto"/>
              <w:rPr>
                <w:sz w:val="18"/>
                <w:szCs w:val="18"/>
                <w:lang w:val="es-ES"/>
              </w:rPr>
            </w:pPr>
            <w:r w:rsidRPr="00720371">
              <w:rPr>
                <w:sz w:val="18"/>
                <w:szCs w:val="18"/>
                <w:lang w:val="es-ES"/>
              </w:rPr>
              <w:t xml:space="preserve">Party </w:t>
            </w:r>
            <w:proofErr w:type="spellStart"/>
            <w:r w:rsidRPr="00720371">
              <w:rPr>
                <w:sz w:val="18"/>
                <w:szCs w:val="18"/>
                <w:lang w:val="es-ES"/>
              </w:rPr>
              <w:t>count</w:t>
            </w:r>
            <w:proofErr w:type="spellEnd"/>
            <w:r w:rsidRPr="00720371">
              <w:rPr>
                <w:sz w:val="18"/>
                <w:szCs w:val="18"/>
                <w:lang w:val="es-ES"/>
              </w:rPr>
              <w:t xml:space="preserve"> </w:t>
            </w:r>
            <w:proofErr w:type="spellStart"/>
            <w:r w:rsidRPr="00720371">
              <w:rPr>
                <w:sz w:val="18"/>
                <w:szCs w:val="18"/>
                <w:lang w:val="es-ES"/>
              </w:rPr>
              <w:t>by</w:t>
            </w:r>
            <w:proofErr w:type="spellEnd"/>
            <w:r w:rsidRPr="00720371">
              <w:rPr>
                <w:sz w:val="18"/>
                <w:szCs w:val="18"/>
                <w:lang w:val="es-ES"/>
              </w:rPr>
              <w:t xml:space="preserve"> </w:t>
            </w:r>
            <w:proofErr w:type="spellStart"/>
            <w:r w:rsidRPr="00720371">
              <w:rPr>
                <w:sz w:val="18"/>
                <w:szCs w:val="18"/>
                <w:lang w:val="es-ES"/>
              </w:rPr>
              <w:t>region</w:t>
            </w:r>
            <w:proofErr w:type="spellEnd"/>
          </w:p>
        </w:tc>
        <w:tc>
          <w:tcPr>
            <w:tcW w:w="4060" w:type="dxa"/>
            <w:tcMar>
              <w:left w:w="105" w:type="dxa"/>
              <w:right w:w="105" w:type="dxa"/>
            </w:tcMar>
          </w:tcPr>
          <w:p w14:paraId="53895D89" w14:textId="1B76996D" w:rsidR="000503D0" w:rsidRPr="00720371" w:rsidRDefault="000503D0" w:rsidP="00720371">
            <w:pPr>
              <w:spacing w:line="278" w:lineRule="auto"/>
              <w:rPr>
                <w:sz w:val="18"/>
                <w:szCs w:val="18"/>
                <w:lang w:val="es-ES"/>
              </w:rPr>
            </w:pPr>
            <w:r w:rsidRPr="00720371">
              <w:rPr>
                <w:sz w:val="18"/>
                <w:szCs w:val="18"/>
                <w:lang w:val="es-ES"/>
              </w:rPr>
              <w:t>Número de Partes por región</w:t>
            </w:r>
          </w:p>
        </w:tc>
      </w:tr>
      <w:tr w:rsidR="000503D0" w:rsidRPr="00720371" w14:paraId="48BAA556" w14:textId="77777777" w:rsidTr="00720371">
        <w:tc>
          <w:tcPr>
            <w:tcW w:w="5282" w:type="dxa"/>
            <w:tcMar>
              <w:left w:w="105" w:type="dxa"/>
              <w:right w:w="105" w:type="dxa"/>
            </w:tcMar>
          </w:tcPr>
          <w:p w14:paraId="33813A1A" w14:textId="77777777" w:rsidR="000503D0" w:rsidRPr="00720371" w:rsidRDefault="000503D0" w:rsidP="00720371">
            <w:pPr>
              <w:spacing w:line="278" w:lineRule="auto"/>
              <w:rPr>
                <w:sz w:val="18"/>
                <w:szCs w:val="18"/>
                <w:lang w:val="es-ES"/>
              </w:rPr>
            </w:pPr>
            <w:proofErr w:type="spellStart"/>
            <w:r w:rsidRPr="00720371">
              <w:rPr>
                <w:sz w:val="18"/>
                <w:szCs w:val="18"/>
                <w:lang w:val="es-ES"/>
              </w:rPr>
              <w:t>Region</w:t>
            </w:r>
            <w:proofErr w:type="spellEnd"/>
          </w:p>
        </w:tc>
        <w:tc>
          <w:tcPr>
            <w:tcW w:w="4060" w:type="dxa"/>
            <w:tcMar>
              <w:left w:w="105" w:type="dxa"/>
              <w:right w:w="105" w:type="dxa"/>
            </w:tcMar>
          </w:tcPr>
          <w:p w14:paraId="7F9EBF39" w14:textId="2FE8A977" w:rsidR="000503D0" w:rsidRPr="00720371" w:rsidRDefault="000503D0" w:rsidP="00720371">
            <w:pPr>
              <w:spacing w:line="278" w:lineRule="auto"/>
              <w:rPr>
                <w:sz w:val="18"/>
                <w:szCs w:val="18"/>
                <w:lang w:val="es-ES"/>
              </w:rPr>
            </w:pPr>
            <w:r w:rsidRPr="00720371">
              <w:rPr>
                <w:sz w:val="18"/>
                <w:szCs w:val="18"/>
                <w:lang w:val="es-ES"/>
              </w:rPr>
              <w:t>Región</w:t>
            </w:r>
          </w:p>
        </w:tc>
      </w:tr>
      <w:tr w:rsidR="000503D0" w:rsidRPr="00720371" w14:paraId="128FB1F0" w14:textId="77777777" w:rsidTr="00720371">
        <w:tc>
          <w:tcPr>
            <w:tcW w:w="5282" w:type="dxa"/>
            <w:tcMar>
              <w:left w:w="105" w:type="dxa"/>
              <w:right w:w="105" w:type="dxa"/>
            </w:tcMar>
          </w:tcPr>
          <w:p w14:paraId="3B65BA85" w14:textId="77777777" w:rsidR="000503D0" w:rsidRPr="00720371" w:rsidRDefault="000503D0" w:rsidP="00720371">
            <w:pPr>
              <w:spacing w:line="278" w:lineRule="auto"/>
              <w:rPr>
                <w:sz w:val="18"/>
                <w:szCs w:val="18"/>
                <w:lang w:val="es-ES"/>
              </w:rPr>
            </w:pPr>
            <w:r w:rsidRPr="00720371">
              <w:rPr>
                <w:sz w:val="18"/>
                <w:szCs w:val="18"/>
                <w:lang w:val="es-ES"/>
              </w:rPr>
              <w:t>African States</w:t>
            </w:r>
          </w:p>
        </w:tc>
        <w:tc>
          <w:tcPr>
            <w:tcW w:w="4060" w:type="dxa"/>
            <w:tcMar>
              <w:left w:w="105" w:type="dxa"/>
              <w:right w:w="105" w:type="dxa"/>
            </w:tcMar>
          </w:tcPr>
          <w:p w14:paraId="48B157D5" w14:textId="0BB9FCEC" w:rsidR="000503D0" w:rsidRPr="00720371" w:rsidRDefault="000503D0" w:rsidP="00720371">
            <w:pPr>
              <w:spacing w:line="278" w:lineRule="auto"/>
              <w:rPr>
                <w:sz w:val="18"/>
                <w:szCs w:val="18"/>
                <w:lang w:val="es-ES"/>
              </w:rPr>
            </w:pPr>
            <w:r w:rsidRPr="00720371">
              <w:rPr>
                <w:sz w:val="18"/>
                <w:szCs w:val="18"/>
                <w:lang w:val="es-ES"/>
              </w:rPr>
              <w:t>Estados de África</w:t>
            </w:r>
          </w:p>
        </w:tc>
      </w:tr>
      <w:tr w:rsidR="000503D0" w:rsidRPr="00720371" w14:paraId="46C5CCD3" w14:textId="77777777" w:rsidTr="00720371">
        <w:tc>
          <w:tcPr>
            <w:tcW w:w="5282" w:type="dxa"/>
            <w:tcMar>
              <w:left w:w="105" w:type="dxa"/>
              <w:right w:w="105" w:type="dxa"/>
            </w:tcMar>
          </w:tcPr>
          <w:p w14:paraId="2DAA115D" w14:textId="77777777" w:rsidR="000503D0" w:rsidRPr="00720371" w:rsidRDefault="000503D0" w:rsidP="00720371">
            <w:pPr>
              <w:spacing w:line="278" w:lineRule="auto"/>
              <w:rPr>
                <w:sz w:val="18"/>
                <w:szCs w:val="18"/>
                <w:lang w:val="es-ES"/>
              </w:rPr>
            </w:pPr>
            <w:r w:rsidRPr="00720371">
              <w:rPr>
                <w:sz w:val="18"/>
                <w:szCs w:val="18"/>
                <w:lang w:val="es-ES"/>
              </w:rPr>
              <w:t>Asia-Pacific States</w:t>
            </w:r>
          </w:p>
        </w:tc>
        <w:tc>
          <w:tcPr>
            <w:tcW w:w="4060" w:type="dxa"/>
            <w:tcMar>
              <w:left w:w="105" w:type="dxa"/>
              <w:right w:w="105" w:type="dxa"/>
            </w:tcMar>
          </w:tcPr>
          <w:p w14:paraId="7068FA11" w14:textId="7928902B" w:rsidR="000503D0" w:rsidRPr="00720371" w:rsidRDefault="000503D0" w:rsidP="00720371">
            <w:pPr>
              <w:spacing w:line="278" w:lineRule="auto"/>
              <w:rPr>
                <w:sz w:val="18"/>
                <w:szCs w:val="18"/>
                <w:lang w:val="es-ES"/>
              </w:rPr>
            </w:pPr>
            <w:r w:rsidRPr="00720371">
              <w:rPr>
                <w:sz w:val="18"/>
                <w:szCs w:val="18"/>
                <w:lang w:val="es-ES"/>
              </w:rPr>
              <w:t>Estados de Asia y el Pacífico</w:t>
            </w:r>
          </w:p>
        </w:tc>
      </w:tr>
      <w:tr w:rsidR="000503D0" w:rsidRPr="00720371" w14:paraId="148A0AAF" w14:textId="77777777" w:rsidTr="00720371">
        <w:tc>
          <w:tcPr>
            <w:tcW w:w="5282" w:type="dxa"/>
            <w:tcMar>
              <w:left w:w="105" w:type="dxa"/>
              <w:right w:w="105" w:type="dxa"/>
            </w:tcMar>
          </w:tcPr>
          <w:p w14:paraId="2D4FA4FA" w14:textId="77777777" w:rsidR="000503D0" w:rsidRPr="00720371" w:rsidRDefault="000503D0" w:rsidP="00720371">
            <w:pPr>
              <w:spacing w:line="278" w:lineRule="auto"/>
              <w:rPr>
                <w:sz w:val="18"/>
                <w:szCs w:val="18"/>
                <w:lang w:val="en-US"/>
              </w:rPr>
            </w:pPr>
            <w:r w:rsidRPr="00720371">
              <w:rPr>
                <w:sz w:val="18"/>
                <w:szCs w:val="18"/>
                <w:lang w:val="en-US"/>
              </w:rPr>
              <w:t>Latin American and Caribbean States</w:t>
            </w:r>
          </w:p>
        </w:tc>
        <w:tc>
          <w:tcPr>
            <w:tcW w:w="4060" w:type="dxa"/>
            <w:tcMar>
              <w:left w:w="105" w:type="dxa"/>
              <w:right w:w="105" w:type="dxa"/>
            </w:tcMar>
          </w:tcPr>
          <w:p w14:paraId="6378DAFE" w14:textId="242FC8CB" w:rsidR="000503D0" w:rsidRPr="00720371" w:rsidRDefault="000503D0" w:rsidP="00720371">
            <w:pPr>
              <w:spacing w:line="278" w:lineRule="auto"/>
              <w:rPr>
                <w:sz w:val="18"/>
                <w:szCs w:val="18"/>
                <w:lang w:val="es-ES"/>
              </w:rPr>
            </w:pPr>
            <w:r w:rsidRPr="00720371">
              <w:rPr>
                <w:sz w:val="18"/>
                <w:szCs w:val="18"/>
                <w:lang w:val="es-ES"/>
              </w:rPr>
              <w:t>Estados de América Latina y el Caribe</w:t>
            </w:r>
          </w:p>
        </w:tc>
      </w:tr>
      <w:tr w:rsidR="000503D0" w:rsidRPr="00720371" w14:paraId="4EB5A3DF" w14:textId="77777777" w:rsidTr="00720371">
        <w:tc>
          <w:tcPr>
            <w:tcW w:w="5282" w:type="dxa"/>
            <w:tcMar>
              <w:left w:w="105" w:type="dxa"/>
              <w:right w:w="105" w:type="dxa"/>
            </w:tcMar>
          </w:tcPr>
          <w:p w14:paraId="0EC89892" w14:textId="77777777" w:rsidR="000503D0" w:rsidRPr="00720371" w:rsidRDefault="000503D0" w:rsidP="00720371">
            <w:pPr>
              <w:spacing w:line="278" w:lineRule="auto"/>
              <w:rPr>
                <w:sz w:val="18"/>
                <w:szCs w:val="18"/>
                <w:lang w:val="es-ES"/>
              </w:rPr>
            </w:pPr>
            <w:r w:rsidRPr="00720371">
              <w:rPr>
                <w:sz w:val="18"/>
                <w:szCs w:val="18"/>
                <w:lang w:val="es-ES"/>
              </w:rPr>
              <w:t xml:space="preserve"> Eastern European States</w:t>
            </w:r>
          </w:p>
        </w:tc>
        <w:tc>
          <w:tcPr>
            <w:tcW w:w="4060" w:type="dxa"/>
            <w:tcMar>
              <w:left w:w="105" w:type="dxa"/>
              <w:right w:w="105" w:type="dxa"/>
            </w:tcMar>
          </w:tcPr>
          <w:p w14:paraId="4091C6F8" w14:textId="5836E14C" w:rsidR="000503D0" w:rsidRPr="00720371" w:rsidRDefault="000503D0" w:rsidP="00720371">
            <w:pPr>
              <w:spacing w:line="278" w:lineRule="auto"/>
              <w:rPr>
                <w:sz w:val="18"/>
                <w:szCs w:val="18"/>
                <w:lang w:val="es-ES"/>
              </w:rPr>
            </w:pPr>
            <w:r w:rsidRPr="00720371">
              <w:rPr>
                <w:sz w:val="18"/>
                <w:szCs w:val="18"/>
                <w:lang w:val="es-ES"/>
              </w:rPr>
              <w:t>Estados de Europa Oriental</w:t>
            </w:r>
          </w:p>
        </w:tc>
      </w:tr>
      <w:tr w:rsidR="000503D0" w:rsidRPr="00720371" w14:paraId="6B7EDCA5" w14:textId="77777777" w:rsidTr="00720371">
        <w:tc>
          <w:tcPr>
            <w:tcW w:w="5282" w:type="dxa"/>
            <w:tcMar>
              <w:left w:w="105" w:type="dxa"/>
              <w:right w:w="105" w:type="dxa"/>
            </w:tcMar>
          </w:tcPr>
          <w:p w14:paraId="295C897D" w14:textId="77777777" w:rsidR="000503D0" w:rsidRPr="00720371" w:rsidRDefault="000503D0" w:rsidP="00720371">
            <w:pPr>
              <w:spacing w:line="278" w:lineRule="auto"/>
              <w:rPr>
                <w:sz w:val="18"/>
                <w:szCs w:val="18"/>
                <w:lang w:val="en-US"/>
              </w:rPr>
            </w:pPr>
            <w:r w:rsidRPr="00720371">
              <w:rPr>
                <w:sz w:val="18"/>
                <w:szCs w:val="18"/>
                <w:lang w:val="en-US"/>
              </w:rPr>
              <w:t>Western European and other States</w:t>
            </w:r>
          </w:p>
        </w:tc>
        <w:tc>
          <w:tcPr>
            <w:tcW w:w="4060" w:type="dxa"/>
            <w:tcMar>
              <w:left w:w="105" w:type="dxa"/>
              <w:right w:w="105" w:type="dxa"/>
            </w:tcMar>
          </w:tcPr>
          <w:p w14:paraId="5E135454" w14:textId="4C6DFA5F" w:rsidR="000503D0" w:rsidRPr="00720371" w:rsidRDefault="000503D0" w:rsidP="00720371">
            <w:pPr>
              <w:spacing w:line="278" w:lineRule="auto"/>
              <w:rPr>
                <w:sz w:val="18"/>
                <w:szCs w:val="18"/>
                <w:lang w:val="es-ES"/>
              </w:rPr>
            </w:pPr>
            <w:r w:rsidRPr="00720371">
              <w:rPr>
                <w:sz w:val="18"/>
                <w:szCs w:val="18"/>
                <w:lang w:val="es-ES"/>
              </w:rPr>
              <w:t>Estados de Europa Occidental y otros Estados</w:t>
            </w:r>
          </w:p>
        </w:tc>
      </w:tr>
    </w:tbl>
    <w:p w14:paraId="7BB06E4A"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rPr>
      </w:pPr>
    </w:p>
    <w:p w14:paraId="3A83FD93"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46</w:t>
      </w:r>
    </w:p>
    <w:p w14:paraId="74A3D16E" w14:textId="77777777" w:rsidR="009713BF" w:rsidRPr="005E3D50" w:rsidRDefault="009713BF" w:rsidP="009713BF">
      <w:pPr>
        <w:rPr>
          <w:rFonts w:ascii="Aptos" w:hAnsi="Aptos"/>
          <w:b/>
          <w:bCs/>
          <w:sz w:val="20"/>
          <w:szCs w:val="20"/>
          <w:lang w:val="es-ES"/>
        </w:rPr>
      </w:pPr>
      <w:r w:rsidRPr="005E3D50">
        <w:rPr>
          <w:b/>
          <w:sz w:val="20"/>
          <w:lang w:val="es-ES"/>
        </w:rPr>
        <w:t>Indicador 10.2: avances hacia la gestión forestal sostenible, subindicador e – superficie de bosques sujeta a un esquema de certificación de gestión forestal verificado independientemente</w:t>
      </w:r>
    </w:p>
    <w:p w14:paraId="4BA671C8"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4B67D335"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lastRenderedPageBreak/>
        <w:drawing>
          <wp:inline distT="0" distB="0" distL="0" distR="0" wp14:anchorId="730A2230" wp14:editId="66CE8BCA">
            <wp:extent cx="5731510" cy="4298950"/>
            <wp:effectExtent l="0" t="0" r="0" b="6350"/>
            <wp:docPr id="15307987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8714" name="Picture 1530798714"/>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305"/>
    <w:p w14:paraId="691E7204"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Los valores del indicador muestran el total acumulado de superficie comunicada interanualmente por las Partes.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gráfico circular muestra la proporción</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del </w:t>
      </w:r>
      <w:r w:rsidRPr="005E3D50">
        <w:rPr>
          <w:rFonts w:eastAsiaTheme="minorEastAsia"/>
          <w:iCs/>
          <w:color w:val="0E2841" w:themeColor="text2"/>
          <w:kern w:val="0"/>
          <w:sz w:val="18"/>
          <w:szCs w:val="18"/>
          <w:lang w:val="es-ES" w:eastAsia="ja-JP"/>
          <w14:ligatures w14:val="none"/>
        </w:rPr>
        <w:t>total de superficies forestadas de todas las Partes que corresponde a aquellas Partes que comunicaron datos para el indicador.</w:t>
      </w:r>
    </w:p>
    <w:tbl>
      <w:tblPr>
        <w:tblStyle w:val="TableGrid"/>
        <w:tblW w:w="942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50"/>
        <w:gridCol w:w="5370"/>
      </w:tblGrid>
      <w:tr w:rsidR="00C614A3" w:rsidRPr="00C614A3" w14:paraId="700BA79F" w14:textId="77777777" w:rsidTr="00C614A3">
        <w:tc>
          <w:tcPr>
            <w:tcW w:w="9420" w:type="dxa"/>
            <w:gridSpan w:val="2"/>
            <w:tcBorders>
              <w:top w:val="single" w:sz="4" w:space="0" w:color="auto"/>
              <w:bottom w:val="single" w:sz="4" w:space="0" w:color="auto"/>
            </w:tcBorders>
            <w:tcMar>
              <w:left w:w="105" w:type="dxa"/>
              <w:right w:w="105" w:type="dxa"/>
            </w:tcMar>
          </w:tcPr>
          <w:p w14:paraId="289ED2D9" w14:textId="55DE5073" w:rsidR="00C614A3" w:rsidRPr="00C614A3" w:rsidRDefault="00C614A3" w:rsidP="00C614A3">
            <w:pPr>
              <w:rPr>
                <w:sz w:val="18"/>
                <w:szCs w:val="18"/>
                <w:lang w:val="es-ES"/>
              </w:rPr>
            </w:pPr>
            <w:r w:rsidRPr="00C614A3">
              <w:rPr>
                <w:sz w:val="18"/>
                <w:szCs w:val="18"/>
                <w:lang w:val="es-ES"/>
              </w:rPr>
              <w:t>Figura 46</w:t>
            </w:r>
          </w:p>
        </w:tc>
      </w:tr>
      <w:tr w:rsidR="00C614A3" w:rsidRPr="00C614A3" w14:paraId="287704FA" w14:textId="77777777" w:rsidTr="00C614A3">
        <w:tc>
          <w:tcPr>
            <w:tcW w:w="4050" w:type="dxa"/>
            <w:tcBorders>
              <w:top w:val="single" w:sz="4" w:space="0" w:color="auto"/>
            </w:tcBorders>
            <w:tcMar>
              <w:left w:w="105" w:type="dxa"/>
              <w:right w:w="105" w:type="dxa"/>
            </w:tcMar>
          </w:tcPr>
          <w:p w14:paraId="4769FE1E" w14:textId="77777777" w:rsidR="00C614A3" w:rsidRPr="00C614A3" w:rsidRDefault="00C614A3" w:rsidP="00C614A3">
            <w:pPr>
              <w:spacing w:line="278" w:lineRule="auto"/>
              <w:rPr>
                <w:sz w:val="18"/>
                <w:szCs w:val="18"/>
                <w:lang w:val="es-ES"/>
              </w:rPr>
            </w:pPr>
            <w:r w:rsidRPr="00C614A3">
              <w:rPr>
                <w:sz w:val="18"/>
                <w:szCs w:val="18"/>
                <w:lang w:val="es-ES"/>
              </w:rPr>
              <w:t xml:space="preserve">English </w:t>
            </w:r>
          </w:p>
        </w:tc>
        <w:tc>
          <w:tcPr>
            <w:tcW w:w="5369" w:type="dxa"/>
            <w:tcMar>
              <w:left w:w="105" w:type="dxa"/>
              <w:right w:w="105" w:type="dxa"/>
            </w:tcMar>
          </w:tcPr>
          <w:p w14:paraId="484691ED" w14:textId="0C867AFB" w:rsidR="00C614A3" w:rsidRPr="00C614A3" w:rsidRDefault="007371B4" w:rsidP="00C614A3">
            <w:pPr>
              <w:spacing w:line="278" w:lineRule="auto"/>
              <w:rPr>
                <w:sz w:val="18"/>
                <w:szCs w:val="18"/>
                <w:lang w:val="es-ES"/>
              </w:rPr>
            </w:pPr>
            <w:r>
              <w:rPr>
                <w:sz w:val="18"/>
                <w:szCs w:val="18"/>
                <w:lang w:val="es-ES"/>
              </w:rPr>
              <w:t>Español</w:t>
            </w:r>
          </w:p>
        </w:tc>
      </w:tr>
      <w:tr w:rsidR="00C614A3" w:rsidRPr="00C614A3" w14:paraId="7DCF96FC" w14:textId="77777777" w:rsidTr="00C614A3">
        <w:tc>
          <w:tcPr>
            <w:tcW w:w="4050" w:type="dxa"/>
            <w:tcMar>
              <w:left w:w="105" w:type="dxa"/>
              <w:right w:w="105" w:type="dxa"/>
            </w:tcMar>
          </w:tcPr>
          <w:p w14:paraId="7906BE4A" w14:textId="77777777" w:rsidR="00C614A3" w:rsidRPr="00C614A3" w:rsidRDefault="00C614A3" w:rsidP="00C614A3">
            <w:pPr>
              <w:spacing w:line="278" w:lineRule="auto"/>
              <w:rPr>
                <w:sz w:val="18"/>
                <w:szCs w:val="18"/>
                <w:lang w:val="en-US"/>
              </w:rPr>
            </w:pPr>
            <w:r w:rsidRPr="00C614A3">
              <w:rPr>
                <w:sz w:val="18"/>
                <w:szCs w:val="18"/>
                <w:lang w:val="en-US"/>
              </w:rPr>
              <w:t>Forest area under an independently verified forest management certification scheme (million ha)</w:t>
            </w:r>
          </w:p>
        </w:tc>
        <w:tc>
          <w:tcPr>
            <w:tcW w:w="5369" w:type="dxa"/>
            <w:tcMar>
              <w:left w:w="105" w:type="dxa"/>
              <w:right w:w="105" w:type="dxa"/>
            </w:tcMar>
          </w:tcPr>
          <w:p w14:paraId="12BF0410" w14:textId="1226B53E" w:rsidR="00C614A3" w:rsidRPr="00C614A3" w:rsidRDefault="00C614A3" w:rsidP="00C614A3">
            <w:pPr>
              <w:spacing w:line="278" w:lineRule="auto"/>
              <w:rPr>
                <w:sz w:val="18"/>
                <w:szCs w:val="18"/>
                <w:lang w:val="es-ES"/>
              </w:rPr>
            </w:pPr>
            <w:r w:rsidRPr="00C614A3">
              <w:rPr>
                <w:sz w:val="18"/>
                <w:szCs w:val="18"/>
                <w:lang w:val="es-ES"/>
              </w:rPr>
              <w:t>Superficie forestal sujeta a un esquema de certificación forestal verificado independientemente (millones de hectáreas)</w:t>
            </w:r>
          </w:p>
        </w:tc>
      </w:tr>
      <w:tr w:rsidR="00C614A3" w:rsidRPr="00C614A3" w14:paraId="176651DB" w14:textId="77777777" w:rsidTr="00C614A3">
        <w:tc>
          <w:tcPr>
            <w:tcW w:w="4050" w:type="dxa"/>
            <w:tcMar>
              <w:left w:w="105" w:type="dxa"/>
              <w:right w:w="105" w:type="dxa"/>
            </w:tcMar>
          </w:tcPr>
          <w:p w14:paraId="1FE04ECA" w14:textId="77777777" w:rsidR="00C614A3" w:rsidRPr="00C614A3" w:rsidRDefault="00C614A3" w:rsidP="00C614A3">
            <w:pPr>
              <w:spacing w:line="278" w:lineRule="auto"/>
              <w:rPr>
                <w:sz w:val="18"/>
                <w:szCs w:val="18"/>
                <w:lang w:val="es-ES"/>
              </w:rPr>
            </w:pPr>
            <w:proofErr w:type="spellStart"/>
            <w:r w:rsidRPr="00C614A3">
              <w:rPr>
                <w:sz w:val="18"/>
                <w:szCs w:val="18"/>
                <w:lang w:val="es-ES"/>
              </w:rPr>
              <w:t>Year</w:t>
            </w:r>
            <w:proofErr w:type="spellEnd"/>
          </w:p>
        </w:tc>
        <w:tc>
          <w:tcPr>
            <w:tcW w:w="5369" w:type="dxa"/>
            <w:tcMar>
              <w:left w:w="105" w:type="dxa"/>
              <w:right w:w="105" w:type="dxa"/>
            </w:tcMar>
          </w:tcPr>
          <w:p w14:paraId="7B3B5DFE" w14:textId="7203C777" w:rsidR="00C614A3" w:rsidRPr="00C614A3" w:rsidRDefault="00C614A3" w:rsidP="00C614A3">
            <w:pPr>
              <w:spacing w:line="278" w:lineRule="auto"/>
              <w:rPr>
                <w:sz w:val="18"/>
                <w:szCs w:val="18"/>
                <w:lang w:val="es-ES"/>
              </w:rPr>
            </w:pPr>
            <w:r w:rsidRPr="00C614A3">
              <w:rPr>
                <w:sz w:val="18"/>
                <w:szCs w:val="18"/>
                <w:lang w:val="es-ES"/>
              </w:rPr>
              <w:t>Año</w:t>
            </w:r>
          </w:p>
        </w:tc>
      </w:tr>
      <w:tr w:rsidR="00C614A3" w:rsidRPr="00C614A3" w14:paraId="57E8CD32" w14:textId="77777777" w:rsidTr="00C614A3">
        <w:tc>
          <w:tcPr>
            <w:tcW w:w="4050" w:type="dxa"/>
            <w:tcMar>
              <w:left w:w="105" w:type="dxa"/>
              <w:right w:w="105" w:type="dxa"/>
            </w:tcMar>
          </w:tcPr>
          <w:p w14:paraId="4B5EFACD" w14:textId="77777777" w:rsidR="00C614A3" w:rsidRPr="00C614A3" w:rsidRDefault="00C614A3" w:rsidP="00C614A3">
            <w:pPr>
              <w:spacing w:line="278" w:lineRule="auto"/>
              <w:rPr>
                <w:sz w:val="18"/>
                <w:szCs w:val="18"/>
                <w:lang w:val="es-ES"/>
              </w:rPr>
            </w:pPr>
            <w:r w:rsidRPr="00C614A3">
              <w:rPr>
                <w:sz w:val="18"/>
                <w:szCs w:val="18"/>
                <w:lang w:val="es-ES"/>
              </w:rPr>
              <w:t xml:space="preserve">Party </w:t>
            </w:r>
            <w:proofErr w:type="spellStart"/>
            <w:r w:rsidRPr="00C614A3">
              <w:rPr>
                <w:sz w:val="18"/>
                <w:szCs w:val="18"/>
                <w:lang w:val="es-ES"/>
              </w:rPr>
              <w:t>count</w:t>
            </w:r>
            <w:proofErr w:type="spellEnd"/>
            <w:r w:rsidRPr="00C614A3">
              <w:rPr>
                <w:sz w:val="18"/>
                <w:szCs w:val="18"/>
                <w:lang w:val="es-ES"/>
              </w:rPr>
              <w:t>: 25</w:t>
            </w:r>
          </w:p>
        </w:tc>
        <w:tc>
          <w:tcPr>
            <w:tcW w:w="5369" w:type="dxa"/>
            <w:tcMar>
              <w:left w:w="105" w:type="dxa"/>
              <w:right w:w="105" w:type="dxa"/>
            </w:tcMar>
          </w:tcPr>
          <w:p w14:paraId="15C865D0" w14:textId="16080610" w:rsidR="00C614A3" w:rsidRPr="00C614A3" w:rsidRDefault="00C614A3" w:rsidP="00C614A3">
            <w:pPr>
              <w:spacing w:line="278" w:lineRule="auto"/>
              <w:rPr>
                <w:sz w:val="18"/>
                <w:szCs w:val="18"/>
                <w:lang w:val="es-ES"/>
              </w:rPr>
            </w:pPr>
            <w:r w:rsidRPr="00C614A3">
              <w:rPr>
                <w:sz w:val="18"/>
                <w:szCs w:val="18"/>
                <w:lang w:val="es-ES"/>
              </w:rPr>
              <w:t>Número de Partes: 25</w:t>
            </w:r>
          </w:p>
        </w:tc>
      </w:tr>
      <w:tr w:rsidR="00C614A3" w:rsidRPr="00C614A3" w14:paraId="66436561" w14:textId="77777777" w:rsidTr="00C614A3">
        <w:tc>
          <w:tcPr>
            <w:tcW w:w="4050" w:type="dxa"/>
            <w:tcMar>
              <w:left w:w="105" w:type="dxa"/>
              <w:right w:w="105" w:type="dxa"/>
            </w:tcMar>
          </w:tcPr>
          <w:p w14:paraId="1914E29D" w14:textId="77777777" w:rsidR="00C614A3" w:rsidRPr="00C614A3" w:rsidRDefault="00C614A3" w:rsidP="00C614A3">
            <w:pPr>
              <w:spacing w:line="278" w:lineRule="auto"/>
              <w:rPr>
                <w:sz w:val="18"/>
                <w:szCs w:val="18"/>
                <w:lang w:val="es-ES"/>
              </w:rPr>
            </w:pPr>
            <w:r w:rsidRPr="00C614A3">
              <w:rPr>
                <w:sz w:val="18"/>
                <w:szCs w:val="18"/>
                <w:lang w:val="es-ES"/>
              </w:rPr>
              <w:t xml:space="preserve">Share of </w:t>
            </w:r>
            <w:proofErr w:type="spellStart"/>
            <w:r w:rsidRPr="00C614A3">
              <w:rPr>
                <w:sz w:val="18"/>
                <w:szCs w:val="18"/>
                <w:lang w:val="es-ES"/>
              </w:rPr>
              <w:t>forest</w:t>
            </w:r>
            <w:proofErr w:type="spellEnd"/>
            <w:r w:rsidRPr="00C614A3">
              <w:rPr>
                <w:sz w:val="18"/>
                <w:szCs w:val="18"/>
                <w:lang w:val="es-ES"/>
              </w:rPr>
              <w:t xml:space="preserve"> </w:t>
            </w:r>
            <w:proofErr w:type="spellStart"/>
            <w:r w:rsidRPr="00C614A3">
              <w:rPr>
                <w:sz w:val="18"/>
                <w:szCs w:val="18"/>
                <w:lang w:val="es-ES"/>
              </w:rPr>
              <w:t>area</w:t>
            </w:r>
            <w:proofErr w:type="spellEnd"/>
          </w:p>
        </w:tc>
        <w:tc>
          <w:tcPr>
            <w:tcW w:w="5369" w:type="dxa"/>
            <w:tcMar>
              <w:left w:w="105" w:type="dxa"/>
              <w:right w:w="105" w:type="dxa"/>
            </w:tcMar>
          </w:tcPr>
          <w:p w14:paraId="514666A5" w14:textId="4CDD4198" w:rsidR="00C614A3" w:rsidRPr="00C614A3" w:rsidRDefault="00C614A3" w:rsidP="00C614A3">
            <w:pPr>
              <w:spacing w:line="278" w:lineRule="auto"/>
              <w:rPr>
                <w:sz w:val="18"/>
                <w:szCs w:val="18"/>
                <w:lang w:val="es-ES"/>
              </w:rPr>
            </w:pPr>
            <w:r w:rsidRPr="00C614A3">
              <w:rPr>
                <w:sz w:val="18"/>
                <w:szCs w:val="18"/>
                <w:lang w:val="es-ES"/>
              </w:rPr>
              <w:t>Porcentaje de superficie forestal</w:t>
            </w:r>
          </w:p>
        </w:tc>
      </w:tr>
      <w:tr w:rsidR="00C614A3" w:rsidRPr="00C614A3" w14:paraId="74F84C7E" w14:textId="77777777" w:rsidTr="00C614A3">
        <w:tc>
          <w:tcPr>
            <w:tcW w:w="4050" w:type="dxa"/>
            <w:tcMar>
              <w:left w:w="105" w:type="dxa"/>
              <w:right w:w="105" w:type="dxa"/>
            </w:tcMar>
          </w:tcPr>
          <w:p w14:paraId="42953233" w14:textId="77777777" w:rsidR="00C614A3" w:rsidRPr="00C614A3" w:rsidRDefault="00C614A3" w:rsidP="00C614A3">
            <w:pPr>
              <w:spacing w:line="278" w:lineRule="auto"/>
              <w:rPr>
                <w:sz w:val="18"/>
                <w:szCs w:val="18"/>
                <w:lang w:val="es-ES"/>
              </w:rPr>
            </w:pPr>
            <w:r w:rsidRPr="00C614A3">
              <w:rPr>
                <w:sz w:val="18"/>
                <w:szCs w:val="18"/>
                <w:lang w:val="es-ES"/>
              </w:rPr>
              <w:t xml:space="preserve">Party </w:t>
            </w:r>
            <w:proofErr w:type="spellStart"/>
            <w:r w:rsidRPr="00C614A3">
              <w:rPr>
                <w:sz w:val="18"/>
                <w:szCs w:val="18"/>
                <w:lang w:val="es-ES"/>
              </w:rPr>
              <w:t>count</w:t>
            </w:r>
            <w:proofErr w:type="spellEnd"/>
            <w:r w:rsidRPr="00C614A3">
              <w:rPr>
                <w:sz w:val="18"/>
                <w:szCs w:val="18"/>
                <w:lang w:val="es-ES"/>
              </w:rPr>
              <w:t xml:space="preserve"> </w:t>
            </w:r>
            <w:proofErr w:type="spellStart"/>
            <w:r w:rsidRPr="00C614A3">
              <w:rPr>
                <w:sz w:val="18"/>
                <w:szCs w:val="18"/>
                <w:lang w:val="es-ES"/>
              </w:rPr>
              <w:t>by</w:t>
            </w:r>
            <w:proofErr w:type="spellEnd"/>
            <w:r w:rsidRPr="00C614A3">
              <w:rPr>
                <w:sz w:val="18"/>
                <w:szCs w:val="18"/>
                <w:lang w:val="es-ES"/>
              </w:rPr>
              <w:t xml:space="preserve"> </w:t>
            </w:r>
            <w:proofErr w:type="spellStart"/>
            <w:r w:rsidRPr="00C614A3">
              <w:rPr>
                <w:sz w:val="18"/>
                <w:szCs w:val="18"/>
                <w:lang w:val="es-ES"/>
              </w:rPr>
              <w:t>region</w:t>
            </w:r>
            <w:proofErr w:type="spellEnd"/>
          </w:p>
        </w:tc>
        <w:tc>
          <w:tcPr>
            <w:tcW w:w="5369" w:type="dxa"/>
            <w:tcMar>
              <w:left w:w="105" w:type="dxa"/>
              <w:right w:w="105" w:type="dxa"/>
            </w:tcMar>
          </w:tcPr>
          <w:p w14:paraId="70B3A0F2" w14:textId="5F2A3D62" w:rsidR="00C614A3" w:rsidRPr="00C614A3" w:rsidRDefault="00C614A3" w:rsidP="00C614A3">
            <w:pPr>
              <w:spacing w:line="278" w:lineRule="auto"/>
              <w:rPr>
                <w:sz w:val="18"/>
                <w:szCs w:val="18"/>
                <w:lang w:val="es-ES"/>
              </w:rPr>
            </w:pPr>
            <w:r w:rsidRPr="00C614A3">
              <w:rPr>
                <w:sz w:val="18"/>
                <w:szCs w:val="18"/>
                <w:lang w:val="es-ES"/>
              </w:rPr>
              <w:t>Número de Partes por región</w:t>
            </w:r>
          </w:p>
        </w:tc>
      </w:tr>
      <w:tr w:rsidR="00C614A3" w:rsidRPr="00C614A3" w14:paraId="2C79553E" w14:textId="77777777" w:rsidTr="00C614A3">
        <w:tc>
          <w:tcPr>
            <w:tcW w:w="4050" w:type="dxa"/>
            <w:tcMar>
              <w:left w:w="105" w:type="dxa"/>
              <w:right w:w="105" w:type="dxa"/>
            </w:tcMar>
          </w:tcPr>
          <w:p w14:paraId="749B6180" w14:textId="77777777" w:rsidR="00C614A3" w:rsidRPr="00C614A3" w:rsidRDefault="00C614A3" w:rsidP="00C614A3">
            <w:pPr>
              <w:spacing w:line="278" w:lineRule="auto"/>
              <w:rPr>
                <w:sz w:val="18"/>
                <w:szCs w:val="18"/>
                <w:lang w:val="es-ES"/>
              </w:rPr>
            </w:pPr>
            <w:proofErr w:type="spellStart"/>
            <w:r w:rsidRPr="00C614A3">
              <w:rPr>
                <w:sz w:val="18"/>
                <w:szCs w:val="18"/>
                <w:lang w:val="es-ES"/>
              </w:rPr>
              <w:t>Region</w:t>
            </w:r>
            <w:proofErr w:type="spellEnd"/>
          </w:p>
        </w:tc>
        <w:tc>
          <w:tcPr>
            <w:tcW w:w="5369" w:type="dxa"/>
            <w:tcMar>
              <w:left w:w="105" w:type="dxa"/>
              <w:right w:w="105" w:type="dxa"/>
            </w:tcMar>
          </w:tcPr>
          <w:p w14:paraId="07F862B7" w14:textId="7281B848" w:rsidR="00C614A3" w:rsidRPr="00C614A3" w:rsidRDefault="00C614A3" w:rsidP="00C614A3">
            <w:pPr>
              <w:spacing w:line="278" w:lineRule="auto"/>
              <w:rPr>
                <w:sz w:val="18"/>
                <w:szCs w:val="18"/>
                <w:lang w:val="es-ES"/>
              </w:rPr>
            </w:pPr>
            <w:r w:rsidRPr="00C614A3">
              <w:rPr>
                <w:sz w:val="18"/>
                <w:szCs w:val="18"/>
                <w:lang w:val="es-ES"/>
              </w:rPr>
              <w:t>Región</w:t>
            </w:r>
          </w:p>
        </w:tc>
      </w:tr>
      <w:tr w:rsidR="00C614A3" w:rsidRPr="00C614A3" w14:paraId="7E324D7D" w14:textId="77777777" w:rsidTr="00C614A3">
        <w:tc>
          <w:tcPr>
            <w:tcW w:w="4050" w:type="dxa"/>
            <w:tcMar>
              <w:left w:w="105" w:type="dxa"/>
              <w:right w:w="105" w:type="dxa"/>
            </w:tcMar>
          </w:tcPr>
          <w:p w14:paraId="45C7FD32" w14:textId="77777777" w:rsidR="00C614A3" w:rsidRPr="00C614A3" w:rsidRDefault="00C614A3" w:rsidP="00C614A3">
            <w:pPr>
              <w:spacing w:line="278" w:lineRule="auto"/>
              <w:rPr>
                <w:sz w:val="18"/>
                <w:szCs w:val="18"/>
                <w:lang w:val="es-ES"/>
              </w:rPr>
            </w:pPr>
            <w:r w:rsidRPr="00C614A3">
              <w:rPr>
                <w:sz w:val="18"/>
                <w:szCs w:val="18"/>
                <w:lang w:val="es-ES"/>
              </w:rPr>
              <w:t>African States</w:t>
            </w:r>
          </w:p>
        </w:tc>
        <w:tc>
          <w:tcPr>
            <w:tcW w:w="5369" w:type="dxa"/>
            <w:tcMar>
              <w:left w:w="105" w:type="dxa"/>
              <w:right w:w="105" w:type="dxa"/>
            </w:tcMar>
          </w:tcPr>
          <w:p w14:paraId="2449408E" w14:textId="7587A0A2" w:rsidR="00C614A3" w:rsidRPr="00C614A3" w:rsidRDefault="00C614A3" w:rsidP="00C614A3">
            <w:pPr>
              <w:spacing w:line="278" w:lineRule="auto"/>
              <w:rPr>
                <w:sz w:val="18"/>
                <w:szCs w:val="18"/>
                <w:lang w:val="es-ES"/>
              </w:rPr>
            </w:pPr>
            <w:r w:rsidRPr="00C614A3">
              <w:rPr>
                <w:sz w:val="18"/>
                <w:szCs w:val="18"/>
                <w:lang w:val="es-ES"/>
              </w:rPr>
              <w:t>Estados de África</w:t>
            </w:r>
          </w:p>
        </w:tc>
      </w:tr>
      <w:tr w:rsidR="00C614A3" w:rsidRPr="00C614A3" w14:paraId="714D4D33" w14:textId="77777777" w:rsidTr="00C614A3">
        <w:tc>
          <w:tcPr>
            <w:tcW w:w="4050" w:type="dxa"/>
            <w:tcMar>
              <w:left w:w="105" w:type="dxa"/>
              <w:right w:w="105" w:type="dxa"/>
            </w:tcMar>
          </w:tcPr>
          <w:p w14:paraId="6AD3B06A" w14:textId="77777777" w:rsidR="00C614A3" w:rsidRPr="00C614A3" w:rsidRDefault="00C614A3" w:rsidP="00C614A3">
            <w:pPr>
              <w:spacing w:line="278" w:lineRule="auto"/>
              <w:rPr>
                <w:sz w:val="18"/>
                <w:szCs w:val="18"/>
                <w:lang w:val="es-ES"/>
              </w:rPr>
            </w:pPr>
            <w:r w:rsidRPr="00C614A3">
              <w:rPr>
                <w:sz w:val="18"/>
                <w:szCs w:val="18"/>
                <w:lang w:val="es-ES"/>
              </w:rPr>
              <w:t>Asia-Pacific States</w:t>
            </w:r>
          </w:p>
        </w:tc>
        <w:tc>
          <w:tcPr>
            <w:tcW w:w="5369" w:type="dxa"/>
            <w:tcMar>
              <w:left w:w="105" w:type="dxa"/>
              <w:right w:w="105" w:type="dxa"/>
            </w:tcMar>
          </w:tcPr>
          <w:p w14:paraId="5623C406" w14:textId="6F2A5811" w:rsidR="00C614A3" w:rsidRPr="00C614A3" w:rsidRDefault="00C614A3" w:rsidP="00C614A3">
            <w:pPr>
              <w:spacing w:line="278" w:lineRule="auto"/>
              <w:rPr>
                <w:sz w:val="18"/>
                <w:szCs w:val="18"/>
                <w:lang w:val="es-ES"/>
              </w:rPr>
            </w:pPr>
            <w:r w:rsidRPr="00C614A3">
              <w:rPr>
                <w:sz w:val="18"/>
                <w:szCs w:val="18"/>
                <w:lang w:val="es-ES"/>
              </w:rPr>
              <w:t>Estados de Asia y el Pacífico</w:t>
            </w:r>
          </w:p>
        </w:tc>
      </w:tr>
      <w:tr w:rsidR="00C614A3" w:rsidRPr="00C614A3" w14:paraId="2D7ECBC0" w14:textId="77777777" w:rsidTr="00C614A3">
        <w:tc>
          <w:tcPr>
            <w:tcW w:w="4050" w:type="dxa"/>
            <w:tcMar>
              <w:left w:w="105" w:type="dxa"/>
              <w:right w:w="105" w:type="dxa"/>
            </w:tcMar>
          </w:tcPr>
          <w:p w14:paraId="3D97A0A7" w14:textId="77777777" w:rsidR="00C614A3" w:rsidRPr="00C614A3" w:rsidRDefault="00C614A3" w:rsidP="00C614A3">
            <w:pPr>
              <w:spacing w:line="278" w:lineRule="auto"/>
              <w:rPr>
                <w:sz w:val="18"/>
                <w:szCs w:val="18"/>
                <w:lang w:val="en-US"/>
              </w:rPr>
            </w:pPr>
            <w:r w:rsidRPr="00C614A3">
              <w:rPr>
                <w:sz w:val="18"/>
                <w:szCs w:val="18"/>
                <w:lang w:val="en-US"/>
              </w:rPr>
              <w:t>Latin American and Caribbean States</w:t>
            </w:r>
          </w:p>
        </w:tc>
        <w:tc>
          <w:tcPr>
            <w:tcW w:w="5369" w:type="dxa"/>
            <w:tcMar>
              <w:left w:w="105" w:type="dxa"/>
              <w:right w:w="105" w:type="dxa"/>
            </w:tcMar>
          </w:tcPr>
          <w:p w14:paraId="7CFAFBB5" w14:textId="46816FB3" w:rsidR="00C614A3" w:rsidRPr="00C614A3" w:rsidRDefault="00C614A3" w:rsidP="00C614A3">
            <w:pPr>
              <w:spacing w:line="278" w:lineRule="auto"/>
              <w:rPr>
                <w:sz w:val="18"/>
                <w:szCs w:val="18"/>
                <w:lang w:val="es-ES"/>
              </w:rPr>
            </w:pPr>
            <w:r w:rsidRPr="00C614A3">
              <w:rPr>
                <w:sz w:val="18"/>
                <w:szCs w:val="18"/>
                <w:lang w:val="es-ES"/>
              </w:rPr>
              <w:t>Estados de América Latina y el Caribe</w:t>
            </w:r>
          </w:p>
        </w:tc>
      </w:tr>
      <w:tr w:rsidR="00C614A3" w:rsidRPr="00C614A3" w14:paraId="096AEA0D" w14:textId="77777777" w:rsidTr="00C614A3">
        <w:tc>
          <w:tcPr>
            <w:tcW w:w="4050" w:type="dxa"/>
            <w:tcMar>
              <w:left w:w="105" w:type="dxa"/>
              <w:right w:w="105" w:type="dxa"/>
            </w:tcMar>
          </w:tcPr>
          <w:p w14:paraId="745B59CA" w14:textId="77777777" w:rsidR="00C614A3" w:rsidRPr="00C614A3" w:rsidRDefault="00C614A3" w:rsidP="00C614A3">
            <w:pPr>
              <w:spacing w:line="278" w:lineRule="auto"/>
              <w:rPr>
                <w:sz w:val="18"/>
                <w:szCs w:val="18"/>
                <w:lang w:val="es-ES"/>
              </w:rPr>
            </w:pPr>
            <w:r w:rsidRPr="00C614A3">
              <w:rPr>
                <w:sz w:val="18"/>
                <w:szCs w:val="18"/>
                <w:lang w:val="es-ES"/>
              </w:rPr>
              <w:t xml:space="preserve"> Eastern European States</w:t>
            </w:r>
          </w:p>
        </w:tc>
        <w:tc>
          <w:tcPr>
            <w:tcW w:w="5369" w:type="dxa"/>
            <w:tcMar>
              <w:left w:w="105" w:type="dxa"/>
              <w:right w:w="105" w:type="dxa"/>
            </w:tcMar>
          </w:tcPr>
          <w:p w14:paraId="6F90A0CD" w14:textId="6EA6F2AD" w:rsidR="00C614A3" w:rsidRPr="00C614A3" w:rsidRDefault="00C614A3" w:rsidP="00C614A3">
            <w:pPr>
              <w:spacing w:line="278" w:lineRule="auto"/>
              <w:rPr>
                <w:sz w:val="18"/>
                <w:szCs w:val="18"/>
                <w:lang w:val="es-ES"/>
              </w:rPr>
            </w:pPr>
            <w:r w:rsidRPr="00C614A3">
              <w:rPr>
                <w:sz w:val="18"/>
                <w:szCs w:val="18"/>
                <w:lang w:val="es-ES"/>
              </w:rPr>
              <w:t>Estados de Europa Oriental</w:t>
            </w:r>
          </w:p>
        </w:tc>
      </w:tr>
      <w:tr w:rsidR="00C614A3" w:rsidRPr="00C614A3" w14:paraId="46AFEAF0" w14:textId="77777777" w:rsidTr="00C614A3">
        <w:tc>
          <w:tcPr>
            <w:tcW w:w="4050" w:type="dxa"/>
            <w:tcMar>
              <w:left w:w="105" w:type="dxa"/>
              <w:right w:w="105" w:type="dxa"/>
            </w:tcMar>
          </w:tcPr>
          <w:p w14:paraId="65A1AAE5" w14:textId="77777777" w:rsidR="00C614A3" w:rsidRPr="00C614A3" w:rsidRDefault="00C614A3" w:rsidP="00C614A3">
            <w:pPr>
              <w:spacing w:line="278" w:lineRule="auto"/>
              <w:rPr>
                <w:sz w:val="18"/>
                <w:szCs w:val="18"/>
                <w:lang w:val="en-US"/>
              </w:rPr>
            </w:pPr>
            <w:r w:rsidRPr="00C614A3">
              <w:rPr>
                <w:sz w:val="18"/>
                <w:szCs w:val="18"/>
                <w:lang w:val="en-US"/>
              </w:rPr>
              <w:t>Western European and other States</w:t>
            </w:r>
          </w:p>
        </w:tc>
        <w:tc>
          <w:tcPr>
            <w:tcW w:w="5369" w:type="dxa"/>
            <w:tcMar>
              <w:left w:w="105" w:type="dxa"/>
              <w:right w:w="105" w:type="dxa"/>
            </w:tcMar>
          </w:tcPr>
          <w:p w14:paraId="0625F98C" w14:textId="15B8D016" w:rsidR="00C614A3" w:rsidRPr="00C614A3" w:rsidRDefault="00C614A3" w:rsidP="00C614A3">
            <w:pPr>
              <w:spacing w:line="278" w:lineRule="auto"/>
              <w:rPr>
                <w:sz w:val="18"/>
                <w:szCs w:val="18"/>
                <w:lang w:val="es-ES"/>
              </w:rPr>
            </w:pPr>
            <w:r w:rsidRPr="00C614A3">
              <w:rPr>
                <w:sz w:val="18"/>
                <w:szCs w:val="18"/>
                <w:lang w:val="es-ES"/>
              </w:rPr>
              <w:t>Estados de Europa Occidental y otros Estados</w:t>
            </w:r>
          </w:p>
        </w:tc>
      </w:tr>
    </w:tbl>
    <w:p w14:paraId="5008F485" w14:textId="77777777" w:rsidR="009713BF" w:rsidRPr="005E3D50" w:rsidRDefault="009713BF" w:rsidP="009713BF">
      <w:pPr>
        <w:rPr>
          <w:lang w:val="es-ES" w:eastAsia="ja-JP"/>
        </w:rPr>
      </w:pPr>
    </w:p>
    <w:p w14:paraId="663F0951" w14:textId="77777777" w:rsidR="009713BF" w:rsidRPr="005E3D50" w:rsidRDefault="009713BF" w:rsidP="009713BF">
      <w:pPr>
        <w:rPr>
          <w:sz w:val="20"/>
          <w:szCs w:val="20"/>
          <w:lang w:val="es-ES"/>
        </w:rPr>
      </w:pPr>
      <w:r w:rsidRPr="005E3D50">
        <w:rPr>
          <w:sz w:val="20"/>
          <w:lang w:val="es-ES"/>
        </w:rPr>
        <w:lastRenderedPageBreak/>
        <w:t xml:space="preserve">Figura 47 </w:t>
      </w:r>
    </w:p>
    <w:p w14:paraId="1B5564B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10 del Marco que sugieren tendencias de mejora, estables y negativas, respectivamente </w:t>
      </w:r>
    </w:p>
    <w:p w14:paraId="360640E3" w14:textId="77777777" w:rsidR="009713BF" w:rsidRPr="005E3D50" w:rsidRDefault="009713BF" w:rsidP="009713BF">
      <w:pPr>
        <w:rPr>
          <w:lang w:val="es-ES" w:eastAsia="ja-JP"/>
        </w:rPr>
      </w:pPr>
    </w:p>
    <w:p w14:paraId="28F40DF9"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306" w:name="_Ref231198038"/>
      <w:r w:rsidRPr="005E3D50">
        <w:rPr>
          <w:rFonts w:eastAsiaTheme="minorEastAsia"/>
          <w:i/>
          <w:iCs/>
          <w:noProof/>
          <w:color w:val="0E2841" w:themeColor="text2"/>
          <w:kern w:val="0"/>
          <w:sz w:val="18"/>
          <w:szCs w:val="18"/>
          <w:lang w:val="en-US"/>
          <w14:ligatures w14:val="none"/>
        </w:rPr>
        <w:drawing>
          <wp:inline distT="0" distB="0" distL="0" distR="0" wp14:anchorId="1CD5A412" wp14:editId="4B03F84B">
            <wp:extent cx="5731510" cy="2456180"/>
            <wp:effectExtent l="0" t="0" r="0" b="0"/>
            <wp:docPr id="13899663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66342" name="Picture 1389966342"/>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306"/>
    <w:p w14:paraId="35C8C434"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Las tendencias incluyen datos correspondientes a 2 indicadores de cabecera de 63 Partes y 3 indicadores de componentes, 5 indicadores complementarios y 94 indicadores nacionales de un total de 30 Partes. El gráfico circular muestra la distribución de las Partes que presentan indicadores para la meta 10,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94" w:type="dxa"/>
        <w:tblLook w:val="04A0" w:firstRow="1" w:lastRow="0" w:firstColumn="1" w:lastColumn="0" w:noHBand="0" w:noVBand="1"/>
      </w:tblPr>
      <w:tblGrid>
        <w:gridCol w:w="4855"/>
        <w:gridCol w:w="4439"/>
      </w:tblGrid>
      <w:tr w:rsidR="00CA001E" w:rsidRPr="00897A94" w14:paraId="20DF50A8" w14:textId="77777777" w:rsidTr="00514D07">
        <w:tc>
          <w:tcPr>
            <w:tcW w:w="9294" w:type="dxa"/>
            <w:gridSpan w:val="2"/>
          </w:tcPr>
          <w:p w14:paraId="04ADF6BD" w14:textId="31A59C11" w:rsidR="00CA001E" w:rsidRPr="00CA001E" w:rsidRDefault="00CA001E" w:rsidP="00897A94">
            <w:pPr>
              <w:rPr>
                <w:sz w:val="18"/>
                <w:szCs w:val="18"/>
                <w:lang w:val="es-ES"/>
              </w:rPr>
            </w:pPr>
            <w:r w:rsidRPr="00CA001E">
              <w:rPr>
                <w:sz w:val="18"/>
                <w:szCs w:val="18"/>
                <w:lang w:val="es-ES"/>
              </w:rPr>
              <w:t>Figura 47</w:t>
            </w:r>
          </w:p>
        </w:tc>
      </w:tr>
      <w:tr w:rsidR="00897A94" w:rsidRPr="00897A94" w14:paraId="2AB2899B" w14:textId="77777777" w:rsidTr="00897A94">
        <w:tc>
          <w:tcPr>
            <w:tcW w:w="4855" w:type="dxa"/>
          </w:tcPr>
          <w:p w14:paraId="66F26953" w14:textId="3D4CE515" w:rsidR="00897A94" w:rsidRPr="00CA001E" w:rsidRDefault="00897A94" w:rsidP="00897A94">
            <w:pPr>
              <w:spacing w:line="278" w:lineRule="auto"/>
              <w:rPr>
                <w:sz w:val="18"/>
                <w:szCs w:val="18"/>
                <w:lang w:val="es-ES"/>
              </w:rPr>
            </w:pPr>
            <w:r w:rsidRPr="00CA001E">
              <w:rPr>
                <w:sz w:val="18"/>
                <w:szCs w:val="18"/>
                <w:lang w:val="es-ES"/>
              </w:rPr>
              <w:t>English</w:t>
            </w:r>
          </w:p>
        </w:tc>
        <w:tc>
          <w:tcPr>
            <w:tcW w:w="4439" w:type="dxa"/>
          </w:tcPr>
          <w:p w14:paraId="7CBF743C" w14:textId="1A2E2576" w:rsidR="00897A94" w:rsidRPr="00CA001E" w:rsidRDefault="007371B4" w:rsidP="00897A94">
            <w:pPr>
              <w:spacing w:line="278" w:lineRule="auto"/>
              <w:rPr>
                <w:sz w:val="18"/>
                <w:szCs w:val="18"/>
                <w:lang w:val="es-ES"/>
              </w:rPr>
            </w:pPr>
            <w:r>
              <w:rPr>
                <w:sz w:val="18"/>
                <w:szCs w:val="18"/>
                <w:lang w:val="es-ES"/>
              </w:rPr>
              <w:t>Español</w:t>
            </w:r>
          </w:p>
        </w:tc>
      </w:tr>
      <w:tr w:rsidR="00897A94" w:rsidRPr="00897A94" w14:paraId="66D8FD98" w14:textId="77777777" w:rsidTr="00897A94">
        <w:tc>
          <w:tcPr>
            <w:tcW w:w="4855" w:type="dxa"/>
          </w:tcPr>
          <w:p w14:paraId="1E55C9DD" w14:textId="77777777" w:rsidR="00897A94" w:rsidRPr="00897A94" w:rsidRDefault="00897A94" w:rsidP="00897A94">
            <w:pPr>
              <w:spacing w:line="278" w:lineRule="auto"/>
              <w:rPr>
                <w:sz w:val="18"/>
                <w:szCs w:val="18"/>
                <w:lang w:val="es-ES"/>
              </w:rPr>
            </w:pPr>
            <w:proofErr w:type="spellStart"/>
            <w:r w:rsidRPr="00897A94">
              <w:rPr>
                <w:sz w:val="18"/>
                <w:szCs w:val="18"/>
                <w:lang w:val="es-ES"/>
              </w:rPr>
              <w:t>Proportion</w:t>
            </w:r>
            <w:proofErr w:type="spellEnd"/>
          </w:p>
        </w:tc>
        <w:tc>
          <w:tcPr>
            <w:tcW w:w="4439" w:type="dxa"/>
          </w:tcPr>
          <w:p w14:paraId="5C2DF2DC" w14:textId="4650992A" w:rsidR="00897A94" w:rsidRPr="00897A94" w:rsidRDefault="00897A94" w:rsidP="00897A94">
            <w:pPr>
              <w:spacing w:line="278" w:lineRule="auto"/>
              <w:rPr>
                <w:sz w:val="18"/>
                <w:szCs w:val="18"/>
                <w:lang w:val="es-ES"/>
              </w:rPr>
            </w:pPr>
            <w:r w:rsidRPr="00897A94">
              <w:rPr>
                <w:sz w:val="18"/>
                <w:szCs w:val="18"/>
                <w:lang w:val="es-ES"/>
              </w:rPr>
              <w:t>Proporción</w:t>
            </w:r>
          </w:p>
        </w:tc>
      </w:tr>
      <w:tr w:rsidR="00897A94" w:rsidRPr="00897A94" w14:paraId="5C6A3784" w14:textId="77777777" w:rsidTr="00897A94">
        <w:tc>
          <w:tcPr>
            <w:tcW w:w="4855" w:type="dxa"/>
          </w:tcPr>
          <w:p w14:paraId="2D85AAF4" w14:textId="77777777" w:rsidR="00897A94" w:rsidRPr="00897A94" w:rsidRDefault="00897A94" w:rsidP="00897A94">
            <w:pPr>
              <w:spacing w:line="278" w:lineRule="auto"/>
              <w:rPr>
                <w:sz w:val="18"/>
                <w:szCs w:val="18"/>
                <w:lang w:val="es-ES"/>
              </w:rPr>
            </w:pPr>
            <w:r w:rsidRPr="00897A94">
              <w:rPr>
                <w:sz w:val="18"/>
                <w:szCs w:val="18"/>
                <w:lang w:val="es-ES"/>
              </w:rPr>
              <w:t xml:space="preserve">Current </w:t>
            </w:r>
            <w:proofErr w:type="gramStart"/>
            <w:r w:rsidRPr="00897A94">
              <w:rPr>
                <w:sz w:val="18"/>
                <w:szCs w:val="18"/>
                <w:lang w:val="es-ES"/>
              </w:rPr>
              <w:t>Status</w:t>
            </w:r>
            <w:proofErr w:type="gramEnd"/>
          </w:p>
        </w:tc>
        <w:tc>
          <w:tcPr>
            <w:tcW w:w="4439" w:type="dxa"/>
          </w:tcPr>
          <w:p w14:paraId="7BFC1A58" w14:textId="1D10B36E" w:rsidR="00897A94" w:rsidRPr="00897A94" w:rsidRDefault="00897A94" w:rsidP="00897A94">
            <w:pPr>
              <w:spacing w:line="278" w:lineRule="auto"/>
              <w:rPr>
                <w:sz w:val="18"/>
                <w:szCs w:val="18"/>
                <w:lang w:val="es-ES"/>
              </w:rPr>
            </w:pPr>
            <w:r w:rsidRPr="00897A94">
              <w:rPr>
                <w:sz w:val="18"/>
                <w:szCs w:val="18"/>
                <w:lang w:val="es-ES"/>
              </w:rPr>
              <w:t>Estado actual</w:t>
            </w:r>
          </w:p>
        </w:tc>
      </w:tr>
      <w:tr w:rsidR="00897A94" w:rsidRPr="00897A94" w14:paraId="75D4E00E" w14:textId="77777777" w:rsidTr="00897A94">
        <w:tc>
          <w:tcPr>
            <w:tcW w:w="4855" w:type="dxa"/>
          </w:tcPr>
          <w:p w14:paraId="71E0AAE0" w14:textId="77777777" w:rsidR="00897A94" w:rsidRPr="00897A94" w:rsidRDefault="00897A94" w:rsidP="00897A94">
            <w:pPr>
              <w:spacing w:line="278" w:lineRule="auto"/>
              <w:rPr>
                <w:sz w:val="18"/>
                <w:szCs w:val="18"/>
                <w:lang w:val="es-ES"/>
              </w:rPr>
            </w:pPr>
            <w:proofErr w:type="spellStart"/>
            <w:r w:rsidRPr="00897A94">
              <w:rPr>
                <w:sz w:val="18"/>
                <w:szCs w:val="18"/>
                <w:lang w:val="es-ES"/>
              </w:rPr>
              <w:t>improving</w:t>
            </w:r>
            <w:proofErr w:type="spellEnd"/>
          </w:p>
        </w:tc>
        <w:tc>
          <w:tcPr>
            <w:tcW w:w="4439" w:type="dxa"/>
          </w:tcPr>
          <w:p w14:paraId="5308511B" w14:textId="24C04E44" w:rsidR="00897A94" w:rsidRPr="00897A94" w:rsidRDefault="00897A94" w:rsidP="00897A94">
            <w:pPr>
              <w:spacing w:line="278" w:lineRule="auto"/>
              <w:rPr>
                <w:sz w:val="18"/>
                <w:szCs w:val="18"/>
                <w:lang w:val="es-ES"/>
              </w:rPr>
            </w:pPr>
            <w:r w:rsidRPr="00897A94">
              <w:rPr>
                <w:sz w:val="18"/>
                <w:szCs w:val="18"/>
                <w:lang w:val="es-ES"/>
              </w:rPr>
              <w:t>mejorando</w:t>
            </w:r>
          </w:p>
        </w:tc>
      </w:tr>
      <w:tr w:rsidR="00897A94" w:rsidRPr="00897A94" w14:paraId="2EAFC6C6" w14:textId="77777777" w:rsidTr="00897A94">
        <w:tc>
          <w:tcPr>
            <w:tcW w:w="4855" w:type="dxa"/>
          </w:tcPr>
          <w:p w14:paraId="02A47BB1" w14:textId="77777777" w:rsidR="00897A94" w:rsidRPr="00897A94" w:rsidRDefault="00897A94" w:rsidP="00897A94">
            <w:pPr>
              <w:spacing w:line="278" w:lineRule="auto"/>
              <w:rPr>
                <w:sz w:val="18"/>
                <w:szCs w:val="18"/>
                <w:lang w:val="es-ES"/>
              </w:rPr>
            </w:pPr>
            <w:proofErr w:type="spellStart"/>
            <w:r w:rsidRPr="00897A94">
              <w:rPr>
                <w:sz w:val="18"/>
                <w:szCs w:val="18"/>
                <w:lang w:val="es-ES"/>
              </w:rPr>
              <w:t>stable</w:t>
            </w:r>
            <w:proofErr w:type="spellEnd"/>
          </w:p>
        </w:tc>
        <w:tc>
          <w:tcPr>
            <w:tcW w:w="4439" w:type="dxa"/>
          </w:tcPr>
          <w:p w14:paraId="7B29D97D" w14:textId="00874F3D" w:rsidR="00897A94" w:rsidRPr="00897A94" w:rsidRDefault="00897A94" w:rsidP="00897A94">
            <w:pPr>
              <w:spacing w:line="278" w:lineRule="auto"/>
              <w:rPr>
                <w:sz w:val="18"/>
                <w:szCs w:val="18"/>
                <w:lang w:val="es-ES"/>
              </w:rPr>
            </w:pPr>
            <w:r w:rsidRPr="00897A94">
              <w:rPr>
                <w:sz w:val="18"/>
                <w:szCs w:val="18"/>
                <w:lang w:val="es-ES"/>
              </w:rPr>
              <w:t>estable</w:t>
            </w:r>
          </w:p>
        </w:tc>
      </w:tr>
      <w:tr w:rsidR="00897A94" w:rsidRPr="00897A94" w14:paraId="5EFF9C8F" w14:textId="77777777" w:rsidTr="00897A94">
        <w:tc>
          <w:tcPr>
            <w:tcW w:w="4855" w:type="dxa"/>
          </w:tcPr>
          <w:p w14:paraId="286971D3" w14:textId="77777777" w:rsidR="00897A94" w:rsidRPr="00897A94" w:rsidRDefault="00897A94" w:rsidP="00897A94">
            <w:pPr>
              <w:spacing w:line="278" w:lineRule="auto"/>
              <w:rPr>
                <w:sz w:val="18"/>
                <w:szCs w:val="18"/>
                <w:lang w:val="es-ES"/>
              </w:rPr>
            </w:pPr>
            <w:proofErr w:type="spellStart"/>
            <w:r w:rsidRPr="00897A94">
              <w:rPr>
                <w:sz w:val="18"/>
                <w:szCs w:val="18"/>
                <w:lang w:val="es-ES"/>
              </w:rPr>
              <w:t>moving</w:t>
            </w:r>
            <w:proofErr w:type="spellEnd"/>
            <w:r w:rsidRPr="00897A94">
              <w:rPr>
                <w:sz w:val="18"/>
                <w:szCs w:val="18"/>
                <w:lang w:val="es-ES"/>
              </w:rPr>
              <w:t xml:space="preserve"> </w:t>
            </w:r>
            <w:proofErr w:type="spellStart"/>
            <w:r w:rsidRPr="00897A94">
              <w:rPr>
                <w:sz w:val="18"/>
                <w:szCs w:val="18"/>
                <w:lang w:val="es-ES"/>
              </w:rPr>
              <w:t>away</w:t>
            </w:r>
            <w:proofErr w:type="spellEnd"/>
          </w:p>
        </w:tc>
        <w:tc>
          <w:tcPr>
            <w:tcW w:w="4439" w:type="dxa"/>
          </w:tcPr>
          <w:p w14:paraId="70406199" w14:textId="61F7840A" w:rsidR="00897A94" w:rsidRPr="00897A94" w:rsidRDefault="00897A94" w:rsidP="00897A94">
            <w:pPr>
              <w:spacing w:line="278" w:lineRule="auto"/>
              <w:rPr>
                <w:sz w:val="18"/>
                <w:szCs w:val="18"/>
                <w:lang w:val="es-ES"/>
              </w:rPr>
            </w:pPr>
            <w:r w:rsidRPr="00897A94">
              <w:rPr>
                <w:sz w:val="18"/>
                <w:szCs w:val="18"/>
                <w:lang w:val="es-ES"/>
              </w:rPr>
              <w:t>alejándose</w:t>
            </w:r>
          </w:p>
        </w:tc>
      </w:tr>
      <w:tr w:rsidR="00897A94" w:rsidRPr="00897A94" w14:paraId="5E41EC08" w14:textId="77777777" w:rsidTr="00897A94">
        <w:tc>
          <w:tcPr>
            <w:tcW w:w="4855" w:type="dxa"/>
          </w:tcPr>
          <w:p w14:paraId="0F260F24" w14:textId="77777777" w:rsidR="00897A94" w:rsidRPr="00897A94" w:rsidRDefault="00897A94" w:rsidP="00897A94">
            <w:pPr>
              <w:spacing w:line="278" w:lineRule="auto"/>
              <w:rPr>
                <w:sz w:val="18"/>
                <w:szCs w:val="18"/>
                <w:lang w:val="es-ES"/>
              </w:rPr>
            </w:pPr>
            <w:r w:rsidRPr="00897A94">
              <w:rPr>
                <w:sz w:val="18"/>
                <w:szCs w:val="18"/>
                <w:lang w:val="es-ES"/>
              </w:rPr>
              <w:t xml:space="preserve">Party </w:t>
            </w:r>
            <w:proofErr w:type="spellStart"/>
            <w:r w:rsidRPr="00897A94">
              <w:rPr>
                <w:sz w:val="18"/>
                <w:szCs w:val="18"/>
                <w:lang w:val="es-ES"/>
              </w:rPr>
              <w:t>count</w:t>
            </w:r>
            <w:proofErr w:type="spellEnd"/>
            <w:r w:rsidRPr="00897A94">
              <w:rPr>
                <w:sz w:val="18"/>
                <w:szCs w:val="18"/>
                <w:lang w:val="es-ES"/>
              </w:rPr>
              <w:t>: 74</w:t>
            </w:r>
          </w:p>
        </w:tc>
        <w:tc>
          <w:tcPr>
            <w:tcW w:w="4439" w:type="dxa"/>
          </w:tcPr>
          <w:p w14:paraId="421F9A51" w14:textId="6F916C44" w:rsidR="00897A94" w:rsidRPr="00897A94" w:rsidRDefault="00897A94" w:rsidP="00897A94">
            <w:pPr>
              <w:spacing w:line="278" w:lineRule="auto"/>
              <w:rPr>
                <w:sz w:val="18"/>
                <w:szCs w:val="18"/>
                <w:lang w:val="es-ES"/>
              </w:rPr>
            </w:pPr>
            <w:r w:rsidRPr="00897A94">
              <w:rPr>
                <w:sz w:val="18"/>
                <w:szCs w:val="18"/>
                <w:lang w:val="es-ES"/>
              </w:rPr>
              <w:t>Número de Partes: 74</w:t>
            </w:r>
          </w:p>
        </w:tc>
      </w:tr>
      <w:tr w:rsidR="00897A94" w:rsidRPr="00897A94" w14:paraId="366A12AF" w14:textId="77777777" w:rsidTr="00897A94">
        <w:tc>
          <w:tcPr>
            <w:tcW w:w="4855" w:type="dxa"/>
          </w:tcPr>
          <w:p w14:paraId="2208E79E" w14:textId="77777777" w:rsidR="00897A94" w:rsidRPr="00897A94" w:rsidRDefault="00897A94" w:rsidP="00897A94">
            <w:pPr>
              <w:spacing w:line="278" w:lineRule="auto"/>
              <w:rPr>
                <w:sz w:val="18"/>
                <w:szCs w:val="18"/>
                <w:lang w:val="es-ES"/>
              </w:rPr>
            </w:pPr>
            <w:proofErr w:type="spellStart"/>
            <w:r w:rsidRPr="00897A94">
              <w:rPr>
                <w:sz w:val="18"/>
                <w:szCs w:val="18"/>
                <w:lang w:val="es-ES"/>
              </w:rPr>
              <w:t>Region</w:t>
            </w:r>
            <w:proofErr w:type="spellEnd"/>
          </w:p>
        </w:tc>
        <w:tc>
          <w:tcPr>
            <w:tcW w:w="4439" w:type="dxa"/>
          </w:tcPr>
          <w:p w14:paraId="4AAA63C7" w14:textId="38F362F1" w:rsidR="00897A94" w:rsidRPr="00897A94" w:rsidRDefault="00897A94" w:rsidP="00897A94">
            <w:pPr>
              <w:spacing w:line="278" w:lineRule="auto"/>
              <w:rPr>
                <w:sz w:val="18"/>
                <w:szCs w:val="18"/>
                <w:lang w:val="es-ES"/>
              </w:rPr>
            </w:pPr>
            <w:r w:rsidRPr="00897A94">
              <w:rPr>
                <w:sz w:val="18"/>
                <w:szCs w:val="18"/>
                <w:lang w:val="es-ES"/>
              </w:rPr>
              <w:t>Región</w:t>
            </w:r>
          </w:p>
        </w:tc>
      </w:tr>
      <w:tr w:rsidR="00897A94" w:rsidRPr="00897A94" w14:paraId="0B1F3B39" w14:textId="77777777" w:rsidTr="00897A94">
        <w:tc>
          <w:tcPr>
            <w:tcW w:w="4855" w:type="dxa"/>
          </w:tcPr>
          <w:p w14:paraId="1E5BA223" w14:textId="77777777" w:rsidR="00897A94" w:rsidRPr="00897A94" w:rsidRDefault="00897A94" w:rsidP="00897A94">
            <w:pPr>
              <w:spacing w:line="278" w:lineRule="auto"/>
              <w:rPr>
                <w:sz w:val="18"/>
                <w:szCs w:val="18"/>
                <w:lang w:val="es-ES"/>
              </w:rPr>
            </w:pPr>
            <w:r w:rsidRPr="00897A94">
              <w:rPr>
                <w:sz w:val="18"/>
                <w:szCs w:val="18"/>
                <w:lang w:val="es-ES"/>
              </w:rPr>
              <w:t>African States</w:t>
            </w:r>
          </w:p>
        </w:tc>
        <w:tc>
          <w:tcPr>
            <w:tcW w:w="4439" w:type="dxa"/>
          </w:tcPr>
          <w:p w14:paraId="3C67D508" w14:textId="6C27834D" w:rsidR="00897A94" w:rsidRPr="00897A94" w:rsidRDefault="00897A94" w:rsidP="00897A94">
            <w:pPr>
              <w:spacing w:line="278" w:lineRule="auto"/>
              <w:rPr>
                <w:sz w:val="18"/>
                <w:szCs w:val="18"/>
                <w:lang w:val="es-ES"/>
              </w:rPr>
            </w:pPr>
            <w:r w:rsidRPr="00897A94">
              <w:rPr>
                <w:sz w:val="18"/>
                <w:szCs w:val="18"/>
                <w:lang w:val="es-ES"/>
              </w:rPr>
              <w:t>Estados de África</w:t>
            </w:r>
          </w:p>
        </w:tc>
      </w:tr>
      <w:tr w:rsidR="00897A94" w:rsidRPr="00897A94" w14:paraId="4ED39E70" w14:textId="77777777" w:rsidTr="00897A94">
        <w:tc>
          <w:tcPr>
            <w:tcW w:w="4855" w:type="dxa"/>
          </w:tcPr>
          <w:p w14:paraId="482FAB89" w14:textId="77777777" w:rsidR="00897A94" w:rsidRPr="00897A94" w:rsidRDefault="00897A94" w:rsidP="00897A94">
            <w:pPr>
              <w:spacing w:line="278" w:lineRule="auto"/>
              <w:rPr>
                <w:sz w:val="18"/>
                <w:szCs w:val="18"/>
                <w:lang w:val="es-ES"/>
              </w:rPr>
            </w:pPr>
            <w:r w:rsidRPr="00897A94">
              <w:rPr>
                <w:sz w:val="18"/>
                <w:szCs w:val="18"/>
                <w:lang w:val="es-ES"/>
              </w:rPr>
              <w:t>Asia-Pacific States</w:t>
            </w:r>
          </w:p>
        </w:tc>
        <w:tc>
          <w:tcPr>
            <w:tcW w:w="4439" w:type="dxa"/>
          </w:tcPr>
          <w:p w14:paraId="67D47897" w14:textId="42E51350" w:rsidR="00897A94" w:rsidRPr="00897A94" w:rsidRDefault="00897A94" w:rsidP="00897A94">
            <w:pPr>
              <w:spacing w:line="278" w:lineRule="auto"/>
              <w:rPr>
                <w:sz w:val="18"/>
                <w:szCs w:val="18"/>
                <w:lang w:val="es-ES"/>
              </w:rPr>
            </w:pPr>
            <w:r w:rsidRPr="00897A94">
              <w:rPr>
                <w:sz w:val="18"/>
                <w:szCs w:val="18"/>
                <w:lang w:val="es-ES"/>
              </w:rPr>
              <w:t>Estados de Asia y el Pacífico</w:t>
            </w:r>
          </w:p>
        </w:tc>
      </w:tr>
      <w:tr w:rsidR="00897A94" w:rsidRPr="00897A94" w14:paraId="04993415" w14:textId="77777777" w:rsidTr="00897A94">
        <w:tc>
          <w:tcPr>
            <w:tcW w:w="4855" w:type="dxa"/>
          </w:tcPr>
          <w:p w14:paraId="277206F4" w14:textId="77777777" w:rsidR="00897A94" w:rsidRPr="00897A94" w:rsidRDefault="00897A94" w:rsidP="00897A94">
            <w:pPr>
              <w:spacing w:line="278" w:lineRule="auto"/>
              <w:rPr>
                <w:sz w:val="18"/>
                <w:szCs w:val="18"/>
                <w:lang w:val="en-US"/>
              </w:rPr>
            </w:pPr>
            <w:r w:rsidRPr="00897A94">
              <w:rPr>
                <w:sz w:val="18"/>
                <w:szCs w:val="18"/>
                <w:lang w:val="en-US"/>
              </w:rPr>
              <w:t>Latin American and Caribbean States</w:t>
            </w:r>
          </w:p>
        </w:tc>
        <w:tc>
          <w:tcPr>
            <w:tcW w:w="4439" w:type="dxa"/>
          </w:tcPr>
          <w:p w14:paraId="5C81976E" w14:textId="6922C518" w:rsidR="00897A94" w:rsidRPr="00897A94" w:rsidRDefault="00897A94" w:rsidP="00897A94">
            <w:pPr>
              <w:spacing w:line="278" w:lineRule="auto"/>
              <w:rPr>
                <w:sz w:val="18"/>
                <w:szCs w:val="18"/>
                <w:lang w:val="es-ES"/>
              </w:rPr>
            </w:pPr>
            <w:r w:rsidRPr="00897A94">
              <w:rPr>
                <w:sz w:val="18"/>
                <w:szCs w:val="18"/>
                <w:lang w:val="es-ES"/>
              </w:rPr>
              <w:t>Estados de América Latina y el Caribe</w:t>
            </w:r>
          </w:p>
        </w:tc>
      </w:tr>
      <w:tr w:rsidR="00897A94" w:rsidRPr="00897A94" w14:paraId="7A11092F" w14:textId="77777777" w:rsidTr="00897A94">
        <w:tc>
          <w:tcPr>
            <w:tcW w:w="4855" w:type="dxa"/>
          </w:tcPr>
          <w:p w14:paraId="046FAA4D" w14:textId="77777777" w:rsidR="00897A94" w:rsidRPr="00897A94" w:rsidRDefault="00897A94" w:rsidP="00897A94">
            <w:pPr>
              <w:spacing w:line="278" w:lineRule="auto"/>
              <w:rPr>
                <w:sz w:val="18"/>
                <w:szCs w:val="18"/>
                <w:lang w:val="es-ES"/>
              </w:rPr>
            </w:pPr>
            <w:r w:rsidRPr="00897A94">
              <w:rPr>
                <w:sz w:val="18"/>
                <w:szCs w:val="18"/>
                <w:lang w:val="es-ES"/>
              </w:rPr>
              <w:t xml:space="preserve"> Eastern European States</w:t>
            </w:r>
          </w:p>
        </w:tc>
        <w:tc>
          <w:tcPr>
            <w:tcW w:w="4439" w:type="dxa"/>
          </w:tcPr>
          <w:p w14:paraId="4AE506F1" w14:textId="75F00C2C" w:rsidR="00897A94" w:rsidRPr="00897A94" w:rsidRDefault="00897A94" w:rsidP="00897A94">
            <w:pPr>
              <w:spacing w:line="278" w:lineRule="auto"/>
              <w:rPr>
                <w:sz w:val="18"/>
                <w:szCs w:val="18"/>
                <w:lang w:val="es-ES"/>
              </w:rPr>
            </w:pPr>
            <w:r w:rsidRPr="00897A94">
              <w:rPr>
                <w:sz w:val="18"/>
                <w:szCs w:val="18"/>
                <w:lang w:val="es-ES"/>
              </w:rPr>
              <w:t>Estados de Europa Oriental</w:t>
            </w:r>
          </w:p>
        </w:tc>
      </w:tr>
      <w:tr w:rsidR="00897A94" w:rsidRPr="00897A94" w14:paraId="04F59103" w14:textId="77777777" w:rsidTr="00897A94">
        <w:tc>
          <w:tcPr>
            <w:tcW w:w="4855" w:type="dxa"/>
          </w:tcPr>
          <w:p w14:paraId="7A9A59DD" w14:textId="77777777" w:rsidR="00897A94" w:rsidRPr="00897A94" w:rsidRDefault="00897A94" w:rsidP="00897A94">
            <w:pPr>
              <w:spacing w:line="278" w:lineRule="auto"/>
              <w:rPr>
                <w:sz w:val="18"/>
                <w:szCs w:val="18"/>
                <w:lang w:val="en-US"/>
              </w:rPr>
            </w:pPr>
            <w:r w:rsidRPr="00897A94">
              <w:rPr>
                <w:sz w:val="18"/>
                <w:szCs w:val="18"/>
                <w:lang w:val="en-US"/>
              </w:rPr>
              <w:t>Western European and other States</w:t>
            </w:r>
          </w:p>
        </w:tc>
        <w:tc>
          <w:tcPr>
            <w:tcW w:w="4439" w:type="dxa"/>
          </w:tcPr>
          <w:p w14:paraId="0E7674FD" w14:textId="150FE7C0" w:rsidR="00897A94" w:rsidRPr="00897A94" w:rsidRDefault="00897A94" w:rsidP="00897A94">
            <w:pPr>
              <w:spacing w:line="278" w:lineRule="auto"/>
              <w:rPr>
                <w:sz w:val="18"/>
                <w:szCs w:val="18"/>
                <w:lang w:val="es-ES"/>
              </w:rPr>
            </w:pPr>
            <w:r w:rsidRPr="00897A94">
              <w:rPr>
                <w:sz w:val="18"/>
                <w:szCs w:val="18"/>
                <w:lang w:val="es-ES"/>
              </w:rPr>
              <w:t>Estados de Europa Occidental y otros Estados</w:t>
            </w:r>
          </w:p>
        </w:tc>
      </w:tr>
    </w:tbl>
    <w:p w14:paraId="721BC1F3"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2DEC76E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07" w:name="_Toc235821172"/>
      <w:r w:rsidRPr="005E3D50">
        <w:rPr>
          <w:rFonts w:eastAsiaTheme="majorEastAsia" w:cstheme="majorBidi"/>
          <w:color w:val="0F4761" w:themeColor="accent1" w:themeShade="BF"/>
          <w:lang w:val="es-ES"/>
        </w:rPr>
        <w:t>Autoevaluación de progresos</w:t>
      </w:r>
      <w:bookmarkEnd w:id="307"/>
    </w:p>
    <w:p w14:paraId="639B0816" w14:textId="77777777" w:rsidR="009713BF" w:rsidRPr="005E3D50" w:rsidRDefault="009713BF" w:rsidP="009713BF">
      <w:pPr>
        <w:spacing w:after="200" w:line="240" w:lineRule="auto"/>
        <w:rPr>
          <w:rFonts w:ascii="Aptos" w:eastAsiaTheme="minorEastAsia" w:hAnsi="Aptos" w:cs="Segoe UI"/>
          <w:color w:val="0E2841" w:themeColor="text2"/>
          <w:kern w:val="0"/>
          <w:lang w:val="es-ES" w:eastAsia="ja-JP"/>
          <w14:ligatures w14:val="none"/>
        </w:rPr>
      </w:pPr>
      <w:r w:rsidRPr="005E3D50">
        <w:rPr>
          <w:rFonts w:ascii="Aptos" w:eastAsiaTheme="minorEastAsia" w:hAnsi="Aptos"/>
          <w:iCs/>
          <w:color w:val="0E2841" w:themeColor="text2"/>
          <w:kern w:val="0"/>
          <w:szCs w:val="18"/>
          <w:lang w:val="es-ES" w:eastAsia="ja-JP"/>
          <w14:ligatures w14:val="none"/>
        </w:rPr>
        <w:t xml:space="preserve">Conforme a las autoevaluaciones de las Partes, en alrededor de dos quintos (40 %) de las metas nacionales relacionadas con la meta 10 los progresos indican que se está en vías de alcanzar la meta o bien se ha alcanzado, lo que significa que en más de la mitad (57 %) </w:t>
      </w:r>
      <w:r w:rsidRPr="005E3D50">
        <w:rPr>
          <w:rFonts w:ascii="Aptos" w:eastAsiaTheme="minorEastAsia" w:hAnsi="Aptos"/>
          <w:iCs/>
          <w:color w:val="0E2841" w:themeColor="text2"/>
          <w:kern w:val="0"/>
          <w:szCs w:val="18"/>
          <w:lang w:val="es-ES" w:eastAsia="ja-JP"/>
          <w14:ligatures w14:val="none"/>
        </w:rPr>
        <w:lastRenderedPageBreak/>
        <w:t xml:space="preserve">de las metas nacionales evaluadas se está avanzando a un ritmo insuficiente (véase la </w:t>
      </w:r>
      <w:r w:rsidRPr="005E3D50">
        <w:rPr>
          <w:rFonts w:eastAsiaTheme="minorEastAsia"/>
          <w:iCs/>
          <w:color w:val="0E2841" w:themeColor="text2"/>
          <w:kern w:val="0"/>
          <w:szCs w:val="18"/>
          <w:lang w:val="es-ES" w:eastAsia="ja-JP"/>
          <w14:ligatures w14:val="none"/>
        </w:rPr>
        <w:t>figura 48</w:t>
      </w:r>
      <w:r w:rsidRPr="005E3D50">
        <w:rPr>
          <w:rFonts w:ascii="Aptos" w:eastAsiaTheme="minorEastAsia" w:hAnsi="Aptos"/>
          <w:iCs/>
          <w:color w:val="0E2841" w:themeColor="text2"/>
          <w:kern w:val="0"/>
          <w:szCs w:val="18"/>
          <w:lang w:val="es-ES" w:eastAsia="ja-JP"/>
          <w14:ligatures w14:val="none"/>
        </w:rPr>
        <w:t>).</w:t>
      </w:r>
    </w:p>
    <w:p w14:paraId="4D92115A"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77B08FF8" w14:textId="77777777" w:rsidR="009713BF" w:rsidRPr="005E3D50" w:rsidRDefault="009713BF" w:rsidP="009713BF">
      <w:pPr>
        <w:rPr>
          <w:sz w:val="20"/>
          <w:szCs w:val="20"/>
          <w:lang w:val="es-ES"/>
        </w:rPr>
      </w:pPr>
      <w:r w:rsidRPr="005E3D50">
        <w:rPr>
          <w:sz w:val="20"/>
          <w:lang w:val="es-ES"/>
        </w:rPr>
        <w:t>Figura 48</w:t>
      </w:r>
    </w:p>
    <w:p w14:paraId="4B901AF9"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10 del Marco </w:t>
      </w:r>
    </w:p>
    <w:p w14:paraId="7267A24A"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72592019" wp14:editId="60314A87">
            <wp:extent cx="5731510" cy="2292350"/>
            <wp:effectExtent l="0" t="0" r="0" b="6350"/>
            <wp:docPr id="6320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47052" name="Picture 632047052"/>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CC9D6F0"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02" w:type="dxa"/>
        <w:tblLook w:val="04A0" w:firstRow="1" w:lastRow="0" w:firstColumn="1" w:lastColumn="0" w:noHBand="0" w:noVBand="1"/>
      </w:tblPr>
      <w:tblGrid>
        <w:gridCol w:w="5012"/>
        <w:gridCol w:w="4390"/>
      </w:tblGrid>
      <w:tr w:rsidR="00927E08" w:rsidRPr="00927E08" w14:paraId="32071A91" w14:textId="77777777" w:rsidTr="00927E08">
        <w:tc>
          <w:tcPr>
            <w:tcW w:w="5012" w:type="dxa"/>
          </w:tcPr>
          <w:p w14:paraId="72AA0D5C" w14:textId="3A634577" w:rsidR="00927E08" w:rsidRPr="00927E08" w:rsidRDefault="00927E08" w:rsidP="00927E08">
            <w:pPr>
              <w:rPr>
                <w:sz w:val="18"/>
                <w:szCs w:val="18"/>
                <w:lang w:val="es-ES"/>
              </w:rPr>
            </w:pPr>
            <w:r w:rsidRPr="00927E08">
              <w:rPr>
                <w:sz w:val="18"/>
                <w:szCs w:val="18"/>
                <w:lang w:val="es-ES"/>
              </w:rPr>
              <w:t>Figura 48</w:t>
            </w:r>
          </w:p>
        </w:tc>
        <w:tc>
          <w:tcPr>
            <w:tcW w:w="4390" w:type="dxa"/>
          </w:tcPr>
          <w:p w14:paraId="00CF76A4" w14:textId="77777777" w:rsidR="00927E08" w:rsidRPr="00927E08" w:rsidRDefault="00927E08" w:rsidP="00927E08">
            <w:pPr>
              <w:rPr>
                <w:sz w:val="18"/>
                <w:szCs w:val="18"/>
                <w:lang w:val="es-ES"/>
              </w:rPr>
            </w:pPr>
          </w:p>
        </w:tc>
      </w:tr>
      <w:tr w:rsidR="00927E08" w:rsidRPr="00927E08" w14:paraId="41C509DC" w14:textId="77777777" w:rsidTr="00927E08">
        <w:tc>
          <w:tcPr>
            <w:tcW w:w="5012" w:type="dxa"/>
          </w:tcPr>
          <w:p w14:paraId="681A7476" w14:textId="27BD2E89" w:rsidR="00927E08" w:rsidRPr="00927E08" w:rsidRDefault="00927E08" w:rsidP="00927E08">
            <w:pPr>
              <w:spacing w:line="278" w:lineRule="auto"/>
              <w:rPr>
                <w:sz w:val="18"/>
                <w:szCs w:val="18"/>
                <w:lang w:val="es-ES"/>
              </w:rPr>
            </w:pPr>
            <w:r w:rsidRPr="00927E08">
              <w:rPr>
                <w:sz w:val="18"/>
                <w:szCs w:val="18"/>
                <w:lang w:val="es-ES"/>
              </w:rPr>
              <w:t>English</w:t>
            </w:r>
          </w:p>
        </w:tc>
        <w:tc>
          <w:tcPr>
            <w:tcW w:w="4390" w:type="dxa"/>
          </w:tcPr>
          <w:p w14:paraId="59F2BBB1" w14:textId="365D790D" w:rsidR="00927E08" w:rsidRPr="00927E08" w:rsidRDefault="007371B4" w:rsidP="00927E08">
            <w:pPr>
              <w:spacing w:line="278" w:lineRule="auto"/>
              <w:rPr>
                <w:sz w:val="18"/>
                <w:szCs w:val="18"/>
                <w:lang w:val="es-ES"/>
              </w:rPr>
            </w:pPr>
            <w:r>
              <w:rPr>
                <w:sz w:val="18"/>
                <w:szCs w:val="18"/>
                <w:lang w:val="es-ES"/>
              </w:rPr>
              <w:t>Español</w:t>
            </w:r>
          </w:p>
        </w:tc>
      </w:tr>
      <w:tr w:rsidR="00927E08" w:rsidRPr="00927E08" w14:paraId="1EE20D25" w14:textId="77777777" w:rsidTr="00927E08">
        <w:tc>
          <w:tcPr>
            <w:tcW w:w="5012" w:type="dxa"/>
          </w:tcPr>
          <w:p w14:paraId="3F1814D0" w14:textId="77777777" w:rsidR="00927E08" w:rsidRPr="00927E08" w:rsidRDefault="00927E08" w:rsidP="00927E08">
            <w:pPr>
              <w:spacing w:line="278" w:lineRule="auto"/>
              <w:rPr>
                <w:sz w:val="18"/>
                <w:szCs w:val="18"/>
                <w:lang w:val="es-ES"/>
              </w:rPr>
            </w:pPr>
            <w:proofErr w:type="spellStart"/>
            <w:r w:rsidRPr="00927E08">
              <w:rPr>
                <w:sz w:val="18"/>
                <w:szCs w:val="18"/>
                <w:lang w:val="es-ES"/>
              </w:rPr>
              <w:t>Percentage</w:t>
            </w:r>
            <w:proofErr w:type="spellEnd"/>
            <w:r w:rsidRPr="00927E08">
              <w:rPr>
                <w:sz w:val="18"/>
                <w:szCs w:val="18"/>
                <w:lang w:val="es-ES"/>
              </w:rPr>
              <w:t xml:space="preserve"> of </w:t>
            </w:r>
            <w:proofErr w:type="spellStart"/>
            <w:r w:rsidRPr="00927E08">
              <w:rPr>
                <w:sz w:val="18"/>
                <w:szCs w:val="18"/>
                <w:lang w:val="es-ES"/>
              </w:rPr>
              <w:t>national</w:t>
            </w:r>
            <w:proofErr w:type="spellEnd"/>
            <w:r w:rsidRPr="00927E08">
              <w:rPr>
                <w:sz w:val="18"/>
                <w:szCs w:val="18"/>
                <w:lang w:val="es-ES"/>
              </w:rPr>
              <w:t xml:space="preserve"> targets</w:t>
            </w:r>
          </w:p>
        </w:tc>
        <w:tc>
          <w:tcPr>
            <w:tcW w:w="4390" w:type="dxa"/>
          </w:tcPr>
          <w:p w14:paraId="19E34BE0" w14:textId="04A0971E" w:rsidR="00927E08" w:rsidRPr="00927E08" w:rsidRDefault="00927E08" w:rsidP="00927E08">
            <w:pPr>
              <w:spacing w:line="278" w:lineRule="auto"/>
              <w:rPr>
                <w:sz w:val="18"/>
                <w:szCs w:val="18"/>
                <w:lang w:val="es-ES"/>
              </w:rPr>
            </w:pPr>
            <w:r w:rsidRPr="00927E08">
              <w:rPr>
                <w:sz w:val="18"/>
                <w:szCs w:val="18"/>
                <w:lang w:val="es-ES"/>
              </w:rPr>
              <w:t>Porcentaje de metas nacionales</w:t>
            </w:r>
          </w:p>
        </w:tc>
      </w:tr>
      <w:tr w:rsidR="00927E08" w:rsidRPr="00927E08" w14:paraId="04F6ACAB" w14:textId="77777777" w:rsidTr="00927E08">
        <w:tc>
          <w:tcPr>
            <w:tcW w:w="5012" w:type="dxa"/>
          </w:tcPr>
          <w:p w14:paraId="611F124A" w14:textId="77777777" w:rsidR="00927E08" w:rsidRPr="00927E08" w:rsidRDefault="00927E08" w:rsidP="00927E08">
            <w:pPr>
              <w:spacing w:line="278" w:lineRule="auto"/>
              <w:rPr>
                <w:sz w:val="18"/>
                <w:szCs w:val="18"/>
                <w:lang w:val="es-ES"/>
              </w:rPr>
            </w:pPr>
            <w:proofErr w:type="spellStart"/>
            <w:r w:rsidRPr="00927E08">
              <w:rPr>
                <w:sz w:val="18"/>
                <w:szCs w:val="18"/>
                <w:lang w:val="es-ES"/>
              </w:rPr>
              <w:t>Progress</w:t>
            </w:r>
            <w:proofErr w:type="spellEnd"/>
            <w:r w:rsidRPr="00927E08">
              <w:rPr>
                <w:sz w:val="18"/>
                <w:szCs w:val="18"/>
                <w:lang w:val="es-ES"/>
              </w:rPr>
              <w:t xml:space="preserve"> Level</w:t>
            </w:r>
          </w:p>
        </w:tc>
        <w:tc>
          <w:tcPr>
            <w:tcW w:w="4390" w:type="dxa"/>
          </w:tcPr>
          <w:p w14:paraId="000D9686" w14:textId="1FD216E4" w:rsidR="00927E08" w:rsidRPr="00927E08" w:rsidRDefault="00927E08" w:rsidP="00927E08">
            <w:pPr>
              <w:spacing w:line="278" w:lineRule="auto"/>
              <w:rPr>
                <w:sz w:val="18"/>
                <w:szCs w:val="18"/>
                <w:lang w:val="es-ES"/>
              </w:rPr>
            </w:pPr>
            <w:r w:rsidRPr="00927E08">
              <w:rPr>
                <w:sz w:val="18"/>
                <w:szCs w:val="18"/>
                <w:lang w:val="es-ES"/>
              </w:rPr>
              <w:t>Nivel de progreso</w:t>
            </w:r>
          </w:p>
        </w:tc>
      </w:tr>
      <w:tr w:rsidR="00927E08" w:rsidRPr="00927E08" w14:paraId="1873E44A" w14:textId="77777777" w:rsidTr="00927E08">
        <w:tc>
          <w:tcPr>
            <w:tcW w:w="5012" w:type="dxa"/>
          </w:tcPr>
          <w:p w14:paraId="064AD286" w14:textId="77777777" w:rsidR="00927E08" w:rsidRPr="00927E08" w:rsidRDefault="00927E08" w:rsidP="00927E08">
            <w:pPr>
              <w:spacing w:line="278" w:lineRule="auto"/>
              <w:rPr>
                <w:sz w:val="18"/>
                <w:szCs w:val="18"/>
                <w:lang w:val="es-ES"/>
              </w:rPr>
            </w:pPr>
            <w:proofErr w:type="spellStart"/>
            <w:r w:rsidRPr="00927E08">
              <w:rPr>
                <w:sz w:val="18"/>
                <w:szCs w:val="18"/>
                <w:lang w:val="es-ES"/>
              </w:rPr>
              <w:t>Achieved</w:t>
            </w:r>
            <w:proofErr w:type="spellEnd"/>
          </w:p>
        </w:tc>
        <w:tc>
          <w:tcPr>
            <w:tcW w:w="4390" w:type="dxa"/>
          </w:tcPr>
          <w:p w14:paraId="7F7B0D35" w14:textId="59C4FD1F" w:rsidR="00927E08" w:rsidRPr="00927E08" w:rsidRDefault="00927E08" w:rsidP="00927E08">
            <w:pPr>
              <w:spacing w:line="278" w:lineRule="auto"/>
              <w:rPr>
                <w:sz w:val="18"/>
                <w:szCs w:val="18"/>
                <w:lang w:val="es-ES"/>
              </w:rPr>
            </w:pPr>
            <w:r w:rsidRPr="00927E08">
              <w:rPr>
                <w:sz w:val="18"/>
                <w:szCs w:val="18"/>
                <w:lang w:val="es-ES"/>
              </w:rPr>
              <w:t>Alcanzada</w:t>
            </w:r>
          </w:p>
        </w:tc>
      </w:tr>
      <w:tr w:rsidR="00927E08" w:rsidRPr="00927E08" w14:paraId="75250A81" w14:textId="77777777" w:rsidTr="00927E08">
        <w:tc>
          <w:tcPr>
            <w:tcW w:w="5012" w:type="dxa"/>
          </w:tcPr>
          <w:p w14:paraId="3109A3D4" w14:textId="77777777" w:rsidR="00927E08" w:rsidRPr="00927E08" w:rsidRDefault="00927E08" w:rsidP="00927E08">
            <w:pPr>
              <w:spacing w:line="278" w:lineRule="auto"/>
              <w:rPr>
                <w:sz w:val="18"/>
                <w:szCs w:val="18"/>
                <w:lang w:val="en-US"/>
              </w:rPr>
            </w:pPr>
            <w:r w:rsidRPr="00927E08">
              <w:rPr>
                <w:sz w:val="18"/>
                <w:szCs w:val="18"/>
                <w:lang w:val="en-US"/>
              </w:rPr>
              <w:t>On track to achieve target</w:t>
            </w:r>
          </w:p>
        </w:tc>
        <w:tc>
          <w:tcPr>
            <w:tcW w:w="4390" w:type="dxa"/>
          </w:tcPr>
          <w:p w14:paraId="59DED7A7" w14:textId="752F755C" w:rsidR="00927E08" w:rsidRPr="00927E08" w:rsidRDefault="00927E08" w:rsidP="00927E08">
            <w:pPr>
              <w:spacing w:line="278" w:lineRule="auto"/>
              <w:rPr>
                <w:sz w:val="18"/>
                <w:szCs w:val="18"/>
                <w:lang w:val="es-ES"/>
              </w:rPr>
            </w:pPr>
            <w:r w:rsidRPr="00927E08">
              <w:rPr>
                <w:sz w:val="18"/>
                <w:szCs w:val="18"/>
                <w:lang w:val="es-ES"/>
              </w:rPr>
              <w:t>En vías de alcanzar la meta</w:t>
            </w:r>
          </w:p>
        </w:tc>
      </w:tr>
      <w:tr w:rsidR="00927E08" w:rsidRPr="00927E08" w14:paraId="6324730B" w14:textId="77777777" w:rsidTr="00927E08">
        <w:tc>
          <w:tcPr>
            <w:tcW w:w="5012" w:type="dxa"/>
          </w:tcPr>
          <w:p w14:paraId="2910DE7E" w14:textId="77777777" w:rsidR="00927E08" w:rsidRPr="00927E08" w:rsidRDefault="00927E08" w:rsidP="00927E08">
            <w:pPr>
              <w:spacing w:line="278" w:lineRule="auto"/>
              <w:rPr>
                <w:sz w:val="18"/>
                <w:szCs w:val="18"/>
                <w:lang w:val="en-US"/>
              </w:rPr>
            </w:pPr>
            <w:r w:rsidRPr="00927E08">
              <w:rPr>
                <w:sz w:val="18"/>
                <w:szCs w:val="18"/>
                <w:lang w:val="en-US"/>
              </w:rPr>
              <w:t>Progress towards target but at an insufficient rate</w:t>
            </w:r>
          </w:p>
        </w:tc>
        <w:tc>
          <w:tcPr>
            <w:tcW w:w="4390" w:type="dxa"/>
          </w:tcPr>
          <w:p w14:paraId="07344358" w14:textId="38B6483A" w:rsidR="00927E08" w:rsidRPr="00927E08" w:rsidRDefault="00927E08" w:rsidP="00927E08">
            <w:pPr>
              <w:spacing w:line="278" w:lineRule="auto"/>
              <w:rPr>
                <w:sz w:val="18"/>
                <w:szCs w:val="18"/>
                <w:lang w:val="es-ES"/>
              </w:rPr>
            </w:pPr>
            <w:r w:rsidRPr="00927E08">
              <w:rPr>
                <w:sz w:val="18"/>
                <w:szCs w:val="18"/>
                <w:lang w:val="es-ES"/>
              </w:rPr>
              <w:t xml:space="preserve">Se ha progresado hacia la </w:t>
            </w:r>
            <w:proofErr w:type="gramStart"/>
            <w:r w:rsidRPr="00927E08">
              <w:rPr>
                <w:sz w:val="18"/>
                <w:szCs w:val="18"/>
                <w:lang w:val="es-ES"/>
              </w:rPr>
              <w:t>meta</w:t>
            </w:r>
            <w:proofErr w:type="gramEnd"/>
            <w:r w:rsidRPr="00927E08">
              <w:rPr>
                <w:sz w:val="18"/>
                <w:szCs w:val="18"/>
                <w:lang w:val="es-ES"/>
              </w:rPr>
              <w:t xml:space="preserve"> pero a un ritmo insuficiente</w:t>
            </w:r>
          </w:p>
        </w:tc>
      </w:tr>
      <w:tr w:rsidR="00927E08" w:rsidRPr="00927E08" w14:paraId="44856F66" w14:textId="77777777" w:rsidTr="00927E08">
        <w:tc>
          <w:tcPr>
            <w:tcW w:w="5012" w:type="dxa"/>
          </w:tcPr>
          <w:p w14:paraId="085E4963" w14:textId="77777777" w:rsidR="00927E08" w:rsidRPr="00927E08" w:rsidRDefault="00927E08" w:rsidP="00927E08">
            <w:pPr>
              <w:spacing w:line="278" w:lineRule="auto"/>
              <w:rPr>
                <w:sz w:val="18"/>
                <w:szCs w:val="18"/>
                <w:lang w:val="es-ES"/>
              </w:rPr>
            </w:pPr>
            <w:r w:rsidRPr="00927E08">
              <w:rPr>
                <w:sz w:val="18"/>
                <w:szCs w:val="18"/>
                <w:lang w:val="es-ES"/>
              </w:rPr>
              <w:t xml:space="preserve">No </w:t>
            </w:r>
            <w:proofErr w:type="spellStart"/>
            <w:r w:rsidRPr="00927E08">
              <w:rPr>
                <w:sz w:val="18"/>
                <w:szCs w:val="18"/>
                <w:lang w:val="es-ES"/>
              </w:rPr>
              <w:t>significant</w:t>
            </w:r>
            <w:proofErr w:type="spellEnd"/>
            <w:r w:rsidRPr="00927E08">
              <w:rPr>
                <w:sz w:val="18"/>
                <w:szCs w:val="18"/>
                <w:lang w:val="es-ES"/>
              </w:rPr>
              <w:t xml:space="preserve"> </w:t>
            </w:r>
            <w:proofErr w:type="spellStart"/>
            <w:r w:rsidRPr="00927E08">
              <w:rPr>
                <w:sz w:val="18"/>
                <w:szCs w:val="18"/>
                <w:lang w:val="es-ES"/>
              </w:rPr>
              <w:t>change</w:t>
            </w:r>
            <w:proofErr w:type="spellEnd"/>
          </w:p>
        </w:tc>
        <w:tc>
          <w:tcPr>
            <w:tcW w:w="4390" w:type="dxa"/>
          </w:tcPr>
          <w:p w14:paraId="24320D05" w14:textId="43FDB203" w:rsidR="00927E08" w:rsidRPr="00927E08" w:rsidRDefault="00927E08" w:rsidP="00927E08">
            <w:pPr>
              <w:spacing w:line="278" w:lineRule="auto"/>
              <w:rPr>
                <w:sz w:val="18"/>
                <w:szCs w:val="18"/>
                <w:lang w:val="es-ES"/>
              </w:rPr>
            </w:pPr>
            <w:r w:rsidRPr="00927E08">
              <w:rPr>
                <w:sz w:val="18"/>
                <w:szCs w:val="18"/>
                <w:lang w:val="es-ES"/>
              </w:rPr>
              <w:t>No hay cambios significativos</w:t>
            </w:r>
          </w:p>
        </w:tc>
      </w:tr>
      <w:tr w:rsidR="00927E08" w:rsidRPr="00927E08" w14:paraId="5C147D55" w14:textId="77777777" w:rsidTr="00927E08">
        <w:tc>
          <w:tcPr>
            <w:tcW w:w="5012" w:type="dxa"/>
          </w:tcPr>
          <w:p w14:paraId="4E0F76CB" w14:textId="77777777" w:rsidR="00927E08" w:rsidRPr="00927E08" w:rsidRDefault="00927E08" w:rsidP="00927E08">
            <w:pPr>
              <w:spacing w:line="278" w:lineRule="auto"/>
              <w:rPr>
                <w:sz w:val="18"/>
                <w:szCs w:val="18"/>
                <w:lang w:val="es-ES"/>
              </w:rPr>
            </w:pPr>
            <w:r w:rsidRPr="00927E08">
              <w:rPr>
                <w:sz w:val="18"/>
                <w:szCs w:val="18"/>
                <w:lang w:val="es-ES"/>
              </w:rPr>
              <w:t>Unknown</w:t>
            </w:r>
          </w:p>
        </w:tc>
        <w:tc>
          <w:tcPr>
            <w:tcW w:w="4390" w:type="dxa"/>
          </w:tcPr>
          <w:p w14:paraId="424D2250" w14:textId="76A2E7DE" w:rsidR="00927E08" w:rsidRPr="00927E08" w:rsidRDefault="00927E08" w:rsidP="00927E08">
            <w:pPr>
              <w:spacing w:line="278" w:lineRule="auto"/>
              <w:rPr>
                <w:sz w:val="18"/>
                <w:szCs w:val="18"/>
                <w:lang w:val="es-ES"/>
              </w:rPr>
            </w:pPr>
            <w:r w:rsidRPr="00927E08">
              <w:rPr>
                <w:sz w:val="18"/>
                <w:szCs w:val="18"/>
                <w:lang w:val="es-ES"/>
              </w:rPr>
              <w:t>Se desconoce</w:t>
            </w:r>
          </w:p>
        </w:tc>
      </w:tr>
      <w:tr w:rsidR="00927E08" w:rsidRPr="00927E08" w14:paraId="012464E3" w14:textId="77777777" w:rsidTr="00927E08">
        <w:tc>
          <w:tcPr>
            <w:tcW w:w="5012" w:type="dxa"/>
          </w:tcPr>
          <w:p w14:paraId="19190929" w14:textId="77777777" w:rsidR="00927E08" w:rsidRPr="00927E08" w:rsidRDefault="00927E08" w:rsidP="00927E08">
            <w:pPr>
              <w:spacing w:line="278" w:lineRule="auto"/>
              <w:rPr>
                <w:sz w:val="18"/>
                <w:szCs w:val="18"/>
                <w:lang w:val="es-ES"/>
              </w:rPr>
            </w:pPr>
            <w:r w:rsidRPr="00927E08">
              <w:rPr>
                <w:sz w:val="18"/>
                <w:szCs w:val="18"/>
                <w:lang w:val="es-ES"/>
              </w:rPr>
              <w:t xml:space="preserve">Party </w:t>
            </w:r>
            <w:proofErr w:type="spellStart"/>
            <w:r w:rsidRPr="00927E08">
              <w:rPr>
                <w:sz w:val="18"/>
                <w:szCs w:val="18"/>
                <w:lang w:val="es-ES"/>
              </w:rPr>
              <w:t>count</w:t>
            </w:r>
            <w:proofErr w:type="spellEnd"/>
            <w:r w:rsidRPr="00927E08">
              <w:rPr>
                <w:sz w:val="18"/>
                <w:szCs w:val="18"/>
                <w:lang w:val="es-ES"/>
              </w:rPr>
              <w:t>: 98</w:t>
            </w:r>
          </w:p>
        </w:tc>
        <w:tc>
          <w:tcPr>
            <w:tcW w:w="4390" w:type="dxa"/>
          </w:tcPr>
          <w:p w14:paraId="70813738" w14:textId="62A61420" w:rsidR="00927E08" w:rsidRPr="00927E08" w:rsidRDefault="00927E08" w:rsidP="00927E08">
            <w:pPr>
              <w:spacing w:line="278" w:lineRule="auto"/>
              <w:rPr>
                <w:sz w:val="18"/>
                <w:szCs w:val="18"/>
                <w:lang w:val="es-ES"/>
              </w:rPr>
            </w:pPr>
            <w:r w:rsidRPr="00927E08">
              <w:rPr>
                <w:sz w:val="18"/>
                <w:szCs w:val="18"/>
                <w:lang w:val="es-ES"/>
              </w:rPr>
              <w:t>Número de Partes: 98</w:t>
            </w:r>
          </w:p>
        </w:tc>
      </w:tr>
      <w:tr w:rsidR="00927E08" w:rsidRPr="00927E08" w14:paraId="53E40FC5" w14:textId="77777777" w:rsidTr="00927E08">
        <w:tc>
          <w:tcPr>
            <w:tcW w:w="5012" w:type="dxa"/>
          </w:tcPr>
          <w:p w14:paraId="6C3EFA2C" w14:textId="77777777" w:rsidR="00927E08" w:rsidRPr="00927E08" w:rsidRDefault="00927E08" w:rsidP="00927E08">
            <w:pPr>
              <w:spacing w:line="278" w:lineRule="auto"/>
              <w:rPr>
                <w:sz w:val="18"/>
                <w:szCs w:val="18"/>
                <w:lang w:val="es-ES"/>
              </w:rPr>
            </w:pPr>
            <w:proofErr w:type="spellStart"/>
            <w:r w:rsidRPr="00927E08">
              <w:rPr>
                <w:sz w:val="18"/>
                <w:szCs w:val="18"/>
                <w:lang w:val="es-ES"/>
              </w:rPr>
              <w:t>Region</w:t>
            </w:r>
            <w:proofErr w:type="spellEnd"/>
          </w:p>
        </w:tc>
        <w:tc>
          <w:tcPr>
            <w:tcW w:w="4390" w:type="dxa"/>
          </w:tcPr>
          <w:p w14:paraId="471050E4" w14:textId="185EFFCC" w:rsidR="00927E08" w:rsidRPr="00927E08" w:rsidRDefault="00927E08" w:rsidP="00927E08">
            <w:pPr>
              <w:spacing w:line="278" w:lineRule="auto"/>
              <w:rPr>
                <w:sz w:val="18"/>
                <w:szCs w:val="18"/>
                <w:lang w:val="es-ES"/>
              </w:rPr>
            </w:pPr>
            <w:r w:rsidRPr="00927E08">
              <w:rPr>
                <w:sz w:val="18"/>
                <w:szCs w:val="18"/>
                <w:lang w:val="es-ES"/>
              </w:rPr>
              <w:t>Región</w:t>
            </w:r>
          </w:p>
        </w:tc>
      </w:tr>
      <w:tr w:rsidR="00927E08" w:rsidRPr="00927E08" w14:paraId="3A37CA76" w14:textId="77777777" w:rsidTr="00927E08">
        <w:tc>
          <w:tcPr>
            <w:tcW w:w="5012" w:type="dxa"/>
          </w:tcPr>
          <w:p w14:paraId="6F3DECA1" w14:textId="77777777" w:rsidR="00927E08" w:rsidRPr="00927E08" w:rsidRDefault="00927E08" w:rsidP="00927E08">
            <w:pPr>
              <w:spacing w:line="278" w:lineRule="auto"/>
              <w:rPr>
                <w:sz w:val="18"/>
                <w:szCs w:val="18"/>
                <w:lang w:val="es-ES"/>
              </w:rPr>
            </w:pPr>
            <w:r w:rsidRPr="00927E08">
              <w:rPr>
                <w:sz w:val="18"/>
                <w:szCs w:val="18"/>
                <w:lang w:val="es-ES"/>
              </w:rPr>
              <w:t>African States</w:t>
            </w:r>
          </w:p>
        </w:tc>
        <w:tc>
          <w:tcPr>
            <w:tcW w:w="4390" w:type="dxa"/>
          </w:tcPr>
          <w:p w14:paraId="35ABC431" w14:textId="0F87E55E" w:rsidR="00927E08" w:rsidRPr="00927E08" w:rsidRDefault="00927E08" w:rsidP="00927E08">
            <w:pPr>
              <w:spacing w:line="278" w:lineRule="auto"/>
              <w:rPr>
                <w:sz w:val="18"/>
                <w:szCs w:val="18"/>
                <w:lang w:val="es-ES"/>
              </w:rPr>
            </w:pPr>
            <w:r w:rsidRPr="00927E08">
              <w:rPr>
                <w:sz w:val="18"/>
                <w:szCs w:val="18"/>
                <w:lang w:val="es-ES"/>
              </w:rPr>
              <w:t>Estados de África</w:t>
            </w:r>
          </w:p>
        </w:tc>
      </w:tr>
      <w:tr w:rsidR="00927E08" w:rsidRPr="00927E08" w14:paraId="3ED35511" w14:textId="77777777" w:rsidTr="00927E08">
        <w:tc>
          <w:tcPr>
            <w:tcW w:w="5012" w:type="dxa"/>
          </w:tcPr>
          <w:p w14:paraId="095EF307" w14:textId="77777777" w:rsidR="00927E08" w:rsidRPr="00927E08" w:rsidRDefault="00927E08" w:rsidP="00927E08">
            <w:pPr>
              <w:spacing w:line="278" w:lineRule="auto"/>
              <w:rPr>
                <w:sz w:val="18"/>
                <w:szCs w:val="18"/>
                <w:lang w:val="es-ES"/>
              </w:rPr>
            </w:pPr>
            <w:r w:rsidRPr="00927E08">
              <w:rPr>
                <w:sz w:val="18"/>
                <w:szCs w:val="18"/>
                <w:lang w:val="es-ES"/>
              </w:rPr>
              <w:t>Asia-Pacific States</w:t>
            </w:r>
          </w:p>
        </w:tc>
        <w:tc>
          <w:tcPr>
            <w:tcW w:w="4390" w:type="dxa"/>
          </w:tcPr>
          <w:p w14:paraId="1A9E0513" w14:textId="6B76F9B9" w:rsidR="00927E08" w:rsidRPr="00927E08" w:rsidRDefault="00927E08" w:rsidP="00927E08">
            <w:pPr>
              <w:spacing w:line="278" w:lineRule="auto"/>
              <w:rPr>
                <w:sz w:val="18"/>
                <w:szCs w:val="18"/>
                <w:lang w:val="es-ES"/>
              </w:rPr>
            </w:pPr>
            <w:r w:rsidRPr="00927E08">
              <w:rPr>
                <w:sz w:val="18"/>
                <w:szCs w:val="18"/>
                <w:lang w:val="es-ES"/>
              </w:rPr>
              <w:t>Estados de Asia y el Pacífico</w:t>
            </w:r>
          </w:p>
        </w:tc>
      </w:tr>
      <w:tr w:rsidR="00927E08" w:rsidRPr="00927E08" w14:paraId="0D279EB4" w14:textId="77777777" w:rsidTr="00927E08">
        <w:tc>
          <w:tcPr>
            <w:tcW w:w="5012" w:type="dxa"/>
          </w:tcPr>
          <w:p w14:paraId="4C73521B" w14:textId="77777777" w:rsidR="00927E08" w:rsidRPr="00927E08" w:rsidRDefault="00927E08" w:rsidP="00927E08">
            <w:pPr>
              <w:spacing w:line="278" w:lineRule="auto"/>
              <w:rPr>
                <w:sz w:val="18"/>
                <w:szCs w:val="18"/>
                <w:lang w:val="en-US"/>
              </w:rPr>
            </w:pPr>
            <w:r w:rsidRPr="00927E08">
              <w:rPr>
                <w:sz w:val="18"/>
                <w:szCs w:val="18"/>
                <w:lang w:val="en-US"/>
              </w:rPr>
              <w:t>Latin American and Caribbean States</w:t>
            </w:r>
          </w:p>
        </w:tc>
        <w:tc>
          <w:tcPr>
            <w:tcW w:w="4390" w:type="dxa"/>
          </w:tcPr>
          <w:p w14:paraId="7F21A2FB" w14:textId="4E571F59" w:rsidR="00927E08" w:rsidRPr="00927E08" w:rsidRDefault="00927E08" w:rsidP="00927E08">
            <w:pPr>
              <w:spacing w:line="278" w:lineRule="auto"/>
              <w:rPr>
                <w:sz w:val="18"/>
                <w:szCs w:val="18"/>
                <w:lang w:val="es-ES"/>
              </w:rPr>
            </w:pPr>
            <w:r w:rsidRPr="00927E08">
              <w:rPr>
                <w:sz w:val="18"/>
                <w:szCs w:val="18"/>
                <w:lang w:val="es-ES"/>
              </w:rPr>
              <w:t>Estados de América Latina y el Caribe</w:t>
            </w:r>
          </w:p>
        </w:tc>
      </w:tr>
      <w:tr w:rsidR="00927E08" w:rsidRPr="00927E08" w14:paraId="27D9B343" w14:textId="77777777" w:rsidTr="00927E08">
        <w:tc>
          <w:tcPr>
            <w:tcW w:w="5012" w:type="dxa"/>
          </w:tcPr>
          <w:p w14:paraId="44000CB9" w14:textId="77777777" w:rsidR="00927E08" w:rsidRPr="00927E08" w:rsidRDefault="00927E08" w:rsidP="00927E08">
            <w:pPr>
              <w:spacing w:line="278" w:lineRule="auto"/>
              <w:rPr>
                <w:sz w:val="18"/>
                <w:szCs w:val="18"/>
                <w:lang w:val="es-ES"/>
              </w:rPr>
            </w:pPr>
            <w:r w:rsidRPr="00927E08">
              <w:rPr>
                <w:sz w:val="18"/>
                <w:szCs w:val="18"/>
                <w:lang w:val="es-ES"/>
              </w:rPr>
              <w:t xml:space="preserve"> Eastern European States</w:t>
            </w:r>
          </w:p>
        </w:tc>
        <w:tc>
          <w:tcPr>
            <w:tcW w:w="4390" w:type="dxa"/>
          </w:tcPr>
          <w:p w14:paraId="50F4EAED" w14:textId="7F5A7DF5" w:rsidR="00927E08" w:rsidRPr="00927E08" w:rsidRDefault="00927E08" w:rsidP="00927E08">
            <w:pPr>
              <w:spacing w:line="278" w:lineRule="auto"/>
              <w:rPr>
                <w:sz w:val="18"/>
                <w:szCs w:val="18"/>
                <w:lang w:val="es-ES"/>
              </w:rPr>
            </w:pPr>
            <w:r w:rsidRPr="00927E08">
              <w:rPr>
                <w:sz w:val="18"/>
                <w:szCs w:val="18"/>
                <w:lang w:val="es-ES"/>
              </w:rPr>
              <w:t>Estados de Europa Oriental</w:t>
            </w:r>
          </w:p>
        </w:tc>
      </w:tr>
      <w:tr w:rsidR="00927E08" w:rsidRPr="00927E08" w14:paraId="019E780C" w14:textId="77777777" w:rsidTr="00927E08">
        <w:tc>
          <w:tcPr>
            <w:tcW w:w="5012" w:type="dxa"/>
          </w:tcPr>
          <w:p w14:paraId="65BED7EC" w14:textId="77777777" w:rsidR="00927E08" w:rsidRPr="00927E08" w:rsidRDefault="00927E08" w:rsidP="00927E08">
            <w:pPr>
              <w:spacing w:line="278" w:lineRule="auto"/>
              <w:rPr>
                <w:sz w:val="18"/>
                <w:szCs w:val="18"/>
                <w:lang w:val="en-US"/>
              </w:rPr>
            </w:pPr>
            <w:r w:rsidRPr="00927E08">
              <w:rPr>
                <w:sz w:val="18"/>
                <w:szCs w:val="18"/>
                <w:lang w:val="en-US"/>
              </w:rPr>
              <w:t>Western European and other States</w:t>
            </w:r>
          </w:p>
        </w:tc>
        <w:tc>
          <w:tcPr>
            <w:tcW w:w="4390" w:type="dxa"/>
          </w:tcPr>
          <w:p w14:paraId="656E569E" w14:textId="4D9F1E08" w:rsidR="00927E08" w:rsidRPr="00927E08" w:rsidRDefault="00927E08" w:rsidP="00927E08">
            <w:pPr>
              <w:spacing w:line="278" w:lineRule="auto"/>
              <w:rPr>
                <w:sz w:val="18"/>
                <w:szCs w:val="18"/>
                <w:lang w:val="es-ES"/>
              </w:rPr>
            </w:pPr>
            <w:r w:rsidRPr="00927E08">
              <w:rPr>
                <w:sz w:val="18"/>
                <w:szCs w:val="18"/>
                <w:lang w:val="es-ES"/>
              </w:rPr>
              <w:t>Estados de Europa Occidental y otros Estados</w:t>
            </w:r>
          </w:p>
        </w:tc>
      </w:tr>
    </w:tbl>
    <w:p w14:paraId="364777F3" w14:textId="77777777" w:rsidR="009713BF" w:rsidRPr="005E3D50" w:rsidRDefault="009713BF" w:rsidP="009713BF">
      <w:pPr>
        <w:rPr>
          <w:lang w:val="es-ES"/>
        </w:rPr>
      </w:pPr>
    </w:p>
    <w:p w14:paraId="6ED1790B"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751D9E0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08" w:name="_Toc235821173"/>
      <w:r w:rsidRPr="005E3D50">
        <w:rPr>
          <w:rFonts w:eastAsiaTheme="majorEastAsia" w:cstheme="majorBidi"/>
          <w:color w:val="0F4761" w:themeColor="accent1" w:themeShade="BF"/>
          <w:lang w:val="es-ES"/>
        </w:rPr>
        <w:t>Medidas, logros y dificultades</w:t>
      </w:r>
      <w:bookmarkEnd w:id="308"/>
      <w:r w:rsidRPr="005E3D50">
        <w:rPr>
          <w:rFonts w:eastAsiaTheme="majorEastAsia" w:cstheme="majorBidi"/>
          <w:color w:val="0F4761" w:themeColor="accent1" w:themeShade="BF"/>
          <w:lang w:val="es-ES"/>
        </w:rPr>
        <w:t xml:space="preserve"> en la implementación</w:t>
      </w:r>
    </w:p>
    <w:p w14:paraId="0C45005D" w14:textId="77777777" w:rsidR="009713BF" w:rsidRPr="005E3D50" w:rsidRDefault="009713BF" w:rsidP="009713BF">
      <w:pPr>
        <w:rPr>
          <w:lang w:val="es-ES"/>
        </w:rPr>
      </w:pPr>
    </w:p>
    <w:p w14:paraId="4E2BA6B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10 del Marco</w:t>
      </w:r>
    </w:p>
    <w:p w14:paraId="7BA74D0F" w14:textId="77777777" w:rsidR="009713BF" w:rsidRPr="005E3D50" w:rsidRDefault="009713BF" w:rsidP="009713BF">
      <w:pPr>
        <w:rPr>
          <w:lang w:val="es-ES"/>
        </w:rPr>
      </w:pPr>
    </w:p>
    <w:p w14:paraId="5C443A73" w14:textId="77777777" w:rsidR="009713BF" w:rsidRPr="005E3D50" w:rsidRDefault="009713BF" w:rsidP="009713BF">
      <w:pPr>
        <w:rPr>
          <w:lang w:val="es-ES"/>
        </w:rPr>
      </w:pPr>
      <w:r w:rsidRPr="005E3D50">
        <w:rPr>
          <w:lang w:val="es-ES"/>
        </w:rPr>
        <w:t xml:space="preserve">Considerando los cuatro sectores de producción abordados por la meta 10, el tipo de medida más comunicado es el establecimiento o fortalecimiento de marcos de gestión de la pesca. Las medidas específicas que se comunicaron incluyen sistemas de concesión de licencias de pesca, cuotas de capturas, vedas estacionales, sistemas de seguimiento de buques y medidas de mitigación de capturas incidentales. También se informa ampliamente de la adopción de medidas de apoyo a la gestión forestal sostenible, entre las que se incluyen planes de gestión obligatorios para silvicultura comercial, esquemas de certificación, programas de reforestación y silvicultura comunitaria. En el sector agrícola, muchas Partes comunican que han adoptado medidas de promoción de sistemas agroecológicos, </w:t>
      </w:r>
      <w:r w:rsidRPr="005E3D50">
        <w:rPr>
          <w:rFonts w:ascii="Aptos" w:hAnsi="Aptos"/>
          <w:color w:val="000000" w:themeColor="text1"/>
          <w:shd w:val="clear" w:color="auto" w:fill="FFFFFF"/>
          <w:lang w:val="es-ES"/>
        </w:rPr>
        <w:t>agroforestales y silvopastoriles; conservación de recursos genéticos y bancos de semillas;</w:t>
      </w:r>
      <w:r w:rsidRPr="005E3D50">
        <w:rPr>
          <w:color w:val="000000" w:themeColor="text1"/>
          <w:lang w:val="es-ES"/>
        </w:rPr>
        <w:t xml:space="preserve"> y </w:t>
      </w:r>
      <w:r w:rsidRPr="005E3D50">
        <w:rPr>
          <w:lang w:val="es-ES"/>
        </w:rPr>
        <w:t xml:space="preserve">agricultura de conservación, agricultura orgánica, gestión integrada de plagas y otros enfoques agrícolas favorables a la diversidad biológica, así como </w:t>
      </w:r>
      <w:r w:rsidRPr="005E3D50">
        <w:rPr>
          <w:rFonts w:ascii="Aptos" w:hAnsi="Aptos"/>
          <w:color w:val="000000" w:themeColor="text1"/>
          <w:shd w:val="clear" w:color="auto" w:fill="FFFFFF"/>
          <w:lang w:val="es-ES"/>
        </w:rPr>
        <w:t>provisión de servicios de extensión y capacitación para agricultores (véanse los recuadros 30 y 31). También se han comunicado medidas relacionadas con la seguridad alimentaria y la nutrición, así como con la conservación y utilización sostenible de polinizadores y la biodiversidad de los suelos.</w:t>
      </w:r>
      <w:r w:rsidRPr="005E3D50">
        <w:rPr>
          <w:color w:val="000000" w:themeColor="text1"/>
          <w:lang w:val="es-ES"/>
        </w:rPr>
        <w:t xml:space="preserve"> En los informes nacionales </w:t>
      </w:r>
      <w:r w:rsidRPr="005E3D50">
        <w:rPr>
          <w:lang w:val="es-ES"/>
        </w:rPr>
        <w:t>se incluyen menos frecuentemente medidas dirigidas a apoyar la sostenibilidad de la acuicultura.</w:t>
      </w:r>
    </w:p>
    <w:p w14:paraId="40832D50" w14:textId="77777777" w:rsidR="009713BF" w:rsidRPr="005E3D50" w:rsidRDefault="009713BF" w:rsidP="009713BF">
      <w:pPr>
        <w:rPr>
          <w:lang w:val="es-ES"/>
        </w:rPr>
      </w:pPr>
    </w:p>
    <w:p w14:paraId="036E203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09" w:name="_Toc235821175"/>
      <w:r w:rsidRPr="005E3D50">
        <w:rPr>
          <w:rFonts w:eastAsiaTheme="majorEastAsia" w:cstheme="majorBidi"/>
          <w:i/>
          <w:iCs/>
          <w:color w:val="595959" w:themeColor="text1" w:themeTint="A6"/>
          <w:lang w:val="es-ES"/>
        </w:rPr>
        <w:t>Ejemplos de logros y progresos en la implementación</w:t>
      </w:r>
      <w:bookmarkEnd w:id="309"/>
    </w:p>
    <w:p w14:paraId="32D7BD9F"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0789808F" w14:textId="77777777" w:rsidTr="006E6831">
        <w:tc>
          <w:tcPr>
            <w:tcW w:w="9016" w:type="dxa"/>
            <w:shd w:val="clear" w:color="auto" w:fill="D1D1D1" w:themeFill="background2" w:themeFillShade="E6"/>
          </w:tcPr>
          <w:p w14:paraId="19924119" w14:textId="77777777" w:rsidR="009713BF" w:rsidRPr="005E3D50" w:rsidRDefault="009713BF" w:rsidP="009713BF">
            <w:pPr>
              <w:rPr>
                <w:lang w:val="es-ES"/>
              </w:rPr>
            </w:pPr>
          </w:p>
          <w:p w14:paraId="1AD828BC" w14:textId="77777777" w:rsidR="009713BF" w:rsidRPr="005E3D50" w:rsidRDefault="009713BF" w:rsidP="009713BF">
            <w:pPr>
              <w:rPr>
                <w:sz w:val="20"/>
                <w:szCs w:val="20"/>
                <w:lang w:val="es-ES"/>
              </w:rPr>
            </w:pPr>
            <w:r w:rsidRPr="005E3D50">
              <w:rPr>
                <w:sz w:val="20"/>
                <w:lang w:val="es-ES"/>
              </w:rPr>
              <w:t>Recuadro 30</w:t>
            </w:r>
          </w:p>
          <w:p w14:paraId="719F872A" w14:textId="77777777" w:rsidR="009713BF" w:rsidRPr="005E3D50" w:rsidRDefault="009713BF" w:rsidP="009713BF">
            <w:pPr>
              <w:rPr>
                <w:b/>
                <w:bCs/>
                <w:sz w:val="20"/>
                <w:szCs w:val="20"/>
                <w:lang w:val="es-ES"/>
              </w:rPr>
            </w:pPr>
            <w:r w:rsidRPr="005E3D50">
              <w:rPr>
                <w:b/>
                <w:sz w:val="20"/>
                <w:lang w:val="es-ES"/>
              </w:rPr>
              <w:t>Impuesto a cabezas de ganado en apoyo a la biodiversidad de las tierras de pastoreo en Mongolia</w:t>
            </w:r>
          </w:p>
          <w:p w14:paraId="1011526B" w14:textId="77777777" w:rsidR="009713BF" w:rsidRPr="005E3D50" w:rsidRDefault="009713BF" w:rsidP="009713BF">
            <w:pPr>
              <w:rPr>
                <w:lang w:val="es-ES"/>
              </w:rPr>
            </w:pPr>
          </w:p>
          <w:p w14:paraId="0393859A" w14:textId="77777777" w:rsidR="009713BF" w:rsidRPr="005E3D50" w:rsidRDefault="009713BF" w:rsidP="009713BF">
            <w:pPr>
              <w:rPr>
                <w:lang w:val="es-ES"/>
              </w:rPr>
            </w:pPr>
          </w:p>
          <w:p w14:paraId="4D79174C" w14:textId="77777777" w:rsidR="009713BF" w:rsidRPr="005E3D50" w:rsidRDefault="009713BF" w:rsidP="009713BF">
            <w:pPr>
              <w:rPr>
                <w:sz w:val="20"/>
                <w:szCs w:val="20"/>
                <w:lang w:val="es-ES"/>
              </w:rPr>
            </w:pPr>
            <w:r w:rsidRPr="005E3D50">
              <w:rPr>
                <w:sz w:val="20"/>
                <w:lang w:val="es-ES"/>
              </w:rPr>
              <w:t xml:space="preserve">Desde la década de 1990, el crecimiento descontrolado de rebaños ha provocado niveles significativos de pastoreo excesivo y degradación de praderas en los 112 millones de hectáreas de tierras de pastoreo de Mongolia, que brindan sustento a alrededor de 190.000 familias de pastores, lo que representa cerca del 20 % de la población de ese país. El sector agrícola genera más de la mitad de las emisiones de gases de efecto invernadero de Mongolia, de las cuales el 58 % son causadas por la fermentación entérica del ganado. Con el fin de garantizar la gestión sostenible de las tierras de pastoreo, en 2020 Mongolia promulgó la Ley del Impuesto a las Cabezas de Ganado, que confiere a las administraciones locales </w:t>
            </w:r>
            <w:proofErr w:type="spellStart"/>
            <w:r w:rsidRPr="005E3D50">
              <w:rPr>
                <w:i/>
                <w:sz w:val="20"/>
                <w:lang w:val="es-ES"/>
              </w:rPr>
              <w:t>soum</w:t>
            </w:r>
            <w:proofErr w:type="spellEnd"/>
            <w:r w:rsidRPr="005E3D50">
              <w:rPr>
                <w:sz w:val="20"/>
                <w:lang w:val="es-ES"/>
              </w:rPr>
              <w:t xml:space="preserve"> (gobiernos de distritos) la potestad de fijar tasas impositivas </w:t>
            </w:r>
            <w:r w:rsidRPr="005E3D50">
              <w:rPr>
                <w:sz w:val="20"/>
                <w:lang w:val="es-ES"/>
              </w:rPr>
              <w:lastRenderedPageBreak/>
              <w:t>específicas según la especie y dispone que lo recaudado se destinará a mejoras en la gestión de praderas y a políticas gubernamentales dirigidas a promover el desarrollo de la ganadería sostenible.</w:t>
            </w:r>
          </w:p>
          <w:p w14:paraId="397F9AD9" w14:textId="77777777" w:rsidR="009713BF" w:rsidRPr="005E3D50" w:rsidRDefault="009713BF" w:rsidP="009713BF">
            <w:pPr>
              <w:rPr>
                <w:sz w:val="20"/>
                <w:szCs w:val="20"/>
                <w:lang w:val="es-ES"/>
              </w:rPr>
            </w:pPr>
          </w:p>
          <w:p w14:paraId="6F64414F" w14:textId="77777777" w:rsidR="009713BF" w:rsidRPr="005E3D50" w:rsidRDefault="009713BF" w:rsidP="009713BF">
            <w:pPr>
              <w:rPr>
                <w:rFonts w:ascii="Aptos" w:hAnsi="Aptos"/>
                <w:color w:val="212121"/>
                <w:sz w:val="20"/>
                <w:szCs w:val="20"/>
                <w:lang w:val="es-ES"/>
              </w:rPr>
            </w:pPr>
            <w:r w:rsidRPr="005E3D50">
              <w:rPr>
                <w:sz w:val="20"/>
                <w:lang w:val="es-ES"/>
              </w:rPr>
              <w:t xml:space="preserve">Como resultado de la iniciativa, aumentó significativamente el cumplimiento de las obligaciones tributarias, pasando del 45,9 % en 2021 al 92,5 % en 2024, lo que refleja un fortalecimiento de los esfuerzos por hacer cumplir la normativa, así como mejoras administrativas. El número total de cabezas de ganado se redujo sensiblemente, registrándose una disminución de casi 14 % en 2023 y un porcentaje similar en 2024, en particular en los rebaños ovinos y caprinos, debido a una combinación de presiones normativas y factores de tensión ecológica. Según investigaciones realizadas, la Ley del Impuesto a las Cabezas de Ganado podría potencialmente llevar el número de cabezas de ganado a un nivel acorde con la capacidad de sustento de las tierras de pastoreo, a través de incentivos económicos que premien las reducciones en el tamaño de los rebaños y de inversión pública centrada en la gestión de praderas. </w:t>
            </w:r>
          </w:p>
          <w:p w14:paraId="742A62AA" w14:textId="77777777" w:rsidR="009713BF" w:rsidRPr="005E3D50" w:rsidRDefault="009713BF" w:rsidP="009713BF">
            <w:pPr>
              <w:rPr>
                <w:sz w:val="20"/>
                <w:szCs w:val="20"/>
                <w:lang w:val="es-ES"/>
              </w:rPr>
            </w:pPr>
          </w:p>
          <w:p w14:paraId="1918146A" w14:textId="77777777" w:rsidR="009713BF" w:rsidRPr="005E3D50" w:rsidRDefault="009713BF" w:rsidP="009713BF">
            <w:pPr>
              <w:rPr>
                <w:sz w:val="20"/>
                <w:szCs w:val="20"/>
                <w:lang w:val="es-ES"/>
              </w:rPr>
            </w:pPr>
            <w:r w:rsidRPr="005E3D50">
              <w:rPr>
                <w:sz w:val="20"/>
                <w:lang w:val="es-ES"/>
              </w:rPr>
              <w:t xml:space="preserve">Este proyecto, encabezado por el Ministerio de Alimentación, Agricultura e Industrias Livianas, en colaboración con el Ministerio de Medio Ambiente y Turismo, la Federación Nacional de Grupos de Usuarios de Praderas, las administraciones locales </w:t>
            </w:r>
            <w:proofErr w:type="spellStart"/>
            <w:r w:rsidRPr="005E3D50">
              <w:rPr>
                <w:i/>
                <w:sz w:val="20"/>
                <w:lang w:val="es-ES"/>
              </w:rPr>
              <w:t>soum</w:t>
            </w:r>
            <w:proofErr w:type="spellEnd"/>
            <w:r w:rsidRPr="005E3D50">
              <w:rPr>
                <w:sz w:val="20"/>
                <w:lang w:val="es-ES"/>
              </w:rPr>
              <w:t xml:space="preserve"> y las comunidades de pastores, combina antiguos saberes de pastoreo nómada con instrumentos fiscales modernos, desarrollando así un modelo de gestión de tierras sostenible. </w:t>
            </w:r>
          </w:p>
          <w:p w14:paraId="4BD3D556" w14:textId="77777777" w:rsidR="009713BF" w:rsidRPr="005E3D50" w:rsidRDefault="009713BF" w:rsidP="009713BF">
            <w:pPr>
              <w:rPr>
                <w:lang w:val="es-ES"/>
              </w:rPr>
            </w:pPr>
          </w:p>
          <w:p w14:paraId="18AC323D"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2, 8, 10, 11, 19 y 22.</w:t>
            </w:r>
          </w:p>
          <w:p w14:paraId="21101A84" w14:textId="77777777" w:rsidR="009713BF" w:rsidRPr="005E3D50" w:rsidRDefault="009713BF" w:rsidP="009713BF">
            <w:pPr>
              <w:rPr>
                <w:sz w:val="20"/>
                <w:szCs w:val="20"/>
                <w:lang w:val="es-ES"/>
              </w:rPr>
            </w:pPr>
            <w:r w:rsidRPr="005E3D50">
              <w:rPr>
                <w:i/>
                <w:sz w:val="20"/>
                <w:lang w:val="es-ES"/>
              </w:rPr>
              <w:t xml:space="preserve">Fuentes: </w:t>
            </w:r>
            <w:r w:rsidRPr="005E3D50">
              <w:rPr>
                <w:sz w:val="20"/>
                <w:lang w:val="es-ES"/>
              </w:rPr>
              <w:t>Mongolia, séptimo informe nacional presentado al Convenio; Enkhbayar y otros, 2025; FAO y PNUD, 2025; y Gobierno de Mongolia, 2020.</w:t>
            </w:r>
          </w:p>
          <w:p w14:paraId="01D5F0F4" w14:textId="77777777" w:rsidR="009713BF" w:rsidRPr="005E3D50" w:rsidRDefault="009713BF" w:rsidP="009713BF">
            <w:pPr>
              <w:rPr>
                <w:lang w:val="es-ES"/>
              </w:rPr>
            </w:pPr>
          </w:p>
        </w:tc>
      </w:tr>
    </w:tbl>
    <w:p w14:paraId="41159F1B" w14:textId="77777777" w:rsidR="009713BF" w:rsidRPr="005E3D50" w:rsidRDefault="009713BF" w:rsidP="009713BF">
      <w:pPr>
        <w:rPr>
          <w:lang w:val="es-ES"/>
        </w:rPr>
      </w:pPr>
    </w:p>
    <w:p w14:paraId="75859F45"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49"/>
      </w:tblGrid>
      <w:tr w:rsidR="009713BF" w:rsidRPr="005E3D50" w14:paraId="778B2D62" w14:textId="77777777" w:rsidTr="006E6831">
        <w:trPr>
          <w:trHeight w:val="356"/>
        </w:trPr>
        <w:tc>
          <w:tcPr>
            <w:tcW w:w="9049" w:type="dxa"/>
            <w:shd w:val="clear" w:color="auto" w:fill="D1D1D1" w:themeFill="background2" w:themeFillShade="E6"/>
          </w:tcPr>
          <w:p w14:paraId="223C0E22" w14:textId="77777777" w:rsidR="009713BF" w:rsidRPr="005E3D50" w:rsidRDefault="009713BF" w:rsidP="009713BF">
            <w:pPr>
              <w:keepNext/>
              <w:keepLines/>
              <w:spacing w:after="160" w:line="278" w:lineRule="auto"/>
              <w:rPr>
                <w:sz w:val="20"/>
                <w:szCs w:val="20"/>
                <w:lang w:val="es-ES"/>
              </w:rPr>
            </w:pPr>
            <w:r w:rsidRPr="005E3D50">
              <w:rPr>
                <w:sz w:val="20"/>
                <w:lang w:val="es-ES"/>
              </w:rPr>
              <w:t>Recuadro 31</w:t>
            </w:r>
          </w:p>
          <w:p w14:paraId="74F6EFC3" w14:textId="77777777" w:rsidR="009713BF" w:rsidRPr="005E3D50" w:rsidRDefault="009713BF" w:rsidP="009713BF">
            <w:pPr>
              <w:keepNext/>
              <w:keepLines/>
              <w:spacing w:after="160" w:line="278" w:lineRule="auto"/>
              <w:rPr>
                <w:sz w:val="20"/>
                <w:szCs w:val="20"/>
                <w:lang w:val="es-ES"/>
              </w:rPr>
            </w:pPr>
            <w:r w:rsidRPr="005E3D50">
              <w:rPr>
                <w:b/>
                <w:sz w:val="20"/>
                <w:lang w:val="es-ES"/>
              </w:rPr>
              <w:t xml:space="preserve">Integración de objetivos de REDD+ y agrosilvicultura en las cadenas de suministro de cacao en </w:t>
            </w:r>
            <w:proofErr w:type="spellStart"/>
            <w:r w:rsidRPr="005E3D50">
              <w:rPr>
                <w:b/>
                <w:sz w:val="20"/>
                <w:lang w:val="es-ES"/>
              </w:rPr>
              <w:t>Côte</w:t>
            </w:r>
            <w:proofErr w:type="spellEnd"/>
            <w:r w:rsidRPr="005E3D50">
              <w:rPr>
                <w:b/>
                <w:sz w:val="20"/>
                <w:lang w:val="es-ES"/>
              </w:rPr>
              <w:t xml:space="preserve"> d’Ivoire</w:t>
            </w:r>
          </w:p>
          <w:p w14:paraId="4058FBA2" w14:textId="77777777" w:rsidR="009713BF" w:rsidRPr="005E3D50" w:rsidRDefault="009713BF" w:rsidP="009713BF">
            <w:pPr>
              <w:spacing w:after="160" w:line="278" w:lineRule="auto"/>
              <w:rPr>
                <w:sz w:val="20"/>
                <w:szCs w:val="20"/>
                <w:lang w:val="es-ES"/>
              </w:rPr>
            </w:pPr>
            <w:proofErr w:type="spellStart"/>
            <w:r w:rsidRPr="005E3D50">
              <w:rPr>
                <w:sz w:val="20"/>
                <w:lang w:val="es-ES"/>
              </w:rPr>
              <w:t>Côte</w:t>
            </w:r>
            <w:proofErr w:type="spellEnd"/>
            <w:r w:rsidRPr="005E3D50">
              <w:rPr>
                <w:sz w:val="20"/>
                <w:lang w:val="es-ES"/>
              </w:rPr>
              <w:t xml:space="preserve"> d’Ivoire está poniendo en práctica una política integrada de deforestación cero que tiene los siguientes objetivos: a) reducción de las emisiones de gases de efecto invernadero en la agricultura; b) conservación de la diversidad biológica y mejora de la sostenibilidad en los sectores agrícolas y de silvicultura combatiendo la deforestación vinculada a la producción de cacao, uno de los principales impulsores de la pérdida de bosques en el país; c) mayor participación del sector privado en la sostenibilidad de estos sectores; y d) mayor seguridad en la tenencia de la tierra. El proyecto titulado “Promoción de la producción de cacao con deforestación cero para la reducción de emisiones”, cuya ejecución comenzó en 2022 y se extiende hasta 2027, con financiación del Fondo Verde para el Clima, impulsa la conversión de plantaciones de cacao convencionales degradadas a sistemas de agrosilvicultura productivos. Según lo registrado desde principios de 2026, el proyecto ha arrojado resultados significativos: más de 3.500 hectáreas de plantaciones de cacao degradadas fueron convertidas a sistemas de agrosilvicultura y más de 1.200 hectáreas de predios forestales fueron restaurados. A través del proyecto se han generado beneficios directos para más de 5.700 personas, de las cuales aproximadamente un cuarto son mujeres, y se ha brindado apoyo a tres cooperativas, entre ellas dos cooperativas de producción orgánica de cacao y una cooperativa de producción sostenible de cacao dirigida por mujeres. Se prevé que, una vez finalizado, el proyecto habrá generado una reducción de emisiones estimada en 5,5 millones de toneladas métricas de equivalente de dióxido de carbono (CO</w:t>
            </w:r>
            <w:r w:rsidRPr="005E3D50">
              <w:rPr>
                <w:sz w:val="20"/>
                <w:vertAlign w:val="subscript"/>
                <w:lang w:val="es-ES"/>
              </w:rPr>
              <w:t>2</w:t>
            </w:r>
            <w:r w:rsidRPr="005E3D50">
              <w:rPr>
                <w:sz w:val="20"/>
                <w:lang w:val="es-ES"/>
              </w:rPr>
              <w:t xml:space="preserve">e). Mediante la integración de especies arbóreas comestibles como </w:t>
            </w:r>
            <w:proofErr w:type="spellStart"/>
            <w:r w:rsidRPr="005E3D50">
              <w:rPr>
                <w:sz w:val="20"/>
                <w:lang w:val="es-ES"/>
              </w:rPr>
              <w:t>kplé</w:t>
            </w:r>
            <w:proofErr w:type="spellEnd"/>
            <w:r w:rsidRPr="005E3D50">
              <w:rPr>
                <w:sz w:val="20"/>
                <w:lang w:val="es-ES"/>
              </w:rPr>
              <w:t xml:space="preserve"> (</w:t>
            </w:r>
            <w:proofErr w:type="spellStart"/>
            <w:r w:rsidRPr="005E3D50">
              <w:rPr>
                <w:i/>
                <w:sz w:val="20"/>
                <w:lang w:val="es-ES"/>
              </w:rPr>
              <w:t>Irvingia</w:t>
            </w:r>
            <w:proofErr w:type="spellEnd"/>
            <w:r w:rsidRPr="005E3D50">
              <w:rPr>
                <w:i/>
                <w:sz w:val="20"/>
                <w:lang w:val="es-ES"/>
              </w:rPr>
              <w:t xml:space="preserve"> </w:t>
            </w:r>
            <w:proofErr w:type="spellStart"/>
            <w:r w:rsidRPr="005E3D50">
              <w:rPr>
                <w:i/>
                <w:sz w:val="20"/>
                <w:lang w:val="es-ES"/>
              </w:rPr>
              <w:t>gabonensis</w:t>
            </w:r>
            <w:proofErr w:type="spellEnd"/>
            <w:r w:rsidRPr="005E3D50">
              <w:rPr>
                <w:sz w:val="20"/>
                <w:lang w:val="es-ES"/>
              </w:rPr>
              <w:t xml:space="preserve">), </w:t>
            </w:r>
            <w:proofErr w:type="spellStart"/>
            <w:r w:rsidRPr="005E3D50">
              <w:rPr>
                <w:sz w:val="20"/>
                <w:lang w:val="es-ES"/>
              </w:rPr>
              <w:t>akpi</w:t>
            </w:r>
            <w:proofErr w:type="spellEnd"/>
            <w:r w:rsidRPr="005E3D50">
              <w:rPr>
                <w:sz w:val="20"/>
                <w:lang w:val="es-ES"/>
              </w:rPr>
              <w:t xml:space="preserve"> (</w:t>
            </w:r>
            <w:proofErr w:type="spellStart"/>
            <w:r w:rsidRPr="005E3D50">
              <w:rPr>
                <w:i/>
                <w:iCs/>
                <w:sz w:val="20"/>
                <w:lang w:val="es-ES"/>
              </w:rPr>
              <w:t>Ricinodendron</w:t>
            </w:r>
            <w:proofErr w:type="spellEnd"/>
            <w:r w:rsidRPr="005E3D50">
              <w:rPr>
                <w:i/>
                <w:iCs/>
                <w:sz w:val="20"/>
                <w:lang w:val="es-ES"/>
              </w:rPr>
              <w:t xml:space="preserve"> </w:t>
            </w:r>
            <w:proofErr w:type="spellStart"/>
            <w:r w:rsidRPr="005E3D50">
              <w:rPr>
                <w:i/>
                <w:iCs/>
                <w:sz w:val="20"/>
                <w:lang w:val="es-ES"/>
              </w:rPr>
              <w:t>heudelotii</w:t>
            </w:r>
            <w:proofErr w:type="spellEnd"/>
            <w:r w:rsidRPr="005E3D50">
              <w:rPr>
                <w:sz w:val="20"/>
                <w:lang w:val="es-ES"/>
              </w:rPr>
              <w:t xml:space="preserve">) y </w:t>
            </w:r>
            <w:proofErr w:type="spellStart"/>
            <w:r w:rsidRPr="005E3D50">
              <w:rPr>
                <w:sz w:val="20"/>
                <w:lang w:val="es-ES"/>
              </w:rPr>
              <w:t>petit</w:t>
            </w:r>
            <w:proofErr w:type="spellEnd"/>
            <w:r w:rsidRPr="005E3D50">
              <w:rPr>
                <w:sz w:val="20"/>
                <w:lang w:val="es-ES"/>
              </w:rPr>
              <w:t xml:space="preserve"> cola (</w:t>
            </w:r>
            <w:proofErr w:type="spellStart"/>
            <w:r w:rsidRPr="005E3D50">
              <w:rPr>
                <w:i/>
                <w:sz w:val="20"/>
                <w:lang w:val="es-ES"/>
              </w:rPr>
              <w:t>Garcinia</w:t>
            </w:r>
            <w:proofErr w:type="spellEnd"/>
            <w:r w:rsidRPr="005E3D50">
              <w:rPr>
                <w:i/>
                <w:sz w:val="20"/>
                <w:lang w:val="es-ES"/>
              </w:rPr>
              <w:t xml:space="preserve"> </w:t>
            </w:r>
            <w:proofErr w:type="spellStart"/>
            <w:r w:rsidRPr="005E3D50">
              <w:rPr>
                <w:i/>
                <w:sz w:val="20"/>
                <w:lang w:val="es-ES"/>
              </w:rPr>
              <w:t>kola</w:t>
            </w:r>
            <w:proofErr w:type="spellEnd"/>
            <w:r w:rsidRPr="005E3D50">
              <w:rPr>
                <w:sz w:val="20"/>
                <w:lang w:val="es-ES"/>
              </w:rPr>
              <w:t>), junto con especies arbóreas locales dentro de plantaciones de cacao, este enfoque promueve la biodiversidad, mejora la fertilidad de los suelos y proporciona a los agricultores fuentes adicionales de ingresos, a la vez que fortalece la seguridad alimentaria. El proyecto también apoya la seguridad en la tenencia de la tierra al facilitar el acceso a certificados de propiedad de la tierra, que sirven como garantías para inversiones sostenibles.</w:t>
            </w:r>
          </w:p>
          <w:p w14:paraId="30BA4FFE" w14:textId="77777777" w:rsidR="009713BF" w:rsidRPr="005E3D50" w:rsidRDefault="009713BF" w:rsidP="009713BF">
            <w:pPr>
              <w:rPr>
                <w:sz w:val="20"/>
                <w:szCs w:val="20"/>
                <w:lang w:val="es-ES"/>
              </w:rPr>
            </w:pPr>
            <w:r w:rsidRPr="005E3D50">
              <w:rPr>
                <w:sz w:val="20"/>
                <w:lang w:val="es-ES"/>
              </w:rPr>
              <w:t>Dirigido por el Ministerio de Medio Ambiente y Transición Ecológica, el proyecto demuestra que es posible armonizar objetivos de las cadenas de valor agrícolas con objetivos de REDD+, combinando producción económica, conservación forestal y mejora de la biodiversidad.</w:t>
            </w:r>
          </w:p>
          <w:p w14:paraId="769B8A74" w14:textId="77777777" w:rsidR="009713BF" w:rsidRPr="005E3D50" w:rsidRDefault="009713BF" w:rsidP="009713BF">
            <w:pPr>
              <w:rPr>
                <w:i/>
                <w:iCs/>
                <w:sz w:val="20"/>
                <w:szCs w:val="20"/>
                <w:lang w:val="es-ES"/>
              </w:rPr>
            </w:pPr>
          </w:p>
          <w:p w14:paraId="481B7369" w14:textId="77777777" w:rsidR="009713BF" w:rsidRPr="005E3D50" w:rsidRDefault="009713BF" w:rsidP="009713BF">
            <w:pPr>
              <w:rPr>
                <w:sz w:val="20"/>
                <w:szCs w:val="20"/>
                <w:lang w:val="es-ES"/>
              </w:rPr>
            </w:pPr>
            <w:r w:rsidRPr="005E3D50">
              <w:rPr>
                <w:i/>
                <w:sz w:val="20"/>
                <w:lang w:val="es-ES"/>
              </w:rPr>
              <w:t>Metas pertinentes:</w:t>
            </w:r>
            <w:r w:rsidRPr="005E3D50">
              <w:rPr>
                <w:sz w:val="20"/>
                <w:lang w:val="es-ES"/>
              </w:rPr>
              <w:t xml:space="preserve"> 2, 8, 9, 10, 22 y 23.</w:t>
            </w:r>
          </w:p>
          <w:p w14:paraId="602752F1" w14:textId="77777777" w:rsidR="009713BF" w:rsidRPr="005E3D50" w:rsidRDefault="009713BF" w:rsidP="009713BF">
            <w:pPr>
              <w:rPr>
                <w:sz w:val="20"/>
                <w:szCs w:val="20"/>
                <w:lang w:val="es-ES"/>
              </w:rPr>
            </w:pPr>
            <w:r w:rsidRPr="005E3D50">
              <w:rPr>
                <w:i/>
                <w:sz w:val="20"/>
                <w:lang w:val="es-ES"/>
              </w:rPr>
              <w:t xml:space="preserve">Fuente: </w:t>
            </w:r>
            <w:proofErr w:type="spellStart"/>
            <w:r w:rsidRPr="005E3D50">
              <w:rPr>
                <w:sz w:val="20"/>
                <w:lang w:val="es-ES"/>
              </w:rPr>
              <w:t>Côte</w:t>
            </w:r>
            <w:proofErr w:type="spellEnd"/>
            <w:r w:rsidRPr="005E3D50">
              <w:rPr>
                <w:sz w:val="20"/>
                <w:lang w:val="es-ES"/>
              </w:rPr>
              <w:t xml:space="preserve"> d’Ivoire, séptimo informe nacional presentado al Convenio.</w:t>
            </w:r>
          </w:p>
          <w:p w14:paraId="5FA5D28C" w14:textId="77777777" w:rsidR="009713BF" w:rsidRPr="005E3D50" w:rsidRDefault="009713BF" w:rsidP="009713BF">
            <w:pPr>
              <w:rPr>
                <w:lang w:val="es-ES"/>
              </w:rPr>
            </w:pPr>
          </w:p>
        </w:tc>
      </w:tr>
    </w:tbl>
    <w:p w14:paraId="3158F15A" w14:textId="77777777" w:rsidR="009713BF" w:rsidRPr="005E3D50" w:rsidRDefault="009713BF" w:rsidP="009713BF">
      <w:pPr>
        <w:rPr>
          <w:lang w:val="es-ES"/>
        </w:rPr>
      </w:pPr>
    </w:p>
    <w:p w14:paraId="3C2FE123"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10" w:name="_Toc235821176"/>
      <w:r w:rsidRPr="005E3D50">
        <w:rPr>
          <w:rFonts w:eastAsiaTheme="majorEastAsia" w:cstheme="majorBidi"/>
          <w:i/>
          <w:iCs/>
          <w:color w:val="595959" w:themeColor="text1" w:themeTint="A6"/>
          <w:lang w:val="es-ES"/>
        </w:rPr>
        <w:t>Dificultades</w:t>
      </w:r>
      <w:bookmarkEnd w:id="310"/>
    </w:p>
    <w:p w14:paraId="13DCD495" w14:textId="77777777" w:rsidR="009713BF" w:rsidRPr="005E3D50" w:rsidRDefault="009713BF" w:rsidP="009713BF">
      <w:pPr>
        <w:rPr>
          <w:lang w:val="es-ES"/>
        </w:rPr>
      </w:pPr>
    </w:p>
    <w:p w14:paraId="19D41BF1" w14:textId="77777777" w:rsidR="009713BF" w:rsidRPr="005E3D50" w:rsidRDefault="009713BF" w:rsidP="009713BF">
      <w:pPr>
        <w:rPr>
          <w:rFonts w:ascii="Aptos" w:eastAsia="Aptos" w:hAnsi="Aptos" w:cs="Aptos"/>
          <w:lang w:val="es-ES"/>
        </w:rPr>
      </w:pPr>
      <w:r w:rsidRPr="005E3D50">
        <w:rPr>
          <w:lang w:val="es-ES"/>
        </w:rPr>
        <w:t xml:space="preserve">En sus informes nacionales, varias Partes reconocen que, si bien tienen programas de sostenibilidad, también persisten subsidios perjudiciales, lo que supone una barrera importante a la consecución de la meta 10. Unas pocas Partes informan que las </w:t>
      </w:r>
      <w:r w:rsidRPr="005E3D50">
        <w:rPr>
          <w:lang w:val="es-ES"/>
        </w:rPr>
        <w:lastRenderedPageBreak/>
        <w:t xml:space="preserve">estructuras de incentivos económicos actuales, incluidos subsidios y sistemas de fijación de precios de mercado, no siempre apoyan la transición hacia prácticas de producción favorables a la diversidad biológica. Esto estaría indicando cierta dependencia de los progresos en la consecución de la meta 18. Las Partes </w:t>
      </w:r>
      <w:r w:rsidRPr="005E3D50">
        <w:rPr>
          <w:rFonts w:ascii="Aptos" w:hAnsi="Aptos"/>
          <w:lang w:val="es-ES"/>
        </w:rPr>
        <w:t xml:space="preserve">carecen de presupuesto para aumentar las prácticas sostenibles, hacer un seguimiento del cumplimiento o apoyar a comunidades para que puedan abandonar métodos perjudiciales. En varias Partes, la debilidad en la capacidad de hacer cumplir la normativa y las lagunas en materia de gobernanza continúan socavando la gestión sostenible de la pesca y los bosques. </w:t>
      </w:r>
      <w:r w:rsidRPr="005E3D50">
        <w:rPr>
          <w:lang w:val="es-ES"/>
        </w:rPr>
        <w:t>Muchas Partes informan que los sistemas de seguimiento para iniciativas de producción sostenibles son muy recientes, están vinculados a proyectos o aún se están elaborando. Varias Partes señalan que, aun cuando se han adoptado marcos de políticas extensos, no siempre se ven resultados positivos en términos de mejoras en las condiciones de los hábitats y las poblaciones de especies. Limitaciones en la capacidad de los pequeños propietarios y de las comunidades se mencionan como barreras a la participación en esquemas de certificación e incentivos agroecológicos. Los impactos en la productividad que tienen impulsores tales como el cambio climático y las especies exóticas invasoras se resaltan como desafíos a los esfuerzos de producción sostenible en el contexto de la meta 10.</w:t>
      </w:r>
    </w:p>
    <w:p w14:paraId="7940AEC9" w14:textId="77777777" w:rsidR="009713BF" w:rsidRPr="005E3D50" w:rsidRDefault="009713BF" w:rsidP="009713BF">
      <w:pPr>
        <w:rPr>
          <w:lang w:val="es-ES"/>
        </w:rPr>
      </w:pPr>
    </w:p>
    <w:p w14:paraId="417E44B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11" w:name="_Toc235821177"/>
      <w:r w:rsidRPr="005E3D50">
        <w:rPr>
          <w:rFonts w:eastAsiaTheme="majorEastAsia" w:cstheme="majorBidi"/>
          <w:color w:val="0F4761" w:themeColor="accent1" w:themeShade="BF"/>
          <w:lang w:val="es-ES"/>
        </w:rPr>
        <w:t>Contribuciones de actores distintos de los Gobiernos nacionales</w:t>
      </w:r>
      <w:bookmarkEnd w:id="311"/>
    </w:p>
    <w:p w14:paraId="241FD9E8"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12" w:name="_Toc235821178"/>
    </w:p>
    <w:p w14:paraId="74F76B8D"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312"/>
    </w:p>
    <w:p w14:paraId="52E5EAFF" w14:textId="77777777" w:rsidR="009713BF" w:rsidRPr="005E3D50" w:rsidRDefault="009713BF" w:rsidP="009713BF">
      <w:pPr>
        <w:rPr>
          <w:lang w:val="es-ES"/>
        </w:rPr>
      </w:pPr>
    </w:p>
    <w:p w14:paraId="59750C55" w14:textId="77777777" w:rsidR="009713BF" w:rsidRPr="005E3D50" w:rsidRDefault="009713BF" w:rsidP="009713BF">
      <w:pPr>
        <w:rPr>
          <w:spacing w:val="-2"/>
          <w:lang w:val="es-ES"/>
        </w:rPr>
      </w:pPr>
      <w:r w:rsidRPr="005E3D50">
        <w:rPr>
          <w:spacing w:val="-2"/>
          <w:lang w:val="es-ES"/>
        </w:rPr>
        <w:t>De los 180 compromisos sustantivos presentados por actores que no son Gobiernos nacionales, solo 9 tienen que ver principalmente con la meta 10. Cuatro de los compromisos son de ONG, tres del sector empresarial o industrial, uno de una organización de investigación y uno de un organismo de las Naciones Unidas, a saber, la Estrategia de la FAO para la integración de la biodiversidad en los distintos sectores agrícolas y su Plan de acción. Los compromisos se centran mayoritariamente en la integración de la biodiversidad en políticas sostenibles para la agricultura, la pesca y la silvicultura, y en cadenas de valor empresariales (véase el recuadro 32). La cobertura geográfica de los compromisos abarca Europa, África, Asia y América Latina y el Caribe.</w:t>
      </w:r>
    </w:p>
    <w:p w14:paraId="7A66EE98"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5A3EAB33" w14:textId="77777777" w:rsidTr="006E6831">
        <w:tc>
          <w:tcPr>
            <w:tcW w:w="9016" w:type="dxa"/>
            <w:shd w:val="clear" w:color="auto" w:fill="E8E8E8" w:themeFill="background2"/>
          </w:tcPr>
          <w:p w14:paraId="59DC35A1" w14:textId="77777777" w:rsidR="009713BF" w:rsidRPr="005E3D50" w:rsidRDefault="009713BF" w:rsidP="009713BF">
            <w:pPr>
              <w:rPr>
                <w:i/>
                <w:iCs/>
                <w:lang w:val="es-ES"/>
              </w:rPr>
            </w:pPr>
          </w:p>
          <w:p w14:paraId="7002376E" w14:textId="77777777" w:rsidR="009713BF" w:rsidRPr="005E3D50" w:rsidRDefault="009713BF" w:rsidP="009713BF">
            <w:pPr>
              <w:rPr>
                <w:sz w:val="20"/>
                <w:szCs w:val="20"/>
                <w:lang w:val="es-ES"/>
              </w:rPr>
            </w:pPr>
            <w:r w:rsidRPr="005E3D50">
              <w:rPr>
                <w:sz w:val="20"/>
                <w:lang w:val="es-ES"/>
              </w:rPr>
              <w:t>Recuadro 32</w:t>
            </w:r>
          </w:p>
          <w:p w14:paraId="20155DEA" w14:textId="77777777" w:rsidR="009713BF" w:rsidRPr="005E3D50" w:rsidRDefault="009713BF" w:rsidP="009713BF">
            <w:pPr>
              <w:rPr>
                <w:b/>
                <w:bCs/>
                <w:i/>
                <w:iCs/>
                <w:sz w:val="20"/>
                <w:szCs w:val="20"/>
                <w:lang w:val="es-ES"/>
              </w:rPr>
            </w:pPr>
            <w:proofErr w:type="spellStart"/>
            <w:r w:rsidRPr="005E3D50">
              <w:rPr>
                <w:b/>
                <w:sz w:val="20"/>
                <w:lang w:val="es-ES"/>
              </w:rPr>
              <w:lastRenderedPageBreak/>
              <w:t>OroVerde</w:t>
            </w:r>
            <w:proofErr w:type="spellEnd"/>
            <w:r w:rsidRPr="005E3D50">
              <w:rPr>
                <w:b/>
                <w:sz w:val="20"/>
                <w:lang w:val="es-ES"/>
              </w:rPr>
              <w:t xml:space="preserve"> </w:t>
            </w:r>
            <w:proofErr w:type="spellStart"/>
            <w:r w:rsidRPr="005E3D50">
              <w:rPr>
                <w:b/>
                <w:sz w:val="20"/>
                <w:lang w:val="es-ES"/>
              </w:rPr>
              <w:t>BioFinCas</w:t>
            </w:r>
            <w:proofErr w:type="spellEnd"/>
            <w:r w:rsidRPr="005E3D50">
              <w:rPr>
                <w:b/>
                <w:sz w:val="20"/>
                <w:lang w:val="es-ES"/>
              </w:rPr>
              <w:t>: promoción de la agricultura favorable a la diversidad biológica y resiliente al clima en Guatemala, México y la República Dominicana</w:t>
            </w:r>
          </w:p>
          <w:p w14:paraId="6EC0A3A9" w14:textId="77777777" w:rsidR="009713BF" w:rsidRPr="005E3D50" w:rsidRDefault="009713BF" w:rsidP="009713BF">
            <w:pPr>
              <w:rPr>
                <w:lang w:val="es-ES"/>
              </w:rPr>
            </w:pPr>
          </w:p>
          <w:p w14:paraId="6F537970" w14:textId="77777777" w:rsidR="009713BF" w:rsidRPr="005E3D50" w:rsidRDefault="009713BF" w:rsidP="009713BF">
            <w:pPr>
              <w:rPr>
                <w:rFonts w:ascii="Aptos" w:eastAsia="Aptos" w:hAnsi="Aptos" w:cs="Aptos"/>
                <w:sz w:val="20"/>
                <w:szCs w:val="20"/>
                <w:lang w:val="es-ES"/>
              </w:rPr>
            </w:pPr>
            <w:r w:rsidRPr="005E3D50">
              <w:rPr>
                <w:rFonts w:ascii="Aptos" w:hAnsi="Aptos"/>
                <w:sz w:val="20"/>
                <w:lang w:val="es-ES"/>
              </w:rPr>
              <w:t xml:space="preserve">El proyecto </w:t>
            </w:r>
            <w:proofErr w:type="spellStart"/>
            <w:r w:rsidRPr="005E3D50">
              <w:rPr>
                <w:rFonts w:ascii="Aptos" w:hAnsi="Aptos"/>
                <w:sz w:val="20"/>
                <w:lang w:val="es-ES"/>
              </w:rPr>
              <w:t>BioFinCas</w:t>
            </w:r>
            <w:proofErr w:type="spellEnd"/>
            <w:r w:rsidRPr="005E3D50">
              <w:rPr>
                <w:rFonts w:ascii="Aptos" w:hAnsi="Aptos"/>
                <w:sz w:val="20"/>
                <w:lang w:val="es-ES"/>
              </w:rPr>
              <w:t xml:space="preserve">, dirigido por la ONG </w:t>
            </w:r>
            <w:proofErr w:type="spellStart"/>
            <w:r w:rsidRPr="005E3D50">
              <w:rPr>
                <w:rFonts w:ascii="Aptos" w:hAnsi="Aptos"/>
                <w:sz w:val="20"/>
                <w:lang w:val="es-ES"/>
              </w:rPr>
              <w:t>OroVerde</w:t>
            </w:r>
            <w:proofErr w:type="spellEnd"/>
            <w:r w:rsidRPr="005E3D50">
              <w:rPr>
                <w:rFonts w:ascii="Aptos" w:hAnsi="Aptos"/>
                <w:sz w:val="20"/>
                <w:lang w:val="es-ES"/>
              </w:rPr>
              <w:t xml:space="preserve">, cuya sede está en Alemania, aborda los costos en materia de diversidad biológica y clima que tiene la producción mundial de café, banano y cacao. El proyecto se extiende de julio de 2022 a julio de 2031 y es financiado con una subvención de la Iniciativa Internacional para el Clima. Parte del reconocimiento de que la producción barata a granel de estas mercancías impulsa los monocultivos, la dependencia de agroquímicos y la deforestación, a la vez que supone una carga financiera y de riesgo climático desproporcionada para los pequeños y medianos productores. Los asociados del proyecto </w:t>
            </w:r>
            <w:proofErr w:type="spellStart"/>
            <w:r w:rsidRPr="005E3D50">
              <w:rPr>
                <w:rFonts w:ascii="Aptos" w:hAnsi="Aptos"/>
                <w:sz w:val="20"/>
                <w:lang w:val="es-ES"/>
              </w:rPr>
              <w:t>BioFinCas</w:t>
            </w:r>
            <w:proofErr w:type="spellEnd"/>
            <w:r w:rsidRPr="005E3D50">
              <w:rPr>
                <w:rFonts w:ascii="Aptos" w:hAnsi="Aptos"/>
                <w:sz w:val="20"/>
                <w:lang w:val="es-ES"/>
              </w:rPr>
              <w:t xml:space="preserve"> </w:t>
            </w:r>
            <w:r w:rsidRPr="005E3D50">
              <w:rPr>
                <w:sz w:val="20"/>
                <w:lang w:val="es-ES"/>
              </w:rPr>
              <w:t xml:space="preserve">en Guatemala, </w:t>
            </w:r>
            <w:r w:rsidRPr="005E3D50">
              <w:rPr>
                <w:rFonts w:ascii="Aptos" w:hAnsi="Aptos"/>
                <w:sz w:val="20"/>
                <w:lang w:val="es-ES"/>
              </w:rPr>
              <w:t xml:space="preserve">México y la República Dominicana colaboran con organizaciones que nuclean a productores, así como con instituciones financieras, compañías aseguradoras, encargados de la formulación de políticas y asociados de la sociedad civil, para desarrollar instrumentos de riesgo financiero ampliables, fortalecer las capacidades de los productores y contribuir con recomendaciones a diálogos nacionales e internacionales de políticas. Los asociados de </w:t>
            </w:r>
            <w:proofErr w:type="spellStart"/>
            <w:r w:rsidRPr="005E3D50">
              <w:rPr>
                <w:rFonts w:ascii="Aptos" w:hAnsi="Aptos"/>
                <w:sz w:val="20"/>
                <w:lang w:val="es-ES"/>
              </w:rPr>
              <w:t>BioFinCas</w:t>
            </w:r>
            <w:proofErr w:type="spellEnd"/>
            <w:r w:rsidRPr="005E3D50">
              <w:rPr>
                <w:rFonts w:ascii="Aptos" w:hAnsi="Aptos"/>
                <w:sz w:val="20"/>
                <w:lang w:val="es-ES"/>
              </w:rPr>
              <w:t xml:space="preserve"> también realizan campañas de sensibilización y sobre pautas de consumo en la Unión Europea con el fin de influenciar la demanda hacia productos favorables a la diversidad biológica. Los progresos se evalúan midiendo la proporción de superficie agrícola sujeta a gestión productiva y sostenible (indicador de cabecera 10.1) y el ingreso promedio de los pequeños productores de alimentos desglosados por sexo y condición indígena (indicador de componente 10.CT.1), lo que refleja el fuerte enfoque del proyecto en cuestiones de género y equidad.</w:t>
            </w:r>
          </w:p>
          <w:p w14:paraId="70669F04" w14:textId="77777777" w:rsidR="009713BF" w:rsidRPr="005E3D50" w:rsidRDefault="009713BF" w:rsidP="009713BF">
            <w:pPr>
              <w:rPr>
                <w:rFonts w:ascii="Aptos" w:eastAsia="Aptos" w:hAnsi="Aptos" w:cs="Aptos"/>
                <w:lang w:val="es-ES"/>
              </w:rPr>
            </w:pPr>
          </w:p>
          <w:p w14:paraId="2BEF5ADC" w14:textId="77777777" w:rsidR="009713BF" w:rsidRPr="005E3D50" w:rsidRDefault="009713BF" w:rsidP="009713BF">
            <w:pPr>
              <w:rPr>
                <w:rFonts w:ascii="Aptos" w:eastAsia="Aptos" w:hAnsi="Aptos" w:cs="Aptos"/>
                <w:sz w:val="20"/>
                <w:szCs w:val="20"/>
                <w:lang w:val="es-ES"/>
              </w:rPr>
            </w:pPr>
            <w:r w:rsidRPr="005E3D50">
              <w:rPr>
                <w:rFonts w:ascii="Aptos" w:hAnsi="Aptos"/>
                <w:i/>
                <w:sz w:val="20"/>
                <w:lang w:val="es-ES"/>
              </w:rPr>
              <w:t>Metas pertinentes:</w:t>
            </w:r>
            <w:r w:rsidRPr="005E3D50">
              <w:rPr>
                <w:rFonts w:ascii="Aptos" w:hAnsi="Aptos"/>
                <w:sz w:val="20"/>
                <w:lang w:val="es-ES"/>
              </w:rPr>
              <w:t xml:space="preserve"> 10, 19, 20 y 23.</w:t>
            </w:r>
          </w:p>
          <w:p w14:paraId="187D6DE2" w14:textId="77777777" w:rsidR="009713BF" w:rsidRPr="005E3D50" w:rsidRDefault="009713BF" w:rsidP="009713BF">
            <w:pPr>
              <w:rPr>
                <w:rFonts w:eastAsiaTheme="minorEastAsia"/>
                <w:kern w:val="0"/>
                <w:sz w:val="20"/>
                <w:szCs w:val="20"/>
                <w:lang w:val="es-ES" w:eastAsia="ja-JP"/>
                <w14:ligatures w14:val="none"/>
              </w:rPr>
            </w:pPr>
            <w:r w:rsidRPr="005E3D50">
              <w:rPr>
                <w:rFonts w:ascii="Aptos" w:eastAsiaTheme="minorEastAsia" w:hAnsi="Aptos"/>
                <w:i/>
                <w:kern w:val="0"/>
                <w:sz w:val="20"/>
                <w:szCs w:val="20"/>
                <w:lang w:val="es-ES" w:eastAsia="ja-JP"/>
                <w14:ligatures w14:val="none"/>
              </w:rPr>
              <w:t>Fuente:</w:t>
            </w:r>
            <w:r w:rsidRPr="005E3D50">
              <w:rPr>
                <w:rFonts w:ascii="Aptos" w:eastAsiaTheme="minorEastAsia" w:hAnsi="Aptos"/>
                <w:kern w:val="0"/>
                <w:sz w:val="20"/>
                <w:szCs w:val="20"/>
                <w:lang w:val="es-ES" w:eastAsia="ja-JP"/>
                <w14:ligatures w14:val="none"/>
              </w:rPr>
              <w:t xml:space="preserve"> </w:t>
            </w:r>
            <w:proofErr w:type="spellStart"/>
            <w:r w:rsidRPr="005E3D50">
              <w:rPr>
                <w:rFonts w:ascii="Aptos" w:eastAsiaTheme="minorEastAsia" w:hAnsi="Aptos"/>
                <w:kern w:val="0"/>
                <w:sz w:val="20"/>
                <w:szCs w:val="20"/>
                <w:lang w:val="es-ES" w:eastAsia="ja-JP"/>
                <w14:ligatures w14:val="none"/>
              </w:rPr>
              <w:t>OroVerde</w:t>
            </w:r>
            <w:proofErr w:type="spellEnd"/>
            <w:r w:rsidRPr="005E3D50">
              <w:rPr>
                <w:rFonts w:ascii="Aptos" w:eastAsiaTheme="minorEastAsia" w:hAnsi="Aptos"/>
                <w:kern w:val="0"/>
                <w:sz w:val="20"/>
                <w:szCs w:val="20"/>
                <w:lang w:val="es-ES" w:eastAsia="ja-JP"/>
                <w14:ligatures w14:val="none"/>
              </w:rPr>
              <w:t xml:space="preserve">, compromiso de interesados </w:t>
            </w:r>
            <w:r w:rsidRPr="005E3D50">
              <w:rPr>
                <w:rFonts w:eastAsiaTheme="minorEastAsia"/>
                <w:kern w:val="0"/>
                <w:sz w:val="20"/>
                <w:szCs w:val="20"/>
                <w:lang w:val="es-ES" w:eastAsia="ja-JP"/>
                <w14:ligatures w14:val="none"/>
              </w:rPr>
              <w:t xml:space="preserve">(véase </w:t>
            </w:r>
            <w:hyperlink r:id="rId129">
              <w:r w:rsidRPr="005E3D50">
                <w:rPr>
                  <w:rFonts w:eastAsiaTheme="minorEastAsia"/>
                  <w:color w:val="000000" w:themeColor="text1"/>
                  <w:kern w:val="0"/>
                  <w:sz w:val="20"/>
                  <w:szCs w:val="20"/>
                  <w:lang w:val="es-ES" w:eastAsia="ja-JP"/>
                  <w14:ligatures w14:val="none"/>
                </w:rPr>
                <w:t>https://ort.cbd.int/es/database/293339</w:t>
              </w:r>
            </w:hyperlink>
            <w:r w:rsidRPr="005E3D50">
              <w:rPr>
                <w:rFonts w:ascii="Aptos" w:eastAsiaTheme="minorEastAsia" w:hAnsi="Aptos"/>
                <w:kern w:val="0"/>
                <w:sz w:val="20"/>
                <w:szCs w:val="20"/>
                <w:lang w:val="es-ES" w:eastAsia="ja-JP"/>
                <w14:ligatures w14:val="none"/>
              </w:rPr>
              <w:t>).</w:t>
            </w:r>
          </w:p>
          <w:p w14:paraId="1EED4747" w14:textId="77777777" w:rsidR="009713BF" w:rsidRPr="005E3D50" w:rsidRDefault="009713BF" w:rsidP="009713BF">
            <w:pPr>
              <w:rPr>
                <w:rFonts w:ascii="Aptos" w:eastAsia="Aptos" w:hAnsi="Aptos" w:cs="Aptos"/>
                <w:sz w:val="20"/>
                <w:szCs w:val="20"/>
                <w:lang w:val="es-ES"/>
              </w:rPr>
            </w:pPr>
          </w:p>
          <w:p w14:paraId="0FD42FE9" w14:textId="77777777" w:rsidR="009713BF" w:rsidRPr="005E3D50" w:rsidRDefault="009713BF" w:rsidP="009713BF">
            <w:pPr>
              <w:rPr>
                <w:lang w:val="es-ES"/>
              </w:rPr>
            </w:pPr>
          </w:p>
        </w:tc>
      </w:tr>
    </w:tbl>
    <w:p w14:paraId="313AAE27" w14:textId="77777777" w:rsidR="009713BF" w:rsidRPr="005E3D50" w:rsidRDefault="009713BF" w:rsidP="009713BF">
      <w:pPr>
        <w:rPr>
          <w:lang w:val="es-ES"/>
        </w:rPr>
      </w:pPr>
      <w:r w:rsidRPr="005E3D50">
        <w:rPr>
          <w:lang w:val="es-ES"/>
        </w:rPr>
        <w:lastRenderedPageBreak/>
        <w:t xml:space="preserve"> </w:t>
      </w:r>
    </w:p>
    <w:p w14:paraId="3337D3D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13" w:name="_Toc235821179"/>
      <w:r w:rsidRPr="005E3D50">
        <w:rPr>
          <w:rFonts w:eastAsiaTheme="majorEastAsia" w:cstheme="majorBidi"/>
          <w:i/>
          <w:iCs/>
          <w:color w:val="595959" w:themeColor="text1" w:themeTint="A6"/>
          <w:lang w:val="es-ES"/>
        </w:rPr>
        <w:t>Contribuciones integradas en los informes nacionales</w:t>
      </w:r>
      <w:bookmarkEnd w:id="313"/>
    </w:p>
    <w:p w14:paraId="7FC7292F" w14:textId="77777777" w:rsidR="009713BF" w:rsidRPr="005E3D50" w:rsidRDefault="009713BF" w:rsidP="009713BF">
      <w:pPr>
        <w:rPr>
          <w:lang w:val="es-ES"/>
        </w:rPr>
      </w:pPr>
    </w:p>
    <w:p w14:paraId="1683EBDC" w14:textId="77777777" w:rsidR="009713BF" w:rsidRPr="005E3D50" w:rsidRDefault="009713BF" w:rsidP="009713BF">
      <w:pPr>
        <w:rPr>
          <w:lang w:val="es-ES"/>
        </w:rPr>
      </w:pPr>
      <w:r w:rsidRPr="005E3D50">
        <w:rPr>
          <w:lang w:val="es-ES"/>
        </w:rPr>
        <w:t xml:space="preserve">Los grupos que las Partes más informan que contribuyen a la consecución de la meta 10 son agricultores, pescadores, silvicultores, pastores, acuicultores y otros actores sectoriales. Estos actores, así como los pueblos indígenas y las comunidades locales y los gobiernos subnacionales, suelen tener potestad reconocida formal o legalmente sobre los recursos naturales y por lo tanto cumplen funciones importantes en términos de garantizar que las superficies productivas se gestionen de manera sostenible. En los informes nacionales se menciona constantemente a los actores empresariales en relación con la consecución de la meta 10, con referencias a su participación en esquemas de certificación y en la gobernanza de las cadenas de suministro. También se resalta con frecuencia la importancia decisiva de las mujeres, señalándose que ya participan o bien que se considera importante fortalecer su participación. </w:t>
      </w:r>
    </w:p>
    <w:p w14:paraId="5DFC0D1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298F3813"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14" w:name="_Toc235821180"/>
      <w:r w:rsidRPr="005E3D50">
        <w:rPr>
          <w:rFonts w:eastAsiaTheme="majorEastAsia" w:cstheme="majorBidi"/>
          <w:color w:val="0F4761" w:themeColor="accent1" w:themeShade="BF"/>
          <w:lang w:val="es-ES"/>
        </w:rPr>
        <w:t>Ejemplos de vínculos con otros acuerdos, procesos y organizaciones</w:t>
      </w:r>
      <w:bookmarkEnd w:id="314"/>
    </w:p>
    <w:p w14:paraId="7666E905" w14:textId="77777777" w:rsidR="009713BF" w:rsidRPr="005E3D50" w:rsidRDefault="009713BF" w:rsidP="009713BF">
      <w:pPr>
        <w:rPr>
          <w:rFonts w:eastAsia="Times New Roman" w:cs="Times New Roman"/>
          <w:lang w:val="es-ES"/>
        </w:rPr>
      </w:pPr>
    </w:p>
    <w:p w14:paraId="650666E4" w14:textId="77777777" w:rsidR="009713BF" w:rsidRPr="005E3D50" w:rsidRDefault="009713BF" w:rsidP="009713BF">
      <w:pPr>
        <w:rPr>
          <w:rFonts w:eastAsia="Times New Roman" w:cs="Times New Roman"/>
          <w:lang w:val="es-ES"/>
        </w:rPr>
      </w:pPr>
      <w:r w:rsidRPr="005E3D50">
        <w:rPr>
          <w:lang w:val="es-ES"/>
        </w:rPr>
        <w:lastRenderedPageBreak/>
        <w:t>A través de una serie de decisiones, la Conferencia de las Partes en la CLD se ha comprometido a cooperar con otros organismos internacionales en la promoción de prácticas agrícolas sostenibles, contribuyendo así a la meta 10 del Marco. La CLD trabaja junto a la FAO en la elaboración de orientaciones que promueven la utilización sostenible y la gobernanza responsable de la tierra a fin de prevenir y revertir la degradación de tierras y suelos agrícolas, y en la promoción de sistemas de cosecha y cultivos sostenibles y diversificados que mejoren la seguridad alimentaria y la nutrición, en el contexto del cambio climático y la degradación ambiental. Ambas organizaciones también están estudiando la posibilidad de colaborar en la maximización de sinergias entre la meta 10 y el indicador 15.3.1 de los ODS referido a tierras degradadas (CLD, 2024a, 2024b y 2025).</w:t>
      </w:r>
    </w:p>
    <w:p w14:paraId="41A61F41" w14:textId="77777777" w:rsidR="009713BF" w:rsidRPr="005E3D50" w:rsidRDefault="009713BF" w:rsidP="009713BF">
      <w:pPr>
        <w:widowControl w:val="0"/>
        <w:autoSpaceDE w:val="0"/>
        <w:autoSpaceDN w:val="0"/>
        <w:spacing w:after="0" w:line="276" w:lineRule="auto"/>
        <w:rPr>
          <w:rFonts w:eastAsia="Times New Roman" w:cs="Times New Roman"/>
          <w:kern w:val="0"/>
          <w:lang w:val="es-ES"/>
          <w14:ligatures w14:val="none"/>
        </w:rPr>
      </w:pPr>
      <w:r w:rsidRPr="005E3D50">
        <w:rPr>
          <w:rFonts w:eastAsia="Times New Roman" w:cs="Times New Roman"/>
          <w:kern w:val="0"/>
          <w:szCs w:val="22"/>
          <w:lang w:val="es-ES"/>
          <w14:ligatures w14:val="none"/>
        </w:rPr>
        <w:t xml:space="preserve">El Convenio de Estocolmo sobre Contaminantes Orgánicos Persistentes contribuye directamente a la consecución de la meta 10 al eliminar o restringir el uso de contaminantes orgánicos persistentes (COP), muchos de los cuales se han utilizado extensamente en la agricultura, la acuicultura y la silvicultura. Los COP, como, por ejemplo, el </w:t>
      </w:r>
      <w:proofErr w:type="spellStart"/>
      <w:r w:rsidRPr="005E3D50">
        <w:rPr>
          <w:rFonts w:eastAsia="Times New Roman" w:cs="Times New Roman"/>
          <w:kern w:val="0"/>
          <w:szCs w:val="22"/>
          <w:lang w:val="es-ES"/>
          <w14:ligatures w14:val="none"/>
        </w:rPr>
        <w:t>endosulfán</w:t>
      </w:r>
      <w:proofErr w:type="spellEnd"/>
      <w:r w:rsidRPr="005E3D50">
        <w:rPr>
          <w:rFonts w:eastAsia="Times New Roman" w:cs="Times New Roman"/>
          <w:kern w:val="0"/>
          <w:szCs w:val="22"/>
          <w:lang w:val="es-ES"/>
          <w14:ligatures w14:val="none"/>
        </w:rPr>
        <w:t xml:space="preserve"> –un plaguicida que se utilizaba en el cultivo de algodón y hortalizas–, son altamente tóxicos para especies no objetivo, incluidos polinizadores, como las abejas y los insectos beneficiosos. El </w:t>
      </w:r>
      <w:proofErr w:type="spellStart"/>
      <w:r w:rsidRPr="005E3D50">
        <w:rPr>
          <w:rFonts w:eastAsia="Times New Roman" w:cs="Times New Roman"/>
          <w:kern w:val="0"/>
          <w:szCs w:val="22"/>
          <w:lang w:val="es-ES"/>
          <w14:ligatures w14:val="none"/>
        </w:rPr>
        <w:t>endosulfán</w:t>
      </w:r>
      <w:proofErr w:type="spellEnd"/>
      <w:r w:rsidRPr="005E3D50">
        <w:rPr>
          <w:rFonts w:eastAsia="Times New Roman" w:cs="Times New Roman"/>
          <w:kern w:val="0"/>
          <w:szCs w:val="22"/>
          <w:lang w:val="es-ES"/>
          <w14:ligatures w14:val="none"/>
        </w:rPr>
        <w:t xml:space="preserve"> se ha asociado a efectos neurológicos y reproductivos en insectos y vertebrados, lo que ha contribuido a la disminución de las poblaciones de polinizadores y la alteración del control natural de plagas y la productividad de los cultivos. Al incluir tales sustancias químicas en la lista de eliminación y restricción, el Convenio de Estocolmo reduce la contaminación ambiental y apoya la transición hacia prácticas más seguras y favorables a la diversidad biológica (Secretaría de los Convenios de Basilea, Estocolmo y Rotterdam, 2025).</w:t>
      </w:r>
    </w:p>
    <w:p w14:paraId="1D09E612" w14:textId="77777777" w:rsidR="009713BF" w:rsidRPr="005E3D50" w:rsidRDefault="009713BF" w:rsidP="009713BF">
      <w:pPr>
        <w:widowControl w:val="0"/>
        <w:autoSpaceDE w:val="0"/>
        <w:autoSpaceDN w:val="0"/>
        <w:spacing w:after="0" w:line="276" w:lineRule="auto"/>
        <w:rPr>
          <w:rFonts w:eastAsia="Times New Roman" w:cs="Times New Roman"/>
          <w:kern w:val="0"/>
          <w:lang w:val="es-ES"/>
          <w14:ligatures w14:val="none"/>
        </w:rPr>
      </w:pPr>
    </w:p>
    <w:p w14:paraId="1FCBF1C5" w14:textId="77777777" w:rsidR="009713BF" w:rsidRPr="005E3D50" w:rsidRDefault="009713BF" w:rsidP="009713BF">
      <w:pPr>
        <w:widowControl w:val="0"/>
        <w:autoSpaceDE w:val="0"/>
        <w:autoSpaceDN w:val="0"/>
        <w:spacing w:after="0" w:line="276" w:lineRule="auto"/>
        <w:rPr>
          <w:rFonts w:eastAsia="Times New Roman" w:cs="Times New Roman"/>
          <w:kern w:val="0"/>
          <w:lang w:val="es-ES"/>
          <w14:ligatures w14:val="none"/>
        </w:rPr>
      </w:pPr>
      <w:r w:rsidRPr="005E3D50">
        <w:rPr>
          <w:rFonts w:eastAsia="Times New Roman" w:cs="Times New Roman"/>
          <w:kern w:val="0"/>
          <w:szCs w:val="22"/>
          <w:lang w:val="es-ES"/>
          <w14:ligatures w14:val="none"/>
        </w:rPr>
        <w:t xml:space="preserve">En 2024 la UNESCO puso en marcha su </w:t>
      </w:r>
      <w:proofErr w:type="spellStart"/>
      <w:r w:rsidRPr="005E3D50">
        <w:rPr>
          <w:rFonts w:eastAsia="Times New Roman" w:cs="Times New Roman"/>
          <w:kern w:val="0"/>
          <w:szCs w:val="22"/>
          <w:lang w:val="es-ES"/>
          <w14:ligatures w14:val="none"/>
        </w:rPr>
        <w:t>Soil</w:t>
      </w:r>
      <w:proofErr w:type="spellEnd"/>
      <w:r w:rsidRPr="005E3D50">
        <w:rPr>
          <w:rFonts w:eastAsia="Times New Roman" w:cs="Times New Roman"/>
          <w:kern w:val="0"/>
          <w:szCs w:val="22"/>
          <w:lang w:val="es-ES"/>
          <w14:ligatures w14:val="none"/>
        </w:rPr>
        <w:t xml:space="preserve"> </w:t>
      </w:r>
      <w:proofErr w:type="spellStart"/>
      <w:r w:rsidRPr="005E3D50">
        <w:rPr>
          <w:rFonts w:eastAsia="Times New Roman" w:cs="Times New Roman"/>
          <w:kern w:val="0"/>
          <w:szCs w:val="22"/>
          <w:lang w:val="es-ES"/>
          <w14:ligatures w14:val="none"/>
        </w:rPr>
        <w:t>Initiative</w:t>
      </w:r>
      <w:proofErr w:type="spellEnd"/>
      <w:r w:rsidRPr="005E3D50">
        <w:rPr>
          <w:rFonts w:eastAsia="Times New Roman" w:cs="Times New Roman"/>
          <w:kern w:val="0"/>
          <w:szCs w:val="22"/>
          <w:lang w:val="es-ES"/>
          <w14:ligatures w14:val="none"/>
        </w:rPr>
        <w:t xml:space="preserve"> en conjunto con el Programa sobre el Hombre y la Biosfera</w:t>
      </w:r>
      <w:r w:rsidRPr="005E3D50">
        <w:rPr>
          <w:rFonts w:eastAsia="Times New Roman" w:cs="Times New Roman"/>
          <w:kern w:val="0"/>
          <w:vertAlign w:val="superscript"/>
          <w:lang w:val="es-ES"/>
          <w14:ligatures w14:val="none"/>
        </w:rPr>
        <w:footnoteReference w:id="30"/>
      </w:r>
      <w:r w:rsidRPr="005E3D50">
        <w:rPr>
          <w:rFonts w:eastAsia="Times New Roman" w:cs="Times New Roman"/>
          <w:kern w:val="0"/>
          <w:szCs w:val="22"/>
          <w:lang w:val="es-ES"/>
          <w14:ligatures w14:val="none"/>
        </w:rPr>
        <w:t>. Esta iniciativa en favor de los suelos constituye una contribución importante a la consecución de la meta 10 en lo que tiene que ver con las funciones y los servicios de los ecosistemas. Las reservas de biosfera y los geoparques mundiales de la UNESCO sirven como campos de prueba para prácticas integradas de conservación de los suelos, en el contexto de la gestión sostenible de la tierra. La iniciativa estableció un grupo mundial de expertos e inició experiencias piloto en colaboración con la FAO, la Unión Europea y asociaciones científicas (UNESCO, 2025c).</w:t>
      </w:r>
    </w:p>
    <w:p w14:paraId="6E06D301" w14:textId="77777777" w:rsidR="009713BF" w:rsidRPr="005E3D50" w:rsidRDefault="009713BF" w:rsidP="009713BF">
      <w:pPr>
        <w:widowControl w:val="0"/>
        <w:autoSpaceDE w:val="0"/>
        <w:autoSpaceDN w:val="0"/>
        <w:spacing w:after="0" w:line="276" w:lineRule="auto"/>
        <w:rPr>
          <w:rFonts w:eastAsia="Times New Roman" w:cs="Times New Roman"/>
          <w:kern w:val="0"/>
          <w:lang w:val="es-ES"/>
          <w14:ligatures w14:val="none"/>
        </w:rPr>
      </w:pPr>
    </w:p>
    <w:p w14:paraId="16D9AF4C" w14:textId="77777777" w:rsidR="009713BF" w:rsidRPr="005E3D50" w:rsidRDefault="009713BF" w:rsidP="009713BF">
      <w:pPr>
        <w:rPr>
          <w:rFonts w:eastAsia="Arial" w:cs="Arial"/>
          <w:color w:val="000000" w:themeColor="text1"/>
          <w:lang w:val="es-ES"/>
        </w:rPr>
      </w:pPr>
      <w:r w:rsidRPr="005E3D50">
        <w:rPr>
          <w:color w:val="000000" w:themeColor="text1"/>
          <w:lang w:val="es-ES"/>
        </w:rPr>
        <w:t xml:space="preserve">El Tratado Internacional sobre los Recursos Fitogenéticos para la Alimentación y la Agricultura contribuye a la consecución de la meta 10 haciendo posible el intercambio de </w:t>
      </w:r>
      <w:r w:rsidRPr="005E3D50">
        <w:rPr>
          <w:color w:val="000000" w:themeColor="text1"/>
          <w:lang w:val="es-ES"/>
        </w:rPr>
        <w:lastRenderedPageBreak/>
        <w:t xml:space="preserve">recursos fitogenéticos para la alimentación y la agricultura a través del Sistema Multilateral de Acceso y Distribución de Beneficios. En este sentido, se comparten materiales con fines de fitomejoramiento, investigación y capacitación, apoyando de esa manera el desarrollo de cultivos adaptados a climas más extremos, lo que a su vez contribuye a la seguridad alimentaria (TIRFAA, 2026). </w:t>
      </w:r>
    </w:p>
    <w:p w14:paraId="3826B9AC" w14:textId="77777777" w:rsidR="009713BF" w:rsidRPr="005E3D50" w:rsidRDefault="009713BF" w:rsidP="009713BF">
      <w:pPr>
        <w:rPr>
          <w:rFonts w:eastAsia="Arial" w:cs="Arial"/>
          <w:color w:val="000000" w:themeColor="text1"/>
          <w:lang w:val="es-ES"/>
        </w:rPr>
      </w:pPr>
      <w:r w:rsidRPr="005E3D50">
        <w:rPr>
          <w:color w:val="000000" w:themeColor="text1"/>
          <w:lang w:val="es-ES"/>
        </w:rPr>
        <w:t xml:space="preserve">La Comisión de Recursos Genéticos para la Alimentación y la Agricultura de la FAO produce una serie de publicaciones sobre el “estado en el mundo” de los recursos genéticos animales, acuáticos, vegetales y forestales para la alimentación y la agricultura titulada </w:t>
      </w:r>
      <w:r w:rsidRPr="005E3D50">
        <w:rPr>
          <w:i/>
          <w:color w:val="000000" w:themeColor="text1"/>
          <w:lang w:val="es-ES"/>
        </w:rPr>
        <w:t xml:space="preserve">The State of the </w:t>
      </w:r>
      <w:proofErr w:type="spellStart"/>
      <w:r w:rsidRPr="005E3D50">
        <w:rPr>
          <w:i/>
          <w:color w:val="000000" w:themeColor="text1"/>
          <w:lang w:val="es-ES"/>
        </w:rPr>
        <w:t>World’s</w:t>
      </w:r>
      <w:proofErr w:type="spellEnd"/>
      <w:r w:rsidRPr="005E3D50">
        <w:rPr>
          <w:i/>
          <w:color w:val="000000" w:themeColor="text1"/>
          <w:lang w:val="es-ES"/>
        </w:rPr>
        <w:t xml:space="preserve"> Biodiversity for </w:t>
      </w:r>
      <w:proofErr w:type="spellStart"/>
      <w:r w:rsidRPr="005E3D50">
        <w:rPr>
          <w:i/>
          <w:color w:val="000000" w:themeColor="text1"/>
          <w:lang w:val="es-ES"/>
        </w:rPr>
        <w:t>Food</w:t>
      </w:r>
      <w:proofErr w:type="spellEnd"/>
      <w:r w:rsidRPr="005E3D50">
        <w:rPr>
          <w:i/>
          <w:color w:val="000000" w:themeColor="text1"/>
          <w:lang w:val="es-ES"/>
        </w:rPr>
        <w:t xml:space="preserve"> and </w:t>
      </w:r>
      <w:proofErr w:type="spellStart"/>
      <w:r w:rsidRPr="005E3D50">
        <w:rPr>
          <w:i/>
          <w:color w:val="000000" w:themeColor="text1"/>
          <w:lang w:val="es-ES"/>
        </w:rPr>
        <w:t>Agriculture</w:t>
      </w:r>
      <w:proofErr w:type="spellEnd"/>
      <w:r w:rsidRPr="005E3D50">
        <w:rPr>
          <w:color w:val="000000" w:themeColor="text1"/>
          <w:lang w:val="es-ES"/>
        </w:rPr>
        <w:t xml:space="preserve"> (El estado de la biodiversidad mundial para la alimentación y la agricultura)</w:t>
      </w:r>
      <w:r w:rsidRPr="005E3D50">
        <w:rPr>
          <w:rFonts w:eastAsia="Arial" w:cs="Arial"/>
          <w:color w:val="000000" w:themeColor="text1"/>
          <w:vertAlign w:val="superscript"/>
          <w:lang w:val="es-ES"/>
        </w:rPr>
        <w:footnoteReference w:id="31"/>
      </w:r>
      <w:r w:rsidRPr="005E3D50">
        <w:rPr>
          <w:color w:val="000000" w:themeColor="text1"/>
          <w:lang w:val="es-ES"/>
        </w:rPr>
        <w:t>. Estas publicaciones aportan insumos para planes de acción mundiales para cada uno de los grupos mencionados. Los planes de acción mundiales elaborados por la Comisión contribuyen directamente a la consecución de la meta 10 al traducir objetivos de conservación y sostenibilidad amplios en medidas, herramientas y políticas prácticas específicas para cada sector. Un elemento esencial de estos planes es que reconocen que los recursos genéticos constituyen la base biológica de la producción agrícola y la seguridad alimentaria, que sustenta la resiliencia, adaptabilidad y productividad de los sistemas de producción.</w:t>
      </w:r>
    </w:p>
    <w:p w14:paraId="40ADC4C4" w14:textId="77777777" w:rsidR="009713BF" w:rsidRPr="005E3D50" w:rsidRDefault="009713BF" w:rsidP="009713BF">
      <w:pPr>
        <w:widowControl w:val="0"/>
        <w:autoSpaceDE w:val="0"/>
        <w:autoSpaceDN w:val="0"/>
        <w:spacing w:after="0" w:line="276" w:lineRule="auto"/>
        <w:rPr>
          <w:rFonts w:eastAsia="Times New Roman" w:cs="Times New Roman"/>
          <w:kern w:val="0"/>
          <w:lang w:val="es-ES"/>
          <w14:ligatures w14:val="none"/>
        </w:rPr>
      </w:pPr>
    </w:p>
    <w:p w14:paraId="65625F67"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315" w:name="_Toc235821181"/>
      <w:bookmarkStart w:id="316" w:name="_Toc239069206"/>
      <w:bookmarkStart w:id="317" w:name="_Toc529428393"/>
      <w:bookmarkStart w:id="318" w:name="_Toc242882984"/>
      <w:r w:rsidRPr="005E3D50">
        <w:rPr>
          <w:rFonts w:eastAsiaTheme="majorEastAsia" w:cstheme="majorBidi"/>
          <w:b/>
          <w:iCs/>
          <w:color w:val="0F4761" w:themeColor="accent1" w:themeShade="BF"/>
          <w:lang w:val="es-ES"/>
        </w:rPr>
        <w:t>Meta 11.</w:t>
      </w:r>
      <w:r w:rsidRPr="005E3D50">
        <w:rPr>
          <w:rFonts w:eastAsiaTheme="majorEastAsia" w:cstheme="majorBidi"/>
          <w:iCs/>
          <w:color w:val="0F4761" w:themeColor="accent1" w:themeShade="BF"/>
          <w:lang w:val="es-ES"/>
        </w:rPr>
        <w:t xml:space="preserve"> Restaurar, mantener y mejorar las contribuciones de la naturaleza a las personas</w:t>
      </w:r>
      <w:bookmarkEnd w:id="315"/>
      <w:bookmarkEnd w:id="316"/>
      <w:bookmarkEnd w:id="317"/>
      <w:bookmarkEnd w:id="318"/>
    </w:p>
    <w:p w14:paraId="09F2E835" w14:textId="77777777" w:rsidR="009713BF" w:rsidRPr="005E3D50" w:rsidRDefault="009713BF" w:rsidP="009713BF">
      <w:pPr>
        <w:rPr>
          <w:lang w:val="es-ES"/>
        </w:rPr>
      </w:pPr>
    </w:p>
    <w:p w14:paraId="46C30169" w14:textId="77777777" w:rsidR="009713BF" w:rsidRPr="005E3D50" w:rsidRDefault="009713BF" w:rsidP="009713BF">
      <w:pPr>
        <w:rPr>
          <w:i/>
          <w:iCs/>
          <w:lang w:val="es-ES"/>
        </w:rPr>
      </w:pPr>
      <w:r w:rsidRPr="005E3D50">
        <w:rPr>
          <w:b/>
          <w:sz w:val="22"/>
          <w:lang w:val="es-ES"/>
        </w:rPr>
        <w:t>Texto de la meta.</w:t>
      </w:r>
      <w:r w:rsidRPr="005E3D50">
        <w:rPr>
          <w:i/>
          <w:sz w:val="22"/>
          <w:lang w:val="es-ES"/>
        </w:rPr>
        <w:t xml:space="preserve"> 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p w14:paraId="4219EFE9" w14:textId="77777777" w:rsidR="009713BF" w:rsidRPr="005E3D50" w:rsidRDefault="009713BF" w:rsidP="009713BF">
      <w:pPr>
        <w:rPr>
          <w:lang w:val="es-ES"/>
        </w:rPr>
      </w:pPr>
    </w:p>
    <w:p w14:paraId="7815A48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0E1FC833" w14:textId="77777777" w:rsidTr="006E6831">
        <w:tc>
          <w:tcPr>
            <w:tcW w:w="9016" w:type="dxa"/>
            <w:shd w:val="clear" w:color="auto" w:fill="D1D1D1" w:themeFill="background2" w:themeFillShade="E6"/>
          </w:tcPr>
          <w:p w14:paraId="71556B37" w14:textId="77777777" w:rsidR="009713BF" w:rsidRPr="005E3D50" w:rsidRDefault="009713BF" w:rsidP="009713BF">
            <w:pPr>
              <w:rPr>
                <w:rFonts w:ascii="Aptos" w:eastAsia="Times New Roman" w:hAnsi="Aptos" w:cs="Calibri"/>
                <w:color w:val="000000"/>
                <w:lang w:val="es-ES"/>
              </w:rPr>
            </w:pPr>
          </w:p>
          <w:p w14:paraId="74FF0235"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 xml:space="preserve">Los datos disponibles son aún insuficientes para poder evaluar de forma confiable los progresos colectivos, y las autoevaluaciones de las Partes indican que la implementación aún no avanza al ritmo necesario. Las metas nacionales presentadas por las Partes ofrecen una buena cobertura de todo el alcance de la meta 11. No obstante, el número de informes nacionales que tiene datos que coinciden con el correspondiente indicador de cabecera B.1 (servicios brindados por </w:t>
            </w:r>
            <w:r w:rsidRPr="005E3D50">
              <w:rPr>
                <w:rFonts w:ascii="Aptos" w:hAnsi="Aptos"/>
                <w:color w:val="000000"/>
                <w:lang w:val="es-ES"/>
              </w:rPr>
              <w:lastRenderedPageBreak/>
              <w:t xml:space="preserve">los ecosistemas) resulta insuficiente para evaluar los progresos, por lo que en esta etapa el indicador solo puede considerarse con carácter experimental. El análisis de tendencias de todos los indicadores comunicados por un tercio de las Partes cuyos informes nacionales fueron considerados en el informe mundial arroja resultados dispares, y las autoevaluaciones indican que las Partes consideran insuficientes los progresos que han logrado en la consecución de la mayoría de las metas nacionales (64 %) relacionadas con la meta 11. Las dificultades señaladas se refieren a la aplicación de métodos de valoración de las contribuciones de la naturaleza a las personas, tanto en las políticas como en el seguimiento, así como a la falta de marcos financieros y jurídicos para la implementación de soluciones basadas en la naturaleza y la gestión de compensaciones con otros sectores de políticas. </w:t>
            </w:r>
          </w:p>
          <w:p w14:paraId="76049460" w14:textId="77777777" w:rsidR="009713BF" w:rsidRPr="005E3D50" w:rsidRDefault="009713BF" w:rsidP="009713BF">
            <w:pPr>
              <w:rPr>
                <w:rFonts w:ascii="Aptos" w:eastAsia="Times New Roman" w:hAnsi="Aptos" w:cs="Calibri"/>
                <w:color w:val="000000"/>
                <w:lang w:val="es-ES"/>
              </w:rPr>
            </w:pPr>
          </w:p>
          <w:p w14:paraId="28BD2116" w14:textId="77777777" w:rsidR="009713BF" w:rsidRPr="005E3D50" w:rsidRDefault="009713BF" w:rsidP="009713BF">
            <w:pPr>
              <w:rPr>
                <w:rFonts w:ascii="Aptos" w:eastAsia="Times New Roman" w:hAnsi="Aptos" w:cs="Calibri"/>
                <w:color w:val="000000"/>
                <w:lang w:val="es-ES"/>
              </w:rPr>
            </w:pPr>
          </w:p>
          <w:p w14:paraId="7AAB065B" w14:textId="77777777" w:rsidR="009713BF" w:rsidRPr="005E3D50" w:rsidRDefault="009713BF" w:rsidP="009713BF">
            <w:pPr>
              <w:rPr>
                <w:lang w:val="es-ES"/>
              </w:rPr>
            </w:pPr>
          </w:p>
        </w:tc>
      </w:tr>
    </w:tbl>
    <w:p w14:paraId="744FF8C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19" w:name="_Ref230776638"/>
    </w:p>
    <w:p w14:paraId="3B090473"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11 del Marco en sus metas nacionales</w:t>
      </w:r>
    </w:p>
    <w:p w14:paraId="63FC954E"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p>
    <w:bookmarkEnd w:id="319"/>
    <w:p w14:paraId="6BF8AFE5"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24 </w:t>
      </w:r>
    </w:p>
    <w:p w14:paraId="3E80C6DF"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11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9713BF" w:rsidRPr="005E3D50" w14:paraId="17329394" w14:textId="77777777" w:rsidTr="006E6831">
        <w:tc>
          <w:tcPr>
            <w:tcW w:w="8359" w:type="dxa"/>
          </w:tcPr>
          <w:p w14:paraId="6D5A3B64" w14:textId="77777777" w:rsidR="009713BF" w:rsidRPr="005E3D50" w:rsidRDefault="009713BF" w:rsidP="009713BF">
            <w:pPr>
              <w:rPr>
                <w:sz w:val="20"/>
                <w:szCs w:val="20"/>
                <w:lang w:val="es-ES"/>
              </w:rPr>
            </w:pPr>
            <w:r w:rsidRPr="005E3D50">
              <w:rPr>
                <w:sz w:val="20"/>
                <w:lang w:val="es-ES"/>
              </w:rPr>
              <w:t xml:space="preserve">Restaurar, mantener y mejorar las contribuciones de la naturaleza a las personas, entre ellas las funciones y los servicios de los ecosistemas, a través de soluciones basadas en la naturaleza </w:t>
            </w:r>
          </w:p>
        </w:tc>
        <w:tc>
          <w:tcPr>
            <w:tcW w:w="657" w:type="dxa"/>
            <w:shd w:val="clear" w:color="auto" w:fill="92D050"/>
          </w:tcPr>
          <w:p w14:paraId="39A55820" w14:textId="77777777" w:rsidR="009713BF" w:rsidRPr="005E3D50" w:rsidRDefault="009713BF" w:rsidP="009713BF">
            <w:pPr>
              <w:rPr>
                <w:sz w:val="20"/>
                <w:szCs w:val="20"/>
                <w:lang w:val="es-ES"/>
              </w:rPr>
            </w:pPr>
            <w:r w:rsidRPr="005E3D50">
              <w:rPr>
                <w:sz w:val="20"/>
                <w:lang w:val="es-ES"/>
              </w:rPr>
              <w:t>68</w:t>
            </w:r>
          </w:p>
        </w:tc>
      </w:tr>
      <w:tr w:rsidR="009713BF" w:rsidRPr="005E3D50" w14:paraId="7EEAEC28" w14:textId="77777777" w:rsidTr="006E6831">
        <w:tc>
          <w:tcPr>
            <w:tcW w:w="8359" w:type="dxa"/>
          </w:tcPr>
          <w:p w14:paraId="0A5440FA" w14:textId="77777777" w:rsidR="009713BF" w:rsidRPr="005E3D50" w:rsidRDefault="009713BF" w:rsidP="009713BF">
            <w:pPr>
              <w:rPr>
                <w:sz w:val="20"/>
                <w:szCs w:val="20"/>
                <w:lang w:val="es-ES"/>
              </w:rPr>
            </w:pPr>
            <w:r w:rsidRPr="005E3D50">
              <w:rPr>
                <w:sz w:val="20"/>
                <w:lang w:val="es-ES"/>
              </w:rPr>
              <w:t xml:space="preserve">Restaurar, mantener y mejorar las contribuciones de la naturaleza a las personas, entre ellas las funciones y los servicios de los ecosistemas, a través de enfoques basados en los ecosistemas </w:t>
            </w:r>
          </w:p>
        </w:tc>
        <w:tc>
          <w:tcPr>
            <w:tcW w:w="657" w:type="dxa"/>
            <w:shd w:val="clear" w:color="auto" w:fill="92D050"/>
          </w:tcPr>
          <w:p w14:paraId="5D4D70BD" w14:textId="77777777" w:rsidR="009713BF" w:rsidRPr="005E3D50" w:rsidRDefault="009713BF" w:rsidP="009713BF">
            <w:pPr>
              <w:rPr>
                <w:sz w:val="20"/>
                <w:szCs w:val="20"/>
                <w:lang w:val="es-ES"/>
              </w:rPr>
            </w:pPr>
            <w:r w:rsidRPr="005E3D50">
              <w:rPr>
                <w:sz w:val="20"/>
                <w:lang w:val="es-ES"/>
              </w:rPr>
              <w:t>65</w:t>
            </w:r>
          </w:p>
        </w:tc>
      </w:tr>
      <w:tr w:rsidR="009713BF" w:rsidRPr="005E3D50" w14:paraId="6460115B" w14:textId="77777777" w:rsidTr="006E6831">
        <w:tc>
          <w:tcPr>
            <w:tcW w:w="8359" w:type="dxa"/>
          </w:tcPr>
          <w:p w14:paraId="1572B125" w14:textId="77777777" w:rsidR="009713BF" w:rsidRPr="005E3D50" w:rsidRDefault="009713BF" w:rsidP="009713BF">
            <w:pPr>
              <w:rPr>
                <w:sz w:val="20"/>
                <w:szCs w:val="20"/>
                <w:lang w:val="es-ES"/>
              </w:rPr>
            </w:pPr>
            <w:r w:rsidRPr="005E3D50">
              <w:rPr>
                <w:sz w:val="20"/>
                <w:lang w:val="es-ES"/>
              </w:rPr>
              <w:t>Restaurar, mantener y mejorar la regulación del aire, el agua y el clima</w:t>
            </w:r>
          </w:p>
          <w:p w14:paraId="6C02A098" w14:textId="77777777" w:rsidR="009713BF" w:rsidRPr="005E3D50" w:rsidRDefault="009713BF" w:rsidP="009713BF">
            <w:pPr>
              <w:rPr>
                <w:sz w:val="20"/>
                <w:szCs w:val="20"/>
                <w:lang w:val="es-ES"/>
              </w:rPr>
            </w:pPr>
          </w:p>
        </w:tc>
        <w:tc>
          <w:tcPr>
            <w:tcW w:w="657" w:type="dxa"/>
            <w:shd w:val="clear" w:color="auto" w:fill="92D050"/>
          </w:tcPr>
          <w:p w14:paraId="3BD7E459" w14:textId="77777777" w:rsidR="009713BF" w:rsidRPr="005E3D50" w:rsidRDefault="009713BF" w:rsidP="009713BF">
            <w:pPr>
              <w:rPr>
                <w:sz w:val="20"/>
                <w:szCs w:val="20"/>
                <w:lang w:val="es-ES"/>
              </w:rPr>
            </w:pPr>
            <w:r w:rsidRPr="005E3D50">
              <w:rPr>
                <w:sz w:val="20"/>
                <w:lang w:val="es-ES"/>
              </w:rPr>
              <w:t>66</w:t>
            </w:r>
          </w:p>
        </w:tc>
      </w:tr>
      <w:tr w:rsidR="009713BF" w:rsidRPr="005E3D50" w14:paraId="7E797B8F" w14:textId="77777777" w:rsidTr="006E6831">
        <w:tc>
          <w:tcPr>
            <w:tcW w:w="8359" w:type="dxa"/>
          </w:tcPr>
          <w:p w14:paraId="5486C6E5" w14:textId="77777777" w:rsidR="009713BF" w:rsidRPr="005E3D50" w:rsidRDefault="009713BF" w:rsidP="009713BF">
            <w:pPr>
              <w:rPr>
                <w:sz w:val="20"/>
                <w:szCs w:val="20"/>
                <w:lang w:val="es-ES"/>
              </w:rPr>
            </w:pPr>
            <w:r w:rsidRPr="005E3D50">
              <w:rPr>
                <w:sz w:val="20"/>
                <w:lang w:val="es-ES"/>
              </w:rPr>
              <w:t>Restaurar, mantener y mejorar la salud de los suelos</w:t>
            </w:r>
          </w:p>
          <w:p w14:paraId="51891C2D" w14:textId="77777777" w:rsidR="009713BF" w:rsidRPr="005E3D50" w:rsidRDefault="009713BF" w:rsidP="009713BF">
            <w:pPr>
              <w:rPr>
                <w:sz w:val="20"/>
                <w:szCs w:val="20"/>
                <w:lang w:val="es-ES"/>
              </w:rPr>
            </w:pPr>
          </w:p>
        </w:tc>
        <w:tc>
          <w:tcPr>
            <w:tcW w:w="657" w:type="dxa"/>
            <w:shd w:val="clear" w:color="auto" w:fill="92D050"/>
          </w:tcPr>
          <w:p w14:paraId="140AD426" w14:textId="77777777" w:rsidR="009713BF" w:rsidRPr="005E3D50" w:rsidRDefault="009713BF" w:rsidP="009713BF">
            <w:pPr>
              <w:rPr>
                <w:sz w:val="20"/>
                <w:szCs w:val="20"/>
                <w:lang w:val="es-ES"/>
              </w:rPr>
            </w:pPr>
            <w:r w:rsidRPr="005E3D50">
              <w:rPr>
                <w:sz w:val="20"/>
                <w:lang w:val="es-ES"/>
              </w:rPr>
              <w:t>61</w:t>
            </w:r>
          </w:p>
        </w:tc>
      </w:tr>
      <w:tr w:rsidR="009713BF" w:rsidRPr="005E3D50" w14:paraId="75A9544B" w14:textId="77777777" w:rsidTr="006E6831">
        <w:tc>
          <w:tcPr>
            <w:tcW w:w="8359" w:type="dxa"/>
          </w:tcPr>
          <w:p w14:paraId="15862147" w14:textId="77777777" w:rsidR="009713BF" w:rsidRPr="005E3D50" w:rsidRDefault="009713BF" w:rsidP="009713BF">
            <w:pPr>
              <w:rPr>
                <w:sz w:val="20"/>
                <w:szCs w:val="20"/>
                <w:lang w:val="es-ES"/>
              </w:rPr>
            </w:pPr>
            <w:r w:rsidRPr="005E3D50">
              <w:rPr>
                <w:sz w:val="20"/>
                <w:lang w:val="es-ES"/>
              </w:rPr>
              <w:t xml:space="preserve">Restaurar, mantener y mejorar la polinización </w:t>
            </w:r>
          </w:p>
          <w:p w14:paraId="55B74BE0" w14:textId="77777777" w:rsidR="009713BF" w:rsidRPr="005E3D50" w:rsidRDefault="009713BF" w:rsidP="009713BF">
            <w:pPr>
              <w:rPr>
                <w:sz w:val="20"/>
                <w:szCs w:val="20"/>
                <w:lang w:val="es-ES"/>
              </w:rPr>
            </w:pPr>
          </w:p>
        </w:tc>
        <w:tc>
          <w:tcPr>
            <w:tcW w:w="657" w:type="dxa"/>
            <w:shd w:val="clear" w:color="auto" w:fill="FFFF00"/>
          </w:tcPr>
          <w:p w14:paraId="73E6BB38" w14:textId="77777777" w:rsidR="009713BF" w:rsidRPr="005E3D50" w:rsidRDefault="009713BF" w:rsidP="009713BF">
            <w:pPr>
              <w:rPr>
                <w:sz w:val="20"/>
                <w:szCs w:val="20"/>
                <w:lang w:val="es-ES"/>
              </w:rPr>
            </w:pPr>
            <w:r w:rsidRPr="005E3D50">
              <w:rPr>
                <w:sz w:val="20"/>
                <w:lang w:val="es-ES"/>
              </w:rPr>
              <w:t>58</w:t>
            </w:r>
          </w:p>
        </w:tc>
      </w:tr>
      <w:tr w:rsidR="009713BF" w:rsidRPr="005E3D50" w14:paraId="5B8CDBA6" w14:textId="77777777" w:rsidTr="006E6831">
        <w:tc>
          <w:tcPr>
            <w:tcW w:w="8359" w:type="dxa"/>
          </w:tcPr>
          <w:p w14:paraId="7C13B24F" w14:textId="77777777" w:rsidR="009713BF" w:rsidRPr="005E3D50" w:rsidRDefault="009713BF" w:rsidP="009713BF">
            <w:pPr>
              <w:rPr>
                <w:sz w:val="20"/>
                <w:szCs w:val="20"/>
                <w:lang w:val="es-ES"/>
              </w:rPr>
            </w:pPr>
            <w:r w:rsidRPr="005E3D50">
              <w:rPr>
                <w:sz w:val="20"/>
                <w:lang w:val="es-ES"/>
              </w:rPr>
              <w:t xml:space="preserve">Restaurar, mantener y mejorar la reducción del riesgo de enfermedades </w:t>
            </w:r>
          </w:p>
          <w:p w14:paraId="1AAC84A7" w14:textId="77777777" w:rsidR="009713BF" w:rsidRPr="005E3D50" w:rsidRDefault="009713BF" w:rsidP="009713BF">
            <w:pPr>
              <w:rPr>
                <w:sz w:val="20"/>
                <w:szCs w:val="20"/>
                <w:lang w:val="es-ES"/>
              </w:rPr>
            </w:pPr>
          </w:p>
        </w:tc>
        <w:tc>
          <w:tcPr>
            <w:tcW w:w="657" w:type="dxa"/>
            <w:shd w:val="clear" w:color="auto" w:fill="FFFF00"/>
          </w:tcPr>
          <w:p w14:paraId="6769A932" w14:textId="77777777" w:rsidR="009713BF" w:rsidRPr="005E3D50" w:rsidRDefault="009713BF" w:rsidP="009713BF">
            <w:pPr>
              <w:rPr>
                <w:sz w:val="20"/>
                <w:szCs w:val="20"/>
                <w:lang w:val="es-ES"/>
              </w:rPr>
            </w:pPr>
            <w:r w:rsidRPr="005E3D50">
              <w:rPr>
                <w:sz w:val="20"/>
                <w:lang w:val="es-ES"/>
              </w:rPr>
              <w:t>59</w:t>
            </w:r>
          </w:p>
        </w:tc>
      </w:tr>
      <w:tr w:rsidR="009713BF" w:rsidRPr="005E3D50" w14:paraId="4DDE196F" w14:textId="77777777" w:rsidTr="006E6831">
        <w:tc>
          <w:tcPr>
            <w:tcW w:w="8359" w:type="dxa"/>
          </w:tcPr>
          <w:p w14:paraId="45D34C24" w14:textId="77777777" w:rsidR="009713BF" w:rsidRPr="005E3D50" w:rsidRDefault="009713BF" w:rsidP="009713BF">
            <w:pPr>
              <w:rPr>
                <w:sz w:val="20"/>
                <w:szCs w:val="20"/>
                <w:lang w:val="es-ES"/>
              </w:rPr>
            </w:pPr>
            <w:r w:rsidRPr="005E3D50">
              <w:rPr>
                <w:sz w:val="20"/>
                <w:lang w:val="es-ES"/>
              </w:rPr>
              <w:t>Restaurar, mantener y mejorar la protección frente a peligros y desastres naturales</w:t>
            </w:r>
          </w:p>
          <w:p w14:paraId="561CDCF0" w14:textId="77777777" w:rsidR="009713BF" w:rsidRPr="005E3D50" w:rsidRDefault="009713BF" w:rsidP="009713BF">
            <w:pPr>
              <w:rPr>
                <w:sz w:val="20"/>
                <w:szCs w:val="20"/>
                <w:lang w:val="es-ES"/>
              </w:rPr>
            </w:pPr>
          </w:p>
        </w:tc>
        <w:tc>
          <w:tcPr>
            <w:tcW w:w="657" w:type="dxa"/>
            <w:shd w:val="clear" w:color="auto" w:fill="92D050"/>
          </w:tcPr>
          <w:p w14:paraId="2C54D78D" w14:textId="77777777" w:rsidR="009713BF" w:rsidRPr="005E3D50" w:rsidRDefault="009713BF" w:rsidP="009713BF">
            <w:pPr>
              <w:rPr>
                <w:sz w:val="20"/>
                <w:szCs w:val="20"/>
                <w:lang w:val="es-ES"/>
              </w:rPr>
            </w:pPr>
            <w:r w:rsidRPr="005E3D50">
              <w:rPr>
                <w:sz w:val="20"/>
                <w:lang w:val="es-ES"/>
              </w:rPr>
              <w:t>62</w:t>
            </w:r>
          </w:p>
        </w:tc>
      </w:tr>
      <w:tr w:rsidR="009713BF" w:rsidRPr="005E3D50" w14:paraId="605A4309" w14:textId="77777777" w:rsidTr="006E6831">
        <w:tc>
          <w:tcPr>
            <w:tcW w:w="9016" w:type="dxa"/>
            <w:gridSpan w:val="2"/>
          </w:tcPr>
          <w:p w14:paraId="5C828FAA"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63 % de estos elementos en sus metas nacionales</w:t>
            </w:r>
          </w:p>
          <w:p w14:paraId="17CE4C85" w14:textId="77777777" w:rsidR="009713BF" w:rsidRPr="005E3D50" w:rsidRDefault="009713BF" w:rsidP="009713BF">
            <w:pPr>
              <w:rPr>
                <w:sz w:val="20"/>
                <w:szCs w:val="20"/>
                <w:lang w:val="es-ES"/>
              </w:rPr>
            </w:pPr>
          </w:p>
        </w:tc>
      </w:tr>
    </w:tbl>
    <w:p w14:paraId="01CA9D5F" w14:textId="77777777" w:rsidR="009713BF" w:rsidRPr="005E3D50" w:rsidRDefault="009713BF" w:rsidP="009713BF">
      <w:pPr>
        <w:rPr>
          <w:lang w:val="es-ES"/>
        </w:rPr>
      </w:pPr>
    </w:p>
    <w:p w14:paraId="5503E49B"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1165F6C4"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lastRenderedPageBreak/>
        <w:t>a</w:t>
      </w:r>
      <w:r w:rsidRPr="005E3D50">
        <w:rPr>
          <w:rFonts w:eastAsia="Times New Roman" w:cs="Times New Roman"/>
          <w:kern w:val="0"/>
          <w:sz w:val="16"/>
          <w:lang w:val="es-ES"/>
          <w14:ligatures w14:val="none"/>
        </w:rPr>
        <w:t xml:space="preserve">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30"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31"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0FB86944" w14:textId="77777777" w:rsidR="009713BF" w:rsidRPr="005E3D50" w:rsidRDefault="009713BF" w:rsidP="009713BF">
      <w:pPr>
        <w:rPr>
          <w:lang w:val="es-ES"/>
        </w:rPr>
      </w:pPr>
    </w:p>
    <w:p w14:paraId="30AB01B0" w14:textId="77777777" w:rsidR="009713BF" w:rsidRPr="005E3D50" w:rsidRDefault="009713BF" w:rsidP="009713BF">
      <w:pPr>
        <w:rPr>
          <w:lang w:val="es-ES"/>
        </w:rPr>
      </w:pPr>
      <w:r w:rsidRPr="005E3D50">
        <w:rPr>
          <w:lang w:val="es-ES"/>
        </w:rPr>
        <w:t>Los elementos individuales de la meta 11 se abordan en forma bastante pareja por las Partes en sus metas nacionales (véase el cuadro 24). Alrededor de dos tercios de las Partes han fijado metas que, en cierta medida, abordan la restauración, el mantenimiento y la mejora de las contribuciones de la naturaleza a las personas, entre ellas las funciones y los servicios de los ecosistemas, a través de soluciones basadas en la naturaleza y enfoques basados en los ecosistemas. Una proporción similar (entre 58 % y 66 %) de las Partes tienen metas nacionales para restaurar, mantener y mejorar la salud de los suelos, la polinización, la reducción del riesgo de enfermedades y la protección frente a peligros y desastres naturales.</w:t>
      </w:r>
    </w:p>
    <w:p w14:paraId="2B6C8851" w14:textId="77777777" w:rsidR="009713BF" w:rsidRPr="005E3D50" w:rsidRDefault="009713BF" w:rsidP="009713BF">
      <w:pPr>
        <w:rPr>
          <w:color w:val="000000" w:themeColor="text1"/>
          <w:lang w:val="es-ES"/>
        </w:rPr>
      </w:pPr>
      <w:r w:rsidRPr="005E3D50">
        <w:rPr>
          <w:lang w:val="es-ES"/>
        </w:rPr>
        <w:t>La meta 11 no incluye elementos cuantitativos específicos; no obstante, se relaciona estrechamente con las metas 2 y 3, para las cuales sí hay elementos cuantitativos, así como con las metas 8 y 10.</w:t>
      </w:r>
    </w:p>
    <w:p w14:paraId="7DB65AEC" w14:textId="77777777" w:rsidR="009713BF" w:rsidRPr="005E3D50" w:rsidRDefault="009713BF" w:rsidP="009713BF">
      <w:pPr>
        <w:rPr>
          <w:lang w:val="es-ES"/>
        </w:rPr>
      </w:pPr>
    </w:p>
    <w:p w14:paraId="57CB053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20" w:name="_Toc235821184"/>
      <w:r w:rsidRPr="005E3D50">
        <w:rPr>
          <w:rFonts w:eastAsiaTheme="majorEastAsia" w:cstheme="majorBidi"/>
          <w:color w:val="0F4761" w:themeColor="accent1" w:themeShade="BF"/>
          <w:lang w:val="es-ES"/>
        </w:rPr>
        <w:t>Indicadores de progresos</w:t>
      </w:r>
      <w:bookmarkEnd w:id="320"/>
    </w:p>
    <w:p w14:paraId="22942E5B"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29C319F3"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25 </w:t>
      </w:r>
    </w:p>
    <w:p w14:paraId="3CC73E4B"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11 del Marco</w:t>
      </w:r>
    </w:p>
    <w:p w14:paraId="42AD93DE" w14:textId="77777777" w:rsidR="009713BF" w:rsidRPr="005E3D50" w:rsidRDefault="009713BF" w:rsidP="009713BF">
      <w:pPr>
        <w:rPr>
          <w:lang w:val="es-ES" w:eastAsia="ja-JP"/>
        </w:rPr>
      </w:pPr>
    </w:p>
    <w:tbl>
      <w:tblPr>
        <w:tblW w:w="9016" w:type="dxa"/>
        <w:tblLook w:val="04A0" w:firstRow="1" w:lastRow="0" w:firstColumn="1" w:lastColumn="0" w:noHBand="0" w:noVBand="1"/>
      </w:tblPr>
      <w:tblGrid>
        <w:gridCol w:w="2506"/>
        <w:gridCol w:w="1884"/>
        <w:gridCol w:w="708"/>
        <w:gridCol w:w="3261"/>
        <w:gridCol w:w="657"/>
      </w:tblGrid>
      <w:tr w:rsidR="009713BF" w:rsidRPr="005E3D50" w14:paraId="78BDED46" w14:textId="77777777" w:rsidTr="006E6831">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180E969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02B3409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31C1F417"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0B3CC220" w14:textId="77777777" w:rsidTr="006E6831">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447BE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B.1: servicios brindados por los ecosistemas</w:t>
            </w:r>
          </w:p>
        </w:tc>
        <w:tc>
          <w:tcPr>
            <w:tcW w:w="1884" w:type="dxa"/>
            <w:tcBorders>
              <w:top w:val="single" w:sz="4" w:space="0" w:color="auto"/>
              <w:left w:val="nil"/>
              <w:bottom w:val="single" w:sz="4" w:space="0" w:color="auto"/>
              <w:right w:val="single" w:sz="4" w:space="0" w:color="auto"/>
            </w:tcBorders>
            <w:vAlign w:val="center"/>
            <w:hideMark/>
          </w:tcPr>
          <w:p w14:paraId="435164D8"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26 % de las Partes</w:t>
            </w:r>
          </w:p>
        </w:tc>
        <w:tc>
          <w:tcPr>
            <w:tcW w:w="708" w:type="dxa"/>
            <w:tcBorders>
              <w:top w:val="single" w:sz="4" w:space="0" w:color="auto"/>
              <w:left w:val="nil"/>
              <w:bottom w:val="single" w:sz="4" w:space="0" w:color="auto"/>
              <w:right w:val="nil"/>
            </w:tcBorders>
            <w:shd w:val="clear" w:color="auto" w:fill="FFC000"/>
            <w:vAlign w:val="center"/>
            <w:hideMark/>
          </w:tcPr>
          <w:p w14:paraId="249680D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3CD9B829"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Se registró en general una disminución del 2,5 % entre 2015 y 2023, período en el cual aumentaron los servicios </w:t>
            </w:r>
            <w:proofErr w:type="gramStart"/>
            <w:r w:rsidRPr="005E3D50">
              <w:rPr>
                <w:rFonts w:ascii="Aptos" w:hAnsi="Aptos"/>
                <w:color w:val="000000"/>
                <w:sz w:val="20"/>
                <w:lang w:val="es-ES"/>
              </w:rPr>
              <w:t>culturales</w:t>
            </w:r>
            <w:proofErr w:type="gramEnd"/>
            <w:r w:rsidRPr="005E3D50">
              <w:rPr>
                <w:rFonts w:ascii="Aptos" w:hAnsi="Aptos"/>
                <w:color w:val="000000"/>
                <w:sz w:val="20"/>
                <w:lang w:val="es-ES"/>
              </w:rPr>
              <w:t xml:space="preserve"> pero disminuyeron los servicios de regulación y de abastecimiento</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077AC0A2"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1FC9A24D" w14:textId="77777777" w:rsidTr="006E6831">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34EFECB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1884" w:type="dxa"/>
            <w:tcBorders>
              <w:top w:val="nil"/>
              <w:left w:val="nil"/>
              <w:bottom w:val="single" w:sz="4" w:space="0" w:color="auto"/>
              <w:right w:val="single" w:sz="4" w:space="0" w:color="auto"/>
            </w:tcBorders>
            <w:vAlign w:val="center"/>
            <w:hideMark/>
          </w:tcPr>
          <w:p w14:paraId="7359E174"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42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33 %</w:t>
            </w:r>
          </w:p>
        </w:tc>
        <w:tc>
          <w:tcPr>
            <w:tcW w:w="708" w:type="dxa"/>
            <w:tcBorders>
              <w:top w:val="nil"/>
              <w:left w:val="nil"/>
              <w:bottom w:val="single" w:sz="4" w:space="0" w:color="auto"/>
              <w:right w:val="nil"/>
            </w:tcBorders>
            <w:shd w:val="clear" w:color="000000" w:fill="FFC000"/>
            <w:vAlign w:val="center"/>
            <w:hideMark/>
          </w:tcPr>
          <w:p w14:paraId="5A2B145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41B7B7A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33 % registran tendencias positivas</w:t>
            </w:r>
          </w:p>
          <w:p w14:paraId="400D530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15 % registran tendencias negativas</w:t>
            </w:r>
          </w:p>
        </w:tc>
        <w:tc>
          <w:tcPr>
            <w:tcW w:w="657" w:type="dxa"/>
            <w:tcBorders>
              <w:top w:val="nil"/>
              <w:left w:val="single" w:sz="4" w:space="0" w:color="auto"/>
              <w:bottom w:val="single" w:sz="4" w:space="0" w:color="auto"/>
              <w:right w:val="single" w:sz="4" w:space="0" w:color="auto"/>
            </w:tcBorders>
            <w:shd w:val="clear" w:color="auto" w:fill="FFC000"/>
            <w:vAlign w:val="center"/>
          </w:tcPr>
          <w:p w14:paraId="5A378A8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2B5A78C3" w14:textId="77777777" w:rsidTr="006E6831">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15642E3B"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lastRenderedPageBreak/>
              <w:t>Observaciones</w:t>
            </w:r>
          </w:p>
        </w:tc>
        <w:tc>
          <w:tcPr>
            <w:tcW w:w="6510" w:type="dxa"/>
            <w:gridSpan w:val="4"/>
            <w:tcBorders>
              <w:top w:val="nil"/>
              <w:left w:val="nil"/>
              <w:bottom w:val="single" w:sz="4" w:space="0" w:color="auto"/>
              <w:right w:val="single" w:sz="4" w:space="0" w:color="auto"/>
            </w:tcBorders>
            <w:vAlign w:val="center"/>
          </w:tcPr>
          <w:p w14:paraId="3F4E4122"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eastAsia="en-CA"/>
                <w14:ligatures w14:val="none"/>
              </w:rPr>
            </w:pPr>
          </w:p>
          <w:p w14:paraId="38259BEE" w14:textId="77777777" w:rsidR="009713BF" w:rsidRPr="005E3D50" w:rsidRDefault="009713BF" w:rsidP="009713BF">
            <w:pPr>
              <w:spacing w:after="0" w:line="240" w:lineRule="auto"/>
              <w:rPr>
                <w:rFonts w:eastAsia="Times New Roman" w:cs="Times New Roman"/>
                <w:color w:val="000000"/>
                <w:kern w:val="0"/>
                <w:sz w:val="20"/>
                <w:szCs w:val="20"/>
                <w:lang w:val="es-ES"/>
                <w14:ligatures w14:val="none"/>
              </w:rPr>
            </w:pPr>
            <w:r w:rsidRPr="005E3D50">
              <w:rPr>
                <w:rFonts w:ascii="Aptos" w:hAnsi="Aptos"/>
                <w:color w:val="000000"/>
                <w:sz w:val="20"/>
                <w:lang w:val="es-ES"/>
              </w:rPr>
              <w:t>En muchas comunicaciones se emplearon incorrectamente dólares de los Estados Unidos (u otras monedas) en vez de un valor de índice para el indicador de cabecera; el empleo de monedas sería apropiado para el indicador de componente B.CT.3 (</w:t>
            </w:r>
            <w:r w:rsidRPr="005E3D50">
              <w:rPr>
                <w:sz w:val="20"/>
                <w:lang w:val="es-ES"/>
              </w:rPr>
              <w:t xml:space="preserve">valor total de los servicios de los ecosistemas en unidades monetarias) </w:t>
            </w:r>
          </w:p>
          <w:p w14:paraId="15DBC67D"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eastAsia="en-CA"/>
                <w14:ligatures w14:val="none"/>
              </w:rPr>
            </w:pPr>
          </w:p>
        </w:tc>
      </w:tr>
    </w:tbl>
    <w:p w14:paraId="48D79207"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1109F16F"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457FEF76"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58126E4A" w14:textId="77777777" w:rsidR="009713BF" w:rsidRPr="005E3D50" w:rsidRDefault="009713BF" w:rsidP="009713BF">
      <w:pPr>
        <w:rPr>
          <w:rFonts w:ascii="Aptos" w:hAnsi="Aptos" w:cs="Segoe UI"/>
          <w:lang w:val="es-ES"/>
        </w:rPr>
      </w:pPr>
      <w:r w:rsidRPr="005E3D50">
        <w:rPr>
          <w:rFonts w:ascii="Aptos" w:hAnsi="Aptos"/>
          <w:lang w:val="es-ES"/>
        </w:rPr>
        <w:t>Entre las Partes que presentaron datos para el indicador de cabecera B.1 (servicios brindados por los ecosistemas) (véase el cuadro 25), solo siete presentaron el índice esperado de “servicios brindados por los ecosistemas” para el que se brindaba orientación en los metadatos. Mucha de la información comunicada se proporcionó en forma de unidades brutas (por ejemplo, toneladas métricas o metros cúbicos) asociadas con servicios específicos de los ecosistemas. Si bien la mayoría de las Partes informan que han adoptado el Sistema de Contabilidad Ambiental y Económica – Contabilidad de los Ecosistemas (SCAE CE)</w:t>
      </w:r>
      <w:r w:rsidRPr="005E3D50">
        <w:rPr>
          <w:rFonts w:ascii="Aptos" w:hAnsi="Aptos" w:cs="Segoe UI"/>
          <w:vertAlign w:val="superscript"/>
          <w:lang w:val="es-ES"/>
        </w:rPr>
        <w:footnoteReference w:id="32"/>
      </w:r>
      <w:r w:rsidRPr="005E3D50">
        <w:rPr>
          <w:rFonts w:ascii="Aptos" w:hAnsi="Aptos"/>
          <w:lang w:val="es-ES"/>
        </w:rPr>
        <w:t>, muchas declaran que su aplicación está aún en las etapas de prueba y desarrollo, lo que significa que aún no están disponibles las cuentas de ecosistemas y servicios de los ecosistemas de las cuales depende el indicador. Entre las Partes que no incluyeron el índice, muchas optaron por informar sobre servicios relacionados con los bosques y el carbono, así como los relacionados con sectores productivos como la pesca.</w:t>
      </w:r>
    </w:p>
    <w:p w14:paraId="561DE05A" w14:textId="77777777" w:rsidR="009713BF" w:rsidRPr="005E3D50" w:rsidRDefault="009713BF" w:rsidP="009713BF">
      <w:pPr>
        <w:rPr>
          <w:rFonts w:ascii="Aptos" w:hAnsi="Aptos" w:cs="Segoe UI"/>
          <w:lang w:val="es-ES"/>
        </w:rPr>
      </w:pPr>
      <w:r w:rsidRPr="005E3D50">
        <w:rPr>
          <w:rFonts w:ascii="Aptos" w:hAnsi="Aptos"/>
          <w:lang w:val="es-ES"/>
        </w:rPr>
        <w:t xml:space="preserve">En el caso de las pocas Partes que presentaron información sobre el indicador de cabecera, se registró en promedio una reducción de los servicios de los ecosistemas entre 2015 y 2023, el intervalo de años para el que existían datos. Estas Partes proporcionaron datos tanto para el total agregado general como para los desgloses recomendados (categorías de servicios de los ecosistemas). En términos globales, el índice de servicios de los ecosistemas disminuyó y también se registró una disminución en los datos desglosados para los servicios de abastecimiento y de regulación. En los servicios culturales hubo fluctuaciones interanuales marcadas (véanse las </w:t>
      </w:r>
      <w:r w:rsidRPr="005E3D50">
        <w:rPr>
          <w:lang w:val="es-ES"/>
        </w:rPr>
        <w:t>figuras 49</w:t>
      </w:r>
      <w:r w:rsidRPr="005E3D50">
        <w:rPr>
          <w:rFonts w:ascii="Aptos" w:hAnsi="Aptos"/>
          <w:lang w:val="es-ES"/>
        </w:rPr>
        <w:t xml:space="preserve"> y </w:t>
      </w:r>
      <w:r w:rsidRPr="005E3D50">
        <w:rPr>
          <w:lang w:val="es-ES"/>
        </w:rPr>
        <w:t>50</w:t>
      </w:r>
      <w:r w:rsidRPr="005E3D50">
        <w:rPr>
          <w:rFonts w:ascii="Aptos" w:hAnsi="Aptos"/>
          <w:lang w:val="es-ES"/>
        </w:rPr>
        <w:t xml:space="preserve">). No obstante, los datos del indicador de cabecera solo pueden considerarse con carácter </w:t>
      </w:r>
      <w:r w:rsidRPr="005E3D50">
        <w:rPr>
          <w:rFonts w:ascii="Aptos" w:hAnsi="Aptos"/>
          <w:lang w:val="es-ES"/>
        </w:rPr>
        <w:lastRenderedPageBreak/>
        <w:t>experimental y no son indicativos de progresos colectivos, dado que son muy pocas las Partes que pudieron usar el índice para presentar datos.</w:t>
      </w:r>
    </w:p>
    <w:p w14:paraId="5334C3DF" w14:textId="77777777" w:rsidR="009713BF" w:rsidRPr="005E3D50" w:rsidRDefault="009713BF" w:rsidP="009713BF">
      <w:pPr>
        <w:rPr>
          <w:rFonts w:ascii="Aptos" w:hAnsi="Aptos" w:cs="Segoe UI"/>
          <w:lang w:val="es-ES"/>
        </w:rPr>
      </w:pPr>
      <w:r w:rsidRPr="005E3D50">
        <w:rPr>
          <w:rFonts w:ascii="Aptos" w:hAnsi="Aptos"/>
          <w:lang w:val="es-ES"/>
        </w:rPr>
        <w:t>Solo alrededor de un tercio de los indicadores nacionales comunicados por las Partes estaban directamente armonizados con elementos de la meta. Los indicadores armonizados se centran mayoritariamente en la calidad del aire y del agua. Por lo tanto, si bien se dispone de ciertos datos de varias Partes sobre las contribuciones de la naturaleza, no fue posible agregar los datos para cuantificar los progresos colectivos en la consecución de la meta 11. Del análisis de tendencias de todos los indicadores comunicados por las Partes (</w:t>
      </w:r>
      <w:r w:rsidRPr="005E3D50">
        <w:rPr>
          <w:lang w:val="es-ES"/>
        </w:rPr>
        <w:t>véase la figura 51</w:t>
      </w:r>
      <w:r w:rsidRPr="005E3D50">
        <w:rPr>
          <w:rFonts w:ascii="Aptos" w:hAnsi="Aptos"/>
          <w:lang w:val="es-ES"/>
        </w:rPr>
        <w:t xml:space="preserve">) surge que hay un porcentaje significativamente mayor de tendencias positivas (33 %) que de tendencias negativas (15 %), la mayoría de ellas relacionadas con servicios de regulación. </w:t>
      </w:r>
    </w:p>
    <w:p w14:paraId="2A4B206C" w14:textId="77777777" w:rsidR="009713BF" w:rsidRPr="005E3D50" w:rsidRDefault="009713BF" w:rsidP="009713BF">
      <w:pPr>
        <w:rPr>
          <w:rFonts w:ascii="Aptos" w:hAnsi="Aptos" w:cs="Segoe UI"/>
          <w:lang w:val="es-ES"/>
        </w:rPr>
      </w:pPr>
    </w:p>
    <w:p w14:paraId="1F27A3FB" w14:textId="77777777" w:rsidR="009713BF" w:rsidRPr="005E3D50" w:rsidRDefault="009713BF" w:rsidP="009713BF">
      <w:pPr>
        <w:rPr>
          <w:sz w:val="20"/>
          <w:szCs w:val="20"/>
          <w:lang w:val="es-ES"/>
        </w:rPr>
      </w:pPr>
      <w:bookmarkStart w:id="321" w:name="_Ref230634515"/>
      <w:r w:rsidRPr="005E3D50">
        <w:rPr>
          <w:sz w:val="20"/>
          <w:lang w:val="es-ES"/>
        </w:rPr>
        <w:t>Figura 49</w:t>
      </w:r>
      <w:bookmarkEnd w:id="321"/>
    </w:p>
    <w:p w14:paraId="4ECA985E" w14:textId="77777777" w:rsidR="009713BF" w:rsidRPr="005E3D50" w:rsidRDefault="009713BF" w:rsidP="009713BF">
      <w:pPr>
        <w:spacing w:after="200" w:line="240" w:lineRule="auto"/>
        <w:rPr>
          <w:rFonts w:ascii="Aptos" w:eastAsiaTheme="minorEastAsia" w:hAnsi="Aptos" w:cs="Segoe UI"/>
          <w:b/>
          <w:bCs/>
          <w:color w:val="0E2841" w:themeColor="text2"/>
          <w:kern w:val="0"/>
          <w:sz w:val="20"/>
          <w:szCs w:val="20"/>
          <w:lang w:val="es-ES" w:eastAsia="ja-JP"/>
          <w14:ligatures w14:val="none"/>
        </w:rPr>
      </w:pPr>
      <w:r w:rsidRPr="005E3D50">
        <w:rPr>
          <w:rFonts w:ascii="Aptos" w:eastAsiaTheme="minorEastAsia" w:hAnsi="Aptos"/>
          <w:b/>
          <w:iCs/>
          <w:color w:val="0E2841" w:themeColor="text2"/>
          <w:kern w:val="0"/>
          <w:sz w:val="20"/>
          <w:szCs w:val="18"/>
          <w:lang w:val="es-ES" w:eastAsia="ja-JP"/>
          <w14:ligatures w14:val="none"/>
        </w:rPr>
        <w:t>Indicador de cabecera B.1: servicios brindados por los ecosistemas (todos los servicios sobre los que se presentaron datos)</w:t>
      </w:r>
    </w:p>
    <w:p w14:paraId="4D44333A" w14:textId="77777777" w:rsidR="009713BF" w:rsidRPr="005E3D50" w:rsidRDefault="009713BF" w:rsidP="009713BF">
      <w:pPr>
        <w:rPr>
          <w:rFonts w:ascii="Aptos" w:hAnsi="Aptos" w:cs="Segoe UI"/>
          <w:sz w:val="20"/>
          <w:szCs w:val="20"/>
          <w:lang w:val="es-ES"/>
        </w:rPr>
      </w:pPr>
    </w:p>
    <w:p w14:paraId="4C6E132F" w14:textId="77777777" w:rsidR="009713BF" w:rsidRPr="005E3D50" w:rsidRDefault="009713BF" w:rsidP="009713BF">
      <w:pPr>
        <w:spacing w:after="0" w:line="240" w:lineRule="auto"/>
        <w:textAlignment w:val="baseline"/>
        <w:rPr>
          <w:rFonts w:ascii="Aptos" w:eastAsia="Times New Roman" w:hAnsi="Aptos" w:cs="Segoe UI"/>
          <w:color w:val="0F4761"/>
          <w:kern w:val="0"/>
          <w:lang w:val="es-ES"/>
          <w14:ligatures w14:val="none"/>
        </w:rPr>
      </w:pPr>
    </w:p>
    <w:p w14:paraId="35E2C71E"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kern w:val="0"/>
          <w:lang w:val="es-ES"/>
          <w14:ligatures w14:val="none"/>
        </w:rPr>
        <w:t> </w:t>
      </w:r>
      <w:r w:rsidRPr="005E3D50">
        <w:rPr>
          <w:rFonts w:ascii="Times New Roman" w:eastAsia="Times New Roman" w:hAnsi="Times New Roman" w:cs="Times New Roman"/>
          <w:noProof/>
          <w:kern w:val="0"/>
          <w:sz w:val="18"/>
          <w:lang w:val="en-US"/>
          <w14:ligatures w14:val="none"/>
        </w:rPr>
        <w:drawing>
          <wp:inline distT="0" distB="0" distL="0" distR="0" wp14:anchorId="5E05092A" wp14:editId="023D6E39">
            <wp:extent cx="5029200" cy="3772179"/>
            <wp:effectExtent l="0" t="0" r="0" b="0"/>
            <wp:docPr id="1272159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9747" name="Picture 1272159747"/>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058900" cy="3794456"/>
                    </a:xfrm>
                    <a:prstGeom prst="rect">
                      <a:avLst/>
                    </a:prstGeom>
                  </pic:spPr>
                </pic:pic>
              </a:graphicData>
            </a:graphic>
          </wp:inline>
        </w:drawing>
      </w:r>
    </w:p>
    <w:p w14:paraId="57FDA9F5" w14:textId="77777777" w:rsidR="009713BF" w:rsidRPr="005E3D50" w:rsidRDefault="009713BF" w:rsidP="009713BF">
      <w:pPr>
        <w:spacing w:after="200" w:line="240" w:lineRule="auto"/>
        <w:rPr>
          <w:rFonts w:ascii="Aptos" w:eastAsiaTheme="minorEastAsia" w:hAnsi="Aptos" w:cs="Segoe UI"/>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w:t>
      </w:r>
      <w:r w:rsidRPr="005E3D50">
        <w:rPr>
          <w:rFonts w:ascii="Aptos" w:eastAsiaTheme="minorEastAsia" w:hAnsi="Aptos"/>
          <w:i/>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Los valores del indicador muestran el promedio general y el intervalo intercuartílico de todas las comunicaciones de las Partes para cada año. </w:t>
      </w:r>
      <w:r w:rsidRPr="005E3D50">
        <w:rPr>
          <w:rFonts w:eastAsiaTheme="minorEastAsia"/>
          <w:iCs/>
          <w:color w:val="0E2841" w:themeColor="text2"/>
          <w:kern w:val="0"/>
          <w:sz w:val="18"/>
          <w:szCs w:val="18"/>
          <w:lang w:val="es-ES" w:eastAsia="ja-JP"/>
          <w14:ligatures w14:val="none"/>
        </w:rPr>
        <w:t xml:space="preserve">El gráfico de barras de la derecha muestra la distribución de las Partes que presentan </w:t>
      </w:r>
      <w:r w:rsidRPr="005E3D50">
        <w:rPr>
          <w:rFonts w:eastAsiaTheme="minorEastAsia"/>
          <w:iCs/>
          <w:color w:val="0E2841" w:themeColor="text2"/>
          <w:kern w:val="0"/>
          <w:sz w:val="18"/>
          <w:szCs w:val="18"/>
          <w:lang w:val="es-ES" w:eastAsia="ja-JP"/>
          <w14:ligatures w14:val="none"/>
        </w:rPr>
        <w:lastRenderedPageBreak/>
        <w:t xml:space="preserve">datos, por región. </w:t>
      </w:r>
      <w:r w:rsidRPr="005E3D50">
        <w:rPr>
          <w:rFonts w:ascii="Aptos" w:eastAsiaTheme="minorEastAsia" w:hAnsi="Aptos"/>
          <w:iCs/>
          <w:color w:val="0E2841" w:themeColor="text2"/>
          <w:kern w:val="0"/>
          <w:sz w:val="18"/>
          <w:szCs w:val="18"/>
          <w:lang w:val="es-ES" w:eastAsia="ja-JP"/>
          <w14:ligatures w14:val="none"/>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Cabe señalar que la representación regional de este indicador es extremadamente limitada y con un sesgo espacial, es decir, abarca pocas regiones. </w:t>
      </w:r>
    </w:p>
    <w:tbl>
      <w:tblPr>
        <w:tblStyle w:val="TableGrid"/>
        <w:tblW w:w="9373" w:type="dxa"/>
        <w:tblLook w:val="04A0" w:firstRow="1" w:lastRow="0" w:firstColumn="1" w:lastColumn="0" w:noHBand="0" w:noVBand="1"/>
      </w:tblPr>
      <w:tblGrid>
        <w:gridCol w:w="5164"/>
        <w:gridCol w:w="4209"/>
      </w:tblGrid>
      <w:tr w:rsidR="009C10D9" w:rsidRPr="009C10D9" w14:paraId="14BD2291" w14:textId="77777777" w:rsidTr="009C10D9">
        <w:tc>
          <w:tcPr>
            <w:tcW w:w="9373" w:type="dxa"/>
            <w:gridSpan w:val="2"/>
          </w:tcPr>
          <w:p w14:paraId="63C196A5" w14:textId="00582455" w:rsidR="009C10D9" w:rsidRPr="009C10D9" w:rsidRDefault="009C10D9" w:rsidP="00540A04">
            <w:pPr>
              <w:rPr>
                <w:sz w:val="18"/>
                <w:szCs w:val="18"/>
                <w:lang w:val="es-ES"/>
              </w:rPr>
            </w:pPr>
            <w:r w:rsidRPr="009C10D9">
              <w:rPr>
                <w:sz w:val="18"/>
                <w:szCs w:val="18"/>
                <w:lang w:val="es-ES"/>
              </w:rPr>
              <w:t>Figura 49</w:t>
            </w:r>
          </w:p>
        </w:tc>
      </w:tr>
      <w:tr w:rsidR="009C10D9" w:rsidRPr="009C10D9" w14:paraId="2E8A651D" w14:textId="77777777" w:rsidTr="009C10D9">
        <w:tc>
          <w:tcPr>
            <w:tcW w:w="5164" w:type="dxa"/>
          </w:tcPr>
          <w:p w14:paraId="091D79B2" w14:textId="77777777" w:rsidR="009C10D9" w:rsidRPr="009C10D9" w:rsidRDefault="009C10D9" w:rsidP="00540A04">
            <w:pPr>
              <w:spacing w:line="278" w:lineRule="auto"/>
              <w:rPr>
                <w:sz w:val="18"/>
                <w:szCs w:val="18"/>
                <w:lang w:val="es-ES"/>
              </w:rPr>
            </w:pPr>
            <w:r w:rsidRPr="009C10D9">
              <w:rPr>
                <w:sz w:val="18"/>
                <w:szCs w:val="18"/>
                <w:lang w:val="es-ES"/>
              </w:rPr>
              <w:t xml:space="preserve">English </w:t>
            </w:r>
          </w:p>
        </w:tc>
        <w:tc>
          <w:tcPr>
            <w:tcW w:w="4208" w:type="dxa"/>
          </w:tcPr>
          <w:p w14:paraId="4AD2694C" w14:textId="176A26AE" w:rsidR="009C10D9" w:rsidRPr="009C10D9" w:rsidRDefault="007371B4" w:rsidP="00540A04">
            <w:pPr>
              <w:spacing w:line="278" w:lineRule="auto"/>
              <w:rPr>
                <w:sz w:val="18"/>
                <w:szCs w:val="18"/>
                <w:lang w:val="es-ES"/>
              </w:rPr>
            </w:pPr>
            <w:r>
              <w:rPr>
                <w:sz w:val="18"/>
                <w:szCs w:val="18"/>
                <w:lang w:val="es-ES"/>
              </w:rPr>
              <w:t>Español</w:t>
            </w:r>
          </w:p>
        </w:tc>
      </w:tr>
      <w:tr w:rsidR="009C10D9" w:rsidRPr="009C10D9" w14:paraId="759ECCA8" w14:textId="77777777" w:rsidTr="009C10D9">
        <w:tc>
          <w:tcPr>
            <w:tcW w:w="5164" w:type="dxa"/>
          </w:tcPr>
          <w:p w14:paraId="0E55CC13" w14:textId="77777777" w:rsidR="009C10D9" w:rsidRPr="009C10D9" w:rsidRDefault="009C10D9" w:rsidP="00540A04">
            <w:pPr>
              <w:spacing w:line="278" w:lineRule="auto"/>
              <w:rPr>
                <w:sz w:val="18"/>
                <w:szCs w:val="18"/>
                <w:lang w:val="en-US"/>
              </w:rPr>
            </w:pPr>
            <w:r w:rsidRPr="009C10D9">
              <w:rPr>
                <w:sz w:val="18"/>
                <w:szCs w:val="18"/>
                <w:lang w:val="en-US"/>
              </w:rPr>
              <w:t>Services provided by ecosystems (index)</w:t>
            </w:r>
          </w:p>
        </w:tc>
        <w:tc>
          <w:tcPr>
            <w:tcW w:w="4208" w:type="dxa"/>
          </w:tcPr>
          <w:p w14:paraId="0C82B3C5" w14:textId="53F4A9DB" w:rsidR="009C10D9" w:rsidRPr="009C10D9" w:rsidRDefault="009C10D9" w:rsidP="00540A04">
            <w:pPr>
              <w:spacing w:line="278" w:lineRule="auto"/>
              <w:rPr>
                <w:sz w:val="18"/>
                <w:szCs w:val="18"/>
                <w:lang w:val="es-ES"/>
              </w:rPr>
            </w:pPr>
            <w:r w:rsidRPr="009C10D9">
              <w:rPr>
                <w:sz w:val="18"/>
                <w:szCs w:val="18"/>
                <w:lang w:val="es-ES"/>
              </w:rPr>
              <w:t>Servicios brindados por los ecosistemas (índice)</w:t>
            </w:r>
          </w:p>
        </w:tc>
      </w:tr>
      <w:tr w:rsidR="009C10D9" w:rsidRPr="009C10D9" w14:paraId="7E04447C" w14:textId="77777777" w:rsidTr="009C10D9">
        <w:tc>
          <w:tcPr>
            <w:tcW w:w="5164" w:type="dxa"/>
          </w:tcPr>
          <w:p w14:paraId="681E4110" w14:textId="77777777" w:rsidR="009C10D9" w:rsidRPr="009C10D9" w:rsidRDefault="009C10D9" w:rsidP="00540A04">
            <w:pPr>
              <w:spacing w:line="278" w:lineRule="auto"/>
              <w:rPr>
                <w:sz w:val="18"/>
                <w:szCs w:val="18"/>
                <w:lang w:val="es-ES"/>
              </w:rPr>
            </w:pPr>
            <w:proofErr w:type="spellStart"/>
            <w:r w:rsidRPr="009C10D9">
              <w:rPr>
                <w:sz w:val="18"/>
                <w:szCs w:val="18"/>
                <w:lang w:val="es-ES"/>
              </w:rPr>
              <w:t>Year</w:t>
            </w:r>
            <w:proofErr w:type="spellEnd"/>
          </w:p>
        </w:tc>
        <w:tc>
          <w:tcPr>
            <w:tcW w:w="4208" w:type="dxa"/>
          </w:tcPr>
          <w:p w14:paraId="6BB302B6" w14:textId="6C251EC8" w:rsidR="009C10D9" w:rsidRPr="009C10D9" w:rsidRDefault="009C10D9" w:rsidP="00540A04">
            <w:pPr>
              <w:spacing w:line="278" w:lineRule="auto"/>
              <w:rPr>
                <w:sz w:val="18"/>
                <w:szCs w:val="18"/>
                <w:lang w:val="es-ES"/>
              </w:rPr>
            </w:pPr>
            <w:r w:rsidRPr="009C10D9">
              <w:rPr>
                <w:sz w:val="18"/>
                <w:szCs w:val="18"/>
                <w:lang w:val="es-ES"/>
              </w:rPr>
              <w:t>Año</w:t>
            </w:r>
          </w:p>
        </w:tc>
      </w:tr>
      <w:tr w:rsidR="009C10D9" w:rsidRPr="009C10D9" w14:paraId="67A6035C" w14:textId="77777777" w:rsidTr="009C10D9">
        <w:tc>
          <w:tcPr>
            <w:tcW w:w="5164" w:type="dxa"/>
          </w:tcPr>
          <w:p w14:paraId="04C441C3" w14:textId="77777777" w:rsidR="009C10D9" w:rsidRPr="009C10D9" w:rsidRDefault="009C10D9" w:rsidP="00540A04">
            <w:pPr>
              <w:spacing w:line="278" w:lineRule="auto"/>
              <w:rPr>
                <w:sz w:val="18"/>
                <w:szCs w:val="18"/>
                <w:lang w:val="es-ES"/>
              </w:rPr>
            </w:pPr>
            <w:r w:rsidRPr="009C10D9">
              <w:rPr>
                <w:sz w:val="18"/>
                <w:szCs w:val="18"/>
                <w:lang w:val="es-ES"/>
              </w:rPr>
              <w:t xml:space="preserve">Party </w:t>
            </w:r>
            <w:proofErr w:type="spellStart"/>
            <w:r w:rsidRPr="009C10D9">
              <w:rPr>
                <w:sz w:val="18"/>
                <w:szCs w:val="18"/>
                <w:lang w:val="es-ES"/>
              </w:rPr>
              <w:t>count</w:t>
            </w:r>
            <w:proofErr w:type="spellEnd"/>
            <w:r w:rsidRPr="009C10D9">
              <w:rPr>
                <w:sz w:val="18"/>
                <w:szCs w:val="18"/>
                <w:lang w:val="es-ES"/>
              </w:rPr>
              <w:t>: 7</w:t>
            </w:r>
          </w:p>
        </w:tc>
        <w:tc>
          <w:tcPr>
            <w:tcW w:w="4208" w:type="dxa"/>
          </w:tcPr>
          <w:p w14:paraId="781B7AED" w14:textId="671AD1E5" w:rsidR="009C10D9" w:rsidRPr="009C10D9" w:rsidRDefault="009C10D9" w:rsidP="00540A04">
            <w:pPr>
              <w:spacing w:line="278" w:lineRule="auto"/>
              <w:rPr>
                <w:sz w:val="18"/>
                <w:szCs w:val="18"/>
                <w:lang w:val="es-ES"/>
              </w:rPr>
            </w:pPr>
            <w:r w:rsidRPr="009C10D9">
              <w:rPr>
                <w:sz w:val="18"/>
                <w:szCs w:val="18"/>
                <w:lang w:val="es-ES"/>
              </w:rPr>
              <w:t>Número de Partes: 7</w:t>
            </w:r>
          </w:p>
        </w:tc>
      </w:tr>
      <w:tr w:rsidR="009C10D9" w:rsidRPr="009C10D9" w14:paraId="415DDA5D" w14:textId="77777777" w:rsidTr="009C10D9">
        <w:tc>
          <w:tcPr>
            <w:tcW w:w="5164" w:type="dxa"/>
          </w:tcPr>
          <w:p w14:paraId="66DBD23C" w14:textId="77777777" w:rsidR="009C10D9" w:rsidRPr="009C10D9" w:rsidRDefault="009C10D9" w:rsidP="00540A04">
            <w:pPr>
              <w:spacing w:line="278" w:lineRule="auto"/>
              <w:rPr>
                <w:sz w:val="18"/>
                <w:szCs w:val="18"/>
                <w:lang w:val="es-ES"/>
              </w:rPr>
            </w:pPr>
            <w:r w:rsidRPr="009C10D9">
              <w:rPr>
                <w:sz w:val="18"/>
                <w:szCs w:val="18"/>
                <w:lang w:val="es-ES"/>
              </w:rPr>
              <w:t xml:space="preserve">Party </w:t>
            </w:r>
            <w:proofErr w:type="spellStart"/>
            <w:r w:rsidRPr="009C10D9">
              <w:rPr>
                <w:sz w:val="18"/>
                <w:szCs w:val="18"/>
                <w:lang w:val="es-ES"/>
              </w:rPr>
              <w:t>count</w:t>
            </w:r>
            <w:proofErr w:type="spellEnd"/>
            <w:r w:rsidRPr="009C10D9">
              <w:rPr>
                <w:sz w:val="18"/>
                <w:szCs w:val="18"/>
                <w:lang w:val="es-ES"/>
              </w:rPr>
              <w:t xml:space="preserve"> </w:t>
            </w:r>
            <w:proofErr w:type="spellStart"/>
            <w:r w:rsidRPr="009C10D9">
              <w:rPr>
                <w:sz w:val="18"/>
                <w:szCs w:val="18"/>
                <w:lang w:val="es-ES"/>
              </w:rPr>
              <w:t>by</w:t>
            </w:r>
            <w:proofErr w:type="spellEnd"/>
            <w:r w:rsidRPr="009C10D9">
              <w:rPr>
                <w:sz w:val="18"/>
                <w:szCs w:val="18"/>
                <w:lang w:val="es-ES"/>
              </w:rPr>
              <w:t xml:space="preserve"> </w:t>
            </w:r>
            <w:proofErr w:type="spellStart"/>
            <w:r w:rsidRPr="009C10D9">
              <w:rPr>
                <w:sz w:val="18"/>
                <w:szCs w:val="18"/>
                <w:lang w:val="es-ES"/>
              </w:rPr>
              <w:t>region</w:t>
            </w:r>
            <w:proofErr w:type="spellEnd"/>
          </w:p>
        </w:tc>
        <w:tc>
          <w:tcPr>
            <w:tcW w:w="4208" w:type="dxa"/>
          </w:tcPr>
          <w:p w14:paraId="1A1D44A1" w14:textId="0AF3261F" w:rsidR="009C10D9" w:rsidRPr="009C10D9" w:rsidRDefault="009C10D9" w:rsidP="00540A04">
            <w:pPr>
              <w:spacing w:line="278" w:lineRule="auto"/>
              <w:rPr>
                <w:sz w:val="18"/>
                <w:szCs w:val="18"/>
                <w:lang w:val="es-ES"/>
              </w:rPr>
            </w:pPr>
            <w:r w:rsidRPr="009C10D9">
              <w:rPr>
                <w:sz w:val="18"/>
                <w:szCs w:val="18"/>
                <w:lang w:val="es-ES"/>
              </w:rPr>
              <w:t>Número de Partes por región</w:t>
            </w:r>
          </w:p>
        </w:tc>
      </w:tr>
      <w:tr w:rsidR="009C10D9" w:rsidRPr="009C10D9" w14:paraId="37DDF685" w14:textId="77777777" w:rsidTr="009C10D9">
        <w:tc>
          <w:tcPr>
            <w:tcW w:w="5164" w:type="dxa"/>
          </w:tcPr>
          <w:p w14:paraId="488F0909" w14:textId="77777777" w:rsidR="009C10D9" w:rsidRPr="009C10D9" w:rsidRDefault="009C10D9" w:rsidP="00540A04">
            <w:pPr>
              <w:spacing w:line="278" w:lineRule="auto"/>
              <w:rPr>
                <w:sz w:val="18"/>
                <w:szCs w:val="18"/>
                <w:lang w:val="es-ES"/>
              </w:rPr>
            </w:pPr>
            <w:proofErr w:type="spellStart"/>
            <w:r w:rsidRPr="009C10D9">
              <w:rPr>
                <w:sz w:val="18"/>
                <w:szCs w:val="18"/>
                <w:lang w:val="es-ES"/>
              </w:rPr>
              <w:t>Region</w:t>
            </w:r>
            <w:proofErr w:type="spellEnd"/>
          </w:p>
        </w:tc>
        <w:tc>
          <w:tcPr>
            <w:tcW w:w="4208" w:type="dxa"/>
          </w:tcPr>
          <w:p w14:paraId="325A83A6" w14:textId="2D0A2444" w:rsidR="009C10D9" w:rsidRPr="009C10D9" w:rsidRDefault="009C10D9" w:rsidP="00540A04">
            <w:pPr>
              <w:spacing w:line="278" w:lineRule="auto"/>
              <w:rPr>
                <w:sz w:val="18"/>
                <w:szCs w:val="18"/>
                <w:lang w:val="es-ES"/>
              </w:rPr>
            </w:pPr>
            <w:r w:rsidRPr="009C10D9">
              <w:rPr>
                <w:sz w:val="18"/>
                <w:szCs w:val="18"/>
                <w:lang w:val="es-ES"/>
              </w:rPr>
              <w:t>Región</w:t>
            </w:r>
          </w:p>
        </w:tc>
      </w:tr>
      <w:tr w:rsidR="009C10D9" w:rsidRPr="009C10D9" w14:paraId="513C2AAC" w14:textId="77777777" w:rsidTr="009C10D9">
        <w:tc>
          <w:tcPr>
            <w:tcW w:w="5164" w:type="dxa"/>
          </w:tcPr>
          <w:p w14:paraId="59471AC4" w14:textId="77777777" w:rsidR="009C10D9" w:rsidRPr="009C10D9" w:rsidRDefault="009C10D9" w:rsidP="00540A04">
            <w:pPr>
              <w:spacing w:line="278" w:lineRule="auto"/>
              <w:rPr>
                <w:sz w:val="18"/>
                <w:szCs w:val="18"/>
                <w:lang w:val="es-ES"/>
              </w:rPr>
            </w:pPr>
            <w:r w:rsidRPr="009C10D9">
              <w:rPr>
                <w:sz w:val="18"/>
                <w:szCs w:val="18"/>
                <w:lang w:val="es-ES"/>
              </w:rPr>
              <w:t>African States</w:t>
            </w:r>
          </w:p>
        </w:tc>
        <w:tc>
          <w:tcPr>
            <w:tcW w:w="4208" w:type="dxa"/>
          </w:tcPr>
          <w:p w14:paraId="17DAB1DD" w14:textId="791E1699" w:rsidR="009C10D9" w:rsidRPr="009C10D9" w:rsidRDefault="009C10D9" w:rsidP="00540A04">
            <w:pPr>
              <w:spacing w:line="278" w:lineRule="auto"/>
              <w:rPr>
                <w:sz w:val="18"/>
                <w:szCs w:val="18"/>
                <w:lang w:val="es-ES"/>
              </w:rPr>
            </w:pPr>
            <w:r w:rsidRPr="009C10D9">
              <w:rPr>
                <w:sz w:val="18"/>
                <w:szCs w:val="18"/>
                <w:lang w:val="es-ES"/>
              </w:rPr>
              <w:t>Estados de África</w:t>
            </w:r>
          </w:p>
        </w:tc>
      </w:tr>
      <w:tr w:rsidR="009C10D9" w:rsidRPr="009C10D9" w14:paraId="33E583EF" w14:textId="77777777" w:rsidTr="009C10D9">
        <w:tc>
          <w:tcPr>
            <w:tcW w:w="5164" w:type="dxa"/>
          </w:tcPr>
          <w:p w14:paraId="0C3DFA61" w14:textId="77777777" w:rsidR="009C10D9" w:rsidRPr="009C10D9" w:rsidRDefault="009C10D9" w:rsidP="00540A04">
            <w:pPr>
              <w:spacing w:line="278" w:lineRule="auto"/>
              <w:rPr>
                <w:sz w:val="18"/>
                <w:szCs w:val="18"/>
                <w:lang w:val="es-ES"/>
              </w:rPr>
            </w:pPr>
            <w:r w:rsidRPr="009C10D9">
              <w:rPr>
                <w:sz w:val="18"/>
                <w:szCs w:val="18"/>
                <w:lang w:val="es-ES"/>
              </w:rPr>
              <w:t>Asia-Pacific States</w:t>
            </w:r>
          </w:p>
        </w:tc>
        <w:tc>
          <w:tcPr>
            <w:tcW w:w="4208" w:type="dxa"/>
          </w:tcPr>
          <w:p w14:paraId="40BB1250" w14:textId="1255D9E1" w:rsidR="009C10D9" w:rsidRPr="009C10D9" w:rsidRDefault="009C10D9" w:rsidP="00540A04">
            <w:pPr>
              <w:spacing w:line="278" w:lineRule="auto"/>
              <w:rPr>
                <w:sz w:val="18"/>
                <w:szCs w:val="18"/>
                <w:lang w:val="es-ES"/>
              </w:rPr>
            </w:pPr>
            <w:r w:rsidRPr="009C10D9">
              <w:rPr>
                <w:sz w:val="18"/>
                <w:szCs w:val="18"/>
                <w:lang w:val="es-ES"/>
              </w:rPr>
              <w:t>Estados de Asia y el Pacífico</w:t>
            </w:r>
          </w:p>
        </w:tc>
      </w:tr>
      <w:tr w:rsidR="009C10D9" w:rsidRPr="009C10D9" w14:paraId="3C35CC57" w14:textId="77777777" w:rsidTr="009C10D9">
        <w:tc>
          <w:tcPr>
            <w:tcW w:w="5164" w:type="dxa"/>
          </w:tcPr>
          <w:p w14:paraId="07032F89" w14:textId="77777777" w:rsidR="009C10D9" w:rsidRPr="009C10D9" w:rsidRDefault="009C10D9" w:rsidP="00540A04">
            <w:pPr>
              <w:spacing w:line="278" w:lineRule="auto"/>
              <w:rPr>
                <w:sz w:val="18"/>
                <w:szCs w:val="18"/>
                <w:lang w:val="en-US"/>
              </w:rPr>
            </w:pPr>
            <w:r w:rsidRPr="009C10D9">
              <w:rPr>
                <w:sz w:val="18"/>
                <w:szCs w:val="18"/>
                <w:lang w:val="en-US"/>
              </w:rPr>
              <w:t>Latin American and Caribbean States</w:t>
            </w:r>
          </w:p>
        </w:tc>
        <w:tc>
          <w:tcPr>
            <w:tcW w:w="4208" w:type="dxa"/>
          </w:tcPr>
          <w:p w14:paraId="204347BB" w14:textId="02944E9B" w:rsidR="009C10D9" w:rsidRPr="009C10D9" w:rsidRDefault="009C10D9" w:rsidP="00540A04">
            <w:pPr>
              <w:spacing w:line="278" w:lineRule="auto"/>
              <w:rPr>
                <w:sz w:val="18"/>
                <w:szCs w:val="18"/>
                <w:lang w:val="es-ES"/>
              </w:rPr>
            </w:pPr>
            <w:r w:rsidRPr="009C10D9">
              <w:rPr>
                <w:sz w:val="18"/>
                <w:szCs w:val="18"/>
                <w:lang w:val="es-ES"/>
              </w:rPr>
              <w:t>Estados de América Latina y el Caribe</w:t>
            </w:r>
          </w:p>
        </w:tc>
      </w:tr>
      <w:tr w:rsidR="009C10D9" w:rsidRPr="009C10D9" w14:paraId="282A8BCE" w14:textId="77777777" w:rsidTr="009C10D9">
        <w:tc>
          <w:tcPr>
            <w:tcW w:w="5164" w:type="dxa"/>
          </w:tcPr>
          <w:p w14:paraId="76ECF8D9" w14:textId="77777777" w:rsidR="009C10D9" w:rsidRPr="009C10D9" w:rsidRDefault="009C10D9" w:rsidP="00540A04">
            <w:pPr>
              <w:spacing w:line="278" w:lineRule="auto"/>
              <w:rPr>
                <w:sz w:val="18"/>
                <w:szCs w:val="18"/>
                <w:lang w:val="es-ES"/>
              </w:rPr>
            </w:pPr>
            <w:r w:rsidRPr="009C10D9">
              <w:rPr>
                <w:sz w:val="18"/>
                <w:szCs w:val="18"/>
                <w:lang w:val="es-ES"/>
              </w:rPr>
              <w:t xml:space="preserve"> Eastern European States</w:t>
            </w:r>
          </w:p>
        </w:tc>
        <w:tc>
          <w:tcPr>
            <w:tcW w:w="4208" w:type="dxa"/>
          </w:tcPr>
          <w:p w14:paraId="7C139577" w14:textId="0E9836D3" w:rsidR="009C10D9" w:rsidRPr="009C10D9" w:rsidRDefault="009C10D9" w:rsidP="00540A04">
            <w:pPr>
              <w:spacing w:line="278" w:lineRule="auto"/>
              <w:rPr>
                <w:sz w:val="18"/>
                <w:szCs w:val="18"/>
                <w:lang w:val="es-ES"/>
              </w:rPr>
            </w:pPr>
            <w:r w:rsidRPr="009C10D9">
              <w:rPr>
                <w:sz w:val="18"/>
                <w:szCs w:val="18"/>
                <w:lang w:val="es-ES"/>
              </w:rPr>
              <w:t>Estados de Europa Oriental</w:t>
            </w:r>
          </w:p>
        </w:tc>
      </w:tr>
      <w:tr w:rsidR="009C10D9" w:rsidRPr="009C10D9" w14:paraId="3C86BC78" w14:textId="77777777" w:rsidTr="009C10D9">
        <w:tc>
          <w:tcPr>
            <w:tcW w:w="5164" w:type="dxa"/>
          </w:tcPr>
          <w:p w14:paraId="03421B95" w14:textId="77777777" w:rsidR="009C10D9" w:rsidRPr="009C10D9" w:rsidRDefault="009C10D9" w:rsidP="00540A04">
            <w:pPr>
              <w:spacing w:line="278" w:lineRule="auto"/>
              <w:rPr>
                <w:sz w:val="18"/>
                <w:szCs w:val="18"/>
                <w:lang w:val="en-US"/>
              </w:rPr>
            </w:pPr>
            <w:r w:rsidRPr="009C10D9">
              <w:rPr>
                <w:sz w:val="18"/>
                <w:szCs w:val="18"/>
                <w:lang w:val="en-US"/>
              </w:rPr>
              <w:t>Western European and other States</w:t>
            </w:r>
          </w:p>
        </w:tc>
        <w:tc>
          <w:tcPr>
            <w:tcW w:w="4208" w:type="dxa"/>
          </w:tcPr>
          <w:p w14:paraId="1A28CA05" w14:textId="007BFE12" w:rsidR="009C10D9" w:rsidRPr="009C10D9" w:rsidRDefault="009C10D9" w:rsidP="00540A04">
            <w:pPr>
              <w:spacing w:line="278" w:lineRule="auto"/>
              <w:rPr>
                <w:sz w:val="18"/>
                <w:szCs w:val="18"/>
                <w:lang w:val="es-ES"/>
              </w:rPr>
            </w:pPr>
            <w:r w:rsidRPr="009C10D9">
              <w:rPr>
                <w:sz w:val="18"/>
                <w:szCs w:val="18"/>
                <w:lang w:val="es-ES"/>
              </w:rPr>
              <w:t>Estados de Europa Occidental y otros Estados</w:t>
            </w:r>
          </w:p>
        </w:tc>
      </w:tr>
    </w:tbl>
    <w:p w14:paraId="396DF099" w14:textId="77777777" w:rsidR="009713BF" w:rsidRPr="005E3D50" w:rsidRDefault="009713BF" w:rsidP="009713BF">
      <w:pPr>
        <w:rPr>
          <w:lang w:val="es-ES" w:eastAsia="ja-JP"/>
        </w:rPr>
      </w:pPr>
    </w:p>
    <w:p w14:paraId="49B3FA31" w14:textId="77777777" w:rsidR="009713BF" w:rsidRPr="005E3D50" w:rsidRDefault="009713BF" w:rsidP="009713BF">
      <w:pPr>
        <w:rPr>
          <w:sz w:val="20"/>
          <w:szCs w:val="20"/>
          <w:lang w:val="es-ES"/>
        </w:rPr>
      </w:pPr>
      <w:r w:rsidRPr="005E3D50">
        <w:rPr>
          <w:sz w:val="20"/>
          <w:lang w:val="es-ES"/>
        </w:rPr>
        <w:t>Figura 50</w:t>
      </w:r>
    </w:p>
    <w:p w14:paraId="18921720" w14:textId="77777777" w:rsidR="009713BF" w:rsidRPr="005E3D50" w:rsidRDefault="009713BF" w:rsidP="009713BF">
      <w:pPr>
        <w:spacing w:after="200" w:line="240" w:lineRule="auto"/>
        <w:rPr>
          <w:rFonts w:ascii="Aptos" w:eastAsiaTheme="minorEastAsia" w:hAnsi="Aptos" w:cs="Segoe UI"/>
          <w:b/>
          <w:bCs/>
          <w:color w:val="0E2841" w:themeColor="text2"/>
          <w:kern w:val="0"/>
          <w:sz w:val="20"/>
          <w:szCs w:val="20"/>
          <w:lang w:val="es-ES" w:eastAsia="ja-JP"/>
          <w14:ligatures w14:val="none"/>
        </w:rPr>
      </w:pPr>
      <w:r w:rsidRPr="005E3D50">
        <w:rPr>
          <w:rFonts w:ascii="Aptos" w:eastAsiaTheme="minorEastAsia" w:hAnsi="Aptos"/>
          <w:b/>
          <w:iCs/>
          <w:color w:val="0E2841" w:themeColor="text2"/>
          <w:kern w:val="0"/>
          <w:sz w:val="20"/>
          <w:szCs w:val="18"/>
          <w:lang w:val="es-ES" w:eastAsia="ja-JP"/>
          <w14:ligatures w14:val="none"/>
        </w:rPr>
        <w:t>Indicador de cabecera B.1: servicios brindados por los ecosistemas (desglosados por categoría de servicios de los ecosistemas)</w:t>
      </w:r>
    </w:p>
    <w:p w14:paraId="378DDAA0" w14:textId="77777777" w:rsidR="009713BF" w:rsidRPr="005E3D50" w:rsidRDefault="009713BF" w:rsidP="009713BF">
      <w:pPr>
        <w:rPr>
          <w:sz w:val="20"/>
          <w:szCs w:val="20"/>
          <w:lang w:val="es-ES"/>
        </w:rPr>
      </w:pPr>
    </w:p>
    <w:p w14:paraId="58090836" w14:textId="77777777" w:rsidR="009713BF" w:rsidRPr="005E3D50" w:rsidRDefault="009713BF" w:rsidP="009713BF">
      <w:pPr>
        <w:rPr>
          <w:sz w:val="20"/>
          <w:szCs w:val="20"/>
          <w:lang w:val="es-ES" w:eastAsia="ja-JP"/>
        </w:rPr>
      </w:pPr>
    </w:p>
    <w:p w14:paraId="6D8CE285" w14:textId="77777777" w:rsidR="009713BF" w:rsidRPr="005E3D50" w:rsidRDefault="009713BF" w:rsidP="009713BF">
      <w:pPr>
        <w:rPr>
          <w:lang w:val="es-ES" w:eastAsia="ja-JP"/>
        </w:rPr>
      </w:pPr>
    </w:p>
    <w:p w14:paraId="50DAFF87" w14:textId="77777777" w:rsidR="009713BF" w:rsidRPr="005E3D50" w:rsidRDefault="009713BF" w:rsidP="009713BF">
      <w:pPr>
        <w:spacing w:after="0" w:line="240" w:lineRule="auto"/>
        <w:textAlignment w:val="baseline"/>
        <w:rPr>
          <w:rFonts w:ascii="Aptos" w:eastAsia="Times New Roman" w:hAnsi="Aptos" w:cs="Segoe UI"/>
          <w:kern w:val="0"/>
          <w:sz w:val="18"/>
          <w:szCs w:val="18"/>
          <w:lang w:val="es-ES"/>
          <w14:ligatures w14:val="none"/>
        </w:rPr>
      </w:pPr>
      <w:r w:rsidRPr="005E3D50">
        <w:rPr>
          <w:rFonts w:ascii="Aptos" w:eastAsia="Times New Roman" w:hAnsi="Aptos" w:cs="Times New Roman"/>
          <w:noProof/>
          <w:kern w:val="0"/>
          <w:sz w:val="18"/>
          <w:lang w:val="en-US"/>
          <w14:ligatures w14:val="none"/>
        </w:rPr>
        <w:lastRenderedPageBreak/>
        <w:drawing>
          <wp:inline distT="0" distB="0" distL="0" distR="0" wp14:anchorId="09BA2BA5" wp14:editId="46290F7E">
            <wp:extent cx="4666004" cy="3499761"/>
            <wp:effectExtent l="0" t="0" r="0" b="5715"/>
            <wp:docPr id="2077512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928" name="Picture 2077512928"/>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4687517" cy="3515897"/>
                    </a:xfrm>
                    <a:prstGeom prst="rect">
                      <a:avLst/>
                    </a:prstGeom>
                  </pic:spPr>
                </pic:pic>
              </a:graphicData>
            </a:graphic>
          </wp:inline>
        </w:drawing>
      </w:r>
    </w:p>
    <w:p w14:paraId="7C89B794"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xml:space="preserve">: Los valores del indicador muestran el promedio general y el intervalo intercuartílico de todas las comunicaciones de las Partes para cada año en cada una de las tres categorías de servicios de los ecosistemas. </w:t>
      </w:r>
      <w:r w:rsidRPr="005E3D50">
        <w:rPr>
          <w:rFonts w:eastAsiaTheme="minorEastAsia"/>
          <w:iCs/>
          <w:color w:val="0E2841" w:themeColor="text2"/>
          <w:kern w:val="0"/>
          <w:sz w:val="18"/>
          <w:szCs w:val="18"/>
          <w:lang w:val="es-ES" w:eastAsia="ja-JP"/>
          <w14:ligatures w14:val="none"/>
        </w:rPr>
        <w:t xml:space="preserve">El gráfico de barras de la derecha muestra la distribución de las Partes que presentan datos, por región. </w:t>
      </w:r>
      <w:r w:rsidRPr="005E3D50">
        <w:rPr>
          <w:rFonts w:ascii="Aptos" w:eastAsiaTheme="minorEastAsia" w:hAnsi="Aptos"/>
          <w:iCs/>
          <w:color w:val="0E2841" w:themeColor="text2"/>
          <w:kern w:val="0"/>
          <w:sz w:val="18"/>
          <w:szCs w:val="18"/>
          <w:lang w:val="es-ES" w:eastAsia="ja-JP"/>
          <w14:ligatures w14:val="none"/>
        </w:rPr>
        <w:t xml:space="preserve">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Cabe señalar que la representación regional de este indicador es extremadamente limitada y con un sesgo espacial, es decir, abarca pocas regiones. </w:t>
      </w:r>
    </w:p>
    <w:tbl>
      <w:tblPr>
        <w:tblStyle w:val="TableGrid"/>
        <w:tblW w:w="9391" w:type="dxa"/>
        <w:tblLook w:val="04A0" w:firstRow="1" w:lastRow="0" w:firstColumn="1" w:lastColumn="0" w:noHBand="0" w:noVBand="1"/>
      </w:tblPr>
      <w:tblGrid>
        <w:gridCol w:w="4673"/>
        <w:gridCol w:w="4718"/>
      </w:tblGrid>
      <w:tr w:rsidR="0011693C" w:rsidRPr="0011693C" w14:paraId="028D7DF5" w14:textId="77777777" w:rsidTr="0011693C">
        <w:tc>
          <w:tcPr>
            <w:tcW w:w="9391" w:type="dxa"/>
            <w:gridSpan w:val="2"/>
          </w:tcPr>
          <w:p w14:paraId="60A3AF6B" w14:textId="70CBD1C3" w:rsidR="0011693C" w:rsidRPr="0011693C" w:rsidRDefault="0011693C" w:rsidP="0011693C">
            <w:pPr>
              <w:rPr>
                <w:sz w:val="18"/>
                <w:szCs w:val="18"/>
                <w:lang w:val="es-ES"/>
              </w:rPr>
            </w:pPr>
            <w:r w:rsidRPr="0011693C">
              <w:rPr>
                <w:sz w:val="18"/>
                <w:szCs w:val="18"/>
                <w:lang w:val="es-ES"/>
              </w:rPr>
              <w:t>Figura 50</w:t>
            </w:r>
          </w:p>
        </w:tc>
      </w:tr>
      <w:tr w:rsidR="0011693C" w:rsidRPr="0011693C" w14:paraId="3B779BE3" w14:textId="77777777" w:rsidTr="0011693C">
        <w:tc>
          <w:tcPr>
            <w:tcW w:w="4673" w:type="dxa"/>
          </w:tcPr>
          <w:p w14:paraId="67EAEA22" w14:textId="77777777" w:rsidR="0011693C" w:rsidRPr="0011693C" w:rsidRDefault="0011693C" w:rsidP="0011693C">
            <w:pPr>
              <w:spacing w:line="278" w:lineRule="auto"/>
              <w:rPr>
                <w:sz w:val="18"/>
                <w:szCs w:val="18"/>
                <w:lang w:val="es-ES"/>
              </w:rPr>
            </w:pPr>
            <w:r w:rsidRPr="0011693C">
              <w:rPr>
                <w:sz w:val="18"/>
                <w:szCs w:val="18"/>
                <w:lang w:val="es-ES"/>
              </w:rPr>
              <w:t xml:space="preserve">English </w:t>
            </w:r>
          </w:p>
        </w:tc>
        <w:tc>
          <w:tcPr>
            <w:tcW w:w="4717" w:type="dxa"/>
          </w:tcPr>
          <w:p w14:paraId="3A250700" w14:textId="57B00B73" w:rsidR="0011693C" w:rsidRPr="0011693C" w:rsidRDefault="007371B4" w:rsidP="0011693C">
            <w:pPr>
              <w:spacing w:line="278" w:lineRule="auto"/>
              <w:rPr>
                <w:sz w:val="18"/>
                <w:szCs w:val="18"/>
                <w:lang w:val="es-ES"/>
              </w:rPr>
            </w:pPr>
            <w:r>
              <w:rPr>
                <w:sz w:val="18"/>
                <w:szCs w:val="18"/>
                <w:lang w:val="es-ES"/>
              </w:rPr>
              <w:t>Español</w:t>
            </w:r>
          </w:p>
        </w:tc>
      </w:tr>
      <w:tr w:rsidR="0011693C" w:rsidRPr="0011693C" w14:paraId="628E3FE7" w14:textId="77777777" w:rsidTr="0011693C">
        <w:tc>
          <w:tcPr>
            <w:tcW w:w="4673" w:type="dxa"/>
          </w:tcPr>
          <w:p w14:paraId="76A417CC" w14:textId="77777777" w:rsidR="0011693C" w:rsidRPr="0011693C" w:rsidRDefault="0011693C" w:rsidP="0011693C">
            <w:pPr>
              <w:spacing w:line="278" w:lineRule="auto"/>
              <w:rPr>
                <w:sz w:val="18"/>
                <w:szCs w:val="18"/>
                <w:lang w:val="en-US"/>
              </w:rPr>
            </w:pPr>
            <w:r w:rsidRPr="0011693C">
              <w:rPr>
                <w:sz w:val="18"/>
                <w:szCs w:val="18"/>
                <w:lang w:val="en-US"/>
              </w:rPr>
              <w:t>Services provided by ecosystems (index)</w:t>
            </w:r>
          </w:p>
        </w:tc>
        <w:tc>
          <w:tcPr>
            <w:tcW w:w="4717" w:type="dxa"/>
          </w:tcPr>
          <w:p w14:paraId="1031E021" w14:textId="3C1E9807" w:rsidR="0011693C" w:rsidRPr="0011693C" w:rsidRDefault="0011693C" w:rsidP="0011693C">
            <w:pPr>
              <w:spacing w:line="278" w:lineRule="auto"/>
              <w:rPr>
                <w:sz w:val="18"/>
                <w:szCs w:val="18"/>
                <w:lang w:val="es-ES"/>
              </w:rPr>
            </w:pPr>
            <w:r w:rsidRPr="0011693C">
              <w:rPr>
                <w:sz w:val="18"/>
                <w:szCs w:val="18"/>
                <w:lang w:val="es-ES"/>
              </w:rPr>
              <w:t>Servicios brindados por los ecosistemas (índice)</w:t>
            </w:r>
          </w:p>
        </w:tc>
      </w:tr>
      <w:tr w:rsidR="0011693C" w:rsidRPr="0011693C" w14:paraId="19203341" w14:textId="77777777" w:rsidTr="0011693C">
        <w:tc>
          <w:tcPr>
            <w:tcW w:w="4673" w:type="dxa"/>
          </w:tcPr>
          <w:p w14:paraId="06365CC9" w14:textId="77777777" w:rsidR="0011693C" w:rsidRPr="0011693C" w:rsidRDefault="0011693C" w:rsidP="0011693C">
            <w:pPr>
              <w:spacing w:line="278" w:lineRule="auto"/>
              <w:rPr>
                <w:sz w:val="18"/>
                <w:szCs w:val="18"/>
                <w:lang w:val="es-ES"/>
              </w:rPr>
            </w:pPr>
            <w:proofErr w:type="spellStart"/>
            <w:r w:rsidRPr="0011693C">
              <w:rPr>
                <w:sz w:val="18"/>
                <w:szCs w:val="18"/>
                <w:lang w:val="es-ES"/>
              </w:rPr>
              <w:t>Year</w:t>
            </w:r>
            <w:proofErr w:type="spellEnd"/>
          </w:p>
        </w:tc>
        <w:tc>
          <w:tcPr>
            <w:tcW w:w="4717" w:type="dxa"/>
          </w:tcPr>
          <w:p w14:paraId="6E9232A7" w14:textId="7CBB12EA" w:rsidR="0011693C" w:rsidRPr="0011693C" w:rsidRDefault="0011693C" w:rsidP="0011693C">
            <w:pPr>
              <w:spacing w:line="278" w:lineRule="auto"/>
              <w:rPr>
                <w:sz w:val="18"/>
                <w:szCs w:val="18"/>
                <w:lang w:val="es-ES"/>
              </w:rPr>
            </w:pPr>
            <w:r w:rsidRPr="0011693C">
              <w:rPr>
                <w:sz w:val="18"/>
                <w:szCs w:val="18"/>
                <w:lang w:val="es-ES"/>
              </w:rPr>
              <w:t>Año</w:t>
            </w:r>
          </w:p>
        </w:tc>
      </w:tr>
      <w:tr w:rsidR="0011693C" w:rsidRPr="0011693C" w14:paraId="6C16D855" w14:textId="77777777" w:rsidTr="0011693C">
        <w:tc>
          <w:tcPr>
            <w:tcW w:w="4673" w:type="dxa"/>
          </w:tcPr>
          <w:p w14:paraId="035B0A73" w14:textId="77777777" w:rsidR="0011693C" w:rsidRPr="0011693C" w:rsidRDefault="0011693C" w:rsidP="0011693C">
            <w:pPr>
              <w:spacing w:line="278" w:lineRule="auto"/>
              <w:rPr>
                <w:sz w:val="18"/>
                <w:szCs w:val="18"/>
                <w:lang w:val="es-ES"/>
              </w:rPr>
            </w:pPr>
            <w:r w:rsidRPr="0011693C">
              <w:rPr>
                <w:sz w:val="18"/>
                <w:szCs w:val="18"/>
                <w:lang w:val="es-ES"/>
              </w:rPr>
              <w:t xml:space="preserve">Service </w:t>
            </w:r>
            <w:proofErr w:type="spellStart"/>
            <w:r w:rsidRPr="0011693C">
              <w:rPr>
                <w:sz w:val="18"/>
                <w:szCs w:val="18"/>
                <w:lang w:val="es-ES"/>
              </w:rPr>
              <w:t>Type</w:t>
            </w:r>
            <w:proofErr w:type="spellEnd"/>
          </w:p>
        </w:tc>
        <w:tc>
          <w:tcPr>
            <w:tcW w:w="4717" w:type="dxa"/>
          </w:tcPr>
          <w:p w14:paraId="56AC9C57" w14:textId="2FD19B10" w:rsidR="0011693C" w:rsidRPr="0011693C" w:rsidRDefault="0011693C" w:rsidP="0011693C">
            <w:pPr>
              <w:spacing w:line="278" w:lineRule="auto"/>
              <w:rPr>
                <w:sz w:val="18"/>
                <w:szCs w:val="18"/>
                <w:lang w:val="es-ES"/>
              </w:rPr>
            </w:pPr>
            <w:r w:rsidRPr="0011693C">
              <w:rPr>
                <w:sz w:val="18"/>
                <w:szCs w:val="18"/>
                <w:lang w:val="es-ES"/>
              </w:rPr>
              <w:t>Tipo de servicio</w:t>
            </w:r>
          </w:p>
        </w:tc>
      </w:tr>
      <w:tr w:rsidR="0011693C" w:rsidRPr="0011693C" w14:paraId="219A4573" w14:textId="77777777" w:rsidTr="0011693C">
        <w:tc>
          <w:tcPr>
            <w:tcW w:w="4673" w:type="dxa"/>
          </w:tcPr>
          <w:p w14:paraId="43761E74" w14:textId="77777777" w:rsidR="0011693C" w:rsidRPr="0011693C" w:rsidRDefault="0011693C" w:rsidP="0011693C">
            <w:pPr>
              <w:spacing w:line="278" w:lineRule="auto"/>
              <w:rPr>
                <w:sz w:val="18"/>
                <w:szCs w:val="18"/>
                <w:lang w:val="es-ES"/>
              </w:rPr>
            </w:pPr>
            <w:r w:rsidRPr="0011693C">
              <w:rPr>
                <w:sz w:val="18"/>
                <w:szCs w:val="18"/>
                <w:lang w:val="es-ES"/>
              </w:rPr>
              <w:t xml:space="preserve">Cultural </w:t>
            </w:r>
            <w:proofErr w:type="spellStart"/>
            <w:r w:rsidRPr="0011693C">
              <w:rPr>
                <w:sz w:val="18"/>
                <w:szCs w:val="18"/>
                <w:lang w:val="es-ES"/>
              </w:rPr>
              <w:t>services</w:t>
            </w:r>
            <w:proofErr w:type="spellEnd"/>
          </w:p>
        </w:tc>
        <w:tc>
          <w:tcPr>
            <w:tcW w:w="4717" w:type="dxa"/>
          </w:tcPr>
          <w:p w14:paraId="257B1F6F" w14:textId="173678A0" w:rsidR="0011693C" w:rsidRPr="0011693C" w:rsidRDefault="0011693C" w:rsidP="0011693C">
            <w:pPr>
              <w:spacing w:line="278" w:lineRule="auto"/>
              <w:rPr>
                <w:sz w:val="18"/>
                <w:szCs w:val="18"/>
                <w:lang w:val="es-ES"/>
              </w:rPr>
            </w:pPr>
            <w:r w:rsidRPr="0011693C">
              <w:rPr>
                <w:sz w:val="18"/>
                <w:szCs w:val="18"/>
                <w:lang w:val="es-ES"/>
              </w:rPr>
              <w:t>Servicios culturales</w:t>
            </w:r>
          </w:p>
        </w:tc>
      </w:tr>
      <w:tr w:rsidR="0011693C" w:rsidRPr="0011693C" w14:paraId="5AFCC8C2" w14:textId="77777777" w:rsidTr="0011693C">
        <w:tc>
          <w:tcPr>
            <w:tcW w:w="4673" w:type="dxa"/>
          </w:tcPr>
          <w:p w14:paraId="366714B6" w14:textId="77777777" w:rsidR="0011693C" w:rsidRPr="0011693C" w:rsidRDefault="0011693C" w:rsidP="0011693C">
            <w:pPr>
              <w:spacing w:line="278" w:lineRule="auto"/>
              <w:rPr>
                <w:sz w:val="18"/>
                <w:szCs w:val="18"/>
                <w:lang w:val="es-ES"/>
              </w:rPr>
            </w:pPr>
            <w:proofErr w:type="spellStart"/>
            <w:r w:rsidRPr="0011693C">
              <w:rPr>
                <w:sz w:val="18"/>
                <w:szCs w:val="18"/>
                <w:lang w:val="es-ES"/>
              </w:rPr>
              <w:t>Provisioning</w:t>
            </w:r>
            <w:proofErr w:type="spellEnd"/>
            <w:r w:rsidRPr="0011693C">
              <w:rPr>
                <w:sz w:val="18"/>
                <w:szCs w:val="18"/>
                <w:lang w:val="es-ES"/>
              </w:rPr>
              <w:t xml:space="preserve"> </w:t>
            </w:r>
            <w:proofErr w:type="spellStart"/>
            <w:r w:rsidRPr="0011693C">
              <w:rPr>
                <w:sz w:val="18"/>
                <w:szCs w:val="18"/>
                <w:lang w:val="es-ES"/>
              </w:rPr>
              <w:t>services</w:t>
            </w:r>
            <w:proofErr w:type="spellEnd"/>
          </w:p>
        </w:tc>
        <w:tc>
          <w:tcPr>
            <w:tcW w:w="4717" w:type="dxa"/>
          </w:tcPr>
          <w:p w14:paraId="2B924BFB" w14:textId="1FBE545D" w:rsidR="0011693C" w:rsidRPr="0011693C" w:rsidRDefault="0011693C" w:rsidP="0011693C">
            <w:pPr>
              <w:spacing w:line="278" w:lineRule="auto"/>
              <w:rPr>
                <w:sz w:val="18"/>
                <w:szCs w:val="18"/>
                <w:lang w:val="es-ES"/>
              </w:rPr>
            </w:pPr>
            <w:r w:rsidRPr="0011693C">
              <w:rPr>
                <w:sz w:val="18"/>
                <w:szCs w:val="18"/>
                <w:lang w:val="es-ES"/>
              </w:rPr>
              <w:t>Servicios de abastecimiento</w:t>
            </w:r>
          </w:p>
        </w:tc>
      </w:tr>
      <w:tr w:rsidR="0011693C" w:rsidRPr="0011693C" w14:paraId="31F15089" w14:textId="77777777" w:rsidTr="0011693C">
        <w:tc>
          <w:tcPr>
            <w:tcW w:w="4673" w:type="dxa"/>
          </w:tcPr>
          <w:p w14:paraId="2EAEA9BF" w14:textId="77777777" w:rsidR="0011693C" w:rsidRPr="0011693C" w:rsidRDefault="0011693C" w:rsidP="0011693C">
            <w:pPr>
              <w:spacing w:line="278" w:lineRule="auto"/>
              <w:rPr>
                <w:sz w:val="18"/>
                <w:szCs w:val="18"/>
                <w:lang w:val="es-ES"/>
              </w:rPr>
            </w:pPr>
            <w:proofErr w:type="spellStart"/>
            <w:r w:rsidRPr="0011693C">
              <w:rPr>
                <w:sz w:val="18"/>
                <w:szCs w:val="18"/>
                <w:lang w:val="es-ES"/>
              </w:rPr>
              <w:t>Regulating</w:t>
            </w:r>
            <w:proofErr w:type="spellEnd"/>
            <w:r w:rsidRPr="0011693C">
              <w:rPr>
                <w:sz w:val="18"/>
                <w:szCs w:val="18"/>
                <w:lang w:val="es-ES"/>
              </w:rPr>
              <w:t xml:space="preserve"> </w:t>
            </w:r>
            <w:proofErr w:type="spellStart"/>
            <w:r w:rsidRPr="0011693C">
              <w:rPr>
                <w:sz w:val="18"/>
                <w:szCs w:val="18"/>
                <w:lang w:val="es-ES"/>
              </w:rPr>
              <w:t>services</w:t>
            </w:r>
            <w:proofErr w:type="spellEnd"/>
          </w:p>
        </w:tc>
        <w:tc>
          <w:tcPr>
            <w:tcW w:w="4717" w:type="dxa"/>
          </w:tcPr>
          <w:p w14:paraId="7DB2D41B" w14:textId="63B73D23" w:rsidR="0011693C" w:rsidRPr="0011693C" w:rsidRDefault="0011693C" w:rsidP="0011693C">
            <w:pPr>
              <w:spacing w:line="278" w:lineRule="auto"/>
              <w:rPr>
                <w:sz w:val="18"/>
                <w:szCs w:val="18"/>
                <w:lang w:val="es-ES"/>
              </w:rPr>
            </w:pPr>
            <w:r w:rsidRPr="0011693C">
              <w:rPr>
                <w:sz w:val="18"/>
                <w:szCs w:val="18"/>
                <w:lang w:val="es-ES"/>
              </w:rPr>
              <w:t>Servicios de regulación</w:t>
            </w:r>
          </w:p>
        </w:tc>
      </w:tr>
      <w:tr w:rsidR="0011693C" w:rsidRPr="0011693C" w14:paraId="76780924" w14:textId="77777777" w:rsidTr="0011693C">
        <w:tc>
          <w:tcPr>
            <w:tcW w:w="4673" w:type="dxa"/>
          </w:tcPr>
          <w:p w14:paraId="11AB5E6E" w14:textId="77777777" w:rsidR="0011693C" w:rsidRPr="0011693C" w:rsidRDefault="0011693C" w:rsidP="0011693C">
            <w:pPr>
              <w:spacing w:line="278" w:lineRule="auto"/>
              <w:rPr>
                <w:sz w:val="18"/>
                <w:szCs w:val="18"/>
                <w:lang w:val="es-ES"/>
              </w:rPr>
            </w:pPr>
            <w:r w:rsidRPr="0011693C">
              <w:rPr>
                <w:sz w:val="18"/>
                <w:szCs w:val="18"/>
                <w:lang w:val="es-ES"/>
              </w:rPr>
              <w:t xml:space="preserve">Party </w:t>
            </w:r>
            <w:proofErr w:type="spellStart"/>
            <w:r w:rsidRPr="0011693C">
              <w:rPr>
                <w:sz w:val="18"/>
                <w:szCs w:val="18"/>
                <w:lang w:val="es-ES"/>
              </w:rPr>
              <w:t>count</w:t>
            </w:r>
            <w:proofErr w:type="spellEnd"/>
            <w:r w:rsidRPr="0011693C">
              <w:rPr>
                <w:sz w:val="18"/>
                <w:szCs w:val="18"/>
                <w:lang w:val="es-ES"/>
              </w:rPr>
              <w:t>: 8</w:t>
            </w:r>
          </w:p>
        </w:tc>
        <w:tc>
          <w:tcPr>
            <w:tcW w:w="4717" w:type="dxa"/>
          </w:tcPr>
          <w:p w14:paraId="76526073" w14:textId="07B16141" w:rsidR="0011693C" w:rsidRPr="0011693C" w:rsidRDefault="0011693C" w:rsidP="0011693C">
            <w:pPr>
              <w:spacing w:line="278" w:lineRule="auto"/>
              <w:rPr>
                <w:sz w:val="18"/>
                <w:szCs w:val="18"/>
                <w:lang w:val="es-ES"/>
              </w:rPr>
            </w:pPr>
            <w:r w:rsidRPr="0011693C">
              <w:rPr>
                <w:sz w:val="18"/>
                <w:szCs w:val="18"/>
                <w:lang w:val="es-ES"/>
              </w:rPr>
              <w:t>Número de Partes: 8</w:t>
            </w:r>
          </w:p>
        </w:tc>
      </w:tr>
      <w:tr w:rsidR="0011693C" w:rsidRPr="0011693C" w14:paraId="60E65370" w14:textId="77777777" w:rsidTr="0011693C">
        <w:tc>
          <w:tcPr>
            <w:tcW w:w="4673" w:type="dxa"/>
          </w:tcPr>
          <w:p w14:paraId="76038E67" w14:textId="77777777" w:rsidR="0011693C" w:rsidRPr="0011693C" w:rsidRDefault="0011693C" w:rsidP="0011693C">
            <w:pPr>
              <w:spacing w:line="278" w:lineRule="auto"/>
              <w:rPr>
                <w:sz w:val="18"/>
                <w:szCs w:val="18"/>
                <w:lang w:val="es-ES"/>
              </w:rPr>
            </w:pPr>
            <w:r w:rsidRPr="0011693C">
              <w:rPr>
                <w:sz w:val="18"/>
                <w:szCs w:val="18"/>
                <w:lang w:val="es-ES"/>
              </w:rPr>
              <w:t xml:space="preserve">Party </w:t>
            </w:r>
            <w:proofErr w:type="spellStart"/>
            <w:r w:rsidRPr="0011693C">
              <w:rPr>
                <w:sz w:val="18"/>
                <w:szCs w:val="18"/>
                <w:lang w:val="es-ES"/>
              </w:rPr>
              <w:t>count</w:t>
            </w:r>
            <w:proofErr w:type="spellEnd"/>
            <w:r w:rsidRPr="0011693C">
              <w:rPr>
                <w:sz w:val="18"/>
                <w:szCs w:val="18"/>
                <w:lang w:val="es-ES"/>
              </w:rPr>
              <w:t xml:space="preserve"> </w:t>
            </w:r>
            <w:proofErr w:type="spellStart"/>
            <w:r w:rsidRPr="0011693C">
              <w:rPr>
                <w:sz w:val="18"/>
                <w:szCs w:val="18"/>
                <w:lang w:val="es-ES"/>
              </w:rPr>
              <w:t>by</w:t>
            </w:r>
            <w:proofErr w:type="spellEnd"/>
            <w:r w:rsidRPr="0011693C">
              <w:rPr>
                <w:sz w:val="18"/>
                <w:szCs w:val="18"/>
                <w:lang w:val="es-ES"/>
              </w:rPr>
              <w:t xml:space="preserve"> </w:t>
            </w:r>
            <w:proofErr w:type="spellStart"/>
            <w:r w:rsidRPr="0011693C">
              <w:rPr>
                <w:sz w:val="18"/>
                <w:szCs w:val="18"/>
                <w:lang w:val="es-ES"/>
              </w:rPr>
              <w:t>region</w:t>
            </w:r>
            <w:proofErr w:type="spellEnd"/>
          </w:p>
        </w:tc>
        <w:tc>
          <w:tcPr>
            <w:tcW w:w="4717" w:type="dxa"/>
          </w:tcPr>
          <w:p w14:paraId="017B0E04" w14:textId="3AEC9F8E" w:rsidR="0011693C" w:rsidRPr="0011693C" w:rsidRDefault="0011693C" w:rsidP="0011693C">
            <w:pPr>
              <w:spacing w:line="278" w:lineRule="auto"/>
              <w:rPr>
                <w:sz w:val="18"/>
                <w:szCs w:val="18"/>
                <w:lang w:val="es-ES"/>
              </w:rPr>
            </w:pPr>
            <w:r w:rsidRPr="0011693C">
              <w:rPr>
                <w:sz w:val="18"/>
                <w:szCs w:val="18"/>
                <w:lang w:val="es-ES"/>
              </w:rPr>
              <w:t>Número de Partes por región</w:t>
            </w:r>
          </w:p>
        </w:tc>
      </w:tr>
      <w:tr w:rsidR="0011693C" w:rsidRPr="0011693C" w14:paraId="322B8C8F" w14:textId="77777777" w:rsidTr="0011693C">
        <w:tc>
          <w:tcPr>
            <w:tcW w:w="4673" w:type="dxa"/>
          </w:tcPr>
          <w:p w14:paraId="7F1BE7DE" w14:textId="77777777" w:rsidR="0011693C" w:rsidRPr="0011693C" w:rsidRDefault="0011693C" w:rsidP="0011693C">
            <w:pPr>
              <w:spacing w:line="278" w:lineRule="auto"/>
              <w:rPr>
                <w:sz w:val="18"/>
                <w:szCs w:val="18"/>
                <w:lang w:val="es-ES"/>
              </w:rPr>
            </w:pPr>
            <w:proofErr w:type="spellStart"/>
            <w:r w:rsidRPr="0011693C">
              <w:rPr>
                <w:sz w:val="18"/>
                <w:szCs w:val="18"/>
                <w:lang w:val="es-ES"/>
              </w:rPr>
              <w:t>Region</w:t>
            </w:r>
            <w:proofErr w:type="spellEnd"/>
          </w:p>
        </w:tc>
        <w:tc>
          <w:tcPr>
            <w:tcW w:w="4717" w:type="dxa"/>
          </w:tcPr>
          <w:p w14:paraId="6C9B3D56" w14:textId="22B1D31E" w:rsidR="0011693C" w:rsidRPr="0011693C" w:rsidRDefault="0011693C" w:rsidP="0011693C">
            <w:pPr>
              <w:spacing w:line="278" w:lineRule="auto"/>
              <w:rPr>
                <w:sz w:val="18"/>
                <w:szCs w:val="18"/>
                <w:lang w:val="es-ES"/>
              </w:rPr>
            </w:pPr>
            <w:r w:rsidRPr="0011693C">
              <w:rPr>
                <w:sz w:val="18"/>
                <w:szCs w:val="18"/>
                <w:lang w:val="es-ES"/>
              </w:rPr>
              <w:t>Región</w:t>
            </w:r>
          </w:p>
        </w:tc>
      </w:tr>
      <w:tr w:rsidR="0011693C" w:rsidRPr="0011693C" w14:paraId="72FF52F1" w14:textId="77777777" w:rsidTr="0011693C">
        <w:tc>
          <w:tcPr>
            <w:tcW w:w="4673" w:type="dxa"/>
          </w:tcPr>
          <w:p w14:paraId="4BBC0A9D" w14:textId="77777777" w:rsidR="0011693C" w:rsidRPr="0011693C" w:rsidRDefault="0011693C" w:rsidP="0011693C">
            <w:pPr>
              <w:spacing w:line="278" w:lineRule="auto"/>
              <w:rPr>
                <w:sz w:val="18"/>
                <w:szCs w:val="18"/>
                <w:lang w:val="es-ES"/>
              </w:rPr>
            </w:pPr>
            <w:r w:rsidRPr="0011693C">
              <w:rPr>
                <w:sz w:val="18"/>
                <w:szCs w:val="18"/>
                <w:lang w:val="es-ES"/>
              </w:rPr>
              <w:t>African States</w:t>
            </w:r>
          </w:p>
        </w:tc>
        <w:tc>
          <w:tcPr>
            <w:tcW w:w="4717" w:type="dxa"/>
          </w:tcPr>
          <w:p w14:paraId="07EFF983" w14:textId="1AFCF925" w:rsidR="0011693C" w:rsidRPr="0011693C" w:rsidRDefault="0011693C" w:rsidP="0011693C">
            <w:pPr>
              <w:spacing w:line="278" w:lineRule="auto"/>
              <w:rPr>
                <w:sz w:val="18"/>
                <w:szCs w:val="18"/>
                <w:lang w:val="es-ES"/>
              </w:rPr>
            </w:pPr>
            <w:r w:rsidRPr="0011693C">
              <w:rPr>
                <w:sz w:val="18"/>
                <w:szCs w:val="18"/>
                <w:lang w:val="es-ES"/>
              </w:rPr>
              <w:t>Estados de África</w:t>
            </w:r>
          </w:p>
        </w:tc>
      </w:tr>
      <w:tr w:rsidR="0011693C" w:rsidRPr="0011693C" w14:paraId="4399FA94" w14:textId="77777777" w:rsidTr="0011693C">
        <w:tc>
          <w:tcPr>
            <w:tcW w:w="4673" w:type="dxa"/>
          </w:tcPr>
          <w:p w14:paraId="481DE6B4" w14:textId="77777777" w:rsidR="0011693C" w:rsidRPr="0011693C" w:rsidRDefault="0011693C" w:rsidP="0011693C">
            <w:pPr>
              <w:spacing w:line="278" w:lineRule="auto"/>
              <w:rPr>
                <w:sz w:val="18"/>
                <w:szCs w:val="18"/>
                <w:lang w:val="es-ES"/>
              </w:rPr>
            </w:pPr>
            <w:r w:rsidRPr="0011693C">
              <w:rPr>
                <w:sz w:val="18"/>
                <w:szCs w:val="18"/>
                <w:lang w:val="es-ES"/>
              </w:rPr>
              <w:t>Asia-Pacific States</w:t>
            </w:r>
          </w:p>
        </w:tc>
        <w:tc>
          <w:tcPr>
            <w:tcW w:w="4717" w:type="dxa"/>
          </w:tcPr>
          <w:p w14:paraId="3E286AAC" w14:textId="75EED2B6" w:rsidR="0011693C" w:rsidRPr="0011693C" w:rsidRDefault="0011693C" w:rsidP="0011693C">
            <w:pPr>
              <w:spacing w:line="278" w:lineRule="auto"/>
              <w:rPr>
                <w:sz w:val="18"/>
                <w:szCs w:val="18"/>
                <w:lang w:val="es-ES"/>
              </w:rPr>
            </w:pPr>
            <w:r w:rsidRPr="0011693C">
              <w:rPr>
                <w:sz w:val="18"/>
                <w:szCs w:val="18"/>
                <w:lang w:val="es-ES"/>
              </w:rPr>
              <w:t>Estados de Asia y el Pacífico</w:t>
            </w:r>
          </w:p>
        </w:tc>
      </w:tr>
      <w:tr w:rsidR="0011693C" w:rsidRPr="0011693C" w14:paraId="2213D1E8" w14:textId="77777777" w:rsidTr="0011693C">
        <w:tc>
          <w:tcPr>
            <w:tcW w:w="4673" w:type="dxa"/>
          </w:tcPr>
          <w:p w14:paraId="052EDE41" w14:textId="77777777" w:rsidR="0011693C" w:rsidRPr="0011693C" w:rsidRDefault="0011693C" w:rsidP="0011693C">
            <w:pPr>
              <w:spacing w:line="278" w:lineRule="auto"/>
              <w:rPr>
                <w:sz w:val="18"/>
                <w:szCs w:val="18"/>
                <w:lang w:val="en-US"/>
              </w:rPr>
            </w:pPr>
            <w:r w:rsidRPr="0011693C">
              <w:rPr>
                <w:sz w:val="18"/>
                <w:szCs w:val="18"/>
                <w:lang w:val="en-US"/>
              </w:rPr>
              <w:t>Latin American and Caribbean States</w:t>
            </w:r>
          </w:p>
        </w:tc>
        <w:tc>
          <w:tcPr>
            <w:tcW w:w="4717" w:type="dxa"/>
          </w:tcPr>
          <w:p w14:paraId="721118F6" w14:textId="66167AE3" w:rsidR="0011693C" w:rsidRPr="0011693C" w:rsidRDefault="0011693C" w:rsidP="0011693C">
            <w:pPr>
              <w:spacing w:line="278" w:lineRule="auto"/>
              <w:rPr>
                <w:sz w:val="18"/>
                <w:szCs w:val="18"/>
                <w:lang w:val="es-ES"/>
              </w:rPr>
            </w:pPr>
            <w:r w:rsidRPr="0011693C">
              <w:rPr>
                <w:sz w:val="18"/>
                <w:szCs w:val="18"/>
                <w:lang w:val="es-ES"/>
              </w:rPr>
              <w:t>Estados de América Latina y el Caribe</w:t>
            </w:r>
          </w:p>
        </w:tc>
      </w:tr>
      <w:tr w:rsidR="0011693C" w:rsidRPr="0011693C" w14:paraId="27BA06EA" w14:textId="77777777" w:rsidTr="0011693C">
        <w:tc>
          <w:tcPr>
            <w:tcW w:w="4673" w:type="dxa"/>
          </w:tcPr>
          <w:p w14:paraId="6D686880" w14:textId="77777777" w:rsidR="0011693C" w:rsidRPr="0011693C" w:rsidRDefault="0011693C" w:rsidP="0011693C">
            <w:pPr>
              <w:spacing w:line="278" w:lineRule="auto"/>
              <w:rPr>
                <w:sz w:val="18"/>
                <w:szCs w:val="18"/>
                <w:lang w:val="es-ES"/>
              </w:rPr>
            </w:pPr>
            <w:r w:rsidRPr="0011693C">
              <w:rPr>
                <w:sz w:val="18"/>
                <w:szCs w:val="18"/>
                <w:lang w:val="es-ES"/>
              </w:rPr>
              <w:t xml:space="preserve"> Eastern European States</w:t>
            </w:r>
          </w:p>
        </w:tc>
        <w:tc>
          <w:tcPr>
            <w:tcW w:w="4717" w:type="dxa"/>
          </w:tcPr>
          <w:p w14:paraId="597DF1AE" w14:textId="07755087" w:rsidR="0011693C" w:rsidRPr="0011693C" w:rsidRDefault="0011693C" w:rsidP="0011693C">
            <w:pPr>
              <w:spacing w:line="278" w:lineRule="auto"/>
              <w:rPr>
                <w:sz w:val="18"/>
                <w:szCs w:val="18"/>
                <w:lang w:val="es-ES"/>
              </w:rPr>
            </w:pPr>
            <w:r w:rsidRPr="0011693C">
              <w:rPr>
                <w:sz w:val="18"/>
                <w:szCs w:val="18"/>
                <w:lang w:val="es-ES"/>
              </w:rPr>
              <w:t>Estados de Europa Oriental</w:t>
            </w:r>
          </w:p>
        </w:tc>
      </w:tr>
      <w:tr w:rsidR="0011693C" w:rsidRPr="0011693C" w14:paraId="388ABE3B" w14:textId="77777777" w:rsidTr="0011693C">
        <w:tc>
          <w:tcPr>
            <w:tcW w:w="4673" w:type="dxa"/>
          </w:tcPr>
          <w:p w14:paraId="26A8157A" w14:textId="77777777" w:rsidR="0011693C" w:rsidRPr="0011693C" w:rsidRDefault="0011693C" w:rsidP="0011693C">
            <w:pPr>
              <w:spacing w:line="278" w:lineRule="auto"/>
              <w:rPr>
                <w:sz w:val="18"/>
                <w:szCs w:val="18"/>
                <w:lang w:val="en-US"/>
              </w:rPr>
            </w:pPr>
            <w:r w:rsidRPr="0011693C">
              <w:rPr>
                <w:sz w:val="18"/>
                <w:szCs w:val="18"/>
                <w:lang w:val="en-US"/>
              </w:rPr>
              <w:t>Western European and other States</w:t>
            </w:r>
          </w:p>
        </w:tc>
        <w:tc>
          <w:tcPr>
            <w:tcW w:w="4717" w:type="dxa"/>
          </w:tcPr>
          <w:p w14:paraId="194CB454" w14:textId="3A9EFA66" w:rsidR="0011693C" w:rsidRPr="0011693C" w:rsidRDefault="0011693C" w:rsidP="0011693C">
            <w:pPr>
              <w:spacing w:line="278" w:lineRule="auto"/>
              <w:rPr>
                <w:sz w:val="18"/>
                <w:szCs w:val="18"/>
                <w:lang w:val="es-ES"/>
              </w:rPr>
            </w:pPr>
            <w:r w:rsidRPr="0011693C">
              <w:rPr>
                <w:sz w:val="18"/>
                <w:szCs w:val="18"/>
                <w:lang w:val="es-ES"/>
              </w:rPr>
              <w:t>Estados de Europa Occidental y otros Estados</w:t>
            </w:r>
          </w:p>
        </w:tc>
      </w:tr>
    </w:tbl>
    <w:p w14:paraId="4A54AB4A"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2D3C1FE8" w14:textId="77777777" w:rsidR="009713BF" w:rsidRPr="005E3D50" w:rsidRDefault="009713BF" w:rsidP="009713BF">
      <w:pPr>
        <w:rPr>
          <w:sz w:val="20"/>
          <w:szCs w:val="20"/>
          <w:lang w:val="es-ES"/>
        </w:rPr>
      </w:pPr>
      <w:r w:rsidRPr="005E3D50">
        <w:rPr>
          <w:sz w:val="20"/>
          <w:lang w:val="es-ES"/>
        </w:rPr>
        <w:t>Figura 51</w:t>
      </w:r>
    </w:p>
    <w:p w14:paraId="76A0E1F1"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11 del Marco que sugieren tendencias de mejora, estables y negativas, respectivamente </w:t>
      </w:r>
    </w:p>
    <w:p w14:paraId="1508D284" w14:textId="77777777" w:rsidR="009713BF" w:rsidRPr="005E3D50" w:rsidRDefault="009713BF" w:rsidP="009713BF">
      <w:pPr>
        <w:rPr>
          <w:lang w:val="es-ES" w:eastAsia="ja-JP"/>
        </w:rPr>
      </w:pPr>
    </w:p>
    <w:p w14:paraId="0E80BE17"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322" w:name="_Ref231190557"/>
      <w:r w:rsidRPr="005E3D50">
        <w:rPr>
          <w:rFonts w:eastAsiaTheme="minorEastAsia"/>
          <w:i/>
          <w:iCs/>
          <w:noProof/>
          <w:color w:val="0E2841" w:themeColor="text2"/>
          <w:kern w:val="0"/>
          <w:sz w:val="18"/>
          <w:szCs w:val="18"/>
          <w:lang w:val="en-US"/>
          <w14:ligatures w14:val="none"/>
        </w:rPr>
        <w:drawing>
          <wp:inline distT="0" distB="0" distL="0" distR="0" wp14:anchorId="3044283C" wp14:editId="41C85DB0">
            <wp:extent cx="5731510" cy="2456180"/>
            <wp:effectExtent l="0" t="0" r="0" b="0"/>
            <wp:docPr id="19674071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07118" name="Picture 1967407118"/>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322"/>
    <w:p w14:paraId="7C092B4E"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w:t>
      </w:r>
      <w:r w:rsidRPr="005E3D50">
        <w:rPr>
          <w:rFonts w:ascii="Aptos" w:eastAsiaTheme="minorEastAsia" w:hAnsi="Aptos"/>
          <w:i/>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Las proporciones están ponderadas por Parte. Las tendencias incluyen datos correspondientes a 1 indicador de cabecera de 23 Partes y 3 indicadores de componentes, 4 indicadores complementarios y 52 indicadores nacionales de un total de 25 Partes. El gráfico circular muestra la distribución de las Partes que presentan indicadores para la meta 11,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28" w:type="dxa"/>
        <w:tblLook w:val="04A0" w:firstRow="1" w:lastRow="0" w:firstColumn="1" w:lastColumn="0" w:noHBand="0" w:noVBand="1"/>
      </w:tblPr>
      <w:tblGrid>
        <w:gridCol w:w="5465"/>
        <w:gridCol w:w="3863"/>
      </w:tblGrid>
      <w:tr w:rsidR="0086051D" w:rsidRPr="0086051D" w14:paraId="506CC165" w14:textId="77777777" w:rsidTr="0086051D">
        <w:tc>
          <w:tcPr>
            <w:tcW w:w="9328" w:type="dxa"/>
            <w:gridSpan w:val="2"/>
          </w:tcPr>
          <w:p w14:paraId="1D328469" w14:textId="1225CD93" w:rsidR="0086051D" w:rsidRPr="0086051D" w:rsidRDefault="0086051D" w:rsidP="0086051D">
            <w:pPr>
              <w:spacing w:line="278" w:lineRule="auto"/>
              <w:rPr>
                <w:sz w:val="18"/>
                <w:szCs w:val="18"/>
                <w:lang w:val="es-ES"/>
              </w:rPr>
            </w:pPr>
            <w:r w:rsidRPr="0086051D">
              <w:rPr>
                <w:sz w:val="18"/>
                <w:szCs w:val="18"/>
                <w:lang w:val="es-ES"/>
              </w:rPr>
              <w:t>Figura 51</w:t>
            </w:r>
          </w:p>
        </w:tc>
      </w:tr>
      <w:tr w:rsidR="0086051D" w:rsidRPr="0086051D" w14:paraId="08A4BFC6" w14:textId="77777777" w:rsidTr="0086051D">
        <w:tc>
          <w:tcPr>
            <w:tcW w:w="5465" w:type="dxa"/>
          </w:tcPr>
          <w:p w14:paraId="77441E9F" w14:textId="45122B76" w:rsidR="0086051D" w:rsidRPr="0086051D" w:rsidRDefault="0086051D" w:rsidP="0086051D">
            <w:pPr>
              <w:spacing w:line="278" w:lineRule="auto"/>
              <w:rPr>
                <w:sz w:val="18"/>
                <w:szCs w:val="18"/>
                <w:lang w:val="es-ES"/>
              </w:rPr>
            </w:pPr>
            <w:r w:rsidRPr="0086051D">
              <w:rPr>
                <w:sz w:val="18"/>
                <w:szCs w:val="18"/>
                <w:lang w:val="es-ES"/>
              </w:rPr>
              <w:t>English</w:t>
            </w:r>
          </w:p>
        </w:tc>
        <w:tc>
          <w:tcPr>
            <w:tcW w:w="3862" w:type="dxa"/>
          </w:tcPr>
          <w:p w14:paraId="0B57BF4A" w14:textId="7259C523" w:rsidR="0086051D" w:rsidRPr="0086051D" w:rsidRDefault="007371B4" w:rsidP="0086051D">
            <w:pPr>
              <w:spacing w:line="278" w:lineRule="auto"/>
              <w:rPr>
                <w:sz w:val="18"/>
                <w:szCs w:val="18"/>
                <w:lang w:val="es-ES"/>
              </w:rPr>
            </w:pPr>
            <w:r>
              <w:rPr>
                <w:sz w:val="18"/>
                <w:szCs w:val="18"/>
                <w:lang w:val="es-ES"/>
              </w:rPr>
              <w:t>Español</w:t>
            </w:r>
          </w:p>
        </w:tc>
      </w:tr>
      <w:tr w:rsidR="0086051D" w:rsidRPr="0086051D" w14:paraId="64756330" w14:textId="77777777" w:rsidTr="0086051D">
        <w:tc>
          <w:tcPr>
            <w:tcW w:w="5465" w:type="dxa"/>
          </w:tcPr>
          <w:p w14:paraId="335DB239" w14:textId="77777777" w:rsidR="0086051D" w:rsidRPr="0086051D" w:rsidRDefault="0086051D" w:rsidP="0086051D">
            <w:pPr>
              <w:spacing w:line="278" w:lineRule="auto"/>
              <w:rPr>
                <w:sz w:val="18"/>
                <w:szCs w:val="18"/>
                <w:lang w:val="es-ES"/>
              </w:rPr>
            </w:pPr>
            <w:proofErr w:type="spellStart"/>
            <w:r w:rsidRPr="0086051D">
              <w:rPr>
                <w:sz w:val="18"/>
                <w:szCs w:val="18"/>
                <w:lang w:val="es-ES"/>
              </w:rPr>
              <w:t>Proportion</w:t>
            </w:r>
            <w:proofErr w:type="spellEnd"/>
          </w:p>
        </w:tc>
        <w:tc>
          <w:tcPr>
            <w:tcW w:w="3862" w:type="dxa"/>
          </w:tcPr>
          <w:p w14:paraId="2C8AFD64" w14:textId="0DB5ECD9" w:rsidR="0086051D" w:rsidRPr="0086051D" w:rsidRDefault="0086051D" w:rsidP="0086051D">
            <w:pPr>
              <w:spacing w:line="278" w:lineRule="auto"/>
              <w:rPr>
                <w:sz w:val="18"/>
                <w:szCs w:val="18"/>
                <w:lang w:val="es-ES"/>
              </w:rPr>
            </w:pPr>
            <w:r w:rsidRPr="0086051D">
              <w:rPr>
                <w:sz w:val="18"/>
                <w:szCs w:val="18"/>
                <w:lang w:val="es-ES"/>
              </w:rPr>
              <w:t>Proporción</w:t>
            </w:r>
          </w:p>
        </w:tc>
      </w:tr>
      <w:tr w:rsidR="0086051D" w:rsidRPr="0086051D" w14:paraId="692B4E0F" w14:textId="77777777" w:rsidTr="0086051D">
        <w:tc>
          <w:tcPr>
            <w:tcW w:w="5465" w:type="dxa"/>
          </w:tcPr>
          <w:p w14:paraId="066B104B" w14:textId="77777777" w:rsidR="0086051D" w:rsidRPr="0086051D" w:rsidRDefault="0086051D" w:rsidP="0086051D">
            <w:pPr>
              <w:spacing w:line="278" w:lineRule="auto"/>
              <w:rPr>
                <w:sz w:val="18"/>
                <w:szCs w:val="18"/>
                <w:lang w:val="es-ES"/>
              </w:rPr>
            </w:pPr>
            <w:r w:rsidRPr="0086051D">
              <w:rPr>
                <w:sz w:val="18"/>
                <w:szCs w:val="18"/>
                <w:lang w:val="es-ES"/>
              </w:rPr>
              <w:t xml:space="preserve">Current </w:t>
            </w:r>
            <w:proofErr w:type="gramStart"/>
            <w:r w:rsidRPr="0086051D">
              <w:rPr>
                <w:sz w:val="18"/>
                <w:szCs w:val="18"/>
                <w:lang w:val="es-ES"/>
              </w:rPr>
              <w:t>Status</w:t>
            </w:r>
            <w:proofErr w:type="gramEnd"/>
          </w:p>
        </w:tc>
        <w:tc>
          <w:tcPr>
            <w:tcW w:w="3862" w:type="dxa"/>
          </w:tcPr>
          <w:p w14:paraId="545CB748" w14:textId="174BF309" w:rsidR="0086051D" w:rsidRPr="0086051D" w:rsidRDefault="0086051D" w:rsidP="0086051D">
            <w:pPr>
              <w:spacing w:line="278" w:lineRule="auto"/>
              <w:rPr>
                <w:sz w:val="18"/>
                <w:szCs w:val="18"/>
                <w:lang w:val="es-ES"/>
              </w:rPr>
            </w:pPr>
            <w:r w:rsidRPr="0086051D">
              <w:rPr>
                <w:sz w:val="18"/>
                <w:szCs w:val="18"/>
                <w:lang w:val="es-ES"/>
              </w:rPr>
              <w:t>Estado actual</w:t>
            </w:r>
          </w:p>
        </w:tc>
      </w:tr>
      <w:tr w:rsidR="0086051D" w:rsidRPr="0086051D" w14:paraId="0C02A83B" w14:textId="77777777" w:rsidTr="0086051D">
        <w:tc>
          <w:tcPr>
            <w:tcW w:w="5465" w:type="dxa"/>
          </w:tcPr>
          <w:p w14:paraId="3D5E96DA" w14:textId="77777777" w:rsidR="0086051D" w:rsidRPr="0086051D" w:rsidRDefault="0086051D" w:rsidP="0086051D">
            <w:pPr>
              <w:spacing w:line="278" w:lineRule="auto"/>
              <w:rPr>
                <w:sz w:val="18"/>
                <w:szCs w:val="18"/>
                <w:lang w:val="es-ES"/>
              </w:rPr>
            </w:pPr>
            <w:proofErr w:type="spellStart"/>
            <w:r w:rsidRPr="0086051D">
              <w:rPr>
                <w:sz w:val="18"/>
                <w:szCs w:val="18"/>
                <w:lang w:val="es-ES"/>
              </w:rPr>
              <w:t>improving</w:t>
            </w:r>
            <w:proofErr w:type="spellEnd"/>
          </w:p>
        </w:tc>
        <w:tc>
          <w:tcPr>
            <w:tcW w:w="3862" w:type="dxa"/>
          </w:tcPr>
          <w:p w14:paraId="70CDF745" w14:textId="57B76E92" w:rsidR="0086051D" w:rsidRPr="0086051D" w:rsidRDefault="0086051D" w:rsidP="0086051D">
            <w:pPr>
              <w:spacing w:line="278" w:lineRule="auto"/>
              <w:rPr>
                <w:sz w:val="18"/>
                <w:szCs w:val="18"/>
                <w:lang w:val="es-ES"/>
              </w:rPr>
            </w:pPr>
            <w:r w:rsidRPr="0086051D">
              <w:rPr>
                <w:sz w:val="18"/>
                <w:szCs w:val="18"/>
                <w:lang w:val="es-ES"/>
              </w:rPr>
              <w:t>mejorando</w:t>
            </w:r>
          </w:p>
        </w:tc>
      </w:tr>
      <w:tr w:rsidR="0086051D" w:rsidRPr="0086051D" w14:paraId="469352AC" w14:textId="77777777" w:rsidTr="0086051D">
        <w:tc>
          <w:tcPr>
            <w:tcW w:w="5465" w:type="dxa"/>
          </w:tcPr>
          <w:p w14:paraId="5CFCA33E" w14:textId="77777777" w:rsidR="0086051D" w:rsidRPr="0086051D" w:rsidRDefault="0086051D" w:rsidP="0086051D">
            <w:pPr>
              <w:spacing w:line="278" w:lineRule="auto"/>
              <w:rPr>
                <w:sz w:val="18"/>
                <w:szCs w:val="18"/>
                <w:lang w:val="es-ES"/>
              </w:rPr>
            </w:pPr>
            <w:proofErr w:type="spellStart"/>
            <w:r w:rsidRPr="0086051D">
              <w:rPr>
                <w:sz w:val="18"/>
                <w:szCs w:val="18"/>
                <w:lang w:val="es-ES"/>
              </w:rPr>
              <w:t>stable</w:t>
            </w:r>
            <w:proofErr w:type="spellEnd"/>
          </w:p>
        </w:tc>
        <w:tc>
          <w:tcPr>
            <w:tcW w:w="3862" w:type="dxa"/>
          </w:tcPr>
          <w:p w14:paraId="630F6A1F" w14:textId="3319A9C3" w:rsidR="0086051D" w:rsidRPr="0086051D" w:rsidRDefault="0086051D" w:rsidP="0086051D">
            <w:pPr>
              <w:spacing w:line="278" w:lineRule="auto"/>
              <w:rPr>
                <w:sz w:val="18"/>
                <w:szCs w:val="18"/>
                <w:lang w:val="es-ES"/>
              </w:rPr>
            </w:pPr>
            <w:r w:rsidRPr="0086051D">
              <w:rPr>
                <w:sz w:val="18"/>
                <w:szCs w:val="18"/>
                <w:lang w:val="es-ES"/>
              </w:rPr>
              <w:t>estable</w:t>
            </w:r>
          </w:p>
        </w:tc>
      </w:tr>
      <w:tr w:rsidR="0086051D" w:rsidRPr="0086051D" w14:paraId="437574CB" w14:textId="77777777" w:rsidTr="0086051D">
        <w:tc>
          <w:tcPr>
            <w:tcW w:w="5465" w:type="dxa"/>
          </w:tcPr>
          <w:p w14:paraId="1CD762C2" w14:textId="77777777" w:rsidR="0086051D" w:rsidRPr="0086051D" w:rsidRDefault="0086051D" w:rsidP="0086051D">
            <w:pPr>
              <w:spacing w:line="278" w:lineRule="auto"/>
              <w:rPr>
                <w:sz w:val="18"/>
                <w:szCs w:val="18"/>
                <w:lang w:val="es-ES"/>
              </w:rPr>
            </w:pPr>
            <w:proofErr w:type="spellStart"/>
            <w:r w:rsidRPr="0086051D">
              <w:rPr>
                <w:sz w:val="18"/>
                <w:szCs w:val="18"/>
                <w:lang w:val="es-ES"/>
              </w:rPr>
              <w:t>moving</w:t>
            </w:r>
            <w:proofErr w:type="spellEnd"/>
            <w:r w:rsidRPr="0086051D">
              <w:rPr>
                <w:sz w:val="18"/>
                <w:szCs w:val="18"/>
                <w:lang w:val="es-ES"/>
              </w:rPr>
              <w:t xml:space="preserve"> </w:t>
            </w:r>
            <w:proofErr w:type="spellStart"/>
            <w:r w:rsidRPr="0086051D">
              <w:rPr>
                <w:sz w:val="18"/>
                <w:szCs w:val="18"/>
                <w:lang w:val="es-ES"/>
              </w:rPr>
              <w:t>away</w:t>
            </w:r>
            <w:proofErr w:type="spellEnd"/>
          </w:p>
        </w:tc>
        <w:tc>
          <w:tcPr>
            <w:tcW w:w="3862" w:type="dxa"/>
          </w:tcPr>
          <w:p w14:paraId="0DF470E4" w14:textId="7A9265B1" w:rsidR="0086051D" w:rsidRPr="0086051D" w:rsidRDefault="0086051D" w:rsidP="0086051D">
            <w:pPr>
              <w:spacing w:line="278" w:lineRule="auto"/>
              <w:rPr>
                <w:sz w:val="18"/>
                <w:szCs w:val="18"/>
                <w:lang w:val="es-ES"/>
              </w:rPr>
            </w:pPr>
            <w:r w:rsidRPr="0086051D">
              <w:rPr>
                <w:sz w:val="18"/>
                <w:szCs w:val="18"/>
                <w:lang w:val="es-ES"/>
              </w:rPr>
              <w:t>alejándose</w:t>
            </w:r>
          </w:p>
        </w:tc>
      </w:tr>
      <w:tr w:rsidR="0086051D" w:rsidRPr="0086051D" w14:paraId="7602579C" w14:textId="77777777" w:rsidTr="0086051D">
        <w:tc>
          <w:tcPr>
            <w:tcW w:w="5465" w:type="dxa"/>
          </w:tcPr>
          <w:p w14:paraId="0C0E59EE" w14:textId="77777777" w:rsidR="0086051D" w:rsidRPr="0086051D" w:rsidRDefault="0086051D" w:rsidP="0086051D">
            <w:pPr>
              <w:spacing w:line="278" w:lineRule="auto"/>
              <w:rPr>
                <w:sz w:val="18"/>
                <w:szCs w:val="18"/>
                <w:lang w:val="es-ES"/>
              </w:rPr>
            </w:pPr>
            <w:r w:rsidRPr="0086051D">
              <w:rPr>
                <w:sz w:val="18"/>
                <w:szCs w:val="18"/>
                <w:lang w:val="es-ES"/>
              </w:rPr>
              <w:t xml:space="preserve">Party </w:t>
            </w:r>
            <w:proofErr w:type="spellStart"/>
            <w:r w:rsidRPr="0086051D">
              <w:rPr>
                <w:sz w:val="18"/>
                <w:szCs w:val="18"/>
                <w:lang w:val="es-ES"/>
              </w:rPr>
              <w:t>count</w:t>
            </w:r>
            <w:proofErr w:type="spellEnd"/>
            <w:r w:rsidRPr="0086051D">
              <w:rPr>
                <w:sz w:val="18"/>
                <w:szCs w:val="18"/>
                <w:lang w:val="es-ES"/>
              </w:rPr>
              <w:t>: 42</w:t>
            </w:r>
          </w:p>
        </w:tc>
        <w:tc>
          <w:tcPr>
            <w:tcW w:w="3862" w:type="dxa"/>
          </w:tcPr>
          <w:p w14:paraId="1D9CAC32" w14:textId="5D543EEB" w:rsidR="0086051D" w:rsidRPr="0086051D" w:rsidRDefault="0086051D" w:rsidP="0086051D">
            <w:pPr>
              <w:spacing w:line="278" w:lineRule="auto"/>
              <w:rPr>
                <w:sz w:val="18"/>
                <w:szCs w:val="18"/>
                <w:lang w:val="es-ES"/>
              </w:rPr>
            </w:pPr>
            <w:r w:rsidRPr="0086051D">
              <w:rPr>
                <w:sz w:val="18"/>
                <w:szCs w:val="18"/>
                <w:lang w:val="es-ES"/>
              </w:rPr>
              <w:t>Número de Partes: 42</w:t>
            </w:r>
          </w:p>
        </w:tc>
      </w:tr>
      <w:tr w:rsidR="0086051D" w:rsidRPr="0086051D" w14:paraId="666C3D3C" w14:textId="77777777" w:rsidTr="0086051D">
        <w:tc>
          <w:tcPr>
            <w:tcW w:w="5465" w:type="dxa"/>
          </w:tcPr>
          <w:p w14:paraId="52E7F3C8" w14:textId="77777777" w:rsidR="0086051D" w:rsidRPr="0086051D" w:rsidRDefault="0086051D" w:rsidP="0086051D">
            <w:pPr>
              <w:spacing w:line="278" w:lineRule="auto"/>
              <w:rPr>
                <w:sz w:val="18"/>
                <w:szCs w:val="18"/>
                <w:lang w:val="es-ES"/>
              </w:rPr>
            </w:pPr>
            <w:proofErr w:type="spellStart"/>
            <w:r w:rsidRPr="0086051D">
              <w:rPr>
                <w:sz w:val="18"/>
                <w:szCs w:val="18"/>
                <w:lang w:val="es-ES"/>
              </w:rPr>
              <w:t>Region</w:t>
            </w:r>
            <w:proofErr w:type="spellEnd"/>
          </w:p>
        </w:tc>
        <w:tc>
          <w:tcPr>
            <w:tcW w:w="3862" w:type="dxa"/>
          </w:tcPr>
          <w:p w14:paraId="27802017" w14:textId="03FEB4E3" w:rsidR="0086051D" w:rsidRPr="0086051D" w:rsidRDefault="0086051D" w:rsidP="0086051D">
            <w:pPr>
              <w:spacing w:line="278" w:lineRule="auto"/>
              <w:rPr>
                <w:sz w:val="18"/>
                <w:szCs w:val="18"/>
                <w:lang w:val="es-ES"/>
              </w:rPr>
            </w:pPr>
            <w:r w:rsidRPr="0086051D">
              <w:rPr>
                <w:sz w:val="18"/>
                <w:szCs w:val="18"/>
                <w:lang w:val="es-ES"/>
              </w:rPr>
              <w:t>Región</w:t>
            </w:r>
          </w:p>
        </w:tc>
      </w:tr>
      <w:tr w:rsidR="0086051D" w:rsidRPr="0086051D" w14:paraId="76E4EEEE" w14:textId="77777777" w:rsidTr="0086051D">
        <w:tc>
          <w:tcPr>
            <w:tcW w:w="5465" w:type="dxa"/>
          </w:tcPr>
          <w:p w14:paraId="61761371" w14:textId="77777777" w:rsidR="0086051D" w:rsidRPr="0086051D" w:rsidRDefault="0086051D" w:rsidP="0086051D">
            <w:pPr>
              <w:spacing w:line="278" w:lineRule="auto"/>
              <w:rPr>
                <w:sz w:val="18"/>
                <w:szCs w:val="18"/>
                <w:lang w:val="es-ES"/>
              </w:rPr>
            </w:pPr>
            <w:r w:rsidRPr="0086051D">
              <w:rPr>
                <w:sz w:val="18"/>
                <w:szCs w:val="18"/>
                <w:lang w:val="es-ES"/>
              </w:rPr>
              <w:t>African States</w:t>
            </w:r>
          </w:p>
        </w:tc>
        <w:tc>
          <w:tcPr>
            <w:tcW w:w="3862" w:type="dxa"/>
          </w:tcPr>
          <w:p w14:paraId="09D4BE6E" w14:textId="5D6E1113" w:rsidR="0086051D" w:rsidRPr="0086051D" w:rsidRDefault="0086051D" w:rsidP="0086051D">
            <w:pPr>
              <w:spacing w:line="278" w:lineRule="auto"/>
              <w:rPr>
                <w:sz w:val="18"/>
                <w:szCs w:val="18"/>
                <w:lang w:val="es-ES"/>
              </w:rPr>
            </w:pPr>
            <w:r w:rsidRPr="0086051D">
              <w:rPr>
                <w:sz w:val="18"/>
                <w:szCs w:val="18"/>
                <w:lang w:val="es-ES"/>
              </w:rPr>
              <w:t>Estados de África</w:t>
            </w:r>
          </w:p>
        </w:tc>
      </w:tr>
      <w:tr w:rsidR="0086051D" w:rsidRPr="0086051D" w14:paraId="10EB80A6" w14:textId="77777777" w:rsidTr="0086051D">
        <w:tc>
          <w:tcPr>
            <w:tcW w:w="5465" w:type="dxa"/>
          </w:tcPr>
          <w:p w14:paraId="47AF137A" w14:textId="77777777" w:rsidR="0086051D" w:rsidRPr="0086051D" w:rsidRDefault="0086051D" w:rsidP="0086051D">
            <w:pPr>
              <w:spacing w:line="278" w:lineRule="auto"/>
              <w:rPr>
                <w:sz w:val="18"/>
                <w:szCs w:val="18"/>
                <w:lang w:val="es-ES"/>
              </w:rPr>
            </w:pPr>
            <w:r w:rsidRPr="0086051D">
              <w:rPr>
                <w:sz w:val="18"/>
                <w:szCs w:val="18"/>
                <w:lang w:val="es-ES"/>
              </w:rPr>
              <w:t>Asia-Pacific States</w:t>
            </w:r>
          </w:p>
        </w:tc>
        <w:tc>
          <w:tcPr>
            <w:tcW w:w="3862" w:type="dxa"/>
          </w:tcPr>
          <w:p w14:paraId="228B0245" w14:textId="6291F0F9" w:rsidR="0086051D" w:rsidRPr="0086051D" w:rsidRDefault="0086051D" w:rsidP="0086051D">
            <w:pPr>
              <w:spacing w:line="278" w:lineRule="auto"/>
              <w:rPr>
                <w:sz w:val="18"/>
                <w:szCs w:val="18"/>
                <w:lang w:val="es-ES"/>
              </w:rPr>
            </w:pPr>
            <w:r w:rsidRPr="0086051D">
              <w:rPr>
                <w:sz w:val="18"/>
                <w:szCs w:val="18"/>
                <w:lang w:val="es-ES"/>
              </w:rPr>
              <w:t>Estados de Asia y el Pacífico</w:t>
            </w:r>
          </w:p>
        </w:tc>
      </w:tr>
      <w:tr w:rsidR="0086051D" w:rsidRPr="0086051D" w14:paraId="4C1A6D0A" w14:textId="77777777" w:rsidTr="0086051D">
        <w:tc>
          <w:tcPr>
            <w:tcW w:w="5465" w:type="dxa"/>
          </w:tcPr>
          <w:p w14:paraId="35B30EFC" w14:textId="77777777" w:rsidR="0086051D" w:rsidRPr="0086051D" w:rsidRDefault="0086051D" w:rsidP="0086051D">
            <w:pPr>
              <w:spacing w:line="278" w:lineRule="auto"/>
              <w:rPr>
                <w:sz w:val="18"/>
                <w:szCs w:val="18"/>
                <w:lang w:val="en-US"/>
              </w:rPr>
            </w:pPr>
            <w:r w:rsidRPr="0086051D">
              <w:rPr>
                <w:sz w:val="18"/>
                <w:szCs w:val="18"/>
                <w:lang w:val="en-US"/>
              </w:rPr>
              <w:t>Latin American and Caribbean States</w:t>
            </w:r>
          </w:p>
        </w:tc>
        <w:tc>
          <w:tcPr>
            <w:tcW w:w="3862" w:type="dxa"/>
          </w:tcPr>
          <w:p w14:paraId="3152B99B" w14:textId="13D66FF4" w:rsidR="0086051D" w:rsidRPr="0086051D" w:rsidRDefault="0086051D" w:rsidP="0086051D">
            <w:pPr>
              <w:spacing w:line="278" w:lineRule="auto"/>
              <w:rPr>
                <w:sz w:val="18"/>
                <w:szCs w:val="18"/>
                <w:lang w:val="es-ES"/>
              </w:rPr>
            </w:pPr>
            <w:r w:rsidRPr="0086051D">
              <w:rPr>
                <w:sz w:val="18"/>
                <w:szCs w:val="18"/>
                <w:lang w:val="es-ES"/>
              </w:rPr>
              <w:t>Estados de América Latina y el Caribe</w:t>
            </w:r>
          </w:p>
        </w:tc>
      </w:tr>
      <w:tr w:rsidR="0086051D" w:rsidRPr="0086051D" w14:paraId="623141B1" w14:textId="77777777" w:rsidTr="0086051D">
        <w:tc>
          <w:tcPr>
            <w:tcW w:w="5465" w:type="dxa"/>
          </w:tcPr>
          <w:p w14:paraId="2CD6097A" w14:textId="77777777" w:rsidR="0086051D" w:rsidRPr="0086051D" w:rsidRDefault="0086051D" w:rsidP="0086051D">
            <w:pPr>
              <w:spacing w:line="278" w:lineRule="auto"/>
              <w:rPr>
                <w:sz w:val="18"/>
                <w:szCs w:val="18"/>
                <w:lang w:val="es-ES"/>
              </w:rPr>
            </w:pPr>
            <w:r w:rsidRPr="0086051D">
              <w:rPr>
                <w:sz w:val="18"/>
                <w:szCs w:val="18"/>
                <w:lang w:val="es-ES"/>
              </w:rPr>
              <w:t xml:space="preserve"> Eastern European States</w:t>
            </w:r>
          </w:p>
        </w:tc>
        <w:tc>
          <w:tcPr>
            <w:tcW w:w="3862" w:type="dxa"/>
          </w:tcPr>
          <w:p w14:paraId="2A3655ED" w14:textId="2491A1E8" w:rsidR="0086051D" w:rsidRPr="0086051D" w:rsidRDefault="0086051D" w:rsidP="0086051D">
            <w:pPr>
              <w:spacing w:line="278" w:lineRule="auto"/>
              <w:rPr>
                <w:sz w:val="18"/>
                <w:szCs w:val="18"/>
                <w:lang w:val="es-ES"/>
              </w:rPr>
            </w:pPr>
            <w:r w:rsidRPr="0086051D">
              <w:rPr>
                <w:sz w:val="18"/>
                <w:szCs w:val="18"/>
                <w:lang w:val="es-ES"/>
              </w:rPr>
              <w:t>Estados de Europa Oriental</w:t>
            </w:r>
          </w:p>
        </w:tc>
      </w:tr>
      <w:tr w:rsidR="0086051D" w:rsidRPr="0086051D" w14:paraId="1D10E9B2" w14:textId="77777777" w:rsidTr="0086051D">
        <w:tc>
          <w:tcPr>
            <w:tcW w:w="5465" w:type="dxa"/>
          </w:tcPr>
          <w:p w14:paraId="16B21100" w14:textId="77777777" w:rsidR="0086051D" w:rsidRPr="0086051D" w:rsidRDefault="0086051D" w:rsidP="0086051D">
            <w:pPr>
              <w:spacing w:line="278" w:lineRule="auto"/>
              <w:rPr>
                <w:sz w:val="18"/>
                <w:szCs w:val="18"/>
                <w:lang w:val="en-US"/>
              </w:rPr>
            </w:pPr>
            <w:r w:rsidRPr="0086051D">
              <w:rPr>
                <w:sz w:val="18"/>
                <w:szCs w:val="18"/>
                <w:lang w:val="en-US"/>
              </w:rPr>
              <w:t>Western European and other States</w:t>
            </w:r>
          </w:p>
        </w:tc>
        <w:tc>
          <w:tcPr>
            <w:tcW w:w="3862" w:type="dxa"/>
          </w:tcPr>
          <w:p w14:paraId="4842DD7A" w14:textId="01FD18F4" w:rsidR="0086051D" w:rsidRPr="0086051D" w:rsidRDefault="0086051D" w:rsidP="0086051D">
            <w:pPr>
              <w:spacing w:line="278" w:lineRule="auto"/>
              <w:rPr>
                <w:sz w:val="18"/>
                <w:szCs w:val="18"/>
                <w:lang w:val="es-ES"/>
              </w:rPr>
            </w:pPr>
            <w:r w:rsidRPr="0086051D">
              <w:rPr>
                <w:sz w:val="18"/>
                <w:szCs w:val="18"/>
                <w:lang w:val="es-ES"/>
              </w:rPr>
              <w:t>Estados de Europa Occidental y otros Estados</w:t>
            </w:r>
          </w:p>
        </w:tc>
      </w:tr>
    </w:tbl>
    <w:p w14:paraId="06CF3CF6"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576252F4"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23" w:name="_Toc235821185"/>
      <w:r w:rsidRPr="005E3D50">
        <w:rPr>
          <w:rFonts w:eastAsiaTheme="majorEastAsia" w:cstheme="majorBidi"/>
          <w:color w:val="0F4761" w:themeColor="accent1" w:themeShade="BF"/>
          <w:lang w:val="es-ES"/>
        </w:rPr>
        <w:t>Autoevaluación de progresos</w:t>
      </w:r>
      <w:bookmarkEnd w:id="323"/>
    </w:p>
    <w:p w14:paraId="72152D35" w14:textId="77777777" w:rsidR="009713BF" w:rsidRPr="005E3D50" w:rsidRDefault="009713BF" w:rsidP="009713BF">
      <w:pPr>
        <w:rPr>
          <w:lang w:val="es-ES"/>
        </w:rPr>
      </w:pPr>
    </w:p>
    <w:p w14:paraId="317450E7" w14:textId="77777777" w:rsidR="009713BF" w:rsidRPr="005E3D50" w:rsidRDefault="009713BF" w:rsidP="009713BF">
      <w:pPr>
        <w:spacing w:after="200" w:line="240" w:lineRule="auto"/>
        <w:rPr>
          <w:rFonts w:ascii="Aptos" w:eastAsiaTheme="minorEastAsia" w:hAnsi="Aptos"/>
          <w:iCs/>
          <w:color w:val="0E2841" w:themeColor="text2"/>
          <w:kern w:val="0"/>
          <w:lang w:val="es-ES" w:eastAsia="ja-JP"/>
          <w14:ligatures w14:val="none"/>
        </w:rPr>
      </w:pPr>
      <w:r w:rsidRPr="005E3D50">
        <w:rPr>
          <w:rFonts w:eastAsiaTheme="minorEastAsia"/>
          <w:iCs/>
          <w:color w:val="0E2841" w:themeColor="text2"/>
          <w:kern w:val="0"/>
          <w:szCs w:val="18"/>
          <w:lang w:val="es-ES" w:eastAsia="ja-JP"/>
          <w14:ligatures w14:val="none"/>
        </w:rPr>
        <w:t>Según las autoevaluaciones realizadas por las Partes en sus informes nacionales, solo el 35 % de las metas nacionales presentadas como estrechamente armonizadas con la meta 11 están en vías de alcanzarse, frente a un número mucho mayor (64 %) que no muestran cambios significativos o bien muestran progresos insuficientes, y solo se informa de una meta nacional (0,2 %) que se alcanzó (véase la figura 52).</w:t>
      </w:r>
      <w:r w:rsidRPr="005E3D50">
        <w:rPr>
          <w:rFonts w:ascii="Aptos" w:eastAsiaTheme="minorEastAsia" w:hAnsi="Aptos"/>
          <w:iCs/>
          <w:color w:val="0E2841" w:themeColor="text2"/>
          <w:kern w:val="0"/>
          <w:szCs w:val="18"/>
          <w:lang w:val="es-ES" w:eastAsia="ja-JP"/>
          <w14:ligatures w14:val="none"/>
        </w:rPr>
        <w:t> </w:t>
      </w:r>
    </w:p>
    <w:p w14:paraId="56507121" w14:textId="77777777" w:rsidR="009713BF" w:rsidRPr="005E3D50" w:rsidRDefault="009713BF" w:rsidP="009713BF">
      <w:pPr>
        <w:rPr>
          <w:rFonts w:ascii="Aptos" w:eastAsia="Aptos" w:hAnsi="Aptos" w:cs="Aptos"/>
          <w:lang w:val="es-ES"/>
        </w:rPr>
      </w:pPr>
    </w:p>
    <w:p w14:paraId="6710D634" w14:textId="77777777" w:rsidR="009713BF" w:rsidRPr="005E3D50" w:rsidRDefault="009713BF" w:rsidP="009713BF">
      <w:pPr>
        <w:rPr>
          <w:sz w:val="20"/>
          <w:szCs w:val="20"/>
          <w:lang w:val="es-ES"/>
        </w:rPr>
      </w:pPr>
      <w:r w:rsidRPr="005E3D50">
        <w:rPr>
          <w:sz w:val="20"/>
          <w:lang w:val="es-ES"/>
        </w:rPr>
        <w:t>Figura 52</w:t>
      </w:r>
    </w:p>
    <w:p w14:paraId="0BF67338"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11 del Marco </w:t>
      </w:r>
    </w:p>
    <w:p w14:paraId="08AED528" w14:textId="77777777" w:rsidR="009713BF" w:rsidRPr="005E3D50" w:rsidRDefault="009713BF" w:rsidP="009713BF">
      <w:pPr>
        <w:rPr>
          <w:rFonts w:ascii="Aptos" w:eastAsia="Aptos" w:hAnsi="Aptos" w:cs="Aptos"/>
          <w:sz w:val="20"/>
          <w:szCs w:val="20"/>
          <w:lang w:val="es-ES"/>
        </w:rPr>
      </w:pPr>
    </w:p>
    <w:p w14:paraId="363420A5"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324" w:name="_Ref231190957"/>
      <w:r w:rsidRPr="005E3D50">
        <w:rPr>
          <w:rFonts w:ascii="Aptos" w:eastAsiaTheme="minorEastAsia" w:hAnsi="Aptos"/>
          <w:i/>
          <w:iCs/>
          <w:noProof/>
          <w:color w:val="0E2841" w:themeColor="text2"/>
          <w:kern w:val="0"/>
          <w:sz w:val="18"/>
          <w:szCs w:val="18"/>
          <w:lang w:val="en-US"/>
          <w14:ligatures w14:val="none"/>
        </w:rPr>
        <w:drawing>
          <wp:inline distT="0" distB="0" distL="0" distR="0" wp14:anchorId="3EBF0540" wp14:editId="413939B3">
            <wp:extent cx="5731510" cy="2292350"/>
            <wp:effectExtent l="0" t="0" r="0" b="6350"/>
            <wp:docPr id="13809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161" name="Picture 1380916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8D52DDD"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25" w:name="_Toc235821186"/>
      <w:bookmarkEnd w:id="324"/>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58" w:type="dxa"/>
        <w:tblLook w:val="04A0" w:firstRow="1" w:lastRow="0" w:firstColumn="1" w:lastColumn="0" w:noHBand="0" w:noVBand="1"/>
      </w:tblPr>
      <w:tblGrid>
        <w:gridCol w:w="5100"/>
        <w:gridCol w:w="4258"/>
      </w:tblGrid>
      <w:tr w:rsidR="00081BDA" w:rsidRPr="00081BDA" w14:paraId="04CB279F" w14:textId="77777777" w:rsidTr="00081BDA">
        <w:tc>
          <w:tcPr>
            <w:tcW w:w="9358" w:type="dxa"/>
            <w:gridSpan w:val="2"/>
          </w:tcPr>
          <w:p w14:paraId="1B62C20A" w14:textId="21288F9E" w:rsidR="00081BDA" w:rsidRPr="00081BDA" w:rsidRDefault="00081BDA" w:rsidP="00081BDA">
            <w:pPr>
              <w:spacing w:line="278" w:lineRule="auto"/>
              <w:rPr>
                <w:sz w:val="18"/>
                <w:szCs w:val="18"/>
                <w:lang w:val="es-ES"/>
              </w:rPr>
            </w:pPr>
            <w:r w:rsidRPr="00081BDA">
              <w:rPr>
                <w:sz w:val="18"/>
                <w:szCs w:val="18"/>
                <w:lang w:val="es-ES"/>
              </w:rPr>
              <w:t>Figura 52</w:t>
            </w:r>
          </w:p>
        </w:tc>
      </w:tr>
      <w:tr w:rsidR="00081BDA" w:rsidRPr="00081BDA" w14:paraId="141C19A8" w14:textId="77777777" w:rsidTr="00081BDA">
        <w:tc>
          <w:tcPr>
            <w:tcW w:w="5100" w:type="dxa"/>
          </w:tcPr>
          <w:p w14:paraId="00BBA7E7" w14:textId="27934AF9" w:rsidR="00081BDA" w:rsidRPr="00081BDA" w:rsidRDefault="00081BDA" w:rsidP="00081BDA">
            <w:pPr>
              <w:spacing w:line="278" w:lineRule="auto"/>
              <w:rPr>
                <w:sz w:val="18"/>
                <w:szCs w:val="18"/>
                <w:lang w:val="es-ES"/>
              </w:rPr>
            </w:pPr>
            <w:r w:rsidRPr="00081BDA">
              <w:rPr>
                <w:sz w:val="18"/>
                <w:szCs w:val="18"/>
                <w:lang w:val="es-ES"/>
              </w:rPr>
              <w:t>English</w:t>
            </w:r>
          </w:p>
        </w:tc>
        <w:tc>
          <w:tcPr>
            <w:tcW w:w="4257" w:type="dxa"/>
          </w:tcPr>
          <w:p w14:paraId="3A24F1AE" w14:textId="2E420F85" w:rsidR="00081BDA" w:rsidRPr="00081BDA" w:rsidRDefault="007371B4" w:rsidP="00081BDA">
            <w:pPr>
              <w:spacing w:line="278" w:lineRule="auto"/>
              <w:rPr>
                <w:sz w:val="18"/>
                <w:szCs w:val="18"/>
                <w:lang w:val="es-ES"/>
              </w:rPr>
            </w:pPr>
            <w:r>
              <w:rPr>
                <w:sz w:val="18"/>
                <w:szCs w:val="18"/>
                <w:lang w:val="es-ES"/>
              </w:rPr>
              <w:t>Español</w:t>
            </w:r>
          </w:p>
        </w:tc>
      </w:tr>
      <w:tr w:rsidR="00081BDA" w:rsidRPr="00081BDA" w14:paraId="3A101D4F" w14:textId="77777777" w:rsidTr="00081BDA">
        <w:tc>
          <w:tcPr>
            <w:tcW w:w="5100" w:type="dxa"/>
          </w:tcPr>
          <w:p w14:paraId="1510F343" w14:textId="77777777" w:rsidR="00081BDA" w:rsidRPr="00081BDA" w:rsidRDefault="00081BDA" w:rsidP="00081BDA">
            <w:pPr>
              <w:spacing w:line="278" w:lineRule="auto"/>
              <w:rPr>
                <w:sz w:val="18"/>
                <w:szCs w:val="18"/>
                <w:lang w:val="es-ES"/>
              </w:rPr>
            </w:pPr>
            <w:proofErr w:type="spellStart"/>
            <w:r w:rsidRPr="00081BDA">
              <w:rPr>
                <w:sz w:val="18"/>
                <w:szCs w:val="18"/>
                <w:lang w:val="es-ES"/>
              </w:rPr>
              <w:t>Percentage</w:t>
            </w:r>
            <w:proofErr w:type="spellEnd"/>
            <w:r w:rsidRPr="00081BDA">
              <w:rPr>
                <w:sz w:val="18"/>
                <w:szCs w:val="18"/>
                <w:lang w:val="es-ES"/>
              </w:rPr>
              <w:t xml:space="preserve"> of </w:t>
            </w:r>
            <w:proofErr w:type="spellStart"/>
            <w:r w:rsidRPr="00081BDA">
              <w:rPr>
                <w:sz w:val="18"/>
                <w:szCs w:val="18"/>
                <w:lang w:val="es-ES"/>
              </w:rPr>
              <w:t>national</w:t>
            </w:r>
            <w:proofErr w:type="spellEnd"/>
            <w:r w:rsidRPr="00081BDA">
              <w:rPr>
                <w:sz w:val="18"/>
                <w:szCs w:val="18"/>
                <w:lang w:val="es-ES"/>
              </w:rPr>
              <w:t xml:space="preserve"> targets</w:t>
            </w:r>
          </w:p>
        </w:tc>
        <w:tc>
          <w:tcPr>
            <w:tcW w:w="4257" w:type="dxa"/>
          </w:tcPr>
          <w:p w14:paraId="465111C7" w14:textId="0E0DB828" w:rsidR="00081BDA" w:rsidRPr="00081BDA" w:rsidRDefault="00081BDA" w:rsidP="00081BDA">
            <w:pPr>
              <w:spacing w:line="278" w:lineRule="auto"/>
              <w:rPr>
                <w:sz w:val="18"/>
                <w:szCs w:val="18"/>
                <w:lang w:val="es-ES"/>
              </w:rPr>
            </w:pPr>
            <w:r w:rsidRPr="00081BDA">
              <w:rPr>
                <w:sz w:val="18"/>
                <w:szCs w:val="18"/>
                <w:lang w:val="es-ES"/>
              </w:rPr>
              <w:t>Porcentaje de metas nacionales</w:t>
            </w:r>
          </w:p>
        </w:tc>
      </w:tr>
      <w:tr w:rsidR="00081BDA" w:rsidRPr="00081BDA" w14:paraId="3DE20730" w14:textId="77777777" w:rsidTr="00081BDA">
        <w:tc>
          <w:tcPr>
            <w:tcW w:w="5100" w:type="dxa"/>
          </w:tcPr>
          <w:p w14:paraId="174139C4" w14:textId="77777777" w:rsidR="00081BDA" w:rsidRPr="00081BDA" w:rsidRDefault="00081BDA" w:rsidP="00081BDA">
            <w:pPr>
              <w:spacing w:line="278" w:lineRule="auto"/>
              <w:rPr>
                <w:sz w:val="18"/>
                <w:szCs w:val="18"/>
                <w:lang w:val="es-ES"/>
              </w:rPr>
            </w:pPr>
            <w:proofErr w:type="spellStart"/>
            <w:r w:rsidRPr="00081BDA">
              <w:rPr>
                <w:sz w:val="18"/>
                <w:szCs w:val="18"/>
                <w:lang w:val="es-ES"/>
              </w:rPr>
              <w:t>Progress</w:t>
            </w:r>
            <w:proofErr w:type="spellEnd"/>
            <w:r w:rsidRPr="00081BDA">
              <w:rPr>
                <w:sz w:val="18"/>
                <w:szCs w:val="18"/>
                <w:lang w:val="es-ES"/>
              </w:rPr>
              <w:t xml:space="preserve"> Level</w:t>
            </w:r>
          </w:p>
        </w:tc>
        <w:tc>
          <w:tcPr>
            <w:tcW w:w="4257" w:type="dxa"/>
          </w:tcPr>
          <w:p w14:paraId="3C51D46B" w14:textId="3F5E8C8E" w:rsidR="00081BDA" w:rsidRPr="00081BDA" w:rsidRDefault="00081BDA" w:rsidP="00081BDA">
            <w:pPr>
              <w:spacing w:line="278" w:lineRule="auto"/>
              <w:rPr>
                <w:sz w:val="18"/>
                <w:szCs w:val="18"/>
                <w:lang w:val="es-ES"/>
              </w:rPr>
            </w:pPr>
            <w:r w:rsidRPr="00081BDA">
              <w:rPr>
                <w:sz w:val="18"/>
                <w:szCs w:val="18"/>
                <w:lang w:val="es-ES"/>
              </w:rPr>
              <w:t>Nivel de progreso</w:t>
            </w:r>
          </w:p>
        </w:tc>
      </w:tr>
      <w:tr w:rsidR="00081BDA" w:rsidRPr="00081BDA" w14:paraId="70223C66" w14:textId="77777777" w:rsidTr="00081BDA">
        <w:tc>
          <w:tcPr>
            <w:tcW w:w="5100" w:type="dxa"/>
          </w:tcPr>
          <w:p w14:paraId="233A827F" w14:textId="77777777" w:rsidR="00081BDA" w:rsidRPr="00081BDA" w:rsidRDefault="00081BDA" w:rsidP="00081BDA">
            <w:pPr>
              <w:spacing w:line="278" w:lineRule="auto"/>
              <w:rPr>
                <w:sz w:val="18"/>
                <w:szCs w:val="18"/>
                <w:lang w:val="es-ES"/>
              </w:rPr>
            </w:pPr>
            <w:proofErr w:type="spellStart"/>
            <w:r w:rsidRPr="00081BDA">
              <w:rPr>
                <w:sz w:val="18"/>
                <w:szCs w:val="18"/>
                <w:lang w:val="es-ES"/>
              </w:rPr>
              <w:t>Achieved</w:t>
            </w:r>
            <w:proofErr w:type="spellEnd"/>
          </w:p>
        </w:tc>
        <w:tc>
          <w:tcPr>
            <w:tcW w:w="4257" w:type="dxa"/>
          </w:tcPr>
          <w:p w14:paraId="16AD159C" w14:textId="2942FC01" w:rsidR="00081BDA" w:rsidRPr="00081BDA" w:rsidRDefault="00081BDA" w:rsidP="00081BDA">
            <w:pPr>
              <w:spacing w:line="278" w:lineRule="auto"/>
              <w:rPr>
                <w:sz w:val="18"/>
                <w:szCs w:val="18"/>
                <w:lang w:val="es-ES"/>
              </w:rPr>
            </w:pPr>
            <w:r w:rsidRPr="00081BDA">
              <w:rPr>
                <w:sz w:val="18"/>
                <w:szCs w:val="18"/>
                <w:lang w:val="es-ES"/>
              </w:rPr>
              <w:t>Alcanzada</w:t>
            </w:r>
          </w:p>
        </w:tc>
      </w:tr>
      <w:tr w:rsidR="00081BDA" w:rsidRPr="00081BDA" w14:paraId="05C2D4E0" w14:textId="77777777" w:rsidTr="00081BDA">
        <w:tc>
          <w:tcPr>
            <w:tcW w:w="5100" w:type="dxa"/>
          </w:tcPr>
          <w:p w14:paraId="6C741688" w14:textId="77777777" w:rsidR="00081BDA" w:rsidRPr="00081BDA" w:rsidRDefault="00081BDA" w:rsidP="00081BDA">
            <w:pPr>
              <w:spacing w:line="278" w:lineRule="auto"/>
              <w:rPr>
                <w:sz w:val="18"/>
                <w:szCs w:val="18"/>
                <w:lang w:val="en-US"/>
              </w:rPr>
            </w:pPr>
            <w:r w:rsidRPr="00081BDA">
              <w:rPr>
                <w:sz w:val="18"/>
                <w:szCs w:val="18"/>
                <w:lang w:val="en-US"/>
              </w:rPr>
              <w:t>On track to achieve target</w:t>
            </w:r>
          </w:p>
        </w:tc>
        <w:tc>
          <w:tcPr>
            <w:tcW w:w="4257" w:type="dxa"/>
          </w:tcPr>
          <w:p w14:paraId="3C914B87" w14:textId="09CA72BB" w:rsidR="00081BDA" w:rsidRPr="00081BDA" w:rsidRDefault="00081BDA" w:rsidP="00081BDA">
            <w:pPr>
              <w:spacing w:line="278" w:lineRule="auto"/>
              <w:rPr>
                <w:sz w:val="18"/>
                <w:szCs w:val="18"/>
                <w:lang w:val="es-ES"/>
              </w:rPr>
            </w:pPr>
            <w:r w:rsidRPr="00081BDA">
              <w:rPr>
                <w:sz w:val="18"/>
                <w:szCs w:val="18"/>
                <w:lang w:val="es-ES"/>
              </w:rPr>
              <w:t>En vías de alcanzar la meta</w:t>
            </w:r>
          </w:p>
        </w:tc>
      </w:tr>
      <w:tr w:rsidR="00081BDA" w:rsidRPr="00081BDA" w14:paraId="53B562C8" w14:textId="77777777" w:rsidTr="00081BDA">
        <w:tc>
          <w:tcPr>
            <w:tcW w:w="5100" w:type="dxa"/>
          </w:tcPr>
          <w:p w14:paraId="1E6D37FF" w14:textId="77777777" w:rsidR="00081BDA" w:rsidRPr="00081BDA" w:rsidRDefault="00081BDA" w:rsidP="00081BDA">
            <w:pPr>
              <w:spacing w:line="278" w:lineRule="auto"/>
              <w:rPr>
                <w:sz w:val="18"/>
                <w:szCs w:val="18"/>
                <w:lang w:val="en-US"/>
              </w:rPr>
            </w:pPr>
            <w:r w:rsidRPr="00081BDA">
              <w:rPr>
                <w:sz w:val="18"/>
                <w:szCs w:val="18"/>
                <w:lang w:val="en-US"/>
              </w:rPr>
              <w:t>Progress towards target but at an insufficient rate</w:t>
            </w:r>
          </w:p>
        </w:tc>
        <w:tc>
          <w:tcPr>
            <w:tcW w:w="4257" w:type="dxa"/>
          </w:tcPr>
          <w:p w14:paraId="5F09E1F7" w14:textId="36A02489" w:rsidR="00081BDA" w:rsidRPr="00081BDA" w:rsidRDefault="00081BDA" w:rsidP="00081BDA">
            <w:pPr>
              <w:spacing w:line="278" w:lineRule="auto"/>
              <w:rPr>
                <w:sz w:val="18"/>
                <w:szCs w:val="18"/>
                <w:lang w:val="es-ES"/>
              </w:rPr>
            </w:pPr>
            <w:r w:rsidRPr="00081BDA">
              <w:rPr>
                <w:sz w:val="18"/>
                <w:szCs w:val="18"/>
                <w:lang w:val="es-ES"/>
              </w:rPr>
              <w:t xml:space="preserve">Se ha progresado hacia la </w:t>
            </w:r>
            <w:proofErr w:type="gramStart"/>
            <w:r w:rsidRPr="00081BDA">
              <w:rPr>
                <w:sz w:val="18"/>
                <w:szCs w:val="18"/>
                <w:lang w:val="es-ES"/>
              </w:rPr>
              <w:t>meta</w:t>
            </w:r>
            <w:proofErr w:type="gramEnd"/>
            <w:r w:rsidRPr="00081BDA">
              <w:rPr>
                <w:sz w:val="18"/>
                <w:szCs w:val="18"/>
                <w:lang w:val="es-ES"/>
              </w:rPr>
              <w:t xml:space="preserve"> pero a un ritmo insuficiente</w:t>
            </w:r>
          </w:p>
        </w:tc>
      </w:tr>
      <w:tr w:rsidR="00081BDA" w:rsidRPr="00081BDA" w14:paraId="43E789E4" w14:textId="77777777" w:rsidTr="00081BDA">
        <w:tc>
          <w:tcPr>
            <w:tcW w:w="5100" w:type="dxa"/>
          </w:tcPr>
          <w:p w14:paraId="709B7196" w14:textId="77777777" w:rsidR="00081BDA" w:rsidRPr="00081BDA" w:rsidRDefault="00081BDA" w:rsidP="00081BDA">
            <w:pPr>
              <w:spacing w:line="278" w:lineRule="auto"/>
              <w:rPr>
                <w:sz w:val="18"/>
                <w:szCs w:val="18"/>
                <w:lang w:val="es-ES"/>
              </w:rPr>
            </w:pPr>
            <w:r w:rsidRPr="00081BDA">
              <w:rPr>
                <w:sz w:val="18"/>
                <w:szCs w:val="18"/>
                <w:lang w:val="es-ES"/>
              </w:rPr>
              <w:t xml:space="preserve">No </w:t>
            </w:r>
            <w:proofErr w:type="spellStart"/>
            <w:r w:rsidRPr="00081BDA">
              <w:rPr>
                <w:sz w:val="18"/>
                <w:szCs w:val="18"/>
                <w:lang w:val="es-ES"/>
              </w:rPr>
              <w:t>significant</w:t>
            </w:r>
            <w:proofErr w:type="spellEnd"/>
            <w:r w:rsidRPr="00081BDA">
              <w:rPr>
                <w:sz w:val="18"/>
                <w:szCs w:val="18"/>
                <w:lang w:val="es-ES"/>
              </w:rPr>
              <w:t xml:space="preserve"> </w:t>
            </w:r>
            <w:proofErr w:type="spellStart"/>
            <w:r w:rsidRPr="00081BDA">
              <w:rPr>
                <w:sz w:val="18"/>
                <w:szCs w:val="18"/>
                <w:lang w:val="es-ES"/>
              </w:rPr>
              <w:t>change</w:t>
            </w:r>
            <w:proofErr w:type="spellEnd"/>
          </w:p>
        </w:tc>
        <w:tc>
          <w:tcPr>
            <w:tcW w:w="4257" w:type="dxa"/>
          </w:tcPr>
          <w:p w14:paraId="16618D04" w14:textId="38A662E1" w:rsidR="00081BDA" w:rsidRPr="00081BDA" w:rsidRDefault="00081BDA" w:rsidP="00081BDA">
            <w:pPr>
              <w:spacing w:line="278" w:lineRule="auto"/>
              <w:rPr>
                <w:sz w:val="18"/>
                <w:szCs w:val="18"/>
                <w:lang w:val="es-ES"/>
              </w:rPr>
            </w:pPr>
            <w:r w:rsidRPr="00081BDA">
              <w:rPr>
                <w:sz w:val="18"/>
                <w:szCs w:val="18"/>
                <w:lang w:val="es-ES"/>
              </w:rPr>
              <w:t>No hay cambios significativos</w:t>
            </w:r>
          </w:p>
        </w:tc>
      </w:tr>
      <w:tr w:rsidR="00081BDA" w:rsidRPr="00081BDA" w14:paraId="3DED7266" w14:textId="77777777" w:rsidTr="00081BDA">
        <w:tc>
          <w:tcPr>
            <w:tcW w:w="5100" w:type="dxa"/>
          </w:tcPr>
          <w:p w14:paraId="24A1B969" w14:textId="77777777" w:rsidR="00081BDA" w:rsidRPr="00081BDA" w:rsidRDefault="00081BDA" w:rsidP="00081BDA">
            <w:pPr>
              <w:spacing w:line="278" w:lineRule="auto"/>
              <w:rPr>
                <w:sz w:val="18"/>
                <w:szCs w:val="18"/>
                <w:lang w:val="es-ES"/>
              </w:rPr>
            </w:pPr>
            <w:r w:rsidRPr="00081BDA">
              <w:rPr>
                <w:sz w:val="18"/>
                <w:szCs w:val="18"/>
                <w:lang w:val="es-ES"/>
              </w:rPr>
              <w:t>Unknown</w:t>
            </w:r>
          </w:p>
        </w:tc>
        <w:tc>
          <w:tcPr>
            <w:tcW w:w="4257" w:type="dxa"/>
          </w:tcPr>
          <w:p w14:paraId="6B52C0B7" w14:textId="622C13AC" w:rsidR="00081BDA" w:rsidRPr="00081BDA" w:rsidRDefault="00081BDA" w:rsidP="00081BDA">
            <w:pPr>
              <w:spacing w:line="278" w:lineRule="auto"/>
              <w:rPr>
                <w:sz w:val="18"/>
                <w:szCs w:val="18"/>
                <w:lang w:val="es-ES"/>
              </w:rPr>
            </w:pPr>
            <w:r w:rsidRPr="00081BDA">
              <w:rPr>
                <w:sz w:val="18"/>
                <w:szCs w:val="18"/>
                <w:lang w:val="es-ES"/>
              </w:rPr>
              <w:t>Se desconoce</w:t>
            </w:r>
          </w:p>
        </w:tc>
      </w:tr>
      <w:tr w:rsidR="00081BDA" w:rsidRPr="00081BDA" w14:paraId="386199BC" w14:textId="77777777" w:rsidTr="00081BDA">
        <w:tc>
          <w:tcPr>
            <w:tcW w:w="5100" w:type="dxa"/>
          </w:tcPr>
          <w:p w14:paraId="594A7D02" w14:textId="77777777" w:rsidR="00081BDA" w:rsidRPr="00081BDA" w:rsidRDefault="00081BDA" w:rsidP="00081BDA">
            <w:pPr>
              <w:spacing w:line="278" w:lineRule="auto"/>
              <w:rPr>
                <w:sz w:val="18"/>
                <w:szCs w:val="18"/>
                <w:lang w:val="es-ES"/>
              </w:rPr>
            </w:pPr>
            <w:r w:rsidRPr="00081BDA">
              <w:rPr>
                <w:sz w:val="18"/>
                <w:szCs w:val="18"/>
                <w:lang w:val="es-ES"/>
              </w:rPr>
              <w:t xml:space="preserve">Party </w:t>
            </w:r>
            <w:proofErr w:type="spellStart"/>
            <w:r w:rsidRPr="00081BDA">
              <w:rPr>
                <w:sz w:val="18"/>
                <w:szCs w:val="18"/>
                <w:lang w:val="es-ES"/>
              </w:rPr>
              <w:t>count</w:t>
            </w:r>
            <w:proofErr w:type="spellEnd"/>
            <w:r w:rsidRPr="00081BDA">
              <w:rPr>
                <w:sz w:val="18"/>
                <w:szCs w:val="18"/>
                <w:lang w:val="es-ES"/>
              </w:rPr>
              <w:t>: 91</w:t>
            </w:r>
          </w:p>
        </w:tc>
        <w:tc>
          <w:tcPr>
            <w:tcW w:w="4257" w:type="dxa"/>
          </w:tcPr>
          <w:p w14:paraId="19AA9A48" w14:textId="4FFBA7B1" w:rsidR="00081BDA" w:rsidRPr="00081BDA" w:rsidRDefault="00081BDA" w:rsidP="00081BDA">
            <w:pPr>
              <w:spacing w:line="278" w:lineRule="auto"/>
              <w:rPr>
                <w:sz w:val="18"/>
                <w:szCs w:val="18"/>
                <w:lang w:val="es-ES"/>
              </w:rPr>
            </w:pPr>
            <w:r w:rsidRPr="00081BDA">
              <w:rPr>
                <w:sz w:val="18"/>
                <w:szCs w:val="18"/>
                <w:lang w:val="es-ES"/>
              </w:rPr>
              <w:t>Número de Partes: 91</w:t>
            </w:r>
          </w:p>
        </w:tc>
      </w:tr>
      <w:tr w:rsidR="00081BDA" w:rsidRPr="00081BDA" w14:paraId="66AA032A" w14:textId="77777777" w:rsidTr="00081BDA">
        <w:tc>
          <w:tcPr>
            <w:tcW w:w="5100" w:type="dxa"/>
          </w:tcPr>
          <w:p w14:paraId="13539D63" w14:textId="77777777" w:rsidR="00081BDA" w:rsidRPr="00081BDA" w:rsidRDefault="00081BDA" w:rsidP="00081BDA">
            <w:pPr>
              <w:spacing w:line="278" w:lineRule="auto"/>
              <w:rPr>
                <w:sz w:val="18"/>
                <w:szCs w:val="18"/>
                <w:lang w:val="es-ES"/>
              </w:rPr>
            </w:pPr>
            <w:proofErr w:type="spellStart"/>
            <w:r w:rsidRPr="00081BDA">
              <w:rPr>
                <w:sz w:val="18"/>
                <w:szCs w:val="18"/>
                <w:lang w:val="es-ES"/>
              </w:rPr>
              <w:t>Region</w:t>
            </w:r>
            <w:proofErr w:type="spellEnd"/>
          </w:p>
        </w:tc>
        <w:tc>
          <w:tcPr>
            <w:tcW w:w="4257" w:type="dxa"/>
          </w:tcPr>
          <w:p w14:paraId="09C99B83" w14:textId="045D14F6" w:rsidR="00081BDA" w:rsidRPr="00081BDA" w:rsidRDefault="00081BDA" w:rsidP="00081BDA">
            <w:pPr>
              <w:spacing w:line="278" w:lineRule="auto"/>
              <w:rPr>
                <w:sz w:val="18"/>
                <w:szCs w:val="18"/>
                <w:lang w:val="es-ES"/>
              </w:rPr>
            </w:pPr>
            <w:r w:rsidRPr="00081BDA">
              <w:rPr>
                <w:sz w:val="18"/>
                <w:szCs w:val="18"/>
                <w:lang w:val="es-ES"/>
              </w:rPr>
              <w:t>Región</w:t>
            </w:r>
          </w:p>
        </w:tc>
      </w:tr>
      <w:tr w:rsidR="00081BDA" w:rsidRPr="00081BDA" w14:paraId="448C84AF" w14:textId="77777777" w:rsidTr="00081BDA">
        <w:tc>
          <w:tcPr>
            <w:tcW w:w="5100" w:type="dxa"/>
          </w:tcPr>
          <w:p w14:paraId="234861DD" w14:textId="77777777" w:rsidR="00081BDA" w:rsidRPr="00081BDA" w:rsidRDefault="00081BDA" w:rsidP="00081BDA">
            <w:pPr>
              <w:spacing w:line="278" w:lineRule="auto"/>
              <w:rPr>
                <w:sz w:val="18"/>
                <w:szCs w:val="18"/>
                <w:lang w:val="es-ES"/>
              </w:rPr>
            </w:pPr>
            <w:r w:rsidRPr="00081BDA">
              <w:rPr>
                <w:sz w:val="18"/>
                <w:szCs w:val="18"/>
                <w:lang w:val="es-ES"/>
              </w:rPr>
              <w:t>African States</w:t>
            </w:r>
          </w:p>
        </w:tc>
        <w:tc>
          <w:tcPr>
            <w:tcW w:w="4257" w:type="dxa"/>
          </w:tcPr>
          <w:p w14:paraId="2ADF1B93" w14:textId="01F9C4D0" w:rsidR="00081BDA" w:rsidRPr="00081BDA" w:rsidRDefault="00081BDA" w:rsidP="00081BDA">
            <w:pPr>
              <w:spacing w:line="278" w:lineRule="auto"/>
              <w:rPr>
                <w:sz w:val="18"/>
                <w:szCs w:val="18"/>
                <w:lang w:val="es-ES"/>
              </w:rPr>
            </w:pPr>
            <w:r w:rsidRPr="00081BDA">
              <w:rPr>
                <w:sz w:val="18"/>
                <w:szCs w:val="18"/>
                <w:lang w:val="es-ES"/>
              </w:rPr>
              <w:t>Estados de África</w:t>
            </w:r>
          </w:p>
        </w:tc>
      </w:tr>
      <w:tr w:rsidR="00081BDA" w:rsidRPr="00081BDA" w14:paraId="2173196A" w14:textId="77777777" w:rsidTr="00081BDA">
        <w:tc>
          <w:tcPr>
            <w:tcW w:w="5100" w:type="dxa"/>
          </w:tcPr>
          <w:p w14:paraId="5DCB0371" w14:textId="77777777" w:rsidR="00081BDA" w:rsidRPr="00081BDA" w:rsidRDefault="00081BDA" w:rsidP="00081BDA">
            <w:pPr>
              <w:spacing w:line="278" w:lineRule="auto"/>
              <w:rPr>
                <w:sz w:val="18"/>
                <w:szCs w:val="18"/>
                <w:lang w:val="es-ES"/>
              </w:rPr>
            </w:pPr>
            <w:r w:rsidRPr="00081BDA">
              <w:rPr>
                <w:sz w:val="18"/>
                <w:szCs w:val="18"/>
                <w:lang w:val="es-ES"/>
              </w:rPr>
              <w:t>Asia-Pacific States</w:t>
            </w:r>
          </w:p>
        </w:tc>
        <w:tc>
          <w:tcPr>
            <w:tcW w:w="4257" w:type="dxa"/>
          </w:tcPr>
          <w:p w14:paraId="504FE609" w14:textId="66000FD0" w:rsidR="00081BDA" w:rsidRPr="00081BDA" w:rsidRDefault="00081BDA" w:rsidP="00081BDA">
            <w:pPr>
              <w:spacing w:line="278" w:lineRule="auto"/>
              <w:rPr>
                <w:sz w:val="18"/>
                <w:szCs w:val="18"/>
                <w:lang w:val="es-ES"/>
              </w:rPr>
            </w:pPr>
            <w:r w:rsidRPr="00081BDA">
              <w:rPr>
                <w:sz w:val="18"/>
                <w:szCs w:val="18"/>
                <w:lang w:val="es-ES"/>
              </w:rPr>
              <w:t>Estados de Asia y el Pacífico</w:t>
            </w:r>
          </w:p>
        </w:tc>
      </w:tr>
      <w:tr w:rsidR="00081BDA" w:rsidRPr="00081BDA" w14:paraId="325689AF" w14:textId="77777777" w:rsidTr="00081BDA">
        <w:tc>
          <w:tcPr>
            <w:tcW w:w="5100" w:type="dxa"/>
          </w:tcPr>
          <w:p w14:paraId="57A2B22D" w14:textId="77777777" w:rsidR="00081BDA" w:rsidRPr="00081BDA" w:rsidRDefault="00081BDA" w:rsidP="00081BDA">
            <w:pPr>
              <w:spacing w:line="278" w:lineRule="auto"/>
              <w:rPr>
                <w:sz w:val="18"/>
                <w:szCs w:val="18"/>
                <w:lang w:val="en-US"/>
              </w:rPr>
            </w:pPr>
            <w:r w:rsidRPr="00081BDA">
              <w:rPr>
                <w:sz w:val="18"/>
                <w:szCs w:val="18"/>
                <w:lang w:val="en-US"/>
              </w:rPr>
              <w:t>Latin American and Caribbean States</w:t>
            </w:r>
          </w:p>
        </w:tc>
        <w:tc>
          <w:tcPr>
            <w:tcW w:w="4257" w:type="dxa"/>
          </w:tcPr>
          <w:p w14:paraId="179A4ACE" w14:textId="2B6B9DDF" w:rsidR="00081BDA" w:rsidRPr="00081BDA" w:rsidRDefault="00081BDA" w:rsidP="00081BDA">
            <w:pPr>
              <w:spacing w:line="278" w:lineRule="auto"/>
              <w:rPr>
                <w:sz w:val="18"/>
                <w:szCs w:val="18"/>
                <w:lang w:val="es-ES"/>
              </w:rPr>
            </w:pPr>
            <w:r w:rsidRPr="00081BDA">
              <w:rPr>
                <w:sz w:val="18"/>
                <w:szCs w:val="18"/>
                <w:lang w:val="es-ES"/>
              </w:rPr>
              <w:t>Estados de América Latina y el Caribe</w:t>
            </w:r>
          </w:p>
        </w:tc>
      </w:tr>
      <w:tr w:rsidR="00081BDA" w:rsidRPr="00081BDA" w14:paraId="7082FAAF" w14:textId="77777777" w:rsidTr="00081BDA">
        <w:tc>
          <w:tcPr>
            <w:tcW w:w="5100" w:type="dxa"/>
          </w:tcPr>
          <w:p w14:paraId="3CECD0B2" w14:textId="77777777" w:rsidR="00081BDA" w:rsidRPr="00081BDA" w:rsidRDefault="00081BDA" w:rsidP="00081BDA">
            <w:pPr>
              <w:spacing w:line="278" w:lineRule="auto"/>
              <w:rPr>
                <w:sz w:val="18"/>
                <w:szCs w:val="18"/>
                <w:lang w:val="es-ES"/>
              </w:rPr>
            </w:pPr>
            <w:r w:rsidRPr="00081BDA">
              <w:rPr>
                <w:sz w:val="18"/>
                <w:szCs w:val="18"/>
                <w:lang w:val="es-ES"/>
              </w:rPr>
              <w:t xml:space="preserve"> Eastern European States</w:t>
            </w:r>
          </w:p>
        </w:tc>
        <w:tc>
          <w:tcPr>
            <w:tcW w:w="4257" w:type="dxa"/>
          </w:tcPr>
          <w:p w14:paraId="640F1980" w14:textId="5A942F6E" w:rsidR="00081BDA" w:rsidRPr="00081BDA" w:rsidRDefault="00081BDA" w:rsidP="00081BDA">
            <w:pPr>
              <w:spacing w:line="278" w:lineRule="auto"/>
              <w:rPr>
                <w:sz w:val="18"/>
                <w:szCs w:val="18"/>
                <w:lang w:val="es-ES"/>
              </w:rPr>
            </w:pPr>
            <w:r w:rsidRPr="00081BDA">
              <w:rPr>
                <w:sz w:val="18"/>
                <w:szCs w:val="18"/>
                <w:lang w:val="es-ES"/>
              </w:rPr>
              <w:t>Estados de Europa Oriental</w:t>
            </w:r>
          </w:p>
        </w:tc>
      </w:tr>
      <w:tr w:rsidR="00081BDA" w:rsidRPr="00081BDA" w14:paraId="669483C4" w14:textId="77777777" w:rsidTr="00081BDA">
        <w:tc>
          <w:tcPr>
            <w:tcW w:w="5100" w:type="dxa"/>
          </w:tcPr>
          <w:p w14:paraId="6BD81105" w14:textId="77777777" w:rsidR="00081BDA" w:rsidRPr="00081BDA" w:rsidRDefault="00081BDA" w:rsidP="00081BDA">
            <w:pPr>
              <w:spacing w:line="278" w:lineRule="auto"/>
              <w:rPr>
                <w:sz w:val="18"/>
                <w:szCs w:val="18"/>
                <w:lang w:val="en-US"/>
              </w:rPr>
            </w:pPr>
            <w:r w:rsidRPr="00081BDA">
              <w:rPr>
                <w:sz w:val="18"/>
                <w:szCs w:val="18"/>
                <w:lang w:val="en-US"/>
              </w:rPr>
              <w:t xml:space="preserve">Western </w:t>
            </w:r>
            <w:proofErr w:type="spellStart"/>
            <w:r w:rsidRPr="00081BDA">
              <w:rPr>
                <w:sz w:val="18"/>
                <w:szCs w:val="18"/>
                <w:lang w:val="en-US"/>
              </w:rPr>
              <w:t>uropean</w:t>
            </w:r>
            <w:proofErr w:type="spellEnd"/>
            <w:r w:rsidRPr="00081BDA">
              <w:rPr>
                <w:sz w:val="18"/>
                <w:szCs w:val="18"/>
                <w:lang w:val="en-US"/>
              </w:rPr>
              <w:t xml:space="preserve"> and other States</w:t>
            </w:r>
          </w:p>
        </w:tc>
        <w:tc>
          <w:tcPr>
            <w:tcW w:w="4257" w:type="dxa"/>
          </w:tcPr>
          <w:p w14:paraId="5B11D9FC" w14:textId="01EC6A61" w:rsidR="00081BDA" w:rsidRPr="00081BDA" w:rsidRDefault="00081BDA" w:rsidP="00081BDA">
            <w:pPr>
              <w:spacing w:line="278" w:lineRule="auto"/>
              <w:rPr>
                <w:sz w:val="18"/>
                <w:szCs w:val="18"/>
                <w:lang w:val="es-ES"/>
              </w:rPr>
            </w:pPr>
            <w:r w:rsidRPr="00081BDA">
              <w:rPr>
                <w:sz w:val="18"/>
                <w:szCs w:val="18"/>
                <w:lang w:val="es-ES"/>
              </w:rPr>
              <w:t>Estados de Europa Occidental y otros Estados</w:t>
            </w:r>
          </w:p>
        </w:tc>
      </w:tr>
    </w:tbl>
    <w:p w14:paraId="4E711EDA" w14:textId="77777777" w:rsidR="00081BDA" w:rsidRPr="005E3D50" w:rsidRDefault="00081BDA" w:rsidP="009713BF">
      <w:pPr>
        <w:spacing w:after="200" w:line="240" w:lineRule="auto"/>
        <w:rPr>
          <w:rFonts w:eastAsiaTheme="minorEastAsia"/>
          <w:color w:val="0E2841" w:themeColor="text2"/>
          <w:kern w:val="0"/>
          <w:sz w:val="18"/>
          <w:szCs w:val="18"/>
          <w:lang w:val="es-ES" w:eastAsia="ja-JP"/>
          <w14:ligatures w14:val="none"/>
        </w:rPr>
      </w:pPr>
    </w:p>
    <w:p w14:paraId="754D3B8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2EF22F8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Medidas, logros y dificultades </w:t>
      </w:r>
      <w:bookmarkEnd w:id="325"/>
      <w:r w:rsidRPr="005E3D50">
        <w:rPr>
          <w:rFonts w:eastAsiaTheme="majorEastAsia" w:cstheme="majorBidi"/>
          <w:color w:val="0F4761" w:themeColor="accent1" w:themeShade="BF"/>
          <w:lang w:val="es-ES"/>
        </w:rPr>
        <w:t>en la implementación</w:t>
      </w:r>
    </w:p>
    <w:p w14:paraId="1C16BEA4"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26" w:name="_Toc235821187"/>
    </w:p>
    <w:p w14:paraId="2F9C5692"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11</w:t>
      </w:r>
      <w:bookmarkEnd w:id="326"/>
      <w:r w:rsidRPr="005E3D50">
        <w:rPr>
          <w:rFonts w:eastAsiaTheme="majorEastAsia" w:cstheme="majorBidi"/>
          <w:i/>
          <w:iCs/>
          <w:color w:val="595959" w:themeColor="text1" w:themeTint="A6"/>
          <w:lang w:val="es-ES"/>
        </w:rPr>
        <w:t xml:space="preserve"> del Marco</w:t>
      </w:r>
    </w:p>
    <w:p w14:paraId="1BB1F356" w14:textId="77777777" w:rsidR="009713BF" w:rsidRPr="005E3D50" w:rsidRDefault="009713BF" w:rsidP="009713BF">
      <w:pPr>
        <w:rPr>
          <w:lang w:val="es-ES"/>
        </w:rPr>
      </w:pPr>
    </w:p>
    <w:p w14:paraId="14D0EAFC" w14:textId="77777777" w:rsidR="009713BF" w:rsidRPr="005E3D50" w:rsidRDefault="009713BF" w:rsidP="009713BF">
      <w:pPr>
        <w:rPr>
          <w:lang w:val="es-ES"/>
        </w:rPr>
      </w:pPr>
      <w:r w:rsidRPr="005E3D50">
        <w:rPr>
          <w:lang w:val="es-ES"/>
        </w:rPr>
        <w:t>Los enfoques que más se informa que se adoptaron para la consecución de la meta 11 son medidas relacionadas con restauración de los ecosistemas y soluciones basadas en la naturaleza. Abarcan restauración de paisajes forestales, rehabilitación de humedales, repoblación de manglares, revitalización de ríos, restauración de arrecifes de coral e infraestructura verde urbana, entre otras medidas. Este espectro de medidas evidencia la existencia de vínculos con otras metas que ayudan a mejorar las contribuciones de la naturaleza a las personas, en particular las metas 2 y 8. Otro patrón predominante en las medidas comunicadas con respecto a la meta 11 es la integración de los conceptos de servicios de los ecosistemas y contribuciones de la naturaleza a las personas en marcos de planificación, ya sea a través de la contabilidad del capital natural, el relevamiento de servicios de los ecosistemas o la integración de la diversidad biológica en estrategias sectoriales. Un tercer patrón extendido es el empleo de mecanismos de provisión participativos o basados en la comunidad, que van desde grupos de silvicultura comunitaria a organismos de gestión conjunta de cuencas hidrográficas (véase el recuadro 33).</w:t>
      </w:r>
    </w:p>
    <w:p w14:paraId="2DD376A0" w14:textId="77777777" w:rsidR="009713BF" w:rsidRPr="005E3D50" w:rsidRDefault="009713BF" w:rsidP="009713BF">
      <w:pPr>
        <w:rPr>
          <w:lang w:val="es-ES"/>
        </w:rPr>
      </w:pPr>
    </w:p>
    <w:p w14:paraId="247AB0F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27" w:name="_Toc235821188"/>
      <w:r w:rsidRPr="005E3D50">
        <w:rPr>
          <w:rFonts w:eastAsiaTheme="majorEastAsia" w:cstheme="majorBidi"/>
          <w:i/>
          <w:iCs/>
          <w:color w:val="595959" w:themeColor="text1" w:themeTint="A6"/>
          <w:lang w:val="es-ES"/>
        </w:rPr>
        <w:t>Ejemplos de logros y progresos en la implementación</w:t>
      </w:r>
      <w:bookmarkEnd w:id="327"/>
    </w:p>
    <w:p w14:paraId="11E4C416"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942359" w14:paraId="4225549B" w14:textId="77777777" w:rsidTr="006E6831">
        <w:tc>
          <w:tcPr>
            <w:tcW w:w="9016" w:type="dxa"/>
            <w:shd w:val="clear" w:color="auto" w:fill="D1D1D1" w:themeFill="background2" w:themeFillShade="E6"/>
          </w:tcPr>
          <w:p w14:paraId="1043423B" w14:textId="77777777" w:rsidR="009713BF" w:rsidRPr="005E3D50" w:rsidRDefault="009713BF" w:rsidP="009713BF">
            <w:pPr>
              <w:rPr>
                <w:sz w:val="20"/>
                <w:szCs w:val="20"/>
                <w:lang w:val="es-ES"/>
              </w:rPr>
            </w:pPr>
          </w:p>
          <w:p w14:paraId="7F509AC9" w14:textId="77777777" w:rsidR="009713BF" w:rsidRPr="005E3D50" w:rsidRDefault="009713BF" w:rsidP="009713BF">
            <w:pPr>
              <w:rPr>
                <w:sz w:val="20"/>
                <w:szCs w:val="20"/>
                <w:lang w:val="es-ES"/>
              </w:rPr>
            </w:pPr>
            <w:r w:rsidRPr="005E3D50">
              <w:rPr>
                <w:sz w:val="20"/>
                <w:lang w:val="es-ES"/>
              </w:rPr>
              <w:t>Recuadro 33</w:t>
            </w:r>
          </w:p>
          <w:p w14:paraId="524F0A8D" w14:textId="77777777" w:rsidR="009713BF" w:rsidRPr="005E3D50" w:rsidRDefault="009713BF" w:rsidP="009713BF">
            <w:pPr>
              <w:rPr>
                <w:sz w:val="20"/>
                <w:szCs w:val="20"/>
                <w:lang w:val="es-ES"/>
              </w:rPr>
            </w:pPr>
          </w:p>
          <w:p w14:paraId="3D54B50A" w14:textId="77777777" w:rsidR="009713BF" w:rsidRPr="005E3D50" w:rsidRDefault="009713BF" w:rsidP="009713BF">
            <w:pPr>
              <w:rPr>
                <w:b/>
                <w:bCs/>
                <w:sz w:val="20"/>
                <w:szCs w:val="20"/>
                <w:lang w:val="es-ES"/>
              </w:rPr>
            </w:pPr>
            <w:r w:rsidRPr="005E3D50">
              <w:rPr>
                <w:rFonts w:ascii="Aptos" w:hAnsi="Aptos"/>
                <w:b/>
                <w:color w:val="000000" w:themeColor="text1"/>
                <w:sz w:val="20"/>
                <w:lang w:val="es-ES"/>
              </w:rPr>
              <w:t>“Un nuevo pacto para los polinizadores”: marco integral de políticas para revertir la disminución de poblaciones de polinizadores en la Unión Europea</w:t>
            </w:r>
          </w:p>
          <w:p w14:paraId="75B21719" w14:textId="77777777" w:rsidR="009713BF" w:rsidRPr="005E3D50" w:rsidRDefault="009713BF" w:rsidP="009713BF">
            <w:pPr>
              <w:rPr>
                <w:rFonts w:ascii="Aptos" w:eastAsia="Aptos" w:hAnsi="Aptos" w:cs="Aptos"/>
                <w:color w:val="000000" w:themeColor="text1"/>
                <w:lang w:val="es-ES"/>
              </w:rPr>
            </w:pPr>
          </w:p>
          <w:p w14:paraId="4C2D0B73" w14:textId="77777777" w:rsidR="009713BF" w:rsidRPr="005E3D50" w:rsidRDefault="009713BF" w:rsidP="009713BF">
            <w:pPr>
              <w:rPr>
                <w:lang w:val="es-ES"/>
              </w:rPr>
            </w:pPr>
          </w:p>
          <w:p w14:paraId="771D0DDF"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color w:val="000000" w:themeColor="text1"/>
                <w:sz w:val="20"/>
                <w:lang w:val="es-ES"/>
              </w:rPr>
              <w:t>La grave y continua disminución de poblaciones de polinizadores silvestres en toda la Unión Europea está impulsando la degradación de procesos cruciales de polinización. La iniciativa de política de la Unión Europea, titulada “Un nuevo pacto para los polinizadores”, se comenzó a implementar en 2023 con el objetivo de revertir la disminución de especies de polinizadores en la Unión Europea. La iniciativa abarca una amplia gama de objetivos, entre ellos subsanar carencias de conocimientos, mejorar la política de conservación y restauración, adoptar medidas para combatir importantes presiones que afectan a los polinizadores y estimular la participación de toda la sociedad.</w:t>
            </w:r>
          </w:p>
          <w:p w14:paraId="30AA0EB6" w14:textId="77777777" w:rsidR="009713BF" w:rsidRPr="005E3D50" w:rsidRDefault="009713BF" w:rsidP="009713BF">
            <w:pPr>
              <w:rPr>
                <w:rFonts w:ascii="Aptos" w:eastAsia="Aptos" w:hAnsi="Aptos" w:cs="Aptos"/>
                <w:color w:val="000000" w:themeColor="text1"/>
                <w:sz w:val="20"/>
                <w:szCs w:val="20"/>
                <w:lang w:val="es-ES"/>
              </w:rPr>
            </w:pPr>
          </w:p>
          <w:p w14:paraId="070328C6"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color w:val="000000" w:themeColor="text1"/>
                <w:sz w:val="20"/>
                <w:lang w:val="es-ES"/>
              </w:rPr>
              <w:t xml:space="preserve">En 2024, se incluyó el objetivo de revertir la disminución de especies de polinizadores como meta vinculante en el artículo 10 del Reglamento de </w:t>
            </w:r>
            <w:r w:rsidRPr="005E3D50">
              <w:rPr>
                <w:rFonts w:ascii="Aptos" w:hAnsi="Aptos"/>
                <w:sz w:val="20"/>
                <w:lang w:val="es-ES"/>
              </w:rPr>
              <w:t>la Unión Europea sobre la Restauración</w:t>
            </w:r>
            <w:bookmarkStart w:id="328" w:name="_Hlt235890265"/>
            <w:r w:rsidRPr="005E3D50">
              <w:rPr>
                <w:rFonts w:ascii="Aptos" w:hAnsi="Aptos"/>
                <w:sz w:val="20"/>
                <w:lang w:val="es-ES"/>
              </w:rPr>
              <w:t xml:space="preserve"> </w:t>
            </w:r>
            <w:bookmarkEnd w:id="328"/>
            <w:r w:rsidRPr="005E3D50">
              <w:rPr>
                <w:rFonts w:ascii="Aptos" w:hAnsi="Aptos"/>
                <w:sz w:val="20"/>
                <w:lang w:val="es-ES"/>
              </w:rPr>
              <w:t xml:space="preserve">de la </w:t>
            </w:r>
            <w:r w:rsidRPr="005E3D50">
              <w:rPr>
                <w:rFonts w:ascii="Aptos" w:hAnsi="Aptos"/>
                <w:sz w:val="20"/>
                <w:lang w:val="es-ES"/>
              </w:rPr>
              <w:lastRenderedPageBreak/>
              <w:t>Naturaleza.</w:t>
            </w:r>
            <w:r w:rsidRPr="005E3D50">
              <w:rPr>
                <w:rFonts w:ascii="Aptos" w:hAnsi="Aptos"/>
                <w:color w:val="000000" w:themeColor="text1"/>
                <w:sz w:val="20"/>
                <w:lang w:val="es-ES"/>
              </w:rPr>
              <w:t xml:space="preserve"> Conforme a esta disposición legal, ahora hay una metodología normalizada para un esquema de seguimiento de polinizadores incorporada en la normativa. A partir de 2027, se hará un seguimiento de abejas, </w:t>
            </w:r>
            <w:proofErr w:type="spellStart"/>
            <w:r w:rsidRPr="005E3D50">
              <w:rPr>
                <w:rFonts w:ascii="Aptos" w:hAnsi="Aptos"/>
                <w:color w:val="000000" w:themeColor="text1"/>
                <w:sz w:val="20"/>
                <w:lang w:val="es-ES"/>
              </w:rPr>
              <w:t>sírfidos</w:t>
            </w:r>
            <w:proofErr w:type="spellEnd"/>
            <w:r w:rsidRPr="005E3D50">
              <w:rPr>
                <w:rFonts w:ascii="Aptos" w:hAnsi="Aptos"/>
                <w:color w:val="000000" w:themeColor="text1"/>
                <w:sz w:val="20"/>
                <w:lang w:val="es-ES"/>
              </w:rPr>
              <w:t>, mariposas y polillas en un mínimo de 1.820 sitios distribuidos en toda la Unión Europea, garantizando así suficiente poder estadístico para evaluar tendencias de las poblaciones de polinizadores a nivel nacional y de la Unión Europea.</w:t>
            </w:r>
          </w:p>
          <w:p w14:paraId="1F3FE070" w14:textId="77777777" w:rsidR="009713BF" w:rsidRPr="005E3D50" w:rsidRDefault="009713BF" w:rsidP="009713BF">
            <w:pPr>
              <w:rPr>
                <w:rFonts w:ascii="Aptos" w:eastAsia="Aptos" w:hAnsi="Aptos" w:cs="Aptos"/>
                <w:color w:val="000000" w:themeColor="text1"/>
                <w:sz w:val="20"/>
                <w:szCs w:val="20"/>
                <w:lang w:val="es-ES"/>
              </w:rPr>
            </w:pPr>
          </w:p>
          <w:p w14:paraId="7091FE7A"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color w:val="000000" w:themeColor="text1"/>
                <w:sz w:val="20"/>
                <w:lang w:val="es-ES"/>
              </w:rPr>
              <w:t xml:space="preserve">La base de conocimientos sobre especies de polinizadores fue reforzada a través de las evaluaciones actualizadas de la Lista Roja Europea de </w:t>
            </w:r>
            <w:proofErr w:type="spellStart"/>
            <w:r w:rsidRPr="005E3D50">
              <w:rPr>
                <w:rFonts w:ascii="Aptos" w:hAnsi="Aptos"/>
                <w:sz w:val="20"/>
                <w:lang w:val="es-ES"/>
              </w:rPr>
              <w:t>sírfidos</w:t>
            </w:r>
            <w:proofErr w:type="spellEnd"/>
            <w:r w:rsidRPr="005E3D50">
              <w:rPr>
                <w:rFonts w:ascii="Aptos" w:hAnsi="Aptos"/>
                <w:color w:val="000000" w:themeColor="text1"/>
                <w:sz w:val="20"/>
                <w:lang w:val="es-ES"/>
              </w:rPr>
              <w:t xml:space="preserve"> (2023), </w:t>
            </w:r>
            <w:r w:rsidRPr="005E3D50">
              <w:rPr>
                <w:sz w:val="20"/>
                <w:lang w:val="es-ES"/>
              </w:rPr>
              <w:t>mariposas</w:t>
            </w:r>
            <w:r w:rsidRPr="005E3D50">
              <w:rPr>
                <w:rFonts w:ascii="Aptos" w:hAnsi="Aptos"/>
                <w:color w:val="000000" w:themeColor="text1"/>
                <w:sz w:val="20"/>
                <w:lang w:val="es-ES"/>
              </w:rPr>
              <w:t xml:space="preserve"> (2025</w:t>
            </w:r>
            <w:r w:rsidRPr="005E3D50">
              <w:rPr>
                <w:sz w:val="20"/>
                <w:lang w:val="es-ES"/>
              </w:rPr>
              <w:t xml:space="preserve">), </w:t>
            </w:r>
            <w:bookmarkStart w:id="329" w:name="_Hlt235891467"/>
            <w:r w:rsidRPr="005E3D50">
              <w:rPr>
                <w:sz w:val="20"/>
                <w:lang w:val="es-ES"/>
              </w:rPr>
              <w:t>abejas</w:t>
            </w:r>
            <w:bookmarkEnd w:id="329"/>
            <w:r w:rsidRPr="005E3D50">
              <w:rPr>
                <w:rFonts w:ascii="Aptos" w:hAnsi="Aptos"/>
                <w:color w:val="000000" w:themeColor="text1"/>
                <w:sz w:val="20"/>
                <w:lang w:val="es-ES"/>
              </w:rPr>
              <w:t xml:space="preserve"> (2026) y </w:t>
            </w:r>
            <w:r w:rsidRPr="005E3D50">
              <w:rPr>
                <w:rFonts w:ascii="Aptos" w:hAnsi="Aptos"/>
                <w:sz w:val="20"/>
                <w:lang w:val="es-ES"/>
              </w:rPr>
              <w:t>polillas</w:t>
            </w:r>
            <w:r w:rsidRPr="005E3D50">
              <w:rPr>
                <w:rFonts w:ascii="Aptos" w:hAnsi="Aptos"/>
                <w:color w:val="000000" w:themeColor="text1"/>
                <w:sz w:val="20"/>
                <w:lang w:val="es-ES"/>
              </w:rPr>
              <w:t xml:space="preserve"> (2026), que en todos los casos siguen registrando una disminución de sus poblaciones. Los principales impulsores de la disminución de polinizadores se abordan a través de la integración de objetivos de conservación de polinizadores en políticas sectoriales, incluida la Política Agrícola Común de la Unión Europea, que apoya a agricultores en la adopción de prácticas agrícolas favorables a los polinizadores, y a través de la integración de la protección de los polinizadores en los sistemas de evaluación del riesgo de los plaguicidas y de gestión fitosanitaria.</w:t>
            </w:r>
          </w:p>
          <w:p w14:paraId="2BDC8DB3" w14:textId="77777777" w:rsidR="009713BF" w:rsidRPr="005E3D50" w:rsidRDefault="009713BF" w:rsidP="009713BF">
            <w:pPr>
              <w:rPr>
                <w:rFonts w:ascii="Aptos" w:eastAsia="Aptos" w:hAnsi="Aptos" w:cs="Aptos"/>
                <w:color w:val="000000" w:themeColor="text1"/>
                <w:sz w:val="20"/>
                <w:szCs w:val="20"/>
                <w:lang w:val="es-ES"/>
              </w:rPr>
            </w:pPr>
          </w:p>
          <w:p w14:paraId="4734DDC6"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color w:val="000000" w:themeColor="text1"/>
                <w:sz w:val="20"/>
                <w:lang w:val="es-ES"/>
              </w:rPr>
              <w:t xml:space="preserve">La movilización de una amplia gama de actores de la sociedad es clave para el éxito del “nuevo pacto de polinizadores”. Para apoyar esto, la Unión Europea </w:t>
            </w:r>
            <w:r w:rsidRPr="005E3D50">
              <w:rPr>
                <w:sz w:val="20"/>
                <w:lang w:val="es-ES"/>
              </w:rPr>
              <w:t xml:space="preserve">fomentó la </w:t>
            </w:r>
            <w:proofErr w:type="gramStart"/>
            <w:r w:rsidRPr="005E3D50">
              <w:rPr>
                <w:sz w:val="20"/>
                <w:lang w:val="es-ES"/>
              </w:rPr>
              <w:t>participación activa</w:t>
            </w:r>
            <w:proofErr w:type="gramEnd"/>
            <w:r w:rsidRPr="005E3D50">
              <w:rPr>
                <w:sz w:val="20"/>
                <w:lang w:val="es-ES"/>
              </w:rPr>
              <w:t xml:space="preserve"> de la juventud en las medidas referidas a los polinizadores, a través de mecanismos de </w:t>
            </w:r>
            <w:r w:rsidRPr="005E3D50">
              <w:rPr>
                <w:rFonts w:ascii="Aptos" w:hAnsi="Aptos"/>
                <w:color w:val="000000" w:themeColor="text1"/>
                <w:sz w:val="20"/>
                <w:lang w:val="es-ES"/>
              </w:rPr>
              <w:t xml:space="preserve">democracia deliberativa (la </w:t>
            </w:r>
            <w:r w:rsidRPr="005E3D50">
              <w:rPr>
                <w:sz w:val="20"/>
                <w:lang w:val="es-ES"/>
              </w:rPr>
              <w:t xml:space="preserve">Asamblea de Jóvenes Ciudadanos sobre </w:t>
            </w:r>
            <w:proofErr w:type="spellStart"/>
            <w:r w:rsidRPr="005E3D50">
              <w:rPr>
                <w:sz w:val="20"/>
                <w:lang w:val="es-ES"/>
              </w:rPr>
              <w:t>Polinizadores</w:t>
            </w:r>
            <w:r w:rsidRPr="005E3D50">
              <w:rPr>
                <w:i/>
                <w:sz w:val="20"/>
                <w:vertAlign w:val="superscript"/>
                <w:lang w:val="es-ES"/>
              </w:rPr>
              <w:t>a</w:t>
            </w:r>
            <w:proofErr w:type="spellEnd"/>
            <w:r w:rsidRPr="005E3D50">
              <w:rPr>
                <w:sz w:val="20"/>
                <w:lang w:val="es-ES"/>
              </w:rPr>
              <w:t xml:space="preserve">), </w:t>
            </w:r>
            <w:r w:rsidRPr="005E3D50">
              <w:rPr>
                <w:rFonts w:ascii="Aptos" w:hAnsi="Aptos"/>
                <w:color w:val="000000" w:themeColor="text1"/>
                <w:sz w:val="20"/>
                <w:lang w:val="es-ES"/>
              </w:rPr>
              <w:t xml:space="preserve">creación de capacidad y apoyo financiero (el Fondo Europeo para la Acción Juvenil sobre los </w:t>
            </w:r>
            <w:proofErr w:type="spellStart"/>
            <w:r w:rsidRPr="005E3D50">
              <w:rPr>
                <w:rFonts w:ascii="Aptos" w:hAnsi="Aptos"/>
                <w:color w:val="000000" w:themeColor="text1"/>
                <w:sz w:val="20"/>
                <w:lang w:val="es-ES"/>
              </w:rPr>
              <w:t>Polinizadores</w:t>
            </w:r>
            <w:r w:rsidRPr="005E3D50">
              <w:rPr>
                <w:rFonts w:ascii="Aptos" w:hAnsi="Aptos"/>
                <w:i/>
                <w:color w:val="000000" w:themeColor="text1"/>
                <w:sz w:val="20"/>
                <w:vertAlign w:val="superscript"/>
                <w:lang w:val="es-ES"/>
              </w:rPr>
              <w:t>b</w:t>
            </w:r>
            <w:proofErr w:type="spellEnd"/>
            <w:r w:rsidRPr="005E3D50">
              <w:rPr>
                <w:rFonts w:ascii="Aptos" w:hAnsi="Aptos"/>
                <w:color w:val="000000" w:themeColor="text1"/>
                <w:sz w:val="20"/>
                <w:lang w:val="es-ES"/>
              </w:rPr>
              <w:t xml:space="preserve">) </w:t>
            </w:r>
            <w:r w:rsidRPr="005E3D50">
              <w:rPr>
                <w:sz w:val="20"/>
                <w:lang w:val="es-ES"/>
              </w:rPr>
              <w:t>y</w:t>
            </w:r>
            <w:r w:rsidRPr="005E3D50">
              <w:rPr>
                <w:rFonts w:ascii="Aptos" w:hAnsi="Aptos"/>
                <w:color w:val="000000" w:themeColor="text1"/>
                <w:sz w:val="20"/>
                <w:lang w:val="es-ES"/>
              </w:rPr>
              <w:t xml:space="preserve"> educación</w:t>
            </w:r>
            <w:r w:rsidRPr="005E3D50">
              <w:rPr>
                <w:rFonts w:ascii="Aptos" w:hAnsi="Aptos"/>
                <w:b/>
                <w:color w:val="000000" w:themeColor="text1"/>
                <w:sz w:val="20"/>
                <w:lang w:val="es-ES"/>
              </w:rPr>
              <w:t xml:space="preserve"> </w:t>
            </w:r>
            <w:r w:rsidRPr="005E3D50">
              <w:rPr>
                <w:rFonts w:ascii="Aptos" w:hAnsi="Aptos"/>
                <w:color w:val="000000" w:themeColor="text1"/>
                <w:sz w:val="20"/>
                <w:lang w:val="es-ES"/>
              </w:rPr>
              <w:t>(“</w:t>
            </w:r>
            <w:proofErr w:type="spellStart"/>
            <w:r w:rsidRPr="005E3D50">
              <w:rPr>
                <w:rFonts w:ascii="Aptos" w:hAnsi="Aptos"/>
                <w:sz w:val="20"/>
                <w:lang w:val="es-ES"/>
              </w:rPr>
              <w:t>Buzzing</w:t>
            </w:r>
            <w:proofErr w:type="spellEnd"/>
            <w:r w:rsidRPr="005E3D50">
              <w:rPr>
                <w:rFonts w:ascii="Aptos" w:hAnsi="Aptos"/>
                <w:sz w:val="20"/>
                <w:lang w:val="es-ES"/>
              </w:rPr>
              <w:t xml:space="preserve"> </w:t>
            </w:r>
            <w:proofErr w:type="spellStart"/>
            <w:r w:rsidRPr="005E3D50">
              <w:rPr>
                <w:rFonts w:ascii="Aptos" w:hAnsi="Aptos"/>
                <w:sz w:val="20"/>
                <w:lang w:val="es-ES"/>
              </w:rPr>
              <w:t>Schools”</w:t>
            </w:r>
            <w:r w:rsidRPr="005E3D50">
              <w:rPr>
                <w:rFonts w:ascii="Aptos" w:hAnsi="Aptos"/>
                <w:i/>
                <w:sz w:val="20"/>
                <w:vertAlign w:val="superscript"/>
                <w:lang w:val="es-ES"/>
              </w:rPr>
              <w:t>c</w:t>
            </w:r>
            <w:proofErr w:type="spellEnd"/>
            <w:r w:rsidRPr="005E3D50">
              <w:rPr>
                <w:sz w:val="20"/>
                <w:lang w:val="es-ES"/>
              </w:rPr>
              <w:t>)</w:t>
            </w:r>
            <w:r w:rsidRPr="005E3D50">
              <w:rPr>
                <w:rFonts w:ascii="Aptos" w:hAnsi="Aptos"/>
                <w:color w:val="000000" w:themeColor="text1"/>
                <w:sz w:val="20"/>
                <w:lang w:val="es-ES"/>
              </w:rPr>
              <w:t>.</w:t>
            </w:r>
          </w:p>
          <w:p w14:paraId="522CD549" w14:textId="77777777" w:rsidR="009713BF" w:rsidRPr="005E3D50" w:rsidRDefault="009713BF" w:rsidP="009713BF">
            <w:pPr>
              <w:rPr>
                <w:rFonts w:ascii="Aptos" w:eastAsia="Aptos" w:hAnsi="Aptos" w:cs="Aptos"/>
                <w:color w:val="000000" w:themeColor="text1"/>
                <w:sz w:val="20"/>
                <w:szCs w:val="20"/>
                <w:lang w:val="es-ES"/>
              </w:rPr>
            </w:pPr>
          </w:p>
          <w:p w14:paraId="1CFF41FD" w14:textId="77777777" w:rsidR="009713BF" w:rsidRPr="005E3D50" w:rsidRDefault="009713BF" w:rsidP="009713BF">
            <w:pPr>
              <w:rPr>
                <w:sz w:val="20"/>
                <w:szCs w:val="20"/>
                <w:lang w:val="es-ES"/>
              </w:rPr>
            </w:pPr>
            <w:r w:rsidRPr="005E3D50">
              <w:rPr>
                <w:rFonts w:ascii="Aptos" w:hAnsi="Aptos"/>
                <w:i/>
                <w:color w:val="000000" w:themeColor="text1"/>
                <w:sz w:val="20"/>
                <w:lang w:val="es-ES"/>
              </w:rPr>
              <w:t xml:space="preserve">Metas pertinentes: </w:t>
            </w:r>
            <w:r w:rsidRPr="005E3D50">
              <w:rPr>
                <w:rFonts w:ascii="Aptos" w:hAnsi="Aptos"/>
                <w:color w:val="000000" w:themeColor="text1"/>
                <w:sz w:val="20"/>
                <w:lang w:val="es-ES"/>
              </w:rPr>
              <w:t>2, 4, 7, 8, 10, 11, 14 y 21.</w:t>
            </w:r>
          </w:p>
          <w:p w14:paraId="0793530B" w14:textId="77777777" w:rsidR="009713BF" w:rsidRPr="005E3D50" w:rsidRDefault="009713BF" w:rsidP="009713BF">
            <w:pPr>
              <w:rPr>
                <w:rFonts w:ascii="Aptos" w:eastAsia="Aptos" w:hAnsi="Aptos" w:cs="Aptos"/>
                <w:color w:val="000000" w:themeColor="text1"/>
                <w:sz w:val="20"/>
                <w:szCs w:val="20"/>
                <w:lang w:val="es-ES"/>
              </w:rPr>
            </w:pPr>
          </w:p>
          <w:p w14:paraId="39E56F17" w14:textId="77777777" w:rsidR="009713BF" w:rsidRPr="005E3D50" w:rsidRDefault="009713BF" w:rsidP="009713BF">
            <w:pPr>
              <w:rPr>
                <w:sz w:val="20"/>
                <w:szCs w:val="20"/>
                <w:lang w:val="es-ES"/>
              </w:rPr>
            </w:pPr>
            <w:r w:rsidRPr="005E3D50">
              <w:rPr>
                <w:i/>
                <w:sz w:val="20"/>
                <w:lang w:val="es-ES"/>
              </w:rPr>
              <w:t>Fuentes:</w:t>
            </w:r>
            <w:r w:rsidRPr="005E3D50">
              <w:rPr>
                <w:sz w:val="20"/>
                <w:lang w:val="es-ES"/>
              </w:rPr>
              <w:t xml:space="preserve"> Unión Europea, séptimo informe nacional presentado al Convenio; Dirección General de Medio Ambiente de la Comisión Europea, 2023; Dirección General de Medio Ambiente de la Comisión Europea y otros, 2025, 2026a, 2026b; y Unión Europea, 2023, 2024, 2025.</w:t>
            </w:r>
          </w:p>
          <w:p w14:paraId="31E391A2" w14:textId="77777777" w:rsidR="009713BF" w:rsidRPr="005E3D50" w:rsidRDefault="009713BF" w:rsidP="009713BF">
            <w:pPr>
              <w:rPr>
                <w:sz w:val="20"/>
                <w:szCs w:val="20"/>
                <w:lang w:val="es-ES"/>
              </w:rPr>
            </w:pPr>
          </w:p>
          <w:p w14:paraId="0256CA3F" w14:textId="77777777" w:rsidR="009713BF" w:rsidRPr="0059394F" w:rsidRDefault="009713BF" w:rsidP="009713BF">
            <w:pPr>
              <w:rPr>
                <w:sz w:val="18"/>
                <w:szCs w:val="18"/>
                <w:lang w:val="pt-BR"/>
              </w:rPr>
            </w:pPr>
            <w:r w:rsidRPr="0059394F">
              <w:rPr>
                <w:i/>
                <w:sz w:val="18"/>
                <w:vertAlign w:val="superscript"/>
                <w:lang w:val="pt-BR"/>
              </w:rPr>
              <w:t>a</w:t>
            </w:r>
            <w:r w:rsidRPr="0059394F">
              <w:rPr>
                <w:sz w:val="18"/>
                <w:lang w:val="pt-BR"/>
              </w:rPr>
              <w:t xml:space="preserve"> </w:t>
            </w:r>
            <w:proofErr w:type="spellStart"/>
            <w:r w:rsidRPr="0059394F">
              <w:rPr>
                <w:sz w:val="18"/>
                <w:lang w:val="pt-BR"/>
              </w:rPr>
              <w:t>Véase</w:t>
            </w:r>
            <w:proofErr w:type="spellEnd"/>
            <w:r w:rsidRPr="0059394F">
              <w:rPr>
                <w:sz w:val="18"/>
                <w:lang w:val="pt-BR"/>
              </w:rPr>
              <w:t xml:space="preserve"> </w:t>
            </w:r>
            <w:r>
              <w:fldChar w:fldCharType="begin"/>
            </w:r>
            <w:r w:rsidRPr="00942359">
              <w:rPr>
                <w:lang w:val="fr-FR"/>
              </w:rPr>
              <w:instrText>HYPERLINK "https://citizens.ec.europa.eu/concluded-online-debates/young-citizens-assembly-pollinators_es" \h</w:instrText>
            </w:r>
            <w:r>
              <w:fldChar w:fldCharType="separate"/>
            </w:r>
            <w:r w:rsidRPr="0059394F">
              <w:rPr>
                <w:color w:val="000000" w:themeColor="text1"/>
                <w:sz w:val="18"/>
                <w:lang w:val="pt-BR"/>
              </w:rPr>
              <w:t>https://citizens.ec.europa.eu/concluded-online-debates/young-citizens-assembly-pollinators_es</w:t>
            </w:r>
            <w:r>
              <w:fldChar w:fldCharType="end"/>
            </w:r>
            <w:r w:rsidRPr="0059394F">
              <w:rPr>
                <w:sz w:val="18"/>
                <w:lang w:val="pt-BR"/>
              </w:rPr>
              <w:t>.</w:t>
            </w:r>
          </w:p>
          <w:p w14:paraId="569996EC" w14:textId="77777777" w:rsidR="009713BF" w:rsidRPr="0059394F" w:rsidRDefault="009713BF" w:rsidP="009713BF">
            <w:pPr>
              <w:rPr>
                <w:sz w:val="18"/>
                <w:szCs w:val="18"/>
                <w:lang w:val="pt-BR"/>
              </w:rPr>
            </w:pPr>
            <w:r w:rsidRPr="0059394F">
              <w:rPr>
                <w:i/>
                <w:sz w:val="18"/>
                <w:vertAlign w:val="superscript"/>
                <w:lang w:val="pt-BR"/>
              </w:rPr>
              <w:t>b</w:t>
            </w:r>
            <w:r w:rsidRPr="0059394F">
              <w:rPr>
                <w:sz w:val="18"/>
                <w:lang w:val="pt-BR"/>
              </w:rPr>
              <w:t xml:space="preserve"> </w:t>
            </w:r>
            <w:proofErr w:type="spellStart"/>
            <w:r w:rsidRPr="0059394F">
              <w:rPr>
                <w:sz w:val="18"/>
                <w:lang w:val="pt-BR"/>
              </w:rPr>
              <w:t>Véase</w:t>
            </w:r>
            <w:proofErr w:type="spellEnd"/>
            <w:r w:rsidRPr="0059394F">
              <w:rPr>
                <w:sz w:val="18"/>
                <w:lang w:val="pt-BR"/>
              </w:rPr>
              <w:t xml:space="preserve"> </w:t>
            </w:r>
            <w:r>
              <w:fldChar w:fldCharType="begin"/>
            </w:r>
            <w:r w:rsidRPr="00942359">
              <w:rPr>
                <w:lang w:val="fr-FR"/>
              </w:rPr>
              <w:instrText>HYPERLINK "https://iucnsos.org/initiative/european-fund-for-youth-action-on-pollinators/" \h</w:instrText>
            </w:r>
            <w:r>
              <w:fldChar w:fldCharType="separate"/>
            </w:r>
            <w:r w:rsidRPr="0059394F">
              <w:rPr>
                <w:color w:val="000000" w:themeColor="text1"/>
                <w:sz w:val="18"/>
                <w:lang w:val="pt-BR"/>
              </w:rPr>
              <w:t>https://iucnsos.org/initiative/european-fund-for-youth-action-on-pollinators/</w:t>
            </w:r>
            <w:r>
              <w:fldChar w:fldCharType="end"/>
            </w:r>
            <w:r w:rsidRPr="0059394F">
              <w:rPr>
                <w:sz w:val="18"/>
                <w:lang w:val="pt-BR"/>
              </w:rPr>
              <w:t>.</w:t>
            </w:r>
          </w:p>
          <w:p w14:paraId="5D3FB2E0" w14:textId="77777777" w:rsidR="009713BF" w:rsidRPr="0059394F" w:rsidRDefault="009713BF" w:rsidP="009713BF">
            <w:pPr>
              <w:rPr>
                <w:sz w:val="18"/>
                <w:szCs w:val="18"/>
                <w:lang w:val="pt-BR"/>
              </w:rPr>
            </w:pPr>
            <w:r w:rsidRPr="0059394F">
              <w:rPr>
                <w:i/>
                <w:sz w:val="18"/>
                <w:vertAlign w:val="superscript"/>
                <w:lang w:val="pt-BR"/>
              </w:rPr>
              <w:t>c</w:t>
            </w:r>
            <w:r w:rsidRPr="0059394F">
              <w:rPr>
                <w:sz w:val="18"/>
                <w:lang w:val="pt-BR"/>
              </w:rPr>
              <w:t xml:space="preserve"> </w:t>
            </w:r>
            <w:proofErr w:type="spellStart"/>
            <w:r w:rsidRPr="0059394F">
              <w:rPr>
                <w:sz w:val="18"/>
                <w:lang w:val="pt-BR"/>
              </w:rPr>
              <w:t>Véase</w:t>
            </w:r>
            <w:proofErr w:type="spellEnd"/>
            <w:r w:rsidRPr="0059394F">
              <w:rPr>
                <w:sz w:val="18"/>
                <w:lang w:val="pt-BR"/>
              </w:rPr>
              <w:t xml:space="preserve"> </w:t>
            </w:r>
            <w:r>
              <w:fldChar w:fldCharType="begin"/>
            </w:r>
            <w:r w:rsidRPr="00942359">
              <w:rPr>
                <w:lang w:val="fr-FR"/>
              </w:rPr>
              <w:instrText>HYPERLINK "https://www.scientix.eu/community/partner-projects/buzzing-schools" \h</w:instrText>
            </w:r>
            <w:r>
              <w:fldChar w:fldCharType="separate"/>
            </w:r>
            <w:r w:rsidRPr="0059394F">
              <w:rPr>
                <w:color w:val="000000" w:themeColor="text1"/>
                <w:sz w:val="18"/>
                <w:lang w:val="pt-BR"/>
              </w:rPr>
              <w:t>www.scientix.eu/community/partner-projects/buzzing-schools</w:t>
            </w:r>
            <w:r>
              <w:fldChar w:fldCharType="end"/>
            </w:r>
            <w:r w:rsidRPr="0059394F">
              <w:rPr>
                <w:sz w:val="18"/>
                <w:lang w:val="pt-BR"/>
              </w:rPr>
              <w:t>.</w:t>
            </w:r>
          </w:p>
          <w:p w14:paraId="6FBE35BB" w14:textId="77777777" w:rsidR="009713BF" w:rsidRPr="0059394F" w:rsidRDefault="009713BF" w:rsidP="009713BF">
            <w:pPr>
              <w:rPr>
                <w:sz w:val="20"/>
                <w:szCs w:val="20"/>
                <w:lang w:val="pt-BR"/>
              </w:rPr>
            </w:pPr>
          </w:p>
          <w:p w14:paraId="6F203886" w14:textId="77777777" w:rsidR="009713BF" w:rsidRPr="0059394F" w:rsidRDefault="009713BF" w:rsidP="009713BF">
            <w:pPr>
              <w:rPr>
                <w:lang w:val="pt-BR"/>
              </w:rPr>
            </w:pPr>
          </w:p>
        </w:tc>
      </w:tr>
    </w:tbl>
    <w:p w14:paraId="2D2B95C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30" w:name="_Toc235821189"/>
      <w:r w:rsidRPr="005E3D50">
        <w:rPr>
          <w:rFonts w:eastAsiaTheme="majorEastAsia" w:cstheme="majorBidi"/>
          <w:i/>
          <w:iCs/>
          <w:color w:val="595959" w:themeColor="text1" w:themeTint="A6"/>
          <w:lang w:val="es-ES"/>
        </w:rPr>
        <w:lastRenderedPageBreak/>
        <w:t>Dificultades</w:t>
      </w:r>
      <w:bookmarkEnd w:id="330"/>
    </w:p>
    <w:p w14:paraId="7C1CBF9D" w14:textId="77777777" w:rsidR="009713BF" w:rsidRPr="005E3D50" w:rsidRDefault="009713BF" w:rsidP="009713BF">
      <w:pPr>
        <w:rPr>
          <w:lang w:val="es-ES"/>
        </w:rPr>
      </w:pPr>
    </w:p>
    <w:p w14:paraId="75EFD435" w14:textId="77777777" w:rsidR="009713BF" w:rsidRPr="005E3D50" w:rsidRDefault="009713BF" w:rsidP="009713BF">
      <w:pPr>
        <w:rPr>
          <w:lang w:val="es-ES"/>
        </w:rPr>
      </w:pPr>
      <w:r w:rsidRPr="005E3D50">
        <w:rPr>
          <w:lang w:val="es-ES"/>
        </w:rPr>
        <w:t>Muchas Partes carecen de sistemas de seguimiento relacionados con las contribuciones de la naturaleza a las personas que estén en funcionamiento, lo cual supone un claro obstáculo a la consecución de la meta 10 y a la presentación de informes al respecto.</w:t>
      </w:r>
      <w:r w:rsidRPr="005E3D50">
        <w:rPr>
          <w:rFonts w:ascii="Aptos" w:hAnsi="Aptos"/>
          <w:lang w:val="es-ES"/>
        </w:rPr>
        <w:t xml:space="preserve"> La valoración sistemática de las contribuciones de la naturaleza a las personas, entre ellas las funciones de los ecosistemas y los servicios de los ecosistemas, suele estar escasamente desarrollada o bien ser insuficiente, y en aquellos casos en que se ha llevado a cabo cierta valoración, esta rara vez se incorpora en los procesos de toma de decisiones.</w:t>
      </w:r>
      <w:r w:rsidRPr="005E3D50">
        <w:rPr>
          <w:lang w:val="es-ES"/>
        </w:rPr>
        <w:t xml:space="preserve"> Unas pocas Partes señalan además que </w:t>
      </w:r>
      <w:r w:rsidRPr="005E3D50">
        <w:rPr>
          <w:rFonts w:ascii="Aptos" w:hAnsi="Aptos"/>
          <w:lang w:val="es-ES"/>
        </w:rPr>
        <w:t>las soluciones basadas en la naturaleza no están reconocidas o definidas por ley, lo cual limita su integración en documentos de planificación y determina que la implementación sea fragmentada y despareja.</w:t>
      </w:r>
      <w:r w:rsidRPr="005E3D50">
        <w:rPr>
          <w:lang w:val="es-ES"/>
        </w:rPr>
        <w:t xml:space="preserve"> Los bajos niveles de financiación y movilización de recursos se citan ampliamente como barreras al aumento de la aplicación de soluciones basadas en la naturaleza. </w:t>
      </w:r>
      <w:r w:rsidRPr="005E3D50">
        <w:rPr>
          <w:rFonts w:ascii="Aptos" w:hAnsi="Aptos"/>
          <w:lang w:val="es-ES"/>
        </w:rPr>
        <w:t xml:space="preserve">Para muchas Partes, la </w:t>
      </w:r>
      <w:r w:rsidRPr="005E3D50">
        <w:rPr>
          <w:rFonts w:ascii="Aptos" w:hAnsi="Aptos"/>
          <w:lang w:val="es-ES"/>
        </w:rPr>
        <w:lastRenderedPageBreak/>
        <w:t>escasa integración de la valoración de los servicios de los ecosistemas en procesos de políticas, planificación y presupuestación sigue siendo un obstáculo a la consecución de la meta 11.</w:t>
      </w:r>
      <w:r w:rsidRPr="005E3D50">
        <w:rPr>
          <w:lang w:val="es-ES"/>
        </w:rPr>
        <w:t xml:space="preserve"> Además, gestionar demandas de uso de la tierra que se superponen, respetando a la vez los derechos de los pueblos indígenas y las comunidades locales y garantizando la coherencia de políticas entre los sectores de conservación, agricultura, infraestructura y otros, sigue planteando dificultades para algunas Partes. </w:t>
      </w:r>
    </w:p>
    <w:p w14:paraId="0CACDDEF" w14:textId="77777777" w:rsidR="009713BF" w:rsidRPr="005E3D50" w:rsidRDefault="009713BF" w:rsidP="009713BF">
      <w:pPr>
        <w:rPr>
          <w:lang w:val="es-ES"/>
        </w:rPr>
      </w:pPr>
      <w:r w:rsidRPr="005E3D50">
        <w:rPr>
          <w:lang w:val="es-ES"/>
        </w:rPr>
        <w:t xml:space="preserve"> </w:t>
      </w:r>
    </w:p>
    <w:p w14:paraId="5ECAC3D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31" w:name="_Toc235821190"/>
      <w:r w:rsidRPr="005E3D50">
        <w:rPr>
          <w:rFonts w:eastAsiaTheme="majorEastAsia" w:cstheme="majorBidi"/>
          <w:color w:val="0F4761" w:themeColor="accent1" w:themeShade="BF"/>
          <w:lang w:val="es-ES"/>
        </w:rPr>
        <w:t>Contribuciones de actores distintos de los Gobiernos nacionales</w:t>
      </w:r>
      <w:bookmarkEnd w:id="331"/>
    </w:p>
    <w:p w14:paraId="23C8A4F1" w14:textId="77777777" w:rsidR="009713BF" w:rsidRPr="005E3D50" w:rsidRDefault="009713BF" w:rsidP="009713BF">
      <w:pPr>
        <w:rPr>
          <w:lang w:val="es-ES"/>
        </w:rPr>
      </w:pPr>
    </w:p>
    <w:p w14:paraId="636C791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32" w:name="_Toc235821191"/>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332"/>
    </w:p>
    <w:p w14:paraId="536EEC8E" w14:textId="77777777" w:rsidR="009713BF" w:rsidRPr="005E3D50" w:rsidRDefault="009713BF" w:rsidP="009713BF">
      <w:pPr>
        <w:rPr>
          <w:lang w:val="es-ES"/>
        </w:rPr>
      </w:pPr>
    </w:p>
    <w:p w14:paraId="6175E511" w14:textId="77777777" w:rsidR="009713BF" w:rsidRPr="005E3D50" w:rsidRDefault="009713BF" w:rsidP="009713BF">
      <w:pPr>
        <w:rPr>
          <w:lang w:val="es-ES"/>
        </w:rPr>
      </w:pPr>
      <w:r w:rsidRPr="005E3D50">
        <w:rPr>
          <w:lang w:val="es-ES"/>
        </w:rPr>
        <w:t xml:space="preserve">De los 180 compromisos sustantivos presentados por actores que no son Gobiernos nacionales, solo 4 tienen que ver principalmente con la meta 11. Tres de los compromisos fueron presentados por ONG y uno por una empresa multinacional. Los compromisos se centran en esfuerzos por integrar el mantenimiento de las contribuciones de la naturaleza a las personas en marcos del sector público y del sector empresarial. Geográficamente, la cobertura de los compromisos abarca Dinamarca, Francia y el Japón y en el caso de un compromiso el alcance es mundial. Las actividades específicas relacionadas con los compromisos incluyen, entre otras, promover una norma global para soluciones basadas en la naturaleza a nivel nacional e impulsar la conservación de ecosistemas de humedales a nivel de cuencas fluviales a través de acciones colaborativas entre interesados. </w:t>
      </w:r>
    </w:p>
    <w:p w14:paraId="02E1A315" w14:textId="77777777" w:rsidR="009713BF" w:rsidRPr="005E3D50" w:rsidRDefault="009713BF" w:rsidP="009713BF">
      <w:pPr>
        <w:rPr>
          <w:lang w:val="es-ES"/>
        </w:rPr>
      </w:pPr>
    </w:p>
    <w:p w14:paraId="253A114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33" w:name="_Toc235821192"/>
      <w:r w:rsidRPr="005E3D50">
        <w:rPr>
          <w:rFonts w:eastAsiaTheme="majorEastAsia" w:cstheme="majorBidi"/>
          <w:i/>
          <w:iCs/>
          <w:color w:val="595959" w:themeColor="text1" w:themeTint="A6"/>
          <w:lang w:val="es-ES"/>
        </w:rPr>
        <w:t>Contribuciones integradas en los informes nacionales</w:t>
      </w:r>
      <w:bookmarkEnd w:id="333"/>
    </w:p>
    <w:p w14:paraId="3FB6AB6A" w14:textId="77777777" w:rsidR="009713BF" w:rsidRPr="005E3D50" w:rsidRDefault="009713BF" w:rsidP="009713BF">
      <w:pPr>
        <w:rPr>
          <w:lang w:val="es-ES"/>
        </w:rPr>
      </w:pPr>
    </w:p>
    <w:p w14:paraId="5DDAD653" w14:textId="77777777" w:rsidR="009713BF" w:rsidRPr="005E3D50" w:rsidRDefault="009713BF" w:rsidP="009713BF">
      <w:pPr>
        <w:rPr>
          <w:lang w:val="es-ES"/>
        </w:rPr>
      </w:pPr>
      <w:r w:rsidRPr="005E3D50">
        <w:rPr>
          <w:lang w:val="es-ES"/>
        </w:rPr>
        <w:t xml:space="preserve">Con respecto a la meta 11, las funciones desempeñadas por actores distintos de los Gobiernos nacionales que más se mencionan en los informes nacionales son actividades concretas de implementación y colaboración en la implementación. Los actores mencionados incluyen ONG, actores sectoriales tales como agricultores y pescadores y organizaciones intergubernamentales, que participan en calidad de financiadores y asociados para la ejecución. La gobernanza y la gestión conjunta son las funciones más destacadas que cumplen los pueblos indígenas y las comunidades locales y los gobiernos subnacionales, mientras que la financiación y la cofinanciación son las funciones que más se menciona que cumplen las organizaciones intergubernamentales, los actores </w:t>
      </w:r>
      <w:r w:rsidRPr="005E3D50">
        <w:rPr>
          <w:lang w:val="es-ES"/>
        </w:rPr>
        <w:lastRenderedPageBreak/>
        <w:t>empresariales y financieros y algunas ONG. La provisión de conocimientos, el seguimiento y el establecimiento de normas técnicas son las principales funciones de la comunidad científica. La sensibilización y la creación de capacidad son los papeles que más se menciona que cumplen los ciudadanos, la juventud y las mujeres y las niñas, aunque se describen en general sin mucho detalle práctico. Por último, la gestión vinculada a medios de vida, que supone llevar a cabo medidas de conservación a través de actividades de generación de ingresos, aparece mencionada reiteradas veces como mecanismo transversal asociado a pueblos indígenas y comunidades locales, actores sectoriales, mujeres y la juventud. Esto es particularmente evidente en África Subsahariana, América Latina y el Pacífico.</w:t>
      </w:r>
    </w:p>
    <w:p w14:paraId="2F5D1FAC" w14:textId="77777777" w:rsidR="009713BF" w:rsidRPr="005E3D50" w:rsidRDefault="009713BF" w:rsidP="009713BF">
      <w:pPr>
        <w:rPr>
          <w:lang w:val="es-ES"/>
        </w:rPr>
      </w:pPr>
    </w:p>
    <w:p w14:paraId="2294C41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Ejemplos de vínculos con otros acuerdos, procesos y organizaciones</w:t>
      </w:r>
    </w:p>
    <w:p w14:paraId="40330EC1" w14:textId="77777777" w:rsidR="009713BF" w:rsidRPr="005E3D50" w:rsidRDefault="009713BF" w:rsidP="009713BF">
      <w:pPr>
        <w:rPr>
          <w:lang w:val="es-ES"/>
        </w:rPr>
      </w:pPr>
    </w:p>
    <w:p w14:paraId="01C9D3A4" w14:textId="77777777" w:rsidR="009713BF" w:rsidRPr="005E3D50" w:rsidRDefault="009713BF" w:rsidP="009713BF">
      <w:pPr>
        <w:rPr>
          <w:lang w:val="es-ES"/>
        </w:rPr>
      </w:pPr>
      <w:r w:rsidRPr="005E3D50">
        <w:rPr>
          <w:lang w:val="es-ES"/>
        </w:rPr>
        <w:t xml:space="preserve">La meta 11 del cuarto plan estratégico de la Convención relativa a los Humedales de Importancia Internacional </w:t>
      </w:r>
      <w:r w:rsidRPr="005E3D50">
        <w:rPr>
          <w:color w:val="000000" w:themeColor="text1"/>
          <w:shd w:val="clear" w:color="auto" w:fill="FFFFFF"/>
          <w:lang w:val="es-ES"/>
        </w:rPr>
        <w:t>especialmente como Hábitat de Aves Acuáticas (</w:t>
      </w:r>
      <w:r w:rsidRPr="005E3D50">
        <w:rPr>
          <w:lang w:val="es-ES"/>
        </w:rPr>
        <w:t xml:space="preserve">2016-2024) </w:t>
      </w:r>
      <w:r w:rsidRPr="005E3D50">
        <w:rPr>
          <w:color w:val="000000" w:themeColor="text1"/>
          <w:shd w:val="clear" w:color="auto" w:fill="FFFFFF"/>
          <w:lang w:val="es-ES"/>
        </w:rPr>
        <w:t xml:space="preserve">tenía como objetivo que dentro del plazo del plan se </w:t>
      </w:r>
      <w:r w:rsidRPr="005E3D50">
        <w:rPr>
          <w:lang w:val="es-ES"/>
        </w:rPr>
        <w:t xml:space="preserve">demostraran, documentaran y divulgaran ampliamente las funciones, los servicios y los beneficios de los humedales. Se evaluó que los progresos logrados en la consecución de esta meta contribuirían a las metas 11, 12 y 13 del Marco Mundial de Biodiversidad Kunming-Montreal. Al año 2025, </w:t>
      </w:r>
      <w:r w:rsidRPr="005E3D50">
        <w:rPr>
          <w:color w:val="000000" w:themeColor="text1"/>
          <w:shd w:val="clear" w:color="auto" w:fill="FFFFFF"/>
          <w:lang w:val="es-ES"/>
        </w:rPr>
        <w:t>alrededor del</w:t>
      </w:r>
      <w:r w:rsidRPr="005E3D50">
        <w:rPr>
          <w:lang w:val="es-ES"/>
        </w:rPr>
        <w:t xml:space="preserve"> 70 % de las Partes en la Convención sobre los Humedales había </w:t>
      </w:r>
      <w:r w:rsidRPr="005E3D50">
        <w:rPr>
          <w:color w:val="000000" w:themeColor="text1"/>
          <w:shd w:val="clear" w:color="auto" w:fill="FFFFFF"/>
          <w:lang w:val="es-ES"/>
        </w:rPr>
        <w:t xml:space="preserve">llevado a cabo evaluaciones completas o parciales de los beneficios y servicios brindados a los ecosistemas por los humedales de importancia internacional y otros humedales. En el informe </w:t>
      </w:r>
      <w:r w:rsidRPr="005E3D50">
        <w:rPr>
          <w:i/>
          <w:color w:val="000000" w:themeColor="text1"/>
          <w:shd w:val="clear" w:color="auto" w:fill="FFFFFF"/>
          <w:lang w:val="es-ES"/>
        </w:rPr>
        <w:t>Perspectiva Mundial sobre los Humedales 2025</w:t>
      </w:r>
      <w:r w:rsidRPr="005E3D50">
        <w:rPr>
          <w:color w:val="000000" w:themeColor="text1"/>
          <w:shd w:val="clear" w:color="auto" w:fill="FFFFFF"/>
          <w:lang w:val="es-ES"/>
        </w:rPr>
        <w:t xml:space="preserve"> se estimó que los 1.400 millones de hectáreas que subsisten aportan anualmente a las personas entre 8 billones de dólares y 39 billones de dólares (Convención sobre los Humedales, 2025a, 2025b y 2025e).</w:t>
      </w:r>
    </w:p>
    <w:p w14:paraId="36C8DFAB" w14:textId="77777777" w:rsidR="009713BF" w:rsidRPr="005E3D50" w:rsidRDefault="009713BF" w:rsidP="009713BF">
      <w:pPr>
        <w:rPr>
          <w:lang w:val="es-ES"/>
        </w:rPr>
      </w:pPr>
    </w:p>
    <w:p w14:paraId="53397997"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334" w:name="_Toc235821193"/>
      <w:bookmarkStart w:id="335" w:name="_Toc239069207"/>
      <w:bookmarkStart w:id="336" w:name="_Toc1275005667"/>
      <w:bookmarkStart w:id="337" w:name="_Toc242882985"/>
      <w:r w:rsidRPr="005E3D50">
        <w:rPr>
          <w:rFonts w:eastAsiaTheme="majorEastAsia" w:cstheme="majorBidi"/>
          <w:b/>
          <w:iCs/>
          <w:color w:val="0F4761" w:themeColor="accent1" w:themeShade="BF"/>
          <w:lang w:val="es-ES"/>
        </w:rPr>
        <w:t>Meta 12.</w:t>
      </w:r>
      <w:r w:rsidRPr="005E3D50">
        <w:rPr>
          <w:rFonts w:eastAsiaTheme="majorEastAsia" w:cstheme="majorBidi"/>
          <w:iCs/>
          <w:color w:val="0F4761" w:themeColor="accent1" w:themeShade="BF"/>
          <w:lang w:val="es-ES"/>
        </w:rPr>
        <w:t xml:space="preserve"> Aumentar los espacios verdes y mejorar la planificación urbana para el bienestar humano y la biodiversidad</w:t>
      </w:r>
      <w:bookmarkEnd w:id="334"/>
      <w:bookmarkEnd w:id="335"/>
      <w:bookmarkEnd w:id="336"/>
      <w:bookmarkEnd w:id="337"/>
    </w:p>
    <w:p w14:paraId="5EFA77DC" w14:textId="77777777" w:rsidR="009713BF" w:rsidRPr="005E3D50" w:rsidRDefault="009713BF" w:rsidP="009713BF">
      <w:pPr>
        <w:rPr>
          <w:b/>
          <w:bCs/>
          <w:i/>
          <w:iCs/>
          <w:sz w:val="22"/>
          <w:szCs w:val="22"/>
          <w:lang w:val="es-ES"/>
        </w:rPr>
      </w:pPr>
      <w:bookmarkStart w:id="338" w:name="_Toc235821194"/>
    </w:p>
    <w:p w14:paraId="49D5233D" w14:textId="77777777" w:rsidR="009713BF" w:rsidRPr="005E3D50" w:rsidRDefault="009713BF" w:rsidP="009713BF">
      <w:pPr>
        <w:rPr>
          <w:i/>
          <w:iCs/>
          <w:sz w:val="22"/>
          <w:szCs w:val="22"/>
          <w:lang w:val="es-ES"/>
        </w:rPr>
      </w:pPr>
      <w:r w:rsidRPr="005E3D50">
        <w:rPr>
          <w:b/>
          <w:sz w:val="22"/>
          <w:lang w:val="es-ES"/>
        </w:rPr>
        <w:t>Texto de la meta.</w:t>
      </w:r>
      <w:r w:rsidRPr="005E3D50">
        <w:rPr>
          <w:i/>
          <w:sz w:val="22"/>
          <w:lang w:val="es-ES"/>
        </w:rPr>
        <w:t xml:space="preserve">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w:t>
      </w:r>
      <w:r w:rsidRPr="005E3D50">
        <w:rPr>
          <w:i/>
          <w:sz w:val="22"/>
          <w:lang w:val="es-ES"/>
        </w:rPr>
        <w:lastRenderedPageBreak/>
        <w:t>la naturaleza, así como contribuyendo a una urbanización inclusiva y sostenible y a la prestación de funciones y servicios de los ecosistemas.</w:t>
      </w:r>
    </w:p>
    <w:p w14:paraId="10B5BFB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2788A02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bookmarkEnd w:id="338"/>
    </w:p>
    <w:tbl>
      <w:tblPr>
        <w:tblStyle w:val="TableGrid"/>
        <w:tblW w:w="0" w:type="auto"/>
        <w:tblLook w:val="04A0" w:firstRow="1" w:lastRow="0" w:firstColumn="1" w:lastColumn="0" w:noHBand="0" w:noVBand="1"/>
      </w:tblPr>
      <w:tblGrid>
        <w:gridCol w:w="9016"/>
      </w:tblGrid>
      <w:tr w:rsidR="009713BF" w:rsidRPr="005E3D50" w14:paraId="3D9FE5A0" w14:textId="77777777" w:rsidTr="006E6831">
        <w:tc>
          <w:tcPr>
            <w:tcW w:w="9016" w:type="dxa"/>
            <w:shd w:val="clear" w:color="auto" w:fill="D1D1D1" w:themeFill="background2" w:themeFillShade="E6"/>
          </w:tcPr>
          <w:p w14:paraId="3F75D03D" w14:textId="77777777" w:rsidR="009713BF" w:rsidRPr="005E3D50" w:rsidRDefault="009713BF" w:rsidP="009713BF">
            <w:pPr>
              <w:rPr>
                <w:rFonts w:ascii="Aptos" w:eastAsia="Times New Roman" w:hAnsi="Aptos" w:cs="Calibri"/>
                <w:color w:val="000000"/>
                <w:lang w:val="es-ES"/>
              </w:rPr>
            </w:pPr>
          </w:p>
          <w:p w14:paraId="25C29199"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Persisten carencias con respecto a la armonización de las metas nacionales con el alcance total de la meta 12 y con respecto a la implementación y al seguimiento. Las metas nacionales se centran mayoritariamente en aumentar la superficie de los espacios verdes y garantizar una planificación urbana que tenga en cuenta la diversidad biológica, más que en cualquier otro aspecto de la meta. Los datos comunicados son insuficientes para evaluar tendencias, pero se indica un valor de referencia inicial de espacios verdes y azules en zonas urbanas y densamente pobladas. Una clara mayoría de Partes comunican progresos en términos de la inclusión de la diversidad biológica y los servicios de los ecosistemas en la planificación urbana. Sin embargo, otros indicadores nacionales, así como las autoevaluaciones de las Partes, sugieren que no se estaría en vías de alcanzar la mayoría de las metas nacionales. Las Partes señalaron dificultades en relación con los datos y los métodos de seguimiento, la debilidad de los marcos de planificación y la falta de rigurosidad en la aplicación de la normativa, la ineficiente coordinación entre autoridades y carencias en materia de conocimientos especializados pertinentes.</w:t>
            </w:r>
          </w:p>
          <w:p w14:paraId="34586177" w14:textId="77777777" w:rsidR="009713BF" w:rsidRPr="005E3D50" w:rsidRDefault="009713BF" w:rsidP="009713BF">
            <w:pPr>
              <w:rPr>
                <w:lang w:val="es-ES"/>
              </w:rPr>
            </w:pPr>
          </w:p>
        </w:tc>
      </w:tr>
    </w:tbl>
    <w:p w14:paraId="3A390B55" w14:textId="77777777" w:rsidR="009713BF" w:rsidRPr="005E3D50" w:rsidRDefault="009713BF" w:rsidP="009713BF">
      <w:pPr>
        <w:rPr>
          <w:lang w:val="es-ES"/>
        </w:rPr>
      </w:pPr>
    </w:p>
    <w:p w14:paraId="39749E6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12 del Marco en sus metas nacionales</w:t>
      </w:r>
    </w:p>
    <w:p w14:paraId="49EDF683" w14:textId="77777777" w:rsidR="009713BF" w:rsidRPr="005E3D50" w:rsidRDefault="009713BF" w:rsidP="009713BF">
      <w:pPr>
        <w:rPr>
          <w:i/>
          <w:iCs/>
          <w:sz w:val="22"/>
          <w:szCs w:val="22"/>
          <w:lang w:val="es-ES"/>
        </w:rPr>
      </w:pPr>
    </w:p>
    <w:p w14:paraId="4916EDA9" w14:textId="77777777" w:rsidR="009713BF" w:rsidRPr="005E3D50" w:rsidRDefault="009713BF" w:rsidP="009713BF">
      <w:pPr>
        <w:keepNext/>
        <w:keepLines/>
        <w:spacing w:after="200" w:line="240" w:lineRule="auto"/>
        <w:rPr>
          <w:rFonts w:eastAsiaTheme="minorEastAsia"/>
          <w:color w:val="0E2841" w:themeColor="text2"/>
          <w:kern w:val="0"/>
          <w:sz w:val="20"/>
          <w:szCs w:val="20"/>
          <w:lang w:val="es-ES" w:eastAsia="ja-JP"/>
          <w14:ligatures w14:val="none"/>
        </w:rPr>
      </w:pPr>
      <w:bookmarkStart w:id="339" w:name="_Ref238719898"/>
      <w:r w:rsidRPr="005E3D50">
        <w:rPr>
          <w:rFonts w:eastAsiaTheme="minorEastAsia"/>
          <w:iCs/>
          <w:color w:val="0E2841" w:themeColor="text2"/>
          <w:kern w:val="0"/>
          <w:sz w:val="20"/>
          <w:szCs w:val="18"/>
          <w:lang w:val="es-ES" w:eastAsia="ja-JP"/>
          <w14:ligatures w14:val="none"/>
        </w:rPr>
        <w:t>Cuadro 26</w:t>
      </w:r>
      <w:bookmarkEnd w:id="339"/>
    </w:p>
    <w:p w14:paraId="0FA83FB8" w14:textId="77777777" w:rsidR="009713BF" w:rsidRPr="005E3D50" w:rsidRDefault="009713BF" w:rsidP="009713BF">
      <w:pPr>
        <w:keepNext/>
        <w:keepLines/>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12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9713BF" w:rsidRPr="005E3D50" w14:paraId="61CE98A7" w14:textId="77777777" w:rsidTr="006E6831">
        <w:tc>
          <w:tcPr>
            <w:tcW w:w="8359" w:type="dxa"/>
          </w:tcPr>
          <w:p w14:paraId="44A128B8" w14:textId="77777777" w:rsidR="009713BF" w:rsidRPr="005E3D50" w:rsidRDefault="009713BF" w:rsidP="009713BF">
            <w:pPr>
              <w:keepNext/>
              <w:keepLines/>
              <w:rPr>
                <w:sz w:val="22"/>
                <w:szCs w:val="22"/>
                <w:lang w:val="es-ES"/>
              </w:rPr>
            </w:pPr>
            <w:r w:rsidRPr="005E3D50">
              <w:rPr>
                <w:sz w:val="22"/>
                <w:lang w:val="es-ES"/>
              </w:rPr>
              <w:t>Aumentar significativamente la superficie de los espacios verdes en zonas urbanas y densamente pobladas</w:t>
            </w:r>
          </w:p>
          <w:p w14:paraId="75A4017E" w14:textId="77777777" w:rsidR="009713BF" w:rsidRPr="005E3D50" w:rsidRDefault="009713BF" w:rsidP="009713BF">
            <w:pPr>
              <w:keepNext/>
              <w:keepLines/>
              <w:rPr>
                <w:sz w:val="22"/>
                <w:szCs w:val="22"/>
                <w:lang w:val="es-ES"/>
              </w:rPr>
            </w:pPr>
          </w:p>
        </w:tc>
        <w:tc>
          <w:tcPr>
            <w:tcW w:w="657" w:type="dxa"/>
            <w:shd w:val="clear" w:color="auto" w:fill="92D050"/>
          </w:tcPr>
          <w:p w14:paraId="2FDA3922" w14:textId="77777777" w:rsidR="009713BF" w:rsidRPr="005E3D50" w:rsidRDefault="009713BF" w:rsidP="009713BF">
            <w:pPr>
              <w:keepNext/>
              <w:keepLines/>
              <w:rPr>
                <w:sz w:val="22"/>
                <w:szCs w:val="22"/>
                <w:lang w:val="es-ES"/>
              </w:rPr>
            </w:pPr>
            <w:r w:rsidRPr="005E3D50">
              <w:rPr>
                <w:sz w:val="22"/>
                <w:lang w:val="es-ES"/>
              </w:rPr>
              <w:t>71</w:t>
            </w:r>
          </w:p>
        </w:tc>
      </w:tr>
      <w:tr w:rsidR="009713BF" w:rsidRPr="005E3D50" w14:paraId="300C4F1E" w14:textId="77777777" w:rsidTr="006E6831">
        <w:tc>
          <w:tcPr>
            <w:tcW w:w="8359" w:type="dxa"/>
          </w:tcPr>
          <w:p w14:paraId="4DC32D90" w14:textId="77777777" w:rsidR="009713BF" w:rsidRPr="005E3D50" w:rsidRDefault="009713BF" w:rsidP="009713BF">
            <w:pPr>
              <w:rPr>
                <w:sz w:val="22"/>
                <w:szCs w:val="22"/>
                <w:lang w:val="es-ES"/>
              </w:rPr>
            </w:pPr>
            <w:r w:rsidRPr="005E3D50">
              <w:rPr>
                <w:sz w:val="22"/>
                <w:lang w:val="es-ES"/>
              </w:rPr>
              <w:t>Aumentar significativamente la superficie de los espacios azules en zonas urbanas y densamente pobladas</w:t>
            </w:r>
          </w:p>
          <w:p w14:paraId="53B7C08F" w14:textId="77777777" w:rsidR="009713BF" w:rsidRPr="005E3D50" w:rsidRDefault="009713BF" w:rsidP="009713BF">
            <w:pPr>
              <w:rPr>
                <w:sz w:val="22"/>
                <w:szCs w:val="22"/>
                <w:lang w:val="es-ES"/>
              </w:rPr>
            </w:pPr>
          </w:p>
        </w:tc>
        <w:tc>
          <w:tcPr>
            <w:tcW w:w="657" w:type="dxa"/>
            <w:shd w:val="clear" w:color="auto" w:fill="FFFF00"/>
          </w:tcPr>
          <w:p w14:paraId="4B630038" w14:textId="77777777" w:rsidR="009713BF" w:rsidRPr="005E3D50" w:rsidRDefault="009713BF" w:rsidP="009713BF">
            <w:pPr>
              <w:rPr>
                <w:sz w:val="22"/>
                <w:szCs w:val="22"/>
                <w:lang w:val="es-ES"/>
              </w:rPr>
            </w:pPr>
            <w:r w:rsidRPr="005E3D50">
              <w:rPr>
                <w:sz w:val="22"/>
                <w:lang w:val="es-ES"/>
              </w:rPr>
              <w:t>53</w:t>
            </w:r>
          </w:p>
        </w:tc>
      </w:tr>
      <w:tr w:rsidR="009713BF" w:rsidRPr="005E3D50" w14:paraId="351AF858" w14:textId="77777777" w:rsidTr="006E6831">
        <w:tc>
          <w:tcPr>
            <w:tcW w:w="8359" w:type="dxa"/>
          </w:tcPr>
          <w:p w14:paraId="63440584" w14:textId="77777777" w:rsidR="009713BF" w:rsidRPr="005E3D50" w:rsidRDefault="009713BF" w:rsidP="009713BF">
            <w:pPr>
              <w:rPr>
                <w:sz w:val="22"/>
                <w:szCs w:val="22"/>
                <w:lang w:val="es-ES"/>
              </w:rPr>
            </w:pPr>
            <w:r w:rsidRPr="005E3D50">
              <w:rPr>
                <w:sz w:val="22"/>
                <w:lang w:val="es-ES"/>
              </w:rPr>
              <w:t>Aumentar significativamente la calidad de los espacios verdes y azules en zonas urbanas y densamente pobladas</w:t>
            </w:r>
          </w:p>
        </w:tc>
        <w:tc>
          <w:tcPr>
            <w:tcW w:w="657" w:type="dxa"/>
            <w:shd w:val="clear" w:color="auto" w:fill="FFFF00"/>
          </w:tcPr>
          <w:p w14:paraId="43948E11" w14:textId="77777777" w:rsidR="009713BF" w:rsidRPr="005E3D50" w:rsidRDefault="009713BF" w:rsidP="009713BF">
            <w:pPr>
              <w:rPr>
                <w:sz w:val="22"/>
                <w:szCs w:val="22"/>
                <w:lang w:val="es-ES"/>
              </w:rPr>
            </w:pPr>
            <w:r w:rsidRPr="005E3D50">
              <w:rPr>
                <w:sz w:val="22"/>
                <w:lang w:val="es-ES"/>
              </w:rPr>
              <w:t>56</w:t>
            </w:r>
          </w:p>
        </w:tc>
      </w:tr>
      <w:tr w:rsidR="009713BF" w:rsidRPr="005E3D50" w14:paraId="3A47EDBE" w14:textId="77777777" w:rsidTr="006E6831">
        <w:tc>
          <w:tcPr>
            <w:tcW w:w="8359" w:type="dxa"/>
          </w:tcPr>
          <w:p w14:paraId="66B61D76" w14:textId="77777777" w:rsidR="009713BF" w:rsidRPr="005E3D50" w:rsidRDefault="009713BF" w:rsidP="009713BF">
            <w:pPr>
              <w:rPr>
                <w:sz w:val="22"/>
                <w:szCs w:val="22"/>
                <w:lang w:val="es-ES"/>
              </w:rPr>
            </w:pPr>
            <w:r w:rsidRPr="005E3D50">
              <w:rPr>
                <w:sz w:val="22"/>
                <w:lang w:val="es-ES"/>
              </w:rPr>
              <w:t>Aumentar significativamente la conectividad de los espacios verdes y azules en zonas urbanas y densamente pobladas</w:t>
            </w:r>
          </w:p>
        </w:tc>
        <w:tc>
          <w:tcPr>
            <w:tcW w:w="657" w:type="dxa"/>
            <w:shd w:val="clear" w:color="auto" w:fill="FFFF00"/>
          </w:tcPr>
          <w:p w14:paraId="73951B5E" w14:textId="77777777" w:rsidR="009713BF" w:rsidRPr="005E3D50" w:rsidRDefault="009713BF" w:rsidP="009713BF">
            <w:pPr>
              <w:rPr>
                <w:sz w:val="22"/>
                <w:szCs w:val="22"/>
                <w:lang w:val="es-ES"/>
              </w:rPr>
            </w:pPr>
            <w:r w:rsidRPr="005E3D50">
              <w:rPr>
                <w:sz w:val="22"/>
                <w:lang w:val="es-ES"/>
              </w:rPr>
              <w:t>52</w:t>
            </w:r>
          </w:p>
        </w:tc>
      </w:tr>
      <w:tr w:rsidR="009713BF" w:rsidRPr="005E3D50" w14:paraId="459A871C" w14:textId="77777777" w:rsidTr="006E6831">
        <w:tc>
          <w:tcPr>
            <w:tcW w:w="8359" w:type="dxa"/>
          </w:tcPr>
          <w:p w14:paraId="747870F4" w14:textId="77777777" w:rsidR="009713BF" w:rsidRPr="005E3D50" w:rsidRDefault="009713BF" w:rsidP="009713BF">
            <w:pPr>
              <w:rPr>
                <w:sz w:val="22"/>
                <w:szCs w:val="22"/>
                <w:lang w:val="es-ES"/>
              </w:rPr>
            </w:pPr>
            <w:r w:rsidRPr="005E3D50">
              <w:rPr>
                <w:sz w:val="22"/>
                <w:lang w:val="es-ES"/>
              </w:rPr>
              <w:t xml:space="preserve">Aumentar significativamente el acceso a espacios verdes y azules en zonas urbanas y densamente pobladas y los beneficios que se deriven de ellos </w:t>
            </w:r>
          </w:p>
        </w:tc>
        <w:tc>
          <w:tcPr>
            <w:tcW w:w="657" w:type="dxa"/>
            <w:shd w:val="clear" w:color="auto" w:fill="FFFF00"/>
          </w:tcPr>
          <w:p w14:paraId="4B92462A" w14:textId="77777777" w:rsidR="009713BF" w:rsidRPr="005E3D50" w:rsidRDefault="009713BF" w:rsidP="009713BF">
            <w:pPr>
              <w:rPr>
                <w:sz w:val="22"/>
                <w:szCs w:val="22"/>
                <w:lang w:val="es-ES"/>
              </w:rPr>
            </w:pPr>
            <w:r w:rsidRPr="005E3D50">
              <w:rPr>
                <w:sz w:val="22"/>
                <w:lang w:val="es-ES"/>
              </w:rPr>
              <w:t>46</w:t>
            </w:r>
          </w:p>
        </w:tc>
      </w:tr>
      <w:tr w:rsidR="009713BF" w:rsidRPr="005E3D50" w14:paraId="4F0682A5" w14:textId="77777777" w:rsidTr="006E6831">
        <w:tc>
          <w:tcPr>
            <w:tcW w:w="8359" w:type="dxa"/>
          </w:tcPr>
          <w:p w14:paraId="543E0C72" w14:textId="77777777" w:rsidR="009713BF" w:rsidRPr="005E3D50" w:rsidRDefault="009713BF" w:rsidP="009713BF">
            <w:pPr>
              <w:rPr>
                <w:sz w:val="22"/>
                <w:szCs w:val="22"/>
                <w:lang w:val="es-ES"/>
              </w:rPr>
            </w:pPr>
            <w:r w:rsidRPr="005E3D50">
              <w:rPr>
                <w:sz w:val="22"/>
                <w:lang w:val="es-ES"/>
              </w:rPr>
              <w:lastRenderedPageBreak/>
              <w:t>Integrar la conservación y utilización sostenible de la diversidad biológica en zonas urbanas y densamente pobladas</w:t>
            </w:r>
          </w:p>
        </w:tc>
        <w:tc>
          <w:tcPr>
            <w:tcW w:w="657" w:type="dxa"/>
            <w:shd w:val="clear" w:color="auto" w:fill="FFC000"/>
          </w:tcPr>
          <w:p w14:paraId="6B7051FF" w14:textId="77777777" w:rsidR="009713BF" w:rsidRPr="005E3D50" w:rsidRDefault="009713BF" w:rsidP="009713BF">
            <w:pPr>
              <w:rPr>
                <w:sz w:val="22"/>
                <w:szCs w:val="22"/>
                <w:lang w:val="es-ES"/>
              </w:rPr>
            </w:pPr>
            <w:r w:rsidRPr="005E3D50">
              <w:rPr>
                <w:sz w:val="22"/>
                <w:lang w:val="es-ES"/>
              </w:rPr>
              <w:t>33</w:t>
            </w:r>
          </w:p>
        </w:tc>
      </w:tr>
      <w:tr w:rsidR="009713BF" w:rsidRPr="005E3D50" w14:paraId="7A749CF8" w14:textId="77777777" w:rsidTr="006E6831">
        <w:tc>
          <w:tcPr>
            <w:tcW w:w="8359" w:type="dxa"/>
          </w:tcPr>
          <w:p w14:paraId="47CEDA12" w14:textId="77777777" w:rsidR="009713BF" w:rsidRPr="005E3D50" w:rsidRDefault="009713BF" w:rsidP="009713BF">
            <w:pPr>
              <w:rPr>
                <w:sz w:val="22"/>
                <w:szCs w:val="22"/>
                <w:lang w:val="es-ES"/>
              </w:rPr>
            </w:pPr>
            <w:r w:rsidRPr="005E3D50">
              <w:rPr>
                <w:sz w:val="22"/>
                <w:lang w:val="es-ES"/>
              </w:rPr>
              <w:t>Garantizar una planificación urbana que tenga en cuenta la diversidad biológica y contribuya a una urbanización inclusiva y sostenible y a la prestación de funciones y servicios de los ecosistemas</w:t>
            </w:r>
          </w:p>
        </w:tc>
        <w:tc>
          <w:tcPr>
            <w:tcW w:w="657" w:type="dxa"/>
            <w:shd w:val="clear" w:color="auto" w:fill="92D050"/>
          </w:tcPr>
          <w:p w14:paraId="6590AE1E" w14:textId="77777777" w:rsidR="009713BF" w:rsidRPr="005E3D50" w:rsidRDefault="009713BF" w:rsidP="009713BF">
            <w:pPr>
              <w:rPr>
                <w:sz w:val="22"/>
                <w:szCs w:val="22"/>
                <w:lang w:val="es-ES"/>
              </w:rPr>
            </w:pPr>
            <w:r w:rsidRPr="005E3D50">
              <w:rPr>
                <w:sz w:val="22"/>
                <w:lang w:val="es-ES"/>
              </w:rPr>
              <w:t>65</w:t>
            </w:r>
          </w:p>
        </w:tc>
      </w:tr>
      <w:tr w:rsidR="009713BF" w:rsidRPr="005E3D50" w14:paraId="586ABA1B" w14:textId="77777777" w:rsidTr="006E6831">
        <w:tc>
          <w:tcPr>
            <w:tcW w:w="8359" w:type="dxa"/>
          </w:tcPr>
          <w:p w14:paraId="66B6E1C2" w14:textId="77777777" w:rsidR="009713BF" w:rsidRPr="005E3D50" w:rsidRDefault="009713BF" w:rsidP="009713BF">
            <w:pPr>
              <w:rPr>
                <w:sz w:val="22"/>
                <w:szCs w:val="22"/>
                <w:lang w:val="es-ES"/>
              </w:rPr>
            </w:pPr>
            <w:r w:rsidRPr="005E3D50">
              <w:rPr>
                <w:sz w:val="22"/>
                <w:lang w:val="es-ES"/>
              </w:rPr>
              <w:t>Mejorar la diversidad biológica autóctona en zonas urbanas y densamente pobladas</w:t>
            </w:r>
          </w:p>
          <w:p w14:paraId="10FFBF7F" w14:textId="77777777" w:rsidR="009713BF" w:rsidRPr="005E3D50" w:rsidRDefault="009713BF" w:rsidP="009713BF">
            <w:pPr>
              <w:rPr>
                <w:sz w:val="22"/>
                <w:szCs w:val="22"/>
                <w:lang w:val="es-ES"/>
              </w:rPr>
            </w:pPr>
          </w:p>
        </w:tc>
        <w:tc>
          <w:tcPr>
            <w:tcW w:w="657" w:type="dxa"/>
            <w:shd w:val="clear" w:color="auto" w:fill="FFC000"/>
          </w:tcPr>
          <w:p w14:paraId="3E6233D1" w14:textId="77777777" w:rsidR="009713BF" w:rsidRPr="005E3D50" w:rsidRDefault="009713BF" w:rsidP="009713BF">
            <w:pPr>
              <w:rPr>
                <w:sz w:val="22"/>
                <w:szCs w:val="22"/>
                <w:lang w:val="es-ES"/>
              </w:rPr>
            </w:pPr>
            <w:r w:rsidRPr="005E3D50">
              <w:rPr>
                <w:sz w:val="22"/>
                <w:lang w:val="es-ES"/>
              </w:rPr>
              <w:t>31</w:t>
            </w:r>
          </w:p>
        </w:tc>
      </w:tr>
      <w:tr w:rsidR="009713BF" w:rsidRPr="005E3D50" w14:paraId="616F8F06" w14:textId="77777777" w:rsidTr="006E6831">
        <w:tc>
          <w:tcPr>
            <w:tcW w:w="8359" w:type="dxa"/>
          </w:tcPr>
          <w:p w14:paraId="11728E34" w14:textId="77777777" w:rsidR="009713BF" w:rsidRPr="005E3D50" w:rsidRDefault="009713BF" w:rsidP="009713BF">
            <w:pPr>
              <w:rPr>
                <w:sz w:val="22"/>
                <w:szCs w:val="22"/>
                <w:lang w:val="es-ES"/>
              </w:rPr>
            </w:pPr>
            <w:r w:rsidRPr="005E3D50">
              <w:rPr>
                <w:sz w:val="22"/>
                <w:lang w:val="es-ES"/>
              </w:rPr>
              <w:t>Mejorar la salud y el bienestar de los seres humanos y su conexión con la naturaleza</w:t>
            </w:r>
          </w:p>
          <w:p w14:paraId="72C6260C" w14:textId="77777777" w:rsidR="009713BF" w:rsidRPr="005E3D50" w:rsidRDefault="009713BF" w:rsidP="009713BF">
            <w:pPr>
              <w:rPr>
                <w:sz w:val="22"/>
                <w:szCs w:val="22"/>
                <w:lang w:val="es-ES"/>
              </w:rPr>
            </w:pPr>
          </w:p>
        </w:tc>
        <w:tc>
          <w:tcPr>
            <w:tcW w:w="657" w:type="dxa"/>
            <w:shd w:val="clear" w:color="auto" w:fill="FFFF00"/>
          </w:tcPr>
          <w:p w14:paraId="36AE8D4D" w14:textId="77777777" w:rsidR="009713BF" w:rsidRPr="005E3D50" w:rsidRDefault="009713BF" w:rsidP="009713BF">
            <w:pPr>
              <w:rPr>
                <w:sz w:val="22"/>
                <w:szCs w:val="22"/>
                <w:lang w:val="es-ES"/>
              </w:rPr>
            </w:pPr>
            <w:r w:rsidRPr="005E3D50">
              <w:rPr>
                <w:sz w:val="22"/>
                <w:lang w:val="es-ES"/>
              </w:rPr>
              <w:t>54</w:t>
            </w:r>
          </w:p>
        </w:tc>
      </w:tr>
      <w:tr w:rsidR="009713BF" w:rsidRPr="005E3D50" w14:paraId="52F0389D" w14:textId="77777777" w:rsidTr="006E6831">
        <w:tc>
          <w:tcPr>
            <w:tcW w:w="9016" w:type="dxa"/>
            <w:gridSpan w:val="2"/>
          </w:tcPr>
          <w:p w14:paraId="0FCEC109"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09D0204F"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51 % de estos elementos en sus metas nacionales</w:t>
            </w:r>
          </w:p>
          <w:p w14:paraId="1074265B" w14:textId="77777777" w:rsidR="009713BF" w:rsidRPr="005E3D50" w:rsidRDefault="009713BF" w:rsidP="009713BF">
            <w:pPr>
              <w:rPr>
                <w:i/>
                <w:iCs/>
                <w:sz w:val="22"/>
                <w:szCs w:val="22"/>
                <w:lang w:val="es-ES"/>
              </w:rPr>
            </w:pPr>
          </w:p>
        </w:tc>
      </w:tr>
    </w:tbl>
    <w:p w14:paraId="64B8CAC8" w14:textId="77777777" w:rsidR="009713BF" w:rsidRPr="005E3D50" w:rsidRDefault="009713BF" w:rsidP="009713BF">
      <w:pPr>
        <w:rPr>
          <w:lang w:val="es-ES"/>
        </w:rPr>
      </w:pPr>
    </w:p>
    <w:p w14:paraId="20483C24"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0E37F09F"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36"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37"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1316B870" w14:textId="77777777" w:rsidR="009713BF" w:rsidRPr="005E3D50" w:rsidRDefault="009713BF" w:rsidP="009713BF">
      <w:pPr>
        <w:rPr>
          <w:lang w:val="es-ES"/>
        </w:rPr>
      </w:pPr>
    </w:p>
    <w:p w14:paraId="69AE6EC3" w14:textId="77777777" w:rsidR="009713BF" w:rsidRPr="005E3D50" w:rsidRDefault="009713BF" w:rsidP="009713BF">
      <w:pPr>
        <w:rPr>
          <w:lang w:val="es-ES"/>
        </w:rPr>
      </w:pPr>
      <w:r w:rsidRPr="005E3D50">
        <w:rPr>
          <w:lang w:val="es-ES"/>
        </w:rPr>
        <w:t xml:space="preserve">Una amplia mayoría de Partes presentó metas nacionales que abordan los espacios verdes en zonas urbanas y densamente pobladas (71 %) y una planificación urbana que tenga en cuenta la diversidad biológica (65 %) (véase el cuadro 26). </w:t>
      </w:r>
      <w:bookmarkStart w:id="340" w:name="_Toc235821196"/>
      <w:r w:rsidRPr="005E3D50">
        <w:rPr>
          <w:lang w:val="es-ES"/>
        </w:rPr>
        <w:t xml:space="preserve">Un porcentaje menor de Partes (53 %) abordan específicamente el tema de los espacios azules (zonas donde predominan los cuerpos de agua). Más de la mitad de las Partes han fijado metas que abordan la calidad de los espacios verdes y azules (56 %), su conectividad (52 %) y los beneficios que brindan para la salud y el bienestar de los seres humanos y la conexión de estos con la naturaleza (54 %). Un porcentaje menor de Partes tienen metas que abordan el acceso a espacios verdes y azules (46 %) o que abordan la mejora de la diversidad biológica autóctona en zonas urbanas y densamente pobladas (31 %). En general hay importantes carencias en el alcance de las metas nacionales en comparación con la meta mundial. La meta 12 no incluye elementos cuantitativos específicos, pero sí hay un compromiso de aumentar sustancialmente la superficie ocupada por espacios verdes y azules. </w:t>
      </w:r>
    </w:p>
    <w:p w14:paraId="63DC1304" w14:textId="77777777" w:rsidR="009713BF" w:rsidRPr="005E3D50" w:rsidRDefault="009713BF" w:rsidP="009713BF">
      <w:pPr>
        <w:rPr>
          <w:lang w:val="es-ES"/>
        </w:rPr>
      </w:pPr>
    </w:p>
    <w:p w14:paraId="0CD27B0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Indicadores de progresos</w:t>
      </w:r>
      <w:bookmarkEnd w:id="340"/>
    </w:p>
    <w:p w14:paraId="01C6E868" w14:textId="77777777" w:rsidR="009713BF" w:rsidRPr="005E3D50" w:rsidRDefault="009713BF" w:rsidP="009713BF">
      <w:pPr>
        <w:rPr>
          <w:lang w:val="es-ES"/>
        </w:rPr>
      </w:pPr>
    </w:p>
    <w:p w14:paraId="46CE92FB"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bookmarkStart w:id="341" w:name="_Ref238721408"/>
      <w:r w:rsidRPr="005E3D50">
        <w:rPr>
          <w:rFonts w:eastAsiaTheme="minorEastAsia"/>
          <w:iCs/>
          <w:color w:val="0E2841" w:themeColor="text2"/>
          <w:kern w:val="0"/>
          <w:sz w:val="20"/>
          <w:szCs w:val="18"/>
          <w:lang w:val="es-ES" w:eastAsia="ja-JP"/>
          <w14:ligatures w14:val="none"/>
        </w:rPr>
        <w:t>Cuadro 27</w:t>
      </w:r>
      <w:bookmarkEnd w:id="341"/>
    </w:p>
    <w:p w14:paraId="7DE97FA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12 del Marco</w:t>
      </w:r>
    </w:p>
    <w:p w14:paraId="01D3EE30" w14:textId="77777777" w:rsidR="009713BF" w:rsidRPr="005E3D50" w:rsidRDefault="009713BF" w:rsidP="009713BF">
      <w:pPr>
        <w:rPr>
          <w:lang w:val="es-ES" w:eastAsia="ja-JP"/>
        </w:rPr>
      </w:pPr>
    </w:p>
    <w:tbl>
      <w:tblPr>
        <w:tblW w:w="9918" w:type="dxa"/>
        <w:tblLook w:val="04A0" w:firstRow="1" w:lastRow="0" w:firstColumn="1" w:lastColumn="0" w:noHBand="0" w:noVBand="1"/>
      </w:tblPr>
      <w:tblGrid>
        <w:gridCol w:w="3240"/>
        <w:gridCol w:w="2425"/>
        <w:gridCol w:w="709"/>
        <w:gridCol w:w="2835"/>
        <w:gridCol w:w="709"/>
      </w:tblGrid>
      <w:tr w:rsidR="009713BF" w:rsidRPr="005E3D50" w14:paraId="03CD2A07"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3A654EE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5B91A95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7E1B991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7A901F92"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D20F3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12.1: proporción media de la superficie edificada de las ciudades que se dedica a espacios verdes o azules para uso público de todos</w:t>
            </w:r>
          </w:p>
        </w:tc>
        <w:tc>
          <w:tcPr>
            <w:tcW w:w="2425" w:type="dxa"/>
            <w:tcBorders>
              <w:top w:val="single" w:sz="4" w:space="0" w:color="auto"/>
              <w:left w:val="nil"/>
              <w:bottom w:val="single" w:sz="4" w:space="0" w:color="auto"/>
              <w:right w:val="single" w:sz="4" w:space="0" w:color="auto"/>
            </w:tcBorders>
            <w:vAlign w:val="center"/>
            <w:hideMark/>
          </w:tcPr>
          <w:p w14:paraId="459E34BA"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26 % de las Partes</w:t>
            </w:r>
          </w:p>
        </w:tc>
        <w:tc>
          <w:tcPr>
            <w:tcW w:w="709" w:type="dxa"/>
            <w:tcBorders>
              <w:top w:val="single" w:sz="4" w:space="0" w:color="auto"/>
              <w:left w:val="nil"/>
              <w:bottom w:val="single" w:sz="4" w:space="0" w:color="auto"/>
              <w:right w:val="nil"/>
            </w:tcBorders>
            <w:shd w:val="clear" w:color="auto" w:fill="C00000"/>
            <w:vAlign w:val="center"/>
            <w:hideMark/>
          </w:tcPr>
          <w:p w14:paraId="6159A0B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46771120"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Promedio general: 27 % (intervalo: 1 % a 58 %)</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60D8DC8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5001853B"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61814A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12.b: número de países que disponen de una planificación urbana que tiene en cuenta la diversidad biológica y se refiere a espacios urbanos verdes o azules</w:t>
            </w:r>
          </w:p>
        </w:tc>
        <w:tc>
          <w:tcPr>
            <w:tcW w:w="2425" w:type="dxa"/>
            <w:tcBorders>
              <w:top w:val="nil"/>
              <w:left w:val="nil"/>
              <w:bottom w:val="single" w:sz="4" w:space="0" w:color="auto"/>
              <w:right w:val="single" w:sz="4" w:space="0" w:color="auto"/>
            </w:tcBorders>
            <w:vAlign w:val="center"/>
            <w:hideMark/>
          </w:tcPr>
          <w:p w14:paraId="64DD4B2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9" w:type="dxa"/>
            <w:tcBorders>
              <w:top w:val="nil"/>
              <w:left w:val="nil"/>
              <w:bottom w:val="single" w:sz="4" w:space="0" w:color="auto"/>
              <w:right w:val="single" w:sz="4" w:space="0" w:color="auto"/>
            </w:tcBorders>
            <w:vAlign w:val="center"/>
            <w:hideMark/>
          </w:tcPr>
          <w:p w14:paraId="18999E2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n. </w:t>
            </w:r>
            <w:proofErr w:type="spellStart"/>
            <w:proofErr w:type="gramStart"/>
            <w:r w:rsidRPr="005E3D50">
              <w:rPr>
                <w:rFonts w:ascii="Aptos" w:hAnsi="Aptos"/>
                <w:color w:val="000000"/>
                <w:sz w:val="20"/>
                <w:lang w:val="es-ES"/>
              </w:rPr>
              <w:t>a.</w:t>
            </w:r>
            <w:r w:rsidRPr="005E3D50">
              <w:rPr>
                <w:rFonts w:ascii="Aptos" w:hAnsi="Aptos"/>
                <w:i/>
                <w:color w:val="000000"/>
                <w:sz w:val="20"/>
                <w:vertAlign w:val="superscript"/>
                <w:lang w:val="es-ES"/>
              </w:rPr>
              <w:t>a</w:t>
            </w:r>
            <w:proofErr w:type="spellEnd"/>
            <w:proofErr w:type="gramEnd"/>
          </w:p>
        </w:tc>
        <w:tc>
          <w:tcPr>
            <w:tcW w:w="2835" w:type="dxa"/>
            <w:tcBorders>
              <w:top w:val="nil"/>
              <w:left w:val="nil"/>
              <w:bottom w:val="single" w:sz="4" w:space="0" w:color="auto"/>
              <w:right w:val="single" w:sz="4" w:space="0" w:color="auto"/>
            </w:tcBorders>
            <w:vAlign w:val="center"/>
            <w:hideMark/>
          </w:tcPr>
          <w:p w14:paraId="5855A08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69 % de las Partes tuvieron una puntuación alta (puntuación de 4 o 5)</w:t>
            </w:r>
          </w:p>
        </w:tc>
        <w:tc>
          <w:tcPr>
            <w:tcW w:w="709" w:type="dxa"/>
            <w:tcBorders>
              <w:top w:val="nil"/>
              <w:left w:val="nil"/>
              <w:bottom w:val="single" w:sz="4" w:space="0" w:color="auto"/>
              <w:right w:val="single" w:sz="4" w:space="0" w:color="auto"/>
            </w:tcBorders>
            <w:shd w:val="clear" w:color="000000" w:fill="92D050"/>
            <w:vAlign w:val="center"/>
            <w:hideMark/>
          </w:tcPr>
          <w:p w14:paraId="67FC2AC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07E14798"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561151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425" w:type="dxa"/>
            <w:tcBorders>
              <w:top w:val="nil"/>
              <w:left w:val="nil"/>
              <w:bottom w:val="single" w:sz="4" w:space="0" w:color="auto"/>
              <w:right w:val="single" w:sz="4" w:space="0" w:color="auto"/>
            </w:tcBorders>
            <w:vAlign w:val="center"/>
            <w:hideMark/>
          </w:tcPr>
          <w:p w14:paraId="587288A4"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27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21 %</w:t>
            </w:r>
          </w:p>
        </w:tc>
        <w:tc>
          <w:tcPr>
            <w:tcW w:w="709" w:type="dxa"/>
            <w:tcBorders>
              <w:top w:val="nil"/>
              <w:left w:val="nil"/>
              <w:bottom w:val="single" w:sz="4" w:space="0" w:color="auto"/>
              <w:right w:val="single" w:sz="4" w:space="0" w:color="auto"/>
            </w:tcBorders>
            <w:shd w:val="clear" w:color="000000" w:fill="C00000"/>
            <w:vAlign w:val="center"/>
            <w:hideMark/>
          </w:tcPr>
          <w:p w14:paraId="3CF0D66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nil"/>
              <w:left w:val="nil"/>
              <w:bottom w:val="single" w:sz="4" w:space="0" w:color="auto"/>
              <w:right w:val="single" w:sz="4" w:space="0" w:color="auto"/>
            </w:tcBorders>
            <w:vAlign w:val="center"/>
            <w:hideMark/>
          </w:tcPr>
          <w:p w14:paraId="7E5D99DC"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20 % registran tendencias positivas</w:t>
            </w:r>
          </w:p>
          <w:p w14:paraId="67E47D7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30 % registran tendencias negativas</w:t>
            </w:r>
          </w:p>
        </w:tc>
        <w:tc>
          <w:tcPr>
            <w:tcW w:w="709" w:type="dxa"/>
            <w:tcBorders>
              <w:top w:val="nil"/>
              <w:left w:val="nil"/>
              <w:bottom w:val="single" w:sz="4" w:space="0" w:color="auto"/>
              <w:right w:val="single" w:sz="4" w:space="0" w:color="auto"/>
            </w:tcBorders>
            <w:shd w:val="clear" w:color="000000" w:fill="C00000"/>
            <w:vAlign w:val="center"/>
            <w:hideMark/>
          </w:tcPr>
          <w:p w14:paraId="43AE117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6A4A75E6"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88456A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Observaciones</w:t>
            </w:r>
          </w:p>
        </w:tc>
        <w:tc>
          <w:tcPr>
            <w:tcW w:w="6678" w:type="dxa"/>
            <w:gridSpan w:val="4"/>
            <w:tcBorders>
              <w:top w:val="nil"/>
              <w:left w:val="nil"/>
              <w:bottom w:val="single" w:sz="4" w:space="0" w:color="auto"/>
              <w:right w:val="single" w:sz="4" w:space="0" w:color="auto"/>
            </w:tcBorders>
            <w:vAlign w:val="center"/>
          </w:tcPr>
          <w:p w14:paraId="37FC321C" w14:textId="77777777" w:rsidR="009713BF" w:rsidRPr="005E3D50" w:rsidRDefault="009713BF" w:rsidP="009713BF">
            <w:pPr>
              <w:spacing w:after="0" w:line="240" w:lineRule="auto"/>
              <w:rPr>
                <w:rFonts w:eastAsia="Times New Roman" w:cs="Times New Roman"/>
                <w:color w:val="000000"/>
                <w:kern w:val="0"/>
                <w:sz w:val="20"/>
                <w:szCs w:val="20"/>
                <w:lang w:val="es-ES"/>
                <w14:ligatures w14:val="none"/>
              </w:rPr>
            </w:pPr>
            <w:r w:rsidRPr="005E3D50">
              <w:rPr>
                <w:rFonts w:ascii="Aptos" w:hAnsi="Aptos"/>
                <w:color w:val="000000"/>
                <w:sz w:val="20"/>
                <w:lang w:val="es-ES"/>
              </w:rPr>
              <w:t>Los valores nacionales se basan en un subconjunto de ciudades evaluadas.</w:t>
            </w:r>
          </w:p>
          <w:p w14:paraId="611B2AEB"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En general no fue posible estimar la accesibilidad de los espacios verdes y azules.</w:t>
            </w:r>
          </w:p>
        </w:tc>
      </w:tr>
    </w:tbl>
    <w:p w14:paraId="4599F469"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3E4243A6"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0F2A198A"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5D227BA1" w14:textId="77777777" w:rsidR="009713BF" w:rsidRPr="005E3D50" w:rsidRDefault="009713BF" w:rsidP="009713BF">
      <w:pPr>
        <w:rPr>
          <w:rFonts w:ascii="Aptos" w:hAnsi="Aptos"/>
          <w:strike/>
          <w:lang w:val="es-ES"/>
        </w:rPr>
      </w:pPr>
    </w:p>
    <w:p w14:paraId="0EEDA7AF" w14:textId="77777777" w:rsidR="009713BF" w:rsidRPr="005E3D50" w:rsidRDefault="009713BF" w:rsidP="009713BF">
      <w:pPr>
        <w:rPr>
          <w:rFonts w:ascii="Aptos" w:hAnsi="Aptos" w:cs="Segoe UI"/>
          <w:color w:val="000000" w:themeColor="text1"/>
          <w:lang w:val="es-ES"/>
        </w:rPr>
      </w:pPr>
      <w:r w:rsidRPr="005E3D50">
        <w:rPr>
          <w:rFonts w:ascii="Aptos" w:hAnsi="Aptos"/>
          <w:color w:val="000000" w:themeColor="text1"/>
          <w:lang w:val="es-ES"/>
        </w:rPr>
        <w:t xml:space="preserve">Sobre la base de los datos referidos al indicador de cabecera 12.1 (proporción media de la superficie edificada de las ciudades que se dedica a espacios verdes o azules para uso público de todos), presentados por el 26 % de las Partes cuyos informes nacionales fueron considerados para el informe mundial, los espacios verdes o azules para uso público comprenden en promedio un 23 % de las superficies edificadas (véase el </w:t>
      </w:r>
      <w:r w:rsidRPr="005E3D50">
        <w:rPr>
          <w:lang w:val="es-ES"/>
        </w:rPr>
        <w:t>cuadro 27</w:t>
      </w:r>
      <w:r w:rsidRPr="005E3D50">
        <w:rPr>
          <w:rFonts w:ascii="Aptos" w:hAnsi="Aptos"/>
          <w:color w:val="000000" w:themeColor="text1"/>
          <w:lang w:val="es-ES"/>
        </w:rPr>
        <w:t xml:space="preserve"> y la </w:t>
      </w:r>
      <w:r w:rsidRPr="005E3D50">
        <w:rPr>
          <w:lang w:val="es-ES"/>
        </w:rPr>
        <w:lastRenderedPageBreak/>
        <w:t>figura 53</w:t>
      </w:r>
      <w:r w:rsidRPr="005E3D50">
        <w:rPr>
          <w:rFonts w:ascii="Aptos" w:hAnsi="Aptos"/>
          <w:color w:val="000000" w:themeColor="text1"/>
          <w:lang w:val="es-ES"/>
        </w:rPr>
        <w:t>). Esto se presenta como una única cifra de referencia para el período 2020-2025, dado que no se dispuso de suficientes datos de tendencias. Las Partes señalaron que tanto la recolección de datos como la metodología plantean dificultades importantes en cuanto a la presentación de información sobre el indicador. Las Partes que presentaron información al respecto evaluaron entre 3 y 31 ciudades, por lo que los datos pueden no ser representativos de todas las zonas urbanas de un país. Varias Partes señalaron que enfrentaban limitaciones en materia de capacidad a nivel municipal que generaban cuellos de botella con respecto a la disponibilidad de mapas urbanos y la frecuencia con la que se actualizan. Por otra parte, algunas Partes señalaron que la metodología del indicador de los ODS recomendado (11.7.1: </w:t>
      </w:r>
      <w:r w:rsidRPr="005E3D50">
        <w:rPr>
          <w:color w:val="2D2D2D"/>
          <w:shd w:val="clear" w:color="auto" w:fill="FFFFFF"/>
          <w:lang w:val="es-ES"/>
        </w:rPr>
        <w:t>proporción media de la superficie edificada de las ciudades que se dedica a espacios abiertos para uso público de todos, desglosada por sexo, edad y personas con discapacidad</w:t>
      </w:r>
      <w:r w:rsidRPr="005E3D50">
        <w:rPr>
          <w:rFonts w:ascii="Aptos" w:hAnsi="Aptos"/>
          <w:color w:val="000000" w:themeColor="text1"/>
          <w:lang w:val="es-ES"/>
        </w:rPr>
        <w:t>)</w:t>
      </w:r>
      <w:r w:rsidRPr="005E3D50">
        <w:rPr>
          <w:rFonts w:ascii="Aptos" w:hAnsi="Aptos" w:cs="Segoe UI"/>
          <w:color w:val="000000" w:themeColor="text1"/>
          <w:vertAlign w:val="superscript"/>
          <w:lang w:val="es-ES"/>
        </w:rPr>
        <w:footnoteReference w:id="33"/>
      </w:r>
      <w:r w:rsidRPr="005E3D50">
        <w:rPr>
          <w:rFonts w:ascii="Aptos" w:hAnsi="Aptos"/>
          <w:color w:val="000000" w:themeColor="text1"/>
          <w:lang w:val="es-ES"/>
        </w:rPr>
        <w:t xml:space="preserve"> no era adecuada para informar sobre el indicador de cabecera 12.1, dado que el indicador de los ODS no </w:t>
      </w:r>
      <w:r w:rsidRPr="005E3D50">
        <w:rPr>
          <w:lang w:val="es-ES"/>
        </w:rPr>
        <w:t>discrimina entre espacios verdes y espacios azules o espacios artificiales no relacionados con la diversidad biológica</w:t>
      </w:r>
      <w:r w:rsidRPr="005E3D50">
        <w:rPr>
          <w:rFonts w:ascii="Aptos" w:hAnsi="Aptos"/>
          <w:color w:val="000000" w:themeColor="text1"/>
          <w:lang w:val="es-ES"/>
        </w:rPr>
        <w:t>. Muchas Partes también señalaron que medir el acceso a espacios verdes y azules es particularmente difícil y que se carece de métodos apropiados. Por lo tanto, muchas comunicaciones que se utilizaron para la estimación general del indicador se refieren a la cobertura de espacios verdes y azules como una fracción de zona urbana.</w:t>
      </w:r>
    </w:p>
    <w:p w14:paraId="4E469008" w14:textId="77777777" w:rsidR="009713BF" w:rsidRPr="005E3D50" w:rsidRDefault="009713BF" w:rsidP="009713BF">
      <w:pPr>
        <w:rPr>
          <w:lang w:val="es-ES"/>
        </w:rPr>
      </w:pPr>
      <w:r w:rsidRPr="005E3D50">
        <w:rPr>
          <w:rFonts w:ascii="Aptos" w:hAnsi="Aptos"/>
          <w:color w:val="000000" w:themeColor="text1"/>
          <w:lang w:val="es-ES"/>
        </w:rPr>
        <w:t xml:space="preserve">A través del indicador binario de la meta 12, la mayoría de las Partes (69 %) comunicaron progresos en la inclusión de la diversidad biológica y los servicios de los ecosistemas en la planificación urbana </w:t>
      </w:r>
      <w:r w:rsidRPr="005E3D50">
        <w:rPr>
          <w:color w:val="000000" w:themeColor="text1"/>
          <w:lang w:val="es-ES"/>
        </w:rPr>
        <w:t xml:space="preserve">(véase la </w:t>
      </w:r>
      <w:r w:rsidRPr="005E3D50">
        <w:rPr>
          <w:lang w:val="es-ES"/>
        </w:rPr>
        <w:t>figura 54</w:t>
      </w:r>
      <w:r w:rsidRPr="005E3D50">
        <w:rPr>
          <w:color w:val="000000" w:themeColor="text1"/>
          <w:lang w:val="es-ES"/>
        </w:rPr>
        <w:t>)</w:t>
      </w:r>
      <w:r w:rsidRPr="005E3D50">
        <w:rPr>
          <w:lang w:val="es-ES"/>
        </w:rPr>
        <w:t>. Sin embargo, de esas Partes, más fueron las que informaron que la inclusión estaba aún en vías de concretarse, y menos las que informaron que ya era un hecho.</w:t>
      </w:r>
    </w:p>
    <w:p w14:paraId="04106A3D" w14:textId="77777777" w:rsidR="009713BF" w:rsidRPr="005E3D50" w:rsidRDefault="009713BF" w:rsidP="009713BF">
      <w:pPr>
        <w:rPr>
          <w:lang w:val="es-ES"/>
        </w:rPr>
      </w:pPr>
      <w:r w:rsidRPr="005E3D50">
        <w:rPr>
          <w:lang w:val="es-ES"/>
        </w:rPr>
        <w:t>Otros indicadores nacionales presentados por las Partes también se centran mayoritariamente en las superficies de espacios verdes en zonas urbanas y densamente pobladas. Con respecto a la mayoría de los demás elementos, como la conectividad, no se hace un seguimiento ni se informa sobre ellos. El análisis de tendencias muestra poco cambio con respecto a estos indicadores; no obstante, el 20 % registra tendencias positivas y se ha informado de muy pocas tendencias negativas (véase la figura 55). Es importante señalar que este análisis se refiere solo a un 21 % de las Partes cuyos informes nacionales fueron considerados para el informe mundial.</w:t>
      </w:r>
    </w:p>
    <w:p w14:paraId="04C845C9" w14:textId="77777777" w:rsidR="009713BF" w:rsidRPr="005E3D50" w:rsidRDefault="009713BF" w:rsidP="009713BF">
      <w:pPr>
        <w:spacing w:after="0" w:line="240" w:lineRule="auto"/>
        <w:rPr>
          <w:rFonts w:ascii="Aptos" w:eastAsia="Times New Roman" w:hAnsi="Aptos" w:cs="Times New Roman"/>
          <w:kern w:val="0"/>
          <w:lang w:val="es-ES"/>
          <w14:ligatures w14:val="none"/>
        </w:rPr>
      </w:pPr>
    </w:p>
    <w:p w14:paraId="1229D629" w14:textId="77777777" w:rsidR="009713BF" w:rsidRPr="005E3D50" w:rsidRDefault="009713BF" w:rsidP="009713BF">
      <w:pPr>
        <w:spacing w:after="0" w:line="240" w:lineRule="auto"/>
        <w:rPr>
          <w:rFonts w:eastAsia="Times New Roman" w:cs="Times New Roman"/>
          <w:kern w:val="0"/>
          <w:sz w:val="20"/>
          <w:szCs w:val="20"/>
          <w:lang w:val="es-ES"/>
          <w14:ligatures w14:val="none"/>
        </w:rPr>
      </w:pPr>
      <w:bookmarkStart w:id="342" w:name="_Ref231193071"/>
      <w:r w:rsidRPr="005E3D50">
        <w:rPr>
          <w:rFonts w:eastAsia="Times New Roman" w:cs="Times New Roman"/>
          <w:kern w:val="0"/>
          <w:sz w:val="20"/>
          <w:lang w:val="es-ES"/>
          <w14:ligatures w14:val="none"/>
        </w:rPr>
        <w:t>Figura 53</w:t>
      </w:r>
      <w:bookmarkEnd w:id="342"/>
    </w:p>
    <w:p w14:paraId="6A09A7D4" w14:textId="77777777" w:rsidR="009713BF" w:rsidRPr="005E3D50" w:rsidRDefault="009713BF" w:rsidP="009713BF">
      <w:pPr>
        <w:spacing w:after="0" w:line="240" w:lineRule="auto"/>
        <w:rPr>
          <w:rFonts w:ascii="Aptos" w:eastAsia="Times New Roman" w:hAnsi="Aptos" w:cs="Times New Roman"/>
          <w:b/>
          <w:bCs/>
          <w:kern w:val="0"/>
          <w:sz w:val="20"/>
          <w:szCs w:val="20"/>
          <w:lang w:val="es-ES"/>
          <w14:ligatures w14:val="none"/>
        </w:rPr>
      </w:pPr>
      <w:r w:rsidRPr="005E3D50">
        <w:rPr>
          <w:rFonts w:ascii="Times New Roman" w:eastAsia="Times New Roman" w:hAnsi="Times New Roman" w:cs="Times New Roman"/>
          <w:b/>
          <w:kern w:val="0"/>
          <w:sz w:val="20"/>
          <w:lang w:val="es-ES"/>
          <w14:ligatures w14:val="none"/>
        </w:rPr>
        <w:t>Indicador de cabecera 12.1: proporción media de la superficie edificada de las ciudades que se dedica a espacios verdes o azules para uso público de todos</w:t>
      </w:r>
    </w:p>
    <w:p w14:paraId="0F784E0E" w14:textId="77777777" w:rsidR="009713BF" w:rsidRPr="005E3D50" w:rsidRDefault="009713BF" w:rsidP="009713BF">
      <w:pPr>
        <w:spacing w:after="0" w:line="240" w:lineRule="auto"/>
        <w:rPr>
          <w:rFonts w:eastAsia="Times New Roman" w:cs="Times New Roman"/>
          <w:kern w:val="0"/>
          <w:sz w:val="20"/>
          <w:szCs w:val="20"/>
          <w:lang w:val="es-ES"/>
          <w14:ligatures w14:val="none"/>
        </w:rPr>
      </w:pPr>
    </w:p>
    <w:p w14:paraId="155720FE" w14:textId="77777777" w:rsidR="009713BF" w:rsidRPr="005E3D50" w:rsidRDefault="009713BF" w:rsidP="009713BF">
      <w:pPr>
        <w:spacing w:after="0" w:line="240" w:lineRule="auto"/>
        <w:textAlignment w:val="baseline"/>
        <w:rPr>
          <w:rFonts w:ascii="Aptos" w:eastAsia="Times New Roman" w:hAnsi="Aptos" w:cs="Segoe UI"/>
          <w:color w:val="0F4761"/>
          <w:kern w:val="0"/>
          <w:sz w:val="18"/>
          <w:szCs w:val="18"/>
          <w:lang w:val="es-ES"/>
          <w14:ligatures w14:val="none"/>
        </w:rPr>
      </w:pPr>
      <w:r w:rsidRPr="005E3D50">
        <w:rPr>
          <w:rFonts w:ascii="Aptos" w:eastAsia="Times New Roman" w:hAnsi="Aptos" w:cs="Times New Roman"/>
          <w:noProof/>
          <w:kern w:val="0"/>
          <w:sz w:val="18"/>
          <w:lang w:val="en-US"/>
          <w14:ligatures w14:val="none"/>
        </w:rPr>
        <w:lastRenderedPageBreak/>
        <w:drawing>
          <wp:inline distT="0" distB="0" distL="0" distR="0" wp14:anchorId="4B674C83" wp14:editId="54EF182D">
            <wp:extent cx="5731510" cy="3223895"/>
            <wp:effectExtent l="0" t="0" r="0" b="1905"/>
            <wp:docPr id="148344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4515" name="Picture 148344515"/>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A9962B3" w14:textId="77777777" w:rsidR="009713BF" w:rsidRPr="005E3D50" w:rsidRDefault="009713BF" w:rsidP="009713BF">
      <w:pPr>
        <w:spacing w:after="0" w:line="240" w:lineRule="auto"/>
        <w:textAlignment w:val="baseline"/>
        <w:rPr>
          <w:rFonts w:ascii="Aptos" w:eastAsia="Times New Roman" w:hAnsi="Aptos" w:cs="Segoe UI"/>
          <w:color w:val="0F4761"/>
          <w:kern w:val="0"/>
          <w:sz w:val="18"/>
          <w:szCs w:val="18"/>
          <w:lang w:val="es-ES"/>
          <w14:ligatures w14:val="none"/>
        </w:rPr>
      </w:pPr>
    </w:p>
    <w:p w14:paraId="796C503B"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43" w:name="_Ref231193450"/>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w:t>
      </w:r>
      <w:r w:rsidRPr="005E3D50">
        <w:rPr>
          <w:rFonts w:ascii="Aptos" w:eastAsiaTheme="minorEastAsia" w:hAnsi="Aptos"/>
          <w:i/>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Solo se muestra un único punto de datos que totaliza los valores de los indicadores</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presentados,</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ya que menos de un quinto de las Partes presentaron datos de una serie temporal. Se muestra el porcentaje promedio y el intervalo correspondiente a espacios verdes o azules en ciudades de todas las Partes que</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presentaron datos. El gráfico circular muestra en tono gris oscuro la proporción del total de la población urbana de las Partes que corresponde a aquellas Partes que comunicaron datos para el indicador. El gráfico de barras de la derecha muestra la distribución de las Partes que presentan datos, por región.</w:t>
      </w:r>
      <w:r w:rsidRPr="005E3D50">
        <w:rPr>
          <w:rFonts w:ascii="Arial" w:eastAsiaTheme="minorEastAsia" w:hAnsi="Arial"/>
          <w:iCs/>
          <w:color w:val="0E2841" w:themeColor="text2"/>
          <w:kern w:val="0"/>
          <w:sz w:val="18"/>
          <w:szCs w:val="18"/>
          <w:lang w:val="es-ES" w:eastAsia="ja-JP"/>
          <w14:ligatures w14:val="none"/>
        </w:rPr>
        <w:t> </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21" w:type="dxa"/>
        <w:tblLook w:val="04A0" w:firstRow="1" w:lastRow="0" w:firstColumn="1" w:lastColumn="0" w:noHBand="0" w:noVBand="1"/>
      </w:tblPr>
      <w:tblGrid>
        <w:gridCol w:w="4617"/>
        <w:gridCol w:w="4704"/>
      </w:tblGrid>
      <w:tr w:rsidR="00ED062B" w:rsidRPr="00ED062B" w14:paraId="19050822" w14:textId="77777777" w:rsidTr="00ED062B">
        <w:tc>
          <w:tcPr>
            <w:tcW w:w="9321" w:type="dxa"/>
            <w:gridSpan w:val="2"/>
          </w:tcPr>
          <w:p w14:paraId="6BB1A49D" w14:textId="4AD712E1" w:rsidR="00ED062B" w:rsidRPr="00ED062B" w:rsidRDefault="00ED062B" w:rsidP="00ED062B">
            <w:pPr>
              <w:rPr>
                <w:sz w:val="18"/>
                <w:szCs w:val="18"/>
                <w:lang w:val="es-ES"/>
              </w:rPr>
            </w:pPr>
            <w:r w:rsidRPr="00ED062B">
              <w:rPr>
                <w:sz w:val="18"/>
                <w:szCs w:val="18"/>
                <w:lang w:val="es-ES"/>
              </w:rPr>
              <w:t>Figura 53</w:t>
            </w:r>
          </w:p>
        </w:tc>
      </w:tr>
      <w:tr w:rsidR="00ED062B" w:rsidRPr="00ED062B" w14:paraId="68EE5B72" w14:textId="77777777" w:rsidTr="00ED062B">
        <w:tc>
          <w:tcPr>
            <w:tcW w:w="4617" w:type="dxa"/>
          </w:tcPr>
          <w:p w14:paraId="150C0830" w14:textId="77777777" w:rsidR="00ED062B" w:rsidRPr="00ED062B" w:rsidRDefault="00ED062B" w:rsidP="00ED062B">
            <w:pPr>
              <w:spacing w:line="278" w:lineRule="auto"/>
              <w:rPr>
                <w:sz w:val="18"/>
                <w:szCs w:val="18"/>
                <w:lang w:val="es-ES"/>
              </w:rPr>
            </w:pPr>
            <w:r w:rsidRPr="00ED062B">
              <w:rPr>
                <w:sz w:val="18"/>
                <w:szCs w:val="18"/>
                <w:lang w:val="es-ES"/>
              </w:rPr>
              <w:t xml:space="preserve">English </w:t>
            </w:r>
          </w:p>
        </w:tc>
        <w:tc>
          <w:tcPr>
            <w:tcW w:w="4703" w:type="dxa"/>
          </w:tcPr>
          <w:p w14:paraId="09A2D77B" w14:textId="17802E8A" w:rsidR="00ED062B" w:rsidRPr="00ED062B" w:rsidRDefault="007371B4" w:rsidP="00ED062B">
            <w:pPr>
              <w:spacing w:line="278" w:lineRule="auto"/>
              <w:rPr>
                <w:sz w:val="18"/>
                <w:szCs w:val="18"/>
                <w:lang w:val="es-ES"/>
              </w:rPr>
            </w:pPr>
            <w:r>
              <w:rPr>
                <w:sz w:val="18"/>
                <w:szCs w:val="18"/>
                <w:lang w:val="es-ES"/>
              </w:rPr>
              <w:t>Español</w:t>
            </w:r>
          </w:p>
        </w:tc>
      </w:tr>
      <w:tr w:rsidR="00ED062B" w:rsidRPr="00ED062B" w14:paraId="3A61F200" w14:textId="77777777" w:rsidTr="00ED062B">
        <w:tc>
          <w:tcPr>
            <w:tcW w:w="4617" w:type="dxa"/>
          </w:tcPr>
          <w:p w14:paraId="1B3700E1" w14:textId="77777777" w:rsidR="00ED062B" w:rsidRPr="00ED062B" w:rsidRDefault="00ED062B" w:rsidP="00ED062B">
            <w:pPr>
              <w:spacing w:line="278" w:lineRule="auto"/>
              <w:rPr>
                <w:sz w:val="18"/>
                <w:szCs w:val="18"/>
                <w:lang w:val="en-US"/>
              </w:rPr>
            </w:pPr>
            <w:r w:rsidRPr="00ED062B">
              <w:rPr>
                <w:sz w:val="18"/>
                <w:szCs w:val="18"/>
                <w:lang w:val="en-US"/>
              </w:rPr>
              <w:t>Share of all Parties’ urban population</w:t>
            </w:r>
          </w:p>
        </w:tc>
        <w:tc>
          <w:tcPr>
            <w:tcW w:w="4703" w:type="dxa"/>
          </w:tcPr>
          <w:p w14:paraId="282970C3" w14:textId="01564950" w:rsidR="00ED062B" w:rsidRPr="00ED062B" w:rsidRDefault="00ED062B" w:rsidP="00ED062B">
            <w:pPr>
              <w:spacing w:line="278" w:lineRule="auto"/>
              <w:rPr>
                <w:sz w:val="18"/>
                <w:szCs w:val="18"/>
                <w:lang w:val="es-ES"/>
              </w:rPr>
            </w:pPr>
            <w:r w:rsidRPr="00ED062B">
              <w:rPr>
                <w:sz w:val="18"/>
                <w:szCs w:val="18"/>
                <w:lang w:val="es-ES"/>
              </w:rPr>
              <w:t>Porcentaje de la población urbana de todas las Partes</w:t>
            </w:r>
          </w:p>
        </w:tc>
      </w:tr>
      <w:tr w:rsidR="00ED062B" w:rsidRPr="00ED062B" w14:paraId="450EDF42" w14:textId="77777777" w:rsidTr="00ED062B">
        <w:tc>
          <w:tcPr>
            <w:tcW w:w="4617" w:type="dxa"/>
          </w:tcPr>
          <w:p w14:paraId="5A8DBC0C" w14:textId="77777777" w:rsidR="00ED062B" w:rsidRPr="00ED062B" w:rsidRDefault="00ED062B" w:rsidP="00ED062B">
            <w:pPr>
              <w:spacing w:line="278" w:lineRule="auto"/>
              <w:rPr>
                <w:sz w:val="18"/>
                <w:szCs w:val="18"/>
                <w:lang w:val="es-ES"/>
              </w:rPr>
            </w:pPr>
            <w:proofErr w:type="spellStart"/>
            <w:r w:rsidRPr="00ED062B">
              <w:rPr>
                <w:sz w:val="18"/>
                <w:szCs w:val="18"/>
                <w:lang w:val="es-ES"/>
              </w:rPr>
              <w:t>Reporting</w:t>
            </w:r>
            <w:proofErr w:type="spellEnd"/>
            <w:r w:rsidRPr="00ED062B">
              <w:rPr>
                <w:sz w:val="18"/>
                <w:szCs w:val="18"/>
                <w:lang w:val="es-ES"/>
              </w:rPr>
              <w:t xml:space="preserve"> </w:t>
            </w:r>
            <w:proofErr w:type="spellStart"/>
            <w:r w:rsidRPr="00ED062B">
              <w:rPr>
                <w:sz w:val="18"/>
                <w:szCs w:val="18"/>
                <w:lang w:val="es-ES"/>
              </w:rPr>
              <w:t>Parties</w:t>
            </w:r>
            <w:proofErr w:type="spellEnd"/>
          </w:p>
        </w:tc>
        <w:tc>
          <w:tcPr>
            <w:tcW w:w="4703" w:type="dxa"/>
          </w:tcPr>
          <w:p w14:paraId="0A73EE3B" w14:textId="6647389C" w:rsidR="00ED062B" w:rsidRPr="00ED062B" w:rsidRDefault="00ED062B" w:rsidP="00ED062B">
            <w:pPr>
              <w:spacing w:line="278" w:lineRule="auto"/>
              <w:rPr>
                <w:sz w:val="18"/>
                <w:szCs w:val="18"/>
                <w:lang w:val="es-ES"/>
              </w:rPr>
            </w:pPr>
            <w:r w:rsidRPr="00ED062B">
              <w:rPr>
                <w:sz w:val="18"/>
                <w:szCs w:val="18"/>
                <w:lang w:val="es-ES"/>
              </w:rPr>
              <w:t>Partes que presentan información</w:t>
            </w:r>
          </w:p>
        </w:tc>
      </w:tr>
      <w:tr w:rsidR="00ED062B" w:rsidRPr="00ED062B" w14:paraId="39D7486F" w14:textId="77777777" w:rsidTr="00ED062B">
        <w:tc>
          <w:tcPr>
            <w:tcW w:w="4617" w:type="dxa"/>
          </w:tcPr>
          <w:p w14:paraId="6697AF35" w14:textId="77777777" w:rsidR="00ED062B" w:rsidRPr="00ED062B" w:rsidRDefault="00ED062B" w:rsidP="00ED062B">
            <w:pPr>
              <w:spacing w:line="278" w:lineRule="auto"/>
              <w:rPr>
                <w:sz w:val="18"/>
                <w:szCs w:val="18"/>
                <w:lang w:val="es-ES"/>
              </w:rPr>
            </w:pPr>
            <w:r w:rsidRPr="00ED062B">
              <w:rPr>
                <w:sz w:val="18"/>
                <w:szCs w:val="18"/>
                <w:lang w:val="es-ES"/>
              </w:rPr>
              <w:t>Non-</w:t>
            </w:r>
            <w:proofErr w:type="spellStart"/>
            <w:r w:rsidRPr="00ED062B">
              <w:rPr>
                <w:sz w:val="18"/>
                <w:szCs w:val="18"/>
                <w:lang w:val="es-ES"/>
              </w:rPr>
              <w:t>Reporting</w:t>
            </w:r>
            <w:proofErr w:type="spellEnd"/>
            <w:r w:rsidRPr="00ED062B">
              <w:rPr>
                <w:sz w:val="18"/>
                <w:szCs w:val="18"/>
                <w:lang w:val="es-ES"/>
              </w:rPr>
              <w:t>/</w:t>
            </w:r>
            <w:proofErr w:type="spellStart"/>
            <w:r w:rsidRPr="00ED062B">
              <w:rPr>
                <w:sz w:val="18"/>
                <w:szCs w:val="18"/>
                <w:lang w:val="es-ES"/>
              </w:rPr>
              <w:t>Missing</w:t>
            </w:r>
            <w:proofErr w:type="spellEnd"/>
          </w:p>
        </w:tc>
        <w:tc>
          <w:tcPr>
            <w:tcW w:w="4703" w:type="dxa"/>
          </w:tcPr>
          <w:p w14:paraId="642961FD" w14:textId="55539B81" w:rsidR="00ED062B" w:rsidRPr="00ED062B" w:rsidRDefault="00ED062B" w:rsidP="00ED062B">
            <w:pPr>
              <w:spacing w:line="278" w:lineRule="auto"/>
              <w:rPr>
                <w:sz w:val="18"/>
                <w:szCs w:val="18"/>
                <w:lang w:val="es-ES"/>
              </w:rPr>
            </w:pPr>
            <w:r w:rsidRPr="00ED062B">
              <w:rPr>
                <w:sz w:val="18"/>
                <w:szCs w:val="18"/>
                <w:lang w:val="es-ES"/>
              </w:rPr>
              <w:t>Partes que no presentan información/faltan</w:t>
            </w:r>
          </w:p>
        </w:tc>
      </w:tr>
      <w:tr w:rsidR="00ED062B" w:rsidRPr="00ED062B" w14:paraId="5A6808CE" w14:textId="77777777" w:rsidTr="00ED062B">
        <w:tc>
          <w:tcPr>
            <w:tcW w:w="4617" w:type="dxa"/>
          </w:tcPr>
          <w:p w14:paraId="1302A092" w14:textId="77777777" w:rsidR="00ED062B" w:rsidRPr="00ED062B" w:rsidRDefault="00ED062B" w:rsidP="00ED062B">
            <w:pPr>
              <w:spacing w:line="278" w:lineRule="auto"/>
              <w:rPr>
                <w:sz w:val="18"/>
                <w:szCs w:val="18"/>
                <w:lang w:val="es-ES"/>
              </w:rPr>
            </w:pPr>
            <w:r w:rsidRPr="00ED062B">
              <w:rPr>
                <w:sz w:val="18"/>
                <w:szCs w:val="18"/>
                <w:lang w:val="es-ES"/>
              </w:rPr>
              <w:t xml:space="preserve">Party </w:t>
            </w:r>
            <w:proofErr w:type="spellStart"/>
            <w:r w:rsidRPr="00ED062B">
              <w:rPr>
                <w:sz w:val="18"/>
                <w:szCs w:val="18"/>
                <w:lang w:val="es-ES"/>
              </w:rPr>
              <w:t>count</w:t>
            </w:r>
            <w:proofErr w:type="spellEnd"/>
            <w:r w:rsidRPr="00ED062B">
              <w:rPr>
                <w:sz w:val="18"/>
                <w:szCs w:val="18"/>
                <w:lang w:val="es-ES"/>
              </w:rPr>
              <w:t>: 27</w:t>
            </w:r>
          </w:p>
        </w:tc>
        <w:tc>
          <w:tcPr>
            <w:tcW w:w="4703" w:type="dxa"/>
          </w:tcPr>
          <w:p w14:paraId="66D6B723" w14:textId="03817936" w:rsidR="00ED062B" w:rsidRPr="00ED062B" w:rsidRDefault="00ED062B" w:rsidP="00ED062B">
            <w:pPr>
              <w:spacing w:line="278" w:lineRule="auto"/>
              <w:rPr>
                <w:sz w:val="18"/>
                <w:szCs w:val="18"/>
                <w:lang w:val="es-ES"/>
              </w:rPr>
            </w:pPr>
            <w:r w:rsidRPr="00ED062B">
              <w:rPr>
                <w:sz w:val="18"/>
                <w:szCs w:val="18"/>
                <w:lang w:val="es-ES"/>
              </w:rPr>
              <w:t>Número de Partes: 27</w:t>
            </w:r>
          </w:p>
        </w:tc>
      </w:tr>
      <w:tr w:rsidR="00ED062B" w:rsidRPr="00ED062B" w14:paraId="16CCE53F" w14:textId="77777777" w:rsidTr="00ED062B">
        <w:tc>
          <w:tcPr>
            <w:tcW w:w="4617" w:type="dxa"/>
          </w:tcPr>
          <w:p w14:paraId="6426A3EF" w14:textId="77777777" w:rsidR="00ED062B" w:rsidRPr="00ED062B" w:rsidRDefault="00ED062B" w:rsidP="00ED062B">
            <w:pPr>
              <w:spacing w:line="278" w:lineRule="auto"/>
              <w:rPr>
                <w:sz w:val="18"/>
                <w:szCs w:val="18"/>
                <w:lang w:val="es-ES"/>
              </w:rPr>
            </w:pPr>
            <w:r w:rsidRPr="00ED062B">
              <w:rPr>
                <w:sz w:val="18"/>
                <w:szCs w:val="18"/>
                <w:lang w:val="es-ES"/>
              </w:rPr>
              <w:t xml:space="preserve">Party </w:t>
            </w:r>
            <w:proofErr w:type="spellStart"/>
            <w:r w:rsidRPr="00ED062B">
              <w:rPr>
                <w:sz w:val="18"/>
                <w:szCs w:val="18"/>
                <w:lang w:val="es-ES"/>
              </w:rPr>
              <w:t>count</w:t>
            </w:r>
            <w:proofErr w:type="spellEnd"/>
            <w:r w:rsidRPr="00ED062B">
              <w:rPr>
                <w:sz w:val="18"/>
                <w:szCs w:val="18"/>
                <w:lang w:val="es-ES"/>
              </w:rPr>
              <w:t xml:space="preserve"> </w:t>
            </w:r>
            <w:proofErr w:type="spellStart"/>
            <w:r w:rsidRPr="00ED062B">
              <w:rPr>
                <w:sz w:val="18"/>
                <w:szCs w:val="18"/>
                <w:lang w:val="es-ES"/>
              </w:rPr>
              <w:t>by</w:t>
            </w:r>
            <w:proofErr w:type="spellEnd"/>
            <w:r w:rsidRPr="00ED062B">
              <w:rPr>
                <w:sz w:val="18"/>
                <w:szCs w:val="18"/>
                <w:lang w:val="es-ES"/>
              </w:rPr>
              <w:t xml:space="preserve"> </w:t>
            </w:r>
            <w:proofErr w:type="spellStart"/>
            <w:r w:rsidRPr="00ED062B">
              <w:rPr>
                <w:sz w:val="18"/>
                <w:szCs w:val="18"/>
                <w:lang w:val="es-ES"/>
              </w:rPr>
              <w:t>region</w:t>
            </w:r>
            <w:proofErr w:type="spellEnd"/>
          </w:p>
        </w:tc>
        <w:tc>
          <w:tcPr>
            <w:tcW w:w="4703" w:type="dxa"/>
          </w:tcPr>
          <w:p w14:paraId="396BE8EF" w14:textId="1913BBD3" w:rsidR="00ED062B" w:rsidRPr="00ED062B" w:rsidRDefault="00ED062B" w:rsidP="00ED062B">
            <w:pPr>
              <w:spacing w:line="278" w:lineRule="auto"/>
              <w:rPr>
                <w:sz w:val="18"/>
                <w:szCs w:val="18"/>
                <w:lang w:val="es-ES"/>
              </w:rPr>
            </w:pPr>
            <w:r w:rsidRPr="00ED062B">
              <w:rPr>
                <w:sz w:val="18"/>
                <w:szCs w:val="18"/>
                <w:lang w:val="es-ES"/>
              </w:rPr>
              <w:t>Número de Partes por región</w:t>
            </w:r>
          </w:p>
        </w:tc>
      </w:tr>
      <w:tr w:rsidR="00ED062B" w:rsidRPr="00ED062B" w14:paraId="5C29B028" w14:textId="77777777" w:rsidTr="00ED062B">
        <w:tc>
          <w:tcPr>
            <w:tcW w:w="4617" w:type="dxa"/>
          </w:tcPr>
          <w:p w14:paraId="4D8360FA" w14:textId="77777777" w:rsidR="00ED062B" w:rsidRPr="00ED062B" w:rsidRDefault="00ED062B" w:rsidP="00ED062B">
            <w:pPr>
              <w:spacing w:line="278" w:lineRule="auto"/>
              <w:rPr>
                <w:sz w:val="18"/>
                <w:szCs w:val="18"/>
                <w:lang w:val="es-ES"/>
              </w:rPr>
            </w:pPr>
            <w:proofErr w:type="spellStart"/>
            <w:r w:rsidRPr="00ED062B">
              <w:rPr>
                <w:sz w:val="18"/>
                <w:szCs w:val="18"/>
                <w:lang w:val="es-ES"/>
              </w:rPr>
              <w:t>Region</w:t>
            </w:r>
            <w:proofErr w:type="spellEnd"/>
          </w:p>
        </w:tc>
        <w:tc>
          <w:tcPr>
            <w:tcW w:w="4703" w:type="dxa"/>
          </w:tcPr>
          <w:p w14:paraId="442C2E69" w14:textId="251951C4" w:rsidR="00ED062B" w:rsidRPr="00ED062B" w:rsidRDefault="00ED062B" w:rsidP="00ED062B">
            <w:pPr>
              <w:spacing w:line="278" w:lineRule="auto"/>
              <w:rPr>
                <w:sz w:val="18"/>
                <w:szCs w:val="18"/>
                <w:lang w:val="es-ES"/>
              </w:rPr>
            </w:pPr>
            <w:r w:rsidRPr="00ED062B">
              <w:rPr>
                <w:sz w:val="18"/>
                <w:szCs w:val="18"/>
                <w:lang w:val="es-ES"/>
              </w:rPr>
              <w:t>Región</w:t>
            </w:r>
          </w:p>
        </w:tc>
      </w:tr>
      <w:tr w:rsidR="00ED062B" w:rsidRPr="00ED062B" w14:paraId="7FC9C322" w14:textId="77777777" w:rsidTr="00ED062B">
        <w:tc>
          <w:tcPr>
            <w:tcW w:w="4617" w:type="dxa"/>
          </w:tcPr>
          <w:p w14:paraId="4657E452" w14:textId="77777777" w:rsidR="00ED062B" w:rsidRPr="00ED062B" w:rsidRDefault="00ED062B" w:rsidP="00ED062B">
            <w:pPr>
              <w:spacing w:line="278" w:lineRule="auto"/>
              <w:rPr>
                <w:sz w:val="18"/>
                <w:szCs w:val="18"/>
                <w:lang w:val="es-ES"/>
              </w:rPr>
            </w:pPr>
            <w:r w:rsidRPr="00ED062B">
              <w:rPr>
                <w:sz w:val="18"/>
                <w:szCs w:val="18"/>
                <w:lang w:val="es-ES"/>
              </w:rPr>
              <w:t>African States</w:t>
            </w:r>
          </w:p>
        </w:tc>
        <w:tc>
          <w:tcPr>
            <w:tcW w:w="4703" w:type="dxa"/>
          </w:tcPr>
          <w:p w14:paraId="34DEE5F2" w14:textId="576283F3" w:rsidR="00ED062B" w:rsidRPr="00ED062B" w:rsidRDefault="00ED062B" w:rsidP="00ED062B">
            <w:pPr>
              <w:spacing w:line="278" w:lineRule="auto"/>
              <w:rPr>
                <w:sz w:val="18"/>
                <w:szCs w:val="18"/>
                <w:lang w:val="es-ES"/>
              </w:rPr>
            </w:pPr>
            <w:r w:rsidRPr="00ED062B">
              <w:rPr>
                <w:sz w:val="18"/>
                <w:szCs w:val="18"/>
                <w:lang w:val="es-ES"/>
              </w:rPr>
              <w:t>Estados de África</w:t>
            </w:r>
          </w:p>
        </w:tc>
      </w:tr>
      <w:tr w:rsidR="00ED062B" w:rsidRPr="00ED062B" w14:paraId="53FA2C62" w14:textId="77777777" w:rsidTr="00ED062B">
        <w:tc>
          <w:tcPr>
            <w:tcW w:w="4617" w:type="dxa"/>
          </w:tcPr>
          <w:p w14:paraId="7A4FE283" w14:textId="77777777" w:rsidR="00ED062B" w:rsidRPr="00ED062B" w:rsidRDefault="00ED062B" w:rsidP="00ED062B">
            <w:pPr>
              <w:spacing w:line="278" w:lineRule="auto"/>
              <w:rPr>
                <w:sz w:val="18"/>
                <w:szCs w:val="18"/>
                <w:lang w:val="es-ES"/>
              </w:rPr>
            </w:pPr>
            <w:r w:rsidRPr="00ED062B">
              <w:rPr>
                <w:sz w:val="18"/>
                <w:szCs w:val="18"/>
                <w:lang w:val="es-ES"/>
              </w:rPr>
              <w:t>Asia-Pacific States</w:t>
            </w:r>
          </w:p>
        </w:tc>
        <w:tc>
          <w:tcPr>
            <w:tcW w:w="4703" w:type="dxa"/>
          </w:tcPr>
          <w:p w14:paraId="65B1C2D5" w14:textId="796CE082" w:rsidR="00ED062B" w:rsidRPr="00ED062B" w:rsidRDefault="00ED062B" w:rsidP="00ED062B">
            <w:pPr>
              <w:spacing w:line="278" w:lineRule="auto"/>
              <w:rPr>
                <w:sz w:val="18"/>
                <w:szCs w:val="18"/>
                <w:lang w:val="es-ES"/>
              </w:rPr>
            </w:pPr>
            <w:r w:rsidRPr="00ED062B">
              <w:rPr>
                <w:sz w:val="18"/>
                <w:szCs w:val="18"/>
                <w:lang w:val="es-ES"/>
              </w:rPr>
              <w:t>Estados de Asia y el Pacífico</w:t>
            </w:r>
          </w:p>
        </w:tc>
      </w:tr>
      <w:tr w:rsidR="00ED062B" w:rsidRPr="00ED062B" w14:paraId="0E9BC3CF" w14:textId="77777777" w:rsidTr="00ED062B">
        <w:tc>
          <w:tcPr>
            <w:tcW w:w="4617" w:type="dxa"/>
          </w:tcPr>
          <w:p w14:paraId="3F858A63" w14:textId="77777777" w:rsidR="00ED062B" w:rsidRPr="00ED062B" w:rsidRDefault="00ED062B" w:rsidP="00ED062B">
            <w:pPr>
              <w:spacing w:line="278" w:lineRule="auto"/>
              <w:rPr>
                <w:sz w:val="18"/>
                <w:szCs w:val="18"/>
                <w:lang w:val="en-US"/>
              </w:rPr>
            </w:pPr>
            <w:r w:rsidRPr="00ED062B">
              <w:rPr>
                <w:sz w:val="18"/>
                <w:szCs w:val="18"/>
                <w:lang w:val="en-US"/>
              </w:rPr>
              <w:t>Latin American and Caribbean States</w:t>
            </w:r>
          </w:p>
        </w:tc>
        <w:tc>
          <w:tcPr>
            <w:tcW w:w="4703" w:type="dxa"/>
          </w:tcPr>
          <w:p w14:paraId="011AE032" w14:textId="60EDD642" w:rsidR="00ED062B" w:rsidRPr="00ED062B" w:rsidRDefault="00ED062B" w:rsidP="00ED062B">
            <w:pPr>
              <w:spacing w:line="278" w:lineRule="auto"/>
              <w:rPr>
                <w:sz w:val="18"/>
                <w:szCs w:val="18"/>
                <w:lang w:val="es-ES"/>
              </w:rPr>
            </w:pPr>
            <w:r w:rsidRPr="00ED062B">
              <w:rPr>
                <w:sz w:val="18"/>
                <w:szCs w:val="18"/>
                <w:lang w:val="es-ES"/>
              </w:rPr>
              <w:t>Estados de América Latina y el Caribe</w:t>
            </w:r>
          </w:p>
        </w:tc>
      </w:tr>
      <w:tr w:rsidR="00ED062B" w:rsidRPr="00ED062B" w14:paraId="3B920656" w14:textId="77777777" w:rsidTr="00ED062B">
        <w:tc>
          <w:tcPr>
            <w:tcW w:w="4617" w:type="dxa"/>
          </w:tcPr>
          <w:p w14:paraId="08B39273" w14:textId="77777777" w:rsidR="00ED062B" w:rsidRPr="00ED062B" w:rsidRDefault="00ED062B" w:rsidP="00ED062B">
            <w:pPr>
              <w:spacing w:line="278" w:lineRule="auto"/>
              <w:rPr>
                <w:sz w:val="18"/>
                <w:szCs w:val="18"/>
                <w:lang w:val="es-ES"/>
              </w:rPr>
            </w:pPr>
            <w:r w:rsidRPr="00ED062B">
              <w:rPr>
                <w:sz w:val="18"/>
                <w:szCs w:val="18"/>
                <w:lang w:val="es-ES"/>
              </w:rPr>
              <w:t xml:space="preserve"> Eastern European States</w:t>
            </w:r>
          </w:p>
        </w:tc>
        <w:tc>
          <w:tcPr>
            <w:tcW w:w="4703" w:type="dxa"/>
          </w:tcPr>
          <w:p w14:paraId="6C060CBB" w14:textId="1F4185B5" w:rsidR="00ED062B" w:rsidRPr="00ED062B" w:rsidRDefault="00ED062B" w:rsidP="00ED062B">
            <w:pPr>
              <w:spacing w:line="278" w:lineRule="auto"/>
              <w:rPr>
                <w:sz w:val="18"/>
                <w:szCs w:val="18"/>
                <w:lang w:val="es-ES"/>
              </w:rPr>
            </w:pPr>
            <w:r w:rsidRPr="00ED062B">
              <w:rPr>
                <w:sz w:val="18"/>
                <w:szCs w:val="18"/>
                <w:lang w:val="es-ES"/>
              </w:rPr>
              <w:t>Estados de Europa Oriental</w:t>
            </w:r>
          </w:p>
        </w:tc>
      </w:tr>
      <w:tr w:rsidR="00ED062B" w:rsidRPr="00ED062B" w14:paraId="623A9AEF" w14:textId="77777777" w:rsidTr="00ED062B">
        <w:tc>
          <w:tcPr>
            <w:tcW w:w="4617" w:type="dxa"/>
          </w:tcPr>
          <w:p w14:paraId="6C09E65C" w14:textId="77777777" w:rsidR="00ED062B" w:rsidRPr="00ED062B" w:rsidRDefault="00ED062B" w:rsidP="00ED062B">
            <w:pPr>
              <w:spacing w:line="278" w:lineRule="auto"/>
              <w:rPr>
                <w:sz w:val="18"/>
                <w:szCs w:val="18"/>
                <w:lang w:val="en-US"/>
              </w:rPr>
            </w:pPr>
            <w:r w:rsidRPr="00ED062B">
              <w:rPr>
                <w:sz w:val="18"/>
                <w:szCs w:val="18"/>
                <w:lang w:val="en-US"/>
              </w:rPr>
              <w:t>Western European and other States</w:t>
            </w:r>
          </w:p>
        </w:tc>
        <w:tc>
          <w:tcPr>
            <w:tcW w:w="4703" w:type="dxa"/>
          </w:tcPr>
          <w:p w14:paraId="52D73E73" w14:textId="2FB34187" w:rsidR="00ED062B" w:rsidRPr="00ED062B" w:rsidRDefault="00ED062B" w:rsidP="00ED062B">
            <w:pPr>
              <w:spacing w:line="278" w:lineRule="auto"/>
              <w:rPr>
                <w:sz w:val="18"/>
                <w:szCs w:val="18"/>
                <w:lang w:val="es-ES"/>
              </w:rPr>
            </w:pPr>
            <w:r w:rsidRPr="00ED062B">
              <w:rPr>
                <w:sz w:val="18"/>
                <w:szCs w:val="18"/>
                <w:lang w:val="es-ES"/>
              </w:rPr>
              <w:t>Estados de Europa Occidental y otros Estados</w:t>
            </w:r>
          </w:p>
        </w:tc>
      </w:tr>
    </w:tbl>
    <w:p w14:paraId="1925A02A" w14:textId="77777777" w:rsidR="00ED062B" w:rsidRPr="005E3D50" w:rsidRDefault="00ED062B" w:rsidP="009713BF">
      <w:pPr>
        <w:spacing w:after="200" w:line="240" w:lineRule="auto"/>
        <w:rPr>
          <w:rFonts w:ascii="Aptos" w:eastAsiaTheme="minorEastAsia" w:hAnsi="Aptos"/>
          <w:color w:val="0E2841" w:themeColor="text2"/>
          <w:kern w:val="0"/>
          <w:sz w:val="18"/>
          <w:szCs w:val="18"/>
          <w:lang w:val="es-ES" w:eastAsia="ja-JP"/>
          <w14:ligatures w14:val="none"/>
        </w:rPr>
      </w:pPr>
    </w:p>
    <w:p w14:paraId="4B4ED427" w14:textId="77777777" w:rsidR="009713BF" w:rsidRPr="005E3D50" w:rsidRDefault="009713BF" w:rsidP="009713BF">
      <w:pPr>
        <w:rPr>
          <w:lang w:val="es-ES" w:eastAsia="ja-JP"/>
        </w:rPr>
      </w:pPr>
    </w:p>
    <w:p w14:paraId="2A2DCB97" w14:textId="77777777" w:rsidR="009713BF" w:rsidRPr="005E3D50" w:rsidRDefault="009713BF" w:rsidP="009713BF">
      <w:pPr>
        <w:keepNext/>
        <w:keepLines/>
        <w:rPr>
          <w:sz w:val="20"/>
          <w:szCs w:val="20"/>
          <w:lang w:val="es-ES"/>
        </w:rPr>
      </w:pPr>
      <w:r w:rsidRPr="005E3D50">
        <w:rPr>
          <w:sz w:val="20"/>
          <w:lang w:val="es-ES"/>
        </w:rPr>
        <w:lastRenderedPageBreak/>
        <w:t>Figura 54</w:t>
      </w:r>
    </w:p>
    <w:p w14:paraId="39E81727" w14:textId="77777777" w:rsidR="009713BF" w:rsidRPr="005E3D50" w:rsidRDefault="009713BF" w:rsidP="009713BF">
      <w:pPr>
        <w:keepNext/>
        <w:keepLines/>
        <w:rPr>
          <w:b/>
          <w:bCs/>
          <w:sz w:val="20"/>
          <w:szCs w:val="20"/>
          <w:lang w:val="es-ES"/>
        </w:rPr>
      </w:pPr>
      <w:r w:rsidRPr="005E3D50">
        <w:rPr>
          <w:rFonts w:ascii="Aptos" w:hAnsi="Aptos"/>
          <w:b/>
          <w:sz w:val="20"/>
          <w:lang w:val="es-ES"/>
        </w:rPr>
        <w:t>Indicador binario 12.b: número de países que disponen de una planificación urbana que tiene en cuenta la diversidad biológica y se refiere a espacios urbanos verdes o azules</w:t>
      </w:r>
    </w:p>
    <w:p w14:paraId="17CD0EF5" w14:textId="77777777" w:rsidR="009713BF" w:rsidRPr="005E3D50" w:rsidRDefault="009713BF" w:rsidP="009713BF">
      <w:pPr>
        <w:rPr>
          <w:sz w:val="20"/>
          <w:szCs w:val="20"/>
          <w:lang w:val="es-ES" w:eastAsia="ja-JP"/>
        </w:rPr>
      </w:pPr>
    </w:p>
    <w:p w14:paraId="30C3940A"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737F6756" wp14:editId="79AC4B25">
            <wp:extent cx="5943600" cy="2264410"/>
            <wp:effectExtent l="0" t="0" r="0" b="0"/>
            <wp:docPr id="625931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1439" name="Picture 625931439"/>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43"/>
    <w:p w14:paraId="5A12FE9A"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25BE31EA" w14:textId="77777777" w:rsidR="009713BF" w:rsidRPr="005E3D50" w:rsidRDefault="009713BF" w:rsidP="009713BF">
      <w:pPr>
        <w:rPr>
          <w:lang w:val="es-ES"/>
        </w:rPr>
      </w:pPr>
      <w:r w:rsidRPr="005E3D50">
        <w:rPr>
          <w:sz w:val="18"/>
          <w:vertAlign w:val="superscript"/>
          <w:lang w:val="es-ES"/>
        </w:rPr>
        <w:t xml:space="preserve">a </w:t>
      </w:r>
      <w:r w:rsidRPr="005E3D50">
        <w:rPr>
          <w:sz w:val="18"/>
          <w:lang w:val="es-ES"/>
        </w:rPr>
        <w:t xml:space="preserve">La metodología empleada para calcular los niveles de puntuación para cada indicador binario, así como las preguntas incluidas para cada indicador, figuran en el documento </w:t>
      </w:r>
      <w:hyperlink r:id="rId140" w:history="1">
        <w:r w:rsidRPr="005E3D50">
          <w:rPr>
            <w:color w:val="000000" w:themeColor="text1"/>
            <w:sz w:val="18"/>
            <w:lang w:val="es-ES"/>
          </w:rPr>
          <w:t>CBD/COP/16/INF/3/Rev.1</w:t>
        </w:r>
      </w:hyperlink>
      <w:r w:rsidRPr="005E3D50">
        <w:rPr>
          <w:sz w:val="18"/>
          <w:lang w:val="es-ES"/>
        </w:rPr>
        <w:t>.</w:t>
      </w:r>
    </w:p>
    <w:tbl>
      <w:tblPr>
        <w:tblStyle w:val="TableGrid"/>
        <w:tblW w:w="9390" w:type="dxa"/>
        <w:tblLook w:val="04A0" w:firstRow="1" w:lastRow="0" w:firstColumn="1" w:lastColumn="0" w:noHBand="0" w:noVBand="1"/>
      </w:tblPr>
      <w:tblGrid>
        <w:gridCol w:w="5304"/>
        <w:gridCol w:w="4086"/>
      </w:tblGrid>
      <w:tr w:rsidR="00347F6E" w:rsidRPr="00347F6E" w14:paraId="104DECA1" w14:textId="77777777" w:rsidTr="00347F6E">
        <w:tc>
          <w:tcPr>
            <w:tcW w:w="9390" w:type="dxa"/>
            <w:gridSpan w:val="2"/>
          </w:tcPr>
          <w:p w14:paraId="1C2B7E50" w14:textId="486BA3D2" w:rsidR="00347F6E" w:rsidRPr="00347F6E" w:rsidRDefault="00347F6E" w:rsidP="00347F6E">
            <w:pPr>
              <w:spacing w:line="278" w:lineRule="auto"/>
              <w:rPr>
                <w:sz w:val="18"/>
                <w:szCs w:val="18"/>
                <w:lang w:val="es-ES"/>
              </w:rPr>
            </w:pPr>
            <w:r w:rsidRPr="00347F6E">
              <w:rPr>
                <w:sz w:val="18"/>
                <w:szCs w:val="18"/>
                <w:lang w:val="es-ES"/>
              </w:rPr>
              <w:t>Figura 54</w:t>
            </w:r>
          </w:p>
        </w:tc>
      </w:tr>
      <w:tr w:rsidR="00347F6E" w:rsidRPr="00347F6E" w14:paraId="674570A9" w14:textId="77777777" w:rsidTr="00347F6E">
        <w:tc>
          <w:tcPr>
            <w:tcW w:w="5304" w:type="dxa"/>
          </w:tcPr>
          <w:p w14:paraId="187B84F4" w14:textId="04290137" w:rsidR="00347F6E" w:rsidRPr="00347F6E" w:rsidRDefault="00347F6E" w:rsidP="00347F6E">
            <w:pPr>
              <w:spacing w:line="278" w:lineRule="auto"/>
              <w:rPr>
                <w:sz w:val="18"/>
                <w:szCs w:val="18"/>
                <w:lang w:val="es-ES"/>
              </w:rPr>
            </w:pPr>
            <w:r w:rsidRPr="00347F6E">
              <w:rPr>
                <w:sz w:val="18"/>
                <w:szCs w:val="18"/>
                <w:lang w:val="es-ES"/>
              </w:rPr>
              <w:t>English</w:t>
            </w:r>
          </w:p>
        </w:tc>
        <w:tc>
          <w:tcPr>
            <w:tcW w:w="4085" w:type="dxa"/>
          </w:tcPr>
          <w:p w14:paraId="55A83B6A" w14:textId="5404F92B" w:rsidR="00347F6E" w:rsidRPr="00347F6E" w:rsidRDefault="007371B4" w:rsidP="00347F6E">
            <w:pPr>
              <w:spacing w:line="278" w:lineRule="auto"/>
              <w:rPr>
                <w:sz w:val="18"/>
                <w:szCs w:val="18"/>
                <w:lang w:val="es-ES"/>
              </w:rPr>
            </w:pPr>
            <w:r>
              <w:rPr>
                <w:sz w:val="18"/>
                <w:szCs w:val="18"/>
                <w:lang w:val="es-ES"/>
              </w:rPr>
              <w:t>Español</w:t>
            </w:r>
          </w:p>
        </w:tc>
      </w:tr>
      <w:tr w:rsidR="00347F6E" w:rsidRPr="00347F6E" w14:paraId="4983FD5D" w14:textId="77777777" w:rsidTr="00347F6E">
        <w:tc>
          <w:tcPr>
            <w:tcW w:w="5304" w:type="dxa"/>
          </w:tcPr>
          <w:p w14:paraId="6DFFE9F8" w14:textId="77777777" w:rsidR="00347F6E" w:rsidRPr="00347F6E" w:rsidRDefault="00347F6E" w:rsidP="00347F6E">
            <w:pPr>
              <w:spacing w:line="278" w:lineRule="auto"/>
              <w:rPr>
                <w:sz w:val="18"/>
                <w:szCs w:val="18"/>
                <w:lang w:val="es-ES"/>
              </w:rPr>
            </w:pPr>
            <w:proofErr w:type="spellStart"/>
            <w:r w:rsidRPr="00347F6E">
              <w:rPr>
                <w:sz w:val="18"/>
                <w:szCs w:val="18"/>
                <w:lang w:val="es-ES"/>
              </w:rPr>
              <w:t>Answers</w:t>
            </w:r>
            <w:proofErr w:type="spellEnd"/>
            <w:r w:rsidRPr="00347F6E">
              <w:rPr>
                <w:sz w:val="18"/>
                <w:szCs w:val="18"/>
                <w:lang w:val="es-ES"/>
              </w:rPr>
              <w:t xml:space="preserve"> (</w:t>
            </w:r>
            <w:proofErr w:type="spellStart"/>
            <w:r w:rsidRPr="00347F6E">
              <w:rPr>
                <w:sz w:val="18"/>
                <w:szCs w:val="18"/>
                <w:lang w:val="es-ES"/>
              </w:rPr>
              <w:t>percentage</w:t>
            </w:r>
            <w:proofErr w:type="spellEnd"/>
            <w:r w:rsidRPr="00347F6E">
              <w:rPr>
                <w:sz w:val="18"/>
                <w:szCs w:val="18"/>
                <w:lang w:val="es-ES"/>
              </w:rPr>
              <w:t>)</w:t>
            </w:r>
          </w:p>
        </w:tc>
        <w:tc>
          <w:tcPr>
            <w:tcW w:w="4085" w:type="dxa"/>
          </w:tcPr>
          <w:p w14:paraId="0DBFC27D" w14:textId="58DA6FCC" w:rsidR="00347F6E" w:rsidRPr="00347F6E" w:rsidRDefault="00347F6E" w:rsidP="00347F6E">
            <w:pPr>
              <w:spacing w:line="278" w:lineRule="auto"/>
              <w:rPr>
                <w:sz w:val="18"/>
                <w:szCs w:val="18"/>
                <w:lang w:val="es-ES"/>
              </w:rPr>
            </w:pPr>
            <w:r w:rsidRPr="00347F6E">
              <w:rPr>
                <w:sz w:val="18"/>
                <w:szCs w:val="18"/>
                <w:lang w:val="es-ES"/>
              </w:rPr>
              <w:t>Respuestas (porcentaje)</w:t>
            </w:r>
          </w:p>
        </w:tc>
      </w:tr>
      <w:tr w:rsidR="00347F6E" w:rsidRPr="00347F6E" w14:paraId="3A65ACBE" w14:textId="77777777" w:rsidTr="00347F6E">
        <w:tc>
          <w:tcPr>
            <w:tcW w:w="5304" w:type="dxa"/>
          </w:tcPr>
          <w:p w14:paraId="679BAC41" w14:textId="77777777" w:rsidR="00347F6E" w:rsidRPr="00347F6E" w:rsidRDefault="00347F6E" w:rsidP="00347F6E">
            <w:pPr>
              <w:spacing w:line="278" w:lineRule="auto"/>
              <w:rPr>
                <w:sz w:val="18"/>
                <w:szCs w:val="18"/>
                <w:lang w:val="es-ES"/>
              </w:rPr>
            </w:pPr>
            <w:r w:rsidRPr="00347F6E">
              <w:rPr>
                <w:sz w:val="18"/>
                <w:szCs w:val="18"/>
                <w:lang w:val="es-ES"/>
              </w:rPr>
              <w:t>Score Level</w:t>
            </w:r>
          </w:p>
        </w:tc>
        <w:tc>
          <w:tcPr>
            <w:tcW w:w="4085" w:type="dxa"/>
          </w:tcPr>
          <w:p w14:paraId="5A2C20CA" w14:textId="4EFFD880" w:rsidR="00347F6E" w:rsidRPr="00347F6E" w:rsidRDefault="00347F6E" w:rsidP="00347F6E">
            <w:pPr>
              <w:spacing w:line="278" w:lineRule="auto"/>
              <w:rPr>
                <w:sz w:val="18"/>
                <w:szCs w:val="18"/>
                <w:lang w:val="es-ES"/>
              </w:rPr>
            </w:pPr>
            <w:r w:rsidRPr="00347F6E">
              <w:rPr>
                <w:sz w:val="18"/>
                <w:szCs w:val="18"/>
                <w:lang w:val="es-ES"/>
              </w:rPr>
              <w:t>Nivel de puntuación</w:t>
            </w:r>
          </w:p>
        </w:tc>
      </w:tr>
      <w:tr w:rsidR="00347F6E" w:rsidRPr="00347F6E" w14:paraId="743BC1F1" w14:textId="77777777" w:rsidTr="00347F6E">
        <w:tc>
          <w:tcPr>
            <w:tcW w:w="5304" w:type="dxa"/>
          </w:tcPr>
          <w:p w14:paraId="69A0CA11" w14:textId="77777777" w:rsidR="00347F6E" w:rsidRPr="00347F6E" w:rsidRDefault="00347F6E" w:rsidP="00347F6E">
            <w:pPr>
              <w:spacing w:line="278" w:lineRule="auto"/>
              <w:rPr>
                <w:sz w:val="18"/>
                <w:szCs w:val="18"/>
                <w:lang w:val="es-ES"/>
              </w:rPr>
            </w:pPr>
            <w:r w:rsidRPr="00347F6E">
              <w:rPr>
                <w:sz w:val="18"/>
                <w:szCs w:val="18"/>
                <w:lang w:val="es-ES"/>
              </w:rPr>
              <w:t xml:space="preserve">Party </w:t>
            </w:r>
            <w:proofErr w:type="spellStart"/>
            <w:r w:rsidRPr="00347F6E">
              <w:rPr>
                <w:sz w:val="18"/>
                <w:szCs w:val="18"/>
                <w:lang w:val="es-ES"/>
              </w:rPr>
              <w:t>count</w:t>
            </w:r>
            <w:proofErr w:type="spellEnd"/>
            <w:r w:rsidRPr="00347F6E">
              <w:rPr>
                <w:sz w:val="18"/>
                <w:szCs w:val="18"/>
                <w:lang w:val="es-ES"/>
              </w:rPr>
              <w:t>: 127</w:t>
            </w:r>
          </w:p>
        </w:tc>
        <w:tc>
          <w:tcPr>
            <w:tcW w:w="4085" w:type="dxa"/>
          </w:tcPr>
          <w:p w14:paraId="5874CE3C" w14:textId="482175D9" w:rsidR="00347F6E" w:rsidRPr="00347F6E" w:rsidRDefault="00347F6E" w:rsidP="00347F6E">
            <w:pPr>
              <w:spacing w:line="278" w:lineRule="auto"/>
              <w:rPr>
                <w:sz w:val="18"/>
                <w:szCs w:val="18"/>
                <w:lang w:val="es-ES"/>
              </w:rPr>
            </w:pPr>
            <w:r w:rsidRPr="00347F6E">
              <w:rPr>
                <w:sz w:val="18"/>
                <w:szCs w:val="18"/>
                <w:lang w:val="es-ES"/>
              </w:rPr>
              <w:t>Número de Partes: 127</w:t>
            </w:r>
          </w:p>
        </w:tc>
      </w:tr>
      <w:tr w:rsidR="00347F6E" w:rsidRPr="00347F6E" w14:paraId="79D518B3" w14:textId="77777777" w:rsidTr="00347F6E">
        <w:tc>
          <w:tcPr>
            <w:tcW w:w="5304" w:type="dxa"/>
          </w:tcPr>
          <w:p w14:paraId="338C1D75" w14:textId="77777777" w:rsidR="00347F6E" w:rsidRPr="00347F6E" w:rsidRDefault="00347F6E" w:rsidP="00347F6E">
            <w:pPr>
              <w:spacing w:line="278" w:lineRule="auto"/>
              <w:rPr>
                <w:sz w:val="18"/>
                <w:szCs w:val="18"/>
                <w:lang w:val="es-ES"/>
              </w:rPr>
            </w:pPr>
            <w:proofErr w:type="spellStart"/>
            <w:r w:rsidRPr="00347F6E">
              <w:rPr>
                <w:sz w:val="18"/>
                <w:szCs w:val="18"/>
                <w:lang w:val="es-ES"/>
              </w:rPr>
              <w:t>Region</w:t>
            </w:r>
            <w:proofErr w:type="spellEnd"/>
          </w:p>
        </w:tc>
        <w:tc>
          <w:tcPr>
            <w:tcW w:w="4085" w:type="dxa"/>
          </w:tcPr>
          <w:p w14:paraId="2152E25B" w14:textId="46B2ED62" w:rsidR="00347F6E" w:rsidRPr="00347F6E" w:rsidRDefault="00347F6E" w:rsidP="00347F6E">
            <w:pPr>
              <w:spacing w:line="278" w:lineRule="auto"/>
              <w:rPr>
                <w:sz w:val="18"/>
                <w:szCs w:val="18"/>
                <w:lang w:val="es-ES"/>
              </w:rPr>
            </w:pPr>
            <w:r w:rsidRPr="00347F6E">
              <w:rPr>
                <w:sz w:val="18"/>
                <w:szCs w:val="18"/>
                <w:lang w:val="es-ES"/>
              </w:rPr>
              <w:t>Región</w:t>
            </w:r>
          </w:p>
        </w:tc>
      </w:tr>
      <w:tr w:rsidR="00347F6E" w:rsidRPr="00347F6E" w14:paraId="1C057627" w14:textId="77777777" w:rsidTr="00347F6E">
        <w:tc>
          <w:tcPr>
            <w:tcW w:w="5304" w:type="dxa"/>
          </w:tcPr>
          <w:p w14:paraId="7F217173" w14:textId="77777777" w:rsidR="00347F6E" w:rsidRPr="00347F6E" w:rsidRDefault="00347F6E" w:rsidP="00347F6E">
            <w:pPr>
              <w:spacing w:line="278" w:lineRule="auto"/>
              <w:rPr>
                <w:sz w:val="18"/>
                <w:szCs w:val="18"/>
                <w:lang w:val="es-ES"/>
              </w:rPr>
            </w:pPr>
            <w:r w:rsidRPr="00347F6E">
              <w:rPr>
                <w:sz w:val="18"/>
                <w:szCs w:val="18"/>
                <w:lang w:val="es-ES"/>
              </w:rPr>
              <w:t>African States</w:t>
            </w:r>
          </w:p>
        </w:tc>
        <w:tc>
          <w:tcPr>
            <w:tcW w:w="4085" w:type="dxa"/>
          </w:tcPr>
          <w:p w14:paraId="410A54AB" w14:textId="5949A37D" w:rsidR="00347F6E" w:rsidRPr="00347F6E" w:rsidRDefault="00347F6E" w:rsidP="00347F6E">
            <w:pPr>
              <w:spacing w:line="278" w:lineRule="auto"/>
              <w:rPr>
                <w:sz w:val="18"/>
                <w:szCs w:val="18"/>
                <w:lang w:val="es-ES"/>
              </w:rPr>
            </w:pPr>
            <w:r w:rsidRPr="00347F6E">
              <w:rPr>
                <w:sz w:val="18"/>
                <w:szCs w:val="18"/>
                <w:lang w:val="es-ES"/>
              </w:rPr>
              <w:t>Estados de África</w:t>
            </w:r>
          </w:p>
        </w:tc>
      </w:tr>
      <w:tr w:rsidR="00347F6E" w:rsidRPr="00347F6E" w14:paraId="1C0BF9C9" w14:textId="77777777" w:rsidTr="00347F6E">
        <w:tc>
          <w:tcPr>
            <w:tcW w:w="5304" w:type="dxa"/>
          </w:tcPr>
          <w:p w14:paraId="1892816B" w14:textId="77777777" w:rsidR="00347F6E" w:rsidRPr="00347F6E" w:rsidRDefault="00347F6E" w:rsidP="00347F6E">
            <w:pPr>
              <w:spacing w:line="278" w:lineRule="auto"/>
              <w:rPr>
                <w:sz w:val="18"/>
                <w:szCs w:val="18"/>
                <w:lang w:val="es-ES"/>
              </w:rPr>
            </w:pPr>
            <w:r w:rsidRPr="00347F6E">
              <w:rPr>
                <w:sz w:val="18"/>
                <w:szCs w:val="18"/>
                <w:lang w:val="es-ES"/>
              </w:rPr>
              <w:t>Asia-Pacific States</w:t>
            </w:r>
          </w:p>
        </w:tc>
        <w:tc>
          <w:tcPr>
            <w:tcW w:w="4085" w:type="dxa"/>
          </w:tcPr>
          <w:p w14:paraId="477B9F91" w14:textId="7911D8E9" w:rsidR="00347F6E" w:rsidRPr="00347F6E" w:rsidRDefault="00347F6E" w:rsidP="00347F6E">
            <w:pPr>
              <w:spacing w:line="278" w:lineRule="auto"/>
              <w:rPr>
                <w:sz w:val="18"/>
                <w:szCs w:val="18"/>
                <w:lang w:val="es-ES"/>
              </w:rPr>
            </w:pPr>
            <w:r w:rsidRPr="00347F6E">
              <w:rPr>
                <w:sz w:val="18"/>
                <w:szCs w:val="18"/>
                <w:lang w:val="es-ES"/>
              </w:rPr>
              <w:t>Estados de Asia y el Pacífico</w:t>
            </w:r>
          </w:p>
        </w:tc>
      </w:tr>
      <w:tr w:rsidR="00347F6E" w:rsidRPr="00347F6E" w14:paraId="46B8A324" w14:textId="77777777" w:rsidTr="00347F6E">
        <w:tc>
          <w:tcPr>
            <w:tcW w:w="5304" w:type="dxa"/>
          </w:tcPr>
          <w:p w14:paraId="127A5E80" w14:textId="77777777" w:rsidR="00347F6E" w:rsidRPr="00347F6E" w:rsidRDefault="00347F6E" w:rsidP="00347F6E">
            <w:pPr>
              <w:spacing w:line="278" w:lineRule="auto"/>
              <w:rPr>
                <w:sz w:val="18"/>
                <w:szCs w:val="18"/>
                <w:lang w:val="en-US"/>
              </w:rPr>
            </w:pPr>
            <w:r w:rsidRPr="00347F6E">
              <w:rPr>
                <w:sz w:val="18"/>
                <w:szCs w:val="18"/>
                <w:lang w:val="en-US"/>
              </w:rPr>
              <w:t>Latin American and Caribbean States</w:t>
            </w:r>
          </w:p>
        </w:tc>
        <w:tc>
          <w:tcPr>
            <w:tcW w:w="4085" w:type="dxa"/>
          </w:tcPr>
          <w:p w14:paraId="7B881D1A" w14:textId="3CBB4F11" w:rsidR="00347F6E" w:rsidRPr="00347F6E" w:rsidRDefault="00347F6E" w:rsidP="00347F6E">
            <w:pPr>
              <w:spacing w:line="278" w:lineRule="auto"/>
              <w:rPr>
                <w:sz w:val="18"/>
                <w:szCs w:val="18"/>
                <w:lang w:val="es-ES"/>
              </w:rPr>
            </w:pPr>
            <w:r w:rsidRPr="00347F6E">
              <w:rPr>
                <w:sz w:val="18"/>
                <w:szCs w:val="18"/>
                <w:lang w:val="es-ES"/>
              </w:rPr>
              <w:t>Estados de América Latina y el Caribe</w:t>
            </w:r>
          </w:p>
        </w:tc>
      </w:tr>
      <w:tr w:rsidR="00347F6E" w:rsidRPr="00347F6E" w14:paraId="06F00703" w14:textId="77777777" w:rsidTr="00347F6E">
        <w:tc>
          <w:tcPr>
            <w:tcW w:w="5304" w:type="dxa"/>
          </w:tcPr>
          <w:p w14:paraId="34577B2A" w14:textId="77777777" w:rsidR="00347F6E" w:rsidRPr="00347F6E" w:rsidRDefault="00347F6E" w:rsidP="00347F6E">
            <w:pPr>
              <w:spacing w:line="278" w:lineRule="auto"/>
              <w:rPr>
                <w:sz w:val="18"/>
                <w:szCs w:val="18"/>
                <w:lang w:val="es-ES"/>
              </w:rPr>
            </w:pPr>
            <w:r w:rsidRPr="00347F6E">
              <w:rPr>
                <w:sz w:val="18"/>
                <w:szCs w:val="18"/>
                <w:lang w:val="es-ES"/>
              </w:rPr>
              <w:t xml:space="preserve"> Eastern European States</w:t>
            </w:r>
          </w:p>
        </w:tc>
        <w:tc>
          <w:tcPr>
            <w:tcW w:w="4085" w:type="dxa"/>
          </w:tcPr>
          <w:p w14:paraId="1B1CC0FE" w14:textId="78D512B8" w:rsidR="00347F6E" w:rsidRPr="00347F6E" w:rsidRDefault="00347F6E" w:rsidP="00347F6E">
            <w:pPr>
              <w:spacing w:line="278" w:lineRule="auto"/>
              <w:rPr>
                <w:sz w:val="18"/>
                <w:szCs w:val="18"/>
                <w:lang w:val="es-ES"/>
              </w:rPr>
            </w:pPr>
            <w:r w:rsidRPr="00347F6E">
              <w:rPr>
                <w:sz w:val="18"/>
                <w:szCs w:val="18"/>
                <w:lang w:val="es-ES"/>
              </w:rPr>
              <w:t>Estados de Europa Oriental</w:t>
            </w:r>
          </w:p>
        </w:tc>
      </w:tr>
      <w:tr w:rsidR="00347F6E" w:rsidRPr="00347F6E" w14:paraId="5A855A3E" w14:textId="77777777" w:rsidTr="00347F6E">
        <w:tc>
          <w:tcPr>
            <w:tcW w:w="5304" w:type="dxa"/>
          </w:tcPr>
          <w:p w14:paraId="4149A74D" w14:textId="77777777" w:rsidR="00347F6E" w:rsidRPr="00347F6E" w:rsidRDefault="00347F6E" w:rsidP="00347F6E">
            <w:pPr>
              <w:spacing w:line="278" w:lineRule="auto"/>
              <w:rPr>
                <w:sz w:val="18"/>
                <w:szCs w:val="18"/>
                <w:lang w:val="en-US"/>
              </w:rPr>
            </w:pPr>
            <w:r w:rsidRPr="00347F6E">
              <w:rPr>
                <w:sz w:val="18"/>
                <w:szCs w:val="18"/>
                <w:lang w:val="en-US"/>
              </w:rPr>
              <w:t>Western European and other States</w:t>
            </w:r>
          </w:p>
        </w:tc>
        <w:tc>
          <w:tcPr>
            <w:tcW w:w="4085" w:type="dxa"/>
          </w:tcPr>
          <w:p w14:paraId="41A40B11" w14:textId="213C0AFE" w:rsidR="00347F6E" w:rsidRPr="00347F6E" w:rsidRDefault="00347F6E" w:rsidP="00347F6E">
            <w:pPr>
              <w:spacing w:line="278" w:lineRule="auto"/>
              <w:rPr>
                <w:sz w:val="18"/>
                <w:szCs w:val="18"/>
                <w:lang w:val="es-ES"/>
              </w:rPr>
            </w:pPr>
            <w:r w:rsidRPr="00347F6E">
              <w:rPr>
                <w:sz w:val="18"/>
                <w:szCs w:val="18"/>
                <w:lang w:val="es-ES"/>
              </w:rPr>
              <w:t>Estados de Europa Occidental y otros Estados</w:t>
            </w:r>
          </w:p>
        </w:tc>
      </w:tr>
    </w:tbl>
    <w:p w14:paraId="0C8D9AEE"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2F7D436D" w14:textId="77777777" w:rsidR="009713BF" w:rsidRPr="005E3D50" w:rsidRDefault="009713BF" w:rsidP="009713BF">
      <w:pPr>
        <w:rPr>
          <w:lang w:val="es-ES" w:eastAsia="ja-JP"/>
        </w:rPr>
      </w:pPr>
    </w:p>
    <w:p w14:paraId="73907174" w14:textId="77777777" w:rsidR="009713BF" w:rsidRPr="005E3D50" w:rsidRDefault="009713BF" w:rsidP="009713BF">
      <w:pPr>
        <w:rPr>
          <w:sz w:val="20"/>
          <w:szCs w:val="20"/>
          <w:lang w:val="es-ES"/>
        </w:rPr>
      </w:pPr>
      <w:r w:rsidRPr="005E3D50">
        <w:rPr>
          <w:sz w:val="20"/>
          <w:lang w:val="es-ES"/>
        </w:rPr>
        <w:t>Figura 55</w:t>
      </w:r>
    </w:p>
    <w:p w14:paraId="075D6C93"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12 del Marco que sugieren tendencias de mejora, estables y negativas, respectivamente </w:t>
      </w:r>
    </w:p>
    <w:p w14:paraId="261AF994" w14:textId="77777777" w:rsidR="009713BF" w:rsidRPr="005E3D50" w:rsidRDefault="009713BF" w:rsidP="009713BF">
      <w:pPr>
        <w:rPr>
          <w:lang w:val="es-ES" w:eastAsia="ja-JP"/>
        </w:rPr>
      </w:pPr>
    </w:p>
    <w:p w14:paraId="73E562C0"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noProof/>
          <w:kern w:val="0"/>
          <w:lang w:val="en-US"/>
          <w14:ligatures w14:val="none"/>
        </w:rPr>
        <w:lastRenderedPageBreak/>
        <w:drawing>
          <wp:inline distT="0" distB="0" distL="0" distR="0" wp14:anchorId="61CBC2D9" wp14:editId="60FEFB23">
            <wp:extent cx="5731510" cy="2456180"/>
            <wp:effectExtent l="0" t="0" r="0" b="0"/>
            <wp:docPr id="98462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633" name="Picture 984625633"/>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420A6499"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Las tendencias incluyen datos correspondientes a 1 indicador de cabecera de 17 Partes y 39 indicadores nacionales de un total de 13 Partes. El gráfico circular muestra la distribución de las Partes que presentaron indicadores para la meta 12,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pPr w:leftFromText="180" w:rightFromText="180" w:vertAnchor="text" w:tblpY="1"/>
        <w:tblOverlap w:val="never"/>
        <w:tblW w:w="9177" w:type="dxa"/>
        <w:tblLook w:val="04A0" w:firstRow="1" w:lastRow="0" w:firstColumn="1" w:lastColumn="0" w:noHBand="0" w:noVBand="1"/>
      </w:tblPr>
      <w:tblGrid>
        <w:gridCol w:w="5377"/>
        <w:gridCol w:w="3800"/>
      </w:tblGrid>
      <w:tr w:rsidR="00F606FF" w:rsidRPr="00740CBB" w14:paraId="0D92AC80" w14:textId="77777777" w:rsidTr="00740CBB">
        <w:tc>
          <w:tcPr>
            <w:tcW w:w="9177" w:type="dxa"/>
            <w:gridSpan w:val="2"/>
          </w:tcPr>
          <w:p w14:paraId="712666E6" w14:textId="2073F45F" w:rsidR="00F606FF" w:rsidRPr="00740CBB" w:rsidRDefault="00F606FF" w:rsidP="00740CBB">
            <w:pPr>
              <w:spacing w:line="278" w:lineRule="auto"/>
              <w:rPr>
                <w:sz w:val="18"/>
                <w:szCs w:val="18"/>
                <w:lang w:val="es-ES"/>
              </w:rPr>
            </w:pPr>
            <w:r w:rsidRPr="00740CBB">
              <w:rPr>
                <w:sz w:val="18"/>
                <w:szCs w:val="18"/>
                <w:lang w:val="es-ES"/>
              </w:rPr>
              <w:t>Figura 55</w:t>
            </w:r>
          </w:p>
        </w:tc>
      </w:tr>
      <w:tr w:rsidR="00F606FF" w:rsidRPr="00740CBB" w14:paraId="505EC55F" w14:textId="77777777" w:rsidTr="00740CBB">
        <w:tc>
          <w:tcPr>
            <w:tcW w:w="5377" w:type="dxa"/>
          </w:tcPr>
          <w:p w14:paraId="4EF06D43" w14:textId="57782A20" w:rsidR="00F606FF" w:rsidRPr="00740CBB" w:rsidRDefault="00F606FF" w:rsidP="00740CBB">
            <w:pPr>
              <w:spacing w:line="278" w:lineRule="auto"/>
              <w:rPr>
                <w:sz w:val="18"/>
                <w:szCs w:val="18"/>
                <w:lang w:val="es-ES"/>
              </w:rPr>
            </w:pPr>
            <w:r w:rsidRPr="00740CBB">
              <w:rPr>
                <w:sz w:val="18"/>
                <w:szCs w:val="18"/>
                <w:lang w:val="es-ES"/>
              </w:rPr>
              <w:t>English</w:t>
            </w:r>
          </w:p>
        </w:tc>
        <w:tc>
          <w:tcPr>
            <w:tcW w:w="3800" w:type="dxa"/>
          </w:tcPr>
          <w:p w14:paraId="789C771B" w14:textId="5B845D4F" w:rsidR="00F606FF" w:rsidRPr="00740CBB" w:rsidRDefault="00740CBB" w:rsidP="00740CBB">
            <w:pPr>
              <w:spacing w:line="278" w:lineRule="auto"/>
              <w:rPr>
                <w:sz w:val="18"/>
                <w:szCs w:val="18"/>
                <w:lang w:val="es-ES"/>
              </w:rPr>
            </w:pPr>
            <w:r>
              <w:rPr>
                <w:sz w:val="18"/>
                <w:szCs w:val="18"/>
                <w:lang w:val="es-ES"/>
              </w:rPr>
              <w:t>Español</w:t>
            </w:r>
          </w:p>
        </w:tc>
      </w:tr>
      <w:tr w:rsidR="00F606FF" w:rsidRPr="00740CBB" w14:paraId="1CCD6B07" w14:textId="77777777" w:rsidTr="00740CBB">
        <w:tc>
          <w:tcPr>
            <w:tcW w:w="5377" w:type="dxa"/>
          </w:tcPr>
          <w:p w14:paraId="5EC6ACBE" w14:textId="77777777" w:rsidR="00F606FF" w:rsidRPr="00740CBB" w:rsidRDefault="00F606FF" w:rsidP="00740CBB">
            <w:pPr>
              <w:spacing w:line="278" w:lineRule="auto"/>
              <w:rPr>
                <w:sz w:val="18"/>
                <w:szCs w:val="18"/>
                <w:lang w:val="es-ES"/>
              </w:rPr>
            </w:pPr>
            <w:proofErr w:type="spellStart"/>
            <w:r w:rsidRPr="00740CBB">
              <w:rPr>
                <w:sz w:val="18"/>
                <w:szCs w:val="18"/>
                <w:lang w:val="es-ES"/>
              </w:rPr>
              <w:t>Proportion</w:t>
            </w:r>
            <w:proofErr w:type="spellEnd"/>
          </w:p>
        </w:tc>
        <w:tc>
          <w:tcPr>
            <w:tcW w:w="3800" w:type="dxa"/>
          </w:tcPr>
          <w:p w14:paraId="06DDF00F" w14:textId="5016C0CC" w:rsidR="00F606FF" w:rsidRPr="00740CBB" w:rsidRDefault="00F606FF" w:rsidP="00740CBB">
            <w:pPr>
              <w:spacing w:line="278" w:lineRule="auto"/>
              <w:rPr>
                <w:sz w:val="18"/>
                <w:szCs w:val="18"/>
                <w:lang w:val="es-ES"/>
              </w:rPr>
            </w:pPr>
            <w:r w:rsidRPr="00740CBB">
              <w:rPr>
                <w:sz w:val="18"/>
                <w:szCs w:val="18"/>
                <w:lang w:val="es-ES"/>
              </w:rPr>
              <w:t>Proporción</w:t>
            </w:r>
          </w:p>
        </w:tc>
      </w:tr>
      <w:tr w:rsidR="00F606FF" w:rsidRPr="00740CBB" w14:paraId="7D27D7F4" w14:textId="77777777" w:rsidTr="00740CBB">
        <w:tc>
          <w:tcPr>
            <w:tcW w:w="5377" w:type="dxa"/>
          </w:tcPr>
          <w:p w14:paraId="0F8FBA4C" w14:textId="77777777" w:rsidR="00F606FF" w:rsidRPr="00740CBB" w:rsidRDefault="00F606FF" w:rsidP="00740CBB">
            <w:pPr>
              <w:spacing w:line="278" w:lineRule="auto"/>
              <w:rPr>
                <w:sz w:val="18"/>
                <w:szCs w:val="18"/>
                <w:lang w:val="es-ES"/>
              </w:rPr>
            </w:pPr>
            <w:r w:rsidRPr="00740CBB">
              <w:rPr>
                <w:sz w:val="18"/>
                <w:szCs w:val="18"/>
                <w:lang w:val="es-ES"/>
              </w:rPr>
              <w:t xml:space="preserve">Current </w:t>
            </w:r>
            <w:proofErr w:type="gramStart"/>
            <w:r w:rsidRPr="00740CBB">
              <w:rPr>
                <w:sz w:val="18"/>
                <w:szCs w:val="18"/>
                <w:lang w:val="es-ES"/>
              </w:rPr>
              <w:t>Status</w:t>
            </w:r>
            <w:proofErr w:type="gramEnd"/>
          </w:p>
        </w:tc>
        <w:tc>
          <w:tcPr>
            <w:tcW w:w="3800" w:type="dxa"/>
          </w:tcPr>
          <w:p w14:paraId="17EAA56B" w14:textId="13EF2B34" w:rsidR="00F606FF" w:rsidRPr="00740CBB" w:rsidRDefault="00F606FF" w:rsidP="00740CBB">
            <w:pPr>
              <w:spacing w:line="278" w:lineRule="auto"/>
              <w:rPr>
                <w:sz w:val="18"/>
                <w:szCs w:val="18"/>
                <w:lang w:val="es-ES"/>
              </w:rPr>
            </w:pPr>
            <w:r w:rsidRPr="00740CBB">
              <w:rPr>
                <w:sz w:val="18"/>
                <w:szCs w:val="18"/>
                <w:lang w:val="es-ES"/>
              </w:rPr>
              <w:t>Estado actual</w:t>
            </w:r>
          </w:p>
        </w:tc>
      </w:tr>
      <w:tr w:rsidR="00F606FF" w:rsidRPr="00740CBB" w14:paraId="21702776" w14:textId="77777777" w:rsidTr="00740CBB">
        <w:tc>
          <w:tcPr>
            <w:tcW w:w="5377" w:type="dxa"/>
          </w:tcPr>
          <w:p w14:paraId="7C94A3D2" w14:textId="77777777" w:rsidR="00F606FF" w:rsidRPr="00740CBB" w:rsidRDefault="00F606FF" w:rsidP="00740CBB">
            <w:pPr>
              <w:spacing w:line="278" w:lineRule="auto"/>
              <w:rPr>
                <w:sz w:val="18"/>
                <w:szCs w:val="18"/>
                <w:lang w:val="es-ES"/>
              </w:rPr>
            </w:pPr>
            <w:proofErr w:type="spellStart"/>
            <w:r w:rsidRPr="00740CBB">
              <w:rPr>
                <w:sz w:val="18"/>
                <w:szCs w:val="18"/>
                <w:lang w:val="es-ES"/>
              </w:rPr>
              <w:t>improving</w:t>
            </w:r>
            <w:proofErr w:type="spellEnd"/>
          </w:p>
        </w:tc>
        <w:tc>
          <w:tcPr>
            <w:tcW w:w="3800" w:type="dxa"/>
          </w:tcPr>
          <w:p w14:paraId="6D5DBCFA" w14:textId="59591C3E" w:rsidR="00F606FF" w:rsidRPr="00740CBB" w:rsidRDefault="00F606FF" w:rsidP="00740CBB">
            <w:pPr>
              <w:spacing w:line="278" w:lineRule="auto"/>
              <w:rPr>
                <w:sz w:val="18"/>
                <w:szCs w:val="18"/>
                <w:lang w:val="es-ES"/>
              </w:rPr>
            </w:pPr>
            <w:r w:rsidRPr="00740CBB">
              <w:rPr>
                <w:sz w:val="18"/>
                <w:szCs w:val="18"/>
                <w:lang w:val="es-ES"/>
              </w:rPr>
              <w:t>mejorando</w:t>
            </w:r>
          </w:p>
        </w:tc>
      </w:tr>
      <w:tr w:rsidR="00F606FF" w:rsidRPr="00740CBB" w14:paraId="56BAA947" w14:textId="77777777" w:rsidTr="00740CBB">
        <w:tc>
          <w:tcPr>
            <w:tcW w:w="5377" w:type="dxa"/>
          </w:tcPr>
          <w:p w14:paraId="66A6A17F" w14:textId="77777777" w:rsidR="00F606FF" w:rsidRPr="00740CBB" w:rsidRDefault="00F606FF" w:rsidP="00740CBB">
            <w:pPr>
              <w:spacing w:line="278" w:lineRule="auto"/>
              <w:rPr>
                <w:sz w:val="18"/>
                <w:szCs w:val="18"/>
                <w:lang w:val="es-ES"/>
              </w:rPr>
            </w:pPr>
            <w:proofErr w:type="spellStart"/>
            <w:r w:rsidRPr="00740CBB">
              <w:rPr>
                <w:sz w:val="18"/>
                <w:szCs w:val="18"/>
                <w:lang w:val="es-ES"/>
              </w:rPr>
              <w:t>stable</w:t>
            </w:r>
            <w:proofErr w:type="spellEnd"/>
          </w:p>
        </w:tc>
        <w:tc>
          <w:tcPr>
            <w:tcW w:w="3800" w:type="dxa"/>
          </w:tcPr>
          <w:p w14:paraId="218E77DB" w14:textId="4A9D52C3" w:rsidR="00F606FF" w:rsidRPr="00740CBB" w:rsidRDefault="00F606FF" w:rsidP="00740CBB">
            <w:pPr>
              <w:spacing w:line="278" w:lineRule="auto"/>
              <w:rPr>
                <w:sz w:val="18"/>
                <w:szCs w:val="18"/>
                <w:lang w:val="es-ES"/>
              </w:rPr>
            </w:pPr>
            <w:r w:rsidRPr="00740CBB">
              <w:rPr>
                <w:sz w:val="18"/>
                <w:szCs w:val="18"/>
                <w:lang w:val="es-ES"/>
              </w:rPr>
              <w:t>estable</w:t>
            </w:r>
          </w:p>
        </w:tc>
      </w:tr>
      <w:tr w:rsidR="00F606FF" w:rsidRPr="00740CBB" w14:paraId="019A2A0B" w14:textId="77777777" w:rsidTr="00740CBB">
        <w:tc>
          <w:tcPr>
            <w:tcW w:w="5377" w:type="dxa"/>
          </w:tcPr>
          <w:p w14:paraId="51FCF224" w14:textId="77777777" w:rsidR="00F606FF" w:rsidRPr="00740CBB" w:rsidRDefault="00F606FF" w:rsidP="00740CBB">
            <w:pPr>
              <w:spacing w:line="278" w:lineRule="auto"/>
              <w:rPr>
                <w:sz w:val="18"/>
                <w:szCs w:val="18"/>
                <w:lang w:val="es-ES"/>
              </w:rPr>
            </w:pPr>
            <w:proofErr w:type="spellStart"/>
            <w:r w:rsidRPr="00740CBB">
              <w:rPr>
                <w:sz w:val="18"/>
                <w:szCs w:val="18"/>
                <w:lang w:val="es-ES"/>
              </w:rPr>
              <w:t>moving</w:t>
            </w:r>
            <w:proofErr w:type="spellEnd"/>
            <w:r w:rsidRPr="00740CBB">
              <w:rPr>
                <w:sz w:val="18"/>
                <w:szCs w:val="18"/>
                <w:lang w:val="es-ES"/>
              </w:rPr>
              <w:t xml:space="preserve"> </w:t>
            </w:r>
            <w:proofErr w:type="spellStart"/>
            <w:r w:rsidRPr="00740CBB">
              <w:rPr>
                <w:sz w:val="18"/>
                <w:szCs w:val="18"/>
                <w:lang w:val="es-ES"/>
              </w:rPr>
              <w:t>away</w:t>
            </w:r>
            <w:proofErr w:type="spellEnd"/>
          </w:p>
        </w:tc>
        <w:tc>
          <w:tcPr>
            <w:tcW w:w="3800" w:type="dxa"/>
          </w:tcPr>
          <w:p w14:paraId="6FE237C0" w14:textId="107CCD52" w:rsidR="00F606FF" w:rsidRPr="00740CBB" w:rsidRDefault="00F606FF" w:rsidP="00740CBB">
            <w:pPr>
              <w:spacing w:line="278" w:lineRule="auto"/>
              <w:rPr>
                <w:sz w:val="18"/>
                <w:szCs w:val="18"/>
                <w:lang w:val="es-ES"/>
              </w:rPr>
            </w:pPr>
            <w:r w:rsidRPr="00740CBB">
              <w:rPr>
                <w:sz w:val="18"/>
                <w:szCs w:val="18"/>
                <w:lang w:val="es-ES"/>
              </w:rPr>
              <w:t>alejándose</w:t>
            </w:r>
          </w:p>
        </w:tc>
      </w:tr>
      <w:tr w:rsidR="00F606FF" w:rsidRPr="00740CBB" w14:paraId="192F346D" w14:textId="77777777" w:rsidTr="00740CBB">
        <w:tc>
          <w:tcPr>
            <w:tcW w:w="5377" w:type="dxa"/>
          </w:tcPr>
          <w:p w14:paraId="124BA42B" w14:textId="77777777" w:rsidR="00F606FF" w:rsidRPr="00740CBB" w:rsidRDefault="00F606FF" w:rsidP="00740CBB">
            <w:pPr>
              <w:spacing w:line="278" w:lineRule="auto"/>
              <w:rPr>
                <w:sz w:val="18"/>
                <w:szCs w:val="18"/>
                <w:lang w:val="es-ES"/>
              </w:rPr>
            </w:pPr>
            <w:r w:rsidRPr="00740CBB">
              <w:rPr>
                <w:sz w:val="18"/>
                <w:szCs w:val="18"/>
                <w:lang w:val="es-ES"/>
              </w:rPr>
              <w:t xml:space="preserve">Party </w:t>
            </w:r>
            <w:proofErr w:type="spellStart"/>
            <w:r w:rsidRPr="00740CBB">
              <w:rPr>
                <w:sz w:val="18"/>
                <w:szCs w:val="18"/>
                <w:lang w:val="es-ES"/>
              </w:rPr>
              <w:t>count</w:t>
            </w:r>
            <w:proofErr w:type="spellEnd"/>
            <w:r w:rsidRPr="00740CBB">
              <w:rPr>
                <w:sz w:val="18"/>
                <w:szCs w:val="18"/>
                <w:lang w:val="es-ES"/>
              </w:rPr>
              <w:t>: 27</w:t>
            </w:r>
          </w:p>
        </w:tc>
        <w:tc>
          <w:tcPr>
            <w:tcW w:w="3800" w:type="dxa"/>
          </w:tcPr>
          <w:p w14:paraId="7AE5B3A0" w14:textId="1EDD8B66" w:rsidR="00F606FF" w:rsidRPr="00740CBB" w:rsidRDefault="00F606FF" w:rsidP="00740CBB">
            <w:pPr>
              <w:spacing w:line="278" w:lineRule="auto"/>
              <w:rPr>
                <w:sz w:val="18"/>
                <w:szCs w:val="18"/>
                <w:lang w:val="es-ES"/>
              </w:rPr>
            </w:pPr>
            <w:r w:rsidRPr="00740CBB">
              <w:rPr>
                <w:sz w:val="18"/>
                <w:szCs w:val="18"/>
                <w:lang w:val="es-ES"/>
              </w:rPr>
              <w:t>Número de Partes: 27</w:t>
            </w:r>
          </w:p>
        </w:tc>
      </w:tr>
      <w:tr w:rsidR="00F606FF" w:rsidRPr="00740CBB" w14:paraId="7E9528AA" w14:textId="77777777" w:rsidTr="00740CBB">
        <w:tc>
          <w:tcPr>
            <w:tcW w:w="5377" w:type="dxa"/>
          </w:tcPr>
          <w:p w14:paraId="42FB019B" w14:textId="77777777" w:rsidR="00F606FF" w:rsidRPr="00740CBB" w:rsidRDefault="00F606FF" w:rsidP="00740CBB">
            <w:pPr>
              <w:spacing w:line="278" w:lineRule="auto"/>
              <w:rPr>
                <w:sz w:val="18"/>
                <w:szCs w:val="18"/>
                <w:lang w:val="es-ES"/>
              </w:rPr>
            </w:pPr>
            <w:proofErr w:type="spellStart"/>
            <w:r w:rsidRPr="00740CBB">
              <w:rPr>
                <w:sz w:val="18"/>
                <w:szCs w:val="18"/>
                <w:lang w:val="es-ES"/>
              </w:rPr>
              <w:t>Region</w:t>
            </w:r>
            <w:proofErr w:type="spellEnd"/>
          </w:p>
        </w:tc>
        <w:tc>
          <w:tcPr>
            <w:tcW w:w="3800" w:type="dxa"/>
          </w:tcPr>
          <w:p w14:paraId="32796024" w14:textId="34397BE8" w:rsidR="00F606FF" w:rsidRPr="00740CBB" w:rsidRDefault="00F606FF" w:rsidP="00740CBB">
            <w:pPr>
              <w:spacing w:line="278" w:lineRule="auto"/>
              <w:rPr>
                <w:sz w:val="18"/>
                <w:szCs w:val="18"/>
                <w:lang w:val="es-ES"/>
              </w:rPr>
            </w:pPr>
            <w:r w:rsidRPr="00740CBB">
              <w:rPr>
                <w:sz w:val="18"/>
                <w:szCs w:val="18"/>
                <w:lang w:val="es-ES"/>
              </w:rPr>
              <w:t>Región</w:t>
            </w:r>
          </w:p>
        </w:tc>
      </w:tr>
      <w:tr w:rsidR="00F606FF" w:rsidRPr="00740CBB" w14:paraId="122D4D5F" w14:textId="77777777" w:rsidTr="00740CBB">
        <w:tc>
          <w:tcPr>
            <w:tcW w:w="5377" w:type="dxa"/>
          </w:tcPr>
          <w:p w14:paraId="3B45FE84" w14:textId="77777777" w:rsidR="00F606FF" w:rsidRPr="00740CBB" w:rsidRDefault="00F606FF" w:rsidP="00740CBB">
            <w:pPr>
              <w:spacing w:line="278" w:lineRule="auto"/>
              <w:rPr>
                <w:sz w:val="18"/>
                <w:szCs w:val="18"/>
                <w:lang w:val="es-ES"/>
              </w:rPr>
            </w:pPr>
            <w:r w:rsidRPr="00740CBB">
              <w:rPr>
                <w:sz w:val="18"/>
                <w:szCs w:val="18"/>
                <w:lang w:val="es-ES"/>
              </w:rPr>
              <w:t>African States</w:t>
            </w:r>
          </w:p>
        </w:tc>
        <w:tc>
          <w:tcPr>
            <w:tcW w:w="3800" w:type="dxa"/>
          </w:tcPr>
          <w:p w14:paraId="0741D211" w14:textId="1C53416F" w:rsidR="00F606FF" w:rsidRPr="00740CBB" w:rsidRDefault="00F606FF" w:rsidP="00740CBB">
            <w:pPr>
              <w:spacing w:line="278" w:lineRule="auto"/>
              <w:rPr>
                <w:sz w:val="18"/>
                <w:szCs w:val="18"/>
                <w:lang w:val="es-ES"/>
              </w:rPr>
            </w:pPr>
            <w:r w:rsidRPr="00740CBB">
              <w:rPr>
                <w:sz w:val="18"/>
                <w:szCs w:val="18"/>
                <w:lang w:val="es-ES"/>
              </w:rPr>
              <w:t>Estados de África</w:t>
            </w:r>
          </w:p>
        </w:tc>
      </w:tr>
      <w:tr w:rsidR="00F606FF" w:rsidRPr="00740CBB" w14:paraId="0E910B67" w14:textId="77777777" w:rsidTr="00740CBB">
        <w:tc>
          <w:tcPr>
            <w:tcW w:w="5377" w:type="dxa"/>
          </w:tcPr>
          <w:p w14:paraId="6EFDEAC8" w14:textId="77777777" w:rsidR="00F606FF" w:rsidRPr="00740CBB" w:rsidRDefault="00F606FF" w:rsidP="00740CBB">
            <w:pPr>
              <w:spacing w:line="278" w:lineRule="auto"/>
              <w:rPr>
                <w:sz w:val="18"/>
                <w:szCs w:val="18"/>
                <w:lang w:val="es-ES"/>
              </w:rPr>
            </w:pPr>
            <w:r w:rsidRPr="00740CBB">
              <w:rPr>
                <w:sz w:val="18"/>
                <w:szCs w:val="18"/>
                <w:lang w:val="es-ES"/>
              </w:rPr>
              <w:t>Asia-Pacific States</w:t>
            </w:r>
          </w:p>
        </w:tc>
        <w:tc>
          <w:tcPr>
            <w:tcW w:w="3800" w:type="dxa"/>
          </w:tcPr>
          <w:p w14:paraId="1E25007B" w14:textId="4102041C" w:rsidR="00F606FF" w:rsidRPr="00740CBB" w:rsidRDefault="00F606FF" w:rsidP="00740CBB">
            <w:pPr>
              <w:spacing w:line="278" w:lineRule="auto"/>
              <w:rPr>
                <w:sz w:val="18"/>
                <w:szCs w:val="18"/>
                <w:lang w:val="es-ES"/>
              </w:rPr>
            </w:pPr>
            <w:r w:rsidRPr="00740CBB">
              <w:rPr>
                <w:sz w:val="18"/>
                <w:szCs w:val="18"/>
                <w:lang w:val="es-ES"/>
              </w:rPr>
              <w:t>Estados de Asia y el Pacífico</w:t>
            </w:r>
          </w:p>
        </w:tc>
      </w:tr>
      <w:tr w:rsidR="00F606FF" w:rsidRPr="00740CBB" w14:paraId="070DE44E" w14:textId="77777777" w:rsidTr="00740CBB">
        <w:tc>
          <w:tcPr>
            <w:tcW w:w="5377" w:type="dxa"/>
          </w:tcPr>
          <w:p w14:paraId="6D6F1933" w14:textId="77777777" w:rsidR="00F606FF" w:rsidRPr="00740CBB" w:rsidRDefault="00F606FF" w:rsidP="00740CBB">
            <w:pPr>
              <w:spacing w:line="278" w:lineRule="auto"/>
              <w:rPr>
                <w:sz w:val="18"/>
                <w:szCs w:val="18"/>
                <w:lang w:val="en-US"/>
              </w:rPr>
            </w:pPr>
            <w:r w:rsidRPr="00740CBB">
              <w:rPr>
                <w:sz w:val="18"/>
                <w:szCs w:val="18"/>
                <w:lang w:val="en-US"/>
              </w:rPr>
              <w:t>Latin American and Caribbean States</w:t>
            </w:r>
          </w:p>
        </w:tc>
        <w:tc>
          <w:tcPr>
            <w:tcW w:w="3800" w:type="dxa"/>
          </w:tcPr>
          <w:p w14:paraId="5A26AEDD" w14:textId="05647646" w:rsidR="00F606FF" w:rsidRPr="00740CBB" w:rsidRDefault="00F606FF" w:rsidP="00740CBB">
            <w:pPr>
              <w:spacing w:line="278" w:lineRule="auto"/>
              <w:rPr>
                <w:sz w:val="18"/>
                <w:szCs w:val="18"/>
                <w:lang w:val="es-ES"/>
              </w:rPr>
            </w:pPr>
            <w:r w:rsidRPr="00740CBB">
              <w:rPr>
                <w:sz w:val="18"/>
                <w:szCs w:val="18"/>
                <w:lang w:val="es-ES"/>
              </w:rPr>
              <w:t>Estados de América Latina y el Caribe</w:t>
            </w:r>
          </w:p>
        </w:tc>
      </w:tr>
      <w:tr w:rsidR="00F606FF" w:rsidRPr="00740CBB" w14:paraId="62EBC595" w14:textId="77777777" w:rsidTr="00740CBB">
        <w:tc>
          <w:tcPr>
            <w:tcW w:w="5377" w:type="dxa"/>
          </w:tcPr>
          <w:p w14:paraId="3AFC34D1" w14:textId="77777777" w:rsidR="00F606FF" w:rsidRPr="00740CBB" w:rsidRDefault="00F606FF" w:rsidP="00740CBB">
            <w:pPr>
              <w:spacing w:line="278" w:lineRule="auto"/>
              <w:rPr>
                <w:sz w:val="18"/>
                <w:szCs w:val="18"/>
                <w:lang w:val="es-ES"/>
              </w:rPr>
            </w:pPr>
            <w:r w:rsidRPr="00740CBB">
              <w:rPr>
                <w:sz w:val="18"/>
                <w:szCs w:val="18"/>
                <w:lang w:val="es-ES"/>
              </w:rPr>
              <w:t xml:space="preserve"> Eastern European States</w:t>
            </w:r>
          </w:p>
        </w:tc>
        <w:tc>
          <w:tcPr>
            <w:tcW w:w="3800" w:type="dxa"/>
          </w:tcPr>
          <w:p w14:paraId="7882FD67" w14:textId="7A1A1592" w:rsidR="00F606FF" w:rsidRPr="00740CBB" w:rsidRDefault="00F606FF" w:rsidP="00740CBB">
            <w:pPr>
              <w:spacing w:line="278" w:lineRule="auto"/>
              <w:rPr>
                <w:sz w:val="18"/>
                <w:szCs w:val="18"/>
                <w:lang w:val="es-ES"/>
              </w:rPr>
            </w:pPr>
            <w:r w:rsidRPr="00740CBB">
              <w:rPr>
                <w:sz w:val="18"/>
                <w:szCs w:val="18"/>
                <w:lang w:val="es-ES"/>
              </w:rPr>
              <w:t>Estados de Europa Oriental</w:t>
            </w:r>
          </w:p>
        </w:tc>
      </w:tr>
      <w:tr w:rsidR="00F606FF" w:rsidRPr="00740CBB" w14:paraId="03F29888" w14:textId="77777777" w:rsidTr="00740CBB">
        <w:tc>
          <w:tcPr>
            <w:tcW w:w="5377" w:type="dxa"/>
          </w:tcPr>
          <w:p w14:paraId="0A07C3EB" w14:textId="77777777" w:rsidR="00F606FF" w:rsidRPr="00740CBB" w:rsidRDefault="00F606FF" w:rsidP="00740CBB">
            <w:pPr>
              <w:spacing w:line="278" w:lineRule="auto"/>
              <w:rPr>
                <w:sz w:val="18"/>
                <w:szCs w:val="18"/>
                <w:lang w:val="en-US"/>
              </w:rPr>
            </w:pPr>
            <w:r w:rsidRPr="00740CBB">
              <w:rPr>
                <w:sz w:val="18"/>
                <w:szCs w:val="18"/>
                <w:lang w:val="en-US"/>
              </w:rPr>
              <w:t>Western European and other States</w:t>
            </w:r>
          </w:p>
        </w:tc>
        <w:tc>
          <w:tcPr>
            <w:tcW w:w="3800" w:type="dxa"/>
          </w:tcPr>
          <w:p w14:paraId="66F3B93A" w14:textId="55BA8071" w:rsidR="00F606FF" w:rsidRPr="00740CBB" w:rsidRDefault="00F606FF" w:rsidP="00740CBB">
            <w:pPr>
              <w:spacing w:line="278" w:lineRule="auto"/>
              <w:rPr>
                <w:sz w:val="18"/>
                <w:szCs w:val="18"/>
                <w:lang w:val="es-ES"/>
              </w:rPr>
            </w:pPr>
            <w:r w:rsidRPr="00740CBB">
              <w:rPr>
                <w:sz w:val="18"/>
                <w:szCs w:val="18"/>
                <w:lang w:val="es-ES"/>
              </w:rPr>
              <w:t>Estados de Europa Occidental y otros Estados</w:t>
            </w:r>
          </w:p>
        </w:tc>
      </w:tr>
    </w:tbl>
    <w:p w14:paraId="23C21D5F" w14:textId="23F3FBB3" w:rsidR="009713BF" w:rsidRPr="005E3D50" w:rsidRDefault="00F606FF" w:rsidP="009713BF">
      <w:pPr>
        <w:spacing w:after="200" w:line="240" w:lineRule="auto"/>
        <w:rPr>
          <w:rFonts w:eastAsiaTheme="minorEastAsia"/>
          <w:i/>
          <w:iCs/>
          <w:color w:val="0E2841" w:themeColor="text2"/>
          <w:kern w:val="0"/>
          <w:sz w:val="18"/>
          <w:szCs w:val="18"/>
          <w:lang w:val="es-ES" w:eastAsia="ja-JP"/>
          <w14:ligatures w14:val="none"/>
        </w:rPr>
      </w:pPr>
      <w:r>
        <w:rPr>
          <w:rFonts w:eastAsiaTheme="minorEastAsia"/>
          <w:i/>
          <w:iCs/>
          <w:color w:val="0E2841" w:themeColor="text2"/>
          <w:kern w:val="0"/>
          <w:sz w:val="18"/>
          <w:szCs w:val="18"/>
          <w:lang w:val="es-ES" w:eastAsia="ja-JP"/>
          <w14:ligatures w14:val="none"/>
        </w:rPr>
        <w:br w:type="textWrapping" w:clear="all"/>
      </w:r>
    </w:p>
    <w:p w14:paraId="68ED8C8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44" w:name="_Toc235821197"/>
      <w:r w:rsidRPr="005E3D50">
        <w:rPr>
          <w:rFonts w:eastAsiaTheme="majorEastAsia" w:cstheme="majorBidi"/>
          <w:color w:val="0F4761" w:themeColor="accent1" w:themeShade="BF"/>
          <w:lang w:val="es-ES"/>
        </w:rPr>
        <w:t>Autoevaluación de progresos</w:t>
      </w:r>
      <w:bookmarkEnd w:id="344"/>
    </w:p>
    <w:p w14:paraId="7C3591D3" w14:textId="77777777" w:rsidR="009713BF" w:rsidRPr="005E3D50" w:rsidRDefault="009713BF" w:rsidP="009713BF">
      <w:pPr>
        <w:rPr>
          <w:lang w:val="es-ES"/>
        </w:rPr>
      </w:pPr>
    </w:p>
    <w:p w14:paraId="2E2849FC" w14:textId="77777777" w:rsidR="009713BF" w:rsidRPr="005E3D50" w:rsidRDefault="009713BF" w:rsidP="009713BF">
      <w:pPr>
        <w:spacing w:after="200" w:line="240" w:lineRule="auto"/>
        <w:rPr>
          <w:rFonts w:eastAsiaTheme="minorEastAsia"/>
          <w:color w:val="000000" w:themeColor="text1"/>
          <w:kern w:val="0"/>
          <w:lang w:val="es-ES" w:eastAsia="ja-JP"/>
          <w14:ligatures w14:val="none"/>
        </w:rPr>
      </w:pPr>
      <w:r w:rsidRPr="005E3D50">
        <w:rPr>
          <w:rFonts w:eastAsiaTheme="minorEastAsia"/>
          <w:iCs/>
          <w:color w:val="0E2841" w:themeColor="text2"/>
          <w:kern w:val="0"/>
          <w:szCs w:val="18"/>
          <w:lang w:val="es-ES" w:eastAsia="ja-JP"/>
          <w14:ligatures w14:val="none"/>
        </w:rPr>
        <w:t>Las autoevaluaciones realizadas por las Partes en sus informes nacionales coinciden en general con el análisis de tendencias de los indicadores.</w:t>
      </w:r>
      <w:r w:rsidRPr="005E3D50">
        <w:rPr>
          <w:rFonts w:eastAsiaTheme="minorEastAsia"/>
          <w:iCs/>
          <w:color w:val="000000" w:themeColor="text1"/>
          <w:kern w:val="0"/>
          <w:szCs w:val="18"/>
          <w:lang w:val="es-ES" w:eastAsia="ja-JP"/>
          <w14:ligatures w14:val="none"/>
        </w:rPr>
        <w:t xml:space="preserve"> </w:t>
      </w:r>
      <w:r w:rsidRPr="005E3D50">
        <w:rPr>
          <w:rFonts w:eastAsiaTheme="minorEastAsia"/>
          <w:iCs/>
          <w:color w:val="0E2841" w:themeColor="text2"/>
          <w:kern w:val="0"/>
          <w:szCs w:val="18"/>
          <w:lang w:val="es-ES" w:eastAsia="ja-JP"/>
          <w14:ligatures w14:val="none"/>
        </w:rPr>
        <w:t>Solo el 32 % de las metas nacionales presentadas como estrechamente armonizadas con la meta 12 están en vías de alcanzarse, frente a un porcentaje mucho mayor (64 %) que no muestran cambios significativos o bien muestran progresos insuficientes, y solo se informa de una meta nacional (0,4 %) que se alcanzó (véase la figura 56).</w:t>
      </w:r>
    </w:p>
    <w:p w14:paraId="5AAB059D" w14:textId="77777777" w:rsidR="009713BF" w:rsidRPr="005E3D50" w:rsidRDefault="009713BF" w:rsidP="009713BF">
      <w:pPr>
        <w:rPr>
          <w:lang w:val="es-ES" w:eastAsia="ja-JP"/>
        </w:rPr>
      </w:pPr>
    </w:p>
    <w:p w14:paraId="6E03334C"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345" w:name="_Ref231193713"/>
    </w:p>
    <w:p w14:paraId="0BD3CD98"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5782F1BF" w14:textId="77777777" w:rsidR="009713BF" w:rsidRPr="005E3D50" w:rsidRDefault="009713BF" w:rsidP="009713BF">
      <w:pPr>
        <w:rPr>
          <w:sz w:val="20"/>
          <w:szCs w:val="20"/>
          <w:lang w:val="es-ES"/>
        </w:rPr>
      </w:pPr>
      <w:r w:rsidRPr="005E3D50">
        <w:rPr>
          <w:sz w:val="20"/>
          <w:lang w:val="es-ES"/>
        </w:rPr>
        <w:t>Figura 56</w:t>
      </w:r>
    </w:p>
    <w:p w14:paraId="558108B3"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12 del Marco </w:t>
      </w:r>
    </w:p>
    <w:p w14:paraId="52378C79" w14:textId="77777777" w:rsidR="009713BF" w:rsidRPr="005E3D50" w:rsidRDefault="009713BF" w:rsidP="009713BF">
      <w:pPr>
        <w:rPr>
          <w:sz w:val="20"/>
          <w:szCs w:val="20"/>
          <w:lang w:val="es-ES" w:eastAsia="ja-JP"/>
        </w:rPr>
      </w:pPr>
    </w:p>
    <w:p w14:paraId="3814E8CE"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drawing>
          <wp:inline distT="0" distB="0" distL="0" distR="0" wp14:anchorId="30F554AB" wp14:editId="4EBDEDA0">
            <wp:extent cx="5731510" cy="2292350"/>
            <wp:effectExtent l="0" t="0" r="0" b="6350"/>
            <wp:docPr id="182417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79054" name="Picture 1824179054"/>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534016D"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46" w:name="_Toc235821198"/>
      <w:bookmarkEnd w:id="345"/>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0" w:type="auto"/>
        <w:tblLook w:val="04A0" w:firstRow="1" w:lastRow="0" w:firstColumn="1" w:lastColumn="0" w:noHBand="0" w:noVBand="1"/>
      </w:tblPr>
      <w:tblGrid>
        <w:gridCol w:w="4857"/>
        <w:gridCol w:w="4264"/>
      </w:tblGrid>
      <w:tr w:rsidR="00AF050A" w:rsidRPr="00AF050A" w14:paraId="66BF3809" w14:textId="77777777" w:rsidTr="005B1F81">
        <w:tc>
          <w:tcPr>
            <w:tcW w:w="9121" w:type="dxa"/>
            <w:gridSpan w:val="2"/>
          </w:tcPr>
          <w:p w14:paraId="7B102106" w14:textId="26C11ABA" w:rsidR="00AF050A" w:rsidRPr="00AF050A" w:rsidRDefault="00AF050A" w:rsidP="005B1F81">
            <w:pPr>
              <w:spacing w:line="278" w:lineRule="auto"/>
              <w:rPr>
                <w:sz w:val="18"/>
                <w:szCs w:val="18"/>
                <w:lang w:val="es-ES"/>
              </w:rPr>
            </w:pPr>
            <w:r w:rsidRPr="00AF050A">
              <w:rPr>
                <w:sz w:val="18"/>
                <w:szCs w:val="18"/>
                <w:lang w:val="es-ES"/>
              </w:rPr>
              <w:t>Figura 56</w:t>
            </w:r>
          </w:p>
        </w:tc>
      </w:tr>
      <w:tr w:rsidR="00AF050A" w:rsidRPr="00AF050A" w14:paraId="0AA3735E" w14:textId="77777777" w:rsidTr="005B1F81">
        <w:tc>
          <w:tcPr>
            <w:tcW w:w="4857" w:type="dxa"/>
          </w:tcPr>
          <w:p w14:paraId="50D58C4F" w14:textId="457B9E2A" w:rsidR="00AF050A" w:rsidRPr="00AF050A" w:rsidRDefault="00AF050A" w:rsidP="005B1F81">
            <w:pPr>
              <w:spacing w:line="278" w:lineRule="auto"/>
              <w:rPr>
                <w:sz w:val="18"/>
                <w:szCs w:val="18"/>
                <w:lang w:val="es-ES"/>
              </w:rPr>
            </w:pPr>
            <w:r w:rsidRPr="00AF050A">
              <w:rPr>
                <w:sz w:val="18"/>
                <w:szCs w:val="18"/>
                <w:lang w:val="es-ES"/>
              </w:rPr>
              <w:t xml:space="preserve">English </w:t>
            </w:r>
          </w:p>
        </w:tc>
        <w:tc>
          <w:tcPr>
            <w:tcW w:w="4263" w:type="dxa"/>
          </w:tcPr>
          <w:p w14:paraId="2B7480C7" w14:textId="326F8567" w:rsidR="00AF050A" w:rsidRPr="00AF050A" w:rsidRDefault="00AF050A" w:rsidP="005B1F81">
            <w:pPr>
              <w:spacing w:line="278" w:lineRule="auto"/>
              <w:rPr>
                <w:sz w:val="18"/>
                <w:szCs w:val="18"/>
                <w:lang w:val="es-ES"/>
              </w:rPr>
            </w:pPr>
            <w:r w:rsidRPr="00AF050A">
              <w:rPr>
                <w:sz w:val="18"/>
                <w:szCs w:val="18"/>
                <w:lang w:val="es-ES"/>
              </w:rPr>
              <w:t>Español</w:t>
            </w:r>
          </w:p>
        </w:tc>
      </w:tr>
      <w:tr w:rsidR="00AF050A" w:rsidRPr="00AF050A" w14:paraId="1909C660" w14:textId="77777777" w:rsidTr="005B1F81">
        <w:tc>
          <w:tcPr>
            <w:tcW w:w="4857" w:type="dxa"/>
          </w:tcPr>
          <w:p w14:paraId="3B8D8E01" w14:textId="77777777" w:rsidR="00AF050A" w:rsidRPr="00AF050A" w:rsidRDefault="00AF050A" w:rsidP="005B1F81">
            <w:pPr>
              <w:spacing w:line="278" w:lineRule="auto"/>
              <w:rPr>
                <w:sz w:val="18"/>
                <w:szCs w:val="18"/>
                <w:lang w:val="es-ES"/>
              </w:rPr>
            </w:pPr>
            <w:proofErr w:type="spellStart"/>
            <w:r w:rsidRPr="00AF050A">
              <w:rPr>
                <w:sz w:val="18"/>
                <w:szCs w:val="18"/>
                <w:lang w:val="es-ES"/>
              </w:rPr>
              <w:t>Percentage</w:t>
            </w:r>
            <w:proofErr w:type="spellEnd"/>
            <w:r w:rsidRPr="00AF050A">
              <w:rPr>
                <w:sz w:val="18"/>
                <w:szCs w:val="18"/>
                <w:lang w:val="es-ES"/>
              </w:rPr>
              <w:t xml:space="preserve"> of </w:t>
            </w:r>
            <w:proofErr w:type="spellStart"/>
            <w:r w:rsidRPr="00AF050A">
              <w:rPr>
                <w:sz w:val="18"/>
                <w:szCs w:val="18"/>
                <w:lang w:val="es-ES"/>
              </w:rPr>
              <w:t>national</w:t>
            </w:r>
            <w:proofErr w:type="spellEnd"/>
            <w:r w:rsidRPr="00AF050A">
              <w:rPr>
                <w:sz w:val="18"/>
                <w:szCs w:val="18"/>
                <w:lang w:val="es-ES"/>
              </w:rPr>
              <w:t xml:space="preserve"> targets</w:t>
            </w:r>
          </w:p>
        </w:tc>
        <w:tc>
          <w:tcPr>
            <w:tcW w:w="4263" w:type="dxa"/>
          </w:tcPr>
          <w:p w14:paraId="408D8053" w14:textId="11FD9BF2" w:rsidR="00AF050A" w:rsidRPr="00AF050A" w:rsidRDefault="00AF050A" w:rsidP="005B1F81">
            <w:pPr>
              <w:spacing w:line="278" w:lineRule="auto"/>
              <w:rPr>
                <w:sz w:val="18"/>
                <w:szCs w:val="18"/>
                <w:lang w:val="es-ES"/>
              </w:rPr>
            </w:pPr>
            <w:r w:rsidRPr="00AF050A">
              <w:rPr>
                <w:sz w:val="18"/>
                <w:szCs w:val="18"/>
                <w:lang w:val="es-ES"/>
              </w:rPr>
              <w:t>Porcentaje de metas nacionales</w:t>
            </w:r>
          </w:p>
        </w:tc>
      </w:tr>
      <w:tr w:rsidR="00AF050A" w:rsidRPr="00AF050A" w14:paraId="7397EBCD" w14:textId="77777777" w:rsidTr="005B1F81">
        <w:tc>
          <w:tcPr>
            <w:tcW w:w="4857" w:type="dxa"/>
          </w:tcPr>
          <w:p w14:paraId="270C0DDE" w14:textId="77777777" w:rsidR="00AF050A" w:rsidRPr="00AF050A" w:rsidRDefault="00AF050A" w:rsidP="005B1F81">
            <w:pPr>
              <w:spacing w:line="278" w:lineRule="auto"/>
              <w:rPr>
                <w:sz w:val="18"/>
                <w:szCs w:val="18"/>
                <w:lang w:val="es-ES"/>
              </w:rPr>
            </w:pPr>
            <w:proofErr w:type="spellStart"/>
            <w:r w:rsidRPr="00AF050A">
              <w:rPr>
                <w:sz w:val="18"/>
                <w:szCs w:val="18"/>
                <w:lang w:val="es-ES"/>
              </w:rPr>
              <w:t>Progress</w:t>
            </w:r>
            <w:proofErr w:type="spellEnd"/>
            <w:r w:rsidRPr="00AF050A">
              <w:rPr>
                <w:sz w:val="18"/>
                <w:szCs w:val="18"/>
                <w:lang w:val="es-ES"/>
              </w:rPr>
              <w:t xml:space="preserve"> Level</w:t>
            </w:r>
          </w:p>
        </w:tc>
        <w:tc>
          <w:tcPr>
            <w:tcW w:w="4263" w:type="dxa"/>
          </w:tcPr>
          <w:p w14:paraId="147CD1F2" w14:textId="49543B3A" w:rsidR="00AF050A" w:rsidRPr="00AF050A" w:rsidRDefault="00AF050A" w:rsidP="005B1F81">
            <w:pPr>
              <w:spacing w:line="278" w:lineRule="auto"/>
              <w:rPr>
                <w:sz w:val="18"/>
                <w:szCs w:val="18"/>
                <w:lang w:val="es-ES"/>
              </w:rPr>
            </w:pPr>
            <w:r w:rsidRPr="00AF050A">
              <w:rPr>
                <w:sz w:val="18"/>
                <w:szCs w:val="18"/>
                <w:lang w:val="es-ES"/>
              </w:rPr>
              <w:t>Nivel de progreso</w:t>
            </w:r>
          </w:p>
        </w:tc>
      </w:tr>
      <w:tr w:rsidR="00AF050A" w:rsidRPr="00AF050A" w14:paraId="080024AD" w14:textId="77777777" w:rsidTr="005B1F81">
        <w:tc>
          <w:tcPr>
            <w:tcW w:w="4857" w:type="dxa"/>
          </w:tcPr>
          <w:p w14:paraId="263E11C2" w14:textId="77777777" w:rsidR="00AF050A" w:rsidRPr="00AF050A" w:rsidRDefault="00AF050A" w:rsidP="005B1F81">
            <w:pPr>
              <w:spacing w:line="278" w:lineRule="auto"/>
              <w:rPr>
                <w:sz w:val="18"/>
                <w:szCs w:val="18"/>
                <w:lang w:val="es-ES"/>
              </w:rPr>
            </w:pPr>
            <w:proofErr w:type="spellStart"/>
            <w:r w:rsidRPr="00AF050A">
              <w:rPr>
                <w:sz w:val="18"/>
                <w:szCs w:val="18"/>
                <w:lang w:val="es-ES"/>
              </w:rPr>
              <w:t>Achieved</w:t>
            </w:r>
            <w:proofErr w:type="spellEnd"/>
          </w:p>
        </w:tc>
        <w:tc>
          <w:tcPr>
            <w:tcW w:w="4263" w:type="dxa"/>
          </w:tcPr>
          <w:p w14:paraId="363C03BD" w14:textId="3F70EF45" w:rsidR="00AF050A" w:rsidRPr="00AF050A" w:rsidRDefault="00AF050A" w:rsidP="005B1F81">
            <w:pPr>
              <w:spacing w:line="278" w:lineRule="auto"/>
              <w:rPr>
                <w:sz w:val="18"/>
                <w:szCs w:val="18"/>
                <w:lang w:val="es-ES"/>
              </w:rPr>
            </w:pPr>
            <w:r w:rsidRPr="00AF050A">
              <w:rPr>
                <w:sz w:val="18"/>
                <w:szCs w:val="18"/>
                <w:lang w:val="es-ES"/>
              </w:rPr>
              <w:t>Alcanzada</w:t>
            </w:r>
          </w:p>
        </w:tc>
      </w:tr>
      <w:tr w:rsidR="00AF050A" w:rsidRPr="00AF050A" w14:paraId="5CE4DAC1" w14:textId="77777777" w:rsidTr="005B1F81">
        <w:tc>
          <w:tcPr>
            <w:tcW w:w="4857" w:type="dxa"/>
          </w:tcPr>
          <w:p w14:paraId="088BB633" w14:textId="77777777" w:rsidR="00AF050A" w:rsidRPr="00AF050A" w:rsidRDefault="00AF050A" w:rsidP="005B1F81">
            <w:pPr>
              <w:spacing w:line="278" w:lineRule="auto"/>
              <w:rPr>
                <w:sz w:val="18"/>
                <w:szCs w:val="18"/>
                <w:lang w:val="en-US"/>
              </w:rPr>
            </w:pPr>
            <w:r w:rsidRPr="00AF050A">
              <w:rPr>
                <w:sz w:val="18"/>
                <w:szCs w:val="18"/>
                <w:lang w:val="en-US"/>
              </w:rPr>
              <w:t>On track to achieve target</w:t>
            </w:r>
          </w:p>
        </w:tc>
        <w:tc>
          <w:tcPr>
            <w:tcW w:w="4263" w:type="dxa"/>
          </w:tcPr>
          <w:p w14:paraId="72D98297" w14:textId="6A9803AE" w:rsidR="00AF050A" w:rsidRPr="00AF050A" w:rsidRDefault="00AF050A" w:rsidP="005B1F81">
            <w:pPr>
              <w:spacing w:line="278" w:lineRule="auto"/>
              <w:rPr>
                <w:sz w:val="18"/>
                <w:szCs w:val="18"/>
                <w:lang w:val="es-ES"/>
              </w:rPr>
            </w:pPr>
            <w:r w:rsidRPr="00AF050A">
              <w:rPr>
                <w:sz w:val="18"/>
                <w:szCs w:val="18"/>
                <w:lang w:val="es-ES"/>
              </w:rPr>
              <w:t>En vías de alcanzar la meta</w:t>
            </w:r>
          </w:p>
        </w:tc>
      </w:tr>
      <w:tr w:rsidR="00AF050A" w:rsidRPr="00AF050A" w14:paraId="2580A10D" w14:textId="77777777" w:rsidTr="005B1F81">
        <w:tc>
          <w:tcPr>
            <w:tcW w:w="4857" w:type="dxa"/>
          </w:tcPr>
          <w:p w14:paraId="52A9158C" w14:textId="77777777" w:rsidR="00AF050A" w:rsidRPr="00AF050A" w:rsidRDefault="00AF050A" w:rsidP="005B1F81">
            <w:pPr>
              <w:spacing w:line="278" w:lineRule="auto"/>
              <w:rPr>
                <w:sz w:val="18"/>
                <w:szCs w:val="18"/>
                <w:lang w:val="en-US"/>
              </w:rPr>
            </w:pPr>
            <w:r w:rsidRPr="00AF050A">
              <w:rPr>
                <w:sz w:val="18"/>
                <w:szCs w:val="18"/>
                <w:lang w:val="en-US"/>
              </w:rPr>
              <w:t>Progress towards target but at an insufficient rate</w:t>
            </w:r>
          </w:p>
        </w:tc>
        <w:tc>
          <w:tcPr>
            <w:tcW w:w="4263" w:type="dxa"/>
          </w:tcPr>
          <w:p w14:paraId="3BAC8A3B" w14:textId="64D20D57" w:rsidR="00AF050A" w:rsidRPr="00AF050A" w:rsidRDefault="00AF050A" w:rsidP="005B1F81">
            <w:pPr>
              <w:spacing w:line="278" w:lineRule="auto"/>
              <w:rPr>
                <w:sz w:val="18"/>
                <w:szCs w:val="18"/>
                <w:lang w:val="es-ES"/>
              </w:rPr>
            </w:pPr>
            <w:r w:rsidRPr="00AF050A">
              <w:rPr>
                <w:sz w:val="18"/>
                <w:szCs w:val="18"/>
                <w:lang w:val="es-ES"/>
              </w:rPr>
              <w:t xml:space="preserve">Se ha progresado hacia la </w:t>
            </w:r>
            <w:proofErr w:type="gramStart"/>
            <w:r w:rsidRPr="00AF050A">
              <w:rPr>
                <w:sz w:val="18"/>
                <w:szCs w:val="18"/>
                <w:lang w:val="es-ES"/>
              </w:rPr>
              <w:t>meta</w:t>
            </w:r>
            <w:proofErr w:type="gramEnd"/>
            <w:r w:rsidRPr="00AF050A">
              <w:rPr>
                <w:sz w:val="18"/>
                <w:szCs w:val="18"/>
                <w:lang w:val="es-ES"/>
              </w:rPr>
              <w:t xml:space="preserve"> pero a un ritmo insuficiente</w:t>
            </w:r>
          </w:p>
        </w:tc>
      </w:tr>
      <w:tr w:rsidR="00AF050A" w:rsidRPr="00AF050A" w14:paraId="66CA40AA" w14:textId="77777777" w:rsidTr="005B1F81">
        <w:tc>
          <w:tcPr>
            <w:tcW w:w="4857" w:type="dxa"/>
          </w:tcPr>
          <w:p w14:paraId="52AF2705" w14:textId="77777777" w:rsidR="00AF050A" w:rsidRPr="00AF050A" w:rsidRDefault="00AF050A" w:rsidP="005B1F81">
            <w:pPr>
              <w:spacing w:line="278" w:lineRule="auto"/>
              <w:rPr>
                <w:sz w:val="18"/>
                <w:szCs w:val="18"/>
                <w:lang w:val="es-ES"/>
              </w:rPr>
            </w:pPr>
            <w:r w:rsidRPr="00AF050A">
              <w:rPr>
                <w:sz w:val="18"/>
                <w:szCs w:val="18"/>
                <w:lang w:val="es-ES"/>
              </w:rPr>
              <w:t xml:space="preserve">No </w:t>
            </w:r>
            <w:proofErr w:type="spellStart"/>
            <w:r w:rsidRPr="00AF050A">
              <w:rPr>
                <w:sz w:val="18"/>
                <w:szCs w:val="18"/>
                <w:lang w:val="es-ES"/>
              </w:rPr>
              <w:t>significant</w:t>
            </w:r>
            <w:proofErr w:type="spellEnd"/>
            <w:r w:rsidRPr="00AF050A">
              <w:rPr>
                <w:sz w:val="18"/>
                <w:szCs w:val="18"/>
                <w:lang w:val="es-ES"/>
              </w:rPr>
              <w:t xml:space="preserve"> </w:t>
            </w:r>
            <w:proofErr w:type="spellStart"/>
            <w:r w:rsidRPr="00AF050A">
              <w:rPr>
                <w:sz w:val="18"/>
                <w:szCs w:val="18"/>
                <w:lang w:val="es-ES"/>
              </w:rPr>
              <w:t>change</w:t>
            </w:r>
            <w:proofErr w:type="spellEnd"/>
          </w:p>
        </w:tc>
        <w:tc>
          <w:tcPr>
            <w:tcW w:w="4263" w:type="dxa"/>
          </w:tcPr>
          <w:p w14:paraId="2478C69B" w14:textId="6956A85B" w:rsidR="00AF050A" w:rsidRPr="00AF050A" w:rsidRDefault="00AF050A" w:rsidP="005B1F81">
            <w:pPr>
              <w:spacing w:line="278" w:lineRule="auto"/>
              <w:rPr>
                <w:sz w:val="18"/>
                <w:szCs w:val="18"/>
                <w:lang w:val="es-ES"/>
              </w:rPr>
            </w:pPr>
            <w:r w:rsidRPr="00AF050A">
              <w:rPr>
                <w:sz w:val="18"/>
                <w:szCs w:val="18"/>
                <w:lang w:val="es-ES"/>
              </w:rPr>
              <w:t>No hay cambios significativos</w:t>
            </w:r>
          </w:p>
        </w:tc>
      </w:tr>
      <w:tr w:rsidR="00AF050A" w:rsidRPr="00AF050A" w14:paraId="69266489" w14:textId="77777777" w:rsidTr="005B1F81">
        <w:tc>
          <w:tcPr>
            <w:tcW w:w="4857" w:type="dxa"/>
          </w:tcPr>
          <w:p w14:paraId="781FB742" w14:textId="77777777" w:rsidR="00AF050A" w:rsidRPr="00AF050A" w:rsidRDefault="00AF050A" w:rsidP="005B1F81">
            <w:pPr>
              <w:spacing w:line="278" w:lineRule="auto"/>
              <w:rPr>
                <w:sz w:val="18"/>
                <w:szCs w:val="18"/>
                <w:lang w:val="es-ES"/>
              </w:rPr>
            </w:pPr>
            <w:r w:rsidRPr="00AF050A">
              <w:rPr>
                <w:sz w:val="18"/>
                <w:szCs w:val="18"/>
                <w:lang w:val="es-ES"/>
              </w:rPr>
              <w:t>Unknown</w:t>
            </w:r>
          </w:p>
        </w:tc>
        <w:tc>
          <w:tcPr>
            <w:tcW w:w="4263" w:type="dxa"/>
          </w:tcPr>
          <w:p w14:paraId="73C668B1" w14:textId="3C859E86" w:rsidR="00AF050A" w:rsidRPr="00AF050A" w:rsidRDefault="00AF050A" w:rsidP="005B1F81">
            <w:pPr>
              <w:spacing w:line="278" w:lineRule="auto"/>
              <w:rPr>
                <w:sz w:val="18"/>
                <w:szCs w:val="18"/>
                <w:lang w:val="es-ES"/>
              </w:rPr>
            </w:pPr>
            <w:r w:rsidRPr="00AF050A">
              <w:rPr>
                <w:sz w:val="18"/>
                <w:szCs w:val="18"/>
                <w:lang w:val="es-ES"/>
              </w:rPr>
              <w:t>Se desconoce</w:t>
            </w:r>
          </w:p>
        </w:tc>
      </w:tr>
      <w:tr w:rsidR="00AF050A" w:rsidRPr="00AF050A" w14:paraId="2129AF04" w14:textId="77777777" w:rsidTr="005B1F81">
        <w:tc>
          <w:tcPr>
            <w:tcW w:w="4857" w:type="dxa"/>
          </w:tcPr>
          <w:p w14:paraId="00EBC622" w14:textId="77777777" w:rsidR="00AF050A" w:rsidRPr="00AF050A" w:rsidRDefault="00AF050A" w:rsidP="005B1F81">
            <w:pPr>
              <w:spacing w:line="278" w:lineRule="auto"/>
              <w:rPr>
                <w:sz w:val="18"/>
                <w:szCs w:val="18"/>
                <w:lang w:val="es-ES"/>
              </w:rPr>
            </w:pPr>
            <w:r w:rsidRPr="00AF050A">
              <w:rPr>
                <w:sz w:val="18"/>
                <w:szCs w:val="18"/>
                <w:lang w:val="es-ES"/>
              </w:rPr>
              <w:t xml:space="preserve">Party </w:t>
            </w:r>
            <w:proofErr w:type="spellStart"/>
            <w:r w:rsidRPr="00AF050A">
              <w:rPr>
                <w:sz w:val="18"/>
                <w:szCs w:val="18"/>
                <w:lang w:val="es-ES"/>
              </w:rPr>
              <w:t>count</w:t>
            </w:r>
            <w:proofErr w:type="spellEnd"/>
            <w:r w:rsidRPr="00AF050A">
              <w:rPr>
                <w:sz w:val="18"/>
                <w:szCs w:val="18"/>
                <w:lang w:val="es-ES"/>
              </w:rPr>
              <w:t>: 95</w:t>
            </w:r>
          </w:p>
        </w:tc>
        <w:tc>
          <w:tcPr>
            <w:tcW w:w="4263" w:type="dxa"/>
          </w:tcPr>
          <w:p w14:paraId="701CC6CA" w14:textId="6D1F50FF" w:rsidR="00AF050A" w:rsidRPr="00AF050A" w:rsidRDefault="00AF050A" w:rsidP="005B1F81">
            <w:pPr>
              <w:spacing w:line="278" w:lineRule="auto"/>
              <w:rPr>
                <w:sz w:val="18"/>
                <w:szCs w:val="18"/>
                <w:lang w:val="es-ES"/>
              </w:rPr>
            </w:pPr>
            <w:r w:rsidRPr="00AF050A">
              <w:rPr>
                <w:sz w:val="18"/>
                <w:szCs w:val="18"/>
                <w:lang w:val="es-ES"/>
              </w:rPr>
              <w:t>Número de Partes: 95</w:t>
            </w:r>
          </w:p>
        </w:tc>
      </w:tr>
      <w:tr w:rsidR="00AF050A" w:rsidRPr="00AF050A" w14:paraId="72758E8D" w14:textId="77777777" w:rsidTr="005B1F81">
        <w:tc>
          <w:tcPr>
            <w:tcW w:w="4857" w:type="dxa"/>
          </w:tcPr>
          <w:p w14:paraId="572BF5BB" w14:textId="77777777" w:rsidR="00AF050A" w:rsidRPr="00AF050A" w:rsidRDefault="00AF050A" w:rsidP="005B1F81">
            <w:pPr>
              <w:spacing w:line="278" w:lineRule="auto"/>
              <w:rPr>
                <w:sz w:val="18"/>
                <w:szCs w:val="18"/>
                <w:lang w:val="es-ES"/>
              </w:rPr>
            </w:pPr>
            <w:proofErr w:type="spellStart"/>
            <w:r w:rsidRPr="00AF050A">
              <w:rPr>
                <w:sz w:val="18"/>
                <w:szCs w:val="18"/>
                <w:lang w:val="es-ES"/>
              </w:rPr>
              <w:t>Region</w:t>
            </w:r>
            <w:proofErr w:type="spellEnd"/>
          </w:p>
        </w:tc>
        <w:tc>
          <w:tcPr>
            <w:tcW w:w="4263" w:type="dxa"/>
          </w:tcPr>
          <w:p w14:paraId="4C7EF980" w14:textId="65732A11" w:rsidR="00AF050A" w:rsidRPr="00AF050A" w:rsidRDefault="00AF050A" w:rsidP="005B1F81">
            <w:pPr>
              <w:spacing w:line="278" w:lineRule="auto"/>
              <w:rPr>
                <w:sz w:val="18"/>
                <w:szCs w:val="18"/>
                <w:lang w:val="es-ES"/>
              </w:rPr>
            </w:pPr>
            <w:r w:rsidRPr="00AF050A">
              <w:rPr>
                <w:sz w:val="18"/>
                <w:szCs w:val="18"/>
                <w:lang w:val="es-ES"/>
              </w:rPr>
              <w:t>Región</w:t>
            </w:r>
          </w:p>
        </w:tc>
      </w:tr>
      <w:tr w:rsidR="00AF050A" w:rsidRPr="00AF050A" w14:paraId="2D8C834A" w14:textId="77777777" w:rsidTr="005B1F81">
        <w:tc>
          <w:tcPr>
            <w:tcW w:w="4857" w:type="dxa"/>
          </w:tcPr>
          <w:p w14:paraId="22EAA046" w14:textId="77777777" w:rsidR="00AF050A" w:rsidRPr="00AF050A" w:rsidRDefault="00AF050A" w:rsidP="005B1F81">
            <w:pPr>
              <w:spacing w:line="278" w:lineRule="auto"/>
              <w:rPr>
                <w:sz w:val="18"/>
                <w:szCs w:val="18"/>
                <w:lang w:val="es-ES"/>
              </w:rPr>
            </w:pPr>
            <w:r w:rsidRPr="00AF050A">
              <w:rPr>
                <w:sz w:val="18"/>
                <w:szCs w:val="18"/>
                <w:lang w:val="es-ES"/>
              </w:rPr>
              <w:t>African States</w:t>
            </w:r>
          </w:p>
        </w:tc>
        <w:tc>
          <w:tcPr>
            <w:tcW w:w="4263" w:type="dxa"/>
          </w:tcPr>
          <w:p w14:paraId="1E136A62" w14:textId="0E21A984" w:rsidR="00AF050A" w:rsidRPr="00AF050A" w:rsidRDefault="00AF050A" w:rsidP="005B1F81">
            <w:pPr>
              <w:spacing w:line="278" w:lineRule="auto"/>
              <w:rPr>
                <w:sz w:val="18"/>
                <w:szCs w:val="18"/>
                <w:lang w:val="es-ES"/>
              </w:rPr>
            </w:pPr>
            <w:r w:rsidRPr="00AF050A">
              <w:rPr>
                <w:sz w:val="18"/>
                <w:szCs w:val="18"/>
                <w:lang w:val="es-ES"/>
              </w:rPr>
              <w:t>Estados de África</w:t>
            </w:r>
          </w:p>
        </w:tc>
      </w:tr>
      <w:tr w:rsidR="00AF050A" w:rsidRPr="00AF050A" w14:paraId="142A008E" w14:textId="77777777" w:rsidTr="005B1F81">
        <w:tc>
          <w:tcPr>
            <w:tcW w:w="4857" w:type="dxa"/>
          </w:tcPr>
          <w:p w14:paraId="02957C56" w14:textId="77777777" w:rsidR="00AF050A" w:rsidRPr="00AF050A" w:rsidRDefault="00AF050A" w:rsidP="005B1F81">
            <w:pPr>
              <w:spacing w:line="278" w:lineRule="auto"/>
              <w:rPr>
                <w:sz w:val="18"/>
                <w:szCs w:val="18"/>
                <w:lang w:val="es-ES"/>
              </w:rPr>
            </w:pPr>
            <w:r w:rsidRPr="00AF050A">
              <w:rPr>
                <w:sz w:val="18"/>
                <w:szCs w:val="18"/>
                <w:lang w:val="es-ES"/>
              </w:rPr>
              <w:t>Asia-Pacific States</w:t>
            </w:r>
          </w:p>
        </w:tc>
        <w:tc>
          <w:tcPr>
            <w:tcW w:w="4263" w:type="dxa"/>
          </w:tcPr>
          <w:p w14:paraId="3BCFA989" w14:textId="3C70F08A" w:rsidR="00AF050A" w:rsidRPr="00AF050A" w:rsidRDefault="00AF050A" w:rsidP="005B1F81">
            <w:pPr>
              <w:spacing w:line="278" w:lineRule="auto"/>
              <w:rPr>
                <w:sz w:val="18"/>
                <w:szCs w:val="18"/>
                <w:lang w:val="es-ES"/>
              </w:rPr>
            </w:pPr>
            <w:r w:rsidRPr="00AF050A">
              <w:rPr>
                <w:sz w:val="18"/>
                <w:szCs w:val="18"/>
                <w:lang w:val="es-ES"/>
              </w:rPr>
              <w:t>Estados de Asia y el Pacífico</w:t>
            </w:r>
          </w:p>
        </w:tc>
      </w:tr>
      <w:tr w:rsidR="00AF050A" w:rsidRPr="00AF050A" w14:paraId="7D3898FF" w14:textId="77777777" w:rsidTr="005B1F81">
        <w:tc>
          <w:tcPr>
            <w:tcW w:w="4857" w:type="dxa"/>
          </w:tcPr>
          <w:p w14:paraId="2A6402C8" w14:textId="77777777" w:rsidR="00AF050A" w:rsidRPr="00AF050A" w:rsidRDefault="00AF050A" w:rsidP="005B1F81">
            <w:pPr>
              <w:spacing w:line="278" w:lineRule="auto"/>
              <w:rPr>
                <w:sz w:val="18"/>
                <w:szCs w:val="18"/>
                <w:lang w:val="en-US"/>
              </w:rPr>
            </w:pPr>
            <w:r w:rsidRPr="00AF050A">
              <w:rPr>
                <w:sz w:val="18"/>
                <w:szCs w:val="18"/>
                <w:lang w:val="en-US"/>
              </w:rPr>
              <w:t>Latin American and Caribbean States</w:t>
            </w:r>
          </w:p>
        </w:tc>
        <w:tc>
          <w:tcPr>
            <w:tcW w:w="4263" w:type="dxa"/>
          </w:tcPr>
          <w:p w14:paraId="59CB792A" w14:textId="53C8B1D4" w:rsidR="00AF050A" w:rsidRPr="00AF050A" w:rsidRDefault="00AF050A" w:rsidP="005B1F81">
            <w:pPr>
              <w:spacing w:line="278" w:lineRule="auto"/>
              <w:rPr>
                <w:sz w:val="18"/>
                <w:szCs w:val="18"/>
                <w:lang w:val="es-ES"/>
              </w:rPr>
            </w:pPr>
            <w:r w:rsidRPr="00AF050A">
              <w:rPr>
                <w:sz w:val="18"/>
                <w:szCs w:val="18"/>
                <w:lang w:val="es-ES"/>
              </w:rPr>
              <w:t>Estados de América Latina y el Caribe</w:t>
            </w:r>
          </w:p>
        </w:tc>
      </w:tr>
      <w:tr w:rsidR="00AF050A" w:rsidRPr="00AF050A" w14:paraId="7FC379B8" w14:textId="77777777" w:rsidTr="005B1F81">
        <w:tc>
          <w:tcPr>
            <w:tcW w:w="4857" w:type="dxa"/>
          </w:tcPr>
          <w:p w14:paraId="7F527607" w14:textId="77777777" w:rsidR="00AF050A" w:rsidRPr="00AF050A" w:rsidRDefault="00AF050A" w:rsidP="005B1F81">
            <w:pPr>
              <w:spacing w:line="278" w:lineRule="auto"/>
              <w:rPr>
                <w:sz w:val="18"/>
                <w:szCs w:val="18"/>
                <w:lang w:val="es-ES"/>
              </w:rPr>
            </w:pPr>
            <w:r w:rsidRPr="00AF050A">
              <w:rPr>
                <w:sz w:val="18"/>
                <w:szCs w:val="18"/>
                <w:lang w:val="es-ES"/>
              </w:rPr>
              <w:t xml:space="preserve"> Eastern European States</w:t>
            </w:r>
          </w:p>
        </w:tc>
        <w:tc>
          <w:tcPr>
            <w:tcW w:w="4263" w:type="dxa"/>
          </w:tcPr>
          <w:p w14:paraId="1986F371" w14:textId="555AE7BC" w:rsidR="00AF050A" w:rsidRPr="00AF050A" w:rsidRDefault="00AF050A" w:rsidP="005B1F81">
            <w:pPr>
              <w:spacing w:line="278" w:lineRule="auto"/>
              <w:rPr>
                <w:sz w:val="18"/>
                <w:szCs w:val="18"/>
                <w:lang w:val="es-ES"/>
              </w:rPr>
            </w:pPr>
            <w:r w:rsidRPr="00AF050A">
              <w:rPr>
                <w:sz w:val="18"/>
                <w:szCs w:val="18"/>
                <w:lang w:val="es-ES"/>
              </w:rPr>
              <w:t>Estados de Europa Oriental</w:t>
            </w:r>
          </w:p>
        </w:tc>
      </w:tr>
      <w:tr w:rsidR="00AF050A" w:rsidRPr="00AF050A" w14:paraId="1D774F9E" w14:textId="77777777" w:rsidTr="005B1F81">
        <w:tc>
          <w:tcPr>
            <w:tcW w:w="4857" w:type="dxa"/>
          </w:tcPr>
          <w:p w14:paraId="09217B76" w14:textId="77777777" w:rsidR="00AF050A" w:rsidRPr="00AF050A" w:rsidRDefault="00AF050A" w:rsidP="005B1F81">
            <w:pPr>
              <w:spacing w:line="278" w:lineRule="auto"/>
              <w:rPr>
                <w:sz w:val="18"/>
                <w:szCs w:val="18"/>
                <w:lang w:val="en-US"/>
              </w:rPr>
            </w:pPr>
            <w:r w:rsidRPr="00AF050A">
              <w:rPr>
                <w:sz w:val="18"/>
                <w:szCs w:val="18"/>
                <w:lang w:val="en-US"/>
              </w:rPr>
              <w:t>Western European and other States</w:t>
            </w:r>
          </w:p>
        </w:tc>
        <w:tc>
          <w:tcPr>
            <w:tcW w:w="4263" w:type="dxa"/>
          </w:tcPr>
          <w:p w14:paraId="648A1BD5" w14:textId="1B78E959" w:rsidR="00AF050A" w:rsidRPr="00AF050A" w:rsidRDefault="00AF050A" w:rsidP="005B1F81">
            <w:pPr>
              <w:spacing w:line="278" w:lineRule="auto"/>
              <w:rPr>
                <w:sz w:val="18"/>
                <w:szCs w:val="18"/>
                <w:lang w:val="es-ES"/>
              </w:rPr>
            </w:pPr>
            <w:r w:rsidRPr="00AF050A">
              <w:rPr>
                <w:sz w:val="18"/>
                <w:szCs w:val="18"/>
                <w:lang w:val="es-ES"/>
              </w:rPr>
              <w:t>Estados de Europa Occidental y otros Estados</w:t>
            </w:r>
          </w:p>
        </w:tc>
      </w:tr>
    </w:tbl>
    <w:p w14:paraId="512CCFC6" w14:textId="77777777" w:rsidR="00AF050A" w:rsidRPr="005E3D50" w:rsidRDefault="00AF050A" w:rsidP="009713BF">
      <w:pPr>
        <w:spacing w:after="200" w:line="240" w:lineRule="auto"/>
        <w:rPr>
          <w:rFonts w:eastAsiaTheme="minorEastAsia"/>
          <w:color w:val="0E2841" w:themeColor="text2"/>
          <w:kern w:val="0"/>
          <w:sz w:val="18"/>
          <w:szCs w:val="18"/>
          <w:lang w:val="es-ES" w:eastAsia="ja-JP"/>
          <w14:ligatures w14:val="none"/>
        </w:rPr>
      </w:pPr>
    </w:p>
    <w:p w14:paraId="07277D3B"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10FBF09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Medidas, logros y dificultades </w:t>
      </w:r>
      <w:bookmarkEnd w:id="346"/>
      <w:r w:rsidRPr="005E3D50">
        <w:rPr>
          <w:rFonts w:eastAsiaTheme="majorEastAsia" w:cstheme="majorBidi"/>
          <w:color w:val="0F4761" w:themeColor="accent1" w:themeShade="BF"/>
          <w:lang w:val="es-ES"/>
        </w:rPr>
        <w:t>en la implementación</w:t>
      </w:r>
    </w:p>
    <w:p w14:paraId="2C4A8902"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47" w:name="_Toc235821199"/>
    </w:p>
    <w:p w14:paraId="4276E0A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12</w:t>
      </w:r>
      <w:bookmarkEnd w:id="347"/>
      <w:r w:rsidRPr="005E3D50">
        <w:rPr>
          <w:rFonts w:eastAsiaTheme="majorEastAsia" w:cstheme="majorBidi"/>
          <w:i/>
          <w:iCs/>
          <w:color w:val="595959" w:themeColor="text1" w:themeTint="A6"/>
          <w:lang w:val="es-ES"/>
        </w:rPr>
        <w:t xml:space="preserve"> del Marco</w:t>
      </w:r>
    </w:p>
    <w:p w14:paraId="65943E3A" w14:textId="77777777" w:rsidR="009713BF" w:rsidRPr="005E3D50" w:rsidRDefault="009713BF" w:rsidP="009713BF">
      <w:pPr>
        <w:rPr>
          <w:lang w:val="es-ES"/>
        </w:rPr>
      </w:pPr>
    </w:p>
    <w:p w14:paraId="03242AB0" w14:textId="77777777" w:rsidR="009713BF" w:rsidRPr="005E3D50" w:rsidRDefault="009713BF" w:rsidP="009713BF">
      <w:pPr>
        <w:rPr>
          <w:lang w:val="es-ES"/>
        </w:rPr>
      </w:pPr>
      <w:r w:rsidRPr="005E3D50">
        <w:rPr>
          <w:lang w:val="es-ES"/>
        </w:rPr>
        <w:t>Las medidas más comúnmente mencionadas por las Partes son intervenciones directas para apoyar la conversión de superficies urbanas en espacios verdes y la restauración de hábitats. Esto incluye desde la plantación de árboles con metas cuantificadas hasta la creación de parques y la rehabilitación de humedales, la estabilización de riberas y la construcción de corredores ecológicos en zonas urbanas (véase el recuadro 34). Muchas Partes también informan que han adoptado medidas específicas de mejora de espacios azules en zonas urbanas, entre ellas políticas de reducción de la contaminación de lagos y ríos y de rehabilitación de cursos de agua urbanos. Varias Partes comunican medidas tendientes a establecer o proyectar corredores ecológicos que conecten espacios verdes urbanos. Muchas Partes han establecido por ley proporciones obligatorias de espacios verdes y azules accesibles a poblaciones urbanas, así como otros requisitos de diversidad biológica, incorporándolos a instrumentos de planificación. Se informa ampliamente sobre campañas de sensibilización, educación ambiental, ciencia ciudadana y participación comunitaria que contribuyen a la consecución de la meta 12; no obstante, esas medidas no están bien representadas en las metas nacionales y los indicadores cuantitativos presentados.</w:t>
      </w:r>
    </w:p>
    <w:p w14:paraId="1D865FD5" w14:textId="77777777" w:rsidR="009713BF" w:rsidRPr="005E3D50" w:rsidRDefault="009713BF" w:rsidP="009713BF">
      <w:pPr>
        <w:rPr>
          <w:lang w:val="es-ES"/>
        </w:rPr>
      </w:pPr>
    </w:p>
    <w:p w14:paraId="4717233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48" w:name="_Toc235821200"/>
      <w:r w:rsidRPr="005E3D50">
        <w:rPr>
          <w:rFonts w:eastAsiaTheme="majorEastAsia" w:cstheme="majorBidi"/>
          <w:i/>
          <w:iCs/>
          <w:color w:val="595959" w:themeColor="text1" w:themeTint="A6"/>
          <w:lang w:val="es-ES"/>
        </w:rPr>
        <w:t>Ejemplos de logros y progresos en la implementación</w:t>
      </w:r>
      <w:bookmarkEnd w:id="348"/>
    </w:p>
    <w:p w14:paraId="5DAE74E7" w14:textId="77777777" w:rsidR="009713BF" w:rsidRPr="005E3D50" w:rsidRDefault="009713BF" w:rsidP="009713BF">
      <w:pPr>
        <w:rPr>
          <w:lang w:val="es-ES"/>
        </w:rPr>
      </w:pPr>
    </w:p>
    <w:p w14:paraId="08C7BB28"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12182AEF" w14:textId="77777777" w:rsidTr="006E6831">
        <w:tc>
          <w:tcPr>
            <w:tcW w:w="9016" w:type="dxa"/>
            <w:shd w:val="clear" w:color="auto" w:fill="D1D1D1" w:themeFill="background2" w:themeFillShade="E6"/>
          </w:tcPr>
          <w:p w14:paraId="71639CF5" w14:textId="77777777" w:rsidR="009713BF" w:rsidRPr="005E3D50" w:rsidRDefault="009713BF" w:rsidP="009713BF">
            <w:pPr>
              <w:rPr>
                <w:sz w:val="20"/>
                <w:szCs w:val="20"/>
                <w:lang w:val="es-ES"/>
              </w:rPr>
            </w:pPr>
            <w:r w:rsidRPr="005E3D50">
              <w:rPr>
                <w:sz w:val="20"/>
                <w:lang w:val="es-ES"/>
              </w:rPr>
              <w:t>Recuadro 34</w:t>
            </w:r>
          </w:p>
          <w:p w14:paraId="15896263" w14:textId="77777777" w:rsidR="009713BF" w:rsidRPr="005E3D50" w:rsidRDefault="009713BF" w:rsidP="009713BF">
            <w:pPr>
              <w:rPr>
                <w:b/>
                <w:bCs/>
                <w:sz w:val="20"/>
                <w:szCs w:val="20"/>
                <w:lang w:val="es-ES"/>
              </w:rPr>
            </w:pPr>
          </w:p>
          <w:p w14:paraId="52901B59" w14:textId="77777777" w:rsidR="009713BF" w:rsidRPr="005E3D50" w:rsidRDefault="009713BF" w:rsidP="009713BF">
            <w:pPr>
              <w:rPr>
                <w:b/>
                <w:bCs/>
                <w:sz w:val="20"/>
                <w:szCs w:val="20"/>
                <w:lang w:val="es-ES"/>
              </w:rPr>
            </w:pPr>
            <w:r w:rsidRPr="005E3D50">
              <w:rPr>
                <w:b/>
                <w:sz w:val="20"/>
                <w:lang w:val="es-ES"/>
              </w:rPr>
              <w:t xml:space="preserve">Gobernanza ecológica urbana a múltiples niveles que combina instrumentos jurídicos, financieros y comunitarios en Bélgica </w:t>
            </w:r>
          </w:p>
          <w:p w14:paraId="7D7605B0" w14:textId="77777777" w:rsidR="009713BF" w:rsidRPr="005E3D50" w:rsidRDefault="009713BF" w:rsidP="009713BF">
            <w:pPr>
              <w:rPr>
                <w:lang w:val="es-ES"/>
              </w:rPr>
            </w:pPr>
          </w:p>
          <w:p w14:paraId="33C52168" w14:textId="77777777" w:rsidR="009713BF" w:rsidRPr="005E3D50" w:rsidRDefault="009713BF" w:rsidP="009713BF">
            <w:pPr>
              <w:rPr>
                <w:sz w:val="20"/>
                <w:szCs w:val="20"/>
                <w:lang w:val="es-ES"/>
              </w:rPr>
            </w:pPr>
            <w:r w:rsidRPr="005E3D50">
              <w:rPr>
                <w:sz w:val="20"/>
                <w:lang w:val="es-ES"/>
              </w:rPr>
              <w:t>Bélgica enfrenta importantes desafíos para el mantenimiento de las contribuciones de la naturaleza a las personas en zonas urbanas densamente pobladas, debido a carencias severas de espacios verdes y azules, el sellado generalizado del suelo, hábitats ecológicos fragmentados y uso excesivo de plaguicidas en áreas públicas. Muchos residentes carecen de jardines privados o espacios verdes públicos cercanos y hay una distribución desigual de esos espacios en los distintos barrios.</w:t>
            </w:r>
          </w:p>
          <w:p w14:paraId="2C9F5EFC" w14:textId="77777777" w:rsidR="009713BF" w:rsidRPr="005E3D50" w:rsidRDefault="009713BF" w:rsidP="009713BF">
            <w:pPr>
              <w:rPr>
                <w:sz w:val="20"/>
                <w:szCs w:val="20"/>
                <w:lang w:val="es-ES"/>
              </w:rPr>
            </w:pPr>
          </w:p>
          <w:p w14:paraId="790BB8F8" w14:textId="77777777" w:rsidR="009713BF" w:rsidRPr="005E3D50" w:rsidRDefault="009713BF" w:rsidP="009713BF">
            <w:pPr>
              <w:rPr>
                <w:sz w:val="20"/>
                <w:szCs w:val="20"/>
                <w:lang w:val="es-ES"/>
              </w:rPr>
            </w:pPr>
            <w:r w:rsidRPr="005E3D50">
              <w:rPr>
                <w:sz w:val="20"/>
                <w:lang w:val="es-ES"/>
              </w:rPr>
              <w:t>Con el fin de restaurar, mantener y mejorar las contribuciones de la naturaleza a las personas, Bélgica ha implementado una gobernanza ecológica a múltiples niveles en las regiones de Flandes, Valona y Bruselas-Capital. Se comunica que la meta nacional pertinente está en vías de alcanzarse.</w:t>
            </w:r>
          </w:p>
          <w:p w14:paraId="51C3F09D" w14:textId="77777777" w:rsidR="009713BF" w:rsidRPr="005E3D50" w:rsidRDefault="009713BF" w:rsidP="009713BF">
            <w:pPr>
              <w:rPr>
                <w:sz w:val="20"/>
                <w:szCs w:val="20"/>
                <w:lang w:val="es-ES"/>
              </w:rPr>
            </w:pPr>
          </w:p>
          <w:p w14:paraId="64F28DE0" w14:textId="77777777" w:rsidR="009713BF" w:rsidRPr="005E3D50" w:rsidRDefault="009713BF" w:rsidP="009713BF">
            <w:pPr>
              <w:rPr>
                <w:sz w:val="20"/>
                <w:szCs w:val="20"/>
                <w:lang w:val="es-ES"/>
              </w:rPr>
            </w:pPr>
            <w:r w:rsidRPr="005E3D50">
              <w:rPr>
                <w:sz w:val="20"/>
                <w:lang w:val="es-ES"/>
              </w:rPr>
              <w:t xml:space="preserve">Como parte de la iniciativa, Bélgica ha restaurado 88 kilómetros de infraestructura azul y creado más de 6.300 hectáreas de humedales en el marco del Pacto Azul (región de Flandes). En 2021, la región de Valona introdujo el esquema de subsidios </w:t>
            </w:r>
            <w:proofErr w:type="spellStart"/>
            <w:r w:rsidRPr="005E3D50">
              <w:rPr>
                <w:sz w:val="20"/>
                <w:lang w:val="es-ES"/>
              </w:rPr>
              <w:t>BiodiverCité</w:t>
            </w:r>
            <w:proofErr w:type="spellEnd"/>
            <w:r w:rsidRPr="005E3D50">
              <w:rPr>
                <w:sz w:val="20"/>
                <w:lang w:val="es-ES"/>
              </w:rPr>
              <w:t>, en el que participa el 88 % de las municipalidades. El Programa de Corte Tardío cubre más de 16.200 kilómetros de caminos y ha sido adoptado por el 89 % de las municipalidades. Se eliminó el uso de plaguicidas en espacios públicos en toda la región de Valona y se estableció una red de más de 2.400 jardines naturales certificados. En los últimos 20 años, Bruselas sumó alrededor de 100 hectáreas de espacios verdes gestionados.</w:t>
            </w:r>
          </w:p>
          <w:p w14:paraId="4839B838" w14:textId="77777777" w:rsidR="009713BF" w:rsidRPr="005E3D50" w:rsidRDefault="009713BF" w:rsidP="009713BF">
            <w:pPr>
              <w:rPr>
                <w:sz w:val="20"/>
                <w:szCs w:val="20"/>
                <w:lang w:val="es-ES"/>
              </w:rPr>
            </w:pPr>
          </w:p>
          <w:p w14:paraId="695D211F" w14:textId="77777777" w:rsidR="009713BF" w:rsidRPr="005E3D50" w:rsidRDefault="009713BF" w:rsidP="009713BF">
            <w:pPr>
              <w:rPr>
                <w:sz w:val="20"/>
                <w:szCs w:val="20"/>
                <w:lang w:val="es-ES"/>
              </w:rPr>
            </w:pPr>
            <w:r w:rsidRPr="005E3D50">
              <w:rPr>
                <w:sz w:val="20"/>
                <w:lang w:val="es-ES"/>
              </w:rPr>
              <w:t>Algunas de las principales dificultades que se enfrentan son la gobernanza fragmentada a nivel federal y regional y carencias en la recolección de datos. Entre otros enfoques adoptados para promover una mayor implementación figuran el fortalecimiento de mecanismos de coordinación y el aumento de los esfuerzos de restauración.</w:t>
            </w:r>
          </w:p>
          <w:p w14:paraId="34CC87DE" w14:textId="77777777" w:rsidR="009713BF" w:rsidRPr="005E3D50" w:rsidRDefault="009713BF" w:rsidP="009713BF">
            <w:pPr>
              <w:rPr>
                <w:sz w:val="20"/>
                <w:szCs w:val="20"/>
                <w:lang w:val="es-ES"/>
              </w:rPr>
            </w:pPr>
          </w:p>
          <w:p w14:paraId="25850ED1"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1, 2, 7, 11, 12 y 14.</w:t>
            </w:r>
          </w:p>
          <w:p w14:paraId="7C96201E" w14:textId="77777777" w:rsidR="009713BF" w:rsidRPr="005E3D50" w:rsidRDefault="009713BF" w:rsidP="009713BF">
            <w:pPr>
              <w:rPr>
                <w:sz w:val="20"/>
                <w:szCs w:val="20"/>
                <w:lang w:val="es-ES"/>
              </w:rPr>
            </w:pPr>
            <w:r w:rsidRPr="005E3D50">
              <w:rPr>
                <w:i/>
                <w:sz w:val="20"/>
                <w:lang w:val="es-ES"/>
              </w:rPr>
              <w:t xml:space="preserve">Fuente: </w:t>
            </w:r>
            <w:r w:rsidRPr="005E3D50">
              <w:rPr>
                <w:sz w:val="20"/>
                <w:lang w:val="es-ES"/>
              </w:rPr>
              <w:t>Bélgica, séptimo informe nacional presentado al Convenio.</w:t>
            </w:r>
          </w:p>
          <w:p w14:paraId="265B27F2" w14:textId="77777777" w:rsidR="009713BF" w:rsidRPr="005E3D50" w:rsidRDefault="009713BF" w:rsidP="009713BF">
            <w:pPr>
              <w:rPr>
                <w:lang w:val="es-ES"/>
              </w:rPr>
            </w:pPr>
            <w:r w:rsidRPr="005E3D50">
              <w:rPr>
                <w:lang w:val="es-ES"/>
              </w:rPr>
              <w:t xml:space="preserve"> </w:t>
            </w:r>
          </w:p>
        </w:tc>
      </w:tr>
    </w:tbl>
    <w:p w14:paraId="4433D942" w14:textId="77777777" w:rsidR="009713BF" w:rsidRPr="005E3D50" w:rsidRDefault="009713BF" w:rsidP="009713BF">
      <w:pPr>
        <w:rPr>
          <w:lang w:val="es-ES"/>
        </w:rPr>
      </w:pPr>
    </w:p>
    <w:p w14:paraId="142288E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49" w:name="_Toc235821201"/>
      <w:r w:rsidRPr="005E3D50">
        <w:rPr>
          <w:rFonts w:eastAsiaTheme="majorEastAsia" w:cstheme="majorBidi"/>
          <w:i/>
          <w:iCs/>
          <w:color w:val="595959" w:themeColor="text1" w:themeTint="A6"/>
          <w:lang w:val="es-ES"/>
        </w:rPr>
        <w:t>Dificultades</w:t>
      </w:r>
      <w:bookmarkEnd w:id="349"/>
    </w:p>
    <w:p w14:paraId="0BEBBEAC" w14:textId="77777777" w:rsidR="009713BF" w:rsidRPr="005E3D50" w:rsidRDefault="009713BF" w:rsidP="009713BF">
      <w:pPr>
        <w:spacing w:line="276" w:lineRule="auto"/>
        <w:rPr>
          <w:rFonts w:ascii="Aptos" w:eastAsia="Aptos" w:hAnsi="Aptos" w:cs="Aptos"/>
          <w:lang w:val="es-ES"/>
        </w:rPr>
      </w:pPr>
    </w:p>
    <w:p w14:paraId="6DFE8667" w14:textId="77777777" w:rsidR="009713BF" w:rsidRPr="005E3D50" w:rsidRDefault="009713BF" w:rsidP="009713BF">
      <w:pPr>
        <w:spacing w:line="276" w:lineRule="auto"/>
        <w:rPr>
          <w:rFonts w:ascii="Aptos" w:eastAsia="Aptos" w:hAnsi="Aptos" w:cs="Aptos"/>
          <w:lang w:val="es-ES"/>
        </w:rPr>
      </w:pPr>
      <w:r w:rsidRPr="005E3D50">
        <w:rPr>
          <w:rFonts w:ascii="Aptos" w:hAnsi="Aptos"/>
          <w:lang w:val="es-ES"/>
        </w:rPr>
        <w:t xml:space="preserve">Muchas Partes reconocen que carecen de políticas nacionales dedicadas a cuestiones de naturaleza urbana y que no llevan a cabo un seguimiento sistemático de la diversidad biológica urbana, lo cual supone desafíos para la consecución de la meta 12. La falta de coordinación entre sectores y departamentos gubernamentales plantea otras dificultades en este sentido, dado que las políticas relacionadas con la infraestructura verde pueden abarcar diversos ministerios, incluidos los de medio ambiente, vivienda, salud, transporte, recursos hídricos y planificación territorial. Además, el hecho de que no haya un intercambio de información entre distintos niveles de gobierno puede plantear dificultades relacionadas con la medición sistemática de los resultados en materia de diversidad biológica urbana y la presentación de informes al respecto. Algunas Partes informan que los gobiernos subnacionales y las municipalidades podrían no tener los conocimientos especializados necesarios para la gestión de paisajes o la ecología urbana. Los marcos de diversidad biológica urbana siguen siendo muchas veces meras guías cuya finalidad es solo la de asesorar, y puede suceder que incluso los marcos jurídicos tengan una aplicación limitada. La financiación insuficiente o incierta de la que disponen gobiernos subnacionales y autoridades locales constituye otra barrera. </w:t>
      </w:r>
      <w:r w:rsidRPr="005E3D50">
        <w:rPr>
          <w:lang w:val="es-ES"/>
        </w:rPr>
        <w:t>En particular en algunos países en desarrollo, el rápido avance de la urbanización, la escasez de viviendas y la expansión de asentamientos informales en zonas ecológicamente sensibles plantea desafíos complejos en materia de planificación que requieren políticas integradas de vivienda, saneamiento, restauración de los ecosistemas e inclusión social.</w:t>
      </w:r>
      <w:r w:rsidRPr="005E3D50">
        <w:rPr>
          <w:rFonts w:ascii="Aptos" w:hAnsi="Aptos"/>
          <w:lang w:val="es-ES"/>
        </w:rPr>
        <w:t xml:space="preserve"> </w:t>
      </w:r>
    </w:p>
    <w:p w14:paraId="587706EA" w14:textId="77777777" w:rsidR="009713BF" w:rsidRPr="005E3D50" w:rsidRDefault="009713BF" w:rsidP="009713BF">
      <w:pPr>
        <w:spacing w:line="276" w:lineRule="auto"/>
        <w:rPr>
          <w:rFonts w:ascii="Aptos" w:eastAsia="Aptos" w:hAnsi="Aptos" w:cs="Aptos"/>
          <w:lang w:val="es-ES"/>
        </w:rPr>
      </w:pPr>
    </w:p>
    <w:p w14:paraId="6951359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50" w:name="_Toc235821202"/>
      <w:r w:rsidRPr="005E3D50">
        <w:rPr>
          <w:rFonts w:eastAsiaTheme="majorEastAsia" w:cstheme="majorBidi"/>
          <w:color w:val="0F4761" w:themeColor="accent1" w:themeShade="BF"/>
          <w:lang w:val="es-ES"/>
        </w:rPr>
        <w:lastRenderedPageBreak/>
        <w:t>Contribuciones de actores distintos de los Gobiernos nacionales</w:t>
      </w:r>
      <w:bookmarkEnd w:id="350"/>
    </w:p>
    <w:p w14:paraId="6B82DCD7" w14:textId="77777777" w:rsidR="009713BF" w:rsidRPr="005E3D50" w:rsidRDefault="009713BF" w:rsidP="009713BF">
      <w:pPr>
        <w:keepNext/>
        <w:keepLines/>
        <w:rPr>
          <w:lang w:val="es-ES"/>
        </w:rPr>
      </w:pPr>
    </w:p>
    <w:p w14:paraId="165F1A4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51" w:name="_Toc235821203"/>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351"/>
    </w:p>
    <w:p w14:paraId="597F8DC6" w14:textId="77777777" w:rsidR="009713BF" w:rsidRPr="005E3D50" w:rsidRDefault="009713BF" w:rsidP="009713BF">
      <w:pPr>
        <w:keepNext/>
        <w:keepLines/>
        <w:rPr>
          <w:lang w:val="es-ES"/>
        </w:rPr>
      </w:pPr>
    </w:p>
    <w:p w14:paraId="0D6ED46D" w14:textId="77777777" w:rsidR="009713BF" w:rsidRPr="005E3D50" w:rsidRDefault="009713BF" w:rsidP="009713BF">
      <w:pPr>
        <w:rPr>
          <w:lang w:val="es-ES"/>
        </w:rPr>
      </w:pPr>
      <w:bookmarkStart w:id="352" w:name="_Toc235821204"/>
      <w:r w:rsidRPr="005E3D50">
        <w:rPr>
          <w:lang w:val="es-ES"/>
        </w:rPr>
        <w:t xml:space="preserve">De los 180 compromisos sustantivos presentados por actores que no son Gobiernos nacionales, solo 3 tienen que ver con la meta 12. Dos fueron presentados por ONG y uno por una compañía privada de bienes raíces. Los tres compromisos reflejan esfuerzos tendientes a integrar la diversidad biológica y soluciones basadas en la naturaleza en la planificación urbana. Todos los compromisos se centran en medidas en Europa, con contribuciones de Bosnia y Herzegovina, Dinamarca y el Reino de los Países Bajos. </w:t>
      </w:r>
    </w:p>
    <w:p w14:paraId="6FD817DC"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501850F3"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Contribuciones integradas en los informes nacionales</w:t>
      </w:r>
      <w:bookmarkEnd w:id="352"/>
    </w:p>
    <w:p w14:paraId="4FE66832" w14:textId="77777777" w:rsidR="009713BF" w:rsidRPr="005E3D50" w:rsidRDefault="009713BF" w:rsidP="009713BF">
      <w:pPr>
        <w:rPr>
          <w:lang w:val="es-ES"/>
        </w:rPr>
      </w:pPr>
    </w:p>
    <w:p w14:paraId="553831E9" w14:textId="77777777" w:rsidR="009713BF" w:rsidRPr="005E3D50" w:rsidRDefault="009713BF" w:rsidP="009713BF">
      <w:pPr>
        <w:rPr>
          <w:lang w:val="es-ES"/>
        </w:rPr>
      </w:pPr>
      <w:r w:rsidRPr="005E3D50">
        <w:rPr>
          <w:lang w:val="es-ES"/>
        </w:rPr>
        <w:t>Los gobiernos subnacionales y las autoridades locales son los principales encargados de las medidas relacionadas con espacios verdes y azules urbanos y suelen formular sus propias estrategias, reglamentaciones y marcos de seguimiento en materia de desarrollo de espacios ecológicos. Las ONG y las organizaciones de la sociedad civil cumplen diversos roles que van desde restauración de ecosistemas hasta certificación, gobernanza conjunta, orientación técnica y seguimiento, mientras que la comunidad científica aporta principalmente valores de referencia, herramientas de planificación y metodologías de seguimiento. Las organizaciones intergubernamentales y los asociados internacionales operan mayoritariamente como financiadores, ejecutores conjuntos y proveedores de creación de capacidad. En la mayoría de los casos el papel que cumplen los ciudadanos es el de receptores de los esfuerzos de sensibilización, mientras que los pueblos indígenas y las comunidades locales cogestionan territorios y recursos y a veces ofician de autoridad espacial principal cuando la capacidad estatal es débil. Si bien todos los ciudadanos se benefician de los espacios verdes urbanos, en términos de lo que aportan a su bienestar, se menciona ampliamente a las mujeres y a la juventud como receptores o beneficiarios, aunque también contribuyen a sensibilizar sobre el tema.</w:t>
      </w:r>
    </w:p>
    <w:p w14:paraId="67DF992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0802468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Ejemplos de vínculos con otros acuerdos, procesos y organizaciones</w:t>
      </w:r>
    </w:p>
    <w:p w14:paraId="5A588414" w14:textId="77777777" w:rsidR="009713BF" w:rsidRPr="005E3D50" w:rsidRDefault="009713BF" w:rsidP="009713BF">
      <w:pPr>
        <w:tabs>
          <w:tab w:val="left" w:pos="1247"/>
          <w:tab w:val="left" w:pos="1871"/>
          <w:tab w:val="left" w:pos="2495"/>
          <w:tab w:val="left" w:pos="3119"/>
          <w:tab w:val="left" w:pos="3577"/>
          <w:tab w:val="left" w:pos="3742"/>
          <w:tab w:val="left" w:pos="3856"/>
          <w:tab w:val="left" w:pos="4366"/>
          <w:tab w:val="left" w:pos="4990"/>
        </w:tabs>
        <w:spacing w:after="120" w:line="240" w:lineRule="auto"/>
        <w:ind w:right="-2"/>
        <w:rPr>
          <w:rFonts w:ascii="Times New Roman" w:eastAsia="Times New Roman" w:hAnsi="Times New Roman" w:cs="Times New Roman"/>
          <w:kern w:val="0"/>
          <w:sz w:val="22"/>
          <w:szCs w:val="22"/>
          <w:lang w:val="es-ES"/>
          <w14:ligatures w14:val="none"/>
        </w:rPr>
      </w:pPr>
    </w:p>
    <w:p w14:paraId="10CFE7B5" w14:textId="77777777" w:rsidR="009713BF" w:rsidRPr="005E3D50" w:rsidRDefault="009713BF" w:rsidP="009713BF">
      <w:pPr>
        <w:tabs>
          <w:tab w:val="left" w:pos="1247"/>
          <w:tab w:val="left" w:pos="1871"/>
          <w:tab w:val="left" w:pos="2495"/>
          <w:tab w:val="left" w:pos="3119"/>
          <w:tab w:val="left" w:pos="3577"/>
          <w:tab w:val="left" w:pos="3742"/>
          <w:tab w:val="left" w:pos="3856"/>
          <w:tab w:val="left" w:pos="4366"/>
          <w:tab w:val="left" w:pos="4990"/>
        </w:tabs>
        <w:spacing w:after="120" w:line="240" w:lineRule="auto"/>
        <w:ind w:right="-2"/>
        <w:rPr>
          <w:rFonts w:eastAsia="Times New Roman" w:cs="Times New Roman"/>
          <w:kern w:val="0"/>
          <w:lang w:val="es-ES"/>
          <w14:ligatures w14:val="none"/>
        </w:rPr>
      </w:pPr>
      <w:r w:rsidRPr="005E3D50">
        <w:rPr>
          <w:rFonts w:eastAsia="Times New Roman" w:cs="Times New Roman"/>
          <w:kern w:val="0"/>
          <w:szCs w:val="20"/>
          <w:lang w:val="es-ES"/>
          <w14:ligatures w14:val="none"/>
        </w:rPr>
        <w:t xml:space="preserve">El Convenio de Estocolmo sobre Contaminantes Orgánicos Persistentes abarca fuentes de contaminación química que afectan la calidad y función ecológica de espacios verdes y </w:t>
      </w:r>
      <w:r w:rsidRPr="005E3D50">
        <w:rPr>
          <w:rFonts w:eastAsia="Times New Roman" w:cs="Times New Roman"/>
          <w:kern w:val="0"/>
          <w:szCs w:val="20"/>
          <w:lang w:val="es-ES"/>
          <w14:ligatures w14:val="none"/>
        </w:rPr>
        <w:lastRenderedPageBreak/>
        <w:t xml:space="preserve">azules urbanos, apoyando así una planificación urbana que tiene en cuenta la diversidad biológica y contribuyendo a la consecución de la meta 12 del Marco. Las obras de desarrollo y renovación urbana pueden liberar al ambiente contaminantes orgánicos persistentes como los que se encuentran en ciertos materiales de construcción y de demolición. El Convenio de Estocolmo promueve la eliminación gradual y la gestión según criterios ecológicos de estas sustancias peligrosas, tales como el </w:t>
      </w:r>
      <w:proofErr w:type="spellStart"/>
      <w:r w:rsidRPr="005E3D50">
        <w:rPr>
          <w:rFonts w:eastAsia="Times New Roman" w:cs="Times New Roman"/>
          <w:kern w:val="0"/>
          <w:szCs w:val="20"/>
          <w:lang w:val="es-ES"/>
          <w14:ligatures w14:val="none"/>
        </w:rPr>
        <w:t>hexabromociclododecano</w:t>
      </w:r>
      <w:proofErr w:type="spellEnd"/>
      <w:r w:rsidRPr="005E3D50">
        <w:rPr>
          <w:rFonts w:eastAsia="Times New Roman" w:cs="Times New Roman"/>
          <w:kern w:val="0"/>
          <w:szCs w:val="20"/>
          <w:lang w:val="es-ES"/>
          <w14:ligatures w14:val="none"/>
        </w:rPr>
        <w:t xml:space="preserve"> que contienen ciertos materiales aislantes, ayudando así a reducir la contaminación de suelos y cuerpos de agua en ciudades y sus alrededores (Secretaría de los Convenios de Basilea, Estocolmo y Rotterdam, 2025).</w:t>
      </w:r>
    </w:p>
    <w:p w14:paraId="12F8C893" w14:textId="77777777" w:rsidR="009713BF" w:rsidRPr="005E3D50" w:rsidRDefault="009713BF" w:rsidP="009713BF">
      <w:pPr>
        <w:tabs>
          <w:tab w:val="left" w:pos="1247"/>
          <w:tab w:val="left" w:pos="1871"/>
          <w:tab w:val="left" w:pos="1912"/>
          <w:tab w:val="left" w:pos="2495"/>
          <w:tab w:val="left" w:pos="3119"/>
          <w:tab w:val="left" w:pos="3742"/>
          <w:tab w:val="left" w:pos="4366"/>
          <w:tab w:val="left" w:pos="4990"/>
        </w:tabs>
        <w:spacing w:after="120" w:line="240" w:lineRule="auto"/>
        <w:rPr>
          <w:rFonts w:eastAsia="Times New Roman" w:cs="Times New Roman"/>
          <w:kern w:val="0"/>
          <w:lang w:val="es-ES"/>
          <w14:ligatures w14:val="none"/>
        </w:rPr>
      </w:pPr>
      <w:r w:rsidRPr="005E3D50">
        <w:rPr>
          <w:rFonts w:eastAsia="Times New Roman" w:cs="Times New Roman"/>
          <w:kern w:val="0"/>
          <w:szCs w:val="20"/>
          <w:lang w:val="es-ES"/>
          <w14:ligatures w14:val="none"/>
        </w:rPr>
        <w:t xml:space="preserve">La integración en estrategias de planificación urbana de las directrices para el manejo de desechos del Convenio de Basilea sobre el Control de los Movimientos Transfronterizos de los Desechos Peligrosos y su Eliminación también apoya la consecución de la meta 12. La colaboración entre encargados de la planificación urbana, autoridades ambientales y profesionales de la gestión de desechos puede ayudar a que el desarrollo y el mantenimiento de espacios verdes y azules en las ciudades se realicen de una manera que minimice la contaminación y proteja las funciones de los ecosistemas. Las directrices técnicas del Convenio de Basilea para el manejo ambientalmente racional de desechos municipales sólidos y otras corrientes pertinentes proporcionan medidas prácticas para la reducción, segregación, eliminación segura y tratamiento de desechos, que resultan cruciales para la prevención de la contaminación en parques, cursos de agua y corredores de diversidad biológica urbanos. La incorporación de estas directrices en estrategias de planificación urbana puede ayudar a reducir presiones ambientales que afectan a espacios verdes, a la vez que se promueven ecosistemas urbanos </w:t>
      </w:r>
      <w:proofErr w:type="gramStart"/>
      <w:r w:rsidRPr="005E3D50">
        <w:rPr>
          <w:rFonts w:eastAsia="Times New Roman" w:cs="Times New Roman"/>
          <w:kern w:val="0"/>
          <w:szCs w:val="20"/>
          <w:lang w:val="es-ES"/>
          <w14:ligatures w14:val="none"/>
        </w:rPr>
        <w:t>más saludables y más resilientes</w:t>
      </w:r>
      <w:proofErr w:type="gramEnd"/>
      <w:r w:rsidRPr="005E3D50">
        <w:rPr>
          <w:rFonts w:eastAsia="Times New Roman" w:cs="Times New Roman"/>
          <w:kern w:val="0"/>
          <w:szCs w:val="20"/>
          <w:lang w:val="es-ES"/>
          <w14:ligatures w14:val="none"/>
        </w:rPr>
        <w:t xml:space="preserve"> (Secretaría de los Convenios de Basilea, Estocolmo y Rotterdam, 2025).</w:t>
      </w:r>
    </w:p>
    <w:p w14:paraId="6D335D42" w14:textId="77777777" w:rsidR="009713BF" w:rsidRPr="005E3D50" w:rsidRDefault="009713BF" w:rsidP="009713BF">
      <w:pPr>
        <w:rPr>
          <w:lang w:val="es-ES"/>
        </w:rPr>
      </w:pPr>
    </w:p>
    <w:p w14:paraId="668D8D1C" w14:textId="77777777" w:rsidR="009713BF" w:rsidRPr="005E3D50" w:rsidRDefault="009713BF" w:rsidP="009713BF">
      <w:pPr>
        <w:rPr>
          <w:lang w:val="es-ES"/>
        </w:rPr>
      </w:pPr>
    </w:p>
    <w:p w14:paraId="5F6B46CF"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353" w:name="_Toc235821205"/>
      <w:bookmarkStart w:id="354" w:name="_Toc239069208"/>
      <w:bookmarkStart w:id="355" w:name="_Toc2067247784"/>
      <w:bookmarkStart w:id="356" w:name="_Toc242882986"/>
      <w:r w:rsidRPr="005E3D50">
        <w:rPr>
          <w:rFonts w:eastAsiaTheme="majorEastAsia" w:cstheme="majorBidi"/>
          <w:b/>
          <w:iCs/>
          <w:color w:val="0F4761" w:themeColor="accent1" w:themeShade="BF"/>
          <w:lang w:val="es-ES"/>
        </w:rPr>
        <w:t>Meta 13.</w:t>
      </w:r>
      <w:r w:rsidRPr="005E3D50">
        <w:rPr>
          <w:rFonts w:eastAsiaTheme="majorEastAsia" w:cstheme="majorBidi"/>
          <w:iCs/>
          <w:color w:val="0F4761" w:themeColor="accent1" w:themeShade="BF"/>
          <w:lang w:val="es-ES"/>
        </w:rPr>
        <w:t xml:space="preserve"> Aumentar la participación en los beneficios que se deriven de recursos genéticos, información digital sobre secuencias y conocimientos tradicionales</w:t>
      </w:r>
      <w:bookmarkEnd w:id="353"/>
      <w:bookmarkEnd w:id="354"/>
      <w:bookmarkEnd w:id="355"/>
      <w:bookmarkEnd w:id="356"/>
    </w:p>
    <w:p w14:paraId="318852A9" w14:textId="77777777" w:rsidR="009713BF" w:rsidRPr="005E3D50" w:rsidRDefault="009713BF" w:rsidP="009713BF">
      <w:pPr>
        <w:rPr>
          <w:lang w:val="es-ES"/>
        </w:rPr>
      </w:pPr>
    </w:p>
    <w:p w14:paraId="55D7E09B" w14:textId="77777777" w:rsidR="009713BF" w:rsidRPr="005E3D50" w:rsidRDefault="009713BF" w:rsidP="009713BF">
      <w:pPr>
        <w:rPr>
          <w:sz w:val="22"/>
          <w:szCs w:val="22"/>
          <w:lang w:val="es-ES"/>
        </w:rPr>
      </w:pPr>
      <w:bookmarkStart w:id="357" w:name="_Toc235821206"/>
      <w:r w:rsidRPr="005E3D50">
        <w:rPr>
          <w:b/>
          <w:sz w:val="22"/>
          <w:lang w:val="es-ES"/>
        </w:rPr>
        <w:t>Texto de la meta.</w:t>
      </w:r>
      <w:r w:rsidRPr="005E3D50">
        <w:rPr>
          <w:sz w:val="22"/>
          <w:lang w:val="es-ES"/>
        </w:rPr>
        <w:t xml:space="preserve"> </w:t>
      </w:r>
      <w:r w:rsidRPr="005E3D50">
        <w:rPr>
          <w:i/>
          <w:sz w:val="22"/>
          <w:lang w:val="es-ES"/>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r w:rsidRPr="005E3D50">
        <w:rPr>
          <w:sz w:val="22"/>
          <w:lang w:val="es-ES"/>
        </w:rPr>
        <w:t>.</w:t>
      </w:r>
    </w:p>
    <w:p w14:paraId="55D07186"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38A00C01" w14:textId="77777777" w:rsidR="009713BF" w:rsidRPr="005E3D50" w:rsidRDefault="009713BF" w:rsidP="009713BF">
      <w:pPr>
        <w:rPr>
          <w:lang w:val="es-ES"/>
        </w:rPr>
      </w:pPr>
    </w:p>
    <w:p w14:paraId="6EF9528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Panorama general de los progresos</w:t>
      </w:r>
      <w:bookmarkEnd w:id="357"/>
    </w:p>
    <w:tbl>
      <w:tblPr>
        <w:tblStyle w:val="TableGrid"/>
        <w:tblW w:w="0" w:type="auto"/>
        <w:tblLook w:val="04A0" w:firstRow="1" w:lastRow="0" w:firstColumn="1" w:lastColumn="0" w:noHBand="0" w:noVBand="1"/>
      </w:tblPr>
      <w:tblGrid>
        <w:gridCol w:w="9016"/>
      </w:tblGrid>
      <w:tr w:rsidR="009713BF" w:rsidRPr="005E3D50" w14:paraId="25BE4450" w14:textId="77777777" w:rsidTr="006E6831">
        <w:tc>
          <w:tcPr>
            <w:tcW w:w="9016" w:type="dxa"/>
            <w:shd w:val="clear" w:color="auto" w:fill="D1D1D1" w:themeFill="background2" w:themeFillShade="E6"/>
          </w:tcPr>
          <w:p w14:paraId="6DE0393E" w14:textId="77777777" w:rsidR="009713BF" w:rsidRPr="005E3D50" w:rsidRDefault="009713BF" w:rsidP="009713BF">
            <w:pPr>
              <w:rPr>
                <w:rFonts w:ascii="Aptos" w:eastAsia="Times New Roman" w:hAnsi="Aptos" w:cs="Calibri"/>
                <w:color w:val="000000"/>
                <w:lang w:val="es-ES"/>
              </w:rPr>
            </w:pPr>
          </w:p>
          <w:p w14:paraId="4E00F9E1"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Se están logrando progresos en el establecimiento de marcos de acceso y participación en los beneficios (APB), pero la adopción de los requisitos legislativos, de políticas y administrativos necesarios se encuentra mayormente en sus fases iniciales. En general, las metas nacionales cubren adecuadamente los elementos de la meta 13 relacionados con los recursos genéticos. Los datos sobre beneficios tanto monetarios como no monetarios derivados de los instrumentos de APB presentados por las Partes son escasos. Un análisis de los indicadores sugiere una tendencia general positiva, que coincide con las autoevaluaciones de las Partes y arroja que el 43 % de las metas nacionales estrechamente armonizadas con la meta 13 están en vías de alcanzarse. Las dificultades normativas son los obstáculos para la implementación que más se mencionan. Es necesario intensificar el seguimiento para determinar la incidencia que tienen los marcos de APB y otros marcos normativos nacionales en el aumento de la participación en los beneficios.</w:t>
            </w:r>
          </w:p>
          <w:p w14:paraId="167F1E68" w14:textId="77777777" w:rsidR="009713BF" w:rsidRPr="005E3D50" w:rsidRDefault="009713BF" w:rsidP="009713BF">
            <w:pPr>
              <w:rPr>
                <w:lang w:val="es-ES"/>
              </w:rPr>
            </w:pPr>
          </w:p>
        </w:tc>
      </w:tr>
    </w:tbl>
    <w:p w14:paraId="0F4F8450" w14:textId="77777777" w:rsidR="009713BF" w:rsidRPr="005E3D50" w:rsidRDefault="009713BF" w:rsidP="009713BF">
      <w:pPr>
        <w:rPr>
          <w:lang w:val="es-ES"/>
        </w:rPr>
      </w:pPr>
    </w:p>
    <w:p w14:paraId="78939CF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13 del Marco en sus metas nacionales</w:t>
      </w:r>
    </w:p>
    <w:p w14:paraId="51F9C0DE" w14:textId="77777777" w:rsidR="009713BF" w:rsidRPr="005E3D50" w:rsidRDefault="009713BF" w:rsidP="009713BF">
      <w:pPr>
        <w:rPr>
          <w:sz w:val="22"/>
          <w:szCs w:val="22"/>
          <w:lang w:val="es-ES"/>
        </w:rPr>
      </w:pPr>
    </w:p>
    <w:p w14:paraId="7568D857"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bookmarkStart w:id="358" w:name="_Ref230776493"/>
      <w:r w:rsidRPr="005E3D50">
        <w:rPr>
          <w:rFonts w:eastAsiaTheme="minorEastAsia"/>
          <w:iCs/>
          <w:color w:val="0E2841" w:themeColor="text2"/>
          <w:kern w:val="0"/>
          <w:sz w:val="20"/>
          <w:szCs w:val="18"/>
          <w:lang w:val="es-ES" w:eastAsia="ja-JP"/>
          <w14:ligatures w14:val="none"/>
        </w:rPr>
        <w:t>Cuadro 28</w:t>
      </w:r>
      <w:bookmarkEnd w:id="358"/>
      <w:r w:rsidRPr="005E3D50">
        <w:rPr>
          <w:rFonts w:eastAsiaTheme="minorEastAsia"/>
          <w:iCs/>
          <w:color w:val="0E2841" w:themeColor="text2"/>
          <w:kern w:val="0"/>
          <w:sz w:val="20"/>
          <w:szCs w:val="18"/>
          <w:lang w:val="es-ES" w:eastAsia="ja-JP"/>
          <w14:ligatures w14:val="none"/>
        </w:rPr>
        <w:t xml:space="preserve"> </w:t>
      </w:r>
    </w:p>
    <w:p w14:paraId="52407DB0"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13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p w14:paraId="0F229AFD" w14:textId="77777777" w:rsidR="009713BF" w:rsidRPr="005E3D50" w:rsidRDefault="009713BF" w:rsidP="009713BF">
      <w:pPr>
        <w:rPr>
          <w:lang w:val="es-ES" w:eastAsia="ja-JP"/>
        </w:rPr>
      </w:pPr>
    </w:p>
    <w:tbl>
      <w:tblPr>
        <w:tblStyle w:val="TableGrid"/>
        <w:tblW w:w="0" w:type="auto"/>
        <w:tblLook w:val="04A0" w:firstRow="1" w:lastRow="0" w:firstColumn="1" w:lastColumn="0" w:noHBand="0" w:noVBand="1"/>
      </w:tblPr>
      <w:tblGrid>
        <w:gridCol w:w="8359"/>
        <w:gridCol w:w="657"/>
      </w:tblGrid>
      <w:tr w:rsidR="009713BF" w:rsidRPr="005E3D50" w14:paraId="580A4C66" w14:textId="77777777" w:rsidTr="006E6831">
        <w:tc>
          <w:tcPr>
            <w:tcW w:w="8359" w:type="dxa"/>
          </w:tcPr>
          <w:p w14:paraId="3DA08B6A"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Adoptar medidas jurídicas, de políticas y administrativas eficaces a todos los niveles con miras a lograr la participación justa y equitativa en los beneficios que se deriven de la utilización de los recursos genéticos</w:t>
            </w:r>
          </w:p>
        </w:tc>
        <w:tc>
          <w:tcPr>
            <w:tcW w:w="657" w:type="dxa"/>
            <w:shd w:val="clear" w:color="auto" w:fill="92D050"/>
          </w:tcPr>
          <w:p w14:paraId="5311417D" w14:textId="77777777" w:rsidR="009713BF" w:rsidRPr="005E3D50" w:rsidRDefault="009713BF" w:rsidP="009713BF">
            <w:pPr>
              <w:rPr>
                <w:lang w:val="es-ES"/>
              </w:rPr>
            </w:pPr>
            <w:r w:rsidRPr="005E3D50">
              <w:rPr>
                <w:lang w:val="es-ES"/>
              </w:rPr>
              <w:t>79</w:t>
            </w:r>
          </w:p>
        </w:tc>
      </w:tr>
      <w:tr w:rsidR="009713BF" w:rsidRPr="005E3D50" w14:paraId="6F6B8D9D" w14:textId="77777777" w:rsidTr="006E6831">
        <w:tc>
          <w:tcPr>
            <w:tcW w:w="8359" w:type="dxa"/>
          </w:tcPr>
          <w:p w14:paraId="1E21C5CA"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Adoptar medidas de creación de capacidad eficaces a todos los niveles con miras a lograr la participación justa y equitativa en los beneficios que se deriven de la utilización de los recursos genéticos</w:t>
            </w:r>
          </w:p>
        </w:tc>
        <w:tc>
          <w:tcPr>
            <w:tcW w:w="657" w:type="dxa"/>
            <w:shd w:val="clear" w:color="auto" w:fill="92D050"/>
          </w:tcPr>
          <w:p w14:paraId="10AD9CF8" w14:textId="77777777" w:rsidR="009713BF" w:rsidRPr="005E3D50" w:rsidRDefault="009713BF" w:rsidP="009713BF">
            <w:pPr>
              <w:rPr>
                <w:lang w:val="es-ES"/>
              </w:rPr>
            </w:pPr>
            <w:r w:rsidRPr="005E3D50">
              <w:rPr>
                <w:lang w:val="es-ES"/>
              </w:rPr>
              <w:t>60</w:t>
            </w:r>
          </w:p>
        </w:tc>
      </w:tr>
      <w:tr w:rsidR="009713BF" w:rsidRPr="005E3D50" w14:paraId="742FE666" w14:textId="77777777" w:rsidTr="006E6831">
        <w:tc>
          <w:tcPr>
            <w:tcW w:w="8359" w:type="dxa"/>
          </w:tcPr>
          <w:p w14:paraId="0C24B0BB"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 xml:space="preserve">Adoptar medidas jurídicas, de políticas y administrativas eficaces a todos los niveles con miras a lograr la participación justa y equitativa en los beneficios que se deriven de la utilización de la información digital sobre secuencias </w:t>
            </w:r>
          </w:p>
        </w:tc>
        <w:tc>
          <w:tcPr>
            <w:tcW w:w="657" w:type="dxa"/>
            <w:shd w:val="clear" w:color="auto" w:fill="FFFF00"/>
          </w:tcPr>
          <w:p w14:paraId="769CB099" w14:textId="77777777" w:rsidR="009713BF" w:rsidRPr="005E3D50" w:rsidRDefault="009713BF" w:rsidP="009713BF">
            <w:pPr>
              <w:rPr>
                <w:lang w:val="es-ES"/>
              </w:rPr>
            </w:pPr>
            <w:r w:rsidRPr="005E3D50">
              <w:rPr>
                <w:lang w:val="es-ES"/>
              </w:rPr>
              <w:t>52</w:t>
            </w:r>
          </w:p>
        </w:tc>
      </w:tr>
      <w:tr w:rsidR="009713BF" w:rsidRPr="005E3D50" w14:paraId="10E45393" w14:textId="77777777" w:rsidTr="006E6831">
        <w:tc>
          <w:tcPr>
            <w:tcW w:w="8359" w:type="dxa"/>
          </w:tcPr>
          <w:p w14:paraId="6CA6CAF7"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 xml:space="preserve">Adoptar medidas de creación de capacidad eficaces a todos los niveles con miras a lograr la participación justa y equitativa en los beneficios que se deriven de la utilización de la información digital sobre secuencias </w:t>
            </w:r>
          </w:p>
        </w:tc>
        <w:tc>
          <w:tcPr>
            <w:tcW w:w="657" w:type="dxa"/>
            <w:shd w:val="clear" w:color="auto" w:fill="FFFF00"/>
          </w:tcPr>
          <w:p w14:paraId="55C565EF" w14:textId="77777777" w:rsidR="009713BF" w:rsidRPr="005E3D50" w:rsidRDefault="009713BF" w:rsidP="009713BF">
            <w:pPr>
              <w:rPr>
                <w:lang w:val="es-ES"/>
              </w:rPr>
            </w:pPr>
            <w:r w:rsidRPr="005E3D50">
              <w:rPr>
                <w:lang w:val="es-ES"/>
              </w:rPr>
              <w:t>42</w:t>
            </w:r>
          </w:p>
        </w:tc>
      </w:tr>
      <w:tr w:rsidR="009713BF" w:rsidRPr="005E3D50" w14:paraId="332C0006" w14:textId="77777777" w:rsidTr="006E6831">
        <w:tc>
          <w:tcPr>
            <w:tcW w:w="8359" w:type="dxa"/>
          </w:tcPr>
          <w:p w14:paraId="2266E866"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 xml:space="preserve">Adoptar medidas jurídicas, de políticas y administrativas eficaces a todos los niveles con miras a lograr la participación justa y equitativa en los beneficios que se deriven de los conocimientos tradicionales </w:t>
            </w:r>
          </w:p>
        </w:tc>
        <w:tc>
          <w:tcPr>
            <w:tcW w:w="657" w:type="dxa"/>
            <w:shd w:val="clear" w:color="auto" w:fill="92D050"/>
          </w:tcPr>
          <w:p w14:paraId="60EE5B28" w14:textId="77777777" w:rsidR="009713BF" w:rsidRPr="005E3D50" w:rsidRDefault="009713BF" w:rsidP="009713BF">
            <w:pPr>
              <w:rPr>
                <w:lang w:val="es-ES"/>
              </w:rPr>
            </w:pPr>
            <w:r w:rsidRPr="005E3D50">
              <w:rPr>
                <w:lang w:val="es-ES"/>
              </w:rPr>
              <w:t>60</w:t>
            </w:r>
          </w:p>
        </w:tc>
      </w:tr>
      <w:tr w:rsidR="009713BF" w:rsidRPr="005E3D50" w14:paraId="072B0B2B" w14:textId="77777777" w:rsidTr="006E6831">
        <w:tc>
          <w:tcPr>
            <w:tcW w:w="8359" w:type="dxa"/>
          </w:tcPr>
          <w:p w14:paraId="3A09AEA3" w14:textId="77777777" w:rsidR="009713BF" w:rsidRPr="005E3D50" w:rsidRDefault="009713BF" w:rsidP="009713BF">
            <w:pPr>
              <w:rPr>
                <w:lang w:val="es-ES"/>
              </w:rPr>
            </w:pPr>
            <w:r w:rsidRPr="005E3D50">
              <w:rPr>
                <w:sz w:val="21"/>
                <w:lang w:val="es-ES"/>
              </w:rPr>
              <w:t>Adoptar medidas de creación de capacidad eficaces a todos los niveles con miras a lograr la participación justa y equitativa en los beneficios que se deriven de los conocimientos tradicionales</w:t>
            </w:r>
          </w:p>
        </w:tc>
        <w:tc>
          <w:tcPr>
            <w:tcW w:w="657" w:type="dxa"/>
            <w:shd w:val="clear" w:color="auto" w:fill="FFFF00"/>
          </w:tcPr>
          <w:p w14:paraId="207D6F7E" w14:textId="77777777" w:rsidR="009713BF" w:rsidRPr="005E3D50" w:rsidRDefault="009713BF" w:rsidP="009713BF">
            <w:pPr>
              <w:rPr>
                <w:lang w:val="es-ES"/>
              </w:rPr>
            </w:pPr>
            <w:r w:rsidRPr="005E3D50">
              <w:rPr>
                <w:lang w:val="es-ES"/>
              </w:rPr>
              <w:t>51</w:t>
            </w:r>
          </w:p>
        </w:tc>
      </w:tr>
      <w:tr w:rsidR="009713BF" w:rsidRPr="005E3D50" w14:paraId="7695B4E6" w14:textId="77777777" w:rsidTr="006E6831">
        <w:tc>
          <w:tcPr>
            <w:tcW w:w="8359" w:type="dxa"/>
          </w:tcPr>
          <w:p w14:paraId="195834A9" w14:textId="77777777" w:rsidR="009713BF" w:rsidRPr="005E3D50" w:rsidRDefault="009713BF" w:rsidP="009713BF">
            <w:pPr>
              <w:rPr>
                <w:rFonts w:cs="Times New Roman"/>
                <w:kern w:val="0"/>
                <w:sz w:val="21"/>
                <w:szCs w:val="21"/>
                <w:lang w:val="es-ES"/>
              </w:rPr>
            </w:pPr>
            <w:r w:rsidRPr="005E3D50">
              <w:rPr>
                <w:sz w:val="21"/>
                <w:lang w:val="es-ES"/>
              </w:rPr>
              <w:t>Facilitar el acceso adecuado a los recursos genéticos</w:t>
            </w:r>
          </w:p>
          <w:p w14:paraId="67E8E82C" w14:textId="77777777" w:rsidR="009713BF" w:rsidRPr="005E3D50" w:rsidRDefault="009713BF" w:rsidP="009713BF">
            <w:pPr>
              <w:rPr>
                <w:lang w:val="es-ES"/>
              </w:rPr>
            </w:pPr>
          </w:p>
        </w:tc>
        <w:tc>
          <w:tcPr>
            <w:tcW w:w="657" w:type="dxa"/>
            <w:shd w:val="clear" w:color="auto" w:fill="92D050"/>
          </w:tcPr>
          <w:p w14:paraId="6D1FC356" w14:textId="77777777" w:rsidR="009713BF" w:rsidRPr="005E3D50" w:rsidRDefault="009713BF" w:rsidP="009713BF">
            <w:pPr>
              <w:rPr>
                <w:lang w:val="es-ES"/>
              </w:rPr>
            </w:pPr>
            <w:r w:rsidRPr="005E3D50">
              <w:rPr>
                <w:lang w:val="es-ES"/>
              </w:rPr>
              <w:lastRenderedPageBreak/>
              <w:t>72</w:t>
            </w:r>
          </w:p>
        </w:tc>
      </w:tr>
      <w:tr w:rsidR="009713BF" w:rsidRPr="005E3D50" w14:paraId="1EF30A96" w14:textId="77777777" w:rsidTr="006E6831">
        <w:tc>
          <w:tcPr>
            <w:tcW w:w="8359" w:type="dxa"/>
          </w:tcPr>
          <w:p w14:paraId="6849C2BB"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Para 2030, propiciar un aumento significativo de los beneficios compartidos, de conformidad con los instrumentos internacionales de acceso y participación en los beneficios aplicables</w:t>
            </w:r>
          </w:p>
        </w:tc>
        <w:tc>
          <w:tcPr>
            <w:tcW w:w="657" w:type="dxa"/>
            <w:shd w:val="clear" w:color="auto" w:fill="FFFF00"/>
          </w:tcPr>
          <w:p w14:paraId="70C05E6A" w14:textId="77777777" w:rsidR="009713BF" w:rsidRPr="005E3D50" w:rsidRDefault="009713BF" w:rsidP="009713BF">
            <w:pPr>
              <w:rPr>
                <w:lang w:val="es-ES"/>
              </w:rPr>
            </w:pPr>
            <w:r w:rsidRPr="005E3D50">
              <w:rPr>
                <w:lang w:val="es-ES"/>
              </w:rPr>
              <w:t>57</w:t>
            </w:r>
          </w:p>
        </w:tc>
      </w:tr>
      <w:tr w:rsidR="009713BF" w:rsidRPr="005E3D50" w14:paraId="54BA6D40" w14:textId="77777777" w:rsidTr="006E6831">
        <w:tc>
          <w:tcPr>
            <w:tcW w:w="9016" w:type="dxa"/>
            <w:gridSpan w:val="2"/>
          </w:tcPr>
          <w:p w14:paraId="6CE9DC8E"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62BF1909"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59 % de estos elementos en sus metas nacionales</w:t>
            </w:r>
          </w:p>
          <w:p w14:paraId="58306C5F" w14:textId="77777777" w:rsidR="009713BF" w:rsidRPr="005E3D50" w:rsidRDefault="009713BF" w:rsidP="009713BF">
            <w:pPr>
              <w:rPr>
                <w:lang w:val="es-ES"/>
              </w:rPr>
            </w:pPr>
          </w:p>
        </w:tc>
      </w:tr>
    </w:tbl>
    <w:p w14:paraId="0EFE09F1" w14:textId="77777777" w:rsidR="009713BF" w:rsidRPr="005E3D50" w:rsidRDefault="009713BF" w:rsidP="009713BF">
      <w:pPr>
        <w:rPr>
          <w:lang w:val="es-ES"/>
        </w:rPr>
      </w:pPr>
    </w:p>
    <w:p w14:paraId="42D02649"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4659A027"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43"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44"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7761C5A4" w14:textId="77777777" w:rsidR="009713BF" w:rsidRPr="005E3D50" w:rsidRDefault="009713BF" w:rsidP="009713BF">
      <w:pPr>
        <w:rPr>
          <w:lang w:val="es-ES"/>
        </w:rPr>
      </w:pPr>
    </w:p>
    <w:p w14:paraId="7CE81DBC" w14:textId="77777777" w:rsidR="009713BF" w:rsidRPr="005E3D50" w:rsidRDefault="009713BF" w:rsidP="009713BF">
      <w:pPr>
        <w:rPr>
          <w:lang w:val="es-ES"/>
        </w:rPr>
      </w:pPr>
      <w:r w:rsidRPr="005E3D50">
        <w:rPr>
          <w:lang w:val="es-ES"/>
        </w:rPr>
        <w:t>Una amplia mayoría de Partes presentaron metas nacionales que abordan medidas jurídicas, de políticas y administrativas tendientes a lograr la participación justa y equitativa en los beneficios que se deriven de la utilización de los recursos genéticos (79 %), así como la facilitación del acceso a recursos genéticos (72 %). Una mayoría de Partes también tienen metas referidas a medidas de creación de capacidad en materia de participación en los beneficios relacionados con los recursos genéticos (60 %) y los conocimientos tradicionales (51 %). Un porcentaje menor de Partes tienen metas referidas a medidas jurídicas, de políticas y administrativas relacionadas con información digital de secuencias (52 %) y creación de capacidad relacionada (42 %). En general, las metas nacionales cubren adecuadamente los elementos de la meta 13 que dependen de la implementación nacional (véase el cuadro 28).</w:t>
      </w:r>
    </w:p>
    <w:p w14:paraId="6FC9AA8F" w14:textId="77777777" w:rsidR="009713BF" w:rsidRPr="005E3D50" w:rsidRDefault="009713BF" w:rsidP="009713BF">
      <w:pPr>
        <w:rPr>
          <w:lang w:val="es-ES"/>
        </w:rPr>
      </w:pPr>
    </w:p>
    <w:p w14:paraId="26A11421"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59" w:name="_Toc235821208"/>
      <w:r w:rsidRPr="005E3D50">
        <w:rPr>
          <w:rFonts w:eastAsiaTheme="majorEastAsia" w:cstheme="majorBidi"/>
          <w:color w:val="0F4761" w:themeColor="accent1" w:themeShade="BF"/>
          <w:lang w:val="es-ES"/>
        </w:rPr>
        <w:t>Indicadores de progresos</w:t>
      </w:r>
      <w:bookmarkEnd w:id="359"/>
    </w:p>
    <w:p w14:paraId="0C8E0A49" w14:textId="77777777" w:rsidR="009713BF" w:rsidRPr="005E3D50" w:rsidRDefault="009713BF" w:rsidP="009713BF">
      <w:pPr>
        <w:rPr>
          <w:lang w:val="es-ES"/>
        </w:rPr>
      </w:pPr>
    </w:p>
    <w:p w14:paraId="402D5342" w14:textId="77777777" w:rsidR="009713BF" w:rsidRPr="005E3D50" w:rsidRDefault="009713BF" w:rsidP="009713BF">
      <w:pPr>
        <w:spacing w:after="200" w:line="240" w:lineRule="auto"/>
        <w:rPr>
          <w:rFonts w:ascii="Aptos" w:eastAsiaTheme="minorEastAsia" w:hAnsi="Aptos"/>
          <w:color w:val="0E2841" w:themeColor="text2"/>
          <w:kern w:val="0"/>
          <w:sz w:val="20"/>
          <w:szCs w:val="20"/>
          <w:lang w:val="es-ES" w:eastAsia="ja-JP"/>
          <w14:ligatures w14:val="none"/>
        </w:rPr>
      </w:pPr>
      <w:bookmarkStart w:id="360" w:name="_Ref238725702"/>
      <w:r w:rsidRPr="005E3D50">
        <w:rPr>
          <w:rFonts w:eastAsiaTheme="minorEastAsia"/>
          <w:iCs/>
          <w:color w:val="0E2841" w:themeColor="text2"/>
          <w:kern w:val="0"/>
          <w:sz w:val="20"/>
          <w:szCs w:val="18"/>
          <w:lang w:val="es-ES" w:eastAsia="ja-JP"/>
          <w14:ligatures w14:val="none"/>
        </w:rPr>
        <w:t>Cuadro 29</w:t>
      </w:r>
      <w:bookmarkEnd w:id="360"/>
    </w:p>
    <w:p w14:paraId="25DFE26B"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13 del Marco</w:t>
      </w:r>
    </w:p>
    <w:p w14:paraId="18FDFBBD" w14:textId="77777777" w:rsidR="009713BF" w:rsidRPr="005E3D50" w:rsidRDefault="009713BF" w:rsidP="009713BF">
      <w:pPr>
        <w:spacing w:after="200" w:line="240" w:lineRule="auto"/>
        <w:rPr>
          <w:rFonts w:ascii="Aptos" w:eastAsiaTheme="minorEastAsia" w:hAnsi="Aptos"/>
          <w:b/>
          <w:bCs/>
          <w:i/>
          <w:iCs/>
          <w:color w:val="0E2841" w:themeColor="text2"/>
          <w:kern w:val="0"/>
          <w:lang w:val="es-ES" w:eastAsia="ja-JP"/>
          <w14:ligatures w14:val="none"/>
        </w:rPr>
      </w:pPr>
      <w:r w:rsidRPr="005E3D50">
        <w:rPr>
          <w:rFonts w:ascii="Aptos" w:eastAsiaTheme="minorEastAsia" w:hAnsi="Aptos"/>
          <w:b/>
          <w:i/>
          <w:iCs/>
          <w:color w:val="0E2841" w:themeColor="text2"/>
          <w:kern w:val="0"/>
          <w:szCs w:val="18"/>
          <w:lang w:val="es-ES" w:eastAsia="ja-JP"/>
          <w14:ligatures w14:val="none"/>
        </w:rPr>
        <w:t xml:space="preserve"> </w:t>
      </w:r>
    </w:p>
    <w:tbl>
      <w:tblPr>
        <w:tblW w:w="10300" w:type="dxa"/>
        <w:tblLook w:val="04A0" w:firstRow="1" w:lastRow="0" w:firstColumn="1" w:lastColumn="0" w:noHBand="0" w:noVBand="1"/>
      </w:tblPr>
      <w:tblGrid>
        <w:gridCol w:w="3240"/>
        <w:gridCol w:w="2851"/>
        <w:gridCol w:w="708"/>
        <w:gridCol w:w="2835"/>
        <w:gridCol w:w="666"/>
      </w:tblGrid>
      <w:tr w:rsidR="009713BF" w:rsidRPr="005E3D50" w14:paraId="63F1E98F"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2AF457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7908F53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501" w:type="dxa"/>
            <w:gridSpan w:val="2"/>
            <w:tcBorders>
              <w:top w:val="single" w:sz="4" w:space="0" w:color="auto"/>
              <w:left w:val="nil"/>
              <w:bottom w:val="single" w:sz="4" w:space="0" w:color="auto"/>
              <w:right w:val="single" w:sz="4" w:space="0" w:color="auto"/>
            </w:tcBorders>
            <w:vAlign w:val="center"/>
          </w:tcPr>
          <w:p w14:paraId="67B34884"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573CCE6E"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9A0B9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lastRenderedPageBreak/>
              <w:t>Indicador de cabecera C.1: beneficios monetarios percibidos de conformidad con instrumentos aplicables de acceso y participación en los beneficios acordados internacionalmente</w:t>
            </w:r>
          </w:p>
        </w:tc>
        <w:tc>
          <w:tcPr>
            <w:tcW w:w="2851" w:type="dxa"/>
            <w:tcBorders>
              <w:top w:val="single" w:sz="4" w:space="0" w:color="auto"/>
              <w:left w:val="nil"/>
              <w:bottom w:val="single" w:sz="4" w:space="0" w:color="auto"/>
              <w:right w:val="single" w:sz="4" w:space="0" w:color="auto"/>
            </w:tcBorders>
            <w:vAlign w:val="center"/>
            <w:hideMark/>
          </w:tcPr>
          <w:p w14:paraId="7ABB3DE6"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11 % de las Partes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7C429A8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222F6EE2"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Un total de 6,9 millones de dólares de los </w:t>
            </w:r>
            <w:proofErr w:type="gramStart"/>
            <w:r w:rsidRPr="005E3D50">
              <w:rPr>
                <w:rFonts w:ascii="Aptos" w:hAnsi="Aptos"/>
                <w:color w:val="000000"/>
                <w:sz w:val="20"/>
                <w:lang w:val="es-ES"/>
              </w:rPr>
              <w:t>EE.UU.</w:t>
            </w:r>
            <w:proofErr w:type="gramEnd"/>
            <w:r w:rsidRPr="005E3D50">
              <w:rPr>
                <w:rFonts w:ascii="Aptos" w:hAnsi="Aptos"/>
                <w:color w:val="000000"/>
                <w:sz w:val="20"/>
                <w:lang w:val="es-ES"/>
              </w:rPr>
              <w:t xml:space="preserve"> en beneficios monetarios durante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10BDAA59"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40BC64DE"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C8315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C.2: beneficios no monetarios derivados de instrumentos internacionales aplicables de acceso y participación en los beneficios</w:t>
            </w:r>
          </w:p>
        </w:tc>
        <w:tc>
          <w:tcPr>
            <w:tcW w:w="2851" w:type="dxa"/>
            <w:tcBorders>
              <w:top w:val="single" w:sz="4" w:space="0" w:color="auto"/>
              <w:left w:val="nil"/>
              <w:bottom w:val="single" w:sz="4" w:space="0" w:color="auto"/>
              <w:right w:val="single" w:sz="4" w:space="0" w:color="auto"/>
            </w:tcBorders>
            <w:vAlign w:val="center"/>
            <w:hideMark/>
          </w:tcPr>
          <w:p w14:paraId="6519DF93"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14 % de las Partes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2CA2E5B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00546D9D"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Un total de 960 beneficios no monetarios durante</w:t>
            </w:r>
            <w:r w:rsidRPr="005E3D50">
              <w:rPr>
                <w:rFonts w:ascii="Aptos" w:hAnsi="Aptos"/>
                <w:color w:val="000000"/>
                <w:sz w:val="20"/>
                <w:lang w:val="es-ES"/>
              </w:rPr>
              <w:br/>
              <w:t>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41FDCD5E"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1634BE7F"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76791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c>
          <w:tcPr>
            <w:tcW w:w="2851" w:type="dxa"/>
            <w:tcBorders>
              <w:top w:val="single" w:sz="4" w:space="0" w:color="auto"/>
              <w:left w:val="nil"/>
              <w:bottom w:val="single" w:sz="4" w:space="0" w:color="auto"/>
              <w:right w:val="single" w:sz="4" w:space="0" w:color="auto"/>
            </w:tcBorders>
            <w:vAlign w:val="center"/>
            <w:hideMark/>
          </w:tcPr>
          <w:p w14:paraId="5A0FEBB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8" w:type="dxa"/>
            <w:tcBorders>
              <w:top w:val="single" w:sz="4" w:space="0" w:color="auto"/>
              <w:left w:val="nil"/>
              <w:bottom w:val="single" w:sz="4" w:space="0" w:color="auto"/>
              <w:right w:val="single" w:sz="4" w:space="0" w:color="auto"/>
            </w:tcBorders>
            <w:vAlign w:val="center"/>
            <w:hideMark/>
          </w:tcPr>
          <w:p w14:paraId="2FD2206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n. </w:t>
            </w:r>
            <w:proofErr w:type="spellStart"/>
            <w:proofErr w:type="gramStart"/>
            <w:r w:rsidRPr="005E3D50">
              <w:rPr>
                <w:rFonts w:ascii="Aptos" w:hAnsi="Aptos"/>
                <w:color w:val="000000"/>
                <w:sz w:val="20"/>
                <w:lang w:val="es-ES"/>
              </w:rPr>
              <w:t>a.</w:t>
            </w:r>
            <w:r w:rsidRPr="005E3D50">
              <w:rPr>
                <w:rFonts w:ascii="Aptos" w:hAnsi="Aptos"/>
                <w:i/>
                <w:color w:val="000000"/>
                <w:sz w:val="20"/>
                <w:vertAlign w:val="superscript"/>
                <w:lang w:val="es-ES"/>
              </w:rPr>
              <w:t>a</w:t>
            </w:r>
            <w:proofErr w:type="spellEnd"/>
            <w:proofErr w:type="gramEnd"/>
          </w:p>
        </w:tc>
        <w:tc>
          <w:tcPr>
            <w:tcW w:w="2835" w:type="dxa"/>
            <w:tcBorders>
              <w:top w:val="single" w:sz="4" w:space="0" w:color="auto"/>
              <w:left w:val="nil"/>
              <w:bottom w:val="single" w:sz="4" w:space="0" w:color="auto"/>
              <w:right w:val="single" w:sz="4" w:space="0" w:color="auto"/>
            </w:tcBorders>
            <w:vAlign w:val="center"/>
            <w:hideMark/>
          </w:tcPr>
          <w:p w14:paraId="2B31B1E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10 % de las Partes tuvieron una puntuación alta (puntuación de 4 o 5)</w:t>
            </w:r>
          </w:p>
        </w:tc>
        <w:tc>
          <w:tcPr>
            <w:tcW w:w="666" w:type="dxa"/>
            <w:tcBorders>
              <w:top w:val="single" w:sz="4" w:space="0" w:color="auto"/>
              <w:left w:val="nil"/>
              <w:bottom w:val="single" w:sz="4" w:space="0" w:color="auto"/>
              <w:right w:val="single" w:sz="4" w:space="0" w:color="auto"/>
            </w:tcBorders>
            <w:shd w:val="clear" w:color="000000" w:fill="C00000"/>
            <w:vAlign w:val="center"/>
            <w:hideMark/>
          </w:tcPr>
          <w:p w14:paraId="2C821A3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0674D558"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D40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851" w:type="dxa"/>
            <w:tcBorders>
              <w:top w:val="single" w:sz="4" w:space="0" w:color="auto"/>
              <w:left w:val="nil"/>
              <w:bottom w:val="single" w:sz="4" w:space="0" w:color="auto"/>
              <w:right w:val="single" w:sz="4" w:space="0" w:color="auto"/>
            </w:tcBorders>
            <w:vAlign w:val="center"/>
            <w:hideMark/>
          </w:tcPr>
          <w:p w14:paraId="4FDF95E4"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31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24 %</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4F863B3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6B9BC90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39 % registran tendencias positivas</w:t>
            </w:r>
          </w:p>
          <w:p w14:paraId="527B4BDC"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15 % registran tendencias negativas</w:t>
            </w:r>
          </w:p>
        </w:tc>
        <w:tc>
          <w:tcPr>
            <w:tcW w:w="666" w:type="dxa"/>
            <w:tcBorders>
              <w:top w:val="single" w:sz="4" w:space="0" w:color="auto"/>
              <w:left w:val="nil"/>
              <w:bottom w:val="single" w:sz="4" w:space="0" w:color="auto"/>
              <w:right w:val="single" w:sz="4" w:space="0" w:color="auto"/>
            </w:tcBorders>
            <w:shd w:val="clear" w:color="000000" w:fill="FFC000"/>
            <w:vAlign w:val="center"/>
            <w:hideMark/>
          </w:tcPr>
          <w:p w14:paraId="5F1A13C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4B29389B"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076D6F86"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0C5C19A9"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20"/>
          <w:szCs w:val="20"/>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445121CA" w14:textId="77777777" w:rsidR="009713BF" w:rsidRPr="005E3D50" w:rsidRDefault="009713BF" w:rsidP="009713BF">
      <w:pPr>
        <w:rPr>
          <w:rFonts w:ascii="Aptos" w:hAnsi="Aptos"/>
          <w:strike/>
          <w:lang w:val="es-ES"/>
        </w:rPr>
      </w:pPr>
    </w:p>
    <w:p w14:paraId="778A2177"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0932BF54" w14:textId="77777777" w:rsidR="009713BF" w:rsidRPr="005E3D50" w:rsidRDefault="009713BF" w:rsidP="009713BF">
      <w:pPr>
        <w:rPr>
          <w:lang w:val="es-ES"/>
        </w:rPr>
      </w:pPr>
      <w:r w:rsidRPr="005E3D50">
        <w:rPr>
          <w:lang w:val="es-ES"/>
        </w:rPr>
        <w:lastRenderedPageBreak/>
        <w:t>El siguiente análisis tiene en cuenta a todas las Partes en el Convenio ya que se basa en todos los informes nacionales presentados (véase el cuadro 29). Cabe señalar, no obstante, que muchas Partes no requieren un consentimiento informado previo para acceder a sus recursos genéticos y por lo tanto no reciben beneficios por su utilización.</w:t>
      </w:r>
    </w:p>
    <w:p w14:paraId="7AE2BEF9" w14:textId="77777777" w:rsidR="009713BF" w:rsidRPr="005E3D50" w:rsidRDefault="009713BF" w:rsidP="009713BF">
      <w:pPr>
        <w:rPr>
          <w:lang w:val="es-ES"/>
        </w:rPr>
      </w:pPr>
      <w:r w:rsidRPr="005E3D50">
        <w:rPr>
          <w:lang w:val="es-ES"/>
        </w:rPr>
        <w:t>Solo un número reducido de Partes que presentaron informes nacionales considerados en el informe mundial brindaron datos para los indicadores de cabecera C.1 (beneficios monetarios percibidos de conformidad con instrumentos aplicables de acceso y participación en los beneficios acordados internacionalmente) y C.2 (beneficios no monetarios derivados de instrumentos internacionales aplicables de acceso y participación en los beneficios). Las Partes en general informaron que tanto los beneficios monetarios como los no monetarios derivados de instrumentos de APC son difíciles de rastrear (incluido a nivel transfronterizo y a lo largo de las cadenas de valor hasta el producto final). Basándose en los limitados datos de los que disponen, las Partes informaron que habían recibido un total acumulado de 6,9 millones de dólares por concepto de beneficios monetarios durante el período 2022-2025, y varias Partes informaron que hasta la fecha no habían recibido beneficios monetarios. Con respecto a los beneficios no monetarios, las Partes que comunicaron datos compatibles indicaron que habían recibido un total acumulado de 960 beneficios durante el mismo período, incluidos productos científicos, participación en investigaciones, transferencia de tecnología, bases de datos y participación de la comunidad. En estos beneficios no se registró un crecimiento sostenido, sino que hubo fluctuaciones a lo largo del período, y, debido a la muy limitada presentación de información, no pueden considerarse como indicativos de la participación en los beneficios a nivel mundial. En el análisis del objetivo C, en la sección II.C más adelante, se brinda más información al respecto.</w:t>
      </w:r>
    </w:p>
    <w:p w14:paraId="67C53EE8" w14:textId="77777777" w:rsidR="009713BF" w:rsidRPr="005E3D50" w:rsidRDefault="009713BF" w:rsidP="009713BF">
      <w:pPr>
        <w:rPr>
          <w:lang w:val="es-ES"/>
        </w:rPr>
      </w:pPr>
      <w:r w:rsidRPr="005E3D50">
        <w:rPr>
          <w:lang w:val="es-ES"/>
        </w:rPr>
        <w:t xml:space="preserve">En términos de progresos en la elaboración de los marcos legislativos, de políticas y administrativos necesarios para la consecución de la meta 13, las respuestas del indicador binario sugieren que en general se está en una etapa intermedia de la implementación, siendo que un 74 % de las Partes tienen una puntuación que indica un nivel medio de progresos, y hay más Partes en etapas tempranas de implementación (véase la figura 57). Los progresos más firmes se han dado en el establecimiento de medidas jurídicas, administrativas y de políticas para la participación justa y equitativa en los beneficios que se deriven de los recursos genéticos, lo que suele incluir conocimientos tradicionales cuando es pertinente. Los progresos en el seguimiento de los beneficios monetarios y no monetarios siguen siendo mucho menores, sin embargo, dado que la mayoría de las Partes no han establecido sistemas de seguimiento o todavía los están desarrollando. La implementación de medidas relacionadas con el mecanismo multilateral de participación en los beneficios que se deriven de la utilización de </w:t>
      </w:r>
      <w:r w:rsidRPr="005E3D50">
        <w:rPr>
          <w:lang w:val="es-ES"/>
        </w:rPr>
        <w:lastRenderedPageBreak/>
        <w:t>información digital sobre secuencias (dec.16/2 en CDB, 2026) es particularmente limitada; no obstante, esto era esperable dado que el desarrollo del mecanismo y el Fondo de Cali asociado está aún en una etapa temprana</w:t>
      </w:r>
      <w:r w:rsidRPr="005E3D50">
        <w:rPr>
          <w:vertAlign w:val="superscript"/>
          <w:lang w:val="es-ES"/>
        </w:rPr>
        <w:footnoteReference w:id="34"/>
      </w:r>
      <w:r w:rsidRPr="005E3D50">
        <w:rPr>
          <w:lang w:val="es-ES"/>
        </w:rPr>
        <w:t xml:space="preserve">. </w:t>
      </w:r>
    </w:p>
    <w:p w14:paraId="150B2C37" w14:textId="77777777" w:rsidR="009713BF" w:rsidRPr="005E3D50" w:rsidRDefault="009713BF" w:rsidP="009713BF">
      <w:pPr>
        <w:rPr>
          <w:lang w:val="es-ES"/>
        </w:rPr>
      </w:pPr>
      <w:r w:rsidRPr="005E3D50">
        <w:rPr>
          <w:lang w:val="es-ES"/>
        </w:rPr>
        <w:t>Los indicadores adicionales para la meta 13, presentados por 31 Partes mayoritariamente de las regiones de África y Asia y el Pacífico, se centran en la facilitación del acceso a los recursos genéticos, y no abarcan áreas tales como la creación de capacidad para la utilización de información digital sobre secuencias o la participación en los beneficios que se deriven de los conocimientos tradicionales. Las tendencias de los indicadores son mixtas, pero en general alentadoras: los indicadores que registraron mejoras duplican a los que registraron retrocesos, aunque casi la mitad se mantuvo estable, lo que estaría indicando que, si bien se está avanzando en la implementación, los progresos siguen siendo insuficientes para alcanzar plenamente la meta (véase la figura 58).</w:t>
      </w:r>
    </w:p>
    <w:p w14:paraId="68ABFCF7" w14:textId="77777777" w:rsidR="009713BF" w:rsidRPr="005E3D50" w:rsidRDefault="009713BF" w:rsidP="009713BF">
      <w:pPr>
        <w:rPr>
          <w:sz w:val="20"/>
          <w:szCs w:val="20"/>
          <w:lang w:val="es-ES"/>
        </w:rPr>
      </w:pPr>
      <w:bookmarkStart w:id="361" w:name="_Ref238725806"/>
    </w:p>
    <w:bookmarkEnd w:id="361"/>
    <w:p w14:paraId="29147868" w14:textId="77777777" w:rsidR="009713BF" w:rsidRPr="005E3D50" w:rsidRDefault="009713BF" w:rsidP="009713BF">
      <w:pPr>
        <w:rPr>
          <w:sz w:val="20"/>
          <w:szCs w:val="20"/>
          <w:lang w:val="es-ES"/>
        </w:rPr>
      </w:pPr>
      <w:r w:rsidRPr="005E3D50">
        <w:rPr>
          <w:sz w:val="20"/>
          <w:lang w:val="es-ES"/>
        </w:rPr>
        <w:t xml:space="preserve">Figura 57 </w:t>
      </w:r>
    </w:p>
    <w:p w14:paraId="115BFE1C" w14:textId="77777777" w:rsidR="009713BF" w:rsidRPr="005E3D50" w:rsidRDefault="009713BF" w:rsidP="009713BF">
      <w:pPr>
        <w:rPr>
          <w:b/>
          <w:bCs/>
          <w:sz w:val="20"/>
          <w:szCs w:val="20"/>
          <w:lang w:val="es-ES"/>
        </w:rPr>
      </w:pPr>
      <w:r w:rsidRPr="005E3D50">
        <w:rPr>
          <w:b/>
          <w:sz w:val="20"/>
          <w:lang w:val="es-ES"/>
        </w:rPr>
        <w:t>Indicador binario 13.b: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p w14:paraId="113020DC"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Cs/>
          <w:noProof/>
          <w:color w:val="0E2841" w:themeColor="text2"/>
          <w:kern w:val="0"/>
          <w:sz w:val="18"/>
          <w:szCs w:val="18"/>
          <w:lang w:val="en-US"/>
          <w14:ligatures w14:val="none"/>
        </w:rPr>
        <w:drawing>
          <wp:inline distT="0" distB="0" distL="0" distR="0" wp14:anchorId="6751F43B" wp14:editId="4E1364DB">
            <wp:extent cx="5943600" cy="2264410"/>
            <wp:effectExtent l="0" t="0" r="0" b="0"/>
            <wp:docPr id="715154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4563" name="Picture 715154563"/>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7E696399"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2C1ECFF5" w14:textId="77777777" w:rsidR="009713BF" w:rsidRPr="005E3D50" w:rsidRDefault="009713BF" w:rsidP="009713BF">
      <w:pPr>
        <w:rPr>
          <w:sz w:val="18"/>
          <w:szCs w:val="18"/>
          <w:lang w:val="es-ES"/>
        </w:rPr>
      </w:pPr>
      <w:r w:rsidRPr="005E3D50">
        <w:rPr>
          <w:sz w:val="18"/>
          <w:szCs w:val="18"/>
          <w:vertAlign w:val="superscript"/>
          <w:lang w:val="es-ES"/>
        </w:rPr>
        <w:lastRenderedPageBreak/>
        <w:t xml:space="preserve">a </w:t>
      </w:r>
      <w:r w:rsidRPr="005E3D50">
        <w:rPr>
          <w:sz w:val="18"/>
          <w:szCs w:val="18"/>
          <w:lang w:val="es-ES"/>
        </w:rPr>
        <w:t xml:space="preserve">La metodología empleada para calcular los niveles de puntuación para cada indicador binario, así como las preguntas incluidas para cada indicador, figuran en el documento </w:t>
      </w:r>
      <w:hyperlink r:id="rId146" w:history="1">
        <w:r w:rsidRPr="005E3D50">
          <w:rPr>
            <w:color w:val="000000" w:themeColor="text1"/>
            <w:sz w:val="18"/>
            <w:szCs w:val="18"/>
            <w:lang w:val="es-ES"/>
          </w:rPr>
          <w:t>CBD/COP/16/INF/3/Rev.1</w:t>
        </w:r>
      </w:hyperlink>
      <w:r w:rsidRPr="005E3D50">
        <w:rPr>
          <w:sz w:val="18"/>
          <w:szCs w:val="18"/>
          <w:lang w:val="es-ES"/>
        </w:rPr>
        <w:t>.</w:t>
      </w:r>
    </w:p>
    <w:tbl>
      <w:tblPr>
        <w:tblStyle w:val="TableGrid"/>
        <w:tblW w:w="9440" w:type="dxa"/>
        <w:tblLook w:val="04A0" w:firstRow="1" w:lastRow="0" w:firstColumn="1" w:lastColumn="0" w:noHBand="0" w:noVBand="1"/>
      </w:tblPr>
      <w:tblGrid>
        <w:gridCol w:w="5333"/>
        <w:gridCol w:w="4107"/>
      </w:tblGrid>
      <w:tr w:rsidR="00C87639" w:rsidRPr="00C87639" w14:paraId="3CFFCBC7" w14:textId="77777777" w:rsidTr="00C87639">
        <w:trPr>
          <w:trHeight w:val="306"/>
        </w:trPr>
        <w:tc>
          <w:tcPr>
            <w:tcW w:w="9440" w:type="dxa"/>
            <w:gridSpan w:val="2"/>
          </w:tcPr>
          <w:p w14:paraId="3617FB8B" w14:textId="136F0E9D" w:rsidR="00C87639" w:rsidRPr="00C87639" w:rsidRDefault="00C87639" w:rsidP="00C87639">
            <w:pPr>
              <w:spacing w:line="278" w:lineRule="auto"/>
              <w:rPr>
                <w:sz w:val="18"/>
                <w:szCs w:val="18"/>
                <w:lang w:val="es-ES"/>
              </w:rPr>
            </w:pPr>
            <w:r w:rsidRPr="00C87639">
              <w:rPr>
                <w:sz w:val="18"/>
                <w:szCs w:val="18"/>
                <w:lang w:val="es-ES"/>
              </w:rPr>
              <w:t>Figura 57</w:t>
            </w:r>
          </w:p>
        </w:tc>
      </w:tr>
      <w:tr w:rsidR="00C87639" w:rsidRPr="00C87639" w14:paraId="38BA42C0" w14:textId="77777777" w:rsidTr="00C87639">
        <w:trPr>
          <w:trHeight w:val="306"/>
        </w:trPr>
        <w:tc>
          <w:tcPr>
            <w:tcW w:w="5333" w:type="dxa"/>
          </w:tcPr>
          <w:p w14:paraId="3C396EF4" w14:textId="2C0649CE" w:rsidR="00C87639" w:rsidRPr="00C87639" w:rsidRDefault="00C87639" w:rsidP="00C87639">
            <w:pPr>
              <w:spacing w:line="278" w:lineRule="auto"/>
              <w:rPr>
                <w:sz w:val="18"/>
                <w:szCs w:val="18"/>
                <w:lang w:val="es-ES"/>
              </w:rPr>
            </w:pPr>
            <w:r w:rsidRPr="00C87639">
              <w:rPr>
                <w:sz w:val="18"/>
                <w:szCs w:val="18"/>
                <w:lang w:val="es-ES"/>
              </w:rPr>
              <w:t>English</w:t>
            </w:r>
          </w:p>
        </w:tc>
        <w:tc>
          <w:tcPr>
            <w:tcW w:w="4107" w:type="dxa"/>
          </w:tcPr>
          <w:p w14:paraId="0262626F" w14:textId="1CE7973C" w:rsidR="00C87639" w:rsidRPr="00C87639" w:rsidRDefault="00C87639" w:rsidP="00C87639">
            <w:pPr>
              <w:spacing w:line="278" w:lineRule="auto"/>
              <w:rPr>
                <w:sz w:val="18"/>
                <w:szCs w:val="18"/>
                <w:lang w:val="es-ES"/>
              </w:rPr>
            </w:pPr>
            <w:r w:rsidRPr="00C87639">
              <w:rPr>
                <w:sz w:val="18"/>
                <w:szCs w:val="18"/>
                <w:lang w:val="es-ES"/>
              </w:rPr>
              <w:t>Español</w:t>
            </w:r>
          </w:p>
        </w:tc>
      </w:tr>
      <w:tr w:rsidR="00C87639" w:rsidRPr="00C87639" w14:paraId="7BB6D44B" w14:textId="77777777" w:rsidTr="00C87639">
        <w:trPr>
          <w:trHeight w:val="306"/>
        </w:trPr>
        <w:tc>
          <w:tcPr>
            <w:tcW w:w="5333" w:type="dxa"/>
          </w:tcPr>
          <w:p w14:paraId="5C9F8069" w14:textId="77777777" w:rsidR="00C87639" w:rsidRPr="00C87639" w:rsidRDefault="00C87639" w:rsidP="00C87639">
            <w:pPr>
              <w:spacing w:line="278" w:lineRule="auto"/>
              <w:rPr>
                <w:sz w:val="18"/>
                <w:szCs w:val="18"/>
                <w:lang w:val="es-ES"/>
              </w:rPr>
            </w:pPr>
            <w:proofErr w:type="spellStart"/>
            <w:r w:rsidRPr="00C87639">
              <w:rPr>
                <w:sz w:val="18"/>
                <w:szCs w:val="18"/>
                <w:lang w:val="es-ES"/>
              </w:rPr>
              <w:t>Answers</w:t>
            </w:r>
            <w:proofErr w:type="spellEnd"/>
            <w:r w:rsidRPr="00C87639">
              <w:rPr>
                <w:sz w:val="18"/>
                <w:szCs w:val="18"/>
                <w:lang w:val="es-ES"/>
              </w:rPr>
              <w:t xml:space="preserve"> (</w:t>
            </w:r>
            <w:proofErr w:type="spellStart"/>
            <w:r w:rsidRPr="00C87639">
              <w:rPr>
                <w:sz w:val="18"/>
                <w:szCs w:val="18"/>
                <w:lang w:val="es-ES"/>
              </w:rPr>
              <w:t>percentage</w:t>
            </w:r>
            <w:proofErr w:type="spellEnd"/>
            <w:r w:rsidRPr="00C87639">
              <w:rPr>
                <w:sz w:val="18"/>
                <w:szCs w:val="18"/>
                <w:lang w:val="es-ES"/>
              </w:rPr>
              <w:t>)</w:t>
            </w:r>
          </w:p>
        </w:tc>
        <w:tc>
          <w:tcPr>
            <w:tcW w:w="4107" w:type="dxa"/>
          </w:tcPr>
          <w:p w14:paraId="6E0E32FA" w14:textId="77697428" w:rsidR="00C87639" w:rsidRPr="00C87639" w:rsidRDefault="00C87639" w:rsidP="00C87639">
            <w:pPr>
              <w:spacing w:line="278" w:lineRule="auto"/>
              <w:rPr>
                <w:sz w:val="18"/>
                <w:szCs w:val="18"/>
                <w:lang w:val="es-ES"/>
              </w:rPr>
            </w:pPr>
            <w:r w:rsidRPr="00C87639">
              <w:rPr>
                <w:sz w:val="18"/>
                <w:szCs w:val="18"/>
                <w:lang w:val="es-ES"/>
              </w:rPr>
              <w:t>Respuestas (porcentaje)</w:t>
            </w:r>
          </w:p>
        </w:tc>
      </w:tr>
      <w:tr w:rsidR="00C87639" w:rsidRPr="00C87639" w14:paraId="015C1ED8" w14:textId="77777777" w:rsidTr="00C87639">
        <w:trPr>
          <w:trHeight w:val="306"/>
        </w:trPr>
        <w:tc>
          <w:tcPr>
            <w:tcW w:w="5333" w:type="dxa"/>
          </w:tcPr>
          <w:p w14:paraId="2FFB4126" w14:textId="77777777" w:rsidR="00C87639" w:rsidRPr="00C87639" w:rsidRDefault="00C87639" w:rsidP="00C87639">
            <w:pPr>
              <w:spacing w:line="278" w:lineRule="auto"/>
              <w:rPr>
                <w:sz w:val="18"/>
                <w:szCs w:val="18"/>
                <w:lang w:val="es-ES"/>
              </w:rPr>
            </w:pPr>
            <w:r w:rsidRPr="00C87639">
              <w:rPr>
                <w:sz w:val="18"/>
                <w:szCs w:val="18"/>
                <w:lang w:val="es-ES"/>
              </w:rPr>
              <w:t>Score Level</w:t>
            </w:r>
          </w:p>
        </w:tc>
        <w:tc>
          <w:tcPr>
            <w:tcW w:w="4107" w:type="dxa"/>
          </w:tcPr>
          <w:p w14:paraId="54FF2B0A" w14:textId="239A1374" w:rsidR="00C87639" w:rsidRPr="00C87639" w:rsidRDefault="00C87639" w:rsidP="00C87639">
            <w:pPr>
              <w:spacing w:line="278" w:lineRule="auto"/>
              <w:rPr>
                <w:sz w:val="18"/>
                <w:szCs w:val="18"/>
                <w:lang w:val="es-ES"/>
              </w:rPr>
            </w:pPr>
            <w:r w:rsidRPr="00C87639">
              <w:rPr>
                <w:sz w:val="18"/>
                <w:szCs w:val="18"/>
                <w:lang w:val="es-ES"/>
              </w:rPr>
              <w:t>Nivel de puntuación</w:t>
            </w:r>
          </w:p>
        </w:tc>
      </w:tr>
      <w:tr w:rsidR="00C87639" w:rsidRPr="00C87639" w14:paraId="5279D09E" w14:textId="77777777" w:rsidTr="00C87639">
        <w:trPr>
          <w:trHeight w:val="306"/>
        </w:trPr>
        <w:tc>
          <w:tcPr>
            <w:tcW w:w="5333" w:type="dxa"/>
          </w:tcPr>
          <w:p w14:paraId="4617F52C" w14:textId="77777777" w:rsidR="00C87639" w:rsidRPr="00C87639" w:rsidRDefault="00C87639" w:rsidP="00C87639">
            <w:pPr>
              <w:spacing w:line="278" w:lineRule="auto"/>
              <w:rPr>
                <w:sz w:val="18"/>
                <w:szCs w:val="18"/>
                <w:lang w:val="es-ES"/>
              </w:rPr>
            </w:pPr>
            <w:r w:rsidRPr="00C87639">
              <w:rPr>
                <w:sz w:val="18"/>
                <w:szCs w:val="18"/>
                <w:lang w:val="es-ES"/>
              </w:rPr>
              <w:t xml:space="preserve">Party </w:t>
            </w:r>
            <w:proofErr w:type="spellStart"/>
            <w:r w:rsidRPr="00C87639">
              <w:rPr>
                <w:sz w:val="18"/>
                <w:szCs w:val="18"/>
                <w:lang w:val="es-ES"/>
              </w:rPr>
              <w:t>count</w:t>
            </w:r>
            <w:proofErr w:type="spellEnd"/>
            <w:r w:rsidRPr="00C87639">
              <w:rPr>
                <w:sz w:val="18"/>
                <w:szCs w:val="18"/>
                <w:lang w:val="es-ES"/>
              </w:rPr>
              <w:t>: 127</w:t>
            </w:r>
          </w:p>
        </w:tc>
        <w:tc>
          <w:tcPr>
            <w:tcW w:w="4107" w:type="dxa"/>
          </w:tcPr>
          <w:p w14:paraId="20257560" w14:textId="68E8FDF7" w:rsidR="00C87639" w:rsidRPr="00C87639" w:rsidRDefault="00C87639" w:rsidP="00C87639">
            <w:pPr>
              <w:spacing w:line="278" w:lineRule="auto"/>
              <w:rPr>
                <w:sz w:val="18"/>
                <w:szCs w:val="18"/>
                <w:lang w:val="es-ES"/>
              </w:rPr>
            </w:pPr>
            <w:r w:rsidRPr="00C87639">
              <w:rPr>
                <w:sz w:val="18"/>
                <w:szCs w:val="18"/>
                <w:lang w:val="es-ES"/>
              </w:rPr>
              <w:t>Número de Partes: 127</w:t>
            </w:r>
          </w:p>
        </w:tc>
      </w:tr>
      <w:tr w:rsidR="00C87639" w:rsidRPr="00C87639" w14:paraId="2CC8D1E0" w14:textId="77777777" w:rsidTr="00C87639">
        <w:trPr>
          <w:trHeight w:val="306"/>
        </w:trPr>
        <w:tc>
          <w:tcPr>
            <w:tcW w:w="5333" w:type="dxa"/>
          </w:tcPr>
          <w:p w14:paraId="264530CA" w14:textId="77777777" w:rsidR="00C87639" w:rsidRPr="00C87639" w:rsidRDefault="00C87639" w:rsidP="00C87639">
            <w:pPr>
              <w:spacing w:line="278" w:lineRule="auto"/>
              <w:rPr>
                <w:sz w:val="18"/>
                <w:szCs w:val="18"/>
                <w:lang w:val="es-ES"/>
              </w:rPr>
            </w:pPr>
            <w:proofErr w:type="spellStart"/>
            <w:r w:rsidRPr="00C87639">
              <w:rPr>
                <w:sz w:val="18"/>
                <w:szCs w:val="18"/>
                <w:lang w:val="es-ES"/>
              </w:rPr>
              <w:t>Region</w:t>
            </w:r>
            <w:proofErr w:type="spellEnd"/>
          </w:p>
        </w:tc>
        <w:tc>
          <w:tcPr>
            <w:tcW w:w="4107" w:type="dxa"/>
          </w:tcPr>
          <w:p w14:paraId="476D84BB" w14:textId="4D63C8BE" w:rsidR="00C87639" w:rsidRPr="00C87639" w:rsidRDefault="00C87639" w:rsidP="00C87639">
            <w:pPr>
              <w:spacing w:line="278" w:lineRule="auto"/>
              <w:rPr>
                <w:sz w:val="18"/>
                <w:szCs w:val="18"/>
                <w:lang w:val="es-ES"/>
              </w:rPr>
            </w:pPr>
            <w:r w:rsidRPr="00C87639">
              <w:rPr>
                <w:sz w:val="18"/>
                <w:szCs w:val="18"/>
                <w:lang w:val="es-ES"/>
              </w:rPr>
              <w:t>Región</w:t>
            </w:r>
          </w:p>
        </w:tc>
      </w:tr>
      <w:tr w:rsidR="00C87639" w:rsidRPr="00C87639" w14:paraId="21F0A208" w14:textId="77777777" w:rsidTr="00C87639">
        <w:trPr>
          <w:trHeight w:val="306"/>
        </w:trPr>
        <w:tc>
          <w:tcPr>
            <w:tcW w:w="5333" w:type="dxa"/>
          </w:tcPr>
          <w:p w14:paraId="2F283F30" w14:textId="77777777" w:rsidR="00C87639" w:rsidRPr="00C87639" w:rsidRDefault="00C87639" w:rsidP="00C87639">
            <w:pPr>
              <w:spacing w:line="278" w:lineRule="auto"/>
              <w:rPr>
                <w:sz w:val="18"/>
                <w:szCs w:val="18"/>
                <w:lang w:val="es-ES"/>
              </w:rPr>
            </w:pPr>
            <w:r w:rsidRPr="00C87639">
              <w:rPr>
                <w:sz w:val="18"/>
                <w:szCs w:val="18"/>
                <w:lang w:val="es-ES"/>
              </w:rPr>
              <w:t>African States</w:t>
            </w:r>
          </w:p>
        </w:tc>
        <w:tc>
          <w:tcPr>
            <w:tcW w:w="4107" w:type="dxa"/>
          </w:tcPr>
          <w:p w14:paraId="360CF2D9" w14:textId="0818FCF7" w:rsidR="00C87639" w:rsidRPr="00C87639" w:rsidRDefault="00C87639" w:rsidP="00C87639">
            <w:pPr>
              <w:spacing w:line="278" w:lineRule="auto"/>
              <w:rPr>
                <w:sz w:val="18"/>
                <w:szCs w:val="18"/>
                <w:lang w:val="es-ES"/>
              </w:rPr>
            </w:pPr>
            <w:r w:rsidRPr="00C87639">
              <w:rPr>
                <w:sz w:val="18"/>
                <w:szCs w:val="18"/>
                <w:lang w:val="es-ES"/>
              </w:rPr>
              <w:t>Estados de África</w:t>
            </w:r>
          </w:p>
        </w:tc>
      </w:tr>
      <w:tr w:rsidR="00C87639" w:rsidRPr="00C87639" w14:paraId="264DDC4B" w14:textId="77777777" w:rsidTr="00C87639">
        <w:trPr>
          <w:trHeight w:val="306"/>
        </w:trPr>
        <w:tc>
          <w:tcPr>
            <w:tcW w:w="5333" w:type="dxa"/>
          </w:tcPr>
          <w:p w14:paraId="2784D4FD" w14:textId="77777777" w:rsidR="00C87639" w:rsidRPr="00C87639" w:rsidRDefault="00C87639" w:rsidP="00C87639">
            <w:pPr>
              <w:spacing w:line="278" w:lineRule="auto"/>
              <w:rPr>
                <w:sz w:val="18"/>
                <w:szCs w:val="18"/>
                <w:lang w:val="es-ES"/>
              </w:rPr>
            </w:pPr>
            <w:r w:rsidRPr="00C87639">
              <w:rPr>
                <w:sz w:val="18"/>
                <w:szCs w:val="18"/>
                <w:lang w:val="es-ES"/>
              </w:rPr>
              <w:t>Asia-Pacific States</w:t>
            </w:r>
          </w:p>
        </w:tc>
        <w:tc>
          <w:tcPr>
            <w:tcW w:w="4107" w:type="dxa"/>
          </w:tcPr>
          <w:p w14:paraId="2DEBBDB6" w14:textId="41AD3E56" w:rsidR="00C87639" w:rsidRPr="00C87639" w:rsidRDefault="00C87639" w:rsidP="00C87639">
            <w:pPr>
              <w:spacing w:line="278" w:lineRule="auto"/>
              <w:rPr>
                <w:sz w:val="18"/>
                <w:szCs w:val="18"/>
                <w:lang w:val="es-ES"/>
              </w:rPr>
            </w:pPr>
            <w:r w:rsidRPr="00C87639">
              <w:rPr>
                <w:sz w:val="18"/>
                <w:szCs w:val="18"/>
                <w:lang w:val="es-ES"/>
              </w:rPr>
              <w:t>Estados de Asia y el Pacífico</w:t>
            </w:r>
          </w:p>
        </w:tc>
      </w:tr>
      <w:tr w:rsidR="00C87639" w:rsidRPr="00C87639" w14:paraId="1EBCF8D9" w14:textId="77777777" w:rsidTr="00C87639">
        <w:trPr>
          <w:trHeight w:val="306"/>
        </w:trPr>
        <w:tc>
          <w:tcPr>
            <w:tcW w:w="5333" w:type="dxa"/>
          </w:tcPr>
          <w:p w14:paraId="1408F54D" w14:textId="77777777" w:rsidR="00C87639" w:rsidRPr="00C87639" w:rsidRDefault="00C87639" w:rsidP="00C87639">
            <w:pPr>
              <w:spacing w:line="278" w:lineRule="auto"/>
              <w:rPr>
                <w:sz w:val="18"/>
                <w:szCs w:val="18"/>
                <w:lang w:val="en-US"/>
              </w:rPr>
            </w:pPr>
            <w:r w:rsidRPr="00C87639">
              <w:rPr>
                <w:sz w:val="18"/>
                <w:szCs w:val="18"/>
                <w:lang w:val="en-US"/>
              </w:rPr>
              <w:t>Latin American and Caribbean States</w:t>
            </w:r>
          </w:p>
        </w:tc>
        <w:tc>
          <w:tcPr>
            <w:tcW w:w="4107" w:type="dxa"/>
          </w:tcPr>
          <w:p w14:paraId="36B74C76" w14:textId="2E3D4255" w:rsidR="00C87639" w:rsidRPr="00C87639" w:rsidRDefault="00C87639" w:rsidP="00C87639">
            <w:pPr>
              <w:spacing w:line="278" w:lineRule="auto"/>
              <w:rPr>
                <w:sz w:val="18"/>
                <w:szCs w:val="18"/>
                <w:lang w:val="es-ES"/>
              </w:rPr>
            </w:pPr>
            <w:r w:rsidRPr="00C87639">
              <w:rPr>
                <w:sz w:val="18"/>
                <w:szCs w:val="18"/>
                <w:lang w:val="es-ES"/>
              </w:rPr>
              <w:t>Estados de América Latina y el Caribe</w:t>
            </w:r>
          </w:p>
        </w:tc>
      </w:tr>
      <w:tr w:rsidR="00C87639" w:rsidRPr="00C87639" w14:paraId="12A8A056" w14:textId="77777777" w:rsidTr="00C87639">
        <w:trPr>
          <w:trHeight w:val="306"/>
        </w:trPr>
        <w:tc>
          <w:tcPr>
            <w:tcW w:w="5333" w:type="dxa"/>
          </w:tcPr>
          <w:p w14:paraId="52A35840" w14:textId="77777777" w:rsidR="00C87639" w:rsidRPr="00C87639" w:rsidRDefault="00C87639" w:rsidP="00C87639">
            <w:pPr>
              <w:spacing w:line="278" w:lineRule="auto"/>
              <w:rPr>
                <w:sz w:val="18"/>
                <w:szCs w:val="18"/>
                <w:lang w:val="es-ES"/>
              </w:rPr>
            </w:pPr>
            <w:r w:rsidRPr="00C87639">
              <w:rPr>
                <w:sz w:val="18"/>
                <w:szCs w:val="18"/>
                <w:lang w:val="es-ES"/>
              </w:rPr>
              <w:t xml:space="preserve"> Eastern European States</w:t>
            </w:r>
          </w:p>
        </w:tc>
        <w:tc>
          <w:tcPr>
            <w:tcW w:w="4107" w:type="dxa"/>
          </w:tcPr>
          <w:p w14:paraId="5F7D6AA9" w14:textId="7F268F97" w:rsidR="00C87639" w:rsidRPr="00C87639" w:rsidRDefault="00C87639" w:rsidP="00C87639">
            <w:pPr>
              <w:spacing w:line="278" w:lineRule="auto"/>
              <w:rPr>
                <w:sz w:val="18"/>
                <w:szCs w:val="18"/>
                <w:lang w:val="es-ES"/>
              </w:rPr>
            </w:pPr>
            <w:r w:rsidRPr="00C87639">
              <w:rPr>
                <w:sz w:val="18"/>
                <w:szCs w:val="18"/>
                <w:lang w:val="es-ES"/>
              </w:rPr>
              <w:t>Estados de Europa Oriental</w:t>
            </w:r>
          </w:p>
        </w:tc>
      </w:tr>
      <w:tr w:rsidR="00C87639" w:rsidRPr="00C87639" w14:paraId="075670E6" w14:textId="77777777" w:rsidTr="00C87639">
        <w:trPr>
          <w:trHeight w:val="306"/>
        </w:trPr>
        <w:tc>
          <w:tcPr>
            <w:tcW w:w="5333" w:type="dxa"/>
          </w:tcPr>
          <w:p w14:paraId="6A1BBECF" w14:textId="77777777" w:rsidR="00C87639" w:rsidRPr="00C87639" w:rsidRDefault="00C87639" w:rsidP="00C87639">
            <w:pPr>
              <w:spacing w:line="278" w:lineRule="auto"/>
              <w:rPr>
                <w:sz w:val="18"/>
                <w:szCs w:val="18"/>
                <w:lang w:val="en-US"/>
              </w:rPr>
            </w:pPr>
            <w:r w:rsidRPr="00C87639">
              <w:rPr>
                <w:sz w:val="18"/>
                <w:szCs w:val="18"/>
                <w:lang w:val="en-US"/>
              </w:rPr>
              <w:t>Western European and other States</w:t>
            </w:r>
          </w:p>
        </w:tc>
        <w:tc>
          <w:tcPr>
            <w:tcW w:w="4107" w:type="dxa"/>
          </w:tcPr>
          <w:p w14:paraId="4573F48C" w14:textId="055F9676" w:rsidR="00C87639" w:rsidRPr="00C87639" w:rsidRDefault="00C87639" w:rsidP="00C87639">
            <w:pPr>
              <w:spacing w:line="278" w:lineRule="auto"/>
              <w:rPr>
                <w:sz w:val="18"/>
                <w:szCs w:val="18"/>
                <w:lang w:val="es-ES"/>
              </w:rPr>
            </w:pPr>
            <w:r w:rsidRPr="00C87639">
              <w:rPr>
                <w:sz w:val="18"/>
                <w:szCs w:val="18"/>
                <w:lang w:val="es-ES"/>
              </w:rPr>
              <w:t>Estados de Europa Occidental y otros Estados</w:t>
            </w:r>
          </w:p>
        </w:tc>
      </w:tr>
    </w:tbl>
    <w:p w14:paraId="351CA8B8"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278175F5" w14:textId="77777777" w:rsidR="009713BF" w:rsidRPr="005E3D50" w:rsidRDefault="009713BF" w:rsidP="009713BF">
      <w:pPr>
        <w:rPr>
          <w:sz w:val="20"/>
          <w:szCs w:val="20"/>
          <w:lang w:val="es-ES"/>
        </w:rPr>
      </w:pPr>
      <w:bookmarkStart w:id="362" w:name="_Ref238726407"/>
      <w:r w:rsidRPr="005E3D50">
        <w:rPr>
          <w:sz w:val="20"/>
          <w:lang w:val="es-ES"/>
        </w:rPr>
        <w:t>Figura 58</w:t>
      </w:r>
      <w:bookmarkEnd w:id="362"/>
    </w:p>
    <w:p w14:paraId="2C970D0D"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13 del Marco que sugieren tendencias de mejora, estables y negativas, respectivamente </w:t>
      </w:r>
    </w:p>
    <w:p w14:paraId="39DC656B"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572B8E77"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59111533" wp14:editId="7F673817">
            <wp:extent cx="5731510" cy="2456180"/>
            <wp:effectExtent l="0" t="0" r="0" b="0"/>
            <wp:docPr id="4051636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3663" name="Picture 405163663"/>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D0547D8"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63" w:name="_Toc235821209"/>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Las tendencias incluyen datos correspondientes a 2 indicadores de cabecera de 18 Partes y 2 indicadores complementarios y 41 indicadores nacionales de un total de 16 Partes. El gráfico circular muestra la distribución de las Partes que presentaron indicadores para la meta 13,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688" w:type="dxa"/>
        <w:tblLook w:val="04A0" w:firstRow="1" w:lastRow="0" w:firstColumn="1" w:lastColumn="0" w:noHBand="0" w:noVBand="1"/>
      </w:tblPr>
      <w:tblGrid>
        <w:gridCol w:w="5677"/>
        <w:gridCol w:w="4011"/>
      </w:tblGrid>
      <w:tr w:rsidR="00EF5C92" w:rsidRPr="00E944B1" w14:paraId="07BCEF8E" w14:textId="77777777" w:rsidTr="00EF5C92">
        <w:tc>
          <w:tcPr>
            <w:tcW w:w="9688" w:type="dxa"/>
            <w:gridSpan w:val="2"/>
          </w:tcPr>
          <w:p w14:paraId="16CE69C9" w14:textId="7AB5C5A4" w:rsidR="00EF5C92" w:rsidRPr="00EF5C92" w:rsidRDefault="00EF5C92" w:rsidP="00EF5C92">
            <w:pPr>
              <w:rPr>
                <w:sz w:val="18"/>
                <w:szCs w:val="18"/>
                <w:lang w:val="es-ES"/>
              </w:rPr>
            </w:pPr>
            <w:r w:rsidRPr="00EF5C92">
              <w:rPr>
                <w:sz w:val="18"/>
                <w:szCs w:val="18"/>
                <w:lang w:val="es-ES"/>
              </w:rPr>
              <w:t>Figura 58</w:t>
            </w:r>
          </w:p>
        </w:tc>
      </w:tr>
      <w:tr w:rsidR="00EF5C92" w:rsidRPr="00E944B1" w14:paraId="616E66C0" w14:textId="77777777" w:rsidTr="00EF5C92">
        <w:tc>
          <w:tcPr>
            <w:tcW w:w="5677" w:type="dxa"/>
          </w:tcPr>
          <w:p w14:paraId="251601AA" w14:textId="77777777" w:rsidR="00EF5C92" w:rsidRPr="00EF5C92" w:rsidRDefault="00EF5C92" w:rsidP="00EF5C92">
            <w:pPr>
              <w:spacing w:line="278" w:lineRule="auto"/>
              <w:rPr>
                <w:sz w:val="18"/>
                <w:szCs w:val="18"/>
                <w:lang w:val="es-ES"/>
              </w:rPr>
            </w:pPr>
            <w:r w:rsidRPr="00EF5C92">
              <w:rPr>
                <w:sz w:val="18"/>
                <w:szCs w:val="18"/>
                <w:lang w:val="es-ES"/>
              </w:rPr>
              <w:t xml:space="preserve">English </w:t>
            </w:r>
          </w:p>
        </w:tc>
        <w:tc>
          <w:tcPr>
            <w:tcW w:w="4011" w:type="dxa"/>
          </w:tcPr>
          <w:p w14:paraId="584A91E0" w14:textId="2BBB913E" w:rsidR="00EF5C92" w:rsidRPr="00EF5C92" w:rsidRDefault="00EF5C92" w:rsidP="00EF5C92">
            <w:pPr>
              <w:spacing w:line="278" w:lineRule="auto"/>
              <w:rPr>
                <w:sz w:val="18"/>
                <w:szCs w:val="18"/>
                <w:lang w:val="es-ES"/>
              </w:rPr>
            </w:pPr>
            <w:r w:rsidRPr="00EF5C92">
              <w:rPr>
                <w:sz w:val="18"/>
                <w:szCs w:val="18"/>
                <w:lang w:val="es-ES"/>
              </w:rPr>
              <w:t>Español</w:t>
            </w:r>
          </w:p>
        </w:tc>
      </w:tr>
      <w:tr w:rsidR="00EF5C92" w:rsidRPr="00E944B1" w14:paraId="67F894A1" w14:textId="77777777" w:rsidTr="00EF5C92">
        <w:tc>
          <w:tcPr>
            <w:tcW w:w="5677" w:type="dxa"/>
          </w:tcPr>
          <w:p w14:paraId="30991433" w14:textId="77777777" w:rsidR="00EF5C92" w:rsidRPr="00EF5C92" w:rsidRDefault="00EF5C92" w:rsidP="00EF5C92">
            <w:pPr>
              <w:spacing w:line="278" w:lineRule="auto"/>
              <w:rPr>
                <w:sz w:val="18"/>
                <w:szCs w:val="18"/>
                <w:lang w:val="es-ES"/>
              </w:rPr>
            </w:pPr>
            <w:proofErr w:type="spellStart"/>
            <w:r w:rsidRPr="00EF5C92">
              <w:rPr>
                <w:sz w:val="18"/>
                <w:szCs w:val="18"/>
                <w:lang w:val="es-ES"/>
              </w:rPr>
              <w:t>Proportion</w:t>
            </w:r>
            <w:proofErr w:type="spellEnd"/>
          </w:p>
        </w:tc>
        <w:tc>
          <w:tcPr>
            <w:tcW w:w="4011" w:type="dxa"/>
          </w:tcPr>
          <w:p w14:paraId="7BA8B061" w14:textId="0756AFAB" w:rsidR="00EF5C92" w:rsidRPr="00EF5C92" w:rsidRDefault="00EF5C92" w:rsidP="00EF5C92">
            <w:pPr>
              <w:spacing w:line="278" w:lineRule="auto"/>
              <w:rPr>
                <w:sz w:val="18"/>
                <w:szCs w:val="18"/>
                <w:lang w:val="es-ES"/>
              </w:rPr>
            </w:pPr>
            <w:r w:rsidRPr="00EF5C92">
              <w:rPr>
                <w:sz w:val="18"/>
                <w:szCs w:val="18"/>
                <w:lang w:val="es-ES"/>
              </w:rPr>
              <w:t>Proporción</w:t>
            </w:r>
          </w:p>
        </w:tc>
      </w:tr>
      <w:tr w:rsidR="00EF5C92" w:rsidRPr="00E944B1" w14:paraId="6772E402" w14:textId="77777777" w:rsidTr="00EF5C92">
        <w:tc>
          <w:tcPr>
            <w:tcW w:w="5677" w:type="dxa"/>
          </w:tcPr>
          <w:p w14:paraId="466AC106" w14:textId="77777777" w:rsidR="00EF5C92" w:rsidRPr="00EF5C92" w:rsidRDefault="00EF5C92" w:rsidP="00EF5C92">
            <w:pPr>
              <w:spacing w:line="278" w:lineRule="auto"/>
              <w:rPr>
                <w:sz w:val="18"/>
                <w:szCs w:val="18"/>
                <w:lang w:val="es-ES"/>
              </w:rPr>
            </w:pPr>
            <w:r w:rsidRPr="00EF5C92">
              <w:rPr>
                <w:sz w:val="18"/>
                <w:szCs w:val="18"/>
                <w:lang w:val="es-ES"/>
              </w:rPr>
              <w:t xml:space="preserve">Current </w:t>
            </w:r>
            <w:proofErr w:type="gramStart"/>
            <w:r w:rsidRPr="00EF5C92">
              <w:rPr>
                <w:sz w:val="18"/>
                <w:szCs w:val="18"/>
                <w:lang w:val="es-ES"/>
              </w:rPr>
              <w:t>Status</w:t>
            </w:r>
            <w:proofErr w:type="gramEnd"/>
          </w:p>
        </w:tc>
        <w:tc>
          <w:tcPr>
            <w:tcW w:w="4011" w:type="dxa"/>
          </w:tcPr>
          <w:p w14:paraId="087BE989" w14:textId="239DE301" w:rsidR="00EF5C92" w:rsidRPr="00EF5C92" w:rsidRDefault="00EF5C92" w:rsidP="00EF5C92">
            <w:pPr>
              <w:spacing w:line="278" w:lineRule="auto"/>
              <w:rPr>
                <w:sz w:val="18"/>
                <w:szCs w:val="18"/>
                <w:lang w:val="es-ES"/>
              </w:rPr>
            </w:pPr>
            <w:r w:rsidRPr="00EF5C92">
              <w:rPr>
                <w:sz w:val="18"/>
                <w:szCs w:val="18"/>
                <w:lang w:val="es-ES"/>
              </w:rPr>
              <w:t>Estado actual</w:t>
            </w:r>
          </w:p>
        </w:tc>
      </w:tr>
      <w:tr w:rsidR="00EF5C92" w:rsidRPr="00E944B1" w14:paraId="32952B21" w14:textId="77777777" w:rsidTr="00EF5C92">
        <w:tc>
          <w:tcPr>
            <w:tcW w:w="5677" w:type="dxa"/>
          </w:tcPr>
          <w:p w14:paraId="3DA20787" w14:textId="77777777" w:rsidR="00EF5C92" w:rsidRPr="00EF5C92" w:rsidRDefault="00EF5C92" w:rsidP="00EF5C92">
            <w:pPr>
              <w:spacing w:line="278" w:lineRule="auto"/>
              <w:rPr>
                <w:sz w:val="18"/>
                <w:szCs w:val="18"/>
                <w:lang w:val="es-ES"/>
              </w:rPr>
            </w:pPr>
            <w:proofErr w:type="spellStart"/>
            <w:r w:rsidRPr="00EF5C92">
              <w:rPr>
                <w:sz w:val="18"/>
                <w:szCs w:val="18"/>
                <w:lang w:val="es-ES"/>
              </w:rPr>
              <w:t>improving</w:t>
            </w:r>
            <w:proofErr w:type="spellEnd"/>
          </w:p>
        </w:tc>
        <w:tc>
          <w:tcPr>
            <w:tcW w:w="4011" w:type="dxa"/>
          </w:tcPr>
          <w:p w14:paraId="0C07A7FA" w14:textId="7B1A5375" w:rsidR="00EF5C92" w:rsidRPr="00EF5C92" w:rsidRDefault="00EF5C92" w:rsidP="00EF5C92">
            <w:pPr>
              <w:spacing w:line="278" w:lineRule="auto"/>
              <w:rPr>
                <w:sz w:val="18"/>
                <w:szCs w:val="18"/>
                <w:lang w:val="es-ES"/>
              </w:rPr>
            </w:pPr>
            <w:r w:rsidRPr="00EF5C92">
              <w:rPr>
                <w:sz w:val="18"/>
                <w:szCs w:val="18"/>
                <w:lang w:val="es-ES"/>
              </w:rPr>
              <w:t>mejorando</w:t>
            </w:r>
          </w:p>
        </w:tc>
      </w:tr>
      <w:tr w:rsidR="00EF5C92" w:rsidRPr="00E944B1" w14:paraId="1ABEDC86" w14:textId="77777777" w:rsidTr="00EF5C92">
        <w:tc>
          <w:tcPr>
            <w:tcW w:w="5677" w:type="dxa"/>
          </w:tcPr>
          <w:p w14:paraId="1FA45626" w14:textId="77777777" w:rsidR="00EF5C92" w:rsidRPr="00EF5C92" w:rsidRDefault="00EF5C92" w:rsidP="00EF5C92">
            <w:pPr>
              <w:spacing w:line="278" w:lineRule="auto"/>
              <w:rPr>
                <w:sz w:val="18"/>
                <w:szCs w:val="18"/>
                <w:lang w:val="es-ES"/>
              </w:rPr>
            </w:pPr>
            <w:proofErr w:type="spellStart"/>
            <w:r w:rsidRPr="00EF5C92">
              <w:rPr>
                <w:sz w:val="18"/>
                <w:szCs w:val="18"/>
                <w:lang w:val="es-ES"/>
              </w:rPr>
              <w:lastRenderedPageBreak/>
              <w:t>stable</w:t>
            </w:r>
            <w:proofErr w:type="spellEnd"/>
          </w:p>
        </w:tc>
        <w:tc>
          <w:tcPr>
            <w:tcW w:w="4011" w:type="dxa"/>
          </w:tcPr>
          <w:p w14:paraId="7E89BC61" w14:textId="3C00B540" w:rsidR="00EF5C92" w:rsidRPr="00EF5C92" w:rsidRDefault="00EF5C92" w:rsidP="00EF5C92">
            <w:pPr>
              <w:spacing w:line="278" w:lineRule="auto"/>
              <w:rPr>
                <w:sz w:val="18"/>
                <w:szCs w:val="18"/>
                <w:lang w:val="es-ES"/>
              </w:rPr>
            </w:pPr>
            <w:r w:rsidRPr="00EF5C92">
              <w:rPr>
                <w:sz w:val="18"/>
                <w:szCs w:val="18"/>
                <w:lang w:val="es-ES"/>
              </w:rPr>
              <w:t>estable</w:t>
            </w:r>
          </w:p>
        </w:tc>
      </w:tr>
      <w:tr w:rsidR="00EF5C92" w:rsidRPr="00E944B1" w14:paraId="5A2C9775" w14:textId="77777777" w:rsidTr="00EF5C92">
        <w:tc>
          <w:tcPr>
            <w:tcW w:w="5677" w:type="dxa"/>
          </w:tcPr>
          <w:p w14:paraId="271EC564" w14:textId="77777777" w:rsidR="00EF5C92" w:rsidRPr="00EF5C92" w:rsidRDefault="00EF5C92" w:rsidP="00EF5C92">
            <w:pPr>
              <w:spacing w:line="278" w:lineRule="auto"/>
              <w:rPr>
                <w:sz w:val="18"/>
                <w:szCs w:val="18"/>
                <w:lang w:val="es-ES"/>
              </w:rPr>
            </w:pPr>
            <w:proofErr w:type="spellStart"/>
            <w:r w:rsidRPr="00EF5C92">
              <w:rPr>
                <w:sz w:val="18"/>
                <w:szCs w:val="18"/>
                <w:lang w:val="es-ES"/>
              </w:rPr>
              <w:t>moving</w:t>
            </w:r>
            <w:proofErr w:type="spellEnd"/>
            <w:r w:rsidRPr="00EF5C92">
              <w:rPr>
                <w:sz w:val="18"/>
                <w:szCs w:val="18"/>
                <w:lang w:val="es-ES"/>
              </w:rPr>
              <w:t xml:space="preserve"> </w:t>
            </w:r>
            <w:proofErr w:type="spellStart"/>
            <w:r w:rsidRPr="00EF5C92">
              <w:rPr>
                <w:sz w:val="18"/>
                <w:szCs w:val="18"/>
                <w:lang w:val="es-ES"/>
              </w:rPr>
              <w:t>away</w:t>
            </w:r>
            <w:proofErr w:type="spellEnd"/>
          </w:p>
        </w:tc>
        <w:tc>
          <w:tcPr>
            <w:tcW w:w="4011" w:type="dxa"/>
          </w:tcPr>
          <w:p w14:paraId="62875675" w14:textId="02363AEF" w:rsidR="00EF5C92" w:rsidRPr="00EF5C92" w:rsidRDefault="00EF5C92" w:rsidP="00EF5C92">
            <w:pPr>
              <w:spacing w:line="278" w:lineRule="auto"/>
              <w:rPr>
                <w:sz w:val="18"/>
                <w:szCs w:val="18"/>
                <w:lang w:val="es-ES"/>
              </w:rPr>
            </w:pPr>
            <w:r w:rsidRPr="00EF5C92">
              <w:rPr>
                <w:sz w:val="18"/>
                <w:szCs w:val="18"/>
                <w:lang w:val="es-ES"/>
              </w:rPr>
              <w:t>alejándose</w:t>
            </w:r>
          </w:p>
        </w:tc>
      </w:tr>
      <w:tr w:rsidR="00EF5C92" w:rsidRPr="00E944B1" w14:paraId="50593613" w14:textId="77777777" w:rsidTr="00EF5C92">
        <w:tc>
          <w:tcPr>
            <w:tcW w:w="5677" w:type="dxa"/>
          </w:tcPr>
          <w:p w14:paraId="7BBB4967" w14:textId="77777777" w:rsidR="00EF5C92" w:rsidRPr="00EF5C92" w:rsidRDefault="00EF5C92" w:rsidP="00EF5C92">
            <w:pPr>
              <w:spacing w:line="278" w:lineRule="auto"/>
              <w:rPr>
                <w:sz w:val="18"/>
                <w:szCs w:val="18"/>
                <w:lang w:val="es-ES"/>
              </w:rPr>
            </w:pPr>
            <w:r w:rsidRPr="00EF5C92">
              <w:rPr>
                <w:sz w:val="18"/>
                <w:szCs w:val="18"/>
                <w:lang w:val="es-ES"/>
              </w:rPr>
              <w:t xml:space="preserve">Party </w:t>
            </w:r>
            <w:proofErr w:type="spellStart"/>
            <w:r w:rsidRPr="00EF5C92">
              <w:rPr>
                <w:sz w:val="18"/>
                <w:szCs w:val="18"/>
                <w:lang w:val="es-ES"/>
              </w:rPr>
              <w:t>count</w:t>
            </w:r>
            <w:proofErr w:type="spellEnd"/>
            <w:r w:rsidRPr="00EF5C92">
              <w:rPr>
                <w:sz w:val="18"/>
                <w:szCs w:val="18"/>
                <w:lang w:val="es-ES"/>
              </w:rPr>
              <w:t>: 31</w:t>
            </w:r>
          </w:p>
        </w:tc>
        <w:tc>
          <w:tcPr>
            <w:tcW w:w="4011" w:type="dxa"/>
          </w:tcPr>
          <w:p w14:paraId="5AFBF5D1" w14:textId="757F9EC4" w:rsidR="00EF5C92" w:rsidRPr="00EF5C92" w:rsidRDefault="00EF5C92" w:rsidP="00EF5C92">
            <w:pPr>
              <w:spacing w:line="278" w:lineRule="auto"/>
              <w:rPr>
                <w:sz w:val="18"/>
                <w:szCs w:val="18"/>
                <w:lang w:val="es-ES"/>
              </w:rPr>
            </w:pPr>
            <w:r w:rsidRPr="00EF5C92">
              <w:rPr>
                <w:sz w:val="18"/>
                <w:szCs w:val="18"/>
                <w:lang w:val="es-ES"/>
              </w:rPr>
              <w:t>Número de Partes: 31</w:t>
            </w:r>
          </w:p>
        </w:tc>
      </w:tr>
      <w:tr w:rsidR="00EF5C92" w:rsidRPr="00E944B1" w14:paraId="0CB9DAAB" w14:textId="77777777" w:rsidTr="00EF5C92">
        <w:tc>
          <w:tcPr>
            <w:tcW w:w="5677" w:type="dxa"/>
          </w:tcPr>
          <w:p w14:paraId="097C6128" w14:textId="77777777" w:rsidR="00EF5C92" w:rsidRPr="00EF5C92" w:rsidRDefault="00EF5C92" w:rsidP="00EF5C92">
            <w:pPr>
              <w:spacing w:line="278" w:lineRule="auto"/>
              <w:rPr>
                <w:sz w:val="18"/>
                <w:szCs w:val="18"/>
                <w:lang w:val="es-ES"/>
              </w:rPr>
            </w:pPr>
            <w:proofErr w:type="spellStart"/>
            <w:r w:rsidRPr="00EF5C92">
              <w:rPr>
                <w:sz w:val="18"/>
                <w:szCs w:val="18"/>
                <w:lang w:val="es-ES"/>
              </w:rPr>
              <w:t>Region</w:t>
            </w:r>
            <w:proofErr w:type="spellEnd"/>
          </w:p>
        </w:tc>
        <w:tc>
          <w:tcPr>
            <w:tcW w:w="4011" w:type="dxa"/>
          </w:tcPr>
          <w:p w14:paraId="03A7ECC3" w14:textId="3BFAAB09" w:rsidR="00EF5C92" w:rsidRPr="00EF5C92" w:rsidRDefault="00EF5C92" w:rsidP="00EF5C92">
            <w:pPr>
              <w:spacing w:line="278" w:lineRule="auto"/>
              <w:rPr>
                <w:sz w:val="18"/>
                <w:szCs w:val="18"/>
                <w:lang w:val="es-ES"/>
              </w:rPr>
            </w:pPr>
            <w:r w:rsidRPr="00EF5C92">
              <w:rPr>
                <w:sz w:val="18"/>
                <w:szCs w:val="18"/>
                <w:lang w:val="es-ES"/>
              </w:rPr>
              <w:t>Región</w:t>
            </w:r>
          </w:p>
        </w:tc>
      </w:tr>
      <w:tr w:rsidR="00EF5C92" w:rsidRPr="00E944B1" w14:paraId="62E89737" w14:textId="77777777" w:rsidTr="00EF5C92">
        <w:tc>
          <w:tcPr>
            <w:tcW w:w="5677" w:type="dxa"/>
          </w:tcPr>
          <w:p w14:paraId="51067ACE" w14:textId="77777777" w:rsidR="00EF5C92" w:rsidRPr="00EF5C92" w:rsidRDefault="00EF5C92" w:rsidP="00EF5C92">
            <w:pPr>
              <w:spacing w:line="278" w:lineRule="auto"/>
              <w:rPr>
                <w:sz w:val="18"/>
                <w:szCs w:val="18"/>
                <w:lang w:val="es-ES"/>
              </w:rPr>
            </w:pPr>
            <w:r w:rsidRPr="00EF5C92">
              <w:rPr>
                <w:sz w:val="18"/>
                <w:szCs w:val="18"/>
                <w:lang w:val="es-ES"/>
              </w:rPr>
              <w:t>African States</w:t>
            </w:r>
          </w:p>
        </w:tc>
        <w:tc>
          <w:tcPr>
            <w:tcW w:w="4011" w:type="dxa"/>
          </w:tcPr>
          <w:p w14:paraId="00A222E2" w14:textId="1A803CFB" w:rsidR="00EF5C92" w:rsidRPr="00EF5C92" w:rsidRDefault="00EF5C92" w:rsidP="00EF5C92">
            <w:pPr>
              <w:spacing w:line="278" w:lineRule="auto"/>
              <w:rPr>
                <w:sz w:val="18"/>
                <w:szCs w:val="18"/>
                <w:lang w:val="es-ES"/>
              </w:rPr>
            </w:pPr>
            <w:r w:rsidRPr="00EF5C92">
              <w:rPr>
                <w:sz w:val="18"/>
                <w:szCs w:val="18"/>
                <w:lang w:val="es-ES"/>
              </w:rPr>
              <w:t>Estados de África</w:t>
            </w:r>
          </w:p>
        </w:tc>
      </w:tr>
      <w:tr w:rsidR="00EF5C92" w:rsidRPr="00E944B1" w14:paraId="24ABE227" w14:textId="77777777" w:rsidTr="00EF5C92">
        <w:tc>
          <w:tcPr>
            <w:tcW w:w="5677" w:type="dxa"/>
          </w:tcPr>
          <w:p w14:paraId="0FFE040E" w14:textId="77777777" w:rsidR="00EF5C92" w:rsidRPr="00EF5C92" w:rsidRDefault="00EF5C92" w:rsidP="00EF5C92">
            <w:pPr>
              <w:spacing w:line="278" w:lineRule="auto"/>
              <w:rPr>
                <w:sz w:val="18"/>
                <w:szCs w:val="18"/>
                <w:lang w:val="es-ES"/>
              </w:rPr>
            </w:pPr>
            <w:r w:rsidRPr="00EF5C92">
              <w:rPr>
                <w:sz w:val="18"/>
                <w:szCs w:val="18"/>
                <w:lang w:val="es-ES"/>
              </w:rPr>
              <w:t>Asia-Pacific States</w:t>
            </w:r>
          </w:p>
        </w:tc>
        <w:tc>
          <w:tcPr>
            <w:tcW w:w="4011" w:type="dxa"/>
          </w:tcPr>
          <w:p w14:paraId="1EEE5638" w14:textId="44B03250" w:rsidR="00EF5C92" w:rsidRPr="00EF5C92" w:rsidRDefault="00EF5C92" w:rsidP="00EF5C92">
            <w:pPr>
              <w:spacing w:line="278" w:lineRule="auto"/>
              <w:rPr>
                <w:sz w:val="18"/>
                <w:szCs w:val="18"/>
                <w:lang w:val="es-ES"/>
              </w:rPr>
            </w:pPr>
            <w:r w:rsidRPr="00EF5C92">
              <w:rPr>
                <w:sz w:val="18"/>
                <w:szCs w:val="18"/>
                <w:lang w:val="es-ES"/>
              </w:rPr>
              <w:t>Estados de Asia y el Pacífico</w:t>
            </w:r>
          </w:p>
        </w:tc>
      </w:tr>
      <w:tr w:rsidR="00EF5C92" w:rsidRPr="00E944B1" w14:paraId="14C84C33" w14:textId="77777777" w:rsidTr="00EF5C92">
        <w:tc>
          <w:tcPr>
            <w:tcW w:w="5677" w:type="dxa"/>
          </w:tcPr>
          <w:p w14:paraId="710FACD6" w14:textId="77777777" w:rsidR="00EF5C92" w:rsidRPr="00EF5C92" w:rsidRDefault="00EF5C92" w:rsidP="00EF5C92">
            <w:pPr>
              <w:spacing w:line="278" w:lineRule="auto"/>
              <w:rPr>
                <w:sz w:val="18"/>
                <w:szCs w:val="18"/>
                <w:lang w:val="en-US"/>
              </w:rPr>
            </w:pPr>
            <w:r w:rsidRPr="00EF5C92">
              <w:rPr>
                <w:sz w:val="18"/>
                <w:szCs w:val="18"/>
                <w:lang w:val="en-US"/>
              </w:rPr>
              <w:t>Latin American and Caribbean States</w:t>
            </w:r>
          </w:p>
        </w:tc>
        <w:tc>
          <w:tcPr>
            <w:tcW w:w="4011" w:type="dxa"/>
          </w:tcPr>
          <w:p w14:paraId="01667034" w14:textId="36870BB1" w:rsidR="00EF5C92" w:rsidRPr="00EF5C92" w:rsidRDefault="00EF5C92" w:rsidP="00EF5C92">
            <w:pPr>
              <w:spacing w:line="278" w:lineRule="auto"/>
              <w:rPr>
                <w:sz w:val="18"/>
                <w:szCs w:val="18"/>
                <w:lang w:val="es-ES"/>
              </w:rPr>
            </w:pPr>
            <w:r w:rsidRPr="00EF5C92">
              <w:rPr>
                <w:sz w:val="18"/>
                <w:szCs w:val="18"/>
                <w:lang w:val="es-ES"/>
              </w:rPr>
              <w:t>Estados de América Latina y el Caribe</w:t>
            </w:r>
          </w:p>
        </w:tc>
      </w:tr>
      <w:tr w:rsidR="00EF5C92" w:rsidRPr="00E944B1" w14:paraId="39CBBDA5" w14:textId="77777777" w:rsidTr="00EF5C92">
        <w:tc>
          <w:tcPr>
            <w:tcW w:w="5677" w:type="dxa"/>
          </w:tcPr>
          <w:p w14:paraId="631FFC65" w14:textId="77777777" w:rsidR="00EF5C92" w:rsidRPr="00EF5C92" w:rsidRDefault="00EF5C92" w:rsidP="00EF5C92">
            <w:pPr>
              <w:spacing w:line="278" w:lineRule="auto"/>
              <w:rPr>
                <w:sz w:val="18"/>
                <w:szCs w:val="18"/>
                <w:lang w:val="es-ES"/>
              </w:rPr>
            </w:pPr>
            <w:r w:rsidRPr="00EF5C92">
              <w:rPr>
                <w:sz w:val="18"/>
                <w:szCs w:val="18"/>
                <w:lang w:val="es-ES"/>
              </w:rPr>
              <w:t xml:space="preserve"> Eastern European States</w:t>
            </w:r>
          </w:p>
        </w:tc>
        <w:tc>
          <w:tcPr>
            <w:tcW w:w="4011" w:type="dxa"/>
          </w:tcPr>
          <w:p w14:paraId="5D228D8D" w14:textId="75D85CF7" w:rsidR="00EF5C92" w:rsidRPr="00EF5C92" w:rsidRDefault="00EF5C92" w:rsidP="00EF5C92">
            <w:pPr>
              <w:spacing w:line="278" w:lineRule="auto"/>
              <w:rPr>
                <w:sz w:val="18"/>
                <w:szCs w:val="18"/>
                <w:lang w:val="es-ES"/>
              </w:rPr>
            </w:pPr>
            <w:r w:rsidRPr="00EF5C92">
              <w:rPr>
                <w:sz w:val="18"/>
                <w:szCs w:val="18"/>
                <w:lang w:val="es-ES"/>
              </w:rPr>
              <w:t>Estados de Europa Oriental</w:t>
            </w:r>
          </w:p>
        </w:tc>
      </w:tr>
      <w:tr w:rsidR="00EF5C92" w:rsidRPr="00E944B1" w14:paraId="692B7692" w14:textId="77777777" w:rsidTr="00EF5C92">
        <w:tc>
          <w:tcPr>
            <w:tcW w:w="5677" w:type="dxa"/>
          </w:tcPr>
          <w:p w14:paraId="583727E0" w14:textId="77777777" w:rsidR="00EF5C92" w:rsidRPr="00EF5C92" w:rsidRDefault="00EF5C92" w:rsidP="00EF5C92">
            <w:pPr>
              <w:spacing w:line="278" w:lineRule="auto"/>
              <w:rPr>
                <w:sz w:val="18"/>
                <w:szCs w:val="18"/>
                <w:lang w:val="en-US"/>
              </w:rPr>
            </w:pPr>
            <w:r w:rsidRPr="00EF5C92">
              <w:rPr>
                <w:sz w:val="18"/>
                <w:szCs w:val="18"/>
                <w:lang w:val="en-US"/>
              </w:rPr>
              <w:t>Western European and other States</w:t>
            </w:r>
          </w:p>
        </w:tc>
        <w:tc>
          <w:tcPr>
            <w:tcW w:w="4011" w:type="dxa"/>
          </w:tcPr>
          <w:p w14:paraId="57019A69" w14:textId="08735D81" w:rsidR="00EF5C92" w:rsidRPr="00EF5C92" w:rsidRDefault="00EF5C92" w:rsidP="00EF5C92">
            <w:pPr>
              <w:spacing w:line="278" w:lineRule="auto"/>
              <w:rPr>
                <w:sz w:val="18"/>
                <w:szCs w:val="18"/>
                <w:lang w:val="es-ES"/>
              </w:rPr>
            </w:pPr>
            <w:r w:rsidRPr="00EF5C92">
              <w:rPr>
                <w:sz w:val="18"/>
                <w:szCs w:val="18"/>
                <w:lang w:val="es-ES"/>
              </w:rPr>
              <w:t>Estados de Europa Occidental y otros Estados</w:t>
            </w:r>
          </w:p>
        </w:tc>
      </w:tr>
    </w:tbl>
    <w:p w14:paraId="7925F16F" w14:textId="77777777" w:rsidR="00EF5C92" w:rsidRPr="005E3D50" w:rsidRDefault="00EF5C92" w:rsidP="009713BF">
      <w:pPr>
        <w:spacing w:after="200" w:line="240" w:lineRule="auto"/>
        <w:rPr>
          <w:rFonts w:ascii="Aptos" w:eastAsiaTheme="minorEastAsia" w:hAnsi="Aptos"/>
          <w:color w:val="0E2841" w:themeColor="text2"/>
          <w:kern w:val="0"/>
          <w:sz w:val="18"/>
          <w:szCs w:val="18"/>
          <w:lang w:val="es-ES" w:eastAsia="ja-JP"/>
          <w14:ligatures w14:val="none"/>
        </w:rPr>
      </w:pPr>
    </w:p>
    <w:p w14:paraId="0EA1F06E"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p w14:paraId="75915FF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363"/>
    </w:p>
    <w:p w14:paraId="651B3C74" w14:textId="77777777" w:rsidR="009713BF" w:rsidRPr="005E3D50" w:rsidRDefault="009713BF" w:rsidP="009713BF">
      <w:pPr>
        <w:rPr>
          <w:lang w:val="es-ES"/>
        </w:rPr>
      </w:pPr>
    </w:p>
    <w:p w14:paraId="60EB111F" w14:textId="77777777" w:rsidR="009713BF" w:rsidRPr="005E3D50" w:rsidRDefault="009713BF" w:rsidP="009713BF">
      <w:pPr>
        <w:spacing w:after="200" w:line="240" w:lineRule="auto"/>
        <w:rPr>
          <w:rFonts w:ascii="Aptos" w:eastAsiaTheme="minorEastAsia" w:hAnsi="Aptos"/>
          <w:color w:val="0E2841" w:themeColor="text2"/>
          <w:kern w:val="0"/>
          <w:lang w:val="es-ES" w:eastAsia="ja-JP"/>
          <w14:ligatures w14:val="none"/>
        </w:rPr>
      </w:pPr>
      <w:r w:rsidRPr="005E3D50">
        <w:rPr>
          <w:rFonts w:ascii="Aptos" w:eastAsiaTheme="minorEastAsia" w:hAnsi="Aptos"/>
          <w:iCs/>
          <w:color w:val="0E2841" w:themeColor="text2"/>
          <w:kern w:val="0"/>
          <w:szCs w:val="18"/>
          <w:lang w:val="es-ES" w:eastAsia="ja-JP"/>
          <w14:ligatures w14:val="none"/>
        </w:rPr>
        <w:t xml:space="preserve">Sobre la base de las autoevaluaciones realizadas por las Partes en sus informes nacionales, se calcula que el 43 % de las metas nacionales estrechamente armonizadas con la meta 13 están en vías de alcanzarse. En un 8 % no se registran cambios significativos y en otro 44 % se registran progresos insuficientes. Solo se informa de dos metas nacionales (1 %) que ya se han logrado (véase la </w:t>
      </w:r>
      <w:r w:rsidRPr="005E3D50">
        <w:rPr>
          <w:rFonts w:eastAsiaTheme="minorEastAsia"/>
          <w:iCs/>
          <w:color w:val="0E2841" w:themeColor="text2"/>
          <w:kern w:val="0"/>
          <w:szCs w:val="18"/>
          <w:lang w:val="es-ES" w:eastAsia="ja-JP"/>
          <w14:ligatures w14:val="none"/>
        </w:rPr>
        <w:t>figura 59</w:t>
      </w:r>
      <w:r w:rsidRPr="005E3D50">
        <w:rPr>
          <w:rFonts w:ascii="Aptos" w:eastAsiaTheme="minorEastAsia" w:hAnsi="Aptos"/>
          <w:iCs/>
          <w:color w:val="0E2841" w:themeColor="text2"/>
          <w:kern w:val="0"/>
          <w:szCs w:val="18"/>
          <w:lang w:val="es-ES" w:eastAsia="ja-JP"/>
          <w14:ligatures w14:val="none"/>
        </w:rPr>
        <w:t xml:space="preserve">). </w:t>
      </w:r>
    </w:p>
    <w:p w14:paraId="34FCAA14" w14:textId="77777777" w:rsidR="009713BF" w:rsidRPr="005E3D50" w:rsidRDefault="009713BF" w:rsidP="009713BF">
      <w:pPr>
        <w:rPr>
          <w:sz w:val="20"/>
          <w:szCs w:val="20"/>
          <w:lang w:val="es-ES"/>
        </w:rPr>
      </w:pPr>
    </w:p>
    <w:p w14:paraId="5C15969C" w14:textId="77777777" w:rsidR="009713BF" w:rsidRPr="005E3D50" w:rsidRDefault="009713BF" w:rsidP="009713BF">
      <w:pPr>
        <w:rPr>
          <w:sz w:val="20"/>
          <w:szCs w:val="20"/>
          <w:lang w:val="es-ES"/>
        </w:rPr>
      </w:pPr>
      <w:r w:rsidRPr="005E3D50">
        <w:rPr>
          <w:sz w:val="20"/>
          <w:lang w:val="es-ES"/>
        </w:rPr>
        <w:t>Figura 59</w:t>
      </w:r>
    </w:p>
    <w:p w14:paraId="433FB43D"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13 del Marco </w:t>
      </w:r>
    </w:p>
    <w:p w14:paraId="7DF272A1" w14:textId="77777777" w:rsidR="009713BF" w:rsidRPr="005E3D50" w:rsidRDefault="009713BF" w:rsidP="009713BF">
      <w:pPr>
        <w:rPr>
          <w:sz w:val="20"/>
          <w:szCs w:val="20"/>
          <w:lang w:val="es-ES" w:eastAsia="ja-JP"/>
        </w:rPr>
      </w:pPr>
    </w:p>
    <w:p w14:paraId="59248EF6"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364" w:name="_Ref230685179"/>
      <w:r w:rsidRPr="005E3D50">
        <w:rPr>
          <w:rFonts w:eastAsiaTheme="minorEastAsia"/>
          <w:i/>
          <w:iCs/>
          <w:noProof/>
          <w:color w:val="0E2841" w:themeColor="text2"/>
          <w:kern w:val="0"/>
          <w:sz w:val="18"/>
          <w:szCs w:val="18"/>
          <w:lang w:val="en-US"/>
          <w14:ligatures w14:val="none"/>
        </w:rPr>
        <w:drawing>
          <wp:inline distT="0" distB="0" distL="0" distR="0" wp14:anchorId="35DFC025" wp14:editId="63DB1398">
            <wp:extent cx="5724525" cy="2286000"/>
            <wp:effectExtent l="0" t="0" r="0" b="0"/>
            <wp:docPr id="1449334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34264" name=""/>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24525" cy="2286000"/>
                    </a:xfrm>
                    <a:prstGeom prst="rect">
                      <a:avLst/>
                    </a:prstGeom>
                  </pic:spPr>
                </pic:pic>
              </a:graphicData>
            </a:graphic>
          </wp:inline>
        </w:drawing>
      </w:r>
    </w:p>
    <w:p w14:paraId="6A8D5299"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65" w:name="_Toc235821210"/>
      <w:bookmarkEnd w:id="364"/>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w:t>
      </w:r>
      <w:r w:rsidRPr="005E3D50">
        <w:rPr>
          <w:rFonts w:ascii="Aptos" w:eastAsiaTheme="minorEastAsia" w:hAnsi="Aptos"/>
          <w:iCs/>
          <w:color w:val="0E2841" w:themeColor="text2"/>
          <w:kern w:val="0"/>
          <w:sz w:val="18"/>
          <w:szCs w:val="18"/>
          <w:lang w:val="es-ES" w:eastAsia="ja-JP"/>
          <w14:ligatures w14:val="none"/>
        </w:rPr>
        <w:lastRenderedPageBreak/>
        <w:t>proporción de Partes de una región dada para la que se incluyen datos en el gráfico; los tonos más claros representan la proporción de Partes de la misma región para la que no se incluyen datos en el gráfico.</w:t>
      </w:r>
    </w:p>
    <w:tbl>
      <w:tblPr>
        <w:tblStyle w:val="TableGrid"/>
        <w:tblW w:w="9298" w:type="dxa"/>
        <w:tblLook w:val="04A0" w:firstRow="1" w:lastRow="0" w:firstColumn="1" w:lastColumn="0" w:noHBand="0" w:noVBand="1"/>
      </w:tblPr>
      <w:tblGrid>
        <w:gridCol w:w="5018"/>
        <w:gridCol w:w="4280"/>
      </w:tblGrid>
      <w:tr w:rsidR="002B2A3A" w:rsidRPr="005C3A08" w14:paraId="24F00827" w14:textId="77777777" w:rsidTr="005C3A08">
        <w:tc>
          <w:tcPr>
            <w:tcW w:w="9298" w:type="dxa"/>
            <w:gridSpan w:val="2"/>
          </w:tcPr>
          <w:p w14:paraId="0FAE1889" w14:textId="3E19E6EA" w:rsidR="002B2A3A" w:rsidRPr="005C3A08" w:rsidRDefault="002B2A3A" w:rsidP="005C3A08">
            <w:pPr>
              <w:rPr>
                <w:sz w:val="18"/>
                <w:szCs w:val="18"/>
                <w:lang w:val="es-ES"/>
              </w:rPr>
            </w:pPr>
            <w:r w:rsidRPr="005C3A08">
              <w:rPr>
                <w:sz w:val="18"/>
                <w:szCs w:val="18"/>
                <w:lang w:val="es-ES"/>
              </w:rPr>
              <w:t>Figura 59</w:t>
            </w:r>
          </w:p>
        </w:tc>
      </w:tr>
      <w:tr w:rsidR="002B2A3A" w:rsidRPr="005C3A08" w14:paraId="1A09D3C7" w14:textId="77777777" w:rsidTr="005C3A08">
        <w:tc>
          <w:tcPr>
            <w:tcW w:w="5018" w:type="dxa"/>
          </w:tcPr>
          <w:p w14:paraId="552AEC90" w14:textId="77777777" w:rsidR="002B2A3A" w:rsidRPr="005C3A08" w:rsidRDefault="002B2A3A" w:rsidP="005C3A08">
            <w:pPr>
              <w:spacing w:line="278" w:lineRule="auto"/>
              <w:rPr>
                <w:sz w:val="18"/>
                <w:szCs w:val="18"/>
                <w:lang w:val="es-ES"/>
              </w:rPr>
            </w:pPr>
            <w:r w:rsidRPr="005C3A08">
              <w:rPr>
                <w:sz w:val="18"/>
                <w:szCs w:val="18"/>
                <w:lang w:val="es-ES"/>
              </w:rPr>
              <w:t>English</w:t>
            </w:r>
          </w:p>
        </w:tc>
        <w:tc>
          <w:tcPr>
            <w:tcW w:w="4279" w:type="dxa"/>
          </w:tcPr>
          <w:p w14:paraId="6AC2219B" w14:textId="4460A777" w:rsidR="002B2A3A" w:rsidRPr="005C3A08" w:rsidRDefault="005C3A08" w:rsidP="005C3A08">
            <w:pPr>
              <w:spacing w:line="278" w:lineRule="auto"/>
              <w:rPr>
                <w:sz w:val="18"/>
                <w:szCs w:val="18"/>
                <w:lang w:val="es-ES"/>
              </w:rPr>
            </w:pPr>
            <w:r w:rsidRPr="005C3A08">
              <w:rPr>
                <w:sz w:val="18"/>
                <w:szCs w:val="18"/>
                <w:lang w:val="es-ES"/>
              </w:rPr>
              <w:t>Español</w:t>
            </w:r>
          </w:p>
        </w:tc>
      </w:tr>
      <w:tr w:rsidR="002B2A3A" w:rsidRPr="005C3A08" w14:paraId="651E6262" w14:textId="77777777" w:rsidTr="005C3A08">
        <w:tc>
          <w:tcPr>
            <w:tcW w:w="5018" w:type="dxa"/>
          </w:tcPr>
          <w:p w14:paraId="59087FAA" w14:textId="77777777" w:rsidR="00760B5C" w:rsidRPr="005C3A08" w:rsidRDefault="00760B5C" w:rsidP="005C3A08">
            <w:pPr>
              <w:rPr>
                <w:sz w:val="18"/>
                <w:szCs w:val="18"/>
                <w:lang w:val="en-US"/>
              </w:rPr>
            </w:pPr>
            <w:r w:rsidRPr="005C3A08">
              <w:rPr>
                <w:sz w:val="18"/>
                <w:szCs w:val="18"/>
                <w:lang w:val="en-US"/>
              </w:rPr>
              <w:t>Percentage of national goals</w:t>
            </w:r>
          </w:p>
          <w:p w14:paraId="060E4473" w14:textId="4076871F" w:rsidR="002B2A3A" w:rsidRPr="005C3A08" w:rsidRDefault="002B2A3A" w:rsidP="005C3A08">
            <w:pPr>
              <w:rPr>
                <w:sz w:val="18"/>
                <w:szCs w:val="18"/>
                <w:lang w:val="es-ES"/>
              </w:rPr>
            </w:pPr>
          </w:p>
        </w:tc>
        <w:tc>
          <w:tcPr>
            <w:tcW w:w="4279" w:type="dxa"/>
          </w:tcPr>
          <w:p w14:paraId="6C64AA5E" w14:textId="1C93029B" w:rsidR="002B2A3A" w:rsidRPr="005C3A08" w:rsidRDefault="002B2A3A" w:rsidP="005C3A08">
            <w:pPr>
              <w:spacing w:line="278" w:lineRule="auto"/>
              <w:rPr>
                <w:sz w:val="18"/>
                <w:szCs w:val="18"/>
                <w:lang w:val="es-ES"/>
              </w:rPr>
            </w:pPr>
            <w:r w:rsidRPr="005C3A08">
              <w:rPr>
                <w:sz w:val="18"/>
                <w:szCs w:val="18"/>
                <w:lang w:val="es-ES"/>
              </w:rPr>
              <w:t>Porcentaje de metas nacionales</w:t>
            </w:r>
          </w:p>
        </w:tc>
      </w:tr>
      <w:tr w:rsidR="002B2A3A" w:rsidRPr="005C3A08" w14:paraId="769F32B5" w14:textId="77777777" w:rsidTr="005C3A08">
        <w:tc>
          <w:tcPr>
            <w:tcW w:w="5018" w:type="dxa"/>
          </w:tcPr>
          <w:p w14:paraId="555C2335" w14:textId="77777777" w:rsidR="00760B5C" w:rsidRPr="005C3A08" w:rsidRDefault="00760B5C" w:rsidP="005C3A08">
            <w:pPr>
              <w:rPr>
                <w:sz w:val="18"/>
                <w:szCs w:val="18"/>
                <w:lang w:val="en-US"/>
              </w:rPr>
            </w:pPr>
            <w:r w:rsidRPr="005C3A08">
              <w:rPr>
                <w:sz w:val="18"/>
                <w:szCs w:val="18"/>
                <w:lang w:val="en-US"/>
              </w:rPr>
              <w:t>Progress level</w:t>
            </w:r>
          </w:p>
          <w:p w14:paraId="59B13FD6" w14:textId="6371627F" w:rsidR="002B2A3A" w:rsidRPr="005C3A08" w:rsidRDefault="002B2A3A" w:rsidP="005C3A08">
            <w:pPr>
              <w:spacing w:line="278" w:lineRule="auto"/>
              <w:rPr>
                <w:sz w:val="18"/>
                <w:szCs w:val="18"/>
                <w:lang w:val="es-ES"/>
              </w:rPr>
            </w:pPr>
          </w:p>
        </w:tc>
        <w:tc>
          <w:tcPr>
            <w:tcW w:w="4279" w:type="dxa"/>
          </w:tcPr>
          <w:p w14:paraId="7FEAE6B4" w14:textId="4ED7C53B" w:rsidR="002B2A3A" w:rsidRPr="005C3A08" w:rsidRDefault="002B2A3A" w:rsidP="005C3A08">
            <w:pPr>
              <w:spacing w:line="278" w:lineRule="auto"/>
              <w:rPr>
                <w:sz w:val="18"/>
                <w:szCs w:val="18"/>
                <w:lang w:val="es-ES"/>
              </w:rPr>
            </w:pPr>
            <w:r w:rsidRPr="005C3A08">
              <w:rPr>
                <w:sz w:val="18"/>
                <w:szCs w:val="18"/>
                <w:lang w:val="es-ES"/>
              </w:rPr>
              <w:t>Nivel de progreso</w:t>
            </w:r>
          </w:p>
        </w:tc>
      </w:tr>
      <w:tr w:rsidR="002B2A3A" w:rsidRPr="005C3A08" w14:paraId="357A0D97" w14:textId="77777777" w:rsidTr="005C3A08">
        <w:tc>
          <w:tcPr>
            <w:tcW w:w="5018" w:type="dxa"/>
          </w:tcPr>
          <w:p w14:paraId="551DA315" w14:textId="77777777" w:rsidR="00760B5C" w:rsidRPr="005C3A08" w:rsidRDefault="00760B5C" w:rsidP="005C3A08">
            <w:pPr>
              <w:rPr>
                <w:sz w:val="18"/>
                <w:szCs w:val="18"/>
                <w:lang w:val="en-US"/>
              </w:rPr>
            </w:pPr>
            <w:r w:rsidRPr="005C3A08">
              <w:rPr>
                <w:sz w:val="18"/>
                <w:szCs w:val="18"/>
                <w:lang w:val="en-US"/>
              </w:rPr>
              <w:t>Achieved</w:t>
            </w:r>
          </w:p>
          <w:p w14:paraId="546946CF" w14:textId="0FDC839F" w:rsidR="002B2A3A" w:rsidRPr="005C3A08" w:rsidRDefault="002B2A3A" w:rsidP="005C3A08">
            <w:pPr>
              <w:spacing w:line="278" w:lineRule="auto"/>
              <w:rPr>
                <w:sz w:val="18"/>
                <w:szCs w:val="18"/>
                <w:lang w:val="es-ES"/>
              </w:rPr>
            </w:pPr>
          </w:p>
        </w:tc>
        <w:tc>
          <w:tcPr>
            <w:tcW w:w="4279" w:type="dxa"/>
          </w:tcPr>
          <w:p w14:paraId="65CE532E" w14:textId="46B648DE" w:rsidR="002B2A3A" w:rsidRPr="005C3A08" w:rsidRDefault="002B2A3A" w:rsidP="005C3A08">
            <w:pPr>
              <w:spacing w:line="278" w:lineRule="auto"/>
              <w:rPr>
                <w:sz w:val="18"/>
                <w:szCs w:val="18"/>
                <w:lang w:val="es-ES"/>
              </w:rPr>
            </w:pPr>
            <w:r w:rsidRPr="005C3A08">
              <w:rPr>
                <w:sz w:val="18"/>
                <w:szCs w:val="18"/>
                <w:lang w:val="es-ES"/>
              </w:rPr>
              <w:t>Alcanzada</w:t>
            </w:r>
          </w:p>
        </w:tc>
      </w:tr>
      <w:tr w:rsidR="002B2A3A" w:rsidRPr="005C3A08" w14:paraId="7142C374" w14:textId="77777777" w:rsidTr="005C3A08">
        <w:tc>
          <w:tcPr>
            <w:tcW w:w="5018" w:type="dxa"/>
          </w:tcPr>
          <w:p w14:paraId="407A9BFD" w14:textId="4A069B41" w:rsidR="00760B5C" w:rsidRPr="005C3A08" w:rsidRDefault="00760B5C" w:rsidP="005C3A08">
            <w:pPr>
              <w:rPr>
                <w:sz w:val="18"/>
                <w:szCs w:val="18"/>
                <w:lang w:val="en-US"/>
              </w:rPr>
            </w:pPr>
            <w:r w:rsidRPr="005C3A08">
              <w:rPr>
                <w:sz w:val="18"/>
                <w:szCs w:val="18"/>
                <w:lang w:val="en-US"/>
              </w:rPr>
              <w:t xml:space="preserve">On track to reach </w:t>
            </w:r>
            <w:r w:rsidR="00724BCE" w:rsidRPr="005C3A08">
              <w:rPr>
                <w:sz w:val="18"/>
                <w:szCs w:val="18"/>
                <w:lang w:val="en-US"/>
              </w:rPr>
              <w:t>target</w:t>
            </w:r>
          </w:p>
          <w:p w14:paraId="26683AE4" w14:textId="19B22A4E" w:rsidR="002B2A3A" w:rsidRPr="005C3A08" w:rsidRDefault="002B2A3A" w:rsidP="005C3A08">
            <w:pPr>
              <w:spacing w:line="278" w:lineRule="auto"/>
              <w:rPr>
                <w:sz w:val="18"/>
                <w:szCs w:val="18"/>
                <w:lang w:val="en-US"/>
              </w:rPr>
            </w:pPr>
          </w:p>
        </w:tc>
        <w:tc>
          <w:tcPr>
            <w:tcW w:w="4279" w:type="dxa"/>
          </w:tcPr>
          <w:p w14:paraId="07A7F8ED" w14:textId="5A163DB8" w:rsidR="002B2A3A" w:rsidRPr="005C3A08" w:rsidRDefault="002B2A3A" w:rsidP="005C3A08">
            <w:pPr>
              <w:spacing w:line="278" w:lineRule="auto"/>
              <w:rPr>
                <w:sz w:val="18"/>
                <w:szCs w:val="18"/>
                <w:lang w:val="es-ES"/>
              </w:rPr>
            </w:pPr>
            <w:r w:rsidRPr="005C3A08">
              <w:rPr>
                <w:sz w:val="18"/>
                <w:szCs w:val="18"/>
                <w:lang w:val="es-ES"/>
              </w:rPr>
              <w:t>En vías de alcanzar la meta</w:t>
            </w:r>
          </w:p>
        </w:tc>
      </w:tr>
      <w:tr w:rsidR="002B2A3A" w:rsidRPr="005C3A08" w14:paraId="5C32D511" w14:textId="77777777" w:rsidTr="005C3A08">
        <w:tc>
          <w:tcPr>
            <w:tcW w:w="5018" w:type="dxa"/>
          </w:tcPr>
          <w:p w14:paraId="4C1CB5F4" w14:textId="60079F75" w:rsidR="00760B5C" w:rsidRPr="005C3A08" w:rsidRDefault="00760B5C" w:rsidP="005C3A08">
            <w:pPr>
              <w:rPr>
                <w:sz w:val="18"/>
                <w:szCs w:val="18"/>
                <w:lang w:val="en-US"/>
              </w:rPr>
            </w:pPr>
            <w:r w:rsidRPr="005C3A08">
              <w:rPr>
                <w:sz w:val="18"/>
                <w:szCs w:val="18"/>
                <w:lang w:val="en-US"/>
              </w:rPr>
              <w:t xml:space="preserve">Progress towards </w:t>
            </w:r>
            <w:proofErr w:type="gramStart"/>
            <w:r w:rsidR="00724BCE" w:rsidRPr="005C3A08">
              <w:rPr>
                <w:sz w:val="18"/>
                <w:szCs w:val="18"/>
                <w:lang w:val="en-US"/>
              </w:rPr>
              <w:t xml:space="preserve">target </w:t>
            </w:r>
            <w:r w:rsidRPr="005C3A08">
              <w:rPr>
                <w:sz w:val="18"/>
                <w:szCs w:val="18"/>
                <w:lang w:val="en-US"/>
              </w:rPr>
              <w:t xml:space="preserve"> but</w:t>
            </w:r>
            <w:proofErr w:type="gramEnd"/>
            <w:r w:rsidRPr="005C3A08">
              <w:rPr>
                <w:sz w:val="18"/>
                <w:szCs w:val="18"/>
                <w:lang w:val="en-US"/>
              </w:rPr>
              <w:t xml:space="preserve"> at an insufficient pace</w:t>
            </w:r>
          </w:p>
          <w:p w14:paraId="295131B4" w14:textId="630DA702" w:rsidR="002B2A3A" w:rsidRPr="005C3A08" w:rsidRDefault="002B2A3A" w:rsidP="005C3A08">
            <w:pPr>
              <w:spacing w:line="278" w:lineRule="auto"/>
              <w:rPr>
                <w:sz w:val="18"/>
                <w:szCs w:val="18"/>
                <w:lang w:val="en-US"/>
              </w:rPr>
            </w:pPr>
          </w:p>
        </w:tc>
        <w:tc>
          <w:tcPr>
            <w:tcW w:w="4279" w:type="dxa"/>
          </w:tcPr>
          <w:p w14:paraId="2AEC83E9" w14:textId="224AAA37" w:rsidR="002B2A3A" w:rsidRPr="005C3A08" w:rsidRDefault="002B2A3A" w:rsidP="005C3A08">
            <w:pPr>
              <w:spacing w:line="278" w:lineRule="auto"/>
              <w:rPr>
                <w:sz w:val="18"/>
                <w:szCs w:val="18"/>
                <w:lang w:val="es-ES"/>
              </w:rPr>
            </w:pPr>
            <w:r w:rsidRPr="005C3A08">
              <w:rPr>
                <w:sz w:val="18"/>
                <w:szCs w:val="18"/>
                <w:lang w:val="es-ES"/>
              </w:rPr>
              <w:t xml:space="preserve">Se ha progresado hacia la </w:t>
            </w:r>
            <w:proofErr w:type="gramStart"/>
            <w:r w:rsidRPr="005C3A08">
              <w:rPr>
                <w:sz w:val="18"/>
                <w:szCs w:val="18"/>
                <w:lang w:val="es-ES"/>
              </w:rPr>
              <w:t>meta</w:t>
            </w:r>
            <w:proofErr w:type="gramEnd"/>
            <w:r w:rsidRPr="005C3A08">
              <w:rPr>
                <w:sz w:val="18"/>
                <w:szCs w:val="18"/>
                <w:lang w:val="es-ES"/>
              </w:rPr>
              <w:t xml:space="preserve"> pero a un ritmo insuficiente</w:t>
            </w:r>
          </w:p>
        </w:tc>
      </w:tr>
      <w:tr w:rsidR="002B2A3A" w:rsidRPr="005C3A08" w14:paraId="18A8DA45" w14:textId="77777777" w:rsidTr="005C3A08">
        <w:tc>
          <w:tcPr>
            <w:tcW w:w="5018" w:type="dxa"/>
          </w:tcPr>
          <w:p w14:paraId="0B257EFD" w14:textId="1F7D39FD" w:rsidR="00760B5C" w:rsidRPr="005C3A08" w:rsidRDefault="00760B5C" w:rsidP="005C3A08">
            <w:pPr>
              <w:rPr>
                <w:sz w:val="18"/>
                <w:szCs w:val="18"/>
                <w:lang w:val="es-ES"/>
              </w:rPr>
            </w:pPr>
            <w:r w:rsidRPr="005C3A08">
              <w:rPr>
                <w:sz w:val="18"/>
                <w:szCs w:val="18"/>
                <w:lang w:val="es-ES"/>
              </w:rPr>
              <w:t xml:space="preserve">No </w:t>
            </w:r>
            <w:proofErr w:type="spellStart"/>
            <w:r w:rsidRPr="005C3A08">
              <w:rPr>
                <w:sz w:val="18"/>
                <w:szCs w:val="18"/>
                <w:lang w:val="es-ES"/>
              </w:rPr>
              <w:t>significant</w:t>
            </w:r>
            <w:proofErr w:type="spellEnd"/>
            <w:r w:rsidRPr="005C3A08">
              <w:rPr>
                <w:sz w:val="18"/>
                <w:szCs w:val="18"/>
                <w:lang w:val="es-ES"/>
              </w:rPr>
              <w:t xml:space="preserve"> </w:t>
            </w:r>
            <w:proofErr w:type="spellStart"/>
            <w:r w:rsidRPr="005C3A08">
              <w:rPr>
                <w:sz w:val="18"/>
                <w:szCs w:val="18"/>
                <w:lang w:val="es-ES"/>
              </w:rPr>
              <w:t>change</w:t>
            </w:r>
            <w:proofErr w:type="spellEnd"/>
          </w:p>
          <w:p w14:paraId="2524C37F" w14:textId="1DCCEC2B" w:rsidR="002B2A3A" w:rsidRPr="005C3A08" w:rsidRDefault="002B2A3A" w:rsidP="005C3A08">
            <w:pPr>
              <w:spacing w:line="278" w:lineRule="auto"/>
              <w:rPr>
                <w:sz w:val="18"/>
                <w:szCs w:val="18"/>
                <w:lang w:val="es-ES"/>
              </w:rPr>
            </w:pPr>
          </w:p>
        </w:tc>
        <w:tc>
          <w:tcPr>
            <w:tcW w:w="4279" w:type="dxa"/>
          </w:tcPr>
          <w:p w14:paraId="0E6C9C35" w14:textId="2570C8D0" w:rsidR="002B2A3A" w:rsidRPr="005C3A08" w:rsidRDefault="002B2A3A" w:rsidP="005C3A08">
            <w:pPr>
              <w:spacing w:line="278" w:lineRule="auto"/>
              <w:rPr>
                <w:sz w:val="18"/>
                <w:szCs w:val="18"/>
                <w:lang w:val="es-ES"/>
              </w:rPr>
            </w:pPr>
            <w:r w:rsidRPr="005C3A08">
              <w:rPr>
                <w:sz w:val="18"/>
                <w:szCs w:val="18"/>
                <w:lang w:val="es-ES"/>
              </w:rPr>
              <w:t>No hay cambios significativos</w:t>
            </w:r>
          </w:p>
        </w:tc>
      </w:tr>
      <w:tr w:rsidR="002B2A3A" w:rsidRPr="005C3A08" w14:paraId="0C6144E3" w14:textId="77777777" w:rsidTr="005C3A08">
        <w:tc>
          <w:tcPr>
            <w:tcW w:w="5018" w:type="dxa"/>
          </w:tcPr>
          <w:p w14:paraId="20CA4D8E" w14:textId="1E2A7A38" w:rsidR="002B2A3A" w:rsidRPr="005C3A08" w:rsidRDefault="00760B5C" w:rsidP="005C3A08">
            <w:pPr>
              <w:spacing w:line="278" w:lineRule="auto"/>
              <w:rPr>
                <w:sz w:val="18"/>
                <w:szCs w:val="18"/>
                <w:lang w:val="es-ES"/>
              </w:rPr>
            </w:pPr>
            <w:r w:rsidRPr="005C3A08">
              <w:rPr>
                <w:sz w:val="18"/>
                <w:szCs w:val="18"/>
                <w:lang w:val="es-ES"/>
              </w:rPr>
              <w:t>Unknown</w:t>
            </w:r>
          </w:p>
        </w:tc>
        <w:tc>
          <w:tcPr>
            <w:tcW w:w="4279" w:type="dxa"/>
          </w:tcPr>
          <w:p w14:paraId="0C0DF4D1" w14:textId="72D49C51" w:rsidR="002B2A3A" w:rsidRPr="005C3A08" w:rsidRDefault="002B2A3A" w:rsidP="005C3A08">
            <w:pPr>
              <w:spacing w:line="278" w:lineRule="auto"/>
              <w:rPr>
                <w:sz w:val="18"/>
                <w:szCs w:val="18"/>
                <w:lang w:val="es-ES"/>
              </w:rPr>
            </w:pPr>
            <w:r w:rsidRPr="005C3A08">
              <w:rPr>
                <w:sz w:val="18"/>
                <w:szCs w:val="18"/>
                <w:lang w:val="es-ES"/>
              </w:rPr>
              <w:t>Se desconoce</w:t>
            </w:r>
          </w:p>
        </w:tc>
      </w:tr>
    </w:tbl>
    <w:p w14:paraId="53421A0F" w14:textId="77777777" w:rsidR="002B2A3A" w:rsidRPr="005E3D50" w:rsidRDefault="002B2A3A" w:rsidP="009713BF">
      <w:pPr>
        <w:spacing w:after="200" w:line="240" w:lineRule="auto"/>
        <w:rPr>
          <w:rFonts w:eastAsiaTheme="minorEastAsia"/>
          <w:color w:val="0E2841" w:themeColor="text2"/>
          <w:kern w:val="0"/>
          <w:sz w:val="18"/>
          <w:szCs w:val="18"/>
          <w:lang w:val="es-ES" w:eastAsia="ja-JP"/>
          <w14:ligatures w14:val="none"/>
        </w:rPr>
      </w:pPr>
    </w:p>
    <w:p w14:paraId="4AA6B29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781F149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Medidas, logros y dificultades </w:t>
      </w:r>
      <w:bookmarkEnd w:id="365"/>
      <w:r w:rsidRPr="005E3D50">
        <w:rPr>
          <w:rFonts w:eastAsiaTheme="majorEastAsia" w:cstheme="majorBidi"/>
          <w:color w:val="0F4761" w:themeColor="accent1" w:themeShade="BF"/>
          <w:lang w:val="es-ES"/>
        </w:rPr>
        <w:t>en la implementación</w:t>
      </w:r>
    </w:p>
    <w:p w14:paraId="5B66B43C" w14:textId="77777777" w:rsidR="009713BF" w:rsidRPr="005E3D50" w:rsidRDefault="009713BF" w:rsidP="009713BF">
      <w:pPr>
        <w:rPr>
          <w:lang w:val="es-ES"/>
        </w:rPr>
      </w:pPr>
    </w:p>
    <w:p w14:paraId="0E1D3C8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66" w:name="_Toc235821211"/>
      <w:r w:rsidRPr="005E3D50">
        <w:rPr>
          <w:rFonts w:eastAsiaTheme="majorEastAsia" w:cstheme="majorBidi"/>
          <w:i/>
          <w:iCs/>
          <w:color w:val="595959" w:themeColor="text1" w:themeTint="A6"/>
          <w:lang w:val="es-ES"/>
        </w:rPr>
        <w:t>Resumen de medidas en apoyo a la meta 13</w:t>
      </w:r>
      <w:bookmarkEnd w:id="366"/>
      <w:r w:rsidRPr="005E3D50">
        <w:rPr>
          <w:rFonts w:eastAsiaTheme="majorEastAsia" w:cstheme="majorBidi"/>
          <w:i/>
          <w:iCs/>
          <w:color w:val="595959" w:themeColor="text1" w:themeTint="A6"/>
          <w:lang w:val="es-ES"/>
        </w:rPr>
        <w:t xml:space="preserve"> del Marco</w:t>
      </w:r>
    </w:p>
    <w:p w14:paraId="12A82C56" w14:textId="77777777" w:rsidR="009713BF" w:rsidRPr="005E3D50" w:rsidRDefault="009713BF" w:rsidP="009713BF">
      <w:pPr>
        <w:rPr>
          <w:lang w:val="es-ES"/>
        </w:rPr>
      </w:pPr>
    </w:p>
    <w:p w14:paraId="58B9AD8B" w14:textId="77777777" w:rsidR="009713BF" w:rsidRPr="005E3D50" w:rsidRDefault="009713BF" w:rsidP="009713BF">
      <w:pPr>
        <w:rPr>
          <w:lang w:val="es-ES"/>
        </w:rPr>
      </w:pPr>
      <w:r w:rsidRPr="005E3D50">
        <w:rPr>
          <w:lang w:val="es-ES"/>
        </w:rPr>
        <w:t xml:space="preserve">La consecución de la meta 13 está impulsada mayoritariamente por medidas jurídicas y normativas, entre otras, la promulgación de leyes específicas de APB, la ratificación del Protocolo de Nagoya sobre Acceso a los Recursos Genéticos y Participación Justa y Equitativa en los Beneficios que se Deriven de su Utilización o el establecimiento de sistemas administrativos de concesión de permisos y cumplimiento. Estos marcos jurídicos son apoyados por actividades de investigación, seguimiento y recolección de datos e incluyen la operación de bancos nacionales de genes, el desarrollo de bases de datos genéticos y la creación de registros digitales para garantizar la trazabilidad de los recursos genéticos y los conocimientos tradicionales asociados a los recursos genéticos (véase el recuadro 35). Las Partes también se están centrando en acciones sociales y de sensibilización, mediante la organización de talleres de creación de capacidad para investigadores y funcionarios gubernamentales, a la vez que involucran a las comunidades locales a través de actividades de extensión en materia de requisitos de APB. Además, muchos países están integrando en sus políticas medidas consuetudinarias y basadas en derechos, lo que incluye la formalización de procedimientos de consentimiento libre, previo e informado y el apoyo a la elaboración de protocolos bioculturales comunitarios para proteger los conocimientos tradicionales. Si bien entre las medidas comunicadas hay menos casos de instrumentos económicos y financieros, tales como fondos de </w:t>
      </w:r>
      <w:r w:rsidRPr="005E3D50">
        <w:rPr>
          <w:lang w:val="es-ES"/>
        </w:rPr>
        <w:lastRenderedPageBreak/>
        <w:t>participación en los beneficios y mecanismos de regalías, las Partes participan cada vez más en instancias de cooperación internacional, en particular a través de negociaciones sobre la distribución de beneficios derivados de la utilización de información digital sobre secuencias de recursos genéticos.</w:t>
      </w:r>
    </w:p>
    <w:p w14:paraId="66438037" w14:textId="77777777" w:rsidR="009713BF" w:rsidRPr="005E3D50" w:rsidRDefault="009713BF" w:rsidP="009713BF">
      <w:pPr>
        <w:rPr>
          <w:lang w:val="es-ES"/>
        </w:rPr>
      </w:pPr>
    </w:p>
    <w:p w14:paraId="469AAC33"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67" w:name="_Toc235821212"/>
      <w:r w:rsidRPr="005E3D50">
        <w:rPr>
          <w:rFonts w:eastAsiaTheme="majorEastAsia" w:cstheme="majorBidi"/>
          <w:i/>
          <w:iCs/>
          <w:color w:val="595959" w:themeColor="text1" w:themeTint="A6"/>
          <w:lang w:val="es-ES"/>
        </w:rPr>
        <w:t>Ejemplos de logros y progresos en la implementación</w:t>
      </w:r>
      <w:bookmarkEnd w:id="367"/>
    </w:p>
    <w:p w14:paraId="36CD01C9"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9713BF" w:rsidRPr="005E3D50" w14:paraId="41CCBA8C" w14:textId="77777777" w:rsidTr="006E6831">
        <w:tc>
          <w:tcPr>
            <w:tcW w:w="9016" w:type="dxa"/>
            <w:shd w:val="clear" w:color="auto" w:fill="D1D1D1" w:themeFill="background2" w:themeFillShade="E6"/>
          </w:tcPr>
          <w:p w14:paraId="71CA4D04" w14:textId="77777777" w:rsidR="009713BF" w:rsidRPr="005E3D50" w:rsidRDefault="009713BF" w:rsidP="009713BF">
            <w:pPr>
              <w:rPr>
                <w:lang w:val="es-ES"/>
              </w:rPr>
            </w:pPr>
          </w:p>
          <w:p w14:paraId="78F979DA" w14:textId="77777777" w:rsidR="009713BF" w:rsidRPr="005E3D50" w:rsidRDefault="009713BF" w:rsidP="009713BF">
            <w:pPr>
              <w:rPr>
                <w:sz w:val="20"/>
                <w:szCs w:val="20"/>
                <w:lang w:val="es-ES"/>
              </w:rPr>
            </w:pPr>
            <w:r w:rsidRPr="005E3D50">
              <w:rPr>
                <w:sz w:val="20"/>
                <w:lang w:val="es-ES"/>
              </w:rPr>
              <w:t>Recuadro 35</w:t>
            </w:r>
          </w:p>
          <w:p w14:paraId="15C49383" w14:textId="77777777" w:rsidR="009713BF" w:rsidRPr="005E3D50" w:rsidRDefault="009713BF" w:rsidP="009713BF">
            <w:pPr>
              <w:rPr>
                <w:b/>
                <w:bCs/>
                <w:sz w:val="20"/>
                <w:szCs w:val="20"/>
                <w:lang w:val="es-ES"/>
              </w:rPr>
            </w:pPr>
            <w:r w:rsidRPr="005E3D50">
              <w:rPr>
                <w:b/>
                <w:sz w:val="20"/>
                <w:lang w:val="es-ES"/>
              </w:rPr>
              <w:t>Sistemas de acceso y participación en los beneficios, incluidas bibliotecas de conocimientos tradicionales, en Malasia</w:t>
            </w:r>
          </w:p>
          <w:p w14:paraId="315BD10C" w14:textId="77777777" w:rsidR="009713BF" w:rsidRPr="005E3D50" w:rsidRDefault="009713BF" w:rsidP="009713BF">
            <w:pPr>
              <w:spacing w:before="240" w:after="240"/>
              <w:rPr>
                <w:rFonts w:ascii="Aptos" w:eastAsia="Aptos" w:hAnsi="Aptos" w:cs="Aptos"/>
                <w:color w:val="0F1115"/>
                <w:sz w:val="20"/>
                <w:szCs w:val="20"/>
                <w:lang w:val="es-ES"/>
              </w:rPr>
            </w:pPr>
            <w:r w:rsidRPr="005E3D50">
              <w:rPr>
                <w:rFonts w:ascii="Aptos" w:hAnsi="Aptos"/>
                <w:color w:val="0F1115"/>
                <w:sz w:val="20"/>
                <w:lang w:val="es-ES"/>
              </w:rPr>
              <w:t>Malasia implementó un sistema de APB a nivel nacional, que abarca Malasia Peninsular, Sabah y Sarawak, e incluye legislación federal básica de APB promulgada en 2017 que complementa reglamentaciones estatales anteriores. En el marco de este sistema, desde 2020 se han otorgado más de 3.200 permisos de acceso en todo el país, y a enero de 2026 se habían suscrito cinco acuerdos de participación en los beneficios, lo que ha redundado en beneficios tangibles para comunidades indígenas locales.</w:t>
            </w:r>
          </w:p>
          <w:p w14:paraId="2A6F85A3" w14:textId="77777777" w:rsidR="009713BF" w:rsidRPr="005E3D50" w:rsidRDefault="009713BF" w:rsidP="009713BF">
            <w:pPr>
              <w:spacing w:before="240" w:after="240"/>
              <w:rPr>
                <w:rFonts w:ascii="Aptos" w:eastAsia="Aptos" w:hAnsi="Aptos" w:cs="Aptos"/>
                <w:color w:val="0F1115"/>
                <w:sz w:val="20"/>
                <w:szCs w:val="20"/>
                <w:lang w:val="es-ES"/>
              </w:rPr>
            </w:pPr>
            <w:r w:rsidRPr="005E3D50">
              <w:rPr>
                <w:rFonts w:ascii="Aptos" w:hAnsi="Aptos"/>
                <w:color w:val="0F1115"/>
                <w:sz w:val="20"/>
                <w:lang w:val="es-ES"/>
              </w:rPr>
              <w:t>El enfoque del país se ha caracterizado, entre otras cosas, por la documentación y el almacenamiento de conocimientos tradicionales en bibliotecas digitales, con el objetivo de prevenir la biopiratería y brindar apoyo para el examen de patentes. Malasia desempeñó un papel decisivo en la promoción de la adopción del Tratado de la OMPI sobre la Propiedad Intelectual, los Recursos Genéticos y los Conocimientos Tradicionales Asociados de 2024, con lo cual se perfeccionaron las normas de protección mundial para recursos genéticos y conocimientos tradicionales. Se estableció un centro de intercambio de información sobre APB (MyABS), así como sistemas regionales de solicitud en línea y diversas bibliotecas digitales de conocimientos tradicionales, para llevar a cabo la gestión digital y la protección de recursos y conocimientos. Esto incluye actividades de extensión, capacitación y talleres diseñados específicamente para reguladores, investigadores, pueblos indígenas y comunidades locales, con el fin de mejorar la capacidad de implementación general, y la facilitación de acuerdos de participación en los beneficios con condiciones mutuamente acordadas para promover el desarrollo comercial de los recursos biológicos.</w:t>
            </w:r>
          </w:p>
          <w:p w14:paraId="1366949C"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13, 20, 21 y 22</w:t>
            </w:r>
          </w:p>
          <w:p w14:paraId="615FE8B4" w14:textId="77777777" w:rsidR="009713BF" w:rsidRPr="005E3D50" w:rsidRDefault="009713BF" w:rsidP="009713BF">
            <w:pPr>
              <w:rPr>
                <w:sz w:val="20"/>
                <w:szCs w:val="20"/>
                <w:lang w:val="es-ES"/>
              </w:rPr>
            </w:pPr>
            <w:r w:rsidRPr="005E3D50">
              <w:rPr>
                <w:i/>
                <w:sz w:val="20"/>
                <w:lang w:val="es-ES"/>
              </w:rPr>
              <w:t xml:space="preserve">Fuentes: </w:t>
            </w:r>
            <w:r w:rsidRPr="005E3D50">
              <w:rPr>
                <w:sz w:val="20"/>
                <w:lang w:val="es-ES"/>
              </w:rPr>
              <w:t xml:space="preserve">Malasia, séptimo informe nacional presentado al Convenio; </w:t>
            </w:r>
            <w:proofErr w:type="spellStart"/>
            <w:r w:rsidRPr="005E3D50">
              <w:rPr>
                <w:sz w:val="20"/>
                <w:lang w:val="es-ES"/>
              </w:rPr>
              <w:t>BioJapan</w:t>
            </w:r>
            <w:proofErr w:type="spellEnd"/>
            <w:r w:rsidRPr="005E3D50">
              <w:rPr>
                <w:sz w:val="20"/>
                <w:lang w:val="es-ES"/>
              </w:rPr>
              <w:t>, 2025; Gobierno de Malasia, 2017; y OMPI, 2024.</w:t>
            </w:r>
          </w:p>
          <w:p w14:paraId="376F3EE5" w14:textId="77777777" w:rsidR="009713BF" w:rsidRPr="005E3D50" w:rsidRDefault="009713BF" w:rsidP="009713BF">
            <w:pPr>
              <w:rPr>
                <w:lang w:val="es-ES"/>
              </w:rPr>
            </w:pPr>
          </w:p>
        </w:tc>
      </w:tr>
    </w:tbl>
    <w:p w14:paraId="661D612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1024FC46" w14:textId="77777777" w:rsidR="009713BF" w:rsidRPr="005E3D50" w:rsidRDefault="009713BF" w:rsidP="009713BF">
      <w:pPr>
        <w:widowControl w:val="0"/>
        <w:spacing w:before="40" w:after="0"/>
        <w:outlineLvl w:val="5"/>
        <w:rPr>
          <w:rFonts w:eastAsiaTheme="majorEastAsia" w:cstheme="majorBidi"/>
          <w:i/>
          <w:iCs/>
          <w:color w:val="595959" w:themeColor="text1" w:themeTint="A6"/>
          <w:lang w:val="es-ES"/>
        </w:rPr>
      </w:pPr>
      <w:bookmarkStart w:id="368" w:name="_Toc235821213"/>
      <w:r w:rsidRPr="005E3D50">
        <w:rPr>
          <w:rFonts w:eastAsiaTheme="majorEastAsia" w:cstheme="majorBidi"/>
          <w:i/>
          <w:iCs/>
          <w:color w:val="595959" w:themeColor="text1" w:themeTint="A6"/>
          <w:lang w:val="es-ES"/>
        </w:rPr>
        <w:t>Dificultades</w:t>
      </w:r>
      <w:bookmarkEnd w:id="368"/>
    </w:p>
    <w:p w14:paraId="75EEBA81" w14:textId="77777777" w:rsidR="009713BF" w:rsidRPr="005E3D50" w:rsidRDefault="009713BF" w:rsidP="009713BF">
      <w:pPr>
        <w:widowControl w:val="0"/>
        <w:rPr>
          <w:rFonts w:ascii="Aptos" w:eastAsia="Aptos" w:hAnsi="Aptos" w:cs="Aptos"/>
          <w:lang w:val="es-ES"/>
        </w:rPr>
      </w:pPr>
    </w:p>
    <w:p w14:paraId="6275E617" w14:textId="77777777" w:rsidR="009713BF" w:rsidRPr="005E3D50" w:rsidRDefault="009713BF" w:rsidP="009713BF">
      <w:pPr>
        <w:widowControl w:val="0"/>
        <w:rPr>
          <w:rFonts w:ascii="Aptos" w:eastAsia="Aptos" w:hAnsi="Aptos" w:cs="Aptos"/>
          <w:lang w:val="es-ES"/>
        </w:rPr>
      </w:pPr>
      <w:r w:rsidRPr="005E3D50">
        <w:rPr>
          <w:rFonts w:ascii="Aptos" w:hAnsi="Aptos"/>
          <w:lang w:val="es-ES"/>
        </w:rPr>
        <w:t xml:space="preserve">Entre los obstáculos a la consecución de la meta 13 que más se mencionan están las dificultades normativas, que han sido identificadas por Partes de todos los niveles de ingresos y todas las regiones geográficas. La barrera normativa más significativa, planteada por una importante proporción de las Partes que presentaron información, es la </w:t>
      </w:r>
      <w:r w:rsidRPr="005E3D50">
        <w:rPr>
          <w:rFonts w:ascii="Aptos" w:hAnsi="Aptos"/>
          <w:lang w:val="es-ES"/>
        </w:rPr>
        <w:lastRenderedPageBreak/>
        <w:t>falta de un marco nacional dedicado a cuestiones de APB. Incluso entre aquellas Partes que han adoptado medidas, muchas aún precisan poner plenamente en funcionamiento mecanismos de APB o aplicar en la práctica medidas existentes, a fin de generar beneficios tangibles</w:t>
      </w:r>
      <w:r w:rsidRPr="005E3D50">
        <w:rPr>
          <w:lang w:val="es-ES"/>
        </w:rPr>
        <w:t xml:space="preserve">. Unas pocas Partes agregan que incluso allí donde existen leyes marco, esas leyes no pueden surtir efectos mientras no se adopten reglamentaciones subsidiarias u órdenes de implementación, y un número reducido de Partes señala que elementos de su legislación existente son anteriores al Protocolo de Nagoya o no están plenamente armonizados con normas internacionales actuales adoptadas </w:t>
      </w:r>
      <w:proofErr w:type="gramStart"/>
      <w:r w:rsidRPr="005E3D50">
        <w:rPr>
          <w:lang w:val="es-ES"/>
        </w:rPr>
        <w:t>in virtud</w:t>
      </w:r>
      <w:proofErr w:type="gramEnd"/>
      <w:r w:rsidRPr="005E3D50">
        <w:rPr>
          <w:lang w:val="es-ES"/>
        </w:rPr>
        <w:t xml:space="preserve"> de este. Varias Partes informan que poner los marcos de APB en funcionamiento requiere apoyo jurídico, institucional, técnico y financiero sostenido, entre otras cosas para puntos de verificación, sistemas de rastreo, protocolos comunitarios y mecanismos de participación en los beneficios. Las Partes también informan que la ausencia de puntos de verificación funcionales, que son un requisito establecido por el Protocolo de Nagoya, plantea un importante desafío a la implementación, y la falta de mecanismos de rastreo en materia de participación en los beneficios dificulta también la precisión en la presentación de información. A estas carencias se suma el hecho de que establecer y revisar marcos jurídicos e institucionales de APB requerirá una considerable inversión de recursos, además de la complejidad inherente</w:t>
      </w:r>
      <w:r w:rsidRPr="005E3D50">
        <w:rPr>
          <w:rFonts w:ascii="Aptos" w:hAnsi="Aptos"/>
          <w:lang w:val="es-ES"/>
        </w:rPr>
        <w:t xml:space="preserve"> del acceso y la participación en los beneficios, que solo generará beneficios con el tiempo. La protección formal de los conocimientos tradicionales que poseen los pueblos indígenas y las comunidades locales también está poco desarrollada y un número importante de Partes han planteado inquietudes respecto a carencias en materia de reconocimiento, documentación y registros dedicados.</w:t>
      </w:r>
    </w:p>
    <w:p w14:paraId="6008EAAD" w14:textId="77777777" w:rsidR="009713BF" w:rsidRPr="005E3D50" w:rsidRDefault="009713BF" w:rsidP="009713BF">
      <w:pPr>
        <w:rPr>
          <w:rFonts w:ascii="Aptos" w:eastAsia="Aptos" w:hAnsi="Aptos" w:cs="Aptos"/>
          <w:lang w:val="es-ES"/>
        </w:rPr>
      </w:pPr>
    </w:p>
    <w:p w14:paraId="511FE56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69" w:name="_Toc235821214"/>
      <w:r w:rsidRPr="005E3D50">
        <w:rPr>
          <w:rFonts w:eastAsiaTheme="majorEastAsia" w:cstheme="majorBidi"/>
          <w:color w:val="0F4761" w:themeColor="accent1" w:themeShade="BF"/>
          <w:lang w:val="es-ES"/>
        </w:rPr>
        <w:t>Contribuciones de actores distintos de los Gobiernos nacionales</w:t>
      </w:r>
      <w:bookmarkEnd w:id="369"/>
    </w:p>
    <w:p w14:paraId="4FAFC814" w14:textId="77777777" w:rsidR="009713BF" w:rsidRPr="005E3D50" w:rsidRDefault="009713BF" w:rsidP="009713BF">
      <w:pPr>
        <w:rPr>
          <w:lang w:val="es-ES"/>
        </w:rPr>
      </w:pPr>
    </w:p>
    <w:p w14:paraId="259B7B3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70" w:name="_Toc235821215"/>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370"/>
    </w:p>
    <w:p w14:paraId="58D1A4B2" w14:textId="77777777" w:rsidR="009713BF" w:rsidRPr="005E3D50" w:rsidRDefault="009713BF" w:rsidP="009713BF">
      <w:pPr>
        <w:rPr>
          <w:lang w:val="es-ES"/>
        </w:rPr>
      </w:pPr>
    </w:p>
    <w:p w14:paraId="7DA82CB5" w14:textId="77777777" w:rsidR="009713BF" w:rsidRPr="005E3D50" w:rsidRDefault="009713BF" w:rsidP="009713BF">
      <w:pPr>
        <w:rPr>
          <w:lang w:val="es-ES"/>
        </w:rPr>
      </w:pPr>
      <w:bookmarkStart w:id="371" w:name="_Toc235821216"/>
      <w:r w:rsidRPr="005E3D50">
        <w:rPr>
          <w:lang w:val="es-ES"/>
        </w:rPr>
        <w:t xml:space="preserve">De los 180 compromisos sustantivos presentados por actores que no son Gobiernos nacionales, solo 3 tienen que ver principalmente con la meta 13. Dos de los compromisos son de centros de la red de investigaciones agrícolas del CGIAR: un compromiso apoya la aplicación del </w:t>
      </w:r>
      <w:r w:rsidRPr="005E3D50">
        <w:rPr>
          <w:shd w:val="clear" w:color="auto" w:fill="FFFFFF"/>
          <w:lang w:val="es-ES"/>
        </w:rPr>
        <w:t xml:space="preserve">Sistema Multilateral de Acceso y Distribución de Beneficios del Tratado Internacional sobre los Recursos Fitogenéticos para la Alimentación y la Agricultura, mientras que el otro se refiere a bancos genéticos y programas de cultivo para gestionar recursos genéticos de conformidad con las leyes de APB nacionales e internacionales. El tercer compromiso fue </w:t>
      </w:r>
      <w:r w:rsidRPr="005E3D50">
        <w:rPr>
          <w:lang w:val="es-ES"/>
        </w:rPr>
        <w:t xml:space="preserve">presentado por Danish 92 Group, una red de organizaciones de la </w:t>
      </w:r>
      <w:r w:rsidRPr="005E3D50">
        <w:rPr>
          <w:lang w:val="es-ES"/>
        </w:rPr>
        <w:lastRenderedPageBreak/>
        <w:t>sociedad civil con sede en Dinamarca. Este compromiso abarca contribuciones de varias organizaciones integrantes de la red, que se refieren, entre otras cosas, a la defensa y promoción mundial de los conocimientos tradicionales y a la promoción de prácticas de abastecimiento transparentes y equitativas entre compañías danesas de ciencias de la vida y biotecnología a través de la Asociación Danesa de Biodiversidad.</w:t>
      </w:r>
    </w:p>
    <w:p w14:paraId="37C8191C" w14:textId="77777777" w:rsidR="009713BF" w:rsidRPr="005E3D50" w:rsidRDefault="009713BF" w:rsidP="009713BF">
      <w:pPr>
        <w:rPr>
          <w:lang w:val="es-ES"/>
        </w:rPr>
      </w:pPr>
    </w:p>
    <w:p w14:paraId="12781CA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Contribuciones integradas en los informes nacionales</w:t>
      </w:r>
      <w:bookmarkEnd w:id="371"/>
    </w:p>
    <w:p w14:paraId="24F08944" w14:textId="77777777" w:rsidR="009713BF" w:rsidRPr="005E3D50" w:rsidRDefault="009713BF" w:rsidP="009713BF">
      <w:pPr>
        <w:rPr>
          <w:lang w:val="es-ES"/>
        </w:rPr>
      </w:pPr>
    </w:p>
    <w:p w14:paraId="3ACEB192" w14:textId="77777777" w:rsidR="009713BF" w:rsidRPr="005E3D50" w:rsidRDefault="009713BF" w:rsidP="009713BF">
      <w:pPr>
        <w:rPr>
          <w:lang w:val="es-ES"/>
        </w:rPr>
      </w:pPr>
      <w:r w:rsidRPr="005E3D50">
        <w:rPr>
          <w:lang w:val="es-ES"/>
        </w:rPr>
        <w:t xml:space="preserve">Las instituciones científicas y académicas alojan colecciones de recursos genéticos </w:t>
      </w:r>
      <w:r w:rsidRPr="005E3D50">
        <w:rPr>
          <w:i/>
          <w:iCs/>
          <w:lang w:val="es-ES"/>
        </w:rPr>
        <w:t>ex situ</w:t>
      </w:r>
      <w:r w:rsidRPr="005E3D50">
        <w:rPr>
          <w:lang w:val="es-ES"/>
        </w:rPr>
        <w:t xml:space="preserve">, actúan como partes en contratos de APB o como facilitadoras de estos, llevan a cabo investigaciones en materia de recursos genéticos e información digital sobre secuencias y realizan actividades de creación de capacidad relacionadas. Las organizaciones intergubernamentales y los asociados internacionales actúan principalmente como </w:t>
      </w:r>
      <w:proofErr w:type="spellStart"/>
      <w:r w:rsidRPr="005E3D50">
        <w:rPr>
          <w:lang w:val="es-ES"/>
        </w:rPr>
        <w:t>cofinanciadores</w:t>
      </w:r>
      <w:proofErr w:type="spellEnd"/>
      <w:r w:rsidRPr="005E3D50">
        <w:rPr>
          <w:lang w:val="es-ES"/>
        </w:rPr>
        <w:t xml:space="preserve"> y </w:t>
      </w:r>
      <w:proofErr w:type="spellStart"/>
      <w:r w:rsidRPr="005E3D50">
        <w:rPr>
          <w:lang w:val="es-ES"/>
        </w:rPr>
        <w:t>coejecutores</w:t>
      </w:r>
      <w:proofErr w:type="spellEnd"/>
      <w:r w:rsidRPr="005E3D50">
        <w:rPr>
          <w:lang w:val="es-ES"/>
        </w:rPr>
        <w:t xml:space="preserve">, especialmente a través de proyectos de creación de capacidad en materia de APB ejecutados por el PNUD y financiados por el FMAM, y organizan diálogos multilaterales de información digital sobre secuencias. Los pueblos indígenas y las comunidades locales son quienes desempeñan la mayor variedad de funciones, ya que ejercen tareas de gobernanza conjunta y participan en calidad de poseedores reconocidos de conocimientos, partes en acuerdos de participación en los beneficios y gestores conjuntos de recursos genéticos. Los actores empresariales y financieros participan como partes en acuerdos de APB o como </w:t>
      </w:r>
      <w:proofErr w:type="spellStart"/>
      <w:r w:rsidRPr="005E3D50">
        <w:rPr>
          <w:lang w:val="es-ES"/>
        </w:rPr>
        <w:t>coinversores</w:t>
      </w:r>
      <w:proofErr w:type="spellEnd"/>
      <w:r w:rsidRPr="005E3D50">
        <w:rPr>
          <w:lang w:val="es-ES"/>
        </w:rPr>
        <w:t xml:space="preserve">, en la mayoría de los casos en calidad de entidades sujetas a normas de cumplimiento, pero crecientemente como participantes en diálogos de interesados en materia de información digital sobre secuencias. Las ONG y la sociedad civil prestan principalmente apoyo técnico y de incidencia, mientras que los gobiernos subnacionales asumen funciones operativas solo en aquellos casos en que por ley se les delega competencia en la materia. Varios actores figuran como operadores de bancos de semillas y conservadores </w:t>
      </w:r>
      <w:r w:rsidRPr="005E3D50">
        <w:rPr>
          <w:i/>
          <w:iCs/>
          <w:lang w:val="es-ES"/>
        </w:rPr>
        <w:t>in situ</w:t>
      </w:r>
      <w:r w:rsidRPr="005E3D50">
        <w:rPr>
          <w:lang w:val="es-ES"/>
        </w:rPr>
        <w:t xml:space="preserve"> y las mujeres y las niñas figuran como poseedoras de conocimientos tradicionales y contrapartes en arreglos de participación cooperativa en los beneficios, aunque muchas veces ello está previsto en la ley, pero no se da en la práctica. Los ciudadanos aparecen exclusivamente como receptores de campañas o actividades de sensibilización y la juventud prácticamente solo en funciones aspiracionales.</w:t>
      </w:r>
    </w:p>
    <w:p w14:paraId="267F0CE6" w14:textId="77777777" w:rsidR="009713BF" w:rsidRPr="005E3D50" w:rsidRDefault="009713BF" w:rsidP="009713BF">
      <w:pPr>
        <w:rPr>
          <w:lang w:val="es-ES"/>
        </w:rPr>
      </w:pPr>
    </w:p>
    <w:p w14:paraId="731EABBE" w14:textId="77777777" w:rsidR="009713BF" w:rsidRPr="005E3D50" w:rsidRDefault="009713BF" w:rsidP="009713BF">
      <w:pPr>
        <w:rPr>
          <w:lang w:val="es-ES"/>
        </w:rPr>
      </w:pPr>
    </w:p>
    <w:p w14:paraId="7AAF903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72" w:name="_Toc235821217"/>
      <w:r w:rsidRPr="005E3D50">
        <w:rPr>
          <w:rFonts w:eastAsiaTheme="majorEastAsia" w:cstheme="majorBidi"/>
          <w:color w:val="0F4761" w:themeColor="accent1" w:themeShade="BF"/>
          <w:lang w:val="es-ES"/>
        </w:rPr>
        <w:lastRenderedPageBreak/>
        <w:t>Ejemplos de vínculos con otros acuerdos, procesos y organizaciones</w:t>
      </w:r>
      <w:bookmarkEnd w:id="372"/>
      <w:r w:rsidRPr="005E3D50">
        <w:rPr>
          <w:rFonts w:eastAsiaTheme="majorEastAsia" w:cstheme="majorBidi"/>
          <w:color w:val="0F4761" w:themeColor="accent1" w:themeShade="BF"/>
          <w:lang w:val="es-ES"/>
        </w:rPr>
        <w:t xml:space="preserve"> </w:t>
      </w:r>
    </w:p>
    <w:p w14:paraId="3C3C2895" w14:textId="77777777" w:rsidR="009713BF" w:rsidRPr="005E3D50" w:rsidRDefault="009713BF" w:rsidP="009713BF">
      <w:pPr>
        <w:rPr>
          <w:lang w:val="es-ES"/>
        </w:rPr>
      </w:pPr>
    </w:p>
    <w:p w14:paraId="6AEDA22F" w14:textId="77777777" w:rsidR="009713BF" w:rsidRPr="005E3D50" w:rsidRDefault="009713BF" w:rsidP="009713BF">
      <w:pPr>
        <w:rPr>
          <w:lang w:val="es-ES"/>
        </w:rPr>
      </w:pPr>
      <w:r w:rsidRPr="005E3D50">
        <w:rPr>
          <w:lang w:val="es-ES"/>
        </w:rPr>
        <w:t>El Sistema Multilateral de Acceso y Distribución de Beneficios establecido por el Tratado Internacional sobre los Recursos Fitogenéticos para la Alimentación y la Agricultura contribuye significativamente a la meta 13 y al objetivo C del Marco. El Sistema Multilateral crea un acervo compartido de muestras de 64 cultivos alimentarios importantes, beneficiando a una amplia gama de interesados, entre ellos instituciones científicas, agricultores, técnicos de fitomejoramiento y el sector privado, que pueden acceder a los materiales almacenados en las colecciones o usados en los programas de fitomejoramiento y mejorarlos. Según el informe de 2025 sobre la aplicación y el funcionamiento del Sistema Multilateral, las partes contratantes y no contratantes en el Tratado, junto con centros internacionales y bancos genéticos regionales, habían notificado aproximadamente 2,6 millones de existencias de recursos fitogenéticos para la alimentación y la agricultura disponibles en el Sistema Multilateral, lo que representaba casi el 46 % de todas las existencias notificadas a nivel mundial. Esto es más del doble de la cantidad que existía en 2013, año en el que se notificaron 1,2 millones de existencias disponibles. Desde 2007, el Sistema Multilateral ha facilitado la transferencia de 7 millones de muestras de recursos fitogenéticos para la alimentación y la agricultura en el marco del Acuerdo de Transferencia de Material Estándar, lo cual demuestra un uso sostenido del sistema a gran escala. Las transferencias han estado concentradas mayoritariamente en cultivos de alimentos y forrajeros, en particular trigo, arroz, maíz, cebada, frijoles y sorgo, que en su conjunto representan una proporción sustancial de los intercambios notificados al Órgano Rector del Tratado.</w:t>
      </w:r>
    </w:p>
    <w:p w14:paraId="3973DEE9" w14:textId="77777777" w:rsidR="009713BF" w:rsidRPr="005E3D50" w:rsidRDefault="009713BF" w:rsidP="009713BF">
      <w:pPr>
        <w:rPr>
          <w:lang w:val="es-ES"/>
        </w:rPr>
      </w:pPr>
      <w:r w:rsidRPr="005E3D50">
        <w:rPr>
          <w:lang w:val="es-ES"/>
        </w:rPr>
        <w:t>Desde su establecimiento en 2009, el fondo de distribución de los beneficios del Tratado ha invertido más de 35 millones de dólares en cinco ciclos de financiación y ha apoyado más de 100 proyectos en cerca de 80 países en desarrollo, beneficiando a más de 1 millón de personas. Ha creado una red mundial de más de 500 instituciones, haciendo posible el intercambio de conocimientos, tecnologías y buenas prácticas relacionadas con los recursos fitogenéticos para la alimentación y la agricultura (FAO, 2025c; y TIRFAA, 2025a, 2026).</w:t>
      </w:r>
    </w:p>
    <w:p w14:paraId="2D3B519C" w14:textId="77777777" w:rsidR="009713BF" w:rsidRPr="005E3D50" w:rsidRDefault="009713BF" w:rsidP="009713BF">
      <w:pPr>
        <w:keepNext/>
        <w:keepLines/>
        <w:spacing w:before="160" w:after="80"/>
        <w:outlineLvl w:val="2"/>
        <w:rPr>
          <w:rFonts w:eastAsiaTheme="majorEastAsia" w:cstheme="majorBidi"/>
          <w:color w:val="0F4761" w:themeColor="accent1" w:themeShade="BF"/>
          <w:sz w:val="28"/>
          <w:szCs w:val="28"/>
          <w:lang w:val="es-ES"/>
        </w:rPr>
      </w:pPr>
      <w:bookmarkStart w:id="373" w:name="_Toc235821218"/>
    </w:p>
    <w:p w14:paraId="57B693A7" w14:textId="77777777" w:rsidR="009713BF" w:rsidRPr="005E3D50" w:rsidRDefault="009713BF" w:rsidP="009713BF">
      <w:pPr>
        <w:keepNext/>
        <w:keepLines/>
        <w:spacing w:before="160" w:after="80"/>
        <w:outlineLvl w:val="2"/>
        <w:rPr>
          <w:rFonts w:eastAsiaTheme="majorEastAsia" w:cstheme="majorBidi"/>
          <w:color w:val="0F4761" w:themeColor="accent1" w:themeShade="BF"/>
          <w:sz w:val="28"/>
          <w:szCs w:val="28"/>
          <w:lang w:val="es-ES"/>
        </w:rPr>
      </w:pPr>
      <w:bookmarkStart w:id="374" w:name="_Toc239069209"/>
      <w:bookmarkStart w:id="375" w:name="_Toc937475549"/>
      <w:bookmarkStart w:id="376" w:name="_Toc242882987"/>
      <w:r w:rsidRPr="005E3D50">
        <w:rPr>
          <w:rFonts w:eastAsiaTheme="majorEastAsia" w:cstheme="majorBidi"/>
          <w:color w:val="0F4761" w:themeColor="accent1" w:themeShade="BF"/>
          <w:sz w:val="28"/>
          <w:szCs w:val="28"/>
          <w:lang w:val="es-ES"/>
        </w:rPr>
        <w:t>Herramientas y soluciones para la implementación y la integración</w:t>
      </w:r>
      <w:bookmarkEnd w:id="373"/>
      <w:bookmarkEnd w:id="374"/>
      <w:bookmarkEnd w:id="375"/>
      <w:bookmarkEnd w:id="376"/>
    </w:p>
    <w:p w14:paraId="124B6089" w14:textId="77777777" w:rsidR="009713BF" w:rsidRPr="005E3D50" w:rsidRDefault="009713BF" w:rsidP="009713BF">
      <w:pPr>
        <w:keepNext/>
        <w:keepLines/>
        <w:spacing w:before="80" w:after="40"/>
        <w:outlineLvl w:val="3"/>
        <w:rPr>
          <w:rFonts w:eastAsiaTheme="majorEastAsia" w:cstheme="majorBidi"/>
          <w:i/>
          <w:iCs/>
          <w:color w:val="0F4761" w:themeColor="accent1" w:themeShade="BF"/>
          <w:lang w:val="es-ES"/>
        </w:rPr>
      </w:pPr>
      <w:bookmarkStart w:id="377" w:name="_Toc235821219"/>
    </w:p>
    <w:p w14:paraId="70C32CB3"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378" w:name="_Toc239069210"/>
      <w:bookmarkStart w:id="379" w:name="_Toc2096027430"/>
      <w:bookmarkStart w:id="380" w:name="_Toc242882988"/>
      <w:r w:rsidRPr="005E3D50">
        <w:rPr>
          <w:rFonts w:eastAsiaTheme="majorEastAsia" w:cstheme="majorBidi"/>
          <w:b/>
          <w:iCs/>
          <w:color w:val="0F4761" w:themeColor="accent1" w:themeShade="BF"/>
          <w:lang w:val="es-ES"/>
        </w:rPr>
        <w:t>Meta 14.</w:t>
      </w:r>
      <w:r w:rsidRPr="005E3D50">
        <w:rPr>
          <w:rFonts w:eastAsiaTheme="majorEastAsia" w:cstheme="majorBidi"/>
          <w:iCs/>
          <w:color w:val="0F4761" w:themeColor="accent1" w:themeShade="BF"/>
          <w:lang w:val="es-ES"/>
        </w:rPr>
        <w:t xml:space="preserve"> Integrar la biodiversidad en la toma de decisiones en todos los niveles</w:t>
      </w:r>
      <w:bookmarkEnd w:id="377"/>
      <w:bookmarkEnd w:id="378"/>
      <w:bookmarkEnd w:id="379"/>
      <w:bookmarkEnd w:id="380"/>
    </w:p>
    <w:p w14:paraId="0A96D36E" w14:textId="77777777" w:rsidR="009713BF" w:rsidRPr="005E3D50" w:rsidRDefault="009713BF" w:rsidP="009713BF">
      <w:pPr>
        <w:keepNext/>
        <w:keepLines/>
        <w:rPr>
          <w:b/>
          <w:bCs/>
          <w:i/>
          <w:iCs/>
          <w:sz w:val="22"/>
          <w:szCs w:val="22"/>
          <w:lang w:val="es-ES"/>
        </w:rPr>
      </w:pPr>
    </w:p>
    <w:p w14:paraId="5739D4F0" w14:textId="77777777" w:rsidR="009713BF" w:rsidRPr="005E3D50" w:rsidRDefault="009713BF" w:rsidP="009713BF">
      <w:pPr>
        <w:keepNext/>
        <w:keepLines/>
        <w:rPr>
          <w:i/>
          <w:iCs/>
          <w:sz w:val="22"/>
          <w:szCs w:val="22"/>
          <w:lang w:val="es-ES"/>
        </w:rPr>
      </w:pPr>
      <w:r w:rsidRPr="005E3D50">
        <w:rPr>
          <w:b/>
          <w:sz w:val="22"/>
          <w:lang w:val="es-ES"/>
        </w:rPr>
        <w:t xml:space="preserve">Texto de la meta. </w:t>
      </w:r>
      <w:r w:rsidRPr="005E3D50">
        <w:rPr>
          <w:i/>
          <w:sz w:val="22"/>
          <w:lang w:val="es-ES"/>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p w14:paraId="60AADAF2" w14:textId="77777777" w:rsidR="009713BF" w:rsidRPr="005E3D50" w:rsidRDefault="009713BF" w:rsidP="009713BF">
      <w:pPr>
        <w:rPr>
          <w:lang w:val="es-ES"/>
        </w:rPr>
      </w:pPr>
    </w:p>
    <w:p w14:paraId="159E550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3947D5F7" w14:textId="77777777" w:rsidTr="006E6831">
        <w:tc>
          <w:tcPr>
            <w:tcW w:w="9016" w:type="dxa"/>
            <w:shd w:val="clear" w:color="auto" w:fill="D1D1D1" w:themeFill="background2" w:themeFillShade="E6"/>
          </w:tcPr>
          <w:p w14:paraId="762FA7BB" w14:textId="77777777" w:rsidR="009713BF" w:rsidRPr="005E3D50" w:rsidRDefault="009713BF" w:rsidP="009713BF">
            <w:pPr>
              <w:rPr>
                <w:rFonts w:ascii="Aptos" w:eastAsia="Times New Roman" w:hAnsi="Aptos" w:cs="Calibri"/>
                <w:color w:val="000000"/>
                <w:lang w:val="es-ES"/>
              </w:rPr>
            </w:pPr>
          </w:p>
          <w:p w14:paraId="1D429CC2"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Se está avanzando en la integración de los valores de la biodiversidad en las políticas, la planificación y la toma de decisiones, pero la implementación en general se encuentra aún en una fase inicial y resulta difícil de evaluar. La mayoría de las Partes han presentado metas nacionales que abordan la integración de la biodiversidad y sus múltiples valores en las políticas, los reglamentos y los procesos de planificación y de desarrollo; sin embargo, existen importantes deficiencias en lo que respecta a los demás elementos de la meta, como, por ejemplo, la incorporación en estrategias de erradicación de la pobreza y la armonización de las corrientes fiscales y financieras. La información que se ha presentado sobre los progresos en la consecución de la meta 14 es limitada, ya que muy pocas Partes presentan indicadores cuantitativos, y muchos aspectos de la implementación medidos por el indicador binario siguen sin abordarse suficientemente. No obstante, las autoevaluaciones de las Partes indican cierta confianza de que están en vías de alcanzar las metas nacionales relacionadas con la integración. Las Partes informan que persiste una desconexión entre las políticas formales en materia de diversidad biológica y su aplicación efectiva.</w:t>
            </w:r>
          </w:p>
          <w:p w14:paraId="1F8480A4" w14:textId="77777777" w:rsidR="009713BF" w:rsidRPr="005E3D50" w:rsidRDefault="009713BF" w:rsidP="009713BF">
            <w:pPr>
              <w:rPr>
                <w:lang w:val="es-ES"/>
              </w:rPr>
            </w:pPr>
          </w:p>
        </w:tc>
      </w:tr>
    </w:tbl>
    <w:p w14:paraId="13E83C06" w14:textId="77777777" w:rsidR="009713BF" w:rsidRPr="005E3D50" w:rsidRDefault="009713BF" w:rsidP="009713BF">
      <w:pPr>
        <w:rPr>
          <w:lang w:val="es-ES"/>
        </w:rPr>
      </w:pPr>
    </w:p>
    <w:p w14:paraId="4F537D1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Grado en que las Partes cubren el alcance de la meta 14 del Marco en sus metas nacionales</w:t>
      </w:r>
    </w:p>
    <w:p w14:paraId="50F36739" w14:textId="77777777" w:rsidR="009713BF" w:rsidRPr="005E3D50" w:rsidRDefault="009713BF" w:rsidP="009713BF">
      <w:pPr>
        <w:keepNext/>
        <w:keepLines/>
        <w:rPr>
          <w:i/>
          <w:iCs/>
          <w:lang w:val="es-ES"/>
        </w:rPr>
      </w:pPr>
    </w:p>
    <w:p w14:paraId="24CBDD8F" w14:textId="77777777" w:rsidR="009713BF" w:rsidRPr="005E3D50" w:rsidRDefault="009713BF" w:rsidP="009713BF">
      <w:pPr>
        <w:keepNext/>
        <w:keepLines/>
        <w:spacing w:after="200" w:line="240" w:lineRule="auto"/>
        <w:rPr>
          <w:rFonts w:eastAsiaTheme="minorEastAsia"/>
          <w:color w:val="0E2841" w:themeColor="text2"/>
          <w:kern w:val="0"/>
          <w:sz w:val="20"/>
          <w:szCs w:val="20"/>
          <w:lang w:val="es-ES" w:eastAsia="ja-JP"/>
          <w14:ligatures w14:val="none"/>
        </w:rPr>
      </w:pPr>
      <w:bookmarkStart w:id="381" w:name="_Ref230776429"/>
      <w:r w:rsidRPr="005E3D50">
        <w:rPr>
          <w:rFonts w:eastAsiaTheme="minorEastAsia"/>
          <w:iCs/>
          <w:color w:val="0E2841" w:themeColor="text2"/>
          <w:kern w:val="0"/>
          <w:sz w:val="20"/>
          <w:szCs w:val="18"/>
          <w:lang w:val="es-ES" w:eastAsia="ja-JP"/>
          <w14:ligatures w14:val="none"/>
        </w:rPr>
        <w:t>Cuadro 30</w:t>
      </w:r>
      <w:bookmarkEnd w:id="381"/>
    </w:p>
    <w:p w14:paraId="3BFF8759"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14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217"/>
        <w:gridCol w:w="799"/>
      </w:tblGrid>
      <w:tr w:rsidR="009713BF" w:rsidRPr="005E3D50" w14:paraId="5A3765FF" w14:textId="77777777" w:rsidTr="006E6831">
        <w:tc>
          <w:tcPr>
            <w:tcW w:w="8217" w:type="dxa"/>
          </w:tcPr>
          <w:p w14:paraId="54F83759"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las políticas, los reglamentos y los procesos de planificación y desarrollo</w:t>
            </w:r>
          </w:p>
        </w:tc>
        <w:tc>
          <w:tcPr>
            <w:tcW w:w="799" w:type="dxa"/>
            <w:shd w:val="clear" w:color="auto" w:fill="92D050"/>
          </w:tcPr>
          <w:p w14:paraId="51703F40" w14:textId="77777777" w:rsidR="009713BF" w:rsidRPr="005E3D50" w:rsidRDefault="009713BF" w:rsidP="009713BF">
            <w:pPr>
              <w:rPr>
                <w:lang w:val="es-ES"/>
              </w:rPr>
            </w:pPr>
            <w:r w:rsidRPr="005E3D50">
              <w:rPr>
                <w:lang w:val="es-ES"/>
              </w:rPr>
              <w:t>72</w:t>
            </w:r>
          </w:p>
        </w:tc>
      </w:tr>
      <w:tr w:rsidR="009713BF" w:rsidRPr="005E3D50" w14:paraId="70DE47AA" w14:textId="77777777" w:rsidTr="006E6831">
        <w:tc>
          <w:tcPr>
            <w:tcW w:w="8217" w:type="dxa"/>
          </w:tcPr>
          <w:p w14:paraId="1A50C91F"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las estrategias de erradicación de la pobreza</w:t>
            </w:r>
          </w:p>
          <w:p w14:paraId="284069CD" w14:textId="77777777" w:rsidR="009713BF" w:rsidRPr="005E3D50" w:rsidRDefault="009713BF" w:rsidP="009713BF">
            <w:pPr>
              <w:rPr>
                <w:i/>
                <w:iCs/>
                <w:lang w:val="es-ES"/>
              </w:rPr>
            </w:pPr>
          </w:p>
        </w:tc>
        <w:tc>
          <w:tcPr>
            <w:tcW w:w="799" w:type="dxa"/>
            <w:shd w:val="clear" w:color="auto" w:fill="FFC000"/>
          </w:tcPr>
          <w:p w14:paraId="4A27B883" w14:textId="77777777" w:rsidR="009713BF" w:rsidRPr="005E3D50" w:rsidRDefault="009713BF" w:rsidP="009713BF">
            <w:pPr>
              <w:rPr>
                <w:lang w:val="es-ES"/>
              </w:rPr>
            </w:pPr>
            <w:r w:rsidRPr="005E3D50">
              <w:rPr>
                <w:lang w:val="es-ES"/>
              </w:rPr>
              <w:t>20</w:t>
            </w:r>
          </w:p>
        </w:tc>
      </w:tr>
      <w:tr w:rsidR="009713BF" w:rsidRPr="005E3D50" w14:paraId="0BCA0277" w14:textId="77777777" w:rsidTr="006E6831">
        <w:tc>
          <w:tcPr>
            <w:tcW w:w="8217" w:type="dxa"/>
          </w:tcPr>
          <w:p w14:paraId="1A7028F1"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las evaluaciones ambientales estratégicas y las evaluaciones de impacto ambiental</w:t>
            </w:r>
          </w:p>
          <w:p w14:paraId="5BDF537B" w14:textId="77777777" w:rsidR="009713BF" w:rsidRPr="005E3D50" w:rsidRDefault="009713BF" w:rsidP="009713BF">
            <w:pPr>
              <w:rPr>
                <w:i/>
                <w:iCs/>
                <w:lang w:val="es-ES"/>
              </w:rPr>
            </w:pPr>
          </w:p>
        </w:tc>
        <w:tc>
          <w:tcPr>
            <w:tcW w:w="799" w:type="dxa"/>
            <w:shd w:val="clear" w:color="auto" w:fill="FFC000"/>
          </w:tcPr>
          <w:p w14:paraId="21927CC9" w14:textId="77777777" w:rsidR="009713BF" w:rsidRPr="005E3D50" w:rsidRDefault="009713BF" w:rsidP="009713BF">
            <w:pPr>
              <w:rPr>
                <w:lang w:val="es-ES"/>
              </w:rPr>
            </w:pPr>
            <w:r w:rsidRPr="005E3D50">
              <w:rPr>
                <w:lang w:val="es-ES"/>
              </w:rPr>
              <w:t>32</w:t>
            </w:r>
          </w:p>
        </w:tc>
      </w:tr>
      <w:tr w:rsidR="009713BF" w:rsidRPr="005E3D50" w14:paraId="5D9BDE7F" w14:textId="77777777" w:rsidTr="006E6831">
        <w:tc>
          <w:tcPr>
            <w:tcW w:w="8217" w:type="dxa"/>
          </w:tcPr>
          <w:p w14:paraId="5FCD41BB"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las cuentas nacionales, cuando proceda</w:t>
            </w:r>
          </w:p>
          <w:p w14:paraId="605F8D1B" w14:textId="77777777" w:rsidR="009713BF" w:rsidRPr="005E3D50" w:rsidRDefault="009713BF" w:rsidP="009713BF">
            <w:pPr>
              <w:rPr>
                <w:i/>
                <w:iCs/>
                <w:lang w:val="es-ES"/>
              </w:rPr>
            </w:pPr>
          </w:p>
        </w:tc>
        <w:tc>
          <w:tcPr>
            <w:tcW w:w="799" w:type="dxa"/>
            <w:shd w:val="clear" w:color="auto" w:fill="FFC000"/>
          </w:tcPr>
          <w:p w14:paraId="4CB52D68" w14:textId="77777777" w:rsidR="009713BF" w:rsidRPr="005E3D50" w:rsidRDefault="009713BF" w:rsidP="009713BF">
            <w:pPr>
              <w:rPr>
                <w:lang w:val="es-ES"/>
              </w:rPr>
            </w:pPr>
            <w:r w:rsidRPr="005E3D50">
              <w:rPr>
                <w:lang w:val="es-ES"/>
              </w:rPr>
              <w:t>39</w:t>
            </w:r>
          </w:p>
        </w:tc>
      </w:tr>
      <w:tr w:rsidR="009713BF" w:rsidRPr="005E3D50" w14:paraId="1510B942" w14:textId="77777777" w:rsidTr="006E6831">
        <w:tc>
          <w:tcPr>
            <w:tcW w:w="8217" w:type="dxa"/>
          </w:tcPr>
          <w:p w14:paraId="3FB3A7AC"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todos los niveles de gobierno</w:t>
            </w:r>
          </w:p>
          <w:p w14:paraId="6A343CC9" w14:textId="77777777" w:rsidR="009713BF" w:rsidRPr="005E3D50" w:rsidRDefault="009713BF" w:rsidP="009713BF">
            <w:pPr>
              <w:rPr>
                <w:i/>
                <w:iCs/>
                <w:lang w:val="es-ES"/>
              </w:rPr>
            </w:pPr>
          </w:p>
        </w:tc>
        <w:tc>
          <w:tcPr>
            <w:tcW w:w="799" w:type="dxa"/>
            <w:shd w:val="clear" w:color="auto" w:fill="FFC000"/>
          </w:tcPr>
          <w:p w14:paraId="710CD9E9" w14:textId="77777777" w:rsidR="009713BF" w:rsidRPr="005E3D50" w:rsidRDefault="009713BF" w:rsidP="009713BF">
            <w:pPr>
              <w:rPr>
                <w:lang w:val="es-ES"/>
              </w:rPr>
            </w:pPr>
            <w:r w:rsidRPr="005E3D50">
              <w:rPr>
                <w:lang w:val="es-ES"/>
              </w:rPr>
              <w:t>39</w:t>
            </w:r>
          </w:p>
        </w:tc>
      </w:tr>
      <w:tr w:rsidR="009713BF" w:rsidRPr="005E3D50" w14:paraId="0BD38598" w14:textId="77777777" w:rsidTr="006E6831">
        <w:tc>
          <w:tcPr>
            <w:tcW w:w="8217" w:type="dxa"/>
          </w:tcPr>
          <w:p w14:paraId="3D9FC4F6"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Garantizar la integración plena de la biodiversidad y sus múltiples valores en todos los sectores, en particular aquellos que provocan impactos significativos en la biodiversidad</w:t>
            </w:r>
          </w:p>
          <w:p w14:paraId="3553DCBF" w14:textId="77777777" w:rsidR="009713BF" w:rsidRPr="005E3D50" w:rsidRDefault="009713BF" w:rsidP="009713BF">
            <w:pPr>
              <w:rPr>
                <w:i/>
                <w:iCs/>
                <w:lang w:val="es-ES"/>
              </w:rPr>
            </w:pPr>
          </w:p>
        </w:tc>
        <w:tc>
          <w:tcPr>
            <w:tcW w:w="799" w:type="dxa"/>
            <w:shd w:val="clear" w:color="auto" w:fill="FFFF00"/>
          </w:tcPr>
          <w:p w14:paraId="6D485AE2" w14:textId="77777777" w:rsidR="009713BF" w:rsidRPr="005E3D50" w:rsidRDefault="009713BF" w:rsidP="009713BF">
            <w:pPr>
              <w:rPr>
                <w:lang w:val="es-ES"/>
              </w:rPr>
            </w:pPr>
            <w:r w:rsidRPr="005E3D50">
              <w:rPr>
                <w:lang w:val="es-ES"/>
              </w:rPr>
              <w:t>57</w:t>
            </w:r>
          </w:p>
        </w:tc>
      </w:tr>
      <w:tr w:rsidR="009713BF" w:rsidRPr="005E3D50" w14:paraId="3404329D" w14:textId="77777777" w:rsidTr="006E6831">
        <w:tc>
          <w:tcPr>
            <w:tcW w:w="8217" w:type="dxa"/>
          </w:tcPr>
          <w:p w14:paraId="4CB8C480"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Armonizar progresivamente todas las actividades públicas y privadas pertinentes y las corrientes financieras y fiscales con los objetivos y las metas del Marco</w:t>
            </w:r>
          </w:p>
          <w:p w14:paraId="675749C0" w14:textId="77777777" w:rsidR="009713BF" w:rsidRPr="005E3D50" w:rsidRDefault="009713BF" w:rsidP="009713BF">
            <w:pPr>
              <w:rPr>
                <w:i/>
                <w:iCs/>
                <w:lang w:val="es-ES"/>
              </w:rPr>
            </w:pPr>
          </w:p>
        </w:tc>
        <w:tc>
          <w:tcPr>
            <w:tcW w:w="799" w:type="dxa"/>
            <w:shd w:val="clear" w:color="auto" w:fill="FFFF00"/>
          </w:tcPr>
          <w:p w14:paraId="1AB53021" w14:textId="77777777" w:rsidR="009713BF" w:rsidRPr="005E3D50" w:rsidRDefault="009713BF" w:rsidP="009713BF">
            <w:pPr>
              <w:rPr>
                <w:lang w:val="es-ES"/>
              </w:rPr>
            </w:pPr>
            <w:r w:rsidRPr="005E3D50">
              <w:rPr>
                <w:lang w:val="es-ES"/>
              </w:rPr>
              <w:t>41</w:t>
            </w:r>
          </w:p>
        </w:tc>
      </w:tr>
      <w:tr w:rsidR="009713BF" w:rsidRPr="005E3D50" w14:paraId="6113F863" w14:textId="77777777" w:rsidTr="006E6831">
        <w:tc>
          <w:tcPr>
            <w:tcW w:w="9016" w:type="dxa"/>
            <w:gridSpan w:val="2"/>
          </w:tcPr>
          <w:p w14:paraId="20167599"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18AA29C7"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43 % de estos elementos en sus metas nacionales</w:t>
            </w:r>
          </w:p>
          <w:p w14:paraId="53117DCD" w14:textId="77777777" w:rsidR="009713BF" w:rsidRPr="005E3D50" w:rsidRDefault="009713BF" w:rsidP="009713BF">
            <w:pPr>
              <w:rPr>
                <w:lang w:val="es-ES"/>
              </w:rPr>
            </w:pPr>
          </w:p>
        </w:tc>
      </w:tr>
    </w:tbl>
    <w:p w14:paraId="562CE2C7" w14:textId="77777777" w:rsidR="009713BF" w:rsidRPr="005E3D50" w:rsidRDefault="009713BF" w:rsidP="009713BF">
      <w:pPr>
        <w:rPr>
          <w:i/>
          <w:iCs/>
          <w:lang w:val="es-ES"/>
        </w:rPr>
      </w:pPr>
    </w:p>
    <w:p w14:paraId="1304CCF4"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3A376C41"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xml:space="preserve">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49"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w:t>
      </w:r>
    </w:p>
    <w:p w14:paraId="7B40DB9E" w14:textId="77777777" w:rsidR="009713BF" w:rsidRPr="005E3D50" w:rsidRDefault="009713BF" w:rsidP="009713BF">
      <w:pPr>
        <w:rPr>
          <w:i/>
          <w:iCs/>
          <w:lang w:val="es-ES"/>
        </w:rPr>
      </w:pPr>
    </w:p>
    <w:p w14:paraId="02362CB8" w14:textId="77777777" w:rsidR="009713BF" w:rsidRPr="005E3D50" w:rsidRDefault="009713BF" w:rsidP="009713BF">
      <w:pPr>
        <w:rPr>
          <w:lang w:val="es-ES"/>
        </w:rPr>
      </w:pPr>
      <w:r w:rsidRPr="005E3D50">
        <w:rPr>
          <w:lang w:val="es-ES"/>
        </w:rPr>
        <w:t xml:space="preserve">Una mayoría de Partes presentaron metas nacionales que abordan, en cierta medida, la integración plena de la biodiversidad y sus múltiples valores en políticas, reglamentos y procesos de planificación y desarrollo (72 %), así como la integración de los múltiples valores de la biodiversidad en todos los sectores (57 %). Sin embargo, solo una minoría de Partes (entre 20 % y 41 %) presentaron metas que abordan específicamente otros </w:t>
      </w:r>
      <w:r w:rsidRPr="005E3D50">
        <w:rPr>
          <w:lang w:val="es-ES"/>
        </w:rPr>
        <w:lastRenderedPageBreak/>
        <w:t xml:space="preserve">elementos de la meta 14, entre ellos la integración de la biodiversidad en estrategias de erradicación de la pobreza y la utilización de evaluaciones ambientales estratégicas y evaluaciones de impacto ambiental. Por lo tanto, las metas nacionales presentadas por algunas Partes están armonizadas solo parcialmente con el alcance de la meta 14 y presentan carencias con respecto a algunos elementos específicos (véase el cuadro 30). </w:t>
      </w:r>
    </w:p>
    <w:p w14:paraId="735E4D1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03C102D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82" w:name="_Toc235821222"/>
      <w:r w:rsidRPr="005E3D50">
        <w:rPr>
          <w:rFonts w:eastAsiaTheme="majorEastAsia" w:cstheme="majorBidi"/>
          <w:color w:val="0F4761" w:themeColor="accent1" w:themeShade="BF"/>
          <w:lang w:val="es-ES"/>
        </w:rPr>
        <w:t>Indicadores de progresos</w:t>
      </w:r>
      <w:bookmarkEnd w:id="382"/>
    </w:p>
    <w:p w14:paraId="1E96D098"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1ACD0C92"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31 </w:t>
      </w:r>
    </w:p>
    <w:p w14:paraId="4767FD1A"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14 del Marco</w:t>
      </w:r>
    </w:p>
    <w:tbl>
      <w:tblPr>
        <w:tblW w:w="9918" w:type="dxa"/>
        <w:tblLook w:val="04A0" w:firstRow="1" w:lastRow="0" w:firstColumn="1" w:lastColumn="0" w:noHBand="0" w:noVBand="1"/>
      </w:tblPr>
      <w:tblGrid>
        <w:gridCol w:w="3240"/>
        <w:gridCol w:w="2567"/>
        <w:gridCol w:w="709"/>
        <w:gridCol w:w="2693"/>
        <w:gridCol w:w="709"/>
      </w:tblGrid>
      <w:tr w:rsidR="009713BF" w:rsidRPr="005E3D50" w14:paraId="4A04FC53"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B65B3E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07B3562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402" w:type="dxa"/>
            <w:gridSpan w:val="2"/>
            <w:tcBorders>
              <w:top w:val="single" w:sz="4" w:space="0" w:color="auto"/>
              <w:left w:val="nil"/>
              <w:bottom w:val="single" w:sz="4" w:space="0" w:color="auto"/>
              <w:right w:val="single" w:sz="4" w:space="0" w:color="auto"/>
            </w:tcBorders>
            <w:vAlign w:val="center"/>
          </w:tcPr>
          <w:p w14:paraId="05FCB05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7EB452EE"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50E16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14.b: 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2567" w:type="dxa"/>
            <w:tcBorders>
              <w:top w:val="single" w:sz="4" w:space="0" w:color="auto"/>
              <w:left w:val="nil"/>
              <w:bottom w:val="single" w:sz="4" w:space="0" w:color="auto"/>
              <w:right w:val="single" w:sz="4" w:space="0" w:color="auto"/>
            </w:tcBorders>
            <w:vAlign w:val="center"/>
            <w:hideMark/>
          </w:tcPr>
          <w:p w14:paraId="05E32F4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9" w:type="dxa"/>
            <w:tcBorders>
              <w:top w:val="single" w:sz="4" w:space="0" w:color="auto"/>
              <w:left w:val="nil"/>
              <w:bottom w:val="single" w:sz="4" w:space="0" w:color="auto"/>
              <w:right w:val="single" w:sz="4" w:space="0" w:color="auto"/>
            </w:tcBorders>
            <w:vAlign w:val="center"/>
            <w:hideMark/>
          </w:tcPr>
          <w:p w14:paraId="7799F6A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n. </w:t>
            </w:r>
            <w:proofErr w:type="spellStart"/>
            <w:proofErr w:type="gramStart"/>
            <w:r w:rsidRPr="005E3D50">
              <w:rPr>
                <w:rFonts w:ascii="Aptos" w:hAnsi="Aptos"/>
                <w:color w:val="000000"/>
                <w:sz w:val="20"/>
                <w:lang w:val="es-ES"/>
              </w:rPr>
              <w:t>a.</w:t>
            </w:r>
            <w:r w:rsidRPr="005E3D50">
              <w:rPr>
                <w:rFonts w:ascii="Aptos" w:hAnsi="Aptos"/>
                <w:i/>
                <w:color w:val="000000"/>
                <w:sz w:val="20"/>
                <w:vertAlign w:val="superscript"/>
                <w:lang w:val="es-ES"/>
              </w:rPr>
              <w:t>a</w:t>
            </w:r>
            <w:proofErr w:type="spellEnd"/>
            <w:proofErr w:type="gramEnd"/>
          </w:p>
        </w:tc>
        <w:tc>
          <w:tcPr>
            <w:tcW w:w="2693" w:type="dxa"/>
            <w:tcBorders>
              <w:top w:val="single" w:sz="4" w:space="0" w:color="auto"/>
              <w:left w:val="nil"/>
              <w:bottom w:val="single" w:sz="4" w:space="0" w:color="auto"/>
              <w:right w:val="single" w:sz="4" w:space="0" w:color="auto"/>
            </w:tcBorders>
            <w:vAlign w:val="center"/>
            <w:hideMark/>
          </w:tcPr>
          <w:p w14:paraId="6899786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20 % de las Partes tuvieron una puntuación alta (puntuación de 4 o 5)</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62AC152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34AF308E"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6DE658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567" w:type="dxa"/>
            <w:tcBorders>
              <w:top w:val="nil"/>
              <w:left w:val="nil"/>
              <w:bottom w:val="single" w:sz="4" w:space="0" w:color="auto"/>
              <w:right w:val="single" w:sz="4" w:space="0" w:color="auto"/>
            </w:tcBorders>
            <w:vAlign w:val="center"/>
            <w:hideMark/>
          </w:tcPr>
          <w:p w14:paraId="7CE9C9A0"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15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12 %</w:t>
            </w:r>
          </w:p>
        </w:tc>
        <w:tc>
          <w:tcPr>
            <w:tcW w:w="709" w:type="dxa"/>
            <w:tcBorders>
              <w:top w:val="nil"/>
              <w:left w:val="nil"/>
              <w:bottom w:val="single" w:sz="4" w:space="0" w:color="auto"/>
              <w:right w:val="single" w:sz="4" w:space="0" w:color="auto"/>
            </w:tcBorders>
            <w:shd w:val="clear" w:color="000000" w:fill="C00000"/>
            <w:vAlign w:val="center"/>
            <w:hideMark/>
          </w:tcPr>
          <w:p w14:paraId="2FE8FA4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93" w:type="dxa"/>
            <w:tcBorders>
              <w:top w:val="nil"/>
              <w:left w:val="nil"/>
              <w:bottom w:val="single" w:sz="4" w:space="0" w:color="auto"/>
              <w:right w:val="single" w:sz="4" w:space="0" w:color="auto"/>
            </w:tcBorders>
            <w:vAlign w:val="center"/>
            <w:hideMark/>
          </w:tcPr>
          <w:p w14:paraId="17D773D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42 % registran tendencias positivas</w:t>
            </w:r>
          </w:p>
          <w:p w14:paraId="3F84532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11 % registran tendencias negativas</w:t>
            </w:r>
          </w:p>
        </w:tc>
        <w:tc>
          <w:tcPr>
            <w:tcW w:w="709" w:type="dxa"/>
            <w:tcBorders>
              <w:top w:val="single" w:sz="4" w:space="0" w:color="auto"/>
              <w:left w:val="nil"/>
              <w:bottom w:val="single" w:sz="4" w:space="0" w:color="auto"/>
              <w:right w:val="single" w:sz="4" w:space="0" w:color="auto"/>
            </w:tcBorders>
            <w:shd w:val="clear" w:color="auto" w:fill="92D050"/>
            <w:vAlign w:val="center"/>
            <w:hideMark/>
          </w:tcPr>
          <w:p w14:paraId="5276DAA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3FE6830A"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093DED1B"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con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27BDC973"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36E613CC" w14:textId="77777777" w:rsidR="009713BF" w:rsidRPr="005E3D50" w:rsidRDefault="009713BF" w:rsidP="009713BF">
      <w:pPr>
        <w:rPr>
          <w:rFonts w:ascii="Aptos" w:hAnsi="Aptos"/>
          <w:strike/>
          <w:lang w:val="es-ES"/>
        </w:rPr>
      </w:pPr>
    </w:p>
    <w:p w14:paraId="33925CD7" w14:textId="77777777" w:rsidR="009713BF" w:rsidRPr="005E3D50" w:rsidRDefault="009713BF" w:rsidP="009713BF">
      <w:pPr>
        <w:rPr>
          <w:lang w:val="es-ES"/>
        </w:rPr>
      </w:pPr>
    </w:p>
    <w:p w14:paraId="110074E2" w14:textId="77777777" w:rsidR="009713BF" w:rsidRPr="005E3D50" w:rsidRDefault="009713BF" w:rsidP="009713BF">
      <w:pPr>
        <w:rPr>
          <w:rFonts w:ascii="Aptos" w:hAnsi="Aptos"/>
          <w:lang w:val="es-ES"/>
        </w:rPr>
      </w:pPr>
      <w:r w:rsidRPr="005E3D50">
        <w:rPr>
          <w:lang w:val="es-ES"/>
        </w:rPr>
        <w:t xml:space="preserve">La información que se presentó sobre los progresos en la consecución de la meta 14 es escasa. No hay indicador de cabecera y muy pocas Partes presentaron indicadores cuantitativos, por lo que el análisis de tendencias no puede considerarse como representativo de los progresos colectivos (véanse el cuadro 31 y la figura 61). Además, </w:t>
      </w:r>
      <w:r w:rsidRPr="005E3D50">
        <w:rPr>
          <w:rFonts w:ascii="Aptos" w:hAnsi="Aptos"/>
          <w:lang w:val="es-ES"/>
        </w:rPr>
        <w:t>esos indicadores nacionales están armonizados con metas nacionales y se centran mayoritariamente en la integración de la biodiversidad en políticas, reglamentos y procesos de planificación y de desarrollo, omitiendo otros elementos de la meta 14.</w:t>
      </w:r>
    </w:p>
    <w:p w14:paraId="5990AE3C" w14:textId="77777777" w:rsidR="009713BF" w:rsidRPr="005E3D50" w:rsidRDefault="009713BF" w:rsidP="009713BF">
      <w:pPr>
        <w:rPr>
          <w:lang w:val="es-ES"/>
        </w:rPr>
      </w:pPr>
      <w:r w:rsidRPr="005E3D50">
        <w:rPr>
          <w:lang w:val="es-ES"/>
        </w:rPr>
        <w:t xml:space="preserve">Con respecto al indicador binario de la meta 14 (véase la figura 60), </w:t>
      </w:r>
      <w:bookmarkStart w:id="383" w:name="_Ref231198842"/>
      <w:r w:rsidRPr="005E3D50">
        <w:rPr>
          <w:lang w:val="es-ES"/>
        </w:rPr>
        <w:t xml:space="preserve">las Partes informan que los mayores progresos han sido en la integración de la biodiversidad y sus valores múltiples en políticas, reglamentos y procesos de planificación y desarrollo, pero los progresos son desparejos. Las Partes informan que han logrado progresos muy limitados en dos áreas principales: la contabilidad económica ambiental y las medidas tendientes a armonizar las corrientes fiscales y financieras con los objetivos y metas del Marco. En ambos casos, menos de la mitad de las Partes informaron que han implementado tales medidas. </w:t>
      </w:r>
    </w:p>
    <w:p w14:paraId="1E790D1D" w14:textId="77777777" w:rsidR="009713BF" w:rsidRPr="005E3D50" w:rsidRDefault="009713BF" w:rsidP="009713BF">
      <w:pPr>
        <w:rPr>
          <w:lang w:val="es-ES"/>
        </w:rPr>
      </w:pPr>
      <w:r w:rsidRPr="005E3D50">
        <w:rPr>
          <w:lang w:val="es-ES"/>
        </w:rPr>
        <w:t xml:space="preserve"> </w:t>
      </w:r>
    </w:p>
    <w:p w14:paraId="24F8D8CB" w14:textId="77777777" w:rsidR="009713BF" w:rsidRPr="005E3D50" w:rsidRDefault="009713BF" w:rsidP="009713BF">
      <w:pPr>
        <w:rPr>
          <w:sz w:val="20"/>
          <w:szCs w:val="20"/>
          <w:lang w:val="es-ES"/>
        </w:rPr>
      </w:pPr>
      <w:r w:rsidRPr="005E3D50">
        <w:rPr>
          <w:sz w:val="20"/>
          <w:lang w:val="es-ES"/>
        </w:rPr>
        <w:t>Figura 60</w:t>
      </w:r>
    </w:p>
    <w:p w14:paraId="79A1B39E" w14:textId="77777777" w:rsidR="009713BF" w:rsidRPr="005E3D50" w:rsidRDefault="009713BF" w:rsidP="009713BF">
      <w:pPr>
        <w:rPr>
          <w:rFonts w:ascii="Aptos" w:hAnsi="Aptos" w:cs="Segoe UI"/>
          <w:b/>
          <w:bCs/>
          <w:lang w:val="es-ES"/>
        </w:rPr>
      </w:pPr>
      <w:r w:rsidRPr="005E3D50">
        <w:rPr>
          <w:rFonts w:ascii="Aptos" w:hAnsi="Aptos"/>
          <w:b/>
          <w:sz w:val="20"/>
          <w:lang w:val="es-ES"/>
        </w:rPr>
        <w:t>Indicador binario 14.b: 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p w14:paraId="4B74A65D" w14:textId="77777777" w:rsidR="009713BF" w:rsidRPr="005E3D50" w:rsidRDefault="009713BF" w:rsidP="009713BF">
      <w:pPr>
        <w:rPr>
          <w:sz w:val="20"/>
          <w:szCs w:val="20"/>
          <w:lang w:val="es-ES"/>
        </w:rPr>
      </w:pPr>
    </w:p>
    <w:p w14:paraId="551F2243" w14:textId="77777777" w:rsidR="009713BF" w:rsidRPr="005E3D50" w:rsidRDefault="009713BF" w:rsidP="009713BF">
      <w:pPr>
        <w:rPr>
          <w:lang w:val="es-ES"/>
        </w:rPr>
      </w:pPr>
      <w:r w:rsidRPr="005E3D50">
        <w:rPr>
          <w:noProof/>
          <w:lang w:val="en-US"/>
        </w:rPr>
        <w:drawing>
          <wp:inline distT="0" distB="0" distL="0" distR="0" wp14:anchorId="668BAB59" wp14:editId="17395C36">
            <wp:extent cx="5943600" cy="2264410"/>
            <wp:effectExtent l="0" t="0" r="0" b="0"/>
            <wp:docPr id="17574748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74861" name="Picture 175747486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383"/>
    <w:p w14:paraId="2672546F"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lastRenderedPageBreak/>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0B1DF5FA" w14:textId="77777777" w:rsidR="009713BF" w:rsidRDefault="009713BF" w:rsidP="009713BF">
      <w:pPr>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Cs/>
          <w:color w:val="0E2841" w:themeColor="text2"/>
          <w:kern w:val="0"/>
          <w:sz w:val="18"/>
          <w:szCs w:val="18"/>
          <w:vertAlign w:val="superscript"/>
          <w:lang w:val="es-ES" w:eastAsia="ja-JP"/>
          <w14:ligatures w14:val="none"/>
        </w:rPr>
        <w:t xml:space="preserve">a </w:t>
      </w:r>
      <w:r w:rsidRPr="005E3D50">
        <w:rPr>
          <w:rFonts w:ascii="Aptos" w:eastAsiaTheme="minorEastAsia" w:hAnsi="Aptos"/>
          <w:iCs/>
          <w:color w:val="0E2841" w:themeColor="text2"/>
          <w:kern w:val="0"/>
          <w:sz w:val="18"/>
          <w:szCs w:val="18"/>
          <w:lang w:val="es-ES" w:eastAsia="ja-JP"/>
          <w14:ligatures w14:val="none"/>
        </w:rPr>
        <w:t xml:space="preserve">La metodología empleada para calcular los niveles de puntuación para cada indicador binario, así como las preguntas incluidas para cada indicador, figuran en el documento </w:t>
      </w:r>
      <w:hyperlink r:id="rId151" w:history="1">
        <w:r w:rsidRPr="005E3D50">
          <w:rPr>
            <w:rFonts w:ascii="Aptos" w:eastAsiaTheme="minorEastAsia" w:hAnsi="Aptos"/>
            <w:iCs/>
            <w:color w:val="0E2841" w:themeColor="text2"/>
            <w:kern w:val="0"/>
            <w:sz w:val="18"/>
            <w:szCs w:val="18"/>
            <w:lang w:val="es-ES" w:eastAsia="ja-JP"/>
            <w14:ligatures w14:val="none"/>
          </w:rPr>
          <w:t>CBD/COP/16/INF/3/Rev.1</w:t>
        </w:r>
      </w:hyperlink>
      <w:r w:rsidRPr="005E3D50">
        <w:rPr>
          <w:rFonts w:ascii="Aptos" w:eastAsiaTheme="minorEastAsia" w:hAnsi="Aptos"/>
          <w:iCs/>
          <w:color w:val="0E2841" w:themeColor="text2"/>
          <w:kern w:val="0"/>
          <w:sz w:val="18"/>
          <w:szCs w:val="18"/>
          <w:lang w:val="es-ES" w:eastAsia="ja-JP"/>
          <w14:ligatures w14:val="none"/>
        </w:rPr>
        <w:t>.</w:t>
      </w:r>
    </w:p>
    <w:tbl>
      <w:tblPr>
        <w:tblStyle w:val="TableGrid"/>
        <w:tblW w:w="9380" w:type="dxa"/>
        <w:tblLook w:val="04A0" w:firstRow="1" w:lastRow="0" w:firstColumn="1" w:lastColumn="0" w:noHBand="0" w:noVBand="1"/>
      </w:tblPr>
      <w:tblGrid>
        <w:gridCol w:w="5299"/>
        <w:gridCol w:w="4081"/>
      </w:tblGrid>
      <w:tr w:rsidR="00531F71" w:rsidRPr="00531F71" w14:paraId="4163B45D" w14:textId="77777777" w:rsidTr="00531F71">
        <w:tc>
          <w:tcPr>
            <w:tcW w:w="9380" w:type="dxa"/>
            <w:gridSpan w:val="2"/>
          </w:tcPr>
          <w:p w14:paraId="6AD63E57" w14:textId="10E520A1" w:rsidR="00531F71" w:rsidRPr="00531F71" w:rsidRDefault="00531F71" w:rsidP="00531F71">
            <w:pPr>
              <w:spacing w:line="278" w:lineRule="auto"/>
              <w:rPr>
                <w:sz w:val="18"/>
                <w:szCs w:val="18"/>
                <w:lang w:val="es-ES"/>
              </w:rPr>
            </w:pPr>
            <w:r w:rsidRPr="00531F71">
              <w:rPr>
                <w:sz w:val="18"/>
                <w:szCs w:val="18"/>
                <w:lang w:val="es-ES"/>
              </w:rPr>
              <w:t>Figura 60</w:t>
            </w:r>
          </w:p>
        </w:tc>
      </w:tr>
      <w:tr w:rsidR="00531F71" w:rsidRPr="00531F71" w14:paraId="63C20989" w14:textId="77777777" w:rsidTr="00531F71">
        <w:tc>
          <w:tcPr>
            <w:tcW w:w="5299" w:type="dxa"/>
          </w:tcPr>
          <w:p w14:paraId="290B33C5" w14:textId="4186F566" w:rsidR="00531F71" w:rsidRPr="00531F71" w:rsidRDefault="00531F71" w:rsidP="00531F71">
            <w:pPr>
              <w:spacing w:line="278" w:lineRule="auto"/>
              <w:rPr>
                <w:sz w:val="18"/>
                <w:szCs w:val="18"/>
                <w:lang w:val="es-ES"/>
              </w:rPr>
            </w:pPr>
            <w:r w:rsidRPr="00531F71">
              <w:rPr>
                <w:sz w:val="18"/>
                <w:szCs w:val="18"/>
                <w:lang w:val="es-ES"/>
              </w:rPr>
              <w:t>English</w:t>
            </w:r>
          </w:p>
        </w:tc>
        <w:tc>
          <w:tcPr>
            <w:tcW w:w="4081" w:type="dxa"/>
          </w:tcPr>
          <w:p w14:paraId="2DCDDA32" w14:textId="727AB4BE" w:rsidR="00531F71" w:rsidRPr="00531F71" w:rsidRDefault="00531F71" w:rsidP="00531F71">
            <w:pPr>
              <w:spacing w:line="278" w:lineRule="auto"/>
              <w:rPr>
                <w:sz w:val="18"/>
                <w:szCs w:val="18"/>
                <w:lang w:val="es-ES"/>
              </w:rPr>
            </w:pPr>
            <w:r w:rsidRPr="00531F71">
              <w:rPr>
                <w:sz w:val="18"/>
                <w:szCs w:val="18"/>
                <w:lang w:val="es-ES"/>
              </w:rPr>
              <w:t>Español</w:t>
            </w:r>
          </w:p>
        </w:tc>
      </w:tr>
      <w:tr w:rsidR="00531F71" w:rsidRPr="00531F71" w14:paraId="51745F3E" w14:textId="77777777" w:rsidTr="00531F71">
        <w:tc>
          <w:tcPr>
            <w:tcW w:w="5299" w:type="dxa"/>
          </w:tcPr>
          <w:p w14:paraId="25F4AF3A" w14:textId="77777777" w:rsidR="00531F71" w:rsidRPr="00531F71" w:rsidRDefault="00531F71" w:rsidP="00531F71">
            <w:pPr>
              <w:spacing w:line="278" w:lineRule="auto"/>
              <w:rPr>
                <w:sz w:val="18"/>
                <w:szCs w:val="18"/>
                <w:lang w:val="es-ES"/>
              </w:rPr>
            </w:pPr>
            <w:proofErr w:type="spellStart"/>
            <w:r w:rsidRPr="00531F71">
              <w:rPr>
                <w:sz w:val="18"/>
                <w:szCs w:val="18"/>
                <w:lang w:val="es-ES"/>
              </w:rPr>
              <w:t>Answers</w:t>
            </w:r>
            <w:proofErr w:type="spellEnd"/>
            <w:r w:rsidRPr="00531F71">
              <w:rPr>
                <w:sz w:val="18"/>
                <w:szCs w:val="18"/>
                <w:lang w:val="es-ES"/>
              </w:rPr>
              <w:t xml:space="preserve"> (</w:t>
            </w:r>
            <w:proofErr w:type="spellStart"/>
            <w:r w:rsidRPr="00531F71">
              <w:rPr>
                <w:sz w:val="18"/>
                <w:szCs w:val="18"/>
                <w:lang w:val="es-ES"/>
              </w:rPr>
              <w:t>percentage</w:t>
            </w:r>
            <w:proofErr w:type="spellEnd"/>
            <w:r w:rsidRPr="00531F71">
              <w:rPr>
                <w:sz w:val="18"/>
                <w:szCs w:val="18"/>
                <w:lang w:val="es-ES"/>
              </w:rPr>
              <w:t>)</w:t>
            </w:r>
          </w:p>
        </w:tc>
        <w:tc>
          <w:tcPr>
            <w:tcW w:w="4081" w:type="dxa"/>
          </w:tcPr>
          <w:p w14:paraId="36F31179" w14:textId="66A970BE" w:rsidR="00531F71" w:rsidRPr="00531F71" w:rsidRDefault="00531F71" w:rsidP="00531F71">
            <w:pPr>
              <w:spacing w:line="278" w:lineRule="auto"/>
              <w:rPr>
                <w:sz w:val="18"/>
                <w:szCs w:val="18"/>
                <w:lang w:val="es-ES"/>
              </w:rPr>
            </w:pPr>
            <w:r w:rsidRPr="00531F71">
              <w:rPr>
                <w:sz w:val="18"/>
                <w:szCs w:val="18"/>
                <w:lang w:val="es-ES"/>
              </w:rPr>
              <w:t>Respuestas (porcentaje)</w:t>
            </w:r>
          </w:p>
        </w:tc>
      </w:tr>
      <w:tr w:rsidR="00531F71" w:rsidRPr="00531F71" w14:paraId="20C85F7D" w14:textId="77777777" w:rsidTr="00531F71">
        <w:tc>
          <w:tcPr>
            <w:tcW w:w="5299" w:type="dxa"/>
          </w:tcPr>
          <w:p w14:paraId="7876AA5B" w14:textId="77777777" w:rsidR="00531F71" w:rsidRPr="00531F71" w:rsidRDefault="00531F71" w:rsidP="00531F71">
            <w:pPr>
              <w:spacing w:line="278" w:lineRule="auto"/>
              <w:rPr>
                <w:sz w:val="18"/>
                <w:szCs w:val="18"/>
                <w:lang w:val="es-ES"/>
              </w:rPr>
            </w:pPr>
            <w:r w:rsidRPr="00531F71">
              <w:rPr>
                <w:sz w:val="18"/>
                <w:szCs w:val="18"/>
                <w:lang w:val="es-ES"/>
              </w:rPr>
              <w:t>Score Level</w:t>
            </w:r>
          </w:p>
        </w:tc>
        <w:tc>
          <w:tcPr>
            <w:tcW w:w="4081" w:type="dxa"/>
          </w:tcPr>
          <w:p w14:paraId="7B726748" w14:textId="0D5722DC" w:rsidR="00531F71" w:rsidRPr="00531F71" w:rsidRDefault="00531F71" w:rsidP="00531F71">
            <w:pPr>
              <w:spacing w:line="278" w:lineRule="auto"/>
              <w:rPr>
                <w:sz w:val="18"/>
                <w:szCs w:val="18"/>
                <w:lang w:val="es-ES"/>
              </w:rPr>
            </w:pPr>
            <w:r w:rsidRPr="00531F71">
              <w:rPr>
                <w:sz w:val="18"/>
                <w:szCs w:val="18"/>
                <w:lang w:val="es-ES"/>
              </w:rPr>
              <w:t>Nivel de puntuación</w:t>
            </w:r>
          </w:p>
        </w:tc>
      </w:tr>
      <w:tr w:rsidR="00531F71" w:rsidRPr="00531F71" w14:paraId="68198F8E" w14:textId="77777777" w:rsidTr="00531F71">
        <w:tc>
          <w:tcPr>
            <w:tcW w:w="5299" w:type="dxa"/>
          </w:tcPr>
          <w:p w14:paraId="42040D16" w14:textId="77777777" w:rsidR="00531F71" w:rsidRPr="00531F71" w:rsidRDefault="00531F71" w:rsidP="00531F71">
            <w:pPr>
              <w:spacing w:line="278" w:lineRule="auto"/>
              <w:rPr>
                <w:sz w:val="18"/>
                <w:szCs w:val="18"/>
                <w:lang w:val="es-ES"/>
              </w:rPr>
            </w:pPr>
            <w:r w:rsidRPr="00531F71">
              <w:rPr>
                <w:sz w:val="18"/>
                <w:szCs w:val="18"/>
                <w:lang w:val="es-ES"/>
              </w:rPr>
              <w:t xml:space="preserve">Party </w:t>
            </w:r>
            <w:proofErr w:type="spellStart"/>
            <w:r w:rsidRPr="00531F71">
              <w:rPr>
                <w:sz w:val="18"/>
                <w:szCs w:val="18"/>
                <w:lang w:val="es-ES"/>
              </w:rPr>
              <w:t>count</w:t>
            </w:r>
            <w:proofErr w:type="spellEnd"/>
            <w:r w:rsidRPr="00531F71">
              <w:rPr>
                <w:sz w:val="18"/>
                <w:szCs w:val="18"/>
                <w:lang w:val="es-ES"/>
              </w:rPr>
              <w:t>: 127</w:t>
            </w:r>
          </w:p>
        </w:tc>
        <w:tc>
          <w:tcPr>
            <w:tcW w:w="4081" w:type="dxa"/>
          </w:tcPr>
          <w:p w14:paraId="3076D431" w14:textId="62E112BC" w:rsidR="00531F71" w:rsidRPr="00531F71" w:rsidRDefault="00531F71" w:rsidP="00531F71">
            <w:pPr>
              <w:spacing w:line="278" w:lineRule="auto"/>
              <w:rPr>
                <w:sz w:val="18"/>
                <w:szCs w:val="18"/>
                <w:lang w:val="es-ES"/>
              </w:rPr>
            </w:pPr>
            <w:r w:rsidRPr="00531F71">
              <w:rPr>
                <w:sz w:val="18"/>
                <w:szCs w:val="18"/>
                <w:lang w:val="es-ES"/>
              </w:rPr>
              <w:t>Número de Partes: 127</w:t>
            </w:r>
          </w:p>
        </w:tc>
      </w:tr>
      <w:tr w:rsidR="00531F71" w:rsidRPr="00531F71" w14:paraId="635BE2EA" w14:textId="77777777" w:rsidTr="00531F71">
        <w:tc>
          <w:tcPr>
            <w:tcW w:w="5299" w:type="dxa"/>
          </w:tcPr>
          <w:p w14:paraId="37A524FC" w14:textId="77777777" w:rsidR="00531F71" w:rsidRPr="00531F71" w:rsidRDefault="00531F71" w:rsidP="00531F71">
            <w:pPr>
              <w:spacing w:line="278" w:lineRule="auto"/>
              <w:rPr>
                <w:sz w:val="18"/>
                <w:szCs w:val="18"/>
                <w:lang w:val="es-ES"/>
              </w:rPr>
            </w:pPr>
            <w:proofErr w:type="spellStart"/>
            <w:r w:rsidRPr="00531F71">
              <w:rPr>
                <w:sz w:val="18"/>
                <w:szCs w:val="18"/>
                <w:lang w:val="es-ES"/>
              </w:rPr>
              <w:t>Region</w:t>
            </w:r>
            <w:proofErr w:type="spellEnd"/>
          </w:p>
        </w:tc>
        <w:tc>
          <w:tcPr>
            <w:tcW w:w="4081" w:type="dxa"/>
          </w:tcPr>
          <w:p w14:paraId="5588AEB0" w14:textId="6F9894B4" w:rsidR="00531F71" w:rsidRPr="00531F71" w:rsidRDefault="00531F71" w:rsidP="00531F71">
            <w:pPr>
              <w:spacing w:line="278" w:lineRule="auto"/>
              <w:rPr>
                <w:sz w:val="18"/>
                <w:szCs w:val="18"/>
                <w:lang w:val="es-ES"/>
              </w:rPr>
            </w:pPr>
            <w:r w:rsidRPr="00531F71">
              <w:rPr>
                <w:sz w:val="18"/>
                <w:szCs w:val="18"/>
                <w:lang w:val="es-ES"/>
              </w:rPr>
              <w:t>Región</w:t>
            </w:r>
          </w:p>
        </w:tc>
      </w:tr>
      <w:tr w:rsidR="00531F71" w:rsidRPr="00531F71" w14:paraId="696933E1" w14:textId="77777777" w:rsidTr="00531F71">
        <w:tc>
          <w:tcPr>
            <w:tcW w:w="5299" w:type="dxa"/>
          </w:tcPr>
          <w:p w14:paraId="571D158E" w14:textId="77777777" w:rsidR="00531F71" w:rsidRPr="00531F71" w:rsidRDefault="00531F71" w:rsidP="00531F71">
            <w:pPr>
              <w:spacing w:line="278" w:lineRule="auto"/>
              <w:rPr>
                <w:sz w:val="18"/>
                <w:szCs w:val="18"/>
                <w:lang w:val="es-ES"/>
              </w:rPr>
            </w:pPr>
            <w:r w:rsidRPr="00531F71">
              <w:rPr>
                <w:sz w:val="18"/>
                <w:szCs w:val="18"/>
                <w:lang w:val="es-ES"/>
              </w:rPr>
              <w:t>African States</w:t>
            </w:r>
          </w:p>
        </w:tc>
        <w:tc>
          <w:tcPr>
            <w:tcW w:w="4081" w:type="dxa"/>
          </w:tcPr>
          <w:p w14:paraId="11D0CDAB" w14:textId="4B8DB87F" w:rsidR="00531F71" w:rsidRPr="00531F71" w:rsidRDefault="00531F71" w:rsidP="00531F71">
            <w:pPr>
              <w:spacing w:line="278" w:lineRule="auto"/>
              <w:rPr>
                <w:sz w:val="18"/>
                <w:szCs w:val="18"/>
                <w:lang w:val="es-ES"/>
              </w:rPr>
            </w:pPr>
            <w:r w:rsidRPr="00531F71">
              <w:rPr>
                <w:sz w:val="18"/>
                <w:szCs w:val="18"/>
                <w:lang w:val="es-ES"/>
              </w:rPr>
              <w:t>Estados de África</w:t>
            </w:r>
          </w:p>
        </w:tc>
      </w:tr>
      <w:tr w:rsidR="00531F71" w:rsidRPr="00531F71" w14:paraId="58FCD6DB" w14:textId="77777777" w:rsidTr="00531F71">
        <w:tc>
          <w:tcPr>
            <w:tcW w:w="5299" w:type="dxa"/>
          </w:tcPr>
          <w:p w14:paraId="03F82C10" w14:textId="77777777" w:rsidR="00531F71" w:rsidRPr="00531F71" w:rsidRDefault="00531F71" w:rsidP="00531F71">
            <w:pPr>
              <w:spacing w:line="278" w:lineRule="auto"/>
              <w:rPr>
                <w:sz w:val="18"/>
                <w:szCs w:val="18"/>
                <w:lang w:val="es-ES"/>
              </w:rPr>
            </w:pPr>
            <w:r w:rsidRPr="00531F71">
              <w:rPr>
                <w:sz w:val="18"/>
                <w:szCs w:val="18"/>
                <w:lang w:val="es-ES"/>
              </w:rPr>
              <w:t>Asia-Pacific States</w:t>
            </w:r>
          </w:p>
        </w:tc>
        <w:tc>
          <w:tcPr>
            <w:tcW w:w="4081" w:type="dxa"/>
          </w:tcPr>
          <w:p w14:paraId="62BF15D0" w14:textId="16EBCAC3" w:rsidR="00531F71" w:rsidRPr="00531F71" w:rsidRDefault="00531F71" w:rsidP="00531F71">
            <w:pPr>
              <w:spacing w:line="278" w:lineRule="auto"/>
              <w:rPr>
                <w:sz w:val="18"/>
                <w:szCs w:val="18"/>
                <w:lang w:val="es-ES"/>
              </w:rPr>
            </w:pPr>
            <w:r w:rsidRPr="00531F71">
              <w:rPr>
                <w:sz w:val="18"/>
                <w:szCs w:val="18"/>
                <w:lang w:val="es-ES"/>
              </w:rPr>
              <w:t>Estados de Asia y el Pacífico</w:t>
            </w:r>
          </w:p>
        </w:tc>
      </w:tr>
      <w:tr w:rsidR="00531F71" w:rsidRPr="00531F71" w14:paraId="740C4453" w14:textId="77777777" w:rsidTr="00531F71">
        <w:tc>
          <w:tcPr>
            <w:tcW w:w="5299" w:type="dxa"/>
          </w:tcPr>
          <w:p w14:paraId="76CB7D8D" w14:textId="77777777" w:rsidR="00531F71" w:rsidRPr="00531F71" w:rsidRDefault="00531F71" w:rsidP="00531F71">
            <w:pPr>
              <w:spacing w:line="278" w:lineRule="auto"/>
              <w:rPr>
                <w:sz w:val="18"/>
                <w:szCs w:val="18"/>
                <w:lang w:val="en-US"/>
              </w:rPr>
            </w:pPr>
            <w:r w:rsidRPr="00531F71">
              <w:rPr>
                <w:sz w:val="18"/>
                <w:szCs w:val="18"/>
                <w:lang w:val="en-US"/>
              </w:rPr>
              <w:t>Latin American and Caribbean States</w:t>
            </w:r>
          </w:p>
        </w:tc>
        <w:tc>
          <w:tcPr>
            <w:tcW w:w="4081" w:type="dxa"/>
          </w:tcPr>
          <w:p w14:paraId="779C7CEF" w14:textId="6ECE6085" w:rsidR="00531F71" w:rsidRPr="00531F71" w:rsidRDefault="00531F71" w:rsidP="00531F71">
            <w:pPr>
              <w:spacing w:line="278" w:lineRule="auto"/>
              <w:rPr>
                <w:sz w:val="18"/>
                <w:szCs w:val="18"/>
                <w:lang w:val="es-ES"/>
              </w:rPr>
            </w:pPr>
            <w:r w:rsidRPr="00531F71">
              <w:rPr>
                <w:sz w:val="18"/>
                <w:szCs w:val="18"/>
                <w:lang w:val="es-ES"/>
              </w:rPr>
              <w:t>Estados de América Latina y el Caribe</w:t>
            </w:r>
          </w:p>
        </w:tc>
      </w:tr>
      <w:tr w:rsidR="00531F71" w:rsidRPr="00531F71" w14:paraId="4489B581" w14:textId="77777777" w:rsidTr="00531F71">
        <w:tc>
          <w:tcPr>
            <w:tcW w:w="5299" w:type="dxa"/>
          </w:tcPr>
          <w:p w14:paraId="15A61B5E" w14:textId="77777777" w:rsidR="00531F71" w:rsidRPr="00531F71" w:rsidRDefault="00531F71" w:rsidP="00531F71">
            <w:pPr>
              <w:spacing w:line="278" w:lineRule="auto"/>
              <w:rPr>
                <w:sz w:val="18"/>
                <w:szCs w:val="18"/>
                <w:lang w:val="es-ES"/>
              </w:rPr>
            </w:pPr>
            <w:r w:rsidRPr="00531F71">
              <w:rPr>
                <w:sz w:val="18"/>
                <w:szCs w:val="18"/>
                <w:lang w:val="es-ES"/>
              </w:rPr>
              <w:t xml:space="preserve"> Eastern European States</w:t>
            </w:r>
          </w:p>
        </w:tc>
        <w:tc>
          <w:tcPr>
            <w:tcW w:w="4081" w:type="dxa"/>
          </w:tcPr>
          <w:p w14:paraId="20749854" w14:textId="7E59CBAB" w:rsidR="00531F71" w:rsidRPr="00531F71" w:rsidRDefault="00531F71" w:rsidP="00531F71">
            <w:pPr>
              <w:spacing w:line="278" w:lineRule="auto"/>
              <w:rPr>
                <w:sz w:val="18"/>
                <w:szCs w:val="18"/>
                <w:lang w:val="es-ES"/>
              </w:rPr>
            </w:pPr>
            <w:r w:rsidRPr="00531F71">
              <w:rPr>
                <w:sz w:val="18"/>
                <w:szCs w:val="18"/>
                <w:lang w:val="es-ES"/>
              </w:rPr>
              <w:t>Estados de Europa Oriental</w:t>
            </w:r>
          </w:p>
        </w:tc>
      </w:tr>
      <w:tr w:rsidR="00531F71" w:rsidRPr="00531F71" w14:paraId="67182FE5" w14:textId="77777777" w:rsidTr="00531F71">
        <w:tc>
          <w:tcPr>
            <w:tcW w:w="5299" w:type="dxa"/>
          </w:tcPr>
          <w:p w14:paraId="7204EF40" w14:textId="77777777" w:rsidR="00531F71" w:rsidRPr="00531F71" w:rsidRDefault="00531F71" w:rsidP="00531F71">
            <w:pPr>
              <w:spacing w:line="278" w:lineRule="auto"/>
              <w:rPr>
                <w:sz w:val="18"/>
                <w:szCs w:val="18"/>
                <w:lang w:val="en-US"/>
              </w:rPr>
            </w:pPr>
            <w:r w:rsidRPr="00531F71">
              <w:rPr>
                <w:sz w:val="18"/>
                <w:szCs w:val="18"/>
                <w:lang w:val="en-US"/>
              </w:rPr>
              <w:t xml:space="preserve">Western European and </w:t>
            </w:r>
            <w:proofErr w:type="gramStart"/>
            <w:r w:rsidRPr="00531F71">
              <w:rPr>
                <w:sz w:val="18"/>
                <w:szCs w:val="18"/>
                <w:lang w:val="en-US"/>
              </w:rPr>
              <w:t>other  States</w:t>
            </w:r>
            <w:proofErr w:type="gramEnd"/>
          </w:p>
        </w:tc>
        <w:tc>
          <w:tcPr>
            <w:tcW w:w="4081" w:type="dxa"/>
          </w:tcPr>
          <w:p w14:paraId="425B5ED7" w14:textId="55E75AFA" w:rsidR="00531F71" w:rsidRPr="00531F71" w:rsidRDefault="00531F71" w:rsidP="00531F71">
            <w:pPr>
              <w:spacing w:line="278" w:lineRule="auto"/>
              <w:rPr>
                <w:sz w:val="18"/>
                <w:szCs w:val="18"/>
                <w:lang w:val="es-ES"/>
              </w:rPr>
            </w:pPr>
            <w:r w:rsidRPr="00531F71">
              <w:rPr>
                <w:sz w:val="18"/>
                <w:szCs w:val="18"/>
                <w:lang w:val="es-ES"/>
              </w:rPr>
              <w:t>Estados de Europa Occidental y otros Estados</w:t>
            </w:r>
          </w:p>
        </w:tc>
      </w:tr>
    </w:tbl>
    <w:p w14:paraId="2EA559A9" w14:textId="77777777" w:rsidR="007B644D" w:rsidRPr="005E3D50" w:rsidRDefault="007B644D" w:rsidP="009713BF">
      <w:pPr>
        <w:rPr>
          <w:rFonts w:ascii="Aptos" w:eastAsiaTheme="minorEastAsia" w:hAnsi="Aptos"/>
          <w:iCs/>
          <w:color w:val="0E2841" w:themeColor="text2"/>
          <w:kern w:val="0"/>
          <w:sz w:val="18"/>
          <w:szCs w:val="18"/>
          <w:lang w:val="es-ES" w:eastAsia="ja-JP"/>
          <w14:ligatures w14:val="none"/>
        </w:rPr>
      </w:pPr>
    </w:p>
    <w:p w14:paraId="126F6EB9" w14:textId="77777777" w:rsidR="009713BF" w:rsidRPr="005E3D50" w:rsidRDefault="009713BF" w:rsidP="009713BF">
      <w:pPr>
        <w:rPr>
          <w:sz w:val="20"/>
          <w:szCs w:val="20"/>
          <w:lang w:val="es-ES"/>
        </w:rPr>
      </w:pPr>
      <w:r w:rsidRPr="005E3D50">
        <w:rPr>
          <w:sz w:val="20"/>
          <w:lang w:val="es-ES"/>
        </w:rPr>
        <w:t>Figura 61</w:t>
      </w:r>
    </w:p>
    <w:p w14:paraId="57F770D8"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14 del Marco que sugieren tendencias de mejora, estables y negativas, respectivamente </w:t>
      </w:r>
    </w:p>
    <w:p w14:paraId="4AB0ECCE"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0079689E"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0E934628" wp14:editId="42F72B65">
            <wp:extent cx="5731510" cy="2456180"/>
            <wp:effectExtent l="0" t="0" r="0" b="0"/>
            <wp:docPr id="21345647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64761" name="Picture 213456476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4CAF1757"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bookmarkStart w:id="384" w:name="_Toc235821223"/>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Las tendencias incluyen datos para 1 indicador de componente y</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 xml:space="preserve">41 indicadores nacionales de un total de </w:t>
      </w:r>
      <w:r w:rsidRPr="005E3D50">
        <w:rPr>
          <w:rFonts w:ascii="Arial" w:eastAsiaTheme="minorEastAsia" w:hAnsi="Arial"/>
          <w:iCs/>
          <w:color w:val="0E2841" w:themeColor="text2"/>
          <w:kern w:val="0"/>
          <w:sz w:val="18"/>
          <w:szCs w:val="18"/>
          <w:lang w:val="es-ES" w:eastAsia="ja-JP"/>
          <w14:ligatures w14:val="none"/>
        </w:rPr>
        <w:t>15</w:t>
      </w:r>
      <w:r w:rsidRPr="005E3D50">
        <w:rPr>
          <w:rFonts w:ascii="Aptos" w:eastAsiaTheme="minorEastAsia" w:hAnsi="Aptos"/>
          <w:iCs/>
          <w:color w:val="0E2841" w:themeColor="text2"/>
          <w:kern w:val="0"/>
          <w:sz w:val="18"/>
          <w:szCs w:val="18"/>
          <w:lang w:val="es-ES" w:eastAsia="ja-JP"/>
          <w14:ligatures w14:val="none"/>
        </w:rPr>
        <w:t> Partes. El gráfico circular muestra la distribución de las Partes que presentaron indicadores para la meta 14,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741F494F" w14:textId="77777777" w:rsidR="009713BF" w:rsidRPr="005E3D50" w:rsidRDefault="009713BF" w:rsidP="009713BF">
      <w:pPr>
        <w:spacing w:after="200" w:line="240" w:lineRule="auto"/>
        <w:rPr>
          <w:rFonts w:ascii="Aptos" w:eastAsiaTheme="minorEastAsia" w:hAnsi="Aptos" w:cs="Segoe UI"/>
          <w:i/>
          <w:iCs/>
          <w:color w:val="0E2841" w:themeColor="text2"/>
          <w:kern w:val="0"/>
          <w:sz w:val="18"/>
          <w:szCs w:val="18"/>
          <w:lang w:val="es-ES" w:eastAsia="ja-JP"/>
          <w14:ligatures w14:val="none"/>
        </w:rPr>
      </w:pPr>
    </w:p>
    <w:tbl>
      <w:tblPr>
        <w:tblStyle w:val="TableGrid"/>
        <w:tblW w:w="9318" w:type="dxa"/>
        <w:tblLook w:val="04A0" w:firstRow="1" w:lastRow="0" w:firstColumn="1" w:lastColumn="0" w:noHBand="0" w:noVBand="1"/>
      </w:tblPr>
      <w:tblGrid>
        <w:gridCol w:w="5459"/>
        <w:gridCol w:w="3859"/>
      </w:tblGrid>
      <w:tr w:rsidR="00A42BFE" w:rsidRPr="00A42BFE" w14:paraId="38002B75" w14:textId="77777777" w:rsidTr="00A42BFE">
        <w:tc>
          <w:tcPr>
            <w:tcW w:w="9318" w:type="dxa"/>
            <w:gridSpan w:val="2"/>
          </w:tcPr>
          <w:p w14:paraId="22AC2F62" w14:textId="3C9D8AF6" w:rsidR="00A42BFE" w:rsidRPr="00A42BFE" w:rsidRDefault="00A42BFE" w:rsidP="00A42BFE">
            <w:pPr>
              <w:spacing w:line="278" w:lineRule="auto"/>
              <w:rPr>
                <w:sz w:val="18"/>
                <w:szCs w:val="18"/>
                <w:lang w:val="es-ES"/>
              </w:rPr>
            </w:pPr>
            <w:r w:rsidRPr="00A42BFE">
              <w:rPr>
                <w:sz w:val="18"/>
                <w:szCs w:val="18"/>
                <w:lang w:val="es-ES"/>
              </w:rPr>
              <w:lastRenderedPageBreak/>
              <w:t>Figura 61</w:t>
            </w:r>
          </w:p>
        </w:tc>
      </w:tr>
      <w:tr w:rsidR="00A42BFE" w:rsidRPr="00A42BFE" w14:paraId="4A7C1661" w14:textId="77777777" w:rsidTr="00A42BFE">
        <w:tc>
          <w:tcPr>
            <w:tcW w:w="5459" w:type="dxa"/>
          </w:tcPr>
          <w:p w14:paraId="798FF7E6" w14:textId="7CACD9D6" w:rsidR="00A42BFE" w:rsidRPr="00A42BFE" w:rsidRDefault="00A42BFE" w:rsidP="00A42BFE">
            <w:pPr>
              <w:spacing w:line="278" w:lineRule="auto"/>
              <w:rPr>
                <w:sz w:val="18"/>
                <w:szCs w:val="18"/>
                <w:lang w:val="es-ES"/>
              </w:rPr>
            </w:pPr>
            <w:r w:rsidRPr="00A42BFE">
              <w:rPr>
                <w:sz w:val="18"/>
                <w:szCs w:val="18"/>
                <w:lang w:val="es-ES"/>
              </w:rPr>
              <w:t>English</w:t>
            </w:r>
          </w:p>
        </w:tc>
        <w:tc>
          <w:tcPr>
            <w:tcW w:w="3858" w:type="dxa"/>
          </w:tcPr>
          <w:p w14:paraId="23262EF0" w14:textId="2D569A80" w:rsidR="00A42BFE" w:rsidRPr="00A42BFE" w:rsidRDefault="00A42BFE" w:rsidP="00A42BFE">
            <w:pPr>
              <w:spacing w:line="278" w:lineRule="auto"/>
              <w:rPr>
                <w:sz w:val="18"/>
                <w:szCs w:val="18"/>
                <w:lang w:val="es-ES"/>
              </w:rPr>
            </w:pPr>
            <w:r w:rsidRPr="00A42BFE">
              <w:rPr>
                <w:sz w:val="18"/>
                <w:szCs w:val="18"/>
                <w:lang w:val="es-ES"/>
              </w:rPr>
              <w:t>Español</w:t>
            </w:r>
          </w:p>
        </w:tc>
      </w:tr>
      <w:tr w:rsidR="00A42BFE" w:rsidRPr="00A42BFE" w14:paraId="66A1EAF2" w14:textId="77777777" w:rsidTr="00A42BFE">
        <w:tc>
          <w:tcPr>
            <w:tcW w:w="5459" w:type="dxa"/>
          </w:tcPr>
          <w:p w14:paraId="15735551" w14:textId="77777777" w:rsidR="00A42BFE" w:rsidRPr="00A42BFE" w:rsidRDefault="00A42BFE" w:rsidP="00A42BFE">
            <w:pPr>
              <w:spacing w:line="278" w:lineRule="auto"/>
              <w:rPr>
                <w:sz w:val="18"/>
                <w:szCs w:val="18"/>
                <w:lang w:val="es-ES"/>
              </w:rPr>
            </w:pPr>
            <w:proofErr w:type="spellStart"/>
            <w:r w:rsidRPr="00A42BFE">
              <w:rPr>
                <w:sz w:val="18"/>
                <w:szCs w:val="18"/>
                <w:lang w:val="es-ES"/>
              </w:rPr>
              <w:t>Proportion</w:t>
            </w:r>
            <w:proofErr w:type="spellEnd"/>
          </w:p>
        </w:tc>
        <w:tc>
          <w:tcPr>
            <w:tcW w:w="3858" w:type="dxa"/>
          </w:tcPr>
          <w:p w14:paraId="049CC23F" w14:textId="7FE746D2" w:rsidR="00A42BFE" w:rsidRPr="00A42BFE" w:rsidRDefault="00A42BFE" w:rsidP="00A42BFE">
            <w:pPr>
              <w:spacing w:line="278" w:lineRule="auto"/>
              <w:rPr>
                <w:sz w:val="18"/>
                <w:szCs w:val="18"/>
                <w:lang w:val="es-ES"/>
              </w:rPr>
            </w:pPr>
            <w:r w:rsidRPr="00A42BFE">
              <w:rPr>
                <w:sz w:val="18"/>
                <w:szCs w:val="18"/>
                <w:lang w:val="es-ES"/>
              </w:rPr>
              <w:t>Proporción</w:t>
            </w:r>
          </w:p>
        </w:tc>
      </w:tr>
      <w:tr w:rsidR="00A42BFE" w:rsidRPr="00A42BFE" w14:paraId="7A4B67E9" w14:textId="77777777" w:rsidTr="00A42BFE">
        <w:tc>
          <w:tcPr>
            <w:tcW w:w="5459" w:type="dxa"/>
          </w:tcPr>
          <w:p w14:paraId="6CBF431E" w14:textId="77777777" w:rsidR="00A42BFE" w:rsidRPr="00A42BFE" w:rsidRDefault="00A42BFE" w:rsidP="00A42BFE">
            <w:pPr>
              <w:spacing w:line="278" w:lineRule="auto"/>
              <w:rPr>
                <w:sz w:val="18"/>
                <w:szCs w:val="18"/>
                <w:lang w:val="es-ES"/>
              </w:rPr>
            </w:pPr>
            <w:r w:rsidRPr="00A42BFE">
              <w:rPr>
                <w:sz w:val="18"/>
                <w:szCs w:val="18"/>
                <w:lang w:val="es-ES"/>
              </w:rPr>
              <w:t xml:space="preserve">Current </w:t>
            </w:r>
            <w:proofErr w:type="gramStart"/>
            <w:r w:rsidRPr="00A42BFE">
              <w:rPr>
                <w:sz w:val="18"/>
                <w:szCs w:val="18"/>
                <w:lang w:val="es-ES"/>
              </w:rPr>
              <w:t>Status</w:t>
            </w:r>
            <w:proofErr w:type="gramEnd"/>
          </w:p>
        </w:tc>
        <w:tc>
          <w:tcPr>
            <w:tcW w:w="3858" w:type="dxa"/>
          </w:tcPr>
          <w:p w14:paraId="007EC3BF" w14:textId="6694E2E5" w:rsidR="00A42BFE" w:rsidRPr="00A42BFE" w:rsidRDefault="00A42BFE" w:rsidP="00A42BFE">
            <w:pPr>
              <w:spacing w:line="278" w:lineRule="auto"/>
              <w:rPr>
                <w:sz w:val="18"/>
                <w:szCs w:val="18"/>
                <w:lang w:val="es-ES"/>
              </w:rPr>
            </w:pPr>
            <w:r w:rsidRPr="00A42BFE">
              <w:rPr>
                <w:sz w:val="18"/>
                <w:szCs w:val="18"/>
                <w:lang w:val="es-ES"/>
              </w:rPr>
              <w:t>Estado actual</w:t>
            </w:r>
          </w:p>
        </w:tc>
      </w:tr>
      <w:tr w:rsidR="00A42BFE" w:rsidRPr="00A42BFE" w14:paraId="4A364143" w14:textId="77777777" w:rsidTr="00A42BFE">
        <w:tc>
          <w:tcPr>
            <w:tcW w:w="5459" w:type="dxa"/>
          </w:tcPr>
          <w:p w14:paraId="39DE57F2" w14:textId="77777777" w:rsidR="00A42BFE" w:rsidRPr="00A42BFE" w:rsidRDefault="00A42BFE" w:rsidP="00A42BFE">
            <w:pPr>
              <w:spacing w:line="278" w:lineRule="auto"/>
              <w:rPr>
                <w:sz w:val="18"/>
                <w:szCs w:val="18"/>
                <w:lang w:val="es-ES"/>
              </w:rPr>
            </w:pPr>
            <w:proofErr w:type="spellStart"/>
            <w:r w:rsidRPr="00A42BFE">
              <w:rPr>
                <w:sz w:val="18"/>
                <w:szCs w:val="18"/>
                <w:lang w:val="es-ES"/>
              </w:rPr>
              <w:t>improving</w:t>
            </w:r>
            <w:proofErr w:type="spellEnd"/>
          </w:p>
        </w:tc>
        <w:tc>
          <w:tcPr>
            <w:tcW w:w="3858" w:type="dxa"/>
          </w:tcPr>
          <w:p w14:paraId="21E0BF80" w14:textId="78D147BA" w:rsidR="00A42BFE" w:rsidRPr="00A42BFE" w:rsidRDefault="00A42BFE" w:rsidP="00A42BFE">
            <w:pPr>
              <w:spacing w:line="278" w:lineRule="auto"/>
              <w:rPr>
                <w:sz w:val="18"/>
                <w:szCs w:val="18"/>
                <w:lang w:val="es-ES"/>
              </w:rPr>
            </w:pPr>
            <w:r w:rsidRPr="00A42BFE">
              <w:rPr>
                <w:sz w:val="18"/>
                <w:szCs w:val="18"/>
                <w:lang w:val="es-ES"/>
              </w:rPr>
              <w:t>mejorando</w:t>
            </w:r>
          </w:p>
        </w:tc>
      </w:tr>
      <w:tr w:rsidR="00A42BFE" w:rsidRPr="00A42BFE" w14:paraId="1CCD5CAD" w14:textId="77777777" w:rsidTr="00A42BFE">
        <w:tc>
          <w:tcPr>
            <w:tcW w:w="5459" w:type="dxa"/>
          </w:tcPr>
          <w:p w14:paraId="1E7270FF" w14:textId="77777777" w:rsidR="00A42BFE" w:rsidRPr="00A42BFE" w:rsidRDefault="00A42BFE" w:rsidP="00A42BFE">
            <w:pPr>
              <w:spacing w:line="278" w:lineRule="auto"/>
              <w:rPr>
                <w:sz w:val="18"/>
                <w:szCs w:val="18"/>
                <w:lang w:val="es-ES"/>
              </w:rPr>
            </w:pPr>
            <w:proofErr w:type="spellStart"/>
            <w:r w:rsidRPr="00A42BFE">
              <w:rPr>
                <w:sz w:val="18"/>
                <w:szCs w:val="18"/>
                <w:lang w:val="es-ES"/>
              </w:rPr>
              <w:t>stable</w:t>
            </w:r>
            <w:proofErr w:type="spellEnd"/>
          </w:p>
        </w:tc>
        <w:tc>
          <w:tcPr>
            <w:tcW w:w="3858" w:type="dxa"/>
          </w:tcPr>
          <w:p w14:paraId="2765AF52" w14:textId="0FB990ED" w:rsidR="00A42BFE" w:rsidRPr="00A42BFE" w:rsidRDefault="00A42BFE" w:rsidP="00A42BFE">
            <w:pPr>
              <w:spacing w:line="278" w:lineRule="auto"/>
              <w:rPr>
                <w:sz w:val="18"/>
                <w:szCs w:val="18"/>
                <w:lang w:val="es-ES"/>
              </w:rPr>
            </w:pPr>
            <w:r w:rsidRPr="00A42BFE">
              <w:rPr>
                <w:sz w:val="18"/>
                <w:szCs w:val="18"/>
                <w:lang w:val="es-ES"/>
              </w:rPr>
              <w:t>estable</w:t>
            </w:r>
          </w:p>
        </w:tc>
      </w:tr>
      <w:tr w:rsidR="00A42BFE" w:rsidRPr="00A42BFE" w14:paraId="18BD4DF8" w14:textId="77777777" w:rsidTr="00A42BFE">
        <w:tc>
          <w:tcPr>
            <w:tcW w:w="5459" w:type="dxa"/>
          </w:tcPr>
          <w:p w14:paraId="0D692438" w14:textId="77777777" w:rsidR="00A42BFE" w:rsidRPr="00A42BFE" w:rsidRDefault="00A42BFE" w:rsidP="00A42BFE">
            <w:pPr>
              <w:spacing w:line="278" w:lineRule="auto"/>
              <w:rPr>
                <w:sz w:val="18"/>
                <w:szCs w:val="18"/>
                <w:lang w:val="es-ES"/>
              </w:rPr>
            </w:pPr>
            <w:proofErr w:type="spellStart"/>
            <w:r w:rsidRPr="00A42BFE">
              <w:rPr>
                <w:sz w:val="18"/>
                <w:szCs w:val="18"/>
                <w:lang w:val="es-ES"/>
              </w:rPr>
              <w:t>moving</w:t>
            </w:r>
            <w:proofErr w:type="spellEnd"/>
            <w:r w:rsidRPr="00A42BFE">
              <w:rPr>
                <w:sz w:val="18"/>
                <w:szCs w:val="18"/>
                <w:lang w:val="es-ES"/>
              </w:rPr>
              <w:t xml:space="preserve"> </w:t>
            </w:r>
            <w:proofErr w:type="spellStart"/>
            <w:r w:rsidRPr="00A42BFE">
              <w:rPr>
                <w:sz w:val="18"/>
                <w:szCs w:val="18"/>
                <w:lang w:val="es-ES"/>
              </w:rPr>
              <w:t>away</w:t>
            </w:r>
            <w:proofErr w:type="spellEnd"/>
          </w:p>
        </w:tc>
        <w:tc>
          <w:tcPr>
            <w:tcW w:w="3858" w:type="dxa"/>
          </w:tcPr>
          <w:p w14:paraId="159F3899" w14:textId="5CF98C5E" w:rsidR="00A42BFE" w:rsidRPr="00A42BFE" w:rsidRDefault="00A42BFE" w:rsidP="00A42BFE">
            <w:pPr>
              <w:spacing w:line="278" w:lineRule="auto"/>
              <w:rPr>
                <w:sz w:val="18"/>
                <w:szCs w:val="18"/>
                <w:lang w:val="es-ES"/>
              </w:rPr>
            </w:pPr>
            <w:r w:rsidRPr="00A42BFE">
              <w:rPr>
                <w:sz w:val="18"/>
                <w:szCs w:val="18"/>
                <w:lang w:val="es-ES"/>
              </w:rPr>
              <w:t>alejándose</w:t>
            </w:r>
          </w:p>
        </w:tc>
      </w:tr>
      <w:tr w:rsidR="00A42BFE" w:rsidRPr="00A42BFE" w14:paraId="294AEEB6" w14:textId="77777777" w:rsidTr="00A42BFE">
        <w:tc>
          <w:tcPr>
            <w:tcW w:w="5459" w:type="dxa"/>
          </w:tcPr>
          <w:p w14:paraId="3164EA21" w14:textId="77777777" w:rsidR="00A42BFE" w:rsidRPr="00A42BFE" w:rsidRDefault="00A42BFE" w:rsidP="00A42BFE">
            <w:pPr>
              <w:spacing w:line="278" w:lineRule="auto"/>
              <w:rPr>
                <w:sz w:val="18"/>
                <w:szCs w:val="18"/>
                <w:lang w:val="es-ES"/>
              </w:rPr>
            </w:pPr>
            <w:r w:rsidRPr="00A42BFE">
              <w:rPr>
                <w:sz w:val="18"/>
                <w:szCs w:val="18"/>
                <w:lang w:val="es-ES"/>
              </w:rPr>
              <w:t xml:space="preserve">Party </w:t>
            </w:r>
            <w:proofErr w:type="spellStart"/>
            <w:r w:rsidRPr="00A42BFE">
              <w:rPr>
                <w:sz w:val="18"/>
                <w:szCs w:val="18"/>
                <w:lang w:val="es-ES"/>
              </w:rPr>
              <w:t>count</w:t>
            </w:r>
            <w:proofErr w:type="spellEnd"/>
            <w:r w:rsidRPr="00A42BFE">
              <w:rPr>
                <w:sz w:val="18"/>
                <w:szCs w:val="18"/>
                <w:lang w:val="es-ES"/>
              </w:rPr>
              <w:t>: 15</w:t>
            </w:r>
          </w:p>
        </w:tc>
        <w:tc>
          <w:tcPr>
            <w:tcW w:w="3858" w:type="dxa"/>
          </w:tcPr>
          <w:p w14:paraId="0776AEF6" w14:textId="6C8ADBCC" w:rsidR="00A42BFE" w:rsidRPr="00A42BFE" w:rsidRDefault="00A42BFE" w:rsidP="00A42BFE">
            <w:pPr>
              <w:spacing w:line="278" w:lineRule="auto"/>
              <w:rPr>
                <w:sz w:val="18"/>
                <w:szCs w:val="18"/>
                <w:lang w:val="es-ES"/>
              </w:rPr>
            </w:pPr>
            <w:r w:rsidRPr="00A42BFE">
              <w:rPr>
                <w:sz w:val="18"/>
                <w:szCs w:val="18"/>
                <w:lang w:val="es-ES"/>
              </w:rPr>
              <w:t>Número de Partes: 15</w:t>
            </w:r>
          </w:p>
        </w:tc>
      </w:tr>
      <w:tr w:rsidR="00A42BFE" w:rsidRPr="00A42BFE" w14:paraId="5C3EB41D" w14:textId="77777777" w:rsidTr="00A42BFE">
        <w:tc>
          <w:tcPr>
            <w:tcW w:w="5459" w:type="dxa"/>
          </w:tcPr>
          <w:p w14:paraId="3AB47284" w14:textId="77777777" w:rsidR="00A42BFE" w:rsidRPr="00A42BFE" w:rsidRDefault="00A42BFE" w:rsidP="00A42BFE">
            <w:pPr>
              <w:spacing w:line="278" w:lineRule="auto"/>
              <w:rPr>
                <w:sz w:val="18"/>
                <w:szCs w:val="18"/>
                <w:lang w:val="es-ES"/>
              </w:rPr>
            </w:pPr>
            <w:proofErr w:type="spellStart"/>
            <w:r w:rsidRPr="00A42BFE">
              <w:rPr>
                <w:sz w:val="18"/>
                <w:szCs w:val="18"/>
                <w:lang w:val="es-ES"/>
              </w:rPr>
              <w:t>Region</w:t>
            </w:r>
            <w:proofErr w:type="spellEnd"/>
          </w:p>
        </w:tc>
        <w:tc>
          <w:tcPr>
            <w:tcW w:w="3858" w:type="dxa"/>
          </w:tcPr>
          <w:p w14:paraId="379A06D9" w14:textId="261EFF4C" w:rsidR="00A42BFE" w:rsidRPr="00A42BFE" w:rsidRDefault="00A42BFE" w:rsidP="00A42BFE">
            <w:pPr>
              <w:spacing w:line="278" w:lineRule="auto"/>
              <w:rPr>
                <w:sz w:val="18"/>
                <w:szCs w:val="18"/>
                <w:lang w:val="es-ES"/>
              </w:rPr>
            </w:pPr>
            <w:r w:rsidRPr="00A42BFE">
              <w:rPr>
                <w:sz w:val="18"/>
                <w:szCs w:val="18"/>
                <w:lang w:val="es-ES"/>
              </w:rPr>
              <w:t>Región</w:t>
            </w:r>
          </w:p>
        </w:tc>
      </w:tr>
      <w:tr w:rsidR="00A42BFE" w:rsidRPr="00A42BFE" w14:paraId="0E135FB5" w14:textId="77777777" w:rsidTr="00A42BFE">
        <w:tc>
          <w:tcPr>
            <w:tcW w:w="5459" w:type="dxa"/>
          </w:tcPr>
          <w:p w14:paraId="6C9094E0" w14:textId="77777777" w:rsidR="00A42BFE" w:rsidRPr="00A42BFE" w:rsidRDefault="00A42BFE" w:rsidP="00A42BFE">
            <w:pPr>
              <w:spacing w:line="278" w:lineRule="auto"/>
              <w:rPr>
                <w:sz w:val="18"/>
                <w:szCs w:val="18"/>
                <w:lang w:val="es-ES"/>
              </w:rPr>
            </w:pPr>
            <w:r w:rsidRPr="00A42BFE">
              <w:rPr>
                <w:sz w:val="18"/>
                <w:szCs w:val="18"/>
                <w:lang w:val="es-ES"/>
              </w:rPr>
              <w:t>African States</w:t>
            </w:r>
          </w:p>
        </w:tc>
        <w:tc>
          <w:tcPr>
            <w:tcW w:w="3858" w:type="dxa"/>
          </w:tcPr>
          <w:p w14:paraId="01AC3523" w14:textId="0E34C687" w:rsidR="00A42BFE" w:rsidRPr="00A42BFE" w:rsidRDefault="00A42BFE" w:rsidP="00A42BFE">
            <w:pPr>
              <w:spacing w:line="278" w:lineRule="auto"/>
              <w:rPr>
                <w:sz w:val="18"/>
                <w:szCs w:val="18"/>
                <w:lang w:val="es-ES"/>
              </w:rPr>
            </w:pPr>
            <w:r w:rsidRPr="00A42BFE">
              <w:rPr>
                <w:sz w:val="18"/>
                <w:szCs w:val="18"/>
                <w:lang w:val="es-ES"/>
              </w:rPr>
              <w:t>Estados de África</w:t>
            </w:r>
          </w:p>
        </w:tc>
      </w:tr>
      <w:tr w:rsidR="00A42BFE" w:rsidRPr="00A42BFE" w14:paraId="6A6FE13A" w14:textId="77777777" w:rsidTr="00A42BFE">
        <w:tc>
          <w:tcPr>
            <w:tcW w:w="5459" w:type="dxa"/>
          </w:tcPr>
          <w:p w14:paraId="184B54E2" w14:textId="77777777" w:rsidR="00A42BFE" w:rsidRPr="00A42BFE" w:rsidRDefault="00A42BFE" w:rsidP="00A42BFE">
            <w:pPr>
              <w:spacing w:line="278" w:lineRule="auto"/>
              <w:rPr>
                <w:sz w:val="18"/>
                <w:szCs w:val="18"/>
                <w:lang w:val="es-ES"/>
              </w:rPr>
            </w:pPr>
            <w:r w:rsidRPr="00A42BFE">
              <w:rPr>
                <w:sz w:val="18"/>
                <w:szCs w:val="18"/>
                <w:lang w:val="es-ES"/>
              </w:rPr>
              <w:t>Asia-Pacific States</w:t>
            </w:r>
          </w:p>
        </w:tc>
        <w:tc>
          <w:tcPr>
            <w:tcW w:w="3858" w:type="dxa"/>
          </w:tcPr>
          <w:p w14:paraId="1D042970" w14:textId="19B0DA33" w:rsidR="00A42BFE" w:rsidRPr="00A42BFE" w:rsidRDefault="00A42BFE" w:rsidP="00A42BFE">
            <w:pPr>
              <w:spacing w:line="278" w:lineRule="auto"/>
              <w:rPr>
                <w:sz w:val="18"/>
                <w:szCs w:val="18"/>
                <w:lang w:val="es-ES"/>
              </w:rPr>
            </w:pPr>
            <w:r w:rsidRPr="00A42BFE">
              <w:rPr>
                <w:sz w:val="18"/>
                <w:szCs w:val="18"/>
                <w:lang w:val="es-ES"/>
              </w:rPr>
              <w:t>Estados de Asia y el Pacífico</w:t>
            </w:r>
          </w:p>
        </w:tc>
      </w:tr>
      <w:tr w:rsidR="00A42BFE" w:rsidRPr="00A42BFE" w14:paraId="34956779" w14:textId="77777777" w:rsidTr="00A42BFE">
        <w:tc>
          <w:tcPr>
            <w:tcW w:w="5459" w:type="dxa"/>
          </w:tcPr>
          <w:p w14:paraId="61204CA1" w14:textId="77777777" w:rsidR="00A42BFE" w:rsidRPr="00A42BFE" w:rsidRDefault="00A42BFE" w:rsidP="00A42BFE">
            <w:pPr>
              <w:spacing w:line="278" w:lineRule="auto"/>
              <w:rPr>
                <w:sz w:val="18"/>
                <w:szCs w:val="18"/>
                <w:lang w:val="en-US"/>
              </w:rPr>
            </w:pPr>
            <w:r w:rsidRPr="00A42BFE">
              <w:rPr>
                <w:sz w:val="18"/>
                <w:szCs w:val="18"/>
                <w:lang w:val="en-US"/>
              </w:rPr>
              <w:t>Latin American and Caribbean States</w:t>
            </w:r>
          </w:p>
        </w:tc>
        <w:tc>
          <w:tcPr>
            <w:tcW w:w="3858" w:type="dxa"/>
          </w:tcPr>
          <w:p w14:paraId="2F289F2C" w14:textId="30AF9000" w:rsidR="00A42BFE" w:rsidRPr="00A42BFE" w:rsidRDefault="00A42BFE" w:rsidP="00A42BFE">
            <w:pPr>
              <w:spacing w:line="278" w:lineRule="auto"/>
              <w:rPr>
                <w:sz w:val="18"/>
                <w:szCs w:val="18"/>
                <w:lang w:val="es-ES"/>
              </w:rPr>
            </w:pPr>
            <w:r w:rsidRPr="00A42BFE">
              <w:rPr>
                <w:sz w:val="18"/>
                <w:szCs w:val="18"/>
                <w:lang w:val="es-ES"/>
              </w:rPr>
              <w:t>Estados de América Latina y el Caribe</w:t>
            </w:r>
          </w:p>
        </w:tc>
      </w:tr>
      <w:tr w:rsidR="00A42BFE" w:rsidRPr="00A42BFE" w14:paraId="74928D0D" w14:textId="77777777" w:rsidTr="00A42BFE">
        <w:tc>
          <w:tcPr>
            <w:tcW w:w="5459" w:type="dxa"/>
          </w:tcPr>
          <w:p w14:paraId="62AF5C74" w14:textId="77777777" w:rsidR="00A42BFE" w:rsidRPr="00A42BFE" w:rsidRDefault="00A42BFE" w:rsidP="00A42BFE">
            <w:pPr>
              <w:spacing w:line="278" w:lineRule="auto"/>
              <w:rPr>
                <w:sz w:val="18"/>
                <w:szCs w:val="18"/>
                <w:lang w:val="es-ES"/>
              </w:rPr>
            </w:pPr>
            <w:r w:rsidRPr="00A42BFE">
              <w:rPr>
                <w:sz w:val="18"/>
                <w:szCs w:val="18"/>
                <w:lang w:val="es-ES"/>
              </w:rPr>
              <w:t xml:space="preserve"> Eastern European States</w:t>
            </w:r>
          </w:p>
        </w:tc>
        <w:tc>
          <w:tcPr>
            <w:tcW w:w="3858" w:type="dxa"/>
          </w:tcPr>
          <w:p w14:paraId="7C7AC3A0" w14:textId="5A340FB0" w:rsidR="00A42BFE" w:rsidRPr="00A42BFE" w:rsidRDefault="00A42BFE" w:rsidP="00A42BFE">
            <w:pPr>
              <w:spacing w:line="278" w:lineRule="auto"/>
              <w:rPr>
                <w:sz w:val="18"/>
                <w:szCs w:val="18"/>
                <w:lang w:val="es-ES"/>
              </w:rPr>
            </w:pPr>
            <w:r w:rsidRPr="00A42BFE">
              <w:rPr>
                <w:sz w:val="18"/>
                <w:szCs w:val="18"/>
                <w:lang w:val="es-ES"/>
              </w:rPr>
              <w:t>Estados de Europa Oriental</w:t>
            </w:r>
          </w:p>
        </w:tc>
      </w:tr>
      <w:tr w:rsidR="00A42BFE" w:rsidRPr="00A42BFE" w14:paraId="05432DF3" w14:textId="77777777" w:rsidTr="00A42BFE">
        <w:tc>
          <w:tcPr>
            <w:tcW w:w="5459" w:type="dxa"/>
          </w:tcPr>
          <w:p w14:paraId="353A301F" w14:textId="77777777" w:rsidR="00A42BFE" w:rsidRPr="00A42BFE" w:rsidRDefault="00A42BFE" w:rsidP="00A42BFE">
            <w:pPr>
              <w:spacing w:line="278" w:lineRule="auto"/>
              <w:rPr>
                <w:sz w:val="18"/>
                <w:szCs w:val="18"/>
                <w:lang w:val="en-US"/>
              </w:rPr>
            </w:pPr>
            <w:r w:rsidRPr="00A42BFE">
              <w:rPr>
                <w:sz w:val="18"/>
                <w:szCs w:val="18"/>
                <w:lang w:val="en-US"/>
              </w:rPr>
              <w:t xml:space="preserve">Western European and </w:t>
            </w:r>
            <w:proofErr w:type="gramStart"/>
            <w:r w:rsidRPr="00A42BFE">
              <w:rPr>
                <w:sz w:val="18"/>
                <w:szCs w:val="18"/>
                <w:lang w:val="en-US"/>
              </w:rPr>
              <w:t>other  States</w:t>
            </w:r>
            <w:proofErr w:type="gramEnd"/>
          </w:p>
        </w:tc>
        <w:tc>
          <w:tcPr>
            <w:tcW w:w="3858" w:type="dxa"/>
          </w:tcPr>
          <w:p w14:paraId="1454ED9B" w14:textId="1A4ABBEA" w:rsidR="00A42BFE" w:rsidRPr="00A42BFE" w:rsidRDefault="00A42BFE" w:rsidP="00A42BFE">
            <w:pPr>
              <w:spacing w:line="278" w:lineRule="auto"/>
              <w:rPr>
                <w:sz w:val="18"/>
                <w:szCs w:val="18"/>
                <w:lang w:val="es-ES"/>
              </w:rPr>
            </w:pPr>
            <w:r w:rsidRPr="00A42BFE">
              <w:rPr>
                <w:sz w:val="18"/>
                <w:szCs w:val="18"/>
                <w:lang w:val="es-ES"/>
              </w:rPr>
              <w:t>Estados de Europa Occidental y otros Estados</w:t>
            </w:r>
          </w:p>
        </w:tc>
      </w:tr>
    </w:tbl>
    <w:p w14:paraId="6F4C45CC"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5C1E84B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384"/>
    </w:p>
    <w:p w14:paraId="19D73A94" w14:textId="77777777" w:rsidR="009713BF" w:rsidRPr="005E3D50" w:rsidRDefault="009713BF" w:rsidP="009713BF">
      <w:pPr>
        <w:spacing w:after="200" w:line="240" w:lineRule="auto"/>
        <w:rPr>
          <w:rFonts w:eastAsiaTheme="minorEastAsia"/>
          <w:color w:val="0E2841" w:themeColor="text2"/>
          <w:kern w:val="0"/>
          <w:lang w:val="es-ES" w:eastAsia="ja-JP"/>
          <w14:ligatures w14:val="none"/>
        </w:rPr>
      </w:pPr>
    </w:p>
    <w:p w14:paraId="70EEF32A" w14:textId="77777777" w:rsidR="009713BF" w:rsidRPr="005E3D50" w:rsidRDefault="009713BF" w:rsidP="009713BF">
      <w:pPr>
        <w:spacing w:after="200" w:line="240" w:lineRule="auto"/>
        <w:rPr>
          <w:rFonts w:eastAsiaTheme="minorEastAsia"/>
          <w:color w:val="0E2841" w:themeColor="text2"/>
          <w:kern w:val="0"/>
          <w:lang w:val="es-ES" w:eastAsia="ja-JP"/>
          <w14:ligatures w14:val="none"/>
        </w:rPr>
      </w:pPr>
      <w:r w:rsidRPr="005E3D50">
        <w:rPr>
          <w:rFonts w:eastAsiaTheme="minorEastAsia"/>
          <w:iCs/>
          <w:color w:val="0E2841" w:themeColor="text2"/>
          <w:kern w:val="0"/>
          <w:szCs w:val="18"/>
          <w:lang w:val="es-ES" w:eastAsia="ja-JP"/>
          <w14:ligatures w14:val="none"/>
        </w:rPr>
        <w:t>Según las autoevaluaciones realizadas por las Partes en sus informes nacionales, el 38 % de las metas nacionales presentadas como estrechamente armonizadas con la meta 14 están en vías de alcanzarse, frente a un número mucho mayor (58 %) que no muestran cambios significativos o bien muestran progresos insuficientes, y solo se informa de dos metas nacionales (0,4 %) que se alcanzaron (véase la figura 62).</w:t>
      </w:r>
    </w:p>
    <w:p w14:paraId="19F38354"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2E01E4BD" w14:textId="77777777" w:rsidR="009713BF" w:rsidRPr="005E3D50" w:rsidRDefault="009713BF" w:rsidP="009713BF">
      <w:pPr>
        <w:keepNext/>
        <w:keepLines/>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62</w:t>
      </w:r>
    </w:p>
    <w:p w14:paraId="19B0FB7B" w14:textId="77777777" w:rsidR="009713BF" w:rsidRPr="005E3D50" w:rsidRDefault="009713BF" w:rsidP="009713BF">
      <w:pPr>
        <w:keepNext/>
        <w:keepLines/>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14 del Marco </w:t>
      </w:r>
    </w:p>
    <w:p w14:paraId="35AC68D6" w14:textId="77777777" w:rsidR="009713BF" w:rsidRPr="005E3D50" w:rsidRDefault="009713BF" w:rsidP="009713BF">
      <w:pPr>
        <w:rPr>
          <w:lang w:val="es-ES" w:eastAsia="ja-JP"/>
        </w:rPr>
      </w:pPr>
    </w:p>
    <w:p w14:paraId="323EBAB3"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 </w:t>
      </w:r>
      <w:bookmarkStart w:id="385" w:name="_Ref231326941"/>
      <w:r w:rsidRPr="005E3D50">
        <w:rPr>
          <w:rFonts w:ascii="Aptos" w:eastAsiaTheme="minorEastAsia" w:hAnsi="Aptos"/>
          <w:i/>
          <w:iCs/>
          <w:noProof/>
          <w:color w:val="0E2841" w:themeColor="text2"/>
          <w:kern w:val="0"/>
          <w:sz w:val="18"/>
          <w:szCs w:val="18"/>
          <w:lang w:val="en-US"/>
          <w14:ligatures w14:val="none"/>
        </w:rPr>
        <w:drawing>
          <wp:inline distT="0" distB="0" distL="0" distR="0" wp14:anchorId="1F48AABE" wp14:editId="41CB07D3">
            <wp:extent cx="5731510" cy="2292350"/>
            <wp:effectExtent l="0" t="0" r="0" b="6350"/>
            <wp:docPr id="38552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23063" name="Picture 385523063"/>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B8D4084"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bookmarkStart w:id="386" w:name="_Toc235821224"/>
      <w:bookmarkEnd w:id="385"/>
      <w:r w:rsidRPr="005E3D50">
        <w:rPr>
          <w:rFonts w:eastAsiaTheme="minorEastAsia"/>
          <w:i/>
          <w:iCs/>
          <w:color w:val="0E2841" w:themeColor="text2"/>
          <w:kern w:val="0"/>
          <w:sz w:val="18"/>
          <w:szCs w:val="18"/>
          <w:lang w:val="es-ES" w:eastAsia="ja-JP"/>
          <w14:ligatures w14:val="none"/>
        </w:rPr>
        <w:lastRenderedPageBreak/>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58" w:type="dxa"/>
        <w:tblLook w:val="04A0" w:firstRow="1" w:lastRow="0" w:firstColumn="1" w:lastColumn="0" w:noHBand="0" w:noVBand="1"/>
      </w:tblPr>
      <w:tblGrid>
        <w:gridCol w:w="5155"/>
        <w:gridCol w:w="4303"/>
      </w:tblGrid>
      <w:tr w:rsidR="006F3AB6" w:rsidRPr="006F3AB6" w14:paraId="39A15532" w14:textId="77777777" w:rsidTr="006F3AB6">
        <w:tc>
          <w:tcPr>
            <w:tcW w:w="9458" w:type="dxa"/>
            <w:gridSpan w:val="2"/>
          </w:tcPr>
          <w:p w14:paraId="3B86E35B" w14:textId="5F580955" w:rsidR="006F3AB6" w:rsidRPr="006F3AB6" w:rsidRDefault="006F3AB6" w:rsidP="006F3AB6">
            <w:pPr>
              <w:spacing w:line="278" w:lineRule="auto"/>
              <w:rPr>
                <w:sz w:val="18"/>
                <w:szCs w:val="18"/>
                <w:lang w:val="es-ES"/>
              </w:rPr>
            </w:pPr>
            <w:r w:rsidRPr="006F3AB6">
              <w:rPr>
                <w:sz w:val="18"/>
                <w:szCs w:val="18"/>
                <w:lang w:val="es-ES"/>
              </w:rPr>
              <w:t>Figura 62</w:t>
            </w:r>
          </w:p>
        </w:tc>
      </w:tr>
      <w:tr w:rsidR="006F3AB6" w:rsidRPr="006F3AB6" w14:paraId="4BDECDDA" w14:textId="77777777" w:rsidTr="006F3AB6">
        <w:tc>
          <w:tcPr>
            <w:tcW w:w="5155" w:type="dxa"/>
          </w:tcPr>
          <w:p w14:paraId="7D4E2BAA" w14:textId="19C86134" w:rsidR="006F3AB6" w:rsidRPr="006F3AB6" w:rsidRDefault="006F3AB6" w:rsidP="006F3AB6">
            <w:pPr>
              <w:spacing w:line="278" w:lineRule="auto"/>
              <w:rPr>
                <w:sz w:val="18"/>
                <w:szCs w:val="18"/>
                <w:lang w:val="es-ES"/>
              </w:rPr>
            </w:pPr>
            <w:r w:rsidRPr="006F3AB6">
              <w:rPr>
                <w:sz w:val="18"/>
                <w:szCs w:val="18"/>
                <w:lang w:val="es-ES"/>
              </w:rPr>
              <w:t>English</w:t>
            </w:r>
          </w:p>
        </w:tc>
        <w:tc>
          <w:tcPr>
            <w:tcW w:w="4302" w:type="dxa"/>
          </w:tcPr>
          <w:p w14:paraId="3AEE040E" w14:textId="55573CB3" w:rsidR="006F3AB6" w:rsidRPr="006F3AB6" w:rsidRDefault="006F3AB6" w:rsidP="006F3AB6">
            <w:pPr>
              <w:spacing w:line="278" w:lineRule="auto"/>
              <w:rPr>
                <w:sz w:val="18"/>
                <w:szCs w:val="18"/>
                <w:lang w:val="es-ES"/>
              </w:rPr>
            </w:pPr>
            <w:r w:rsidRPr="006F3AB6">
              <w:rPr>
                <w:sz w:val="18"/>
                <w:szCs w:val="18"/>
                <w:lang w:val="es-ES"/>
              </w:rPr>
              <w:t>Español</w:t>
            </w:r>
          </w:p>
        </w:tc>
      </w:tr>
      <w:tr w:rsidR="006F3AB6" w:rsidRPr="006F3AB6" w14:paraId="0038B3CB" w14:textId="77777777" w:rsidTr="006F3AB6">
        <w:tc>
          <w:tcPr>
            <w:tcW w:w="5155" w:type="dxa"/>
          </w:tcPr>
          <w:p w14:paraId="3D8C042E" w14:textId="77777777" w:rsidR="006F3AB6" w:rsidRPr="006F3AB6" w:rsidRDefault="006F3AB6" w:rsidP="006F3AB6">
            <w:pPr>
              <w:spacing w:line="278" w:lineRule="auto"/>
              <w:rPr>
                <w:sz w:val="18"/>
                <w:szCs w:val="18"/>
                <w:lang w:val="es-ES"/>
              </w:rPr>
            </w:pPr>
            <w:proofErr w:type="spellStart"/>
            <w:r w:rsidRPr="006F3AB6">
              <w:rPr>
                <w:sz w:val="18"/>
                <w:szCs w:val="18"/>
                <w:lang w:val="es-ES"/>
              </w:rPr>
              <w:t>Percentage</w:t>
            </w:r>
            <w:proofErr w:type="spellEnd"/>
            <w:r w:rsidRPr="006F3AB6">
              <w:rPr>
                <w:sz w:val="18"/>
                <w:szCs w:val="18"/>
                <w:lang w:val="es-ES"/>
              </w:rPr>
              <w:t xml:space="preserve"> of </w:t>
            </w:r>
            <w:proofErr w:type="spellStart"/>
            <w:r w:rsidRPr="006F3AB6">
              <w:rPr>
                <w:sz w:val="18"/>
                <w:szCs w:val="18"/>
                <w:lang w:val="es-ES"/>
              </w:rPr>
              <w:t>national</w:t>
            </w:r>
            <w:proofErr w:type="spellEnd"/>
            <w:r w:rsidRPr="006F3AB6">
              <w:rPr>
                <w:sz w:val="18"/>
                <w:szCs w:val="18"/>
                <w:lang w:val="es-ES"/>
              </w:rPr>
              <w:t xml:space="preserve"> targets</w:t>
            </w:r>
          </w:p>
        </w:tc>
        <w:tc>
          <w:tcPr>
            <w:tcW w:w="4302" w:type="dxa"/>
          </w:tcPr>
          <w:p w14:paraId="3F892656" w14:textId="1A95BFBA" w:rsidR="006F3AB6" w:rsidRPr="006F3AB6" w:rsidRDefault="006F3AB6" w:rsidP="006F3AB6">
            <w:pPr>
              <w:spacing w:line="278" w:lineRule="auto"/>
              <w:rPr>
                <w:sz w:val="18"/>
                <w:szCs w:val="18"/>
                <w:lang w:val="es-ES"/>
              </w:rPr>
            </w:pPr>
            <w:r w:rsidRPr="006F3AB6">
              <w:rPr>
                <w:sz w:val="18"/>
                <w:szCs w:val="18"/>
                <w:lang w:val="es-ES"/>
              </w:rPr>
              <w:t>Porcentaje de metas nacionales</w:t>
            </w:r>
          </w:p>
        </w:tc>
      </w:tr>
      <w:tr w:rsidR="006F3AB6" w:rsidRPr="006F3AB6" w14:paraId="2A531AD6" w14:textId="77777777" w:rsidTr="006F3AB6">
        <w:tc>
          <w:tcPr>
            <w:tcW w:w="5155" w:type="dxa"/>
          </w:tcPr>
          <w:p w14:paraId="1A562ED7" w14:textId="77777777" w:rsidR="006F3AB6" w:rsidRPr="006F3AB6" w:rsidRDefault="006F3AB6" w:rsidP="006F3AB6">
            <w:pPr>
              <w:spacing w:line="278" w:lineRule="auto"/>
              <w:rPr>
                <w:sz w:val="18"/>
                <w:szCs w:val="18"/>
                <w:lang w:val="es-ES"/>
              </w:rPr>
            </w:pPr>
            <w:proofErr w:type="spellStart"/>
            <w:r w:rsidRPr="006F3AB6">
              <w:rPr>
                <w:sz w:val="18"/>
                <w:szCs w:val="18"/>
                <w:lang w:val="es-ES"/>
              </w:rPr>
              <w:t>Progress</w:t>
            </w:r>
            <w:proofErr w:type="spellEnd"/>
            <w:r w:rsidRPr="006F3AB6">
              <w:rPr>
                <w:sz w:val="18"/>
                <w:szCs w:val="18"/>
                <w:lang w:val="es-ES"/>
              </w:rPr>
              <w:t xml:space="preserve"> Level</w:t>
            </w:r>
          </w:p>
        </w:tc>
        <w:tc>
          <w:tcPr>
            <w:tcW w:w="4302" w:type="dxa"/>
          </w:tcPr>
          <w:p w14:paraId="774FBB81" w14:textId="7DE8FCB6" w:rsidR="006F3AB6" w:rsidRPr="006F3AB6" w:rsidRDefault="006F3AB6" w:rsidP="006F3AB6">
            <w:pPr>
              <w:spacing w:line="278" w:lineRule="auto"/>
              <w:rPr>
                <w:sz w:val="18"/>
                <w:szCs w:val="18"/>
                <w:lang w:val="es-ES"/>
              </w:rPr>
            </w:pPr>
            <w:r w:rsidRPr="006F3AB6">
              <w:rPr>
                <w:sz w:val="18"/>
                <w:szCs w:val="18"/>
                <w:lang w:val="es-ES"/>
              </w:rPr>
              <w:t>Nivel de progreso</w:t>
            </w:r>
          </w:p>
        </w:tc>
      </w:tr>
      <w:tr w:rsidR="006F3AB6" w:rsidRPr="006F3AB6" w14:paraId="369C7E53" w14:textId="77777777" w:rsidTr="006F3AB6">
        <w:tc>
          <w:tcPr>
            <w:tcW w:w="5155" w:type="dxa"/>
          </w:tcPr>
          <w:p w14:paraId="51393FC2" w14:textId="77777777" w:rsidR="006F3AB6" w:rsidRPr="006F3AB6" w:rsidRDefault="006F3AB6" w:rsidP="006F3AB6">
            <w:pPr>
              <w:spacing w:line="278" w:lineRule="auto"/>
              <w:rPr>
                <w:sz w:val="18"/>
                <w:szCs w:val="18"/>
                <w:lang w:val="es-ES"/>
              </w:rPr>
            </w:pPr>
            <w:proofErr w:type="spellStart"/>
            <w:r w:rsidRPr="006F3AB6">
              <w:rPr>
                <w:sz w:val="18"/>
                <w:szCs w:val="18"/>
                <w:lang w:val="es-ES"/>
              </w:rPr>
              <w:t>Achieved</w:t>
            </w:r>
            <w:proofErr w:type="spellEnd"/>
          </w:p>
        </w:tc>
        <w:tc>
          <w:tcPr>
            <w:tcW w:w="4302" w:type="dxa"/>
          </w:tcPr>
          <w:p w14:paraId="1C4FE246" w14:textId="6E33D085" w:rsidR="006F3AB6" w:rsidRPr="006F3AB6" w:rsidRDefault="006F3AB6" w:rsidP="006F3AB6">
            <w:pPr>
              <w:spacing w:line="278" w:lineRule="auto"/>
              <w:rPr>
                <w:sz w:val="18"/>
                <w:szCs w:val="18"/>
                <w:lang w:val="es-ES"/>
              </w:rPr>
            </w:pPr>
            <w:r w:rsidRPr="006F3AB6">
              <w:rPr>
                <w:sz w:val="18"/>
                <w:szCs w:val="18"/>
                <w:lang w:val="es-ES"/>
              </w:rPr>
              <w:t>Alcanzada</w:t>
            </w:r>
          </w:p>
        </w:tc>
      </w:tr>
      <w:tr w:rsidR="006F3AB6" w:rsidRPr="006F3AB6" w14:paraId="09E21386" w14:textId="77777777" w:rsidTr="006F3AB6">
        <w:tc>
          <w:tcPr>
            <w:tcW w:w="5155" w:type="dxa"/>
          </w:tcPr>
          <w:p w14:paraId="2CA6FE3C" w14:textId="77777777" w:rsidR="006F3AB6" w:rsidRPr="006F3AB6" w:rsidRDefault="006F3AB6" w:rsidP="006F3AB6">
            <w:pPr>
              <w:spacing w:line="278" w:lineRule="auto"/>
              <w:rPr>
                <w:sz w:val="18"/>
                <w:szCs w:val="18"/>
                <w:lang w:val="en-US"/>
              </w:rPr>
            </w:pPr>
            <w:r w:rsidRPr="006F3AB6">
              <w:rPr>
                <w:sz w:val="18"/>
                <w:szCs w:val="18"/>
                <w:lang w:val="en-US"/>
              </w:rPr>
              <w:t>On track to achieve target</w:t>
            </w:r>
          </w:p>
        </w:tc>
        <w:tc>
          <w:tcPr>
            <w:tcW w:w="4302" w:type="dxa"/>
          </w:tcPr>
          <w:p w14:paraId="1D741399" w14:textId="54D368A4" w:rsidR="006F3AB6" w:rsidRPr="006F3AB6" w:rsidRDefault="006F3AB6" w:rsidP="006F3AB6">
            <w:pPr>
              <w:spacing w:line="278" w:lineRule="auto"/>
              <w:rPr>
                <w:sz w:val="18"/>
                <w:szCs w:val="18"/>
                <w:lang w:val="es-ES"/>
              </w:rPr>
            </w:pPr>
            <w:r w:rsidRPr="006F3AB6">
              <w:rPr>
                <w:sz w:val="18"/>
                <w:szCs w:val="18"/>
                <w:lang w:val="es-ES"/>
              </w:rPr>
              <w:t>En vías de alcanzar la meta</w:t>
            </w:r>
          </w:p>
        </w:tc>
      </w:tr>
      <w:tr w:rsidR="006F3AB6" w:rsidRPr="006F3AB6" w14:paraId="24775519" w14:textId="77777777" w:rsidTr="006F3AB6">
        <w:tc>
          <w:tcPr>
            <w:tcW w:w="5155" w:type="dxa"/>
          </w:tcPr>
          <w:p w14:paraId="4113A856" w14:textId="77777777" w:rsidR="006F3AB6" w:rsidRPr="006F3AB6" w:rsidRDefault="006F3AB6" w:rsidP="006F3AB6">
            <w:pPr>
              <w:spacing w:line="278" w:lineRule="auto"/>
              <w:rPr>
                <w:sz w:val="18"/>
                <w:szCs w:val="18"/>
                <w:lang w:val="en-US"/>
              </w:rPr>
            </w:pPr>
            <w:r w:rsidRPr="006F3AB6">
              <w:rPr>
                <w:sz w:val="18"/>
                <w:szCs w:val="18"/>
                <w:lang w:val="en-US"/>
              </w:rPr>
              <w:t>Progress towards target but at an insufficient rate</w:t>
            </w:r>
          </w:p>
        </w:tc>
        <w:tc>
          <w:tcPr>
            <w:tcW w:w="4302" w:type="dxa"/>
          </w:tcPr>
          <w:p w14:paraId="2A2DCEF9" w14:textId="4D622BD3" w:rsidR="006F3AB6" w:rsidRPr="006F3AB6" w:rsidRDefault="006F3AB6" w:rsidP="006F3AB6">
            <w:pPr>
              <w:spacing w:line="278" w:lineRule="auto"/>
              <w:rPr>
                <w:sz w:val="18"/>
                <w:szCs w:val="18"/>
                <w:lang w:val="es-ES"/>
              </w:rPr>
            </w:pPr>
            <w:r w:rsidRPr="006F3AB6">
              <w:rPr>
                <w:sz w:val="18"/>
                <w:szCs w:val="18"/>
                <w:lang w:val="es-ES"/>
              </w:rPr>
              <w:t xml:space="preserve">Se ha progresado hacia la </w:t>
            </w:r>
            <w:proofErr w:type="gramStart"/>
            <w:r w:rsidRPr="006F3AB6">
              <w:rPr>
                <w:sz w:val="18"/>
                <w:szCs w:val="18"/>
                <w:lang w:val="es-ES"/>
              </w:rPr>
              <w:t>meta</w:t>
            </w:r>
            <w:proofErr w:type="gramEnd"/>
            <w:r w:rsidRPr="006F3AB6">
              <w:rPr>
                <w:sz w:val="18"/>
                <w:szCs w:val="18"/>
                <w:lang w:val="es-ES"/>
              </w:rPr>
              <w:t xml:space="preserve"> pero a un ritmo insuficiente</w:t>
            </w:r>
          </w:p>
        </w:tc>
      </w:tr>
      <w:tr w:rsidR="006F3AB6" w:rsidRPr="006F3AB6" w14:paraId="46EC12F2" w14:textId="77777777" w:rsidTr="006F3AB6">
        <w:tc>
          <w:tcPr>
            <w:tcW w:w="5155" w:type="dxa"/>
          </w:tcPr>
          <w:p w14:paraId="11086BB0" w14:textId="77777777" w:rsidR="006F3AB6" w:rsidRPr="006F3AB6" w:rsidRDefault="006F3AB6" w:rsidP="006F3AB6">
            <w:pPr>
              <w:spacing w:line="278" w:lineRule="auto"/>
              <w:rPr>
                <w:sz w:val="18"/>
                <w:szCs w:val="18"/>
                <w:lang w:val="es-ES"/>
              </w:rPr>
            </w:pPr>
            <w:r w:rsidRPr="006F3AB6">
              <w:rPr>
                <w:sz w:val="18"/>
                <w:szCs w:val="18"/>
                <w:lang w:val="es-ES"/>
              </w:rPr>
              <w:t xml:space="preserve">No </w:t>
            </w:r>
            <w:proofErr w:type="spellStart"/>
            <w:r w:rsidRPr="006F3AB6">
              <w:rPr>
                <w:sz w:val="18"/>
                <w:szCs w:val="18"/>
                <w:lang w:val="es-ES"/>
              </w:rPr>
              <w:t>significant</w:t>
            </w:r>
            <w:proofErr w:type="spellEnd"/>
            <w:r w:rsidRPr="006F3AB6">
              <w:rPr>
                <w:sz w:val="18"/>
                <w:szCs w:val="18"/>
                <w:lang w:val="es-ES"/>
              </w:rPr>
              <w:t xml:space="preserve"> </w:t>
            </w:r>
            <w:proofErr w:type="spellStart"/>
            <w:r w:rsidRPr="006F3AB6">
              <w:rPr>
                <w:sz w:val="18"/>
                <w:szCs w:val="18"/>
                <w:lang w:val="es-ES"/>
              </w:rPr>
              <w:t>change</w:t>
            </w:r>
            <w:proofErr w:type="spellEnd"/>
          </w:p>
        </w:tc>
        <w:tc>
          <w:tcPr>
            <w:tcW w:w="4302" w:type="dxa"/>
          </w:tcPr>
          <w:p w14:paraId="0B17FCFB" w14:textId="4A382C19" w:rsidR="006F3AB6" w:rsidRPr="006F3AB6" w:rsidRDefault="006F3AB6" w:rsidP="006F3AB6">
            <w:pPr>
              <w:spacing w:line="278" w:lineRule="auto"/>
              <w:rPr>
                <w:sz w:val="18"/>
                <w:szCs w:val="18"/>
                <w:lang w:val="es-ES"/>
              </w:rPr>
            </w:pPr>
            <w:r w:rsidRPr="006F3AB6">
              <w:rPr>
                <w:sz w:val="18"/>
                <w:szCs w:val="18"/>
                <w:lang w:val="es-ES"/>
              </w:rPr>
              <w:t>No hay cambios significativos</w:t>
            </w:r>
          </w:p>
        </w:tc>
      </w:tr>
      <w:tr w:rsidR="006F3AB6" w:rsidRPr="006F3AB6" w14:paraId="7BD27F92" w14:textId="77777777" w:rsidTr="006F3AB6">
        <w:tc>
          <w:tcPr>
            <w:tcW w:w="5155" w:type="dxa"/>
          </w:tcPr>
          <w:p w14:paraId="699FAA60" w14:textId="77777777" w:rsidR="006F3AB6" w:rsidRPr="006F3AB6" w:rsidRDefault="006F3AB6" w:rsidP="006F3AB6">
            <w:pPr>
              <w:spacing w:line="278" w:lineRule="auto"/>
              <w:rPr>
                <w:sz w:val="18"/>
                <w:szCs w:val="18"/>
                <w:lang w:val="es-ES"/>
              </w:rPr>
            </w:pPr>
            <w:r w:rsidRPr="006F3AB6">
              <w:rPr>
                <w:sz w:val="18"/>
                <w:szCs w:val="18"/>
                <w:lang w:val="es-ES"/>
              </w:rPr>
              <w:t>Unknown</w:t>
            </w:r>
          </w:p>
        </w:tc>
        <w:tc>
          <w:tcPr>
            <w:tcW w:w="4302" w:type="dxa"/>
          </w:tcPr>
          <w:p w14:paraId="2D580443" w14:textId="68008AE1" w:rsidR="006F3AB6" w:rsidRPr="006F3AB6" w:rsidRDefault="006F3AB6" w:rsidP="006F3AB6">
            <w:pPr>
              <w:spacing w:line="278" w:lineRule="auto"/>
              <w:rPr>
                <w:sz w:val="18"/>
                <w:szCs w:val="18"/>
                <w:lang w:val="es-ES"/>
              </w:rPr>
            </w:pPr>
            <w:r w:rsidRPr="006F3AB6">
              <w:rPr>
                <w:sz w:val="18"/>
                <w:szCs w:val="18"/>
                <w:lang w:val="es-ES"/>
              </w:rPr>
              <w:t>Se desconoce</w:t>
            </w:r>
          </w:p>
        </w:tc>
      </w:tr>
      <w:tr w:rsidR="006F3AB6" w:rsidRPr="006F3AB6" w14:paraId="584AFA7E" w14:textId="77777777" w:rsidTr="006F3AB6">
        <w:tc>
          <w:tcPr>
            <w:tcW w:w="5155" w:type="dxa"/>
          </w:tcPr>
          <w:p w14:paraId="5575036B" w14:textId="77777777" w:rsidR="006F3AB6" w:rsidRPr="006F3AB6" w:rsidRDefault="006F3AB6" w:rsidP="006F3AB6">
            <w:pPr>
              <w:spacing w:line="278" w:lineRule="auto"/>
              <w:rPr>
                <w:sz w:val="18"/>
                <w:szCs w:val="18"/>
                <w:lang w:val="es-ES"/>
              </w:rPr>
            </w:pPr>
            <w:r w:rsidRPr="006F3AB6">
              <w:rPr>
                <w:sz w:val="18"/>
                <w:szCs w:val="18"/>
                <w:lang w:val="es-ES"/>
              </w:rPr>
              <w:t xml:space="preserve">Party </w:t>
            </w:r>
            <w:proofErr w:type="spellStart"/>
            <w:r w:rsidRPr="006F3AB6">
              <w:rPr>
                <w:sz w:val="18"/>
                <w:szCs w:val="18"/>
                <w:lang w:val="es-ES"/>
              </w:rPr>
              <w:t>count</w:t>
            </w:r>
            <w:proofErr w:type="spellEnd"/>
            <w:r w:rsidRPr="006F3AB6">
              <w:rPr>
                <w:sz w:val="18"/>
                <w:szCs w:val="18"/>
                <w:lang w:val="es-ES"/>
              </w:rPr>
              <w:t>: 98</w:t>
            </w:r>
          </w:p>
        </w:tc>
        <w:tc>
          <w:tcPr>
            <w:tcW w:w="4302" w:type="dxa"/>
          </w:tcPr>
          <w:p w14:paraId="0510F19F" w14:textId="77DCC4BC" w:rsidR="006F3AB6" w:rsidRPr="006F3AB6" w:rsidRDefault="006F3AB6" w:rsidP="006F3AB6">
            <w:pPr>
              <w:spacing w:line="278" w:lineRule="auto"/>
              <w:rPr>
                <w:sz w:val="18"/>
                <w:szCs w:val="18"/>
                <w:lang w:val="es-ES"/>
              </w:rPr>
            </w:pPr>
            <w:r w:rsidRPr="006F3AB6">
              <w:rPr>
                <w:sz w:val="18"/>
                <w:szCs w:val="18"/>
                <w:lang w:val="es-ES"/>
              </w:rPr>
              <w:t>Número de Partes: 98</w:t>
            </w:r>
          </w:p>
        </w:tc>
      </w:tr>
      <w:tr w:rsidR="006F3AB6" w:rsidRPr="006F3AB6" w14:paraId="54FB6666" w14:textId="77777777" w:rsidTr="006F3AB6">
        <w:tc>
          <w:tcPr>
            <w:tcW w:w="5155" w:type="dxa"/>
          </w:tcPr>
          <w:p w14:paraId="4F788A9D" w14:textId="77777777" w:rsidR="006F3AB6" w:rsidRPr="006F3AB6" w:rsidRDefault="006F3AB6" w:rsidP="006F3AB6">
            <w:pPr>
              <w:spacing w:line="278" w:lineRule="auto"/>
              <w:rPr>
                <w:sz w:val="18"/>
                <w:szCs w:val="18"/>
                <w:lang w:val="es-ES"/>
              </w:rPr>
            </w:pPr>
            <w:proofErr w:type="spellStart"/>
            <w:r w:rsidRPr="006F3AB6">
              <w:rPr>
                <w:sz w:val="18"/>
                <w:szCs w:val="18"/>
                <w:lang w:val="es-ES"/>
              </w:rPr>
              <w:t>Region</w:t>
            </w:r>
            <w:proofErr w:type="spellEnd"/>
          </w:p>
        </w:tc>
        <w:tc>
          <w:tcPr>
            <w:tcW w:w="4302" w:type="dxa"/>
          </w:tcPr>
          <w:p w14:paraId="5E6A96E1" w14:textId="6B7448D2" w:rsidR="006F3AB6" w:rsidRPr="006F3AB6" w:rsidRDefault="006F3AB6" w:rsidP="006F3AB6">
            <w:pPr>
              <w:spacing w:line="278" w:lineRule="auto"/>
              <w:rPr>
                <w:sz w:val="18"/>
                <w:szCs w:val="18"/>
                <w:lang w:val="es-ES"/>
              </w:rPr>
            </w:pPr>
            <w:r w:rsidRPr="006F3AB6">
              <w:rPr>
                <w:sz w:val="18"/>
                <w:szCs w:val="18"/>
                <w:lang w:val="es-ES"/>
              </w:rPr>
              <w:t>Región</w:t>
            </w:r>
          </w:p>
        </w:tc>
      </w:tr>
      <w:tr w:rsidR="006F3AB6" w:rsidRPr="006F3AB6" w14:paraId="2C27B010" w14:textId="77777777" w:rsidTr="006F3AB6">
        <w:tc>
          <w:tcPr>
            <w:tcW w:w="5155" w:type="dxa"/>
          </w:tcPr>
          <w:p w14:paraId="4B94395C" w14:textId="77777777" w:rsidR="006F3AB6" w:rsidRPr="006F3AB6" w:rsidRDefault="006F3AB6" w:rsidP="006F3AB6">
            <w:pPr>
              <w:spacing w:line="278" w:lineRule="auto"/>
              <w:rPr>
                <w:sz w:val="18"/>
                <w:szCs w:val="18"/>
                <w:lang w:val="es-ES"/>
              </w:rPr>
            </w:pPr>
            <w:r w:rsidRPr="006F3AB6">
              <w:rPr>
                <w:sz w:val="18"/>
                <w:szCs w:val="18"/>
                <w:lang w:val="es-ES"/>
              </w:rPr>
              <w:t>African States</w:t>
            </w:r>
          </w:p>
        </w:tc>
        <w:tc>
          <w:tcPr>
            <w:tcW w:w="4302" w:type="dxa"/>
          </w:tcPr>
          <w:p w14:paraId="10696441" w14:textId="671A891D" w:rsidR="006F3AB6" w:rsidRPr="006F3AB6" w:rsidRDefault="006F3AB6" w:rsidP="006F3AB6">
            <w:pPr>
              <w:spacing w:line="278" w:lineRule="auto"/>
              <w:rPr>
                <w:sz w:val="18"/>
                <w:szCs w:val="18"/>
                <w:lang w:val="es-ES"/>
              </w:rPr>
            </w:pPr>
            <w:r w:rsidRPr="006F3AB6">
              <w:rPr>
                <w:sz w:val="18"/>
                <w:szCs w:val="18"/>
                <w:lang w:val="es-ES"/>
              </w:rPr>
              <w:t>Estados de África</w:t>
            </w:r>
          </w:p>
        </w:tc>
      </w:tr>
      <w:tr w:rsidR="006F3AB6" w:rsidRPr="006F3AB6" w14:paraId="3BA8AFD5" w14:textId="77777777" w:rsidTr="006F3AB6">
        <w:tc>
          <w:tcPr>
            <w:tcW w:w="5155" w:type="dxa"/>
          </w:tcPr>
          <w:p w14:paraId="099A2FA8" w14:textId="77777777" w:rsidR="006F3AB6" w:rsidRPr="006F3AB6" w:rsidRDefault="006F3AB6" w:rsidP="006F3AB6">
            <w:pPr>
              <w:spacing w:line="278" w:lineRule="auto"/>
              <w:rPr>
                <w:sz w:val="18"/>
                <w:szCs w:val="18"/>
                <w:lang w:val="es-ES"/>
              </w:rPr>
            </w:pPr>
            <w:r w:rsidRPr="006F3AB6">
              <w:rPr>
                <w:sz w:val="18"/>
                <w:szCs w:val="18"/>
                <w:lang w:val="es-ES"/>
              </w:rPr>
              <w:t>Asia-Pacific States</w:t>
            </w:r>
          </w:p>
        </w:tc>
        <w:tc>
          <w:tcPr>
            <w:tcW w:w="4302" w:type="dxa"/>
          </w:tcPr>
          <w:p w14:paraId="7B22EB56" w14:textId="000AFBE0" w:rsidR="006F3AB6" w:rsidRPr="006F3AB6" w:rsidRDefault="006F3AB6" w:rsidP="006F3AB6">
            <w:pPr>
              <w:spacing w:line="278" w:lineRule="auto"/>
              <w:rPr>
                <w:sz w:val="18"/>
                <w:szCs w:val="18"/>
                <w:lang w:val="es-ES"/>
              </w:rPr>
            </w:pPr>
            <w:r w:rsidRPr="006F3AB6">
              <w:rPr>
                <w:sz w:val="18"/>
                <w:szCs w:val="18"/>
                <w:lang w:val="es-ES"/>
              </w:rPr>
              <w:t>Estados de Asia y el Pacífico</w:t>
            </w:r>
          </w:p>
        </w:tc>
      </w:tr>
      <w:tr w:rsidR="006F3AB6" w:rsidRPr="006F3AB6" w14:paraId="375861DB" w14:textId="77777777" w:rsidTr="006F3AB6">
        <w:tc>
          <w:tcPr>
            <w:tcW w:w="5155" w:type="dxa"/>
          </w:tcPr>
          <w:p w14:paraId="516E5658" w14:textId="77777777" w:rsidR="006F3AB6" w:rsidRPr="006F3AB6" w:rsidRDefault="006F3AB6" w:rsidP="006F3AB6">
            <w:pPr>
              <w:spacing w:line="278" w:lineRule="auto"/>
              <w:rPr>
                <w:sz w:val="18"/>
                <w:szCs w:val="18"/>
                <w:lang w:val="en-US"/>
              </w:rPr>
            </w:pPr>
            <w:r w:rsidRPr="006F3AB6">
              <w:rPr>
                <w:sz w:val="18"/>
                <w:szCs w:val="18"/>
                <w:lang w:val="en-US"/>
              </w:rPr>
              <w:t>Latin American and Caribbean States</w:t>
            </w:r>
          </w:p>
        </w:tc>
        <w:tc>
          <w:tcPr>
            <w:tcW w:w="4302" w:type="dxa"/>
          </w:tcPr>
          <w:p w14:paraId="10F35140" w14:textId="406D67CA" w:rsidR="006F3AB6" w:rsidRPr="006F3AB6" w:rsidRDefault="006F3AB6" w:rsidP="006F3AB6">
            <w:pPr>
              <w:spacing w:line="278" w:lineRule="auto"/>
              <w:rPr>
                <w:sz w:val="18"/>
                <w:szCs w:val="18"/>
                <w:lang w:val="es-ES"/>
              </w:rPr>
            </w:pPr>
            <w:r w:rsidRPr="006F3AB6">
              <w:rPr>
                <w:sz w:val="18"/>
                <w:szCs w:val="18"/>
                <w:lang w:val="es-ES"/>
              </w:rPr>
              <w:t>Estados de América Latina y el Caribe</w:t>
            </w:r>
          </w:p>
        </w:tc>
      </w:tr>
      <w:tr w:rsidR="006F3AB6" w:rsidRPr="006F3AB6" w14:paraId="1B2965B2" w14:textId="77777777" w:rsidTr="006F3AB6">
        <w:tc>
          <w:tcPr>
            <w:tcW w:w="5155" w:type="dxa"/>
          </w:tcPr>
          <w:p w14:paraId="54AECEEC" w14:textId="77777777" w:rsidR="006F3AB6" w:rsidRPr="006F3AB6" w:rsidRDefault="006F3AB6" w:rsidP="006F3AB6">
            <w:pPr>
              <w:spacing w:line="278" w:lineRule="auto"/>
              <w:rPr>
                <w:sz w:val="18"/>
                <w:szCs w:val="18"/>
                <w:lang w:val="es-ES"/>
              </w:rPr>
            </w:pPr>
            <w:r w:rsidRPr="006F3AB6">
              <w:rPr>
                <w:sz w:val="18"/>
                <w:szCs w:val="18"/>
                <w:lang w:val="es-ES"/>
              </w:rPr>
              <w:t xml:space="preserve"> Eastern European States</w:t>
            </w:r>
          </w:p>
        </w:tc>
        <w:tc>
          <w:tcPr>
            <w:tcW w:w="4302" w:type="dxa"/>
          </w:tcPr>
          <w:p w14:paraId="51450EB2" w14:textId="403378B1" w:rsidR="006F3AB6" w:rsidRPr="006F3AB6" w:rsidRDefault="006F3AB6" w:rsidP="006F3AB6">
            <w:pPr>
              <w:spacing w:line="278" w:lineRule="auto"/>
              <w:rPr>
                <w:sz w:val="18"/>
                <w:szCs w:val="18"/>
                <w:lang w:val="es-ES"/>
              </w:rPr>
            </w:pPr>
            <w:r w:rsidRPr="006F3AB6">
              <w:rPr>
                <w:sz w:val="18"/>
                <w:szCs w:val="18"/>
                <w:lang w:val="es-ES"/>
              </w:rPr>
              <w:t>Estados de Europa Oriental</w:t>
            </w:r>
          </w:p>
        </w:tc>
      </w:tr>
      <w:tr w:rsidR="006F3AB6" w:rsidRPr="006F3AB6" w14:paraId="4790AE1F" w14:textId="77777777" w:rsidTr="006F3AB6">
        <w:tc>
          <w:tcPr>
            <w:tcW w:w="5155" w:type="dxa"/>
          </w:tcPr>
          <w:p w14:paraId="1E2F0DEC" w14:textId="77777777" w:rsidR="006F3AB6" w:rsidRPr="006F3AB6" w:rsidRDefault="006F3AB6" w:rsidP="006F3AB6">
            <w:pPr>
              <w:spacing w:line="278" w:lineRule="auto"/>
              <w:rPr>
                <w:sz w:val="18"/>
                <w:szCs w:val="18"/>
                <w:lang w:val="en-US"/>
              </w:rPr>
            </w:pPr>
            <w:r w:rsidRPr="006F3AB6">
              <w:rPr>
                <w:sz w:val="18"/>
                <w:szCs w:val="18"/>
                <w:lang w:val="en-US"/>
              </w:rPr>
              <w:t>Western European and other States</w:t>
            </w:r>
          </w:p>
        </w:tc>
        <w:tc>
          <w:tcPr>
            <w:tcW w:w="4302" w:type="dxa"/>
          </w:tcPr>
          <w:p w14:paraId="0E35C950" w14:textId="11A9EA48" w:rsidR="006F3AB6" w:rsidRPr="006F3AB6" w:rsidRDefault="006F3AB6" w:rsidP="006F3AB6">
            <w:pPr>
              <w:spacing w:line="278" w:lineRule="auto"/>
              <w:rPr>
                <w:sz w:val="18"/>
                <w:szCs w:val="18"/>
                <w:lang w:val="es-ES"/>
              </w:rPr>
            </w:pPr>
            <w:r w:rsidRPr="006F3AB6">
              <w:rPr>
                <w:sz w:val="18"/>
                <w:szCs w:val="18"/>
                <w:lang w:val="es-ES"/>
              </w:rPr>
              <w:t>Estados de Europa Occidental y otros Estados</w:t>
            </w:r>
          </w:p>
        </w:tc>
      </w:tr>
    </w:tbl>
    <w:p w14:paraId="51B6BAF6" w14:textId="77777777" w:rsidR="006F3AB6" w:rsidRPr="005E3D50" w:rsidRDefault="006F3AB6" w:rsidP="009713BF">
      <w:pPr>
        <w:spacing w:after="200" w:line="240" w:lineRule="auto"/>
        <w:rPr>
          <w:rFonts w:eastAsiaTheme="minorEastAsia"/>
          <w:color w:val="0E2841" w:themeColor="text2"/>
          <w:kern w:val="0"/>
          <w:sz w:val="18"/>
          <w:szCs w:val="18"/>
          <w:lang w:val="es-ES" w:eastAsia="ja-JP"/>
          <w14:ligatures w14:val="none"/>
        </w:rPr>
      </w:pPr>
    </w:p>
    <w:p w14:paraId="64F0D979" w14:textId="77777777" w:rsidR="009713BF" w:rsidRPr="005E3D50" w:rsidRDefault="009713BF" w:rsidP="009713BF">
      <w:pPr>
        <w:keepNext/>
        <w:keepLines/>
        <w:spacing w:before="80" w:after="40"/>
        <w:outlineLvl w:val="4"/>
        <w:rPr>
          <w:rFonts w:ascii="Aptos" w:eastAsiaTheme="majorEastAsia" w:hAnsi="Aptos" w:cs="Segoe UI"/>
          <w:color w:val="0F4761" w:themeColor="accent1" w:themeShade="BF"/>
          <w:lang w:val="es-ES"/>
        </w:rPr>
      </w:pPr>
    </w:p>
    <w:p w14:paraId="06D3E8C7"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Medidas, logros y dificultades </w:t>
      </w:r>
      <w:bookmarkEnd w:id="386"/>
      <w:r w:rsidRPr="005E3D50">
        <w:rPr>
          <w:rFonts w:eastAsiaTheme="majorEastAsia" w:cstheme="majorBidi"/>
          <w:color w:val="0F4761" w:themeColor="accent1" w:themeShade="BF"/>
          <w:lang w:val="es-ES"/>
        </w:rPr>
        <w:t>en la implementación</w:t>
      </w:r>
    </w:p>
    <w:p w14:paraId="0A95CA67" w14:textId="77777777" w:rsidR="009713BF" w:rsidRPr="005E3D50" w:rsidRDefault="009713BF" w:rsidP="009713BF">
      <w:pPr>
        <w:rPr>
          <w:lang w:val="es-ES"/>
        </w:rPr>
      </w:pPr>
    </w:p>
    <w:p w14:paraId="2F82760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87" w:name="_Toc235821225"/>
      <w:r w:rsidRPr="005E3D50">
        <w:rPr>
          <w:rFonts w:eastAsiaTheme="majorEastAsia" w:cstheme="majorBidi"/>
          <w:i/>
          <w:iCs/>
          <w:color w:val="595959" w:themeColor="text1" w:themeTint="A6"/>
          <w:lang w:val="es-ES"/>
        </w:rPr>
        <w:t>Resumen de medidas en apoyo a la meta 14</w:t>
      </w:r>
      <w:bookmarkEnd w:id="387"/>
      <w:r w:rsidRPr="005E3D50">
        <w:rPr>
          <w:rFonts w:eastAsiaTheme="majorEastAsia" w:cstheme="majorBidi"/>
          <w:i/>
          <w:iCs/>
          <w:color w:val="595959" w:themeColor="text1" w:themeTint="A6"/>
          <w:lang w:val="es-ES"/>
        </w:rPr>
        <w:t xml:space="preserve"> del Marco</w:t>
      </w:r>
    </w:p>
    <w:p w14:paraId="3AF7F078" w14:textId="77777777" w:rsidR="009713BF" w:rsidRPr="005E3D50" w:rsidRDefault="009713BF" w:rsidP="009713BF">
      <w:pPr>
        <w:rPr>
          <w:lang w:val="es-ES"/>
        </w:rPr>
      </w:pPr>
    </w:p>
    <w:p w14:paraId="54D10F53" w14:textId="77777777" w:rsidR="009713BF" w:rsidRPr="005E3D50" w:rsidRDefault="009713BF" w:rsidP="009713BF">
      <w:pPr>
        <w:rPr>
          <w:lang w:val="es-ES"/>
        </w:rPr>
      </w:pPr>
      <w:r w:rsidRPr="005E3D50">
        <w:rPr>
          <w:lang w:val="es-ES"/>
        </w:rPr>
        <w:t xml:space="preserve">Las medidas jurídicas y normativas son el tipo de medidas en apoyo a la meta 14 que más se informa que se adoptaron. Algunos ejemplos de estas medidas incluyen el establecimiento de requisitos de evaluaciones de impacto ambiental y evaluaciones ambientales estratégicas obligatorias, la reforma de leyes de planificación para incorporar la diversidad biológica, la utilización de conceptos normativos tales como “beneficio neto para la diversidad biológica” o “cero pérdida neta”, reglamentaciones de compensaciones de diversidad biológica, mandatos de divulgación de finanzas sostenibles y reglamentaciones referidas a taxonomías verdes. Las medidas referidas a investigación, seguimiento y datos en apoyo a la consecución de la meta 14 incluyen la adopción de la contabilidad del capital natural en consonancia con </w:t>
      </w:r>
      <w:r w:rsidRPr="005E3D50">
        <w:rPr>
          <w:rFonts w:ascii="Aptos" w:hAnsi="Aptos"/>
          <w:lang w:val="es-ES"/>
        </w:rPr>
        <w:t xml:space="preserve">la Contabilidad de los Ecosistemas del Sistema de Contabilidad Ambiental y Económica (SCAE CE) </w:t>
      </w:r>
      <w:r w:rsidRPr="005E3D50">
        <w:rPr>
          <w:lang w:val="es-ES"/>
        </w:rPr>
        <w:t xml:space="preserve">y el establecimiento de plataformas de datos nacionales, así como mecanismos nacionales de facilitación y </w:t>
      </w:r>
      <w:r w:rsidRPr="005E3D50">
        <w:rPr>
          <w:lang w:val="es-ES"/>
        </w:rPr>
        <w:lastRenderedPageBreak/>
        <w:t>sistemas de seguimiento para evaluar el cumplimiento de las reglamentaciones de impacto ambiental (véase el recuadro 36). En algunos informes nacionales se mencionan medidas económicas y financieras relacionadas con la meta 14, tales como la emisión de bonos verdes y soberanos, el canje de deuda por proyectos de protección de la naturaleza, planes de financiación de la diversidad biológica en el marco de la Iniciativa de Financiación de la Diversidad Biológica (BIOFIN) del PNUD, la reforma y reasignación de subsidios, pagos por servicios de los ecosistemas, taxonomías de finanzas sostenibles, mecanismos de compensación de la diversidad biológica, marcos de créditos verdes y principios de banca sostenible.</w:t>
      </w:r>
    </w:p>
    <w:p w14:paraId="7345B3EC"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4CDDF1F4" w14:textId="77777777" w:rsidTr="006E6831">
        <w:tc>
          <w:tcPr>
            <w:tcW w:w="9016" w:type="dxa"/>
            <w:shd w:val="clear" w:color="auto" w:fill="D1D1D1" w:themeFill="background2" w:themeFillShade="E6"/>
          </w:tcPr>
          <w:p w14:paraId="54145D98" w14:textId="77777777" w:rsidR="009713BF" w:rsidRPr="005E3D50" w:rsidRDefault="009713BF" w:rsidP="009713BF">
            <w:pPr>
              <w:rPr>
                <w:rFonts w:ascii="Aptos" w:hAnsi="Aptos"/>
                <w:color w:val="000000"/>
                <w:lang w:val="es-ES"/>
              </w:rPr>
            </w:pPr>
          </w:p>
          <w:p w14:paraId="2C57699C" w14:textId="77777777" w:rsidR="009713BF" w:rsidRPr="005E3D50" w:rsidRDefault="009713BF" w:rsidP="009713BF">
            <w:pPr>
              <w:rPr>
                <w:sz w:val="20"/>
                <w:szCs w:val="20"/>
                <w:lang w:val="es-ES"/>
              </w:rPr>
            </w:pPr>
            <w:r w:rsidRPr="005E3D50">
              <w:rPr>
                <w:sz w:val="20"/>
                <w:lang w:val="es-ES"/>
              </w:rPr>
              <w:t>Recuadro 36</w:t>
            </w:r>
          </w:p>
          <w:p w14:paraId="307B53E6" w14:textId="77777777" w:rsidR="009713BF" w:rsidRPr="005E3D50" w:rsidRDefault="009713BF" w:rsidP="009713BF">
            <w:pPr>
              <w:rPr>
                <w:b/>
                <w:bCs/>
                <w:sz w:val="20"/>
                <w:szCs w:val="20"/>
                <w:lang w:val="es-ES"/>
              </w:rPr>
            </w:pPr>
            <w:r w:rsidRPr="005E3D50">
              <w:rPr>
                <w:b/>
                <w:sz w:val="20"/>
                <w:lang w:val="es-ES"/>
              </w:rPr>
              <w:t>Integración de la diversidad biológica a todas las escalas y en todos los sectores en Colombia</w:t>
            </w:r>
          </w:p>
          <w:p w14:paraId="064E6A50" w14:textId="77777777" w:rsidR="009713BF" w:rsidRPr="005E3D50" w:rsidRDefault="009713BF" w:rsidP="009713BF">
            <w:pPr>
              <w:rPr>
                <w:rFonts w:ascii="Aptos" w:hAnsi="Aptos"/>
                <w:color w:val="000000"/>
                <w:lang w:val="es-ES"/>
              </w:rPr>
            </w:pPr>
          </w:p>
          <w:p w14:paraId="095124AE" w14:textId="77777777" w:rsidR="009713BF" w:rsidRPr="005E3D50" w:rsidRDefault="009713BF" w:rsidP="009713BF">
            <w:pPr>
              <w:rPr>
                <w:rFonts w:ascii="Aptos" w:hAnsi="Aptos"/>
                <w:color w:val="000000"/>
                <w:sz w:val="20"/>
                <w:szCs w:val="20"/>
                <w:lang w:val="es-ES"/>
              </w:rPr>
            </w:pPr>
            <w:r w:rsidRPr="005E3D50">
              <w:rPr>
                <w:rFonts w:ascii="Aptos" w:hAnsi="Aptos"/>
                <w:color w:val="000000"/>
                <w:sz w:val="20"/>
                <w:lang w:val="es-ES"/>
              </w:rPr>
              <w:t xml:space="preserve">El enfoque de Colombia para la integración de la diversidad biológica se basa en incorporar consideraciones de diversidad biológica en la planificación, el desarrollo territorial, las políticas sectoriales y la toma de decisiones económicas nacionales. El Plan de Acción de Biodiversidad de Colombia al 2030, armonizado con el Marco, proporciona una hoja de ruta para la implementación </w:t>
            </w:r>
            <w:r w:rsidRPr="005E3D50">
              <w:rPr>
                <w:rFonts w:ascii="Aptos" w:hAnsi="Aptos"/>
                <w:color w:val="000000"/>
                <w:spacing w:val="-2"/>
                <w:sz w:val="20"/>
                <w:lang w:val="es-ES"/>
              </w:rPr>
              <w:t>nacional a través de seis metas nacionales y un sistema de seguimiento apoyado por 27 indicadores</w:t>
            </w:r>
            <w:r w:rsidRPr="005E3D50">
              <w:rPr>
                <w:rFonts w:ascii="Aptos" w:hAnsi="Aptos"/>
                <w:color w:val="000000"/>
                <w:sz w:val="20"/>
                <w:lang w:val="es-ES"/>
              </w:rPr>
              <w:t>. El Plan de Desarrollo Nacional 2022-2026 refuerza la importancia de la diversidad biológica como prioridad transversal en todas las políticas gubernamentales,</w:t>
            </w:r>
            <w:r w:rsidRPr="005E3D50">
              <w:rPr>
                <w:lang w:val="es-ES"/>
              </w:rPr>
              <w:t xml:space="preserve"> </w:t>
            </w:r>
            <w:r w:rsidRPr="005E3D50">
              <w:rPr>
                <w:rFonts w:ascii="Aptos" w:hAnsi="Aptos"/>
                <w:color w:val="000000"/>
                <w:sz w:val="20"/>
                <w:lang w:val="es-ES"/>
              </w:rPr>
              <w:t>a la vez que va incorporando progresivamente la diversidad biológica en instrumentos de planificación territorial a través de determinantes ambientales y procesos de planificación espacial participativa.</w:t>
            </w:r>
          </w:p>
          <w:p w14:paraId="08F8E1BC" w14:textId="77777777" w:rsidR="009713BF" w:rsidRPr="005E3D50" w:rsidRDefault="009713BF" w:rsidP="009713BF">
            <w:pPr>
              <w:rPr>
                <w:rFonts w:ascii="Aptos" w:hAnsi="Aptos"/>
                <w:color w:val="000000"/>
                <w:sz w:val="20"/>
                <w:szCs w:val="20"/>
                <w:lang w:val="es-ES"/>
              </w:rPr>
            </w:pPr>
          </w:p>
          <w:p w14:paraId="4EF89774" w14:textId="77777777" w:rsidR="009713BF" w:rsidRPr="005E3D50" w:rsidRDefault="009713BF" w:rsidP="009713BF">
            <w:pPr>
              <w:rPr>
                <w:rFonts w:ascii="Aptos" w:hAnsi="Aptos"/>
                <w:color w:val="000000"/>
                <w:sz w:val="20"/>
                <w:szCs w:val="20"/>
                <w:lang w:val="es-ES"/>
              </w:rPr>
            </w:pPr>
            <w:r w:rsidRPr="005E3D50">
              <w:rPr>
                <w:rFonts w:ascii="Aptos" w:hAnsi="Aptos"/>
                <w:color w:val="000000"/>
                <w:sz w:val="20"/>
                <w:lang w:val="es-ES"/>
              </w:rPr>
              <w:t xml:space="preserve">Como complemento de estos esfuerzos, la Contabilidad de los Ecosistemas del Sistema de Contabilidad Ambiental y Económica (SCAE CE) impulsa la incorporación del capital natural en las estadísticas nacionales y la planificación económica, apoyando inversiones públicas y decisiones de políticas más fundamentadas. Este enfoque integral, que vincula la planificación nacional, la planificación espacial, la implementación sectorial, el seguimiento y la contabilidad económica-ambiental, promueve la integración de la diversidad biológica a todos los niveles de gobernanza. Las dificultades que subsisten incluyen la necesidad de fortalecer las capacidades institucionales subnacionales, mejorar la coordinación intersectorial, garantizar la implementación eficaz a nivel de territorio y consolidar el seguimiento a través del sistema de presentación de informes y verificación. El enfoque del país también está dirigido a promover la participación pública, el acceso a información y justicia en asuntos ambientales y la protección de </w:t>
            </w:r>
            <w:proofErr w:type="gramStart"/>
            <w:r w:rsidRPr="005E3D50">
              <w:rPr>
                <w:rFonts w:ascii="Aptos" w:hAnsi="Aptos"/>
                <w:color w:val="000000"/>
                <w:sz w:val="20"/>
                <w:lang w:val="es-ES"/>
              </w:rPr>
              <w:t>los defensores y las defensoras</w:t>
            </w:r>
            <w:proofErr w:type="gramEnd"/>
            <w:r w:rsidRPr="005E3D50">
              <w:rPr>
                <w:rFonts w:ascii="Aptos" w:hAnsi="Aptos"/>
                <w:color w:val="000000"/>
                <w:sz w:val="20"/>
                <w:lang w:val="es-ES"/>
              </w:rPr>
              <w:t xml:space="preserve"> de los derechos humanos relacionados con el medio ambiente, en consonancia con el Acuerdo Regional sobre el Acceso a la Información, la Participación Pública y el Acceso a la Justicia en Asuntos Ambientales en América Latina y el Caribe (Acuerdo Escazú).</w:t>
            </w:r>
          </w:p>
          <w:p w14:paraId="31D712C9" w14:textId="77777777" w:rsidR="009713BF" w:rsidRPr="005E3D50" w:rsidRDefault="009713BF" w:rsidP="009713BF">
            <w:pPr>
              <w:rPr>
                <w:rFonts w:ascii="Aptos" w:hAnsi="Aptos"/>
                <w:color w:val="000000"/>
                <w:lang w:val="es-ES"/>
              </w:rPr>
            </w:pPr>
          </w:p>
          <w:p w14:paraId="22F8741A" w14:textId="77777777" w:rsidR="009713BF" w:rsidRPr="005E3D50" w:rsidRDefault="009713BF" w:rsidP="009713BF">
            <w:pPr>
              <w:rPr>
                <w:rFonts w:ascii="Aptos" w:hAnsi="Aptos"/>
                <w:i/>
                <w:iCs/>
                <w:color w:val="000000"/>
                <w:sz w:val="20"/>
                <w:szCs w:val="20"/>
                <w:lang w:val="es-ES"/>
              </w:rPr>
            </w:pPr>
            <w:r w:rsidRPr="005E3D50">
              <w:rPr>
                <w:rFonts w:ascii="Aptos" w:hAnsi="Aptos"/>
                <w:i/>
                <w:color w:val="000000"/>
                <w:sz w:val="20"/>
                <w:lang w:val="es-ES"/>
              </w:rPr>
              <w:t>Metas pertinentes: 1, 14, 15, 18 y 21.</w:t>
            </w:r>
          </w:p>
          <w:p w14:paraId="308ABD12" w14:textId="77777777" w:rsidR="009713BF" w:rsidRPr="005E3D50" w:rsidRDefault="009713BF" w:rsidP="009713BF">
            <w:pPr>
              <w:rPr>
                <w:rFonts w:ascii="Aptos" w:hAnsi="Aptos"/>
                <w:iCs/>
                <w:color w:val="000000"/>
                <w:lang w:val="es-ES"/>
              </w:rPr>
            </w:pPr>
            <w:r w:rsidRPr="005E3D50">
              <w:rPr>
                <w:rFonts w:ascii="Aptos" w:hAnsi="Aptos"/>
                <w:i/>
                <w:color w:val="000000"/>
                <w:sz w:val="20"/>
                <w:lang w:val="es-ES"/>
              </w:rPr>
              <w:t xml:space="preserve">Fuentes: </w:t>
            </w:r>
            <w:r w:rsidRPr="005E3D50">
              <w:rPr>
                <w:rFonts w:ascii="Aptos" w:hAnsi="Aptos"/>
                <w:color w:val="000000"/>
                <w:sz w:val="20"/>
                <w:lang w:val="es-ES"/>
              </w:rPr>
              <w:t>Colombia, séptimo informe nacional presentado al Convenio; y Comisión Económica para América Latina y el Caribe (CEPAL), 2018.</w:t>
            </w:r>
            <w:r w:rsidRPr="005E3D50">
              <w:rPr>
                <w:rFonts w:ascii="Aptos" w:hAnsi="Aptos"/>
                <w:color w:val="000000"/>
                <w:lang w:val="es-ES"/>
              </w:rPr>
              <w:t xml:space="preserve"> </w:t>
            </w:r>
          </w:p>
          <w:p w14:paraId="55843B26" w14:textId="77777777" w:rsidR="009713BF" w:rsidRPr="005E3D50" w:rsidRDefault="009713BF" w:rsidP="009713BF">
            <w:pPr>
              <w:rPr>
                <w:lang w:val="es-ES"/>
              </w:rPr>
            </w:pPr>
          </w:p>
        </w:tc>
      </w:tr>
    </w:tbl>
    <w:p w14:paraId="7997EC9D"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545D2E1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88" w:name="_Toc235821227"/>
      <w:r w:rsidRPr="005E3D50">
        <w:rPr>
          <w:rFonts w:eastAsiaTheme="majorEastAsia" w:cstheme="majorBidi"/>
          <w:i/>
          <w:iCs/>
          <w:color w:val="595959" w:themeColor="text1" w:themeTint="A6"/>
          <w:lang w:val="es-ES"/>
        </w:rPr>
        <w:t>Dificultades</w:t>
      </w:r>
      <w:bookmarkEnd w:id="388"/>
    </w:p>
    <w:p w14:paraId="15BEB161" w14:textId="77777777" w:rsidR="009713BF" w:rsidRPr="005E3D50" w:rsidRDefault="009713BF" w:rsidP="009713BF">
      <w:pPr>
        <w:keepNext/>
        <w:keepLines/>
        <w:rPr>
          <w:lang w:val="es-ES"/>
        </w:rPr>
      </w:pPr>
    </w:p>
    <w:p w14:paraId="4FA79B79" w14:textId="77777777" w:rsidR="009713BF" w:rsidRPr="005E3D50" w:rsidRDefault="009713BF" w:rsidP="009713BF">
      <w:pPr>
        <w:keepNext/>
        <w:keepLines/>
        <w:rPr>
          <w:lang w:val="es-ES"/>
        </w:rPr>
      </w:pPr>
      <w:r w:rsidRPr="005E3D50">
        <w:rPr>
          <w:lang w:val="es-ES"/>
        </w:rPr>
        <w:t xml:space="preserve">Varias Partes reconocen que existe un desfase entre la integración formal de la biodiversidad en los textos de reglamentaciones o políticas y una integración efectiva de la biodiversidad que implique una diferencia en la práctica. En varios informes nacionales se observa que la integración permanece mayormente en el nivel de políticas y que no se traduce en resultados que se puedan medir. Por el contrario, se trata a la biodiversidad como un componente accesorio en vez de un elemento central plenamente integrado en los procesos de toma de decisiones o la aplicación de políticas nacionales. Hay carencias que tienen que ver con la integración en estrategias de erradicación de la pobreza y la armonización de las corrientes fiscales y financieras, y solo unas pocas Partes describen medidas relacionadas con la integración de la biodiversidad en procesos de toma de decisiones financieras, fiscales, de inversión y normativas, incluidas medidas que </w:t>
      </w:r>
      <w:proofErr w:type="gramStart"/>
      <w:r w:rsidRPr="005E3D50">
        <w:rPr>
          <w:lang w:val="es-ES"/>
        </w:rPr>
        <w:t>identifiquen,</w:t>
      </w:r>
      <w:proofErr w:type="gramEnd"/>
      <w:r w:rsidRPr="005E3D50">
        <w:rPr>
          <w:lang w:val="es-ES"/>
        </w:rPr>
        <w:t xml:space="preserve"> regulen y reduzcan corrientes financieras dirigidas a actividades que impulsan la pérdida de diversidad biológica. Se reconoce que la capacidad y coordinación institucionales plantean una limitación importante, y muchas autoridades pertinentes, incluido del sector empresarial, carecen de los conocimientos especializados o las potestades para integrar la diversidad biológica en sus actividades. </w:t>
      </w:r>
      <w:r w:rsidRPr="005E3D50">
        <w:rPr>
          <w:rFonts w:ascii="Aptos" w:hAnsi="Aptos"/>
          <w:lang w:val="es-ES"/>
        </w:rPr>
        <w:t>Los gobiernos a nivel nacional, subnacional y local carecen de personal formado, conocimientos especializados en cuestiones ecológicas y herramientas para realizar evaluaciones de impacto ambiental, integrar la diversidad biológica en su planificación o hacer un seguimiento de los resultados. Esto es particularmente evidente en los ministerios dedicados a temas que no tienen que ver con el medio ambiente, como los ministerios de finanzas y de agricultura, así como las autoridades subnacionales y municipales en algunos países.</w:t>
      </w:r>
      <w:r w:rsidRPr="005E3D50">
        <w:rPr>
          <w:lang w:val="es-ES"/>
        </w:rPr>
        <w:t xml:space="preserve"> La participación del sector privado es un desafío en diversos niveles y las empresas suelen considerar a la evaluación en materia de biodiversidad como una carga económica adicional. Las carencias en materia de recolección de datos e información constituyen otra barrera. En este sentido, las Partes subrayan la falta de marcos de seguimiento para evaluar la eficacia de los esfuerzos de integración, así como los escasos progresos en materia de contabilidad económica-ambiental. También hay carencias de información en relación con la manera en que se reflejan los diversos valores de la diversidad biológica en la meta 14. Algunas Partes señalaron que </w:t>
      </w:r>
      <w:r w:rsidRPr="005E3D50">
        <w:rPr>
          <w:rFonts w:ascii="Aptos" w:hAnsi="Aptos"/>
          <w:lang w:val="es-ES"/>
        </w:rPr>
        <w:t>la contabilidad del capital natural, incluida la Contabilidad de los Ecosistemas del Sistema de Contabilidad Ambiental y Económica (SCAE CE), no está presente en las estadísticas nacionales ni en los procesos presupuestarios, o bien aún no ha sido incorporada como parte integral de estos.</w:t>
      </w:r>
    </w:p>
    <w:p w14:paraId="6C044480" w14:textId="77777777" w:rsidR="009713BF" w:rsidRPr="005E3D50" w:rsidRDefault="009713BF" w:rsidP="009713BF">
      <w:pPr>
        <w:rPr>
          <w:lang w:val="es-ES"/>
        </w:rPr>
      </w:pPr>
    </w:p>
    <w:p w14:paraId="7AC4D0A4"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89" w:name="_Toc235821228"/>
      <w:r w:rsidRPr="005E3D50">
        <w:rPr>
          <w:rFonts w:eastAsiaTheme="majorEastAsia" w:cstheme="majorBidi"/>
          <w:color w:val="0F4761" w:themeColor="accent1" w:themeShade="BF"/>
          <w:lang w:val="es-ES"/>
        </w:rPr>
        <w:lastRenderedPageBreak/>
        <w:t>Contribuciones de actores distintos de los Gobiernos nacionales</w:t>
      </w:r>
      <w:bookmarkEnd w:id="389"/>
    </w:p>
    <w:p w14:paraId="6B852461" w14:textId="77777777" w:rsidR="009713BF" w:rsidRPr="005E3D50" w:rsidRDefault="009713BF" w:rsidP="009713BF">
      <w:pPr>
        <w:rPr>
          <w:lang w:val="es-ES"/>
        </w:rPr>
      </w:pPr>
    </w:p>
    <w:p w14:paraId="6DD1805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90" w:name="_Toc235821229"/>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390"/>
    </w:p>
    <w:p w14:paraId="19367BFB" w14:textId="77777777" w:rsidR="009713BF" w:rsidRPr="005E3D50" w:rsidRDefault="009713BF" w:rsidP="009713BF">
      <w:pPr>
        <w:rPr>
          <w:lang w:val="es-ES"/>
        </w:rPr>
      </w:pPr>
    </w:p>
    <w:p w14:paraId="5A3EF9F7" w14:textId="77777777" w:rsidR="009713BF" w:rsidRPr="005E3D50" w:rsidRDefault="009713BF" w:rsidP="009713BF">
      <w:pPr>
        <w:rPr>
          <w:lang w:val="es-ES"/>
        </w:rPr>
      </w:pPr>
      <w:r w:rsidRPr="005E3D50">
        <w:rPr>
          <w:lang w:val="es-ES"/>
        </w:rPr>
        <w:t>De los 180 compromisos presentados por actores que no son Gobiernos nacionales, 10 tienen que ver principalmente con la meta 14. Siete de los compromisos fueron presentados por ONG, uno por un grupo empresarial, uno por una institución de investigación y uno por una organización asociada sin fines de lucro. Los compromisos abordan diversos aspectos de la integración de la biodiversidad y la incorporación en políticas en los sectores público y privado, y la mayoría implica intercambio de conocimientos y datos. La cobertura geográfica de los compromisos abarca Europa, África, Asia y América del Sur y algunos tienen un alcance mundial.</w:t>
      </w:r>
    </w:p>
    <w:p w14:paraId="3D0851E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033A9DE1"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391" w:name="_Toc235821230"/>
      <w:r w:rsidRPr="005E3D50">
        <w:rPr>
          <w:rFonts w:eastAsiaTheme="majorEastAsia" w:cstheme="majorBidi"/>
          <w:i/>
          <w:iCs/>
          <w:color w:val="595959" w:themeColor="text1" w:themeTint="A6"/>
          <w:lang w:val="es-ES"/>
        </w:rPr>
        <w:t>Contribuciones integradas en los informes nacionales</w:t>
      </w:r>
      <w:bookmarkEnd w:id="391"/>
    </w:p>
    <w:p w14:paraId="7AC7727D" w14:textId="77777777" w:rsidR="009713BF" w:rsidRPr="005E3D50" w:rsidRDefault="009713BF" w:rsidP="009713BF">
      <w:pPr>
        <w:rPr>
          <w:lang w:val="es-ES"/>
        </w:rPr>
      </w:pPr>
    </w:p>
    <w:p w14:paraId="508016A1" w14:textId="77777777" w:rsidR="009713BF" w:rsidRPr="005E3D50" w:rsidRDefault="009713BF" w:rsidP="009713BF">
      <w:pPr>
        <w:rPr>
          <w:lang w:val="es-ES"/>
        </w:rPr>
      </w:pPr>
      <w:r w:rsidRPr="005E3D50">
        <w:rPr>
          <w:lang w:val="es-ES"/>
        </w:rPr>
        <w:t>La contribución más documentada es la asistencia técnica prestada por organizaciones internacionales. En este sentido, BIOFIN es el instrumento más ampliamente mencionado. La implementación directa y la gestión conjunta son las contribuciones que se menciona que aportan ONG, pueblos indígenas y comunidades locales y actores sectoriales, mientras que el desempeño de funciones de gobernanza y asesoramiento se atribuye, entre otros, a grupos de trabajo técnicos, organismos asesores establecidos por ley y encargados de exámenes independientes de rendición de cuentas. La producción de conocimientos y el desarrollo de herramientas son las contribuciones más frecuentes de la comunidad científica y abarcan desde la valoración de los servicios de los ecosistemas hasta la contabilidad del capital natural y la ciencia ciudadana. Las contribuciones de actores empresariales y financieros tienen que ver mayoritariamente con divulgación y cumplimiento, abarcando desde la presentación de informes de sostenibilidad empresarial hasta bonos verdes, mientras que los gobiernos subnacionales contribuyen a la integración de la diversidad biológica a través de mandatos de planificación espacial. La sensibilización y la creación de capacidad se mencionan más comúnmente en relación con los ciudadanos, la juventud y las mujeres, aunque estos actores figuran en general como receptores de tales actividades.</w:t>
      </w:r>
    </w:p>
    <w:p w14:paraId="5CF0FA93" w14:textId="77777777" w:rsidR="009713BF" w:rsidRPr="005E3D50" w:rsidRDefault="009713BF" w:rsidP="009713BF">
      <w:pPr>
        <w:rPr>
          <w:lang w:val="es-ES"/>
        </w:rPr>
      </w:pPr>
    </w:p>
    <w:p w14:paraId="23C9BC4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 xml:space="preserve">Ejemplos de vínculos con otros acuerdos, procesos y organizaciones </w:t>
      </w:r>
    </w:p>
    <w:p w14:paraId="0D49F38D" w14:textId="77777777" w:rsidR="009713BF" w:rsidRPr="005E3D50" w:rsidRDefault="009713BF" w:rsidP="009713BF">
      <w:pPr>
        <w:keepNext/>
        <w:keepLines/>
        <w:rPr>
          <w:lang w:val="es-ES"/>
        </w:rPr>
      </w:pPr>
    </w:p>
    <w:p w14:paraId="69111B52" w14:textId="77777777" w:rsidR="009713BF" w:rsidRPr="005E3D50" w:rsidRDefault="009713BF" w:rsidP="009713BF">
      <w:pPr>
        <w:keepNext/>
        <w:keepLines/>
        <w:rPr>
          <w:lang w:val="es-ES"/>
        </w:rPr>
      </w:pPr>
      <w:r w:rsidRPr="005E3D50">
        <w:rPr>
          <w:lang w:val="es-ES"/>
        </w:rPr>
        <w:t>La FAO contribuye a la integración de la biodiversidad incorporando consideraciones de biodiversidad en las políticas, estrategias y prácticas de actores públicos y privados clave que tienen un impacto en la biodiversidad o dependen de ella, con el fin de que se conserve la biodiversidad y se utilice de manera sostenible a nivel tanto local como mundial. En 2019 se aprobó la Estrategia de la FAO para la Integración de la Biodiversidad en los Distintos Sectores Agrícolas, que se centraba específicamente en las preparaciones para el marco mundial de la diversidad biológica posterior a 2020. La Estrategia abarca temas tales como la integración de la biodiversidad en todos los sectores agrícolas a nivel nacional, regional e internacional de manera estructurada y coherente y teniendo en cuenta las prioridades, necesidades, normas y políticas nacionales y los marcos de programación de cada país. Los resultados esperados de la aplicación de la Estrategia eran la reducción de los impactos negativos de las prácticas agrícolas en la biodiversidad, la promoción de prácticas agrícolas sostenibles y la conservación, mejora, preservación y restauración de la biodiversidad en su conjunto. El Plan de Acción 2024-2027 para la implementación de la Estrategia tiene en cuenta el Marco de Acción en materia de Biodiversidad para la Alimentación y la Agricultura de la FAO y está armonizado con el Marco Mundial de Biodiversidad de Kunming-Montreal. La FAO implementa el Plan de Acción partiendo de los principios de gobernanza eficaz, asociaciones, enfoque basado en el conocimiento, carácter inclusivo e igualdad de género y empoderamiento de la mujer (FAO, 2020, 2022, 2024b y 2025a).</w:t>
      </w:r>
    </w:p>
    <w:p w14:paraId="50521458" w14:textId="77777777" w:rsidR="009713BF" w:rsidRPr="005E3D50" w:rsidRDefault="009713BF" w:rsidP="009713BF">
      <w:pPr>
        <w:rPr>
          <w:lang w:val="es-ES"/>
        </w:rPr>
      </w:pPr>
    </w:p>
    <w:p w14:paraId="77E361F6"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392" w:name="_Toc235821231"/>
      <w:bookmarkStart w:id="393" w:name="_Ref236134409"/>
      <w:bookmarkStart w:id="394" w:name="_Toc239069211"/>
      <w:bookmarkStart w:id="395" w:name="_Toc1757842842"/>
      <w:bookmarkStart w:id="396" w:name="_Toc242882989"/>
      <w:r w:rsidRPr="005E3D50">
        <w:rPr>
          <w:rFonts w:eastAsiaTheme="majorEastAsia" w:cstheme="majorBidi"/>
          <w:b/>
          <w:iCs/>
          <w:color w:val="0F4761" w:themeColor="accent1" w:themeShade="BF"/>
          <w:lang w:val="es-ES"/>
        </w:rPr>
        <w:t>Meta 15.</w:t>
      </w:r>
      <w:r w:rsidRPr="005E3D50">
        <w:rPr>
          <w:rFonts w:eastAsiaTheme="majorEastAsia" w:cstheme="majorBidi"/>
          <w:iCs/>
          <w:color w:val="0F4761" w:themeColor="accent1" w:themeShade="BF"/>
          <w:lang w:val="es-ES"/>
        </w:rPr>
        <w:t xml:space="preserve"> Las empresas evalúan, dan a conocer y reducen sus riesgos e impactos negativos relacionados con la biodiversidad</w:t>
      </w:r>
      <w:bookmarkEnd w:id="392"/>
      <w:bookmarkEnd w:id="393"/>
      <w:bookmarkEnd w:id="394"/>
      <w:bookmarkEnd w:id="395"/>
      <w:bookmarkEnd w:id="396"/>
    </w:p>
    <w:p w14:paraId="69320D15" w14:textId="77777777" w:rsidR="009713BF" w:rsidRPr="005E3D50" w:rsidRDefault="009713BF" w:rsidP="009713BF">
      <w:pPr>
        <w:autoSpaceDE w:val="0"/>
        <w:autoSpaceDN w:val="0"/>
        <w:adjustRightInd w:val="0"/>
        <w:spacing w:after="0" w:line="240" w:lineRule="auto"/>
        <w:rPr>
          <w:rFonts w:cs="Times New Roman"/>
          <w:b/>
          <w:bCs/>
          <w:i/>
          <w:iCs/>
          <w:color w:val="000000"/>
          <w:kern w:val="0"/>
          <w:sz w:val="22"/>
          <w:szCs w:val="22"/>
          <w:lang w:val="es-ES"/>
        </w:rPr>
      </w:pPr>
      <w:bookmarkStart w:id="397" w:name="_Toc235821232"/>
    </w:p>
    <w:p w14:paraId="402CBC11" w14:textId="77777777" w:rsidR="009713BF" w:rsidRPr="005E3D50" w:rsidRDefault="009713BF" w:rsidP="009713BF">
      <w:pPr>
        <w:autoSpaceDE w:val="0"/>
        <w:autoSpaceDN w:val="0"/>
        <w:adjustRightInd w:val="0"/>
        <w:spacing w:after="0" w:line="240" w:lineRule="auto"/>
        <w:rPr>
          <w:rFonts w:cs="Times New Roman"/>
          <w:b/>
          <w:bCs/>
          <w:i/>
          <w:iCs/>
          <w:color w:val="000000"/>
          <w:kern w:val="0"/>
          <w:sz w:val="22"/>
          <w:szCs w:val="22"/>
          <w:lang w:val="es-ES"/>
        </w:rPr>
      </w:pPr>
    </w:p>
    <w:p w14:paraId="0F379F10"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b/>
          <w:color w:val="000000"/>
          <w:kern w:val="0"/>
          <w:sz w:val="22"/>
          <w:lang w:val="es-ES"/>
        </w:rPr>
        <w:t>Texto de la meta.</w:t>
      </w:r>
      <w:r w:rsidRPr="005E3D50">
        <w:rPr>
          <w:rFonts w:cs="Times New Roman"/>
          <w:i/>
          <w:color w:val="000000"/>
          <w:kern w:val="0"/>
          <w:sz w:val="22"/>
          <w:lang w:val="es-ES"/>
        </w:rPr>
        <w:t xml:space="preserve"> </w:t>
      </w:r>
      <w:r w:rsidRPr="005E3D50">
        <w:rPr>
          <w:rFonts w:cs="Times New Roman"/>
          <w:i/>
          <w:color w:val="000000"/>
          <w:kern w:val="0"/>
          <w:sz w:val="21"/>
          <w:lang w:val="es-ES"/>
        </w:rPr>
        <w:t xml:space="preserve">Tomar medidas jurídicas, administrativas o de políticas para alentar y habilitar a las empresas para que, y en particular, en el caso de las empresas transnacionales y las instituciones financieras, garantizar que: </w:t>
      </w:r>
    </w:p>
    <w:p w14:paraId="63DDD5D8"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p>
    <w:p w14:paraId="50619FAD" w14:textId="77777777" w:rsidR="009713BF" w:rsidRPr="005E3D50" w:rsidRDefault="009713BF" w:rsidP="009713BF">
      <w:pPr>
        <w:numPr>
          <w:ilvl w:val="0"/>
          <w:numId w:val="4"/>
        </w:numPr>
        <w:autoSpaceDE w:val="0"/>
        <w:autoSpaceDN w:val="0"/>
        <w:adjustRightInd w:val="0"/>
        <w:spacing w:after="83" w:line="240" w:lineRule="auto"/>
        <w:rPr>
          <w:rFonts w:cs="Times New Roman"/>
          <w:i/>
          <w:iCs/>
          <w:color w:val="000000"/>
          <w:kern w:val="0"/>
          <w:sz w:val="21"/>
          <w:szCs w:val="21"/>
          <w:lang w:val="es-ES"/>
        </w:rPr>
      </w:pPr>
      <w:r w:rsidRPr="005E3D50">
        <w:rPr>
          <w:rFonts w:cs="Times New Roman"/>
          <w:i/>
          <w:color w:val="000000"/>
          <w:kern w:val="0"/>
          <w:sz w:val="21"/>
          <w:lang w:val="es-ES"/>
        </w:rPr>
        <w:t xml:space="preserve">a) 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4C379261" w14:textId="77777777" w:rsidR="009713BF" w:rsidRPr="005E3D50" w:rsidRDefault="009713BF" w:rsidP="009713BF">
      <w:pPr>
        <w:numPr>
          <w:ilvl w:val="0"/>
          <w:numId w:val="4"/>
        </w:numPr>
        <w:autoSpaceDE w:val="0"/>
        <w:autoSpaceDN w:val="0"/>
        <w:adjustRightInd w:val="0"/>
        <w:spacing w:after="83" w:line="240" w:lineRule="auto"/>
        <w:rPr>
          <w:rFonts w:cs="Times New Roman"/>
          <w:i/>
          <w:iCs/>
          <w:color w:val="000000"/>
          <w:kern w:val="0"/>
          <w:sz w:val="21"/>
          <w:szCs w:val="21"/>
          <w:lang w:val="es-ES"/>
        </w:rPr>
      </w:pPr>
      <w:r w:rsidRPr="005E3D50">
        <w:rPr>
          <w:rFonts w:cs="Times New Roman"/>
          <w:i/>
          <w:color w:val="000000"/>
          <w:kern w:val="0"/>
          <w:sz w:val="21"/>
          <w:lang w:val="es-ES"/>
        </w:rPr>
        <w:t xml:space="preserve">b) Proporcionen la información necesaria a los consumidores a fin de promover modalidades de consumo sostenibles; </w:t>
      </w:r>
    </w:p>
    <w:p w14:paraId="0AF7679C"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lastRenderedPageBreak/>
        <w:t xml:space="preserve">c) Informen sobre el cumplimiento de los reglamentos y medidas de acceso y participación en los beneficios, según proceda; </w:t>
      </w:r>
    </w:p>
    <w:p w14:paraId="504E9361" w14:textId="77777777" w:rsidR="009713BF" w:rsidRPr="005E3D50" w:rsidRDefault="009713BF" w:rsidP="009713BF">
      <w:pPr>
        <w:numPr>
          <w:ilvl w:val="0"/>
          <w:numId w:val="4"/>
        </w:numPr>
        <w:autoSpaceDE w:val="0"/>
        <w:autoSpaceDN w:val="0"/>
        <w:adjustRightInd w:val="0"/>
        <w:spacing w:after="0" w:line="240" w:lineRule="auto"/>
        <w:rPr>
          <w:rFonts w:cs="Times New Roman"/>
          <w:i/>
          <w:iCs/>
          <w:color w:val="000000"/>
          <w:kern w:val="0"/>
          <w:sz w:val="21"/>
          <w:szCs w:val="21"/>
          <w:lang w:val="es-ES"/>
        </w:rPr>
      </w:pPr>
    </w:p>
    <w:p w14:paraId="7178C38E" w14:textId="77777777" w:rsidR="009713BF" w:rsidRPr="005E3D50" w:rsidRDefault="009713BF" w:rsidP="009713BF">
      <w:pPr>
        <w:numPr>
          <w:ilvl w:val="0"/>
          <w:numId w:val="4"/>
        </w:num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40F31E30" w14:textId="77777777" w:rsidR="009713BF" w:rsidRPr="005E3D50" w:rsidRDefault="009713BF" w:rsidP="009713BF">
      <w:pPr>
        <w:rPr>
          <w:lang w:val="es-ES"/>
        </w:rPr>
      </w:pPr>
    </w:p>
    <w:p w14:paraId="49D9FE2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bookmarkEnd w:id="397"/>
    </w:p>
    <w:tbl>
      <w:tblPr>
        <w:tblStyle w:val="TableGrid"/>
        <w:tblW w:w="0" w:type="auto"/>
        <w:tblLook w:val="04A0" w:firstRow="1" w:lastRow="0" w:firstColumn="1" w:lastColumn="0" w:noHBand="0" w:noVBand="1"/>
      </w:tblPr>
      <w:tblGrid>
        <w:gridCol w:w="9016"/>
      </w:tblGrid>
      <w:tr w:rsidR="009713BF" w:rsidRPr="005E3D50" w14:paraId="03C68E22" w14:textId="77777777" w:rsidTr="006E6831">
        <w:tc>
          <w:tcPr>
            <w:tcW w:w="9016" w:type="dxa"/>
            <w:shd w:val="clear" w:color="auto" w:fill="D1D1D1" w:themeFill="background2" w:themeFillShade="E6"/>
          </w:tcPr>
          <w:p w14:paraId="4AF86C38" w14:textId="77777777" w:rsidR="009713BF" w:rsidRPr="005E3D50" w:rsidRDefault="009713BF" w:rsidP="009713BF">
            <w:pPr>
              <w:rPr>
                <w:rFonts w:ascii="Aptos" w:eastAsia="Times New Roman" w:hAnsi="Aptos" w:cs="Calibri"/>
                <w:color w:val="000000"/>
                <w:lang w:val="es-ES"/>
              </w:rPr>
            </w:pPr>
          </w:p>
          <w:p w14:paraId="375C8DD1"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lang w:val="es-ES"/>
              </w:rPr>
              <w:t>A pesar de que hubo un aumento en la divulgación de información por parte de las empresas, tanto la aplicación de las políticas como la cobertura de las metas nacionales siguen siendo limitadas. La mayoría de las metas nacionales no están bien armonizadas con los elementos de la meta 15. Si bien muchas Partes señalaron problemas para compilar datos para el indicador de cabecera 15.1, casi un quinto de las Partes cuyos informes estaban disponibles y pudieron ser analizados comunicaron que más de 5.000 empresas en total dieron a conocer sus riesgos relacionados con la biodiversidad, cifra que aumenta año a año. No obstante, el indicador binario revela que las medidas para cumplir la meta 15 se encuentran mayormente en etapa de elaboración y que aún no se han adoptado. En las autoevaluaciones, se reconoció que en dos tercios de las metas nacionales no se han registrado progresos o bien los progresos son insuficientes. Entre las principales dificultades señaladas figuran la ausencia de marcos obligatorios de presentación de informes, carencias en materia de capacidad y datos, la exclusión de pequeñas y medianas empresas e incentivos inadecuados.</w:t>
            </w:r>
          </w:p>
          <w:p w14:paraId="74B94CDC" w14:textId="77777777" w:rsidR="009713BF" w:rsidRPr="005E3D50" w:rsidRDefault="009713BF" w:rsidP="009713BF">
            <w:pPr>
              <w:rPr>
                <w:lang w:val="es-ES"/>
              </w:rPr>
            </w:pPr>
          </w:p>
        </w:tc>
      </w:tr>
    </w:tbl>
    <w:p w14:paraId="73476BB7" w14:textId="77777777" w:rsidR="009713BF" w:rsidRPr="005E3D50" w:rsidRDefault="009713BF" w:rsidP="009713BF">
      <w:pPr>
        <w:rPr>
          <w:lang w:val="es-ES"/>
        </w:rPr>
      </w:pPr>
    </w:p>
    <w:p w14:paraId="15FC429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398" w:name="_Ref230776372"/>
      <w:r w:rsidRPr="005E3D50">
        <w:rPr>
          <w:rFonts w:eastAsiaTheme="majorEastAsia" w:cstheme="majorBidi"/>
          <w:color w:val="0F4761" w:themeColor="accent1" w:themeShade="BF"/>
          <w:lang w:val="es-ES"/>
        </w:rPr>
        <w:t>Grado en que las Partes cubren el alcance de la meta 15 del Marco en sus metas nacionales</w:t>
      </w:r>
    </w:p>
    <w:p w14:paraId="09947A0C"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201ADF40"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bookmarkStart w:id="399" w:name="_Ref238730109"/>
      <w:bookmarkEnd w:id="398"/>
      <w:r w:rsidRPr="005E3D50">
        <w:rPr>
          <w:rFonts w:eastAsiaTheme="minorEastAsia"/>
          <w:iCs/>
          <w:color w:val="0E2841" w:themeColor="text2"/>
          <w:kern w:val="0"/>
          <w:sz w:val="20"/>
          <w:szCs w:val="18"/>
          <w:lang w:val="es-ES" w:eastAsia="ja-JP"/>
          <w14:ligatures w14:val="none"/>
        </w:rPr>
        <w:t>Cuadro 32</w:t>
      </w:r>
      <w:bookmarkEnd w:id="399"/>
      <w:r w:rsidRPr="005E3D50">
        <w:rPr>
          <w:rFonts w:eastAsiaTheme="minorEastAsia"/>
          <w:iCs/>
          <w:color w:val="0E2841" w:themeColor="text2"/>
          <w:kern w:val="0"/>
          <w:sz w:val="20"/>
          <w:szCs w:val="18"/>
          <w:lang w:val="es-ES" w:eastAsia="ja-JP"/>
          <w14:ligatures w14:val="none"/>
        </w:rPr>
        <w:t xml:space="preserve"> </w:t>
      </w:r>
    </w:p>
    <w:p w14:paraId="41F35944"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15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9713BF" w:rsidRPr="005E3D50" w14:paraId="78DD4F75" w14:textId="77777777" w:rsidTr="006E6831">
        <w:tc>
          <w:tcPr>
            <w:tcW w:w="8359" w:type="dxa"/>
            <w:tcMar>
              <w:top w:w="29" w:type="dxa"/>
              <w:left w:w="115" w:type="dxa"/>
              <w:bottom w:w="29" w:type="dxa"/>
              <w:right w:w="115" w:type="dxa"/>
            </w:tcMar>
          </w:tcPr>
          <w:p w14:paraId="2FB45654" w14:textId="77777777" w:rsidR="009713BF" w:rsidRPr="005E3D50" w:rsidRDefault="009713BF" w:rsidP="009713BF">
            <w:pPr>
              <w:rPr>
                <w:sz w:val="21"/>
                <w:szCs w:val="21"/>
                <w:lang w:val="es-ES"/>
              </w:rPr>
            </w:pPr>
            <w:r w:rsidRPr="005E3D50">
              <w:rPr>
                <w:sz w:val="21"/>
                <w:lang w:val="es-ES"/>
              </w:rPr>
              <w:t xml:space="preserve">Tomar medidas jurídicas, administrativas o de políticas para alentar y habilitar a las empresas para que hagan un seguimiento y una evaluación de sus riesgos relacionados con la biodiversidad y los den a conocer de manera transparente </w:t>
            </w:r>
          </w:p>
        </w:tc>
        <w:tc>
          <w:tcPr>
            <w:tcW w:w="657" w:type="dxa"/>
            <w:shd w:val="clear" w:color="auto" w:fill="FFFF00"/>
          </w:tcPr>
          <w:p w14:paraId="34609913" w14:textId="77777777" w:rsidR="009713BF" w:rsidRPr="005E3D50" w:rsidRDefault="009713BF" w:rsidP="009713BF">
            <w:pPr>
              <w:rPr>
                <w:lang w:val="es-ES"/>
              </w:rPr>
            </w:pPr>
            <w:r w:rsidRPr="005E3D50">
              <w:rPr>
                <w:lang w:val="es-ES"/>
              </w:rPr>
              <w:t>48</w:t>
            </w:r>
          </w:p>
        </w:tc>
      </w:tr>
      <w:tr w:rsidR="009713BF" w:rsidRPr="005E3D50" w14:paraId="6FDD3710" w14:textId="77777777" w:rsidTr="006E6831">
        <w:tc>
          <w:tcPr>
            <w:tcW w:w="8359" w:type="dxa"/>
            <w:tcMar>
              <w:top w:w="29" w:type="dxa"/>
              <w:left w:w="115" w:type="dxa"/>
              <w:bottom w:w="29" w:type="dxa"/>
              <w:right w:w="115" w:type="dxa"/>
            </w:tcMar>
          </w:tcPr>
          <w:p w14:paraId="5D3E2860" w14:textId="77777777" w:rsidR="009713BF" w:rsidRPr="005E3D50" w:rsidRDefault="009713BF" w:rsidP="009713BF">
            <w:pPr>
              <w:rPr>
                <w:sz w:val="21"/>
                <w:szCs w:val="21"/>
                <w:lang w:val="es-ES"/>
              </w:rPr>
            </w:pPr>
            <w:r w:rsidRPr="005E3D50">
              <w:rPr>
                <w:sz w:val="21"/>
                <w:lang w:val="es-ES"/>
              </w:rPr>
              <w:t>Tomar medidas jurídicas, administrativas o de políticas para alentar y habilitar a las empresas para que hagan un seguimiento y una evaluación de sus dependencias en materia de biodiversidad y las den a conocer de manera transparente</w:t>
            </w:r>
          </w:p>
        </w:tc>
        <w:tc>
          <w:tcPr>
            <w:tcW w:w="657" w:type="dxa"/>
            <w:shd w:val="clear" w:color="auto" w:fill="FFC000"/>
          </w:tcPr>
          <w:p w14:paraId="349FC1DE" w14:textId="77777777" w:rsidR="009713BF" w:rsidRPr="005E3D50" w:rsidRDefault="009713BF" w:rsidP="009713BF">
            <w:pPr>
              <w:rPr>
                <w:lang w:val="es-ES"/>
              </w:rPr>
            </w:pPr>
            <w:r w:rsidRPr="005E3D50">
              <w:rPr>
                <w:lang w:val="es-ES"/>
              </w:rPr>
              <w:t>39</w:t>
            </w:r>
          </w:p>
        </w:tc>
      </w:tr>
      <w:tr w:rsidR="009713BF" w:rsidRPr="005E3D50" w14:paraId="7D6C70F2" w14:textId="77777777" w:rsidTr="006E6831">
        <w:tc>
          <w:tcPr>
            <w:tcW w:w="8359" w:type="dxa"/>
            <w:tcMar>
              <w:top w:w="29" w:type="dxa"/>
              <w:left w:w="115" w:type="dxa"/>
              <w:bottom w:w="29" w:type="dxa"/>
              <w:right w:w="115" w:type="dxa"/>
            </w:tcMar>
          </w:tcPr>
          <w:p w14:paraId="149663B7" w14:textId="77777777" w:rsidR="009713BF" w:rsidRPr="005E3D50" w:rsidRDefault="009713BF" w:rsidP="009713BF">
            <w:pPr>
              <w:rPr>
                <w:sz w:val="21"/>
                <w:szCs w:val="21"/>
                <w:lang w:val="es-ES"/>
              </w:rPr>
            </w:pPr>
            <w:r w:rsidRPr="005E3D50">
              <w:rPr>
                <w:sz w:val="21"/>
                <w:lang w:val="es-ES"/>
              </w:rPr>
              <w:t>Tomar medidas jurídicas, administrativas o de políticas para alentar y habilitar a las empresas para que hagan un seguimiento y una evaluación de sus impactos en la biodiversidad y los den a conocer de manera transparente</w:t>
            </w:r>
          </w:p>
        </w:tc>
        <w:tc>
          <w:tcPr>
            <w:tcW w:w="657" w:type="dxa"/>
            <w:shd w:val="clear" w:color="auto" w:fill="FFFF00"/>
          </w:tcPr>
          <w:p w14:paraId="687C238B" w14:textId="77777777" w:rsidR="009713BF" w:rsidRPr="005E3D50" w:rsidRDefault="009713BF" w:rsidP="009713BF">
            <w:pPr>
              <w:rPr>
                <w:lang w:val="es-ES"/>
              </w:rPr>
            </w:pPr>
            <w:r w:rsidRPr="005E3D50">
              <w:rPr>
                <w:lang w:val="es-ES"/>
              </w:rPr>
              <w:t>57</w:t>
            </w:r>
          </w:p>
        </w:tc>
      </w:tr>
      <w:tr w:rsidR="009713BF" w:rsidRPr="005E3D50" w14:paraId="058FD595" w14:textId="77777777" w:rsidTr="006E6831">
        <w:tc>
          <w:tcPr>
            <w:tcW w:w="8359" w:type="dxa"/>
            <w:tcMar>
              <w:top w:w="29" w:type="dxa"/>
              <w:left w:w="115" w:type="dxa"/>
              <w:bottom w:w="29" w:type="dxa"/>
              <w:right w:w="115" w:type="dxa"/>
            </w:tcMar>
          </w:tcPr>
          <w:p w14:paraId="4435F1DE" w14:textId="77777777" w:rsidR="009713BF" w:rsidRPr="005E3D50" w:rsidRDefault="009713BF" w:rsidP="009713BF">
            <w:pPr>
              <w:rPr>
                <w:sz w:val="21"/>
                <w:szCs w:val="21"/>
                <w:lang w:val="es-ES"/>
              </w:rPr>
            </w:pPr>
            <w:r w:rsidRPr="005E3D50">
              <w:rPr>
                <w:sz w:val="21"/>
                <w:lang w:val="es-ES"/>
              </w:rPr>
              <w:lastRenderedPageBreak/>
              <w:t>Tomar medidas jurídicas, administrativas o de políticas para alentar y habilitar a las empresas para que proporcionen la información necesaria a los consumidores a fin de promover modalidades de consumo sostenibles</w:t>
            </w:r>
          </w:p>
        </w:tc>
        <w:tc>
          <w:tcPr>
            <w:tcW w:w="657" w:type="dxa"/>
            <w:shd w:val="clear" w:color="auto" w:fill="FFC000"/>
          </w:tcPr>
          <w:p w14:paraId="648CB886" w14:textId="77777777" w:rsidR="009713BF" w:rsidRPr="005E3D50" w:rsidRDefault="009713BF" w:rsidP="009713BF">
            <w:pPr>
              <w:rPr>
                <w:lang w:val="es-ES"/>
              </w:rPr>
            </w:pPr>
            <w:r w:rsidRPr="005E3D50">
              <w:rPr>
                <w:lang w:val="es-ES"/>
              </w:rPr>
              <w:t>37</w:t>
            </w:r>
          </w:p>
        </w:tc>
      </w:tr>
      <w:tr w:rsidR="009713BF" w:rsidRPr="005E3D50" w14:paraId="379DFD1B" w14:textId="77777777" w:rsidTr="006E6831">
        <w:tc>
          <w:tcPr>
            <w:tcW w:w="8359" w:type="dxa"/>
            <w:tcMar>
              <w:top w:w="29" w:type="dxa"/>
              <w:left w:w="115" w:type="dxa"/>
              <w:bottom w:w="29" w:type="dxa"/>
              <w:right w:w="115" w:type="dxa"/>
            </w:tcMar>
          </w:tcPr>
          <w:p w14:paraId="7A0173FE" w14:textId="77777777" w:rsidR="009713BF" w:rsidRPr="005E3D50" w:rsidRDefault="009713BF" w:rsidP="009713BF">
            <w:pPr>
              <w:rPr>
                <w:sz w:val="21"/>
                <w:szCs w:val="21"/>
                <w:lang w:val="es-ES"/>
              </w:rPr>
            </w:pPr>
            <w:r w:rsidRPr="005E3D50">
              <w:rPr>
                <w:sz w:val="21"/>
                <w:lang w:val="es-ES"/>
              </w:rPr>
              <w:t>Tomar medidas jurídicas, administrativas o de políticas para alentar y habilitar a las empresas para que informen sobre el cumplimiento de los reglamentos y medidas de acceso y participación en los beneficios, según proceda</w:t>
            </w:r>
          </w:p>
        </w:tc>
        <w:tc>
          <w:tcPr>
            <w:tcW w:w="657" w:type="dxa"/>
            <w:shd w:val="clear" w:color="auto" w:fill="EE0000"/>
          </w:tcPr>
          <w:p w14:paraId="24CBC053" w14:textId="77777777" w:rsidR="009713BF" w:rsidRPr="005E3D50" w:rsidRDefault="009713BF" w:rsidP="009713BF">
            <w:pPr>
              <w:rPr>
                <w:lang w:val="es-ES"/>
              </w:rPr>
            </w:pPr>
            <w:r w:rsidRPr="005E3D50">
              <w:rPr>
                <w:lang w:val="es-ES"/>
              </w:rPr>
              <w:t>19</w:t>
            </w:r>
          </w:p>
        </w:tc>
      </w:tr>
      <w:tr w:rsidR="009713BF" w:rsidRPr="005E3D50" w14:paraId="390EF59A" w14:textId="77777777" w:rsidTr="006E6831">
        <w:tc>
          <w:tcPr>
            <w:tcW w:w="9016" w:type="dxa"/>
            <w:gridSpan w:val="2"/>
          </w:tcPr>
          <w:p w14:paraId="4303BD31" w14:textId="77777777" w:rsidR="009713BF" w:rsidRPr="005E3D50" w:rsidRDefault="009713BF" w:rsidP="009713BF">
            <w:pPr>
              <w:rPr>
                <w:lang w:val="es-ES"/>
              </w:rPr>
            </w:pPr>
          </w:p>
          <w:p w14:paraId="017DC61D"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40 % de estos elementos en sus metas nacionales</w:t>
            </w:r>
          </w:p>
          <w:p w14:paraId="5125FAAF" w14:textId="77777777" w:rsidR="009713BF" w:rsidRPr="005E3D50" w:rsidRDefault="009713BF" w:rsidP="009713BF">
            <w:pPr>
              <w:rPr>
                <w:lang w:val="es-ES"/>
              </w:rPr>
            </w:pPr>
          </w:p>
        </w:tc>
      </w:tr>
    </w:tbl>
    <w:p w14:paraId="0DF0D4B6"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p w14:paraId="6B1D13B2"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55897BBD"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54"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55"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165CE70A" w14:textId="77777777" w:rsidR="009713BF" w:rsidRPr="005E3D50" w:rsidRDefault="009713BF" w:rsidP="009713BF">
      <w:pPr>
        <w:keepNext/>
        <w:spacing w:after="200" w:line="240" w:lineRule="auto"/>
        <w:rPr>
          <w:rFonts w:eastAsiaTheme="minorEastAsia"/>
          <w:color w:val="0E2841" w:themeColor="text2"/>
          <w:kern w:val="0"/>
          <w:sz w:val="18"/>
          <w:szCs w:val="18"/>
          <w:lang w:val="es-ES" w:eastAsia="ja-JP"/>
          <w14:ligatures w14:val="none"/>
        </w:rPr>
      </w:pPr>
    </w:p>
    <w:p w14:paraId="05183B42" w14:textId="77777777" w:rsidR="009713BF" w:rsidRPr="005E3D50" w:rsidRDefault="009713BF" w:rsidP="009713BF">
      <w:pPr>
        <w:rPr>
          <w:lang w:val="es-ES"/>
        </w:rPr>
      </w:pPr>
      <w:r w:rsidRPr="005E3D50">
        <w:rPr>
          <w:lang w:val="es-ES"/>
        </w:rPr>
        <w:t>Una mayoría de Partes (57 %) han abordado en cierta medida el elemento de la Meta 15 que tiene que ver con medidas para alentar y habilitar a las empresas para que hagan un seguimiento y una evaluación de sus impactos en la biodiversidad y los den a conocer (véase el cuadro 32). Menos de la mitad de las Partes han abordado específicamente los riesgos que plantean las empresas con respecto a la biodiversidad (48 %), las dependencias de la biodiversidad que tienen las empresas (39 %) y han tomado medidas para alentar y habilitar a las empresas para que proporcionen la información necesaria a los consumidores a fin de promover modalidades de consumo sostenibles (37 %). Menos de un quinto (19 %) presentaron metas nacionales que alientan y habilitan a las empresas para que informen sobre el cumplimiento de los reglamentos y las medidas de acceso y participación en los beneficios.</w:t>
      </w:r>
    </w:p>
    <w:p w14:paraId="0DA6178A"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p w14:paraId="37E1C454"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00" w:name="_Toc235821234"/>
      <w:r w:rsidRPr="005E3D50">
        <w:rPr>
          <w:rFonts w:eastAsiaTheme="majorEastAsia" w:cstheme="majorBidi"/>
          <w:color w:val="0F4761" w:themeColor="accent1" w:themeShade="BF"/>
          <w:lang w:val="es-ES"/>
        </w:rPr>
        <w:t>Indicadores de progresos</w:t>
      </w:r>
      <w:bookmarkEnd w:id="400"/>
    </w:p>
    <w:p w14:paraId="6B359105"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01096A1A"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33 </w:t>
      </w:r>
    </w:p>
    <w:p w14:paraId="61380F88"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15 del Marco</w:t>
      </w:r>
    </w:p>
    <w:p w14:paraId="3EB8B511" w14:textId="77777777" w:rsidR="009713BF" w:rsidRPr="005E3D50" w:rsidRDefault="009713BF" w:rsidP="009713BF">
      <w:pPr>
        <w:rPr>
          <w:lang w:val="es-ES" w:eastAsia="ja-JP"/>
        </w:rPr>
      </w:pPr>
    </w:p>
    <w:tbl>
      <w:tblPr>
        <w:tblW w:w="10201" w:type="dxa"/>
        <w:tblLook w:val="04A0" w:firstRow="1" w:lastRow="0" w:firstColumn="1" w:lastColumn="0" w:noHBand="0" w:noVBand="1"/>
      </w:tblPr>
      <w:tblGrid>
        <w:gridCol w:w="3240"/>
        <w:gridCol w:w="2425"/>
        <w:gridCol w:w="709"/>
        <w:gridCol w:w="3119"/>
        <w:gridCol w:w="708"/>
      </w:tblGrid>
      <w:tr w:rsidR="009713BF" w:rsidRPr="005E3D50" w14:paraId="465E66BC"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4F07184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5E3A4F9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827" w:type="dxa"/>
            <w:gridSpan w:val="2"/>
            <w:tcBorders>
              <w:top w:val="single" w:sz="4" w:space="0" w:color="auto"/>
              <w:left w:val="nil"/>
              <w:bottom w:val="single" w:sz="4" w:space="0" w:color="auto"/>
              <w:right w:val="single" w:sz="4" w:space="0" w:color="auto"/>
            </w:tcBorders>
            <w:vAlign w:val="center"/>
          </w:tcPr>
          <w:p w14:paraId="7E0CA68D"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678F395D"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98095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lastRenderedPageBreak/>
              <w:t>Indicador de cabecera 15.1: número de empresas que divulgan información sobre sus riesgos, dependencias e impactos relacionados con la diversidad biológica</w:t>
            </w:r>
          </w:p>
        </w:tc>
        <w:tc>
          <w:tcPr>
            <w:tcW w:w="2425" w:type="dxa"/>
            <w:tcBorders>
              <w:top w:val="single" w:sz="4" w:space="0" w:color="auto"/>
              <w:left w:val="nil"/>
              <w:bottom w:val="single" w:sz="4" w:space="0" w:color="auto"/>
              <w:right w:val="single" w:sz="4" w:space="0" w:color="auto"/>
            </w:tcBorders>
            <w:vAlign w:val="center"/>
            <w:hideMark/>
          </w:tcPr>
          <w:p w14:paraId="19AB6703"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19 % de las Partes</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5F9BA31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19" w:type="dxa"/>
            <w:tcBorders>
              <w:top w:val="single" w:sz="4" w:space="0" w:color="auto"/>
              <w:left w:val="nil"/>
              <w:bottom w:val="single" w:sz="4" w:space="0" w:color="auto"/>
              <w:right w:val="single" w:sz="4" w:space="0" w:color="auto"/>
            </w:tcBorders>
            <w:vAlign w:val="center"/>
            <w:hideMark/>
          </w:tcPr>
          <w:p w14:paraId="70CCDB1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Un total de 5.477 empresas divulgan información</w:t>
            </w:r>
          </w:p>
          <w:p w14:paraId="7DFDAF22"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(las divulgaciones van en aumento)</w:t>
            </w:r>
          </w:p>
        </w:tc>
        <w:tc>
          <w:tcPr>
            <w:tcW w:w="708"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0834AAF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7216BB06"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7C98A61C"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15.b: 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 biológica, aumenten sus impactos positivos, reduzcan sus riesgos relacionados con la diversidad biológica y promuevan acciones encaminadas a lograr modalidades de producción sostenibles</w:t>
            </w:r>
          </w:p>
        </w:tc>
        <w:tc>
          <w:tcPr>
            <w:tcW w:w="2425" w:type="dxa"/>
            <w:tcBorders>
              <w:top w:val="nil"/>
              <w:left w:val="nil"/>
              <w:bottom w:val="single" w:sz="4" w:space="0" w:color="auto"/>
              <w:right w:val="single" w:sz="4" w:space="0" w:color="auto"/>
            </w:tcBorders>
            <w:vAlign w:val="center"/>
            <w:hideMark/>
          </w:tcPr>
          <w:p w14:paraId="07296DA5"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9" w:type="dxa"/>
            <w:tcBorders>
              <w:top w:val="nil"/>
              <w:left w:val="nil"/>
              <w:bottom w:val="single" w:sz="4" w:space="0" w:color="auto"/>
              <w:right w:val="single" w:sz="4" w:space="0" w:color="auto"/>
            </w:tcBorders>
            <w:vAlign w:val="center"/>
            <w:hideMark/>
          </w:tcPr>
          <w:p w14:paraId="5B6014F4"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n. </w:t>
            </w:r>
            <w:proofErr w:type="spellStart"/>
            <w:proofErr w:type="gramStart"/>
            <w:r w:rsidRPr="005E3D50">
              <w:rPr>
                <w:rFonts w:ascii="Aptos" w:hAnsi="Aptos"/>
                <w:color w:val="000000"/>
                <w:sz w:val="20"/>
                <w:lang w:val="es-ES"/>
              </w:rPr>
              <w:t>a.</w:t>
            </w:r>
            <w:r w:rsidRPr="005E3D50">
              <w:rPr>
                <w:rFonts w:ascii="Aptos" w:hAnsi="Aptos"/>
                <w:i/>
                <w:color w:val="000000"/>
                <w:sz w:val="20"/>
                <w:vertAlign w:val="superscript"/>
                <w:lang w:val="es-ES"/>
              </w:rPr>
              <w:t>a</w:t>
            </w:r>
            <w:proofErr w:type="spellEnd"/>
            <w:proofErr w:type="gramEnd"/>
          </w:p>
        </w:tc>
        <w:tc>
          <w:tcPr>
            <w:tcW w:w="3119" w:type="dxa"/>
            <w:tcBorders>
              <w:top w:val="nil"/>
              <w:left w:val="nil"/>
              <w:bottom w:val="single" w:sz="4" w:space="0" w:color="auto"/>
              <w:right w:val="single" w:sz="4" w:space="0" w:color="auto"/>
            </w:tcBorders>
            <w:vAlign w:val="center"/>
            <w:hideMark/>
          </w:tcPr>
          <w:p w14:paraId="1010AF75"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24 % de las Partes tuvieron una puntuación alta (puntuación de 4 o 5)</w:t>
            </w:r>
          </w:p>
        </w:tc>
        <w:tc>
          <w:tcPr>
            <w:tcW w:w="708" w:type="dxa"/>
            <w:tcBorders>
              <w:top w:val="nil"/>
              <w:left w:val="nil"/>
              <w:bottom w:val="single" w:sz="4" w:space="0" w:color="auto"/>
              <w:right w:val="single" w:sz="4" w:space="0" w:color="auto"/>
            </w:tcBorders>
            <w:shd w:val="clear" w:color="000000" w:fill="C00000"/>
            <w:vAlign w:val="center"/>
            <w:hideMark/>
          </w:tcPr>
          <w:p w14:paraId="6B27D4AC"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43BF8B80"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D11CEC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425" w:type="dxa"/>
            <w:tcBorders>
              <w:top w:val="nil"/>
              <w:left w:val="nil"/>
              <w:bottom w:val="single" w:sz="4" w:space="0" w:color="auto"/>
              <w:right w:val="single" w:sz="4" w:space="0" w:color="auto"/>
            </w:tcBorders>
            <w:vAlign w:val="center"/>
            <w:hideMark/>
          </w:tcPr>
          <w:p w14:paraId="5F36EDBA"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35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27 %</w:t>
            </w:r>
          </w:p>
        </w:tc>
        <w:tc>
          <w:tcPr>
            <w:tcW w:w="709" w:type="dxa"/>
            <w:tcBorders>
              <w:top w:val="nil"/>
              <w:left w:val="nil"/>
              <w:bottom w:val="single" w:sz="4" w:space="0" w:color="auto"/>
              <w:right w:val="nil"/>
            </w:tcBorders>
            <w:shd w:val="clear" w:color="auto" w:fill="C00000"/>
            <w:vAlign w:val="center"/>
            <w:hideMark/>
          </w:tcPr>
          <w:p w14:paraId="594AEA6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119" w:type="dxa"/>
            <w:tcBorders>
              <w:top w:val="nil"/>
              <w:left w:val="single" w:sz="4" w:space="0" w:color="auto"/>
              <w:bottom w:val="single" w:sz="4" w:space="0" w:color="auto"/>
              <w:right w:val="single" w:sz="4" w:space="0" w:color="auto"/>
            </w:tcBorders>
            <w:vAlign w:val="center"/>
            <w:hideMark/>
          </w:tcPr>
          <w:p w14:paraId="2A0EAE6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59 % registran tendencias positivas</w:t>
            </w:r>
          </w:p>
          <w:p w14:paraId="1046A35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10 % registran tendencias negativas</w:t>
            </w:r>
          </w:p>
        </w:tc>
        <w:tc>
          <w:tcPr>
            <w:tcW w:w="708" w:type="dxa"/>
            <w:tcBorders>
              <w:top w:val="nil"/>
              <w:left w:val="nil"/>
              <w:bottom w:val="single" w:sz="4" w:space="0" w:color="auto"/>
              <w:right w:val="single" w:sz="4" w:space="0" w:color="auto"/>
            </w:tcBorders>
            <w:shd w:val="clear" w:color="000000" w:fill="92D050"/>
            <w:vAlign w:val="center"/>
            <w:hideMark/>
          </w:tcPr>
          <w:p w14:paraId="00F4A08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71573909"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26577E4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Observaciones</w:t>
            </w:r>
          </w:p>
        </w:tc>
        <w:tc>
          <w:tcPr>
            <w:tcW w:w="6961" w:type="dxa"/>
            <w:gridSpan w:val="4"/>
            <w:tcBorders>
              <w:top w:val="nil"/>
              <w:left w:val="nil"/>
              <w:bottom w:val="single" w:sz="4" w:space="0" w:color="auto"/>
              <w:right w:val="single" w:sz="4" w:space="0" w:color="auto"/>
            </w:tcBorders>
            <w:vAlign w:val="center"/>
          </w:tcPr>
          <w:p w14:paraId="05942165"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Las comunicaciones incluyen desgloses por norma de presentación de informes, tamaño de empresa y tipos de divulgación.</w:t>
            </w:r>
          </w:p>
          <w:p w14:paraId="1ED1CAA1"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No todas las comunicaciones se centran únicamente en divulgaciones relacionadas con la biodiversidad; algunas pueden incluir informes ambientales, sociales y de gobernanza.</w:t>
            </w:r>
          </w:p>
        </w:tc>
      </w:tr>
    </w:tbl>
    <w:p w14:paraId="3A33F11A"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75B53C66"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44DAF99C"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1FA6A686" w14:textId="77777777" w:rsidR="009713BF" w:rsidRPr="005E3D50" w:rsidRDefault="009713BF" w:rsidP="009713BF">
      <w:pPr>
        <w:rPr>
          <w:rFonts w:ascii="Aptos" w:hAnsi="Aptos"/>
          <w:strike/>
          <w:lang w:val="es-ES"/>
        </w:rPr>
      </w:pPr>
    </w:p>
    <w:p w14:paraId="574F15C8" w14:textId="77777777" w:rsidR="009713BF" w:rsidRPr="005E3D50" w:rsidRDefault="009713BF" w:rsidP="009713BF">
      <w:pPr>
        <w:spacing w:after="200" w:line="240" w:lineRule="auto"/>
        <w:rPr>
          <w:rFonts w:ascii="Aptos" w:eastAsiaTheme="minorEastAsia" w:hAnsi="Aptos"/>
          <w:iCs/>
          <w:color w:val="000000" w:themeColor="text1"/>
          <w:kern w:val="0"/>
          <w:lang w:val="es-ES" w:eastAsia="ja-JP"/>
          <w14:ligatures w14:val="none"/>
        </w:rPr>
      </w:pPr>
      <w:r w:rsidRPr="005E3D50">
        <w:rPr>
          <w:rFonts w:eastAsiaTheme="minorEastAsia"/>
          <w:iCs/>
          <w:color w:val="000000" w:themeColor="text1"/>
          <w:kern w:val="0"/>
          <w:szCs w:val="18"/>
          <w:lang w:val="es-ES" w:eastAsia="ja-JP"/>
          <w14:ligatures w14:val="none"/>
        </w:rPr>
        <w:lastRenderedPageBreak/>
        <w:t>Muchas Partes comentaron sobre la dificultad que supone el seguimiento de la meta 15. El carácter voluntario de la presentación de informes por parte de las empresas, así como la diversidad de marcos de presentación de informes usados por el sector privado fueron algunas de las cuestiones que plantearon muchas Partes como obstáculos para la presentación de informes a nivel nacional.</w:t>
      </w:r>
      <w:r w:rsidRPr="005E3D50">
        <w:rPr>
          <w:rFonts w:ascii="Aptos" w:eastAsiaTheme="minorEastAsia" w:hAnsi="Aptos"/>
          <w:iCs/>
          <w:color w:val="000000" w:themeColor="text1"/>
          <w:kern w:val="0"/>
          <w:szCs w:val="18"/>
          <w:lang w:val="es-ES" w:eastAsia="ja-JP"/>
          <w14:ligatures w14:val="none"/>
        </w:rPr>
        <w:t xml:space="preserve"> En particular, la falta de normas y plataformas centralizadas de presentación de informes dificulta el acceso a datos por parte de los Gobiernos, que muchas veces tienen que depender de iniciativas más generales de presentación de informes ambientales, sociales y de gobernanza. Esto puede inflar los cálculos para el indicador, dado que tales divulgaciones pueden no estar directamente relacionadas con la diversidad biológica. Por otra parte, cuando las divulgaciones no están centralizadas también puede suceder que los cálculos resulten inferiores a la realidad. Más allá de estas cuestiones, el 27 % de las Partes proporcionó información para el indicador de cabecera 15.1 (número de empresas que divulgan información sobre sus riesgos, dependencias e impactos relacionados con la diversidad biológica), abarcando en total más de 5.000 empresas, lo que estaría indicando que entre 2020 y 2025 hubo un aumento en el número de empresas que divulgaron riesgos relacionados con la diversidad biológica (véanse el cuadro 33 y </w:t>
      </w:r>
      <w:r w:rsidRPr="005E3D50">
        <w:rPr>
          <w:rFonts w:eastAsiaTheme="minorEastAsia"/>
          <w:iCs/>
          <w:color w:val="000000" w:themeColor="text1"/>
          <w:kern w:val="0"/>
          <w:szCs w:val="18"/>
          <w:lang w:val="es-ES" w:eastAsia="ja-JP"/>
          <w14:ligatures w14:val="none"/>
        </w:rPr>
        <w:t>la figura 63</w:t>
      </w:r>
      <w:r w:rsidRPr="005E3D50">
        <w:rPr>
          <w:rFonts w:ascii="Aptos" w:eastAsiaTheme="minorEastAsia" w:hAnsi="Aptos"/>
          <w:iCs/>
          <w:color w:val="000000" w:themeColor="text1"/>
          <w:kern w:val="0"/>
          <w:szCs w:val="18"/>
          <w:lang w:val="es-ES" w:eastAsia="ja-JP"/>
          <w14:ligatures w14:val="none"/>
        </w:rPr>
        <w:t>).</w:t>
      </w:r>
    </w:p>
    <w:p w14:paraId="10036EDA" w14:textId="77777777" w:rsidR="009713BF" w:rsidRPr="005E3D50" w:rsidRDefault="009713BF" w:rsidP="009713BF">
      <w:pPr>
        <w:spacing w:line="240" w:lineRule="auto"/>
        <w:rPr>
          <w:rFonts w:ascii="Aptos" w:hAnsi="Aptos"/>
          <w:lang w:val="es-ES"/>
        </w:rPr>
      </w:pPr>
      <w:r w:rsidRPr="005E3D50">
        <w:rPr>
          <w:lang w:val="es-ES"/>
        </w:rPr>
        <w:t xml:space="preserve">En su informe </w:t>
      </w:r>
      <w:r w:rsidRPr="005E3D50">
        <w:rPr>
          <w:i/>
          <w:lang w:val="es-ES"/>
        </w:rPr>
        <w:t xml:space="preserve">Biodiversity and Business </w:t>
      </w:r>
      <w:proofErr w:type="spellStart"/>
      <w:r w:rsidRPr="005E3D50">
        <w:rPr>
          <w:i/>
          <w:lang w:val="es-ES"/>
        </w:rPr>
        <w:t>Assessment</w:t>
      </w:r>
      <w:proofErr w:type="spellEnd"/>
      <w:r w:rsidRPr="005E3D50">
        <w:rPr>
          <w:lang w:val="es-ES"/>
        </w:rPr>
        <w:t xml:space="preserve"> (Evaluación de las empresas y la diversidad biológica), la IPBES concluyó que menos del 1 % de las empresas divulgan información sobre diversidad biológica (IPBES, 2026). La organización CDP (anteriormente conocida como Carbon </w:t>
      </w:r>
      <w:proofErr w:type="spellStart"/>
      <w:r w:rsidRPr="005E3D50">
        <w:rPr>
          <w:lang w:val="es-ES"/>
        </w:rPr>
        <w:t>Disclosure</w:t>
      </w:r>
      <w:proofErr w:type="spellEnd"/>
      <w:r w:rsidRPr="005E3D50">
        <w:rPr>
          <w:lang w:val="es-ES"/>
        </w:rPr>
        <w:t xml:space="preserve"> Project) </w:t>
      </w:r>
      <w:r w:rsidRPr="005E3D50">
        <w:rPr>
          <w:rFonts w:ascii="Aptos" w:hAnsi="Aptos"/>
          <w:lang w:val="es-ES"/>
        </w:rPr>
        <w:t>proporciona una base de datos centralizada para el seguimiento de las divulgaciones del sector privado en materia de diversidad biológica (CDP, 2025). La base de datos recoge organizaciones que divulgan información al público y que han establecido procesos para identificar, evaluar y gestionar sus dependencias, impactos y riesgos relacionados con la naturaleza. Incluye datos de 69 países de los cinco grupos regionales de las Naciones Unidas. En 2024, un total de 1.934 organizaciones informaron sobre tales procesos y 2.355 lo hicieron en 2025. Conforme a estos datos, los sectores con el mayor número de organizaciones que divulgan información son los sectores de manufactura, materiales y servicios, mientras que los niveles más bajos de divulgación se registran en los sectores de combustibles fósiles, servicios de transporte y hospitalidad</w:t>
      </w:r>
      <w:r w:rsidRPr="005E3D50">
        <w:rPr>
          <w:lang w:val="es-ES"/>
        </w:rPr>
        <w:t xml:space="preserve"> </w:t>
      </w:r>
      <w:r w:rsidRPr="005E3D50">
        <w:rPr>
          <w:rFonts w:ascii="Aptos" w:hAnsi="Aptos"/>
          <w:lang w:val="es-ES"/>
        </w:rPr>
        <w:t>(</w:t>
      </w:r>
      <w:r w:rsidRPr="005E3D50">
        <w:rPr>
          <w:lang w:val="es-ES"/>
        </w:rPr>
        <w:t>véase el cuadro 34</w:t>
      </w:r>
      <w:r w:rsidRPr="005E3D50">
        <w:rPr>
          <w:rFonts w:ascii="Aptos" w:hAnsi="Aptos"/>
          <w:lang w:val="es-ES"/>
        </w:rPr>
        <w:t>). Los datos de CDP incluyen información de un número de países considerablemente mayor (44) que el de las Partes que presentaron datos sobre el indicador de cabecera para la meta 15 del Marco, pero abarcan un número mucho menor de empresas. Esto podría explicar la dificultad para distinguir entre divulgaciones que tienen que ver realmente con la diversidad biológica y presentaciones de informes empresariales más generales, o la dificultad que supone centralizar datos divulgados por las empresas.</w:t>
      </w:r>
    </w:p>
    <w:p w14:paraId="6EC068D3" w14:textId="77777777" w:rsidR="009713BF" w:rsidRPr="005E3D50" w:rsidRDefault="009713BF" w:rsidP="009713BF">
      <w:pPr>
        <w:rPr>
          <w:lang w:val="es-ES"/>
        </w:rPr>
      </w:pPr>
      <w:r w:rsidRPr="005E3D50">
        <w:rPr>
          <w:lang w:val="es-ES"/>
        </w:rPr>
        <w:t xml:space="preserve">Las puntuaciones de progresos correspondientes al indicador binario de la meta 15 (véase la figura 64) sugieren que las Partes se encuentran mayormente en etapas tempranas de la adopción de medidas dirigidas a alentar y habilitar a las empresas y a las instituciones financieras para que reduzcan sus impactos negativos y sus riesgos y mejoren sus impactos positivos y modalidades de producción sostenibles. Las medidas para cumplir la </w:t>
      </w:r>
      <w:r w:rsidRPr="005E3D50">
        <w:rPr>
          <w:lang w:val="es-ES"/>
        </w:rPr>
        <w:lastRenderedPageBreak/>
        <w:t xml:space="preserve">meta 15 se encuentran mayoritariamente en etapa de elaboración y aún no se han adoptado. Alrededor de dos quintos de las Partes informaron que no han adoptado medidas para garantizar que las empresas compartan información con los consumidores a fin de promover modalidades de consumo sostenibles, para garantizar divulgaciones transparentes o para informar sobre el cumplimiento de los reglamentos de acceso y participación de los beneficios. Un poco más de la mitad de las Partes hacen un seguimiento parcial de los impactos de las empresas en la biodiversidad. </w:t>
      </w:r>
    </w:p>
    <w:p w14:paraId="6682595E" w14:textId="77777777" w:rsidR="009713BF" w:rsidRPr="005E3D50" w:rsidRDefault="009713BF" w:rsidP="009713BF">
      <w:pPr>
        <w:rPr>
          <w:rFonts w:ascii="Aptos" w:hAnsi="Aptos"/>
          <w:i/>
          <w:color w:val="000000" w:themeColor="text1"/>
          <w:lang w:val="es-ES"/>
        </w:rPr>
      </w:pPr>
      <w:r w:rsidRPr="005E3D50">
        <w:rPr>
          <w:rFonts w:ascii="Aptos" w:hAnsi="Aptos"/>
          <w:color w:val="000000" w:themeColor="text1"/>
          <w:lang w:val="es-ES"/>
        </w:rPr>
        <w:t xml:space="preserve">Más de la mitad de los indicadores presentados por las Partes para la meta 15 registran tendencias positivas (véase </w:t>
      </w:r>
      <w:r w:rsidRPr="005E3D50">
        <w:rPr>
          <w:lang w:val="es-ES"/>
        </w:rPr>
        <w:t>la figura 65</w:t>
      </w:r>
      <w:r w:rsidRPr="005E3D50">
        <w:rPr>
          <w:rFonts w:ascii="Aptos" w:hAnsi="Aptos"/>
          <w:color w:val="000000" w:themeColor="text1"/>
          <w:lang w:val="es-ES"/>
        </w:rPr>
        <w:t>),</w:t>
      </w:r>
      <w:r w:rsidRPr="005E3D50">
        <w:rPr>
          <w:rFonts w:ascii="Aptos" w:hAnsi="Aptos"/>
          <w:i/>
          <w:color w:val="000000" w:themeColor="text1"/>
          <w:lang w:val="es-ES"/>
        </w:rPr>
        <w:t xml:space="preserve"> pero solo alrededor de un tercio de estos pueden relacionarse directamente con la meta.</w:t>
      </w:r>
    </w:p>
    <w:p w14:paraId="31AB4896" w14:textId="77777777" w:rsidR="009713BF" w:rsidRPr="005E3D50" w:rsidRDefault="009713BF" w:rsidP="009713BF">
      <w:pPr>
        <w:rPr>
          <w:rFonts w:ascii="Aptos" w:hAnsi="Aptos"/>
          <w:lang w:val="es-ES"/>
        </w:rPr>
      </w:pPr>
    </w:p>
    <w:p w14:paraId="130C6961" w14:textId="77777777" w:rsidR="009713BF" w:rsidRPr="005E3D50" w:rsidRDefault="009713BF" w:rsidP="009713BF">
      <w:pPr>
        <w:spacing w:after="0" w:line="240" w:lineRule="auto"/>
        <w:textAlignment w:val="baseline"/>
        <w:rPr>
          <w:sz w:val="20"/>
          <w:szCs w:val="20"/>
          <w:lang w:val="es-ES"/>
        </w:rPr>
      </w:pPr>
      <w:r w:rsidRPr="005E3D50">
        <w:rPr>
          <w:sz w:val="20"/>
          <w:lang w:val="es-ES"/>
        </w:rPr>
        <w:t>Figura 63</w:t>
      </w:r>
    </w:p>
    <w:p w14:paraId="5E335B45" w14:textId="77777777" w:rsidR="009713BF" w:rsidRPr="005E3D50" w:rsidRDefault="009713BF" w:rsidP="009713BF">
      <w:pPr>
        <w:rPr>
          <w:rFonts w:ascii="Aptos" w:hAnsi="Aptos"/>
          <w:b/>
          <w:bCs/>
          <w:sz w:val="20"/>
          <w:szCs w:val="20"/>
          <w:lang w:val="es-ES"/>
        </w:rPr>
      </w:pPr>
      <w:r w:rsidRPr="005E3D50">
        <w:rPr>
          <w:rFonts w:ascii="Aptos" w:hAnsi="Aptos"/>
          <w:b/>
          <w:sz w:val="20"/>
          <w:lang w:val="es-ES"/>
        </w:rPr>
        <w:t>Indicador de cabecera 15.1: número de empresas que divulgan información sobre sus riesgos, dependencias e impactos relacionados con la diversidad biológica</w:t>
      </w:r>
    </w:p>
    <w:p w14:paraId="73414646" w14:textId="77777777" w:rsidR="009713BF" w:rsidRPr="005E3D50" w:rsidRDefault="009713BF" w:rsidP="009713BF">
      <w:pPr>
        <w:spacing w:after="0" w:line="240" w:lineRule="auto"/>
        <w:textAlignment w:val="baseline"/>
        <w:rPr>
          <w:rFonts w:ascii="Aptos" w:eastAsia="Times New Roman" w:hAnsi="Aptos" w:cs="Segoe UI"/>
          <w:kern w:val="0"/>
          <w:sz w:val="20"/>
          <w:szCs w:val="20"/>
          <w:lang w:val="es-ES"/>
          <w14:ligatures w14:val="none"/>
        </w:rPr>
      </w:pPr>
    </w:p>
    <w:p w14:paraId="2A31CDF6" w14:textId="77777777" w:rsidR="009713BF" w:rsidRPr="005E3D50" w:rsidRDefault="009713BF" w:rsidP="009713BF">
      <w:pPr>
        <w:spacing w:after="200" w:line="240" w:lineRule="auto"/>
        <w:rPr>
          <w:rFonts w:ascii="Aptos" w:eastAsia="Times New Roman" w:hAnsi="Aptos" w:cs="Segoe UI"/>
          <w:i/>
          <w:iCs/>
          <w:color w:val="000000"/>
          <w:kern w:val="0"/>
          <w:sz w:val="18"/>
          <w:szCs w:val="18"/>
          <w:lang w:val="es-ES" w:eastAsia="ja-JP"/>
          <w14:ligatures w14:val="none"/>
        </w:rPr>
      </w:pPr>
      <w:bookmarkStart w:id="401" w:name="_Ref234591540"/>
      <w:r w:rsidRPr="005E3D50">
        <w:rPr>
          <w:rFonts w:ascii="Aptos" w:eastAsiaTheme="minorEastAsia" w:hAnsi="Aptos"/>
          <w:i/>
          <w:iCs/>
          <w:noProof/>
          <w:color w:val="0E2841" w:themeColor="text2"/>
          <w:kern w:val="0"/>
          <w:sz w:val="18"/>
          <w:szCs w:val="18"/>
          <w:lang w:val="en-US"/>
          <w14:ligatures w14:val="none"/>
        </w:rPr>
        <w:drawing>
          <wp:inline distT="0" distB="0" distL="0" distR="0" wp14:anchorId="24F80A76" wp14:editId="5AB61E6B">
            <wp:extent cx="4272897" cy="3204909"/>
            <wp:effectExtent l="0" t="0" r="0" b="0"/>
            <wp:docPr id="98876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654" name="Picture 98876654"/>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4283187" cy="3212627"/>
                    </a:xfrm>
                    <a:prstGeom prst="rect">
                      <a:avLst/>
                    </a:prstGeom>
                  </pic:spPr>
                </pic:pic>
              </a:graphicData>
            </a:graphic>
          </wp:inline>
        </w:drawing>
      </w:r>
      <w:bookmarkEnd w:id="401"/>
    </w:p>
    <w:p w14:paraId="53B72ACF"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Los valores de los indicadores muestran el número acumulado de empresas que divulgan año a año en todas las Partes que presentan información (cabe señalar que no todas las Partes presentaron información todos los años).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84" w:type="dxa"/>
        <w:tblLook w:val="04A0" w:firstRow="1" w:lastRow="0" w:firstColumn="1" w:lastColumn="0" w:noHBand="0" w:noVBand="1"/>
      </w:tblPr>
      <w:tblGrid>
        <w:gridCol w:w="5398"/>
        <w:gridCol w:w="3986"/>
      </w:tblGrid>
      <w:tr w:rsidR="00564B54" w:rsidRPr="00564B54" w14:paraId="5419AA5F" w14:textId="77777777" w:rsidTr="00564B54">
        <w:tc>
          <w:tcPr>
            <w:tcW w:w="9384" w:type="dxa"/>
            <w:gridSpan w:val="2"/>
          </w:tcPr>
          <w:p w14:paraId="02F03479" w14:textId="28B71503" w:rsidR="00564B54" w:rsidRPr="00564B54" w:rsidRDefault="00564B54" w:rsidP="00564B54">
            <w:pPr>
              <w:rPr>
                <w:sz w:val="18"/>
                <w:szCs w:val="18"/>
                <w:lang w:val="es-ES"/>
              </w:rPr>
            </w:pPr>
            <w:r w:rsidRPr="00564B54">
              <w:rPr>
                <w:sz w:val="18"/>
                <w:szCs w:val="18"/>
                <w:lang w:val="es-ES"/>
              </w:rPr>
              <w:t>Figura 63</w:t>
            </w:r>
          </w:p>
        </w:tc>
      </w:tr>
      <w:tr w:rsidR="00564B54" w:rsidRPr="00564B54" w14:paraId="474D7F35" w14:textId="77777777" w:rsidTr="00564B54">
        <w:tc>
          <w:tcPr>
            <w:tcW w:w="5398" w:type="dxa"/>
          </w:tcPr>
          <w:p w14:paraId="32F4D351" w14:textId="77777777" w:rsidR="00564B54" w:rsidRPr="00564B54" w:rsidRDefault="00564B54" w:rsidP="00564B54">
            <w:pPr>
              <w:spacing w:line="278" w:lineRule="auto"/>
              <w:rPr>
                <w:sz w:val="18"/>
                <w:szCs w:val="18"/>
                <w:lang w:val="es-ES"/>
              </w:rPr>
            </w:pPr>
            <w:r w:rsidRPr="00564B54">
              <w:rPr>
                <w:sz w:val="18"/>
                <w:szCs w:val="18"/>
                <w:lang w:val="es-ES"/>
              </w:rPr>
              <w:t xml:space="preserve">English </w:t>
            </w:r>
          </w:p>
        </w:tc>
        <w:tc>
          <w:tcPr>
            <w:tcW w:w="3986" w:type="dxa"/>
          </w:tcPr>
          <w:p w14:paraId="755BAAA1" w14:textId="3A527147" w:rsidR="00564B54" w:rsidRPr="00564B54" w:rsidRDefault="007371B4" w:rsidP="00564B54">
            <w:pPr>
              <w:spacing w:line="278" w:lineRule="auto"/>
              <w:rPr>
                <w:sz w:val="18"/>
                <w:szCs w:val="18"/>
                <w:lang w:val="es-ES"/>
              </w:rPr>
            </w:pPr>
            <w:r>
              <w:rPr>
                <w:sz w:val="18"/>
                <w:szCs w:val="18"/>
                <w:lang w:val="es-ES"/>
              </w:rPr>
              <w:t>Español</w:t>
            </w:r>
          </w:p>
        </w:tc>
      </w:tr>
      <w:tr w:rsidR="00564B54" w:rsidRPr="00564B54" w14:paraId="1DBD53C1" w14:textId="77777777" w:rsidTr="00564B54">
        <w:tc>
          <w:tcPr>
            <w:tcW w:w="5398" w:type="dxa"/>
          </w:tcPr>
          <w:p w14:paraId="0315F763" w14:textId="77777777" w:rsidR="00564B54" w:rsidRPr="00564B54" w:rsidRDefault="00564B54" w:rsidP="00564B54">
            <w:pPr>
              <w:spacing w:line="278" w:lineRule="auto"/>
              <w:rPr>
                <w:sz w:val="18"/>
                <w:szCs w:val="18"/>
                <w:lang w:val="es-ES"/>
              </w:rPr>
            </w:pPr>
            <w:proofErr w:type="spellStart"/>
            <w:r w:rsidRPr="00564B54">
              <w:rPr>
                <w:sz w:val="18"/>
                <w:szCs w:val="18"/>
                <w:lang w:val="es-ES"/>
              </w:rPr>
              <w:lastRenderedPageBreak/>
              <w:t>Companies</w:t>
            </w:r>
            <w:proofErr w:type="spellEnd"/>
            <w:r w:rsidRPr="00564B54">
              <w:rPr>
                <w:sz w:val="18"/>
                <w:szCs w:val="18"/>
                <w:lang w:val="es-ES"/>
              </w:rPr>
              <w:t xml:space="preserve"> </w:t>
            </w:r>
            <w:proofErr w:type="spellStart"/>
            <w:r w:rsidRPr="00564B54">
              <w:rPr>
                <w:sz w:val="18"/>
                <w:szCs w:val="18"/>
                <w:lang w:val="es-ES"/>
              </w:rPr>
              <w:t>reporting</w:t>
            </w:r>
            <w:proofErr w:type="spellEnd"/>
            <w:r w:rsidRPr="00564B54">
              <w:rPr>
                <w:sz w:val="18"/>
                <w:szCs w:val="18"/>
                <w:lang w:val="es-ES"/>
              </w:rPr>
              <w:t xml:space="preserve"> (</w:t>
            </w:r>
            <w:proofErr w:type="spellStart"/>
            <w:r w:rsidRPr="00564B54">
              <w:rPr>
                <w:sz w:val="18"/>
                <w:szCs w:val="18"/>
                <w:lang w:val="es-ES"/>
              </w:rPr>
              <w:t>count</w:t>
            </w:r>
            <w:proofErr w:type="spellEnd"/>
            <w:r w:rsidRPr="00564B54">
              <w:rPr>
                <w:sz w:val="18"/>
                <w:szCs w:val="18"/>
                <w:lang w:val="es-ES"/>
              </w:rPr>
              <w:t>)</w:t>
            </w:r>
          </w:p>
        </w:tc>
        <w:tc>
          <w:tcPr>
            <w:tcW w:w="3986" w:type="dxa"/>
          </w:tcPr>
          <w:p w14:paraId="7CC0505A" w14:textId="511F2D73" w:rsidR="00564B54" w:rsidRPr="00564B54" w:rsidRDefault="00564B54" w:rsidP="00564B54">
            <w:pPr>
              <w:spacing w:line="278" w:lineRule="auto"/>
              <w:rPr>
                <w:sz w:val="18"/>
                <w:szCs w:val="18"/>
                <w:lang w:val="es-ES"/>
              </w:rPr>
            </w:pPr>
            <w:r w:rsidRPr="00564B54">
              <w:rPr>
                <w:sz w:val="18"/>
                <w:szCs w:val="18"/>
                <w:lang w:val="es-ES"/>
              </w:rPr>
              <w:t>Empresas que divulgan información (número)</w:t>
            </w:r>
          </w:p>
        </w:tc>
      </w:tr>
      <w:tr w:rsidR="00564B54" w:rsidRPr="00564B54" w14:paraId="21630011" w14:textId="77777777" w:rsidTr="00564B54">
        <w:tc>
          <w:tcPr>
            <w:tcW w:w="5398" w:type="dxa"/>
          </w:tcPr>
          <w:p w14:paraId="0342E038" w14:textId="77777777" w:rsidR="00564B54" w:rsidRPr="00564B54" w:rsidRDefault="00564B54" w:rsidP="00564B54">
            <w:pPr>
              <w:spacing w:line="278" w:lineRule="auto"/>
              <w:rPr>
                <w:sz w:val="18"/>
                <w:szCs w:val="18"/>
                <w:lang w:val="es-ES"/>
              </w:rPr>
            </w:pPr>
            <w:proofErr w:type="spellStart"/>
            <w:r w:rsidRPr="00564B54">
              <w:rPr>
                <w:sz w:val="18"/>
                <w:szCs w:val="18"/>
                <w:lang w:val="es-ES"/>
              </w:rPr>
              <w:t>Year</w:t>
            </w:r>
            <w:proofErr w:type="spellEnd"/>
          </w:p>
        </w:tc>
        <w:tc>
          <w:tcPr>
            <w:tcW w:w="3986" w:type="dxa"/>
          </w:tcPr>
          <w:p w14:paraId="37A0744C" w14:textId="341F65B3" w:rsidR="00564B54" w:rsidRPr="00564B54" w:rsidRDefault="00564B54" w:rsidP="00564B54">
            <w:pPr>
              <w:spacing w:line="278" w:lineRule="auto"/>
              <w:rPr>
                <w:sz w:val="18"/>
                <w:szCs w:val="18"/>
                <w:lang w:val="es-ES"/>
              </w:rPr>
            </w:pPr>
            <w:r w:rsidRPr="00564B54">
              <w:rPr>
                <w:sz w:val="18"/>
                <w:szCs w:val="18"/>
                <w:lang w:val="es-ES"/>
              </w:rPr>
              <w:t>Año</w:t>
            </w:r>
          </w:p>
        </w:tc>
      </w:tr>
      <w:tr w:rsidR="00564B54" w:rsidRPr="00564B54" w14:paraId="2F41A778" w14:textId="77777777" w:rsidTr="00564B54">
        <w:tc>
          <w:tcPr>
            <w:tcW w:w="5398" w:type="dxa"/>
          </w:tcPr>
          <w:p w14:paraId="6E065AC6" w14:textId="77777777" w:rsidR="00564B54" w:rsidRPr="00564B54" w:rsidRDefault="00564B54" w:rsidP="00564B54">
            <w:pPr>
              <w:spacing w:line="278" w:lineRule="auto"/>
              <w:rPr>
                <w:sz w:val="18"/>
                <w:szCs w:val="18"/>
                <w:lang w:val="es-ES"/>
              </w:rPr>
            </w:pPr>
            <w:r w:rsidRPr="00564B54">
              <w:rPr>
                <w:sz w:val="18"/>
                <w:szCs w:val="18"/>
                <w:lang w:val="es-ES"/>
              </w:rPr>
              <w:t xml:space="preserve">Party </w:t>
            </w:r>
            <w:proofErr w:type="spellStart"/>
            <w:r w:rsidRPr="00564B54">
              <w:rPr>
                <w:sz w:val="18"/>
                <w:szCs w:val="18"/>
                <w:lang w:val="es-ES"/>
              </w:rPr>
              <w:t>count</w:t>
            </w:r>
            <w:proofErr w:type="spellEnd"/>
            <w:r w:rsidRPr="00564B54">
              <w:rPr>
                <w:sz w:val="18"/>
                <w:szCs w:val="18"/>
                <w:lang w:val="es-ES"/>
              </w:rPr>
              <w:t>: 19</w:t>
            </w:r>
          </w:p>
        </w:tc>
        <w:tc>
          <w:tcPr>
            <w:tcW w:w="3986" w:type="dxa"/>
          </w:tcPr>
          <w:p w14:paraId="04D54C87" w14:textId="338D6476" w:rsidR="00564B54" w:rsidRPr="00564B54" w:rsidRDefault="00564B54" w:rsidP="00564B54">
            <w:pPr>
              <w:spacing w:line="278" w:lineRule="auto"/>
              <w:rPr>
                <w:sz w:val="18"/>
                <w:szCs w:val="18"/>
                <w:lang w:val="es-ES"/>
              </w:rPr>
            </w:pPr>
            <w:r w:rsidRPr="00564B54">
              <w:rPr>
                <w:sz w:val="18"/>
                <w:szCs w:val="18"/>
                <w:lang w:val="es-ES"/>
              </w:rPr>
              <w:t>Número de Partes: 19</w:t>
            </w:r>
          </w:p>
        </w:tc>
      </w:tr>
      <w:tr w:rsidR="00564B54" w:rsidRPr="00564B54" w14:paraId="240955F7" w14:textId="77777777" w:rsidTr="00564B54">
        <w:tc>
          <w:tcPr>
            <w:tcW w:w="5398" w:type="dxa"/>
          </w:tcPr>
          <w:p w14:paraId="04C27546" w14:textId="77777777" w:rsidR="00564B54" w:rsidRPr="00564B54" w:rsidRDefault="00564B54" w:rsidP="00564B54">
            <w:pPr>
              <w:spacing w:line="278" w:lineRule="auto"/>
              <w:rPr>
                <w:sz w:val="18"/>
                <w:szCs w:val="18"/>
                <w:lang w:val="es-ES"/>
              </w:rPr>
            </w:pPr>
            <w:r w:rsidRPr="00564B54">
              <w:rPr>
                <w:sz w:val="18"/>
                <w:szCs w:val="18"/>
                <w:lang w:val="es-ES"/>
              </w:rPr>
              <w:t xml:space="preserve">Party </w:t>
            </w:r>
            <w:proofErr w:type="spellStart"/>
            <w:r w:rsidRPr="00564B54">
              <w:rPr>
                <w:sz w:val="18"/>
                <w:szCs w:val="18"/>
                <w:lang w:val="es-ES"/>
              </w:rPr>
              <w:t>count</w:t>
            </w:r>
            <w:proofErr w:type="spellEnd"/>
            <w:r w:rsidRPr="00564B54">
              <w:rPr>
                <w:sz w:val="18"/>
                <w:szCs w:val="18"/>
                <w:lang w:val="es-ES"/>
              </w:rPr>
              <w:t xml:space="preserve"> </w:t>
            </w:r>
            <w:proofErr w:type="spellStart"/>
            <w:r w:rsidRPr="00564B54">
              <w:rPr>
                <w:sz w:val="18"/>
                <w:szCs w:val="18"/>
                <w:lang w:val="es-ES"/>
              </w:rPr>
              <w:t>by</w:t>
            </w:r>
            <w:proofErr w:type="spellEnd"/>
            <w:r w:rsidRPr="00564B54">
              <w:rPr>
                <w:sz w:val="18"/>
                <w:szCs w:val="18"/>
                <w:lang w:val="es-ES"/>
              </w:rPr>
              <w:t xml:space="preserve"> </w:t>
            </w:r>
            <w:proofErr w:type="spellStart"/>
            <w:r w:rsidRPr="00564B54">
              <w:rPr>
                <w:sz w:val="18"/>
                <w:szCs w:val="18"/>
                <w:lang w:val="es-ES"/>
              </w:rPr>
              <w:t>region</w:t>
            </w:r>
            <w:proofErr w:type="spellEnd"/>
          </w:p>
        </w:tc>
        <w:tc>
          <w:tcPr>
            <w:tcW w:w="3986" w:type="dxa"/>
          </w:tcPr>
          <w:p w14:paraId="3319A744" w14:textId="5253D3F0" w:rsidR="00564B54" w:rsidRPr="00564B54" w:rsidRDefault="00564B54" w:rsidP="00564B54">
            <w:pPr>
              <w:spacing w:line="278" w:lineRule="auto"/>
              <w:rPr>
                <w:sz w:val="18"/>
                <w:szCs w:val="18"/>
                <w:lang w:val="es-ES"/>
              </w:rPr>
            </w:pPr>
            <w:r w:rsidRPr="00564B54">
              <w:rPr>
                <w:sz w:val="18"/>
                <w:szCs w:val="18"/>
                <w:lang w:val="es-ES"/>
              </w:rPr>
              <w:t>Número de Partes por región</w:t>
            </w:r>
          </w:p>
        </w:tc>
      </w:tr>
      <w:tr w:rsidR="00564B54" w:rsidRPr="00564B54" w14:paraId="6939DA52" w14:textId="77777777" w:rsidTr="00564B54">
        <w:tc>
          <w:tcPr>
            <w:tcW w:w="5398" w:type="dxa"/>
          </w:tcPr>
          <w:p w14:paraId="1533A240" w14:textId="77777777" w:rsidR="00564B54" w:rsidRPr="00564B54" w:rsidRDefault="00564B54" w:rsidP="00564B54">
            <w:pPr>
              <w:spacing w:line="278" w:lineRule="auto"/>
              <w:rPr>
                <w:sz w:val="18"/>
                <w:szCs w:val="18"/>
                <w:lang w:val="es-ES"/>
              </w:rPr>
            </w:pPr>
            <w:proofErr w:type="spellStart"/>
            <w:r w:rsidRPr="00564B54">
              <w:rPr>
                <w:sz w:val="18"/>
                <w:szCs w:val="18"/>
                <w:lang w:val="es-ES"/>
              </w:rPr>
              <w:t>Region</w:t>
            </w:r>
            <w:proofErr w:type="spellEnd"/>
          </w:p>
        </w:tc>
        <w:tc>
          <w:tcPr>
            <w:tcW w:w="3986" w:type="dxa"/>
          </w:tcPr>
          <w:p w14:paraId="78E42998" w14:textId="74F68C8E" w:rsidR="00564B54" w:rsidRPr="00564B54" w:rsidRDefault="00564B54" w:rsidP="00564B54">
            <w:pPr>
              <w:spacing w:line="278" w:lineRule="auto"/>
              <w:rPr>
                <w:sz w:val="18"/>
                <w:szCs w:val="18"/>
                <w:lang w:val="es-ES"/>
              </w:rPr>
            </w:pPr>
            <w:r w:rsidRPr="00564B54">
              <w:rPr>
                <w:sz w:val="18"/>
                <w:szCs w:val="18"/>
                <w:lang w:val="es-ES"/>
              </w:rPr>
              <w:t>Región</w:t>
            </w:r>
          </w:p>
        </w:tc>
      </w:tr>
      <w:tr w:rsidR="00564B54" w:rsidRPr="00564B54" w14:paraId="792BF8B6" w14:textId="77777777" w:rsidTr="00564B54">
        <w:tc>
          <w:tcPr>
            <w:tcW w:w="5398" w:type="dxa"/>
          </w:tcPr>
          <w:p w14:paraId="6B795FD1" w14:textId="77777777" w:rsidR="00564B54" w:rsidRPr="00564B54" w:rsidRDefault="00564B54" w:rsidP="00564B54">
            <w:pPr>
              <w:spacing w:line="278" w:lineRule="auto"/>
              <w:rPr>
                <w:sz w:val="18"/>
                <w:szCs w:val="18"/>
                <w:lang w:val="es-ES"/>
              </w:rPr>
            </w:pPr>
            <w:r w:rsidRPr="00564B54">
              <w:rPr>
                <w:sz w:val="18"/>
                <w:szCs w:val="18"/>
                <w:lang w:val="es-ES"/>
              </w:rPr>
              <w:t>African States</w:t>
            </w:r>
          </w:p>
        </w:tc>
        <w:tc>
          <w:tcPr>
            <w:tcW w:w="3986" w:type="dxa"/>
          </w:tcPr>
          <w:p w14:paraId="2A5DC193" w14:textId="317B12C8" w:rsidR="00564B54" w:rsidRPr="00564B54" w:rsidRDefault="00564B54" w:rsidP="00564B54">
            <w:pPr>
              <w:spacing w:line="278" w:lineRule="auto"/>
              <w:rPr>
                <w:sz w:val="18"/>
                <w:szCs w:val="18"/>
                <w:lang w:val="es-ES"/>
              </w:rPr>
            </w:pPr>
            <w:r w:rsidRPr="00564B54">
              <w:rPr>
                <w:sz w:val="18"/>
                <w:szCs w:val="18"/>
                <w:lang w:val="es-ES"/>
              </w:rPr>
              <w:t>Estados de África</w:t>
            </w:r>
          </w:p>
        </w:tc>
      </w:tr>
      <w:tr w:rsidR="00564B54" w:rsidRPr="00564B54" w14:paraId="3E1671DE" w14:textId="77777777" w:rsidTr="00564B54">
        <w:tc>
          <w:tcPr>
            <w:tcW w:w="5398" w:type="dxa"/>
          </w:tcPr>
          <w:p w14:paraId="26F145F8" w14:textId="77777777" w:rsidR="00564B54" w:rsidRPr="00564B54" w:rsidRDefault="00564B54" w:rsidP="00564B54">
            <w:pPr>
              <w:spacing w:line="278" w:lineRule="auto"/>
              <w:rPr>
                <w:sz w:val="18"/>
                <w:szCs w:val="18"/>
                <w:lang w:val="es-ES"/>
              </w:rPr>
            </w:pPr>
            <w:r w:rsidRPr="00564B54">
              <w:rPr>
                <w:sz w:val="18"/>
                <w:szCs w:val="18"/>
                <w:lang w:val="es-ES"/>
              </w:rPr>
              <w:t>Asia-Pacific States</w:t>
            </w:r>
          </w:p>
        </w:tc>
        <w:tc>
          <w:tcPr>
            <w:tcW w:w="3986" w:type="dxa"/>
          </w:tcPr>
          <w:p w14:paraId="11160BA5" w14:textId="598C4B69" w:rsidR="00564B54" w:rsidRPr="00564B54" w:rsidRDefault="00564B54" w:rsidP="00564B54">
            <w:pPr>
              <w:spacing w:line="278" w:lineRule="auto"/>
              <w:rPr>
                <w:sz w:val="18"/>
                <w:szCs w:val="18"/>
                <w:lang w:val="es-ES"/>
              </w:rPr>
            </w:pPr>
            <w:r w:rsidRPr="00564B54">
              <w:rPr>
                <w:sz w:val="18"/>
                <w:szCs w:val="18"/>
                <w:lang w:val="es-ES"/>
              </w:rPr>
              <w:t>Estados de Asia y el Pacífico</w:t>
            </w:r>
          </w:p>
        </w:tc>
      </w:tr>
      <w:tr w:rsidR="00564B54" w:rsidRPr="00564B54" w14:paraId="0266B1DB" w14:textId="77777777" w:rsidTr="00564B54">
        <w:tc>
          <w:tcPr>
            <w:tcW w:w="5398" w:type="dxa"/>
          </w:tcPr>
          <w:p w14:paraId="7E1B306E" w14:textId="77777777" w:rsidR="00564B54" w:rsidRPr="00564B54" w:rsidRDefault="00564B54" w:rsidP="00564B54">
            <w:pPr>
              <w:spacing w:line="278" w:lineRule="auto"/>
              <w:rPr>
                <w:sz w:val="18"/>
                <w:szCs w:val="18"/>
                <w:lang w:val="en-US"/>
              </w:rPr>
            </w:pPr>
            <w:r w:rsidRPr="00564B54">
              <w:rPr>
                <w:sz w:val="18"/>
                <w:szCs w:val="18"/>
                <w:lang w:val="en-US"/>
              </w:rPr>
              <w:t>Latin American and Caribbean States</w:t>
            </w:r>
          </w:p>
        </w:tc>
        <w:tc>
          <w:tcPr>
            <w:tcW w:w="3986" w:type="dxa"/>
          </w:tcPr>
          <w:p w14:paraId="741DE38B" w14:textId="7635E34B" w:rsidR="00564B54" w:rsidRPr="00564B54" w:rsidRDefault="00564B54" w:rsidP="00564B54">
            <w:pPr>
              <w:spacing w:line="278" w:lineRule="auto"/>
              <w:rPr>
                <w:sz w:val="18"/>
                <w:szCs w:val="18"/>
                <w:lang w:val="es-ES"/>
              </w:rPr>
            </w:pPr>
            <w:r w:rsidRPr="00564B54">
              <w:rPr>
                <w:sz w:val="18"/>
                <w:szCs w:val="18"/>
                <w:lang w:val="es-ES"/>
              </w:rPr>
              <w:t>Estados de América Latina y el Caribe</w:t>
            </w:r>
          </w:p>
        </w:tc>
      </w:tr>
      <w:tr w:rsidR="00564B54" w:rsidRPr="00564B54" w14:paraId="038741C7" w14:textId="77777777" w:rsidTr="00564B54">
        <w:tc>
          <w:tcPr>
            <w:tcW w:w="5398" w:type="dxa"/>
          </w:tcPr>
          <w:p w14:paraId="38C1BDF4" w14:textId="77777777" w:rsidR="00564B54" w:rsidRPr="00564B54" w:rsidRDefault="00564B54" w:rsidP="00564B54">
            <w:pPr>
              <w:spacing w:line="278" w:lineRule="auto"/>
              <w:rPr>
                <w:sz w:val="18"/>
                <w:szCs w:val="18"/>
                <w:lang w:val="es-ES"/>
              </w:rPr>
            </w:pPr>
            <w:r w:rsidRPr="00564B54">
              <w:rPr>
                <w:sz w:val="18"/>
                <w:szCs w:val="18"/>
                <w:lang w:val="es-ES"/>
              </w:rPr>
              <w:t xml:space="preserve"> Eastern European States</w:t>
            </w:r>
          </w:p>
        </w:tc>
        <w:tc>
          <w:tcPr>
            <w:tcW w:w="3986" w:type="dxa"/>
          </w:tcPr>
          <w:p w14:paraId="7BA1179A" w14:textId="0C5DA085" w:rsidR="00564B54" w:rsidRPr="00564B54" w:rsidRDefault="00564B54" w:rsidP="00564B54">
            <w:pPr>
              <w:spacing w:line="278" w:lineRule="auto"/>
              <w:rPr>
                <w:sz w:val="18"/>
                <w:szCs w:val="18"/>
                <w:lang w:val="es-ES"/>
              </w:rPr>
            </w:pPr>
            <w:r w:rsidRPr="00564B54">
              <w:rPr>
                <w:sz w:val="18"/>
                <w:szCs w:val="18"/>
                <w:lang w:val="es-ES"/>
              </w:rPr>
              <w:t>Estados de Europa Oriental</w:t>
            </w:r>
          </w:p>
        </w:tc>
      </w:tr>
      <w:tr w:rsidR="00564B54" w:rsidRPr="00564B54" w14:paraId="168F22F5" w14:textId="77777777" w:rsidTr="00564B54">
        <w:tc>
          <w:tcPr>
            <w:tcW w:w="5398" w:type="dxa"/>
          </w:tcPr>
          <w:p w14:paraId="76F31E45" w14:textId="77777777" w:rsidR="00564B54" w:rsidRPr="00564B54" w:rsidRDefault="00564B54" w:rsidP="00564B54">
            <w:pPr>
              <w:spacing w:line="278" w:lineRule="auto"/>
              <w:rPr>
                <w:sz w:val="18"/>
                <w:szCs w:val="18"/>
                <w:lang w:val="en-US"/>
              </w:rPr>
            </w:pPr>
            <w:r w:rsidRPr="00564B54">
              <w:rPr>
                <w:sz w:val="18"/>
                <w:szCs w:val="18"/>
                <w:lang w:val="en-US"/>
              </w:rPr>
              <w:t>Western European and other States</w:t>
            </w:r>
          </w:p>
        </w:tc>
        <w:tc>
          <w:tcPr>
            <w:tcW w:w="3986" w:type="dxa"/>
          </w:tcPr>
          <w:p w14:paraId="67DD38FF" w14:textId="7EE3D3EC" w:rsidR="00564B54" w:rsidRPr="00564B54" w:rsidRDefault="00564B54" w:rsidP="00564B54">
            <w:pPr>
              <w:spacing w:line="278" w:lineRule="auto"/>
              <w:rPr>
                <w:sz w:val="18"/>
                <w:szCs w:val="18"/>
                <w:lang w:val="es-ES"/>
              </w:rPr>
            </w:pPr>
            <w:r w:rsidRPr="00564B54">
              <w:rPr>
                <w:sz w:val="18"/>
                <w:szCs w:val="18"/>
                <w:lang w:val="es-ES"/>
              </w:rPr>
              <w:t>Estados de Europa Occidental y otros Estados</w:t>
            </w:r>
          </w:p>
        </w:tc>
      </w:tr>
    </w:tbl>
    <w:p w14:paraId="34F23C3D" w14:textId="77777777" w:rsidR="009713BF" w:rsidRPr="005E3D50" w:rsidRDefault="009713BF" w:rsidP="009713BF">
      <w:pPr>
        <w:spacing w:after="200" w:line="240" w:lineRule="auto"/>
        <w:rPr>
          <w:rFonts w:ascii="Aptos" w:eastAsia="Times New Roman" w:hAnsi="Aptos" w:cs="Segoe UI"/>
          <w:i/>
          <w:iCs/>
          <w:color w:val="0E2841" w:themeColor="text2"/>
          <w:kern w:val="0"/>
          <w:sz w:val="18"/>
          <w:szCs w:val="18"/>
          <w:lang w:val="es-ES" w:eastAsia="ja-JP"/>
          <w14:ligatures w14:val="none"/>
        </w:rPr>
      </w:pPr>
      <w:r w:rsidRPr="005E3D50">
        <w:rPr>
          <w:rFonts w:ascii="Aptos" w:eastAsiaTheme="minorEastAsia" w:hAnsi="Aptos"/>
          <w:i/>
          <w:iCs/>
          <w:color w:val="000000"/>
          <w:kern w:val="0"/>
          <w:sz w:val="18"/>
          <w:szCs w:val="18"/>
          <w:lang w:val="es-ES" w:eastAsia="ja-JP"/>
          <w14:ligatures w14:val="none"/>
        </w:rPr>
        <w:t> </w:t>
      </w:r>
    </w:p>
    <w:p w14:paraId="4BFDBF5C" w14:textId="77777777" w:rsidR="009713BF" w:rsidRPr="005E3D50" w:rsidRDefault="009713BF" w:rsidP="009713BF">
      <w:pPr>
        <w:keepNext/>
        <w:spacing w:after="200" w:line="240" w:lineRule="auto"/>
        <w:rPr>
          <w:rFonts w:eastAsiaTheme="minorEastAsia"/>
          <w:i/>
          <w:iCs/>
          <w:color w:val="0E2841" w:themeColor="text2"/>
          <w:kern w:val="0"/>
          <w:sz w:val="20"/>
          <w:szCs w:val="20"/>
          <w:lang w:val="es-ES" w:eastAsia="ja-JP"/>
          <w14:ligatures w14:val="none"/>
        </w:rPr>
      </w:pPr>
      <w:bookmarkStart w:id="402" w:name="_Ref231214332"/>
      <w:r w:rsidRPr="005E3D50">
        <w:rPr>
          <w:rFonts w:eastAsiaTheme="minorEastAsia"/>
          <w:iCs/>
          <w:color w:val="0E2841" w:themeColor="text2"/>
          <w:kern w:val="0"/>
          <w:sz w:val="20"/>
          <w:szCs w:val="18"/>
          <w:lang w:val="es-ES" w:eastAsia="ja-JP"/>
          <w14:ligatures w14:val="none"/>
        </w:rPr>
        <w:t>Cuadro 34</w:t>
      </w:r>
      <w:bookmarkEnd w:id="402"/>
      <w:r w:rsidRPr="005E3D50">
        <w:rPr>
          <w:rFonts w:eastAsiaTheme="minorEastAsia"/>
          <w:i/>
          <w:iCs/>
          <w:color w:val="0E2841" w:themeColor="text2"/>
          <w:kern w:val="0"/>
          <w:sz w:val="20"/>
          <w:szCs w:val="18"/>
          <w:lang w:val="es-ES" w:eastAsia="ja-JP"/>
          <w14:ligatures w14:val="none"/>
        </w:rPr>
        <w:t xml:space="preserve"> </w:t>
      </w:r>
    </w:p>
    <w:p w14:paraId="60A30609" w14:textId="77777777" w:rsidR="009713BF" w:rsidRPr="005E3D50" w:rsidRDefault="009713BF" w:rsidP="009713BF">
      <w:pPr>
        <w:rPr>
          <w:rFonts w:ascii="Aptos" w:eastAsia="Times New Roman" w:hAnsi="Aptos" w:cs="Segoe UI"/>
          <w:b/>
          <w:bCs/>
          <w:sz w:val="20"/>
          <w:szCs w:val="20"/>
          <w:lang w:val="es-ES"/>
        </w:rPr>
      </w:pPr>
      <w:r w:rsidRPr="005E3D50">
        <w:rPr>
          <w:rFonts w:ascii="Aptos" w:hAnsi="Aptos"/>
          <w:b/>
          <w:sz w:val="20"/>
          <w:lang w:val="es-ES"/>
        </w:rPr>
        <w:t>Porcentaje y número de organizaciones que divulgan públicamente información a CDP y que cuentan con procesos existentes de identificación, evaluación y gestión de dependencias, impactos y riesgos relacionados con la diversidad biológica, por sector</w:t>
      </w:r>
    </w:p>
    <w:p w14:paraId="692B6A66" w14:textId="77777777" w:rsidR="009713BF" w:rsidRPr="005E3D50" w:rsidRDefault="009713BF" w:rsidP="009713BF">
      <w:pPr>
        <w:rPr>
          <w:sz w:val="20"/>
          <w:szCs w:val="20"/>
          <w:lang w:val="es-ES" w:eastAsia="ja-JP"/>
        </w:rPr>
      </w:pPr>
    </w:p>
    <w:tbl>
      <w:tblPr>
        <w:tblW w:w="65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1560"/>
        <w:gridCol w:w="1560"/>
      </w:tblGrid>
      <w:tr w:rsidR="009713BF" w:rsidRPr="005E3D50" w14:paraId="78392C4F"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center"/>
          </w:tcPr>
          <w:p w14:paraId="419DB0CF" w14:textId="77777777" w:rsidR="009713BF" w:rsidRPr="005E3D50" w:rsidRDefault="009713BF" w:rsidP="009713BF">
            <w:pPr>
              <w:keepNext/>
              <w:keepLines/>
              <w:spacing w:after="0" w:line="240" w:lineRule="auto"/>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Sector</w:t>
            </w:r>
          </w:p>
        </w:tc>
        <w:tc>
          <w:tcPr>
            <w:tcW w:w="1560" w:type="dxa"/>
            <w:tcBorders>
              <w:top w:val="single" w:sz="6" w:space="0" w:color="auto"/>
              <w:left w:val="single" w:sz="6" w:space="0" w:color="auto"/>
              <w:bottom w:val="single" w:sz="6" w:space="0" w:color="auto"/>
              <w:right w:val="single" w:sz="6" w:space="0" w:color="auto"/>
            </w:tcBorders>
            <w:vAlign w:val="center"/>
          </w:tcPr>
          <w:p w14:paraId="5994C24D" w14:textId="77777777" w:rsidR="009713BF" w:rsidRPr="005E3D50" w:rsidRDefault="009713BF" w:rsidP="009713BF">
            <w:pPr>
              <w:keepNext/>
              <w:keepLines/>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Porcentaje</w:t>
            </w:r>
          </w:p>
        </w:tc>
        <w:tc>
          <w:tcPr>
            <w:tcW w:w="1560" w:type="dxa"/>
            <w:tcBorders>
              <w:top w:val="single" w:sz="6" w:space="0" w:color="auto"/>
              <w:left w:val="single" w:sz="6" w:space="0" w:color="auto"/>
              <w:bottom w:val="single" w:sz="6" w:space="0" w:color="auto"/>
              <w:right w:val="single" w:sz="6" w:space="0" w:color="auto"/>
            </w:tcBorders>
            <w:vAlign w:val="center"/>
          </w:tcPr>
          <w:p w14:paraId="3AEEDA4A" w14:textId="77777777" w:rsidR="009713BF" w:rsidRPr="005E3D50" w:rsidRDefault="009713BF" w:rsidP="009713BF">
            <w:pPr>
              <w:keepNext/>
              <w:keepLines/>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Número</w:t>
            </w:r>
          </w:p>
        </w:tc>
      </w:tr>
      <w:tr w:rsidR="009713BF" w:rsidRPr="005E3D50" w14:paraId="7C8A99BE"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465D453" w14:textId="77777777" w:rsidR="009713BF" w:rsidRPr="005E3D50" w:rsidRDefault="009713BF" w:rsidP="009713BF">
            <w:pPr>
              <w:keepNext/>
              <w:keepLines/>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Manufactura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118F5749" w14:textId="77777777" w:rsidR="009713BF" w:rsidRPr="005E3D50" w:rsidRDefault="009713BF" w:rsidP="009713BF">
            <w:pPr>
              <w:keepNext/>
              <w:keepLines/>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40,0 </w:t>
            </w:r>
          </w:p>
        </w:tc>
        <w:tc>
          <w:tcPr>
            <w:tcW w:w="1560" w:type="dxa"/>
            <w:tcBorders>
              <w:top w:val="single" w:sz="6" w:space="0" w:color="auto"/>
              <w:left w:val="single" w:sz="6" w:space="0" w:color="auto"/>
              <w:bottom w:val="single" w:sz="6" w:space="0" w:color="auto"/>
              <w:right w:val="single" w:sz="6" w:space="0" w:color="auto"/>
            </w:tcBorders>
            <w:vAlign w:val="center"/>
          </w:tcPr>
          <w:p w14:paraId="43144AE9" w14:textId="77777777" w:rsidR="009713BF" w:rsidRPr="005E3D50" w:rsidRDefault="009713BF" w:rsidP="009713BF">
            <w:pPr>
              <w:keepNext/>
              <w:keepLines/>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774</w:t>
            </w:r>
          </w:p>
        </w:tc>
      </w:tr>
      <w:tr w:rsidR="009713BF" w:rsidRPr="005E3D50" w14:paraId="5D35F912"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6C390AB4"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Materiales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35C7ED2"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16,6 </w:t>
            </w:r>
          </w:p>
        </w:tc>
        <w:tc>
          <w:tcPr>
            <w:tcW w:w="1560" w:type="dxa"/>
            <w:tcBorders>
              <w:top w:val="single" w:sz="6" w:space="0" w:color="auto"/>
              <w:left w:val="single" w:sz="6" w:space="0" w:color="auto"/>
              <w:bottom w:val="single" w:sz="6" w:space="0" w:color="auto"/>
              <w:right w:val="single" w:sz="6" w:space="0" w:color="auto"/>
            </w:tcBorders>
            <w:vAlign w:val="center"/>
          </w:tcPr>
          <w:p w14:paraId="6E7A19A0"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321</w:t>
            </w:r>
          </w:p>
        </w:tc>
      </w:tr>
      <w:tr w:rsidR="009713BF" w:rsidRPr="005E3D50" w14:paraId="442621D5"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7AA121BE"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Servicios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1298800B"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10,1 </w:t>
            </w:r>
          </w:p>
        </w:tc>
        <w:tc>
          <w:tcPr>
            <w:tcW w:w="1560" w:type="dxa"/>
            <w:tcBorders>
              <w:top w:val="single" w:sz="6" w:space="0" w:color="auto"/>
              <w:left w:val="single" w:sz="6" w:space="0" w:color="auto"/>
              <w:bottom w:val="single" w:sz="6" w:space="0" w:color="auto"/>
              <w:right w:val="single" w:sz="6" w:space="0" w:color="auto"/>
            </w:tcBorders>
            <w:vAlign w:val="center"/>
          </w:tcPr>
          <w:p w14:paraId="7F74EFF2"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195</w:t>
            </w:r>
          </w:p>
        </w:tc>
      </w:tr>
      <w:tr w:rsidR="009713BF" w:rsidRPr="005E3D50" w14:paraId="13EB2E5D"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5ECB93B"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Alimentos, bebidas y agricultura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58ABF88"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9,2 </w:t>
            </w:r>
          </w:p>
        </w:tc>
        <w:tc>
          <w:tcPr>
            <w:tcW w:w="1560" w:type="dxa"/>
            <w:tcBorders>
              <w:top w:val="single" w:sz="6" w:space="0" w:color="auto"/>
              <w:left w:val="single" w:sz="6" w:space="0" w:color="auto"/>
              <w:bottom w:val="single" w:sz="6" w:space="0" w:color="auto"/>
              <w:right w:val="single" w:sz="6" w:space="0" w:color="auto"/>
            </w:tcBorders>
            <w:vAlign w:val="center"/>
          </w:tcPr>
          <w:p w14:paraId="16E2BFF7"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178</w:t>
            </w:r>
          </w:p>
        </w:tc>
      </w:tr>
      <w:tr w:rsidR="009713BF" w:rsidRPr="005E3D50" w14:paraId="4AF2553B"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05E7223"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Infraestructura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24D8614"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7,5 </w:t>
            </w:r>
          </w:p>
        </w:tc>
        <w:tc>
          <w:tcPr>
            <w:tcW w:w="1560" w:type="dxa"/>
            <w:tcBorders>
              <w:top w:val="single" w:sz="6" w:space="0" w:color="auto"/>
              <w:left w:val="single" w:sz="6" w:space="0" w:color="auto"/>
              <w:bottom w:val="single" w:sz="6" w:space="0" w:color="auto"/>
              <w:right w:val="single" w:sz="6" w:space="0" w:color="auto"/>
            </w:tcBorders>
            <w:vAlign w:val="center"/>
          </w:tcPr>
          <w:p w14:paraId="731D6D2D"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145</w:t>
            </w:r>
          </w:p>
        </w:tc>
      </w:tr>
      <w:tr w:rsidR="009713BF" w:rsidRPr="005E3D50" w14:paraId="6BDDEDD2"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4DBC88FB"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Servicios financieros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4DFE923"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6,8 </w:t>
            </w:r>
          </w:p>
        </w:tc>
        <w:tc>
          <w:tcPr>
            <w:tcW w:w="1560" w:type="dxa"/>
            <w:tcBorders>
              <w:top w:val="single" w:sz="6" w:space="0" w:color="auto"/>
              <w:left w:val="single" w:sz="6" w:space="0" w:color="auto"/>
              <w:bottom w:val="single" w:sz="6" w:space="0" w:color="auto"/>
              <w:right w:val="single" w:sz="6" w:space="0" w:color="auto"/>
            </w:tcBorders>
            <w:vAlign w:val="center"/>
          </w:tcPr>
          <w:p w14:paraId="2CFFC965"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132</w:t>
            </w:r>
          </w:p>
        </w:tc>
      </w:tr>
      <w:tr w:rsidR="009713BF" w:rsidRPr="005E3D50" w14:paraId="573A6EB9"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BF99217"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Biotecnología, salud y farmacéutica</w:t>
            </w:r>
          </w:p>
        </w:tc>
        <w:tc>
          <w:tcPr>
            <w:tcW w:w="1560" w:type="dxa"/>
            <w:tcBorders>
              <w:top w:val="single" w:sz="6" w:space="0" w:color="auto"/>
              <w:left w:val="single" w:sz="6" w:space="0" w:color="auto"/>
              <w:bottom w:val="single" w:sz="6" w:space="0" w:color="auto"/>
              <w:right w:val="single" w:sz="6" w:space="0" w:color="auto"/>
            </w:tcBorders>
            <w:vAlign w:val="center"/>
            <w:hideMark/>
          </w:tcPr>
          <w:p w14:paraId="70665F7C"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5,6 </w:t>
            </w:r>
          </w:p>
        </w:tc>
        <w:tc>
          <w:tcPr>
            <w:tcW w:w="1560" w:type="dxa"/>
            <w:tcBorders>
              <w:top w:val="single" w:sz="6" w:space="0" w:color="auto"/>
              <w:left w:val="single" w:sz="6" w:space="0" w:color="auto"/>
              <w:bottom w:val="single" w:sz="6" w:space="0" w:color="auto"/>
              <w:right w:val="single" w:sz="6" w:space="0" w:color="auto"/>
            </w:tcBorders>
            <w:vAlign w:val="center"/>
          </w:tcPr>
          <w:p w14:paraId="2269FDCD"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108</w:t>
            </w:r>
          </w:p>
        </w:tc>
      </w:tr>
      <w:tr w:rsidR="009713BF" w:rsidRPr="005E3D50" w14:paraId="1725B4E4"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77B69375"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Venta minorista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3243F10E"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5,5 </w:t>
            </w:r>
          </w:p>
        </w:tc>
        <w:tc>
          <w:tcPr>
            <w:tcW w:w="1560" w:type="dxa"/>
            <w:tcBorders>
              <w:top w:val="single" w:sz="6" w:space="0" w:color="auto"/>
              <w:left w:val="single" w:sz="6" w:space="0" w:color="auto"/>
              <w:bottom w:val="single" w:sz="6" w:space="0" w:color="auto"/>
              <w:right w:val="single" w:sz="6" w:space="0" w:color="auto"/>
            </w:tcBorders>
            <w:vAlign w:val="center"/>
          </w:tcPr>
          <w:p w14:paraId="7383822C"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106</w:t>
            </w:r>
          </w:p>
        </w:tc>
      </w:tr>
      <w:tr w:rsidR="009713BF" w:rsidRPr="005E3D50" w14:paraId="7C1D469B"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1C995FAE"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Vestimenta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2F84950"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4,2 </w:t>
            </w:r>
          </w:p>
        </w:tc>
        <w:tc>
          <w:tcPr>
            <w:tcW w:w="1560" w:type="dxa"/>
            <w:tcBorders>
              <w:top w:val="single" w:sz="6" w:space="0" w:color="auto"/>
              <w:left w:val="single" w:sz="6" w:space="0" w:color="auto"/>
              <w:bottom w:val="single" w:sz="6" w:space="0" w:color="auto"/>
              <w:right w:val="single" w:sz="6" w:space="0" w:color="auto"/>
            </w:tcBorders>
            <w:vAlign w:val="center"/>
          </w:tcPr>
          <w:p w14:paraId="4A215741"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81</w:t>
            </w:r>
          </w:p>
        </w:tc>
      </w:tr>
      <w:tr w:rsidR="009713BF" w:rsidRPr="005E3D50" w14:paraId="013FE38E"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A2A9B07"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Generación de energía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1F8A129E"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3,2 </w:t>
            </w:r>
          </w:p>
        </w:tc>
        <w:tc>
          <w:tcPr>
            <w:tcW w:w="1560" w:type="dxa"/>
            <w:tcBorders>
              <w:top w:val="single" w:sz="6" w:space="0" w:color="auto"/>
              <w:left w:val="single" w:sz="6" w:space="0" w:color="auto"/>
              <w:bottom w:val="single" w:sz="6" w:space="0" w:color="auto"/>
              <w:right w:val="single" w:sz="6" w:space="0" w:color="auto"/>
            </w:tcBorders>
            <w:vAlign w:val="center"/>
          </w:tcPr>
          <w:p w14:paraId="0EF8FE49"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62</w:t>
            </w:r>
          </w:p>
        </w:tc>
      </w:tr>
      <w:tr w:rsidR="009713BF" w:rsidRPr="005E3D50" w14:paraId="4BB8D34C"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B09786F"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Combustibles fósiles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55DF67F"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2,8 </w:t>
            </w:r>
          </w:p>
        </w:tc>
        <w:tc>
          <w:tcPr>
            <w:tcW w:w="1560" w:type="dxa"/>
            <w:tcBorders>
              <w:top w:val="single" w:sz="6" w:space="0" w:color="auto"/>
              <w:left w:val="single" w:sz="6" w:space="0" w:color="auto"/>
              <w:bottom w:val="single" w:sz="6" w:space="0" w:color="auto"/>
              <w:right w:val="single" w:sz="6" w:space="0" w:color="auto"/>
            </w:tcBorders>
            <w:vAlign w:val="center"/>
          </w:tcPr>
          <w:p w14:paraId="00C61FA6"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54</w:t>
            </w:r>
          </w:p>
        </w:tc>
      </w:tr>
      <w:tr w:rsidR="009713BF" w:rsidRPr="005E3D50" w14:paraId="38A77F8A"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C8EDE59"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Servicios de transporte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FF4A77D"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2,5 </w:t>
            </w:r>
          </w:p>
        </w:tc>
        <w:tc>
          <w:tcPr>
            <w:tcW w:w="1560" w:type="dxa"/>
            <w:tcBorders>
              <w:top w:val="single" w:sz="6" w:space="0" w:color="auto"/>
              <w:left w:val="single" w:sz="6" w:space="0" w:color="auto"/>
              <w:bottom w:val="single" w:sz="6" w:space="0" w:color="auto"/>
              <w:right w:val="single" w:sz="6" w:space="0" w:color="auto"/>
            </w:tcBorders>
            <w:vAlign w:val="center"/>
          </w:tcPr>
          <w:p w14:paraId="47CA583A"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48</w:t>
            </w:r>
          </w:p>
        </w:tc>
      </w:tr>
      <w:tr w:rsidR="009713BF" w:rsidRPr="005E3D50" w14:paraId="461C1251" w14:textId="77777777" w:rsidTr="006E6831">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CD49C24" w14:textId="77777777" w:rsidR="009713BF" w:rsidRPr="005E3D50" w:rsidRDefault="009713BF" w:rsidP="009713BF">
            <w:pPr>
              <w:spacing w:after="0" w:line="240" w:lineRule="auto"/>
              <w:textAlignment w:val="baseline"/>
              <w:rPr>
                <w:rFonts w:ascii="Aptos" w:eastAsia="Times New Roman" w:hAnsi="Aptos" w:cs="Times New Roman"/>
                <w:kern w:val="0"/>
                <w:lang w:val="es-ES"/>
                <w14:ligatures w14:val="none"/>
              </w:rPr>
            </w:pPr>
            <w:r w:rsidRPr="005E3D50">
              <w:rPr>
                <w:rFonts w:ascii="Aptos" w:hAnsi="Aptos"/>
                <w:color w:val="000000"/>
                <w:lang w:val="es-ES"/>
              </w:rPr>
              <w:t>Hospitalidad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376BDBC" w14:textId="77777777" w:rsidR="009713BF" w:rsidRPr="005E3D50" w:rsidRDefault="009713BF" w:rsidP="009713BF">
            <w:pPr>
              <w:spacing w:after="0" w:line="240" w:lineRule="auto"/>
              <w:jc w:val="right"/>
              <w:textAlignment w:val="baseline"/>
              <w:rPr>
                <w:rFonts w:ascii="Aptos" w:eastAsia="Times New Roman" w:hAnsi="Aptos" w:cs="Times New Roman"/>
                <w:kern w:val="0"/>
                <w:lang w:val="es-ES"/>
                <w14:ligatures w14:val="none"/>
              </w:rPr>
            </w:pPr>
            <w:r w:rsidRPr="005E3D50">
              <w:rPr>
                <w:rFonts w:ascii="Aptos" w:hAnsi="Aptos"/>
                <w:color w:val="000000"/>
                <w:lang w:val="es-ES"/>
              </w:rPr>
              <w:t>1,2 </w:t>
            </w:r>
          </w:p>
        </w:tc>
        <w:tc>
          <w:tcPr>
            <w:tcW w:w="1560" w:type="dxa"/>
            <w:tcBorders>
              <w:top w:val="single" w:sz="6" w:space="0" w:color="auto"/>
              <w:left w:val="single" w:sz="6" w:space="0" w:color="auto"/>
              <w:bottom w:val="single" w:sz="6" w:space="0" w:color="auto"/>
              <w:right w:val="single" w:sz="6" w:space="0" w:color="auto"/>
            </w:tcBorders>
            <w:vAlign w:val="center"/>
          </w:tcPr>
          <w:p w14:paraId="0D59B908" w14:textId="77777777" w:rsidR="009713BF" w:rsidRPr="005E3D50" w:rsidRDefault="009713BF" w:rsidP="009713BF">
            <w:pPr>
              <w:spacing w:after="0" w:line="240" w:lineRule="auto"/>
              <w:jc w:val="right"/>
              <w:textAlignment w:val="baseline"/>
              <w:rPr>
                <w:rFonts w:ascii="Aptos" w:eastAsia="Times New Roman" w:hAnsi="Aptos" w:cs="Times New Roman"/>
                <w:color w:val="000000"/>
                <w:kern w:val="0"/>
                <w:lang w:val="es-ES"/>
                <w14:ligatures w14:val="none"/>
              </w:rPr>
            </w:pPr>
            <w:r w:rsidRPr="005E3D50">
              <w:rPr>
                <w:rFonts w:ascii="Aptos" w:hAnsi="Aptos"/>
                <w:color w:val="000000"/>
                <w:lang w:val="es-ES"/>
              </w:rPr>
              <w:t>23</w:t>
            </w:r>
          </w:p>
        </w:tc>
      </w:tr>
    </w:tbl>
    <w:p w14:paraId="3DF77FEC" w14:textId="77777777" w:rsidR="009713BF" w:rsidRPr="005E3D50" w:rsidRDefault="009713BF" w:rsidP="009713BF">
      <w:pPr>
        <w:spacing w:after="0" w:line="240" w:lineRule="auto"/>
        <w:textAlignment w:val="baseline"/>
        <w:rPr>
          <w:rFonts w:ascii="Aptos" w:eastAsia="Times New Roman" w:hAnsi="Aptos" w:cs="Segoe UI"/>
          <w:i/>
          <w:iCs/>
          <w:kern w:val="0"/>
          <w:sz w:val="18"/>
          <w:szCs w:val="18"/>
          <w:vertAlign w:val="superscript"/>
          <w:lang w:val="es-ES"/>
          <w14:ligatures w14:val="none"/>
        </w:rPr>
      </w:pPr>
      <w:r w:rsidRPr="005E3D50">
        <w:rPr>
          <w:rFonts w:ascii="Aptos" w:hAnsi="Aptos"/>
          <w:i/>
          <w:sz w:val="18"/>
          <w:lang w:val="es-ES"/>
        </w:rPr>
        <w:t xml:space="preserve">Fuente: </w:t>
      </w:r>
      <w:proofErr w:type="spellStart"/>
      <w:r w:rsidRPr="005E3D50">
        <w:rPr>
          <w:rFonts w:ascii="Aptos" w:hAnsi="Aptos"/>
          <w:i/>
          <w:sz w:val="18"/>
          <w:lang w:val="es-ES"/>
        </w:rPr>
        <w:t>CD</w:t>
      </w:r>
      <w:r w:rsidRPr="005E3D50">
        <w:rPr>
          <w:rFonts w:ascii="Aptos" w:hAnsi="Aptos"/>
          <w:i/>
          <w:spacing w:val="10"/>
          <w:sz w:val="18"/>
          <w:lang w:val="es-ES"/>
        </w:rPr>
        <w:t>P</w:t>
      </w:r>
      <w:r w:rsidRPr="005E3D50">
        <w:rPr>
          <w:rFonts w:ascii="Aptos" w:hAnsi="Aptos"/>
          <w:i/>
          <w:spacing w:val="10"/>
          <w:sz w:val="18"/>
          <w:vertAlign w:val="superscript"/>
          <w:lang w:val="es-ES"/>
        </w:rPr>
        <w:t>a</w:t>
      </w:r>
      <w:proofErr w:type="spellEnd"/>
    </w:p>
    <w:p w14:paraId="5AF35A0C" w14:textId="77777777" w:rsidR="009713BF" w:rsidRPr="005E3D50" w:rsidRDefault="009713BF" w:rsidP="009713BF">
      <w:pPr>
        <w:spacing w:after="0" w:line="240" w:lineRule="auto"/>
        <w:textAlignment w:val="baseline"/>
        <w:rPr>
          <w:rFonts w:ascii="Aptos" w:eastAsia="Times New Roman" w:hAnsi="Aptos" w:cs="Segoe UI"/>
          <w:sz w:val="18"/>
          <w:szCs w:val="18"/>
          <w:lang w:val="es-ES"/>
        </w:rPr>
      </w:pPr>
      <w:r w:rsidRPr="005E3D50">
        <w:rPr>
          <w:rFonts w:ascii="Aptos" w:hAnsi="Aptos"/>
          <w:i/>
          <w:sz w:val="18"/>
          <w:lang w:val="es-ES"/>
        </w:rPr>
        <w:t xml:space="preserve">Nota: </w:t>
      </w:r>
      <w:r w:rsidRPr="005E3D50">
        <w:rPr>
          <w:rFonts w:ascii="Aptos" w:hAnsi="Aptos"/>
          <w:sz w:val="18"/>
          <w:lang w:val="es-ES"/>
        </w:rPr>
        <w:t xml:space="preserve">Estas cifras no reflejan las comunicaciones de las Partes sobre el indicador de cabecera 15.1 que se analizan en la </w:t>
      </w:r>
      <w:r w:rsidRPr="005E3D50">
        <w:rPr>
          <w:sz w:val="18"/>
          <w:lang w:val="es-ES"/>
        </w:rPr>
        <w:t>figura 63</w:t>
      </w:r>
      <w:r w:rsidRPr="005E3D50">
        <w:rPr>
          <w:rFonts w:ascii="Aptos" w:hAnsi="Aptos"/>
          <w:sz w:val="18"/>
          <w:lang w:val="es-ES"/>
        </w:rPr>
        <w:t>.</w:t>
      </w:r>
    </w:p>
    <w:p w14:paraId="44D26BFB" w14:textId="77777777" w:rsidR="009713BF" w:rsidRPr="005E3D50" w:rsidRDefault="009713BF" w:rsidP="009713BF">
      <w:pPr>
        <w:spacing w:after="0" w:line="240" w:lineRule="auto"/>
        <w:textAlignment w:val="baseline"/>
        <w:rPr>
          <w:rFonts w:ascii="Aptos" w:eastAsia="Times New Roman" w:hAnsi="Aptos" w:cs="Segoe UI"/>
          <w:sz w:val="18"/>
          <w:szCs w:val="18"/>
          <w:lang w:val="es-ES"/>
        </w:rPr>
      </w:pPr>
    </w:p>
    <w:p w14:paraId="57854C0E" w14:textId="77777777" w:rsidR="009713BF" w:rsidRPr="005E3D50" w:rsidRDefault="009713BF" w:rsidP="009713BF">
      <w:pPr>
        <w:spacing w:after="0" w:line="240" w:lineRule="auto"/>
        <w:textAlignment w:val="baseline"/>
        <w:rPr>
          <w:rFonts w:ascii="Aptos" w:eastAsia="Times New Roman" w:hAnsi="Aptos" w:cs="Segoe UI"/>
          <w:sz w:val="18"/>
          <w:szCs w:val="18"/>
          <w:lang w:val="es-ES"/>
        </w:rPr>
      </w:pPr>
      <w:r w:rsidRPr="005E3D50">
        <w:rPr>
          <w:rFonts w:ascii="Aptos" w:hAnsi="Aptos"/>
          <w:sz w:val="18"/>
          <w:vertAlign w:val="superscript"/>
          <w:lang w:val="es-ES"/>
        </w:rPr>
        <w:t>a </w:t>
      </w:r>
      <w:r w:rsidRPr="005E3D50">
        <w:rPr>
          <w:rFonts w:ascii="Aptos" w:hAnsi="Aptos"/>
          <w:sz w:val="18"/>
          <w:lang w:val="es-ES"/>
        </w:rPr>
        <w:t xml:space="preserve">Disponible en </w:t>
      </w:r>
      <w:hyperlink r:id="rId157" w:history="1">
        <w:r w:rsidRPr="005E3D50">
          <w:rPr>
            <w:rFonts w:ascii="Aptos" w:hAnsi="Aptos"/>
            <w:color w:val="000000" w:themeColor="text1"/>
            <w:sz w:val="18"/>
            <w:lang w:val="es-ES"/>
          </w:rPr>
          <w:t>www.cdp.net/en/data/monitoring-gbf</w:t>
        </w:r>
      </w:hyperlink>
      <w:r w:rsidRPr="005E3D50">
        <w:rPr>
          <w:rFonts w:ascii="Aptos" w:hAnsi="Aptos"/>
          <w:sz w:val="18"/>
          <w:lang w:val="es-ES"/>
        </w:rPr>
        <w:t>.</w:t>
      </w:r>
    </w:p>
    <w:p w14:paraId="2FC3A70E" w14:textId="77777777" w:rsidR="009713BF" w:rsidRPr="005E3D50" w:rsidRDefault="009713BF" w:rsidP="009713BF">
      <w:pPr>
        <w:spacing w:after="0" w:line="240" w:lineRule="auto"/>
        <w:textAlignment w:val="baseline"/>
        <w:rPr>
          <w:rFonts w:ascii="Aptos" w:eastAsia="Times New Roman" w:hAnsi="Aptos" w:cs="Segoe UI"/>
          <w:sz w:val="18"/>
          <w:szCs w:val="18"/>
          <w:lang w:val="es-ES"/>
        </w:rPr>
      </w:pPr>
    </w:p>
    <w:p w14:paraId="7FEC821F" w14:textId="77777777" w:rsidR="009713BF" w:rsidRPr="005E3D50" w:rsidRDefault="009713BF" w:rsidP="009713BF">
      <w:pPr>
        <w:spacing w:after="0" w:line="240" w:lineRule="auto"/>
        <w:textAlignment w:val="baseline"/>
        <w:rPr>
          <w:rFonts w:ascii="Aptos" w:eastAsia="Times New Roman" w:hAnsi="Aptos" w:cs="Segoe UI"/>
          <w:i/>
          <w:iCs/>
          <w:kern w:val="0"/>
          <w:sz w:val="18"/>
          <w:szCs w:val="18"/>
          <w:lang w:val="es-ES"/>
          <w14:ligatures w14:val="none"/>
        </w:rPr>
      </w:pPr>
    </w:p>
    <w:p w14:paraId="2F48EEC0" w14:textId="77777777" w:rsidR="009713BF" w:rsidRPr="005E3D50" w:rsidRDefault="009713BF" w:rsidP="009713BF">
      <w:pPr>
        <w:spacing w:after="0" w:line="240" w:lineRule="auto"/>
        <w:textAlignment w:val="baseline"/>
        <w:rPr>
          <w:rFonts w:ascii="Aptos" w:eastAsia="Times New Roman" w:hAnsi="Aptos" w:cs="Segoe UI"/>
          <w:i/>
          <w:iCs/>
          <w:kern w:val="0"/>
          <w:sz w:val="18"/>
          <w:szCs w:val="18"/>
          <w:lang w:val="es-ES"/>
          <w14:ligatures w14:val="none"/>
        </w:rPr>
      </w:pPr>
    </w:p>
    <w:p w14:paraId="1BFC0F99" w14:textId="77777777" w:rsidR="009713BF" w:rsidRPr="005E3D50" w:rsidRDefault="009713BF" w:rsidP="009713BF">
      <w:pPr>
        <w:spacing w:after="0" w:line="240" w:lineRule="auto"/>
        <w:textAlignment w:val="baseline"/>
        <w:rPr>
          <w:sz w:val="20"/>
          <w:szCs w:val="20"/>
          <w:lang w:val="es-ES"/>
        </w:rPr>
      </w:pPr>
      <w:r w:rsidRPr="005E3D50">
        <w:rPr>
          <w:sz w:val="20"/>
          <w:lang w:val="es-ES"/>
        </w:rPr>
        <w:t>Figura 64</w:t>
      </w:r>
    </w:p>
    <w:p w14:paraId="2FEF1DE0" w14:textId="77777777" w:rsidR="009713BF" w:rsidRPr="005E3D50" w:rsidRDefault="009713BF" w:rsidP="009713BF">
      <w:pPr>
        <w:spacing w:after="0" w:line="240" w:lineRule="auto"/>
        <w:textAlignment w:val="baseline"/>
        <w:rPr>
          <w:rFonts w:ascii="Aptos" w:eastAsia="Times New Roman" w:hAnsi="Aptos" w:cs="Segoe UI"/>
          <w:b/>
          <w:bCs/>
          <w:kern w:val="0"/>
          <w:sz w:val="18"/>
          <w:szCs w:val="18"/>
          <w:lang w:val="es-ES"/>
          <w14:ligatures w14:val="none"/>
        </w:rPr>
      </w:pPr>
      <w:r w:rsidRPr="005E3D50">
        <w:rPr>
          <w:rFonts w:ascii="Aptos" w:hAnsi="Aptos"/>
          <w:b/>
          <w:sz w:val="18"/>
          <w:lang w:val="es-ES"/>
        </w:rPr>
        <w:t xml:space="preserve">Indicador binario 15.b: 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w:t>
      </w:r>
      <w:r w:rsidRPr="005E3D50">
        <w:rPr>
          <w:rFonts w:ascii="Aptos" w:hAnsi="Aptos"/>
          <w:b/>
          <w:sz w:val="18"/>
          <w:lang w:val="es-ES"/>
        </w:rPr>
        <w:lastRenderedPageBreak/>
        <w:t>diversidad biológica, aumenten sus impactos positivos, reduzcan sus riesgos relacionados con la diversidad biológica y promuevan acciones encaminadas a lograr modalidades de producción sostenibles</w:t>
      </w:r>
    </w:p>
    <w:p w14:paraId="0359E42F" w14:textId="77777777" w:rsidR="009713BF" w:rsidRPr="005E3D50" w:rsidRDefault="009713BF" w:rsidP="009713BF">
      <w:pPr>
        <w:spacing w:after="0" w:line="240" w:lineRule="auto"/>
        <w:textAlignment w:val="baseline"/>
        <w:rPr>
          <w:sz w:val="20"/>
          <w:szCs w:val="20"/>
          <w:lang w:val="es-ES"/>
        </w:rPr>
      </w:pPr>
    </w:p>
    <w:p w14:paraId="2A938F54"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79EE6274"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403" w:name="_Ref231213836"/>
      <w:r w:rsidRPr="005E3D50">
        <w:rPr>
          <w:rFonts w:eastAsiaTheme="minorEastAsia"/>
          <w:i/>
          <w:iCs/>
          <w:noProof/>
          <w:color w:val="0E2841" w:themeColor="text2"/>
          <w:kern w:val="0"/>
          <w:sz w:val="18"/>
          <w:szCs w:val="18"/>
          <w:lang w:val="en-US"/>
          <w14:ligatures w14:val="none"/>
        </w:rPr>
        <w:drawing>
          <wp:inline distT="0" distB="0" distL="0" distR="0" wp14:anchorId="17B9C8A3" wp14:editId="4D52DFEB">
            <wp:extent cx="5943600" cy="2264410"/>
            <wp:effectExtent l="0" t="0" r="0" b="0"/>
            <wp:docPr id="1730343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43279" name="Picture 1730343279"/>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403"/>
    <w:p w14:paraId="4943ED48"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4DF2C7C9" w14:textId="77777777" w:rsidR="009713BF" w:rsidRPr="005E3D50" w:rsidRDefault="009713BF" w:rsidP="009713BF">
      <w:pPr>
        <w:spacing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Cs/>
          <w:color w:val="0E2841" w:themeColor="text2"/>
          <w:kern w:val="0"/>
          <w:sz w:val="18"/>
          <w:szCs w:val="18"/>
          <w:vertAlign w:val="superscript"/>
          <w:lang w:val="es-ES" w:eastAsia="ja-JP"/>
          <w14:ligatures w14:val="none"/>
        </w:rPr>
        <w:t>a</w:t>
      </w:r>
      <w:r w:rsidRPr="005E3D50">
        <w:rPr>
          <w:rFonts w:ascii="Aptos" w:eastAsiaTheme="minorEastAsia" w:hAnsi="Aptos"/>
          <w:iCs/>
          <w:color w:val="0E2841" w:themeColor="text2"/>
          <w:kern w:val="0"/>
          <w:sz w:val="18"/>
          <w:szCs w:val="18"/>
          <w:lang w:val="es-ES" w:eastAsia="ja-JP"/>
          <w14:ligatures w14:val="none"/>
        </w:rPr>
        <w:t xml:space="preserve"> La metodología empleada para calcular los niveles de puntuación para cada indicador binario, así como las preguntas incluidas para cada indicador, figuran en el documento </w:t>
      </w:r>
      <w:hyperlink r:id="rId159" w:history="1">
        <w:r w:rsidRPr="005E3D50">
          <w:rPr>
            <w:rFonts w:ascii="Aptos" w:eastAsiaTheme="minorEastAsia" w:hAnsi="Aptos"/>
            <w:iCs/>
            <w:color w:val="0E2841" w:themeColor="text2"/>
            <w:kern w:val="0"/>
            <w:sz w:val="18"/>
            <w:szCs w:val="18"/>
            <w:lang w:val="es-ES" w:eastAsia="ja-JP"/>
            <w14:ligatures w14:val="none"/>
          </w:rPr>
          <w:t>CBD/COP/16/INF/3/Rev.1</w:t>
        </w:r>
      </w:hyperlink>
      <w:r w:rsidRPr="005E3D50">
        <w:rPr>
          <w:rFonts w:ascii="Aptos" w:eastAsiaTheme="minorEastAsia" w:hAnsi="Aptos"/>
          <w:iCs/>
          <w:color w:val="0E2841" w:themeColor="text2"/>
          <w:kern w:val="0"/>
          <w:sz w:val="18"/>
          <w:szCs w:val="18"/>
          <w:lang w:val="es-ES" w:eastAsia="ja-JP"/>
          <w14:ligatures w14:val="none"/>
        </w:rPr>
        <w:t>.</w:t>
      </w:r>
    </w:p>
    <w:tbl>
      <w:tblPr>
        <w:tblStyle w:val="TableGrid"/>
        <w:tblW w:w="9370" w:type="dxa"/>
        <w:tblLook w:val="04A0" w:firstRow="1" w:lastRow="0" w:firstColumn="1" w:lastColumn="0" w:noHBand="0" w:noVBand="1"/>
      </w:tblPr>
      <w:tblGrid>
        <w:gridCol w:w="5293"/>
        <w:gridCol w:w="4077"/>
      </w:tblGrid>
      <w:tr w:rsidR="00551964" w:rsidRPr="00551964" w14:paraId="66289D77" w14:textId="77777777" w:rsidTr="00551964">
        <w:tc>
          <w:tcPr>
            <w:tcW w:w="9370" w:type="dxa"/>
            <w:gridSpan w:val="2"/>
          </w:tcPr>
          <w:p w14:paraId="40E5A5A2" w14:textId="4F842F8D" w:rsidR="00551964" w:rsidRPr="00551964" w:rsidRDefault="00551964" w:rsidP="00551964">
            <w:pPr>
              <w:spacing w:line="278" w:lineRule="auto"/>
              <w:rPr>
                <w:sz w:val="18"/>
                <w:szCs w:val="18"/>
                <w:lang w:val="es-ES"/>
              </w:rPr>
            </w:pPr>
            <w:r w:rsidRPr="00551964">
              <w:rPr>
                <w:sz w:val="18"/>
                <w:szCs w:val="18"/>
                <w:lang w:val="es-ES"/>
              </w:rPr>
              <w:t>Figura 64</w:t>
            </w:r>
          </w:p>
        </w:tc>
      </w:tr>
      <w:tr w:rsidR="00551964" w:rsidRPr="00551964" w14:paraId="1E47DFED" w14:textId="77777777" w:rsidTr="00551964">
        <w:tc>
          <w:tcPr>
            <w:tcW w:w="5293" w:type="dxa"/>
          </w:tcPr>
          <w:p w14:paraId="3F2DD7EB" w14:textId="14230008" w:rsidR="00551964" w:rsidRPr="00551964" w:rsidRDefault="00551964" w:rsidP="00551964">
            <w:pPr>
              <w:spacing w:line="278" w:lineRule="auto"/>
              <w:rPr>
                <w:sz w:val="18"/>
                <w:szCs w:val="18"/>
                <w:lang w:val="es-ES"/>
              </w:rPr>
            </w:pPr>
            <w:r w:rsidRPr="00551964">
              <w:rPr>
                <w:sz w:val="18"/>
                <w:szCs w:val="18"/>
                <w:lang w:val="es-ES"/>
              </w:rPr>
              <w:t>English</w:t>
            </w:r>
          </w:p>
        </w:tc>
        <w:tc>
          <w:tcPr>
            <w:tcW w:w="4076" w:type="dxa"/>
          </w:tcPr>
          <w:p w14:paraId="5CC11C40" w14:textId="0310CD58" w:rsidR="00551964" w:rsidRPr="00551964" w:rsidRDefault="00551964" w:rsidP="00551964">
            <w:pPr>
              <w:spacing w:line="278" w:lineRule="auto"/>
              <w:rPr>
                <w:sz w:val="18"/>
                <w:szCs w:val="18"/>
                <w:lang w:val="es-ES"/>
              </w:rPr>
            </w:pPr>
            <w:r>
              <w:rPr>
                <w:sz w:val="18"/>
                <w:szCs w:val="18"/>
                <w:lang w:val="es-ES"/>
              </w:rPr>
              <w:t>Español</w:t>
            </w:r>
          </w:p>
        </w:tc>
      </w:tr>
      <w:tr w:rsidR="00551964" w:rsidRPr="00551964" w14:paraId="79462E89" w14:textId="77777777" w:rsidTr="00551964">
        <w:tc>
          <w:tcPr>
            <w:tcW w:w="5293" w:type="dxa"/>
          </w:tcPr>
          <w:p w14:paraId="4666589F" w14:textId="77777777" w:rsidR="00551964" w:rsidRPr="00551964" w:rsidRDefault="00551964" w:rsidP="00551964">
            <w:pPr>
              <w:spacing w:line="278" w:lineRule="auto"/>
              <w:rPr>
                <w:sz w:val="18"/>
                <w:szCs w:val="18"/>
                <w:lang w:val="es-ES"/>
              </w:rPr>
            </w:pPr>
            <w:proofErr w:type="spellStart"/>
            <w:r w:rsidRPr="00551964">
              <w:rPr>
                <w:sz w:val="18"/>
                <w:szCs w:val="18"/>
                <w:lang w:val="es-ES"/>
              </w:rPr>
              <w:t>Answers</w:t>
            </w:r>
            <w:proofErr w:type="spellEnd"/>
            <w:r w:rsidRPr="00551964">
              <w:rPr>
                <w:sz w:val="18"/>
                <w:szCs w:val="18"/>
                <w:lang w:val="es-ES"/>
              </w:rPr>
              <w:t xml:space="preserve"> (</w:t>
            </w:r>
            <w:proofErr w:type="spellStart"/>
            <w:r w:rsidRPr="00551964">
              <w:rPr>
                <w:sz w:val="18"/>
                <w:szCs w:val="18"/>
                <w:lang w:val="es-ES"/>
              </w:rPr>
              <w:t>percentage</w:t>
            </w:r>
            <w:proofErr w:type="spellEnd"/>
            <w:r w:rsidRPr="00551964">
              <w:rPr>
                <w:sz w:val="18"/>
                <w:szCs w:val="18"/>
                <w:lang w:val="es-ES"/>
              </w:rPr>
              <w:t>)</w:t>
            </w:r>
          </w:p>
        </w:tc>
        <w:tc>
          <w:tcPr>
            <w:tcW w:w="4076" w:type="dxa"/>
          </w:tcPr>
          <w:p w14:paraId="5F629737" w14:textId="515F7358" w:rsidR="00551964" w:rsidRPr="00551964" w:rsidRDefault="00551964" w:rsidP="00551964">
            <w:pPr>
              <w:spacing w:line="278" w:lineRule="auto"/>
              <w:rPr>
                <w:sz w:val="18"/>
                <w:szCs w:val="18"/>
                <w:lang w:val="es-ES"/>
              </w:rPr>
            </w:pPr>
            <w:r w:rsidRPr="00551964">
              <w:rPr>
                <w:sz w:val="18"/>
                <w:szCs w:val="18"/>
                <w:lang w:val="es-ES"/>
              </w:rPr>
              <w:t>Respuestas (porcentaje)</w:t>
            </w:r>
          </w:p>
        </w:tc>
      </w:tr>
      <w:tr w:rsidR="00551964" w:rsidRPr="00551964" w14:paraId="577D727E" w14:textId="77777777" w:rsidTr="00551964">
        <w:tc>
          <w:tcPr>
            <w:tcW w:w="5293" w:type="dxa"/>
          </w:tcPr>
          <w:p w14:paraId="14744222" w14:textId="77777777" w:rsidR="00551964" w:rsidRPr="00551964" w:rsidRDefault="00551964" w:rsidP="00551964">
            <w:pPr>
              <w:spacing w:line="278" w:lineRule="auto"/>
              <w:rPr>
                <w:sz w:val="18"/>
                <w:szCs w:val="18"/>
                <w:lang w:val="es-ES"/>
              </w:rPr>
            </w:pPr>
            <w:r w:rsidRPr="00551964">
              <w:rPr>
                <w:sz w:val="18"/>
                <w:szCs w:val="18"/>
                <w:lang w:val="es-ES"/>
              </w:rPr>
              <w:t>Score Level</w:t>
            </w:r>
          </w:p>
        </w:tc>
        <w:tc>
          <w:tcPr>
            <w:tcW w:w="4076" w:type="dxa"/>
          </w:tcPr>
          <w:p w14:paraId="4B19D410" w14:textId="55D8E603" w:rsidR="00551964" w:rsidRPr="00551964" w:rsidRDefault="00551964" w:rsidP="00551964">
            <w:pPr>
              <w:spacing w:line="278" w:lineRule="auto"/>
              <w:rPr>
                <w:sz w:val="18"/>
                <w:szCs w:val="18"/>
                <w:lang w:val="es-ES"/>
              </w:rPr>
            </w:pPr>
            <w:r w:rsidRPr="00551964">
              <w:rPr>
                <w:sz w:val="18"/>
                <w:szCs w:val="18"/>
                <w:lang w:val="es-ES"/>
              </w:rPr>
              <w:t>Nivel de puntuación</w:t>
            </w:r>
          </w:p>
        </w:tc>
      </w:tr>
      <w:tr w:rsidR="00551964" w:rsidRPr="00551964" w14:paraId="728D0F6F" w14:textId="77777777" w:rsidTr="00551964">
        <w:tc>
          <w:tcPr>
            <w:tcW w:w="5293" w:type="dxa"/>
          </w:tcPr>
          <w:p w14:paraId="029E374D" w14:textId="77777777" w:rsidR="00551964" w:rsidRPr="00551964" w:rsidRDefault="00551964" w:rsidP="00551964">
            <w:pPr>
              <w:spacing w:line="278" w:lineRule="auto"/>
              <w:rPr>
                <w:sz w:val="18"/>
                <w:szCs w:val="18"/>
                <w:lang w:val="es-ES"/>
              </w:rPr>
            </w:pPr>
            <w:r w:rsidRPr="00551964">
              <w:rPr>
                <w:sz w:val="18"/>
                <w:szCs w:val="18"/>
                <w:lang w:val="es-ES"/>
              </w:rPr>
              <w:t xml:space="preserve">Party </w:t>
            </w:r>
            <w:proofErr w:type="spellStart"/>
            <w:r w:rsidRPr="00551964">
              <w:rPr>
                <w:sz w:val="18"/>
                <w:szCs w:val="18"/>
                <w:lang w:val="es-ES"/>
              </w:rPr>
              <w:t>count</w:t>
            </w:r>
            <w:proofErr w:type="spellEnd"/>
            <w:r w:rsidRPr="00551964">
              <w:rPr>
                <w:sz w:val="18"/>
                <w:szCs w:val="18"/>
                <w:lang w:val="es-ES"/>
              </w:rPr>
              <w:t>: 127</w:t>
            </w:r>
          </w:p>
        </w:tc>
        <w:tc>
          <w:tcPr>
            <w:tcW w:w="4076" w:type="dxa"/>
          </w:tcPr>
          <w:p w14:paraId="0ABC2B31" w14:textId="7CFCE245" w:rsidR="00551964" w:rsidRPr="00551964" w:rsidRDefault="00551964" w:rsidP="00551964">
            <w:pPr>
              <w:spacing w:line="278" w:lineRule="auto"/>
              <w:rPr>
                <w:sz w:val="18"/>
                <w:szCs w:val="18"/>
                <w:lang w:val="es-ES"/>
              </w:rPr>
            </w:pPr>
            <w:r w:rsidRPr="00551964">
              <w:rPr>
                <w:sz w:val="18"/>
                <w:szCs w:val="18"/>
                <w:lang w:val="es-ES"/>
              </w:rPr>
              <w:t>Número de Partes: 127</w:t>
            </w:r>
          </w:p>
        </w:tc>
      </w:tr>
      <w:tr w:rsidR="00551964" w:rsidRPr="00551964" w14:paraId="7840613B" w14:textId="77777777" w:rsidTr="00551964">
        <w:tc>
          <w:tcPr>
            <w:tcW w:w="5293" w:type="dxa"/>
          </w:tcPr>
          <w:p w14:paraId="2895FDA0" w14:textId="77777777" w:rsidR="00551964" w:rsidRPr="00551964" w:rsidRDefault="00551964" w:rsidP="00551964">
            <w:pPr>
              <w:spacing w:line="278" w:lineRule="auto"/>
              <w:rPr>
                <w:sz w:val="18"/>
                <w:szCs w:val="18"/>
                <w:lang w:val="es-ES"/>
              </w:rPr>
            </w:pPr>
            <w:proofErr w:type="spellStart"/>
            <w:r w:rsidRPr="00551964">
              <w:rPr>
                <w:sz w:val="18"/>
                <w:szCs w:val="18"/>
                <w:lang w:val="es-ES"/>
              </w:rPr>
              <w:t>Region</w:t>
            </w:r>
            <w:proofErr w:type="spellEnd"/>
          </w:p>
        </w:tc>
        <w:tc>
          <w:tcPr>
            <w:tcW w:w="4076" w:type="dxa"/>
          </w:tcPr>
          <w:p w14:paraId="1D2FB6F9" w14:textId="0C816176" w:rsidR="00551964" w:rsidRPr="00551964" w:rsidRDefault="00551964" w:rsidP="00551964">
            <w:pPr>
              <w:spacing w:line="278" w:lineRule="auto"/>
              <w:rPr>
                <w:sz w:val="18"/>
                <w:szCs w:val="18"/>
                <w:lang w:val="es-ES"/>
              </w:rPr>
            </w:pPr>
            <w:r w:rsidRPr="00551964">
              <w:rPr>
                <w:sz w:val="18"/>
                <w:szCs w:val="18"/>
                <w:lang w:val="es-ES"/>
              </w:rPr>
              <w:t>Región</w:t>
            </w:r>
          </w:p>
        </w:tc>
      </w:tr>
      <w:tr w:rsidR="00551964" w:rsidRPr="00551964" w14:paraId="2100B7AD" w14:textId="77777777" w:rsidTr="00551964">
        <w:tc>
          <w:tcPr>
            <w:tcW w:w="5293" w:type="dxa"/>
          </w:tcPr>
          <w:p w14:paraId="58DEFFE1" w14:textId="77777777" w:rsidR="00551964" w:rsidRPr="00551964" w:rsidRDefault="00551964" w:rsidP="00551964">
            <w:pPr>
              <w:spacing w:line="278" w:lineRule="auto"/>
              <w:rPr>
                <w:sz w:val="18"/>
                <w:szCs w:val="18"/>
                <w:lang w:val="es-ES"/>
              </w:rPr>
            </w:pPr>
            <w:r w:rsidRPr="00551964">
              <w:rPr>
                <w:sz w:val="18"/>
                <w:szCs w:val="18"/>
                <w:lang w:val="es-ES"/>
              </w:rPr>
              <w:t>African States</w:t>
            </w:r>
          </w:p>
        </w:tc>
        <w:tc>
          <w:tcPr>
            <w:tcW w:w="4076" w:type="dxa"/>
          </w:tcPr>
          <w:p w14:paraId="7E0B46DB" w14:textId="5A84B106" w:rsidR="00551964" w:rsidRPr="00551964" w:rsidRDefault="00551964" w:rsidP="00551964">
            <w:pPr>
              <w:spacing w:line="278" w:lineRule="auto"/>
              <w:rPr>
                <w:sz w:val="18"/>
                <w:szCs w:val="18"/>
                <w:lang w:val="es-ES"/>
              </w:rPr>
            </w:pPr>
            <w:r w:rsidRPr="00551964">
              <w:rPr>
                <w:sz w:val="18"/>
                <w:szCs w:val="18"/>
                <w:lang w:val="es-ES"/>
              </w:rPr>
              <w:t>Estados de África</w:t>
            </w:r>
          </w:p>
        </w:tc>
      </w:tr>
      <w:tr w:rsidR="00551964" w:rsidRPr="00551964" w14:paraId="781D7EDA" w14:textId="77777777" w:rsidTr="00551964">
        <w:tc>
          <w:tcPr>
            <w:tcW w:w="5293" w:type="dxa"/>
          </w:tcPr>
          <w:p w14:paraId="33931F12" w14:textId="77777777" w:rsidR="00551964" w:rsidRPr="00551964" w:rsidRDefault="00551964" w:rsidP="00551964">
            <w:pPr>
              <w:spacing w:line="278" w:lineRule="auto"/>
              <w:rPr>
                <w:sz w:val="18"/>
                <w:szCs w:val="18"/>
                <w:lang w:val="es-ES"/>
              </w:rPr>
            </w:pPr>
            <w:r w:rsidRPr="00551964">
              <w:rPr>
                <w:sz w:val="18"/>
                <w:szCs w:val="18"/>
                <w:lang w:val="es-ES"/>
              </w:rPr>
              <w:t>Asia-Pacific States</w:t>
            </w:r>
          </w:p>
        </w:tc>
        <w:tc>
          <w:tcPr>
            <w:tcW w:w="4076" w:type="dxa"/>
          </w:tcPr>
          <w:p w14:paraId="2E1BCA5C" w14:textId="2F88261F" w:rsidR="00551964" w:rsidRPr="00551964" w:rsidRDefault="00551964" w:rsidP="00551964">
            <w:pPr>
              <w:spacing w:line="278" w:lineRule="auto"/>
              <w:rPr>
                <w:sz w:val="18"/>
                <w:szCs w:val="18"/>
                <w:lang w:val="es-ES"/>
              </w:rPr>
            </w:pPr>
            <w:r w:rsidRPr="00551964">
              <w:rPr>
                <w:sz w:val="18"/>
                <w:szCs w:val="18"/>
                <w:lang w:val="es-ES"/>
              </w:rPr>
              <w:t>Estados de Asia y el Pacífico</w:t>
            </w:r>
          </w:p>
        </w:tc>
      </w:tr>
      <w:tr w:rsidR="00551964" w:rsidRPr="00551964" w14:paraId="267BB8DE" w14:textId="77777777" w:rsidTr="00551964">
        <w:tc>
          <w:tcPr>
            <w:tcW w:w="5293" w:type="dxa"/>
          </w:tcPr>
          <w:p w14:paraId="1E986EDA" w14:textId="77777777" w:rsidR="00551964" w:rsidRPr="00551964" w:rsidRDefault="00551964" w:rsidP="00551964">
            <w:pPr>
              <w:spacing w:line="278" w:lineRule="auto"/>
              <w:rPr>
                <w:sz w:val="18"/>
                <w:szCs w:val="18"/>
                <w:lang w:val="en-US"/>
              </w:rPr>
            </w:pPr>
            <w:r w:rsidRPr="00551964">
              <w:rPr>
                <w:sz w:val="18"/>
                <w:szCs w:val="18"/>
                <w:lang w:val="en-US"/>
              </w:rPr>
              <w:t>Latin American and Caribbean States</w:t>
            </w:r>
          </w:p>
        </w:tc>
        <w:tc>
          <w:tcPr>
            <w:tcW w:w="4076" w:type="dxa"/>
          </w:tcPr>
          <w:p w14:paraId="58E16C33" w14:textId="152B3F2B" w:rsidR="00551964" w:rsidRPr="00551964" w:rsidRDefault="00551964" w:rsidP="00551964">
            <w:pPr>
              <w:spacing w:line="278" w:lineRule="auto"/>
              <w:rPr>
                <w:sz w:val="18"/>
                <w:szCs w:val="18"/>
                <w:lang w:val="es-ES"/>
              </w:rPr>
            </w:pPr>
            <w:r w:rsidRPr="00551964">
              <w:rPr>
                <w:sz w:val="18"/>
                <w:szCs w:val="18"/>
                <w:lang w:val="es-ES"/>
              </w:rPr>
              <w:t>Estados de América Latina y el Caribe</w:t>
            </w:r>
          </w:p>
        </w:tc>
      </w:tr>
      <w:tr w:rsidR="00551964" w:rsidRPr="00551964" w14:paraId="263E2062" w14:textId="77777777" w:rsidTr="00551964">
        <w:tc>
          <w:tcPr>
            <w:tcW w:w="5293" w:type="dxa"/>
          </w:tcPr>
          <w:p w14:paraId="736FD488" w14:textId="77777777" w:rsidR="00551964" w:rsidRPr="00551964" w:rsidRDefault="00551964" w:rsidP="00551964">
            <w:pPr>
              <w:spacing w:line="278" w:lineRule="auto"/>
              <w:rPr>
                <w:sz w:val="18"/>
                <w:szCs w:val="18"/>
                <w:lang w:val="es-ES"/>
              </w:rPr>
            </w:pPr>
            <w:r w:rsidRPr="00551964">
              <w:rPr>
                <w:sz w:val="18"/>
                <w:szCs w:val="18"/>
                <w:lang w:val="es-ES"/>
              </w:rPr>
              <w:t xml:space="preserve"> Eastern European States</w:t>
            </w:r>
          </w:p>
        </w:tc>
        <w:tc>
          <w:tcPr>
            <w:tcW w:w="4076" w:type="dxa"/>
          </w:tcPr>
          <w:p w14:paraId="243969B2" w14:textId="3723082C" w:rsidR="00551964" w:rsidRPr="00551964" w:rsidRDefault="00551964" w:rsidP="00551964">
            <w:pPr>
              <w:spacing w:line="278" w:lineRule="auto"/>
              <w:rPr>
                <w:sz w:val="18"/>
                <w:szCs w:val="18"/>
                <w:lang w:val="es-ES"/>
              </w:rPr>
            </w:pPr>
            <w:r w:rsidRPr="00551964">
              <w:rPr>
                <w:sz w:val="18"/>
                <w:szCs w:val="18"/>
                <w:lang w:val="es-ES"/>
              </w:rPr>
              <w:t>Estados de Europa Oriental</w:t>
            </w:r>
          </w:p>
        </w:tc>
      </w:tr>
      <w:tr w:rsidR="00551964" w:rsidRPr="00551964" w14:paraId="4293C1AE" w14:textId="77777777" w:rsidTr="00551964">
        <w:tc>
          <w:tcPr>
            <w:tcW w:w="5293" w:type="dxa"/>
          </w:tcPr>
          <w:p w14:paraId="386D283E" w14:textId="77777777" w:rsidR="00551964" w:rsidRPr="00551964" w:rsidRDefault="00551964" w:rsidP="00551964">
            <w:pPr>
              <w:spacing w:line="278" w:lineRule="auto"/>
              <w:rPr>
                <w:sz w:val="18"/>
                <w:szCs w:val="18"/>
                <w:lang w:val="en-US"/>
              </w:rPr>
            </w:pPr>
            <w:r w:rsidRPr="00551964">
              <w:rPr>
                <w:sz w:val="18"/>
                <w:szCs w:val="18"/>
                <w:lang w:val="en-US"/>
              </w:rPr>
              <w:t>Western European and other States</w:t>
            </w:r>
          </w:p>
        </w:tc>
        <w:tc>
          <w:tcPr>
            <w:tcW w:w="4076" w:type="dxa"/>
          </w:tcPr>
          <w:p w14:paraId="4EADA7CB" w14:textId="55FD58A0" w:rsidR="00551964" w:rsidRPr="00551964" w:rsidRDefault="00551964" w:rsidP="00551964">
            <w:pPr>
              <w:spacing w:line="278" w:lineRule="auto"/>
              <w:rPr>
                <w:sz w:val="18"/>
                <w:szCs w:val="18"/>
                <w:lang w:val="es-ES"/>
              </w:rPr>
            </w:pPr>
            <w:r w:rsidRPr="00551964">
              <w:rPr>
                <w:sz w:val="18"/>
                <w:szCs w:val="18"/>
                <w:lang w:val="es-ES"/>
              </w:rPr>
              <w:t>Estados de Europa Occidental y otros Estados</w:t>
            </w:r>
          </w:p>
        </w:tc>
      </w:tr>
    </w:tbl>
    <w:p w14:paraId="75E741AF" w14:textId="77777777" w:rsidR="009713BF" w:rsidRPr="005E3D50" w:rsidRDefault="009713BF" w:rsidP="009713BF">
      <w:pPr>
        <w:rPr>
          <w:sz w:val="18"/>
          <w:szCs w:val="18"/>
          <w:lang w:val="es-ES"/>
        </w:rPr>
      </w:pPr>
    </w:p>
    <w:p w14:paraId="43CFC458"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bookmarkStart w:id="404" w:name="_Ref238731180"/>
      <w:r w:rsidRPr="005E3D50">
        <w:rPr>
          <w:rFonts w:eastAsiaTheme="minorEastAsia"/>
          <w:iCs/>
          <w:color w:val="0E2841" w:themeColor="text2"/>
          <w:kern w:val="0"/>
          <w:sz w:val="20"/>
          <w:szCs w:val="18"/>
          <w:lang w:val="es-ES" w:eastAsia="ja-JP"/>
          <w14:ligatures w14:val="none"/>
        </w:rPr>
        <w:t>Figura 65</w:t>
      </w:r>
      <w:bookmarkEnd w:id="404"/>
    </w:p>
    <w:p w14:paraId="14AC41DB"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15 del Marco que sugieren tendencias de mejora, estables y negativas, respectivamente </w:t>
      </w:r>
    </w:p>
    <w:p w14:paraId="2F6738E4" w14:textId="77777777" w:rsidR="009713BF" w:rsidRPr="005E3D50" w:rsidRDefault="009713BF" w:rsidP="009713BF">
      <w:pPr>
        <w:rPr>
          <w:lang w:val="es-ES" w:eastAsia="ja-JP"/>
        </w:rPr>
      </w:pPr>
    </w:p>
    <w:p w14:paraId="25FE3D80"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405" w:name="_Ref231214040"/>
      <w:r w:rsidRPr="005E3D50">
        <w:rPr>
          <w:rFonts w:eastAsiaTheme="minorEastAsia"/>
          <w:i/>
          <w:iCs/>
          <w:noProof/>
          <w:color w:val="0E2841" w:themeColor="text2"/>
          <w:kern w:val="0"/>
          <w:sz w:val="18"/>
          <w:szCs w:val="18"/>
          <w:lang w:val="en-US"/>
          <w14:ligatures w14:val="none"/>
        </w:rPr>
        <w:lastRenderedPageBreak/>
        <w:drawing>
          <wp:inline distT="0" distB="0" distL="0" distR="0" wp14:anchorId="7F6517E1" wp14:editId="645206F3">
            <wp:extent cx="5731510" cy="2456180"/>
            <wp:effectExtent l="0" t="0" r="0" b="0"/>
            <wp:docPr id="2107140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4091" name="Picture 21071409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58A1398"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Las tendencias incluyen datos para 1 indicador de cabecera de 21 Partes y 1 indicador de componente y 33 indicadores nacionales de un total de</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20 Partes.</w:t>
      </w:r>
      <w:bookmarkStart w:id="406" w:name="_Ref235914222"/>
      <w:r w:rsidRPr="005E3D50">
        <w:rPr>
          <w:rFonts w:ascii="Aptos" w:eastAsiaTheme="minorEastAsia" w:hAnsi="Aptos"/>
          <w:iCs/>
          <w:color w:val="0E2841" w:themeColor="text2"/>
          <w:kern w:val="0"/>
          <w:sz w:val="18"/>
          <w:szCs w:val="18"/>
          <w:lang w:val="es-ES" w:eastAsia="ja-JP"/>
          <w14:ligatures w14:val="none"/>
        </w:rPr>
        <w:t xml:space="preserve"> El gráfico circular muestra la distribución de las Partes que presentaron indicadores para la meta 15,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28" w:type="dxa"/>
        <w:tblLook w:val="04A0" w:firstRow="1" w:lastRow="0" w:firstColumn="1" w:lastColumn="0" w:noHBand="0" w:noVBand="1"/>
      </w:tblPr>
      <w:tblGrid>
        <w:gridCol w:w="5465"/>
        <w:gridCol w:w="3863"/>
      </w:tblGrid>
      <w:tr w:rsidR="0095232E" w:rsidRPr="0095232E" w14:paraId="790F504B" w14:textId="77777777" w:rsidTr="00CC3DC7">
        <w:tc>
          <w:tcPr>
            <w:tcW w:w="9328" w:type="dxa"/>
            <w:gridSpan w:val="2"/>
          </w:tcPr>
          <w:p w14:paraId="482A61F3" w14:textId="4A9E5531" w:rsidR="0095232E" w:rsidRPr="0095232E" w:rsidRDefault="0095232E" w:rsidP="000E4F7F">
            <w:pPr>
              <w:spacing w:line="278" w:lineRule="auto"/>
              <w:rPr>
                <w:sz w:val="18"/>
                <w:szCs w:val="18"/>
                <w:lang w:val="es-ES"/>
              </w:rPr>
            </w:pPr>
            <w:r w:rsidRPr="0095232E">
              <w:rPr>
                <w:sz w:val="18"/>
                <w:szCs w:val="18"/>
                <w:lang w:val="es-ES"/>
              </w:rPr>
              <w:t>Figura 65</w:t>
            </w:r>
          </w:p>
        </w:tc>
      </w:tr>
      <w:tr w:rsidR="0095232E" w:rsidRPr="0095232E" w14:paraId="3F5D8D49" w14:textId="77777777" w:rsidTr="00CC3DC7">
        <w:tc>
          <w:tcPr>
            <w:tcW w:w="5465" w:type="dxa"/>
          </w:tcPr>
          <w:p w14:paraId="5B884E7F" w14:textId="5DA75EB6" w:rsidR="0095232E" w:rsidRPr="0095232E" w:rsidRDefault="0095232E" w:rsidP="000E4F7F">
            <w:pPr>
              <w:spacing w:line="278" w:lineRule="auto"/>
              <w:rPr>
                <w:sz w:val="18"/>
                <w:szCs w:val="18"/>
                <w:lang w:val="es-ES"/>
              </w:rPr>
            </w:pPr>
            <w:r w:rsidRPr="0095232E">
              <w:rPr>
                <w:sz w:val="18"/>
                <w:szCs w:val="18"/>
                <w:lang w:val="es-ES"/>
              </w:rPr>
              <w:t>English</w:t>
            </w:r>
          </w:p>
        </w:tc>
        <w:tc>
          <w:tcPr>
            <w:tcW w:w="3862" w:type="dxa"/>
          </w:tcPr>
          <w:p w14:paraId="173844B7" w14:textId="3832E3B2" w:rsidR="0095232E" w:rsidRPr="0095232E" w:rsidRDefault="00CC3DC7" w:rsidP="000E4F7F">
            <w:pPr>
              <w:spacing w:line="278" w:lineRule="auto"/>
              <w:rPr>
                <w:sz w:val="18"/>
                <w:szCs w:val="18"/>
                <w:lang w:val="es-ES"/>
              </w:rPr>
            </w:pPr>
            <w:r>
              <w:rPr>
                <w:sz w:val="18"/>
                <w:szCs w:val="18"/>
                <w:lang w:val="es-ES"/>
              </w:rPr>
              <w:t>Español</w:t>
            </w:r>
          </w:p>
        </w:tc>
      </w:tr>
      <w:tr w:rsidR="0095232E" w:rsidRPr="0095232E" w14:paraId="11489DA9" w14:textId="77777777" w:rsidTr="00CC3DC7">
        <w:tc>
          <w:tcPr>
            <w:tcW w:w="5465" w:type="dxa"/>
          </w:tcPr>
          <w:p w14:paraId="03020DB4" w14:textId="77777777" w:rsidR="0095232E" w:rsidRPr="0095232E" w:rsidRDefault="0095232E" w:rsidP="000E4F7F">
            <w:pPr>
              <w:spacing w:line="278" w:lineRule="auto"/>
              <w:rPr>
                <w:sz w:val="18"/>
                <w:szCs w:val="18"/>
                <w:lang w:val="es-ES"/>
              </w:rPr>
            </w:pPr>
            <w:proofErr w:type="spellStart"/>
            <w:r w:rsidRPr="0095232E">
              <w:rPr>
                <w:sz w:val="18"/>
                <w:szCs w:val="18"/>
                <w:lang w:val="es-ES"/>
              </w:rPr>
              <w:t>Proportion</w:t>
            </w:r>
            <w:proofErr w:type="spellEnd"/>
          </w:p>
        </w:tc>
        <w:tc>
          <w:tcPr>
            <w:tcW w:w="3862" w:type="dxa"/>
          </w:tcPr>
          <w:p w14:paraId="00D46040" w14:textId="32E5FC80" w:rsidR="0095232E" w:rsidRPr="0095232E" w:rsidRDefault="0095232E" w:rsidP="000E4F7F">
            <w:pPr>
              <w:spacing w:line="278" w:lineRule="auto"/>
              <w:rPr>
                <w:sz w:val="18"/>
                <w:szCs w:val="18"/>
                <w:lang w:val="es-ES"/>
              </w:rPr>
            </w:pPr>
            <w:r w:rsidRPr="0095232E">
              <w:rPr>
                <w:sz w:val="18"/>
                <w:szCs w:val="18"/>
                <w:lang w:val="es-ES"/>
              </w:rPr>
              <w:t>Proporción</w:t>
            </w:r>
          </w:p>
        </w:tc>
      </w:tr>
      <w:tr w:rsidR="0095232E" w:rsidRPr="0095232E" w14:paraId="2212859D" w14:textId="77777777" w:rsidTr="00CC3DC7">
        <w:tc>
          <w:tcPr>
            <w:tcW w:w="5465" w:type="dxa"/>
          </w:tcPr>
          <w:p w14:paraId="29D50A1B" w14:textId="77777777" w:rsidR="0095232E" w:rsidRPr="0095232E" w:rsidRDefault="0095232E" w:rsidP="000E4F7F">
            <w:pPr>
              <w:spacing w:line="278" w:lineRule="auto"/>
              <w:rPr>
                <w:sz w:val="18"/>
                <w:szCs w:val="18"/>
                <w:lang w:val="es-ES"/>
              </w:rPr>
            </w:pPr>
            <w:r w:rsidRPr="0095232E">
              <w:rPr>
                <w:sz w:val="18"/>
                <w:szCs w:val="18"/>
                <w:lang w:val="es-ES"/>
              </w:rPr>
              <w:t xml:space="preserve">Current </w:t>
            </w:r>
            <w:proofErr w:type="gramStart"/>
            <w:r w:rsidRPr="0095232E">
              <w:rPr>
                <w:sz w:val="18"/>
                <w:szCs w:val="18"/>
                <w:lang w:val="es-ES"/>
              </w:rPr>
              <w:t>Status</w:t>
            </w:r>
            <w:proofErr w:type="gramEnd"/>
          </w:p>
        </w:tc>
        <w:tc>
          <w:tcPr>
            <w:tcW w:w="3862" w:type="dxa"/>
          </w:tcPr>
          <w:p w14:paraId="6CF170A4" w14:textId="3C149AEF" w:rsidR="0095232E" w:rsidRPr="0095232E" w:rsidRDefault="0095232E" w:rsidP="000E4F7F">
            <w:pPr>
              <w:spacing w:line="278" w:lineRule="auto"/>
              <w:rPr>
                <w:sz w:val="18"/>
                <w:szCs w:val="18"/>
                <w:lang w:val="es-ES"/>
              </w:rPr>
            </w:pPr>
            <w:r w:rsidRPr="0095232E">
              <w:rPr>
                <w:sz w:val="18"/>
                <w:szCs w:val="18"/>
                <w:lang w:val="es-ES"/>
              </w:rPr>
              <w:t>Estado actual</w:t>
            </w:r>
          </w:p>
        </w:tc>
      </w:tr>
      <w:tr w:rsidR="0095232E" w:rsidRPr="0095232E" w14:paraId="438C8B14" w14:textId="77777777" w:rsidTr="00CC3DC7">
        <w:tc>
          <w:tcPr>
            <w:tcW w:w="5465" w:type="dxa"/>
          </w:tcPr>
          <w:p w14:paraId="3B9C8F68" w14:textId="77777777" w:rsidR="0095232E" w:rsidRPr="0095232E" w:rsidRDefault="0095232E" w:rsidP="000E4F7F">
            <w:pPr>
              <w:spacing w:line="278" w:lineRule="auto"/>
              <w:rPr>
                <w:sz w:val="18"/>
                <w:szCs w:val="18"/>
                <w:lang w:val="es-ES"/>
              </w:rPr>
            </w:pPr>
            <w:proofErr w:type="spellStart"/>
            <w:r w:rsidRPr="0095232E">
              <w:rPr>
                <w:sz w:val="18"/>
                <w:szCs w:val="18"/>
                <w:lang w:val="es-ES"/>
              </w:rPr>
              <w:t>improving</w:t>
            </w:r>
            <w:proofErr w:type="spellEnd"/>
          </w:p>
        </w:tc>
        <w:tc>
          <w:tcPr>
            <w:tcW w:w="3862" w:type="dxa"/>
          </w:tcPr>
          <w:p w14:paraId="00366B8A" w14:textId="7D8893E5" w:rsidR="0095232E" w:rsidRPr="0095232E" w:rsidRDefault="0095232E" w:rsidP="000E4F7F">
            <w:pPr>
              <w:spacing w:line="278" w:lineRule="auto"/>
              <w:rPr>
                <w:sz w:val="18"/>
                <w:szCs w:val="18"/>
                <w:lang w:val="es-ES"/>
              </w:rPr>
            </w:pPr>
            <w:r w:rsidRPr="0095232E">
              <w:rPr>
                <w:sz w:val="18"/>
                <w:szCs w:val="18"/>
                <w:lang w:val="es-ES"/>
              </w:rPr>
              <w:t>mejorando</w:t>
            </w:r>
          </w:p>
        </w:tc>
      </w:tr>
      <w:tr w:rsidR="0095232E" w:rsidRPr="0095232E" w14:paraId="274E76C9" w14:textId="77777777" w:rsidTr="00CC3DC7">
        <w:tc>
          <w:tcPr>
            <w:tcW w:w="5465" w:type="dxa"/>
          </w:tcPr>
          <w:p w14:paraId="01C05317" w14:textId="77777777" w:rsidR="0095232E" w:rsidRPr="0095232E" w:rsidRDefault="0095232E" w:rsidP="000E4F7F">
            <w:pPr>
              <w:spacing w:line="278" w:lineRule="auto"/>
              <w:rPr>
                <w:sz w:val="18"/>
                <w:szCs w:val="18"/>
                <w:lang w:val="es-ES"/>
              </w:rPr>
            </w:pPr>
            <w:proofErr w:type="spellStart"/>
            <w:r w:rsidRPr="0095232E">
              <w:rPr>
                <w:sz w:val="18"/>
                <w:szCs w:val="18"/>
                <w:lang w:val="es-ES"/>
              </w:rPr>
              <w:t>stable</w:t>
            </w:r>
            <w:proofErr w:type="spellEnd"/>
          </w:p>
        </w:tc>
        <w:tc>
          <w:tcPr>
            <w:tcW w:w="3862" w:type="dxa"/>
          </w:tcPr>
          <w:p w14:paraId="4A403E25" w14:textId="7B9EA68F" w:rsidR="0095232E" w:rsidRPr="0095232E" w:rsidRDefault="0095232E" w:rsidP="000E4F7F">
            <w:pPr>
              <w:spacing w:line="278" w:lineRule="auto"/>
              <w:rPr>
                <w:sz w:val="18"/>
                <w:szCs w:val="18"/>
                <w:lang w:val="es-ES"/>
              </w:rPr>
            </w:pPr>
            <w:r w:rsidRPr="0095232E">
              <w:rPr>
                <w:sz w:val="18"/>
                <w:szCs w:val="18"/>
                <w:lang w:val="es-ES"/>
              </w:rPr>
              <w:t>estable</w:t>
            </w:r>
          </w:p>
        </w:tc>
      </w:tr>
      <w:tr w:rsidR="0095232E" w:rsidRPr="0095232E" w14:paraId="5EC756DB" w14:textId="77777777" w:rsidTr="00CC3DC7">
        <w:tc>
          <w:tcPr>
            <w:tcW w:w="5465" w:type="dxa"/>
          </w:tcPr>
          <w:p w14:paraId="082FC10F" w14:textId="77777777" w:rsidR="0095232E" w:rsidRPr="0095232E" w:rsidRDefault="0095232E" w:rsidP="000E4F7F">
            <w:pPr>
              <w:spacing w:line="278" w:lineRule="auto"/>
              <w:rPr>
                <w:sz w:val="18"/>
                <w:szCs w:val="18"/>
                <w:lang w:val="es-ES"/>
              </w:rPr>
            </w:pPr>
            <w:proofErr w:type="spellStart"/>
            <w:r w:rsidRPr="0095232E">
              <w:rPr>
                <w:sz w:val="18"/>
                <w:szCs w:val="18"/>
                <w:lang w:val="es-ES"/>
              </w:rPr>
              <w:t>moving</w:t>
            </w:r>
            <w:proofErr w:type="spellEnd"/>
            <w:r w:rsidRPr="0095232E">
              <w:rPr>
                <w:sz w:val="18"/>
                <w:szCs w:val="18"/>
                <w:lang w:val="es-ES"/>
              </w:rPr>
              <w:t xml:space="preserve"> </w:t>
            </w:r>
            <w:proofErr w:type="spellStart"/>
            <w:r w:rsidRPr="0095232E">
              <w:rPr>
                <w:sz w:val="18"/>
                <w:szCs w:val="18"/>
                <w:lang w:val="es-ES"/>
              </w:rPr>
              <w:t>away</w:t>
            </w:r>
            <w:proofErr w:type="spellEnd"/>
          </w:p>
        </w:tc>
        <w:tc>
          <w:tcPr>
            <w:tcW w:w="3862" w:type="dxa"/>
          </w:tcPr>
          <w:p w14:paraId="2B0E0D3B" w14:textId="1068AB39" w:rsidR="0095232E" w:rsidRPr="0095232E" w:rsidRDefault="0095232E" w:rsidP="000E4F7F">
            <w:pPr>
              <w:spacing w:line="278" w:lineRule="auto"/>
              <w:rPr>
                <w:sz w:val="18"/>
                <w:szCs w:val="18"/>
                <w:lang w:val="es-ES"/>
              </w:rPr>
            </w:pPr>
            <w:r w:rsidRPr="0095232E">
              <w:rPr>
                <w:sz w:val="18"/>
                <w:szCs w:val="18"/>
                <w:lang w:val="es-ES"/>
              </w:rPr>
              <w:t>alejándose</w:t>
            </w:r>
          </w:p>
        </w:tc>
      </w:tr>
      <w:tr w:rsidR="0095232E" w:rsidRPr="0095232E" w14:paraId="12A8E2FD" w14:textId="77777777" w:rsidTr="00CC3DC7">
        <w:tc>
          <w:tcPr>
            <w:tcW w:w="5465" w:type="dxa"/>
          </w:tcPr>
          <w:p w14:paraId="205C00B4" w14:textId="77777777" w:rsidR="0095232E" w:rsidRPr="0095232E" w:rsidRDefault="0095232E" w:rsidP="000E4F7F">
            <w:pPr>
              <w:spacing w:line="278" w:lineRule="auto"/>
              <w:rPr>
                <w:sz w:val="18"/>
                <w:szCs w:val="18"/>
                <w:lang w:val="es-ES"/>
              </w:rPr>
            </w:pPr>
            <w:r w:rsidRPr="0095232E">
              <w:rPr>
                <w:sz w:val="18"/>
                <w:szCs w:val="18"/>
                <w:lang w:val="es-ES"/>
              </w:rPr>
              <w:t xml:space="preserve">Party </w:t>
            </w:r>
            <w:proofErr w:type="spellStart"/>
            <w:r w:rsidRPr="0095232E">
              <w:rPr>
                <w:sz w:val="18"/>
                <w:szCs w:val="18"/>
                <w:lang w:val="es-ES"/>
              </w:rPr>
              <w:t>count</w:t>
            </w:r>
            <w:proofErr w:type="spellEnd"/>
            <w:r w:rsidRPr="0095232E">
              <w:rPr>
                <w:sz w:val="18"/>
                <w:szCs w:val="18"/>
                <w:lang w:val="es-ES"/>
              </w:rPr>
              <w:t>: 35</w:t>
            </w:r>
          </w:p>
        </w:tc>
        <w:tc>
          <w:tcPr>
            <w:tcW w:w="3862" w:type="dxa"/>
          </w:tcPr>
          <w:p w14:paraId="0493B783" w14:textId="1A7D5325" w:rsidR="0095232E" w:rsidRPr="0095232E" w:rsidRDefault="0095232E" w:rsidP="000E4F7F">
            <w:pPr>
              <w:spacing w:line="278" w:lineRule="auto"/>
              <w:rPr>
                <w:sz w:val="18"/>
                <w:szCs w:val="18"/>
                <w:lang w:val="es-ES"/>
              </w:rPr>
            </w:pPr>
            <w:r w:rsidRPr="0095232E">
              <w:rPr>
                <w:sz w:val="18"/>
                <w:szCs w:val="18"/>
                <w:lang w:val="es-ES"/>
              </w:rPr>
              <w:t>Número de Partes: 35</w:t>
            </w:r>
          </w:p>
        </w:tc>
      </w:tr>
      <w:tr w:rsidR="0095232E" w:rsidRPr="0095232E" w14:paraId="29319370" w14:textId="77777777" w:rsidTr="00CC3DC7">
        <w:tc>
          <w:tcPr>
            <w:tcW w:w="5465" w:type="dxa"/>
          </w:tcPr>
          <w:p w14:paraId="7418B3A3" w14:textId="77777777" w:rsidR="0095232E" w:rsidRPr="0095232E" w:rsidRDefault="0095232E" w:rsidP="000E4F7F">
            <w:pPr>
              <w:spacing w:line="278" w:lineRule="auto"/>
              <w:rPr>
                <w:sz w:val="18"/>
                <w:szCs w:val="18"/>
                <w:lang w:val="es-ES"/>
              </w:rPr>
            </w:pPr>
            <w:proofErr w:type="spellStart"/>
            <w:r w:rsidRPr="0095232E">
              <w:rPr>
                <w:sz w:val="18"/>
                <w:szCs w:val="18"/>
                <w:lang w:val="es-ES"/>
              </w:rPr>
              <w:t>Region</w:t>
            </w:r>
            <w:proofErr w:type="spellEnd"/>
          </w:p>
        </w:tc>
        <w:tc>
          <w:tcPr>
            <w:tcW w:w="3862" w:type="dxa"/>
          </w:tcPr>
          <w:p w14:paraId="72B0691A" w14:textId="54EB7713" w:rsidR="0095232E" w:rsidRPr="0095232E" w:rsidRDefault="0095232E" w:rsidP="000E4F7F">
            <w:pPr>
              <w:spacing w:line="278" w:lineRule="auto"/>
              <w:rPr>
                <w:sz w:val="18"/>
                <w:szCs w:val="18"/>
                <w:lang w:val="es-ES"/>
              </w:rPr>
            </w:pPr>
            <w:r w:rsidRPr="0095232E">
              <w:rPr>
                <w:sz w:val="18"/>
                <w:szCs w:val="18"/>
                <w:lang w:val="es-ES"/>
              </w:rPr>
              <w:t>Región</w:t>
            </w:r>
          </w:p>
        </w:tc>
      </w:tr>
      <w:tr w:rsidR="0095232E" w:rsidRPr="0095232E" w14:paraId="1092C62E" w14:textId="77777777" w:rsidTr="00CC3DC7">
        <w:tc>
          <w:tcPr>
            <w:tcW w:w="5465" w:type="dxa"/>
          </w:tcPr>
          <w:p w14:paraId="6DF1E6AF" w14:textId="77777777" w:rsidR="0095232E" w:rsidRPr="0095232E" w:rsidRDefault="0095232E" w:rsidP="000E4F7F">
            <w:pPr>
              <w:spacing w:line="278" w:lineRule="auto"/>
              <w:rPr>
                <w:sz w:val="18"/>
                <w:szCs w:val="18"/>
                <w:lang w:val="es-ES"/>
              </w:rPr>
            </w:pPr>
            <w:r w:rsidRPr="0095232E">
              <w:rPr>
                <w:sz w:val="18"/>
                <w:szCs w:val="18"/>
                <w:lang w:val="es-ES"/>
              </w:rPr>
              <w:t>African States</w:t>
            </w:r>
          </w:p>
        </w:tc>
        <w:tc>
          <w:tcPr>
            <w:tcW w:w="3862" w:type="dxa"/>
          </w:tcPr>
          <w:p w14:paraId="742BADD9" w14:textId="6843FC6D" w:rsidR="0095232E" w:rsidRPr="0095232E" w:rsidRDefault="0095232E" w:rsidP="000E4F7F">
            <w:pPr>
              <w:spacing w:line="278" w:lineRule="auto"/>
              <w:rPr>
                <w:sz w:val="18"/>
                <w:szCs w:val="18"/>
                <w:lang w:val="es-ES"/>
              </w:rPr>
            </w:pPr>
            <w:r w:rsidRPr="0095232E">
              <w:rPr>
                <w:sz w:val="18"/>
                <w:szCs w:val="18"/>
                <w:lang w:val="es-ES"/>
              </w:rPr>
              <w:t>Estados de África</w:t>
            </w:r>
          </w:p>
        </w:tc>
      </w:tr>
      <w:tr w:rsidR="0095232E" w:rsidRPr="0095232E" w14:paraId="392A2758" w14:textId="77777777" w:rsidTr="00CC3DC7">
        <w:tc>
          <w:tcPr>
            <w:tcW w:w="5465" w:type="dxa"/>
          </w:tcPr>
          <w:p w14:paraId="69C99F83" w14:textId="77777777" w:rsidR="0095232E" w:rsidRPr="0095232E" w:rsidRDefault="0095232E" w:rsidP="000E4F7F">
            <w:pPr>
              <w:spacing w:line="278" w:lineRule="auto"/>
              <w:rPr>
                <w:sz w:val="18"/>
                <w:szCs w:val="18"/>
                <w:lang w:val="es-ES"/>
              </w:rPr>
            </w:pPr>
            <w:r w:rsidRPr="0095232E">
              <w:rPr>
                <w:sz w:val="18"/>
                <w:szCs w:val="18"/>
                <w:lang w:val="es-ES"/>
              </w:rPr>
              <w:t>Asia-Pacific States</w:t>
            </w:r>
          </w:p>
        </w:tc>
        <w:tc>
          <w:tcPr>
            <w:tcW w:w="3862" w:type="dxa"/>
          </w:tcPr>
          <w:p w14:paraId="76F94565" w14:textId="1337CA5A" w:rsidR="0095232E" w:rsidRPr="0095232E" w:rsidRDefault="0095232E" w:rsidP="000E4F7F">
            <w:pPr>
              <w:spacing w:line="278" w:lineRule="auto"/>
              <w:rPr>
                <w:sz w:val="18"/>
                <w:szCs w:val="18"/>
                <w:lang w:val="es-ES"/>
              </w:rPr>
            </w:pPr>
            <w:r w:rsidRPr="0095232E">
              <w:rPr>
                <w:sz w:val="18"/>
                <w:szCs w:val="18"/>
                <w:lang w:val="es-ES"/>
              </w:rPr>
              <w:t>Estados de Asia y el Pacífico</w:t>
            </w:r>
          </w:p>
        </w:tc>
      </w:tr>
      <w:tr w:rsidR="0095232E" w:rsidRPr="0095232E" w14:paraId="5522436C" w14:textId="77777777" w:rsidTr="00CC3DC7">
        <w:tc>
          <w:tcPr>
            <w:tcW w:w="5465" w:type="dxa"/>
          </w:tcPr>
          <w:p w14:paraId="213426B9" w14:textId="77777777" w:rsidR="0095232E" w:rsidRPr="0095232E" w:rsidRDefault="0095232E" w:rsidP="000E4F7F">
            <w:pPr>
              <w:spacing w:line="278" w:lineRule="auto"/>
              <w:rPr>
                <w:sz w:val="18"/>
                <w:szCs w:val="18"/>
                <w:lang w:val="en-US"/>
              </w:rPr>
            </w:pPr>
            <w:r w:rsidRPr="0095232E">
              <w:rPr>
                <w:sz w:val="18"/>
                <w:szCs w:val="18"/>
                <w:lang w:val="en-US"/>
              </w:rPr>
              <w:t>Latin American and Caribbean States</w:t>
            </w:r>
          </w:p>
        </w:tc>
        <w:tc>
          <w:tcPr>
            <w:tcW w:w="3862" w:type="dxa"/>
          </w:tcPr>
          <w:p w14:paraId="68BE532F" w14:textId="5E5A8F9F" w:rsidR="0095232E" w:rsidRPr="0095232E" w:rsidRDefault="0095232E" w:rsidP="000E4F7F">
            <w:pPr>
              <w:spacing w:line="278" w:lineRule="auto"/>
              <w:rPr>
                <w:sz w:val="18"/>
                <w:szCs w:val="18"/>
                <w:lang w:val="es-ES"/>
              </w:rPr>
            </w:pPr>
            <w:r w:rsidRPr="0095232E">
              <w:rPr>
                <w:sz w:val="18"/>
                <w:szCs w:val="18"/>
                <w:lang w:val="es-ES"/>
              </w:rPr>
              <w:t>Estados de América Latina y el Caribe</w:t>
            </w:r>
          </w:p>
        </w:tc>
      </w:tr>
      <w:tr w:rsidR="0095232E" w:rsidRPr="0095232E" w14:paraId="57A1A5FE" w14:textId="77777777" w:rsidTr="00CC3DC7">
        <w:tc>
          <w:tcPr>
            <w:tcW w:w="5465" w:type="dxa"/>
          </w:tcPr>
          <w:p w14:paraId="1E8165D8" w14:textId="77777777" w:rsidR="0095232E" w:rsidRPr="0095232E" w:rsidRDefault="0095232E" w:rsidP="000E4F7F">
            <w:pPr>
              <w:spacing w:line="278" w:lineRule="auto"/>
              <w:rPr>
                <w:sz w:val="18"/>
                <w:szCs w:val="18"/>
                <w:lang w:val="es-ES"/>
              </w:rPr>
            </w:pPr>
            <w:r w:rsidRPr="0095232E">
              <w:rPr>
                <w:sz w:val="18"/>
                <w:szCs w:val="18"/>
                <w:lang w:val="es-ES"/>
              </w:rPr>
              <w:t xml:space="preserve"> Eastern European States</w:t>
            </w:r>
          </w:p>
        </w:tc>
        <w:tc>
          <w:tcPr>
            <w:tcW w:w="3862" w:type="dxa"/>
          </w:tcPr>
          <w:p w14:paraId="652CE09D" w14:textId="5344B80D" w:rsidR="0095232E" w:rsidRPr="0095232E" w:rsidRDefault="0095232E" w:rsidP="000E4F7F">
            <w:pPr>
              <w:spacing w:line="278" w:lineRule="auto"/>
              <w:rPr>
                <w:sz w:val="18"/>
                <w:szCs w:val="18"/>
                <w:lang w:val="es-ES"/>
              </w:rPr>
            </w:pPr>
            <w:r w:rsidRPr="0095232E">
              <w:rPr>
                <w:sz w:val="18"/>
                <w:szCs w:val="18"/>
                <w:lang w:val="es-ES"/>
              </w:rPr>
              <w:t>Estados de Europa Oriental</w:t>
            </w:r>
          </w:p>
        </w:tc>
      </w:tr>
      <w:tr w:rsidR="0095232E" w:rsidRPr="0095232E" w14:paraId="64D1A729" w14:textId="77777777" w:rsidTr="00CC3DC7">
        <w:tc>
          <w:tcPr>
            <w:tcW w:w="5465" w:type="dxa"/>
          </w:tcPr>
          <w:p w14:paraId="6F69EF0A" w14:textId="77777777" w:rsidR="0095232E" w:rsidRPr="0095232E" w:rsidRDefault="0095232E" w:rsidP="000E4F7F">
            <w:pPr>
              <w:spacing w:line="278" w:lineRule="auto"/>
              <w:rPr>
                <w:sz w:val="18"/>
                <w:szCs w:val="18"/>
                <w:lang w:val="en-US"/>
              </w:rPr>
            </w:pPr>
            <w:r w:rsidRPr="0095232E">
              <w:rPr>
                <w:sz w:val="18"/>
                <w:szCs w:val="18"/>
                <w:lang w:val="en-US"/>
              </w:rPr>
              <w:t>Western European and other States</w:t>
            </w:r>
          </w:p>
        </w:tc>
        <w:tc>
          <w:tcPr>
            <w:tcW w:w="3862" w:type="dxa"/>
          </w:tcPr>
          <w:p w14:paraId="4E0456CE" w14:textId="0E55BD24" w:rsidR="0095232E" w:rsidRPr="0095232E" w:rsidRDefault="0095232E" w:rsidP="000E4F7F">
            <w:pPr>
              <w:spacing w:line="278" w:lineRule="auto"/>
              <w:rPr>
                <w:sz w:val="18"/>
                <w:szCs w:val="18"/>
                <w:lang w:val="es-ES"/>
              </w:rPr>
            </w:pPr>
            <w:r w:rsidRPr="0095232E">
              <w:rPr>
                <w:sz w:val="18"/>
                <w:szCs w:val="18"/>
                <w:lang w:val="es-ES"/>
              </w:rPr>
              <w:t>Estados de Europa Occidental y otros Estados</w:t>
            </w:r>
          </w:p>
        </w:tc>
      </w:tr>
    </w:tbl>
    <w:p w14:paraId="57029345" w14:textId="77777777" w:rsidR="0095232E" w:rsidRPr="005E3D50" w:rsidRDefault="0095232E" w:rsidP="009713BF">
      <w:pPr>
        <w:spacing w:after="200" w:line="240" w:lineRule="auto"/>
        <w:rPr>
          <w:rFonts w:ascii="Aptos" w:eastAsiaTheme="minorEastAsia" w:hAnsi="Aptos"/>
          <w:color w:val="0E2841" w:themeColor="text2"/>
          <w:kern w:val="0"/>
          <w:sz w:val="18"/>
          <w:szCs w:val="18"/>
          <w:lang w:val="es-ES" w:eastAsia="ja-JP"/>
          <w14:ligatures w14:val="none"/>
        </w:rPr>
      </w:pPr>
    </w:p>
    <w:p w14:paraId="3D1E7B9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07" w:name="_Toc235821235"/>
      <w:bookmarkEnd w:id="405"/>
      <w:bookmarkEnd w:id="406"/>
    </w:p>
    <w:p w14:paraId="55794E97"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407"/>
    </w:p>
    <w:p w14:paraId="29C8C9CE" w14:textId="77777777" w:rsidR="009713BF" w:rsidRPr="005E3D50" w:rsidRDefault="009713BF" w:rsidP="009713BF">
      <w:pPr>
        <w:rPr>
          <w:rFonts w:ascii="Aptos" w:hAnsi="Aptos"/>
          <w:lang w:val="es-ES"/>
        </w:rPr>
      </w:pPr>
    </w:p>
    <w:p w14:paraId="16F29A3D" w14:textId="77777777" w:rsidR="009713BF" w:rsidRPr="005E3D50" w:rsidRDefault="009713BF" w:rsidP="009713BF">
      <w:pPr>
        <w:rPr>
          <w:rFonts w:ascii="Aptos" w:hAnsi="Aptos"/>
          <w:lang w:val="es-ES"/>
        </w:rPr>
      </w:pPr>
      <w:r w:rsidRPr="005E3D50">
        <w:rPr>
          <w:rFonts w:ascii="Aptos" w:hAnsi="Aptos"/>
          <w:lang w:val="es-ES"/>
        </w:rPr>
        <w:t>Según las autoevaluaciones realizadas por las Partes en sus informes nacionales, solo el 30 % de las metas nacionales que se presentaron como estrechamente armonizadas con la meta 15 están en vías de alcanzarse. En más del doble de ese porcentaje (66 %) no se registraron cambios significativos o bien hubo progresos insuficientes, y solo se informa de tres metas nacionales (1 %) que ya se alcanzaron (véase la figura 66).</w:t>
      </w:r>
    </w:p>
    <w:p w14:paraId="7413C4B0" w14:textId="77777777" w:rsidR="009713BF" w:rsidRPr="005E3D50" w:rsidRDefault="009713BF" w:rsidP="009713BF">
      <w:pPr>
        <w:rPr>
          <w:rFonts w:ascii="Aptos" w:hAnsi="Aptos"/>
          <w:lang w:val="es-ES"/>
        </w:rPr>
      </w:pPr>
    </w:p>
    <w:p w14:paraId="356D8C6C" w14:textId="77777777" w:rsidR="009713BF" w:rsidRPr="005E3D50" w:rsidRDefault="009713BF" w:rsidP="009713BF">
      <w:pPr>
        <w:rPr>
          <w:sz w:val="20"/>
          <w:szCs w:val="20"/>
          <w:lang w:val="es-ES"/>
        </w:rPr>
      </w:pPr>
      <w:r w:rsidRPr="005E3D50">
        <w:rPr>
          <w:sz w:val="20"/>
          <w:lang w:val="es-ES"/>
        </w:rPr>
        <w:t>Figura 66</w:t>
      </w:r>
    </w:p>
    <w:p w14:paraId="46B0E812"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15 del Marco </w:t>
      </w:r>
    </w:p>
    <w:p w14:paraId="0BC3D668" w14:textId="77777777" w:rsidR="009713BF" w:rsidRPr="005E3D50" w:rsidRDefault="009713BF" w:rsidP="009713BF">
      <w:pPr>
        <w:rPr>
          <w:rFonts w:ascii="Aptos" w:hAnsi="Aptos"/>
          <w:lang w:val="es-ES"/>
        </w:rPr>
      </w:pPr>
    </w:p>
    <w:p w14:paraId="7304FB6A" w14:textId="77777777" w:rsidR="009713BF" w:rsidRPr="005E3D50" w:rsidRDefault="009713BF" w:rsidP="009713BF">
      <w:pPr>
        <w:rPr>
          <w:lang w:val="es-ES"/>
        </w:rPr>
      </w:pPr>
      <w:r w:rsidRPr="005E3D50">
        <w:rPr>
          <w:rFonts w:ascii="Aptos" w:hAnsi="Aptos"/>
          <w:lang w:val="es-ES"/>
        </w:rPr>
        <w:t xml:space="preserve"> </w:t>
      </w:r>
      <w:r w:rsidRPr="005E3D50">
        <w:rPr>
          <w:noProof/>
          <w:lang w:val="en-US"/>
        </w:rPr>
        <w:drawing>
          <wp:inline distT="0" distB="0" distL="0" distR="0" wp14:anchorId="39E18DFE" wp14:editId="1D110A77">
            <wp:extent cx="5731510" cy="2292350"/>
            <wp:effectExtent l="0" t="0" r="0" b="6350"/>
            <wp:docPr id="106212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21920" name="Picture 1062121920"/>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12E1516"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33" w:type="dxa"/>
        <w:tblLook w:val="04A0" w:firstRow="1" w:lastRow="0" w:firstColumn="1" w:lastColumn="0" w:noHBand="0" w:noVBand="1"/>
      </w:tblPr>
      <w:tblGrid>
        <w:gridCol w:w="4536"/>
        <w:gridCol w:w="4897"/>
      </w:tblGrid>
      <w:tr w:rsidR="0066253E" w:rsidRPr="0066253E" w14:paraId="71CF184C" w14:textId="77777777" w:rsidTr="0066253E">
        <w:tc>
          <w:tcPr>
            <w:tcW w:w="9433" w:type="dxa"/>
            <w:gridSpan w:val="2"/>
          </w:tcPr>
          <w:p w14:paraId="49AD97C2" w14:textId="462FBC2B" w:rsidR="0066253E" w:rsidRPr="0066253E" w:rsidRDefault="0066253E" w:rsidP="0066253E">
            <w:pPr>
              <w:spacing w:line="278" w:lineRule="auto"/>
              <w:rPr>
                <w:sz w:val="18"/>
                <w:szCs w:val="18"/>
                <w:lang w:val="es-ES"/>
              </w:rPr>
            </w:pPr>
            <w:r w:rsidRPr="0066253E">
              <w:rPr>
                <w:sz w:val="18"/>
                <w:szCs w:val="18"/>
                <w:lang w:val="es-ES"/>
              </w:rPr>
              <w:t>Figure 66</w:t>
            </w:r>
          </w:p>
        </w:tc>
      </w:tr>
      <w:tr w:rsidR="0066253E" w:rsidRPr="0066253E" w14:paraId="7E048DDD" w14:textId="77777777" w:rsidTr="0066253E">
        <w:tc>
          <w:tcPr>
            <w:tcW w:w="4536" w:type="dxa"/>
          </w:tcPr>
          <w:p w14:paraId="30E41FEF" w14:textId="3BA9D564" w:rsidR="0066253E" w:rsidRPr="0066253E" w:rsidRDefault="0066253E" w:rsidP="0066253E">
            <w:pPr>
              <w:spacing w:line="278" w:lineRule="auto"/>
              <w:rPr>
                <w:sz w:val="18"/>
                <w:szCs w:val="18"/>
                <w:lang w:val="es-ES"/>
              </w:rPr>
            </w:pPr>
            <w:r w:rsidRPr="0066253E">
              <w:rPr>
                <w:sz w:val="18"/>
                <w:szCs w:val="18"/>
                <w:lang w:val="es-ES"/>
              </w:rPr>
              <w:t>English</w:t>
            </w:r>
          </w:p>
        </w:tc>
        <w:tc>
          <w:tcPr>
            <w:tcW w:w="4896" w:type="dxa"/>
          </w:tcPr>
          <w:p w14:paraId="3AA9E546" w14:textId="3DC7C388" w:rsidR="0066253E" w:rsidRPr="0066253E" w:rsidRDefault="0066253E" w:rsidP="0066253E">
            <w:pPr>
              <w:spacing w:line="278" w:lineRule="auto"/>
              <w:rPr>
                <w:sz w:val="18"/>
                <w:szCs w:val="18"/>
                <w:lang w:val="es-ES"/>
              </w:rPr>
            </w:pPr>
            <w:r w:rsidRPr="0066253E">
              <w:rPr>
                <w:sz w:val="18"/>
                <w:szCs w:val="18"/>
                <w:lang w:val="es-ES"/>
              </w:rPr>
              <w:t>Español</w:t>
            </w:r>
          </w:p>
        </w:tc>
      </w:tr>
      <w:tr w:rsidR="0066253E" w:rsidRPr="0066253E" w14:paraId="09A7501F" w14:textId="77777777" w:rsidTr="0066253E">
        <w:tc>
          <w:tcPr>
            <w:tcW w:w="4536" w:type="dxa"/>
          </w:tcPr>
          <w:p w14:paraId="0FC34CB3" w14:textId="77777777" w:rsidR="0066253E" w:rsidRPr="0066253E" w:rsidRDefault="0066253E" w:rsidP="0066253E">
            <w:pPr>
              <w:spacing w:line="278" w:lineRule="auto"/>
              <w:rPr>
                <w:sz w:val="18"/>
                <w:szCs w:val="18"/>
                <w:lang w:val="es-ES"/>
              </w:rPr>
            </w:pPr>
            <w:proofErr w:type="spellStart"/>
            <w:r w:rsidRPr="0066253E">
              <w:rPr>
                <w:sz w:val="18"/>
                <w:szCs w:val="18"/>
                <w:lang w:val="es-ES"/>
              </w:rPr>
              <w:t>Percentage</w:t>
            </w:r>
            <w:proofErr w:type="spellEnd"/>
            <w:r w:rsidRPr="0066253E">
              <w:rPr>
                <w:sz w:val="18"/>
                <w:szCs w:val="18"/>
                <w:lang w:val="es-ES"/>
              </w:rPr>
              <w:t xml:space="preserve"> of </w:t>
            </w:r>
            <w:proofErr w:type="spellStart"/>
            <w:r w:rsidRPr="0066253E">
              <w:rPr>
                <w:sz w:val="18"/>
                <w:szCs w:val="18"/>
                <w:lang w:val="es-ES"/>
              </w:rPr>
              <w:t>national</w:t>
            </w:r>
            <w:proofErr w:type="spellEnd"/>
            <w:r w:rsidRPr="0066253E">
              <w:rPr>
                <w:sz w:val="18"/>
                <w:szCs w:val="18"/>
                <w:lang w:val="es-ES"/>
              </w:rPr>
              <w:t xml:space="preserve"> targets</w:t>
            </w:r>
          </w:p>
        </w:tc>
        <w:tc>
          <w:tcPr>
            <w:tcW w:w="4896" w:type="dxa"/>
          </w:tcPr>
          <w:p w14:paraId="52623AC7" w14:textId="009616CB" w:rsidR="0066253E" w:rsidRPr="0066253E" w:rsidRDefault="0066253E" w:rsidP="0066253E">
            <w:pPr>
              <w:spacing w:line="278" w:lineRule="auto"/>
              <w:rPr>
                <w:sz w:val="18"/>
                <w:szCs w:val="18"/>
                <w:lang w:val="es-ES"/>
              </w:rPr>
            </w:pPr>
            <w:r w:rsidRPr="0066253E">
              <w:rPr>
                <w:sz w:val="18"/>
                <w:szCs w:val="18"/>
                <w:lang w:val="es-ES"/>
              </w:rPr>
              <w:t>Porcentaje de metas nacionales</w:t>
            </w:r>
          </w:p>
        </w:tc>
      </w:tr>
      <w:tr w:rsidR="0066253E" w:rsidRPr="0066253E" w14:paraId="5DEF26CB" w14:textId="77777777" w:rsidTr="0066253E">
        <w:tc>
          <w:tcPr>
            <w:tcW w:w="4536" w:type="dxa"/>
          </w:tcPr>
          <w:p w14:paraId="72B968E2" w14:textId="77777777" w:rsidR="0066253E" w:rsidRPr="0066253E" w:rsidRDefault="0066253E" w:rsidP="0066253E">
            <w:pPr>
              <w:spacing w:line="278" w:lineRule="auto"/>
              <w:rPr>
                <w:sz w:val="18"/>
                <w:szCs w:val="18"/>
                <w:lang w:val="es-ES"/>
              </w:rPr>
            </w:pPr>
            <w:proofErr w:type="spellStart"/>
            <w:r w:rsidRPr="0066253E">
              <w:rPr>
                <w:sz w:val="18"/>
                <w:szCs w:val="18"/>
                <w:lang w:val="es-ES"/>
              </w:rPr>
              <w:t>Progress</w:t>
            </w:r>
            <w:proofErr w:type="spellEnd"/>
            <w:r w:rsidRPr="0066253E">
              <w:rPr>
                <w:sz w:val="18"/>
                <w:szCs w:val="18"/>
                <w:lang w:val="es-ES"/>
              </w:rPr>
              <w:t xml:space="preserve"> </w:t>
            </w:r>
            <w:proofErr w:type="spellStart"/>
            <w:r w:rsidRPr="0066253E">
              <w:rPr>
                <w:sz w:val="18"/>
                <w:szCs w:val="18"/>
                <w:lang w:val="es-ES"/>
              </w:rPr>
              <w:t>level</w:t>
            </w:r>
            <w:proofErr w:type="spellEnd"/>
          </w:p>
        </w:tc>
        <w:tc>
          <w:tcPr>
            <w:tcW w:w="4896" w:type="dxa"/>
          </w:tcPr>
          <w:p w14:paraId="4DF9AC13" w14:textId="18F52099" w:rsidR="0066253E" w:rsidRPr="0066253E" w:rsidRDefault="0066253E" w:rsidP="0066253E">
            <w:pPr>
              <w:spacing w:line="278" w:lineRule="auto"/>
              <w:rPr>
                <w:sz w:val="18"/>
                <w:szCs w:val="18"/>
                <w:lang w:val="es-ES"/>
              </w:rPr>
            </w:pPr>
            <w:r w:rsidRPr="0066253E">
              <w:rPr>
                <w:sz w:val="18"/>
                <w:szCs w:val="18"/>
                <w:lang w:val="es-ES"/>
              </w:rPr>
              <w:t>Nivel de progreso</w:t>
            </w:r>
          </w:p>
        </w:tc>
      </w:tr>
      <w:tr w:rsidR="0066253E" w:rsidRPr="0066253E" w14:paraId="046A2EFD" w14:textId="77777777" w:rsidTr="0066253E">
        <w:tc>
          <w:tcPr>
            <w:tcW w:w="4536" w:type="dxa"/>
          </w:tcPr>
          <w:p w14:paraId="3AB0123D" w14:textId="77777777" w:rsidR="0066253E" w:rsidRPr="0066253E" w:rsidRDefault="0066253E" w:rsidP="0066253E">
            <w:pPr>
              <w:spacing w:line="278" w:lineRule="auto"/>
              <w:rPr>
                <w:sz w:val="18"/>
                <w:szCs w:val="18"/>
                <w:lang w:val="es-ES"/>
              </w:rPr>
            </w:pPr>
            <w:proofErr w:type="spellStart"/>
            <w:r w:rsidRPr="0066253E">
              <w:rPr>
                <w:sz w:val="18"/>
                <w:szCs w:val="18"/>
                <w:lang w:val="es-ES"/>
              </w:rPr>
              <w:t>Achieved</w:t>
            </w:r>
            <w:proofErr w:type="spellEnd"/>
          </w:p>
        </w:tc>
        <w:tc>
          <w:tcPr>
            <w:tcW w:w="4896" w:type="dxa"/>
          </w:tcPr>
          <w:p w14:paraId="0FB8757F" w14:textId="0EF03F90" w:rsidR="0066253E" w:rsidRPr="0066253E" w:rsidRDefault="0066253E" w:rsidP="0066253E">
            <w:pPr>
              <w:spacing w:line="278" w:lineRule="auto"/>
              <w:rPr>
                <w:sz w:val="18"/>
                <w:szCs w:val="18"/>
                <w:lang w:val="es-ES"/>
              </w:rPr>
            </w:pPr>
            <w:r w:rsidRPr="0066253E">
              <w:rPr>
                <w:sz w:val="18"/>
                <w:szCs w:val="18"/>
                <w:lang w:val="es-ES"/>
              </w:rPr>
              <w:t>Alcanzada</w:t>
            </w:r>
          </w:p>
        </w:tc>
      </w:tr>
      <w:tr w:rsidR="0066253E" w:rsidRPr="0066253E" w14:paraId="22E62CC3" w14:textId="77777777" w:rsidTr="0066253E">
        <w:tc>
          <w:tcPr>
            <w:tcW w:w="4536" w:type="dxa"/>
          </w:tcPr>
          <w:p w14:paraId="789953FB" w14:textId="77777777" w:rsidR="0066253E" w:rsidRPr="0066253E" w:rsidRDefault="0066253E" w:rsidP="0066253E">
            <w:pPr>
              <w:spacing w:line="278" w:lineRule="auto"/>
              <w:rPr>
                <w:sz w:val="18"/>
                <w:szCs w:val="18"/>
                <w:lang w:val="en-US"/>
              </w:rPr>
            </w:pPr>
            <w:r w:rsidRPr="0066253E">
              <w:rPr>
                <w:sz w:val="18"/>
                <w:szCs w:val="18"/>
                <w:lang w:val="en-US"/>
              </w:rPr>
              <w:t>On track to achieve target</w:t>
            </w:r>
          </w:p>
        </w:tc>
        <w:tc>
          <w:tcPr>
            <w:tcW w:w="4896" w:type="dxa"/>
          </w:tcPr>
          <w:p w14:paraId="2D37CD9B" w14:textId="31C33C36" w:rsidR="0066253E" w:rsidRPr="0066253E" w:rsidRDefault="0066253E" w:rsidP="0066253E">
            <w:pPr>
              <w:spacing w:line="278" w:lineRule="auto"/>
              <w:rPr>
                <w:sz w:val="18"/>
                <w:szCs w:val="18"/>
                <w:lang w:val="es-ES"/>
              </w:rPr>
            </w:pPr>
            <w:r w:rsidRPr="0066253E">
              <w:rPr>
                <w:sz w:val="18"/>
                <w:szCs w:val="18"/>
                <w:lang w:val="es-ES"/>
              </w:rPr>
              <w:t>En vías de alcanzar la meta</w:t>
            </w:r>
          </w:p>
        </w:tc>
      </w:tr>
      <w:tr w:rsidR="0066253E" w:rsidRPr="0066253E" w14:paraId="14C403BA" w14:textId="77777777" w:rsidTr="0066253E">
        <w:tc>
          <w:tcPr>
            <w:tcW w:w="4536" w:type="dxa"/>
          </w:tcPr>
          <w:p w14:paraId="734FE89D" w14:textId="77777777" w:rsidR="0066253E" w:rsidRPr="0066253E" w:rsidRDefault="0066253E" w:rsidP="0066253E">
            <w:pPr>
              <w:spacing w:line="278" w:lineRule="auto"/>
              <w:rPr>
                <w:sz w:val="18"/>
                <w:szCs w:val="18"/>
                <w:lang w:val="en-US"/>
              </w:rPr>
            </w:pPr>
            <w:r w:rsidRPr="0066253E">
              <w:rPr>
                <w:sz w:val="18"/>
                <w:szCs w:val="18"/>
                <w:lang w:val="en-US"/>
              </w:rPr>
              <w:t>Progress towards target but at an insufficient rate</w:t>
            </w:r>
          </w:p>
        </w:tc>
        <w:tc>
          <w:tcPr>
            <w:tcW w:w="4896" w:type="dxa"/>
          </w:tcPr>
          <w:p w14:paraId="5B9BBC94" w14:textId="29E9AAFD" w:rsidR="0066253E" w:rsidRPr="0066253E" w:rsidRDefault="0066253E" w:rsidP="0066253E">
            <w:pPr>
              <w:spacing w:line="278" w:lineRule="auto"/>
              <w:rPr>
                <w:sz w:val="18"/>
                <w:szCs w:val="18"/>
                <w:lang w:val="es-ES"/>
              </w:rPr>
            </w:pPr>
            <w:r w:rsidRPr="0066253E">
              <w:rPr>
                <w:sz w:val="18"/>
                <w:szCs w:val="18"/>
                <w:lang w:val="es-ES"/>
              </w:rPr>
              <w:t xml:space="preserve">Se ha progresado hacia la </w:t>
            </w:r>
            <w:proofErr w:type="gramStart"/>
            <w:r w:rsidRPr="0066253E">
              <w:rPr>
                <w:sz w:val="18"/>
                <w:szCs w:val="18"/>
                <w:lang w:val="es-ES"/>
              </w:rPr>
              <w:t>meta</w:t>
            </w:r>
            <w:proofErr w:type="gramEnd"/>
            <w:r w:rsidRPr="0066253E">
              <w:rPr>
                <w:sz w:val="18"/>
                <w:szCs w:val="18"/>
                <w:lang w:val="es-ES"/>
              </w:rPr>
              <w:t xml:space="preserve"> pero a un ritmo insuficiente</w:t>
            </w:r>
          </w:p>
        </w:tc>
      </w:tr>
      <w:tr w:rsidR="0066253E" w:rsidRPr="0066253E" w14:paraId="5DE96C10" w14:textId="77777777" w:rsidTr="0066253E">
        <w:tc>
          <w:tcPr>
            <w:tcW w:w="4536" w:type="dxa"/>
          </w:tcPr>
          <w:p w14:paraId="3ECFBDD4" w14:textId="77777777" w:rsidR="0066253E" w:rsidRPr="0066253E" w:rsidRDefault="0066253E" w:rsidP="0066253E">
            <w:pPr>
              <w:spacing w:line="278" w:lineRule="auto"/>
              <w:rPr>
                <w:sz w:val="18"/>
                <w:szCs w:val="18"/>
                <w:lang w:val="es-ES"/>
              </w:rPr>
            </w:pPr>
            <w:r w:rsidRPr="0066253E">
              <w:rPr>
                <w:sz w:val="18"/>
                <w:szCs w:val="18"/>
                <w:lang w:val="es-ES"/>
              </w:rPr>
              <w:t xml:space="preserve">No </w:t>
            </w:r>
            <w:proofErr w:type="spellStart"/>
            <w:r w:rsidRPr="0066253E">
              <w:rPr>
                <w:sz w:val="18"/>
                <w:szCs w:val="18"/>
                <w:lang w:val="es-ES"/>
              </w:rPr>
              <w:t>significant</w:t>
            </w:r>
            <w:proofErr w:type="spellEnd"/>
            <w:r w:rsidRPr="0066253E">
              <w:rPr>
                <w:sz w:val="18"/>
                <w:szCs w:val="18"/>
                <w:lang w:val="es-ES"/>
              </w:rPr>
              <w:t xml:space="preserve"> </w:t>
            </w:r>
            <w:proofErr w:type="spellStart"/>
            <w:r w:rsidRPr="0066253E">
              <w:rPr>
                <w:sz w:val="18"/>
                <w:szCs w:val="18"/>
                <w:lang w:val="es-ES"/>
              </w:rPr>
              <w:t>change</w:t>
            </w:r>
            <w:proofErr w:type="spellEnd"/>
          </w:p>
        </w:tc>
        <w:tc>
          <w:tcPr>
            <w:tcW w:w="4896" w:type="dxa"/>
          </w:tcPr>
          <w:p w14:paraId="42B23DE4" w14:textId="0451730F" w:rsidR="0066253E" w:rsidRPr="0066253E" w:rsidRDefault="0066253E" w:rsidP="0066253E">
            <w:pPr>
              <w:spacing w:line="278" w:lineRule="auto"/>
              <w:rPr>
                <w:sz w:val="18"/>
                <w:szCs w:val="18"/>
                <w:lang w:val="es-ES"/>
              </w:rPr>
            </w:pPr>
            <w:r w:rsidRPr="0066253E">
              <w:rPr>
                <w:sz w:val="18"/>
                <w:szCs w:val="18"/>
                <w:lang w:val="es-ES"/>
              </w:rPr>
              <w:t>No hay cambios significativos</w:t>
            </w:r>
          </w:p>
        </w:tc>
      </w:tr>
      <w:tr w:rsidR="0066253E" w:rsidRPr="0066253E" w14:paraId="5C6F5974" w14:textId="77777777" w:rsidTr="0066253E">
        <w:tc>
          <w:tcPr>
            <w:tcW w:w="4536" w:type="dxa"/>
          </w:tcPr>
          <w:p w14:paraId="5EE391FB" w14:textId="77777777" w:rsidR="0066253E" w:rsidRPr="0066253E" w:rsidRDefault="0066253E" w:rsidP="0066253E">
            <w:pPr>
              <w:spacing w:line="278" w:lineRule="auto"/>
              <w:rPr>
                <w:sz w:val="18"/>
                <w:szCs w:val="18"/>
                <w:lang w:val="es-ES"/>
              </w:rPr>
            </w:pPr>
            <w:r w:rsidRPr="0066253E">
              <w:rPr>
                <w:sz w:val="18"/>
                <w:szCs w:val="18"/>
                <w:lang w:val="es-ES"/>
              </w:rPr>
              <w:t>Unknown</w:t>
            </w:r>
          </w:p>
        </w:tc>
        <w:tc>
          <w:tcPr>
            <w:tcW w:w="4896" w:type="dxa"/>
          </w:tcPr>
          <w:p w14:paraId="5B6420CD" w14:textId="43B7B8B0" w:rsidR="0066253E" w:rsidRPr="0066253E" w:rsidRDefault="0066253E" w:rsidP="0066253E">
            <w:pPr>
              <w:spacing w:line="278" w:lineRule="auto"/>
              <w:rPr>
                <w:sz w:val="18"/>
                <w:szCs w:val="18"/>
                <w:lang w:val="es-ES"/>
              </w:rPr>
            </w:pPr>
            <w:r w:rsidRPr="0066253E">
              <w:rPr>
                <w:sz w:val="18"/>
                <w:szCs w:val="18"/>
                <w:lang w:val="es-ES"/>
              </w:rPr>
              <w:t>Se desconoce</w:t>
            </w:r>
          </w:p>
        </w:tc>
      </w:tr>
      <w:tr w:rsidR="0066253E" w:rsidRPr="0066253E" w14:paraId="3C8CFEDA" w14:textId="77777777" w:rsidTr="0066253E">
        <w:tc>
          <w:tcPr>
            <w:tcW w:w="4536" w:type="dxa"/>
          </w:tcPr>
          <w:p w14:paraId="36C79015" w14:textId="77777777" w:rsidR="0066253E" w:rsidRPr="0066253E" w:rsidRDefault="0066253E" w:rsidP="0066253E">
            <w:pPr>
              <w:spacing w:line="278" w:lineRule="auto"/>
              <w:rPr>
                <w:sz w:val="18"/>
                <w:szCs w:val="18"/>
                <w:lang w:val="es-ES"/>
              </w:rPr>
            </w:pPr>
            <w:r w:rsidRPr="0066253E">
              <w:rPr>
                <w:sz w:val="18"/>
                <w:szCs w:val="18"/>
                <w:lang w:val="es-ES"/>
              </w:rPr>
              <w:t xml:space="preserve">Party </w:t>
            </w:r>
            <w:proofErr w:type="spellStart"/>
            <w:r w:rsidRPr="0066253E">
              <w:rPr>
                <w:sz w:val="18"/>
                <w:szCs w:val="18"/>
                <w:lang w:val="es-ES"/>
              </w:rPr>
              <w:t>count</w:t>
            </w:r>
            <w:proofErr w:type="spellEnd"/>
            <w:r w:rsidRPr="0066253E">
              <w:rPr>
                <w:sz w:val="18"/>
                <w:szCs w:val="18"/>
                <w:lang w:val="es-ES"/>
              </w:rPr>
              <w:t>: 71</w:t>
            </w:r>
          </w:p>
        </w:tc>
        <w:tc>
          <w:tcPr>
            <w:tcW w:w="4896" w:type="dxa"/>
          </w:tcPr>
          <w:p w14:paraId="20EF4069" w14:textId="7A351CE6" w:rsidR="0066253E" w:rsidRPr="0066253E" w:rsidRDefault="0066253E" w:rsidP="0066253E">
            <w:pPr>
              <w:spacing w:line="278" w:lineRule="auto"/>
              <w:rPr>
                <w:sz w:val="18"/>
                <w:szCs w:val="18"/>
                <w:lang w:val="es-ES"/>
              </w:rPr>
            </w:pPr>
            <w:r w:rsidRPr="0066253E">
              <w:rPr>
                <w:sz w:val="18"/>
                <w:szCs w:val="18"/>
                <w:lang w:val="es-ES"/>
              </w:rPr>
              <w:t>Número de Partes: 71</w:t>
            </w:r>
          </w:p>
        </w:tc>
      </w:tr>
      <w:tr w:rsidR="0066253E" w:rsidRPr="0066253E" w14:paraId="0CE2402F" w14:textId="77777777" w:rsidTr="0066253E">
        <w:tc>
          <w:tcPr>
            <w:tcW w:w="4536" w:type="dxa"/>
          </w:tcPr>
          <w:p w14:paraId="0819B5AF" w14:textId="77777777" w:rsidR="0066253E" w:rsidRPr="0066253E" w:rsidRDefault="0066253E" w:rsidP="0066253E">
            <w:pPr>
              <w:spacing w:line="278" w:lineRule="auto"/>
              <w:rPr>
                <w:sz w:val="18"/>
                <w:szCs w:val="18"/>
                <w:lang w:val="es-ES"/>
              </w:rPr>
            </w:pPr>
            <w:proofErr w:type="spellStart"/>
            <w:r w:rsidRPr="0066253E">
              <w:rPr>
                <w:sz w:val="18"/>
                <w:szCs w:val="18"/>
                <w:lang w:val="es-ES"/>
              </w:rPr>
              <w:t>Region</w:t>
            </w:r>
            <w:proofErr w:type="spellEnd"/>
          </w:p>
        </w:tc>
        <w:tc>
          <w:tcPr>
            <w:tcW w:w="4896" w:type="dxa"/>
          </w:tcPr>
          <w:p w14:paraId="5D5BAECC" w14:textId="62A2ADB8" w:rsidR="0066253E" w:rsidRPr="0066253E" w:rsidRDefault="0066253E" w:rsidP="0066253E">
            <w:pPr>
              <w:spacing w:line="278" w:lineRule="auto"/>
              <w:rPr>
                <w:sz w:val="18"/>
                <w:szCs w:val="18"/>
                <w:lang w:val="es-ES"/>
              </w:rPr>
            </w:pPr>
            <w:r w:rsidRPr="0066253E">
              <w:rPr>
                <w:sz w:val="18"/>
                <w:szCs w:val="18"/>
                <w:lang w:val="es-ES"/>
              </w:rPr>
              <w:t>Región</w:t>
            </w:r>
          </w:p>
        </w:tc>
      </w:tr>
      <w:tr w:rsidR="0066253E" w:rsidRPr="0066253E" w14:paraId="5FB0BC5D" w14:textId="77777777" w:rsidTr="0066253E">
        <w:tc>
          <w:tcPr>
            <w:tcW w:w="4536" w:type="dxa"/>
          </w:tcPr>
          <w:p w14:paraId="5EC4F901" w14:textId="77777777" w:rsidR="0066253E" w:rsidRPr="0066253E" w:rsidRDefault="0066253E" w:rsidP="0066253E">
            <w:pPr>
              <w:spacing w:line="278" w:lineRule="auto"/>
              <w:rPr>
                <w:sz w:val="18"/>
                <w:szCs w:val="18"/>
                <w:lang w:val="es-ES"/>
              </w:rPr>
            </w:pPr>
            <w:r w:rsidRPr="0066253E">
              <w:rPr>
                <w:sz w:val="18"/>
                <w:szCs w:val="18"/>
                <w:lang w:val="es-ES"/>
              </w:rPr>
              <w:t>African States</w:t>
            </w:r>
          </w:p>
        </w:tc>
        <w:tc>
          <w:tcPr>
            <w:tcW w:w="4896" w:type="dxa"/>
          </w:tcPr>
          <w:p w14:paraId="45918277" w14:textId="15EF69F3" w:rsidR="0066253E" w:rsidRPr="0066253E" w:rsidRDefault="0066253E" w:rsidP="0066253E">
            <w:pPr>
              <w:spacing w:line="278" w:lineRule="auto"/>
              <w:rPr>
                <w:sz w:val="18"/>
                <w:szCs w:val="18"/>
                <w:lang w:val="es-ES"/>
              </w:rPr>
            </w:pPr>
            <w:r w:rsidRPr="0066253E">
              <w:rPr>
                <w:sz w:val="18"/>
                <w:szCs w:val="18"/>
                <w:lang w:val="es-ES"/>
              </w:rPr>
              <w:t>Estados de África</w:t>
            </w:r>
          </w:p>
        </w:tc>
      </w:tr>
      <w:tr w:rsidR="0066253E" w:rsidRPr="0066253E" w14:paraId="66FF27D3" w14:textId="77777777" w:rsidTr="0066253E">
        <w:tc>
          <w:tcPr>
            <w:tcW w:w="4536" w:type="dxa"/>
          </w:tcPr>
          <w:p w14:paraId="1A373612" w14:textId="77777777" w:rsidR="0066253E" w:rsidRPr="0066253E" w:rsidRDefault="0066253E" w:rsidP="0066253E">
            <w:pPr>
              <w:spacing w:line="278" w:lineRule="auto"/>
              <w:rPr>
                <w:sz w:val="18"/>
                <w:szCs w:val="18"/>
                <w:lang w:val="es-ES"/>
              </w:rPr>
            </w:pPr>
            <w:r w:rsidRPr="0066253E">
              <w:rPr>
                <w:sz w:val="18"/>
                <w:szCs w:val="18"/>
                <w:lang w:val="es-ES"/>
              </w:rPr>
              <w:t>Asia-Pacific States</w:t>
            </w:r>
          </w:p>
        </w:tc>
        <w:tc>
          <w:tcPr>
            <w:tcW w:w="4896" w:type="dxa"/>
          </w:tcPr>
          <w:p w14:paraId="532214CC" w14:textId="1CC05DA8" w:rsidR="0066253E" w:rsidRPr="0066253E" w:rsidRDefault="0066253E" w:rsidP="0066253E">
            <w:pPr>
              <w:spacing w:line="278" w:lineRule="auto"/>
              <w:rPr>
                <w:sz w:val="18"/>
                <w:szCs w:val="18"/>
                <w:lang w:val="es-ES"/>
              </w:rPr>
            </w:pPr>
            <w:r w:rsidRPr="0066253E">
              <w:rPr>
                <w:sz w:val="18"/>
                <w:szCs w:val="18"/>
                <w:lang w:val="es-ES"/>
              </w:rPr>
              <w:t>Estados de Asia y el Pacífico</w:t>
            </w:r>
          </w:p>
        </w:tc>
      </w:tr>
      <w:tr w:rsidR="0066253E" w:rsidRPr="0066253E" w14:paraId="2C14773C" w14:textId="77777777" w:rsidTr="0066253E">
        <w:tc>
          <w:tcPr>
            <w:tcW w:w="4536" w:type="dxa"/>
          </w:tcPr>
          <w:p w14:paraId="65A7AF1A" w14:textId="77777777" w:rsidR="0066253E" w:rsidRPr="0066253E" w:rsidRDefault="0066253E" w:rsidP="0066253E">
            <w:pPr>
              <w:spacing w:line="278" w:lineRule="auto"/>
              <w:rPr>
                <w:sz w:val="18"/>
                <w:szCs w:val="18"/>
                <w:lang w:val="en-US"/>
              </w:rPr>
            </w:pPr>
            <w:r w:rsidRPr="0066253E">
              <w:rPr>
                <w:sz w:val="18"/>
                <w:szCs w:val="18"/>
                <w:lang w:val="en-US"/>
              </w:rPr>
              <w:t>Latin American and Caribbean States</w:t>
            </w:r>
          </w:p>
        </w:tc>
        <w:tc>
          <w:tcPr>
            <w:tcW w:w="4896" w:type="dxa"/>
          </w:tcPr>
          <w:p w14:paraId="6CF57666" w14:textId="1AD5A95C" w:rsidR="0066253E" w:rsidRPr="0066253E" w:rsidRDefault="0066253E" w:rsidP="0066253E">
            <w:pPr>
              <w:spacing w:line="278" w:lineRule="auto"/>
              <w:rPr>
                <w:sz w:val="18"/>
                <w:szCs w:val="18"/>
                <w:lang w:val="es-ES"/>
              </w:rPr>
            </w:pPr>
            <w:r w:rsidRPr="0066253E">
              <w:rPr>
                <w:sz w:val="18"/>
                <w:szCs w:val="18"/>
                <w:lang w:val="es-ES"/>
              </w:rPr>
              <w:t>Estados de América Latina y el Caribe</w:t>
            </w:r>
          </w:p>
        </w:tc>
      </w:tr>
      <w:tr w:rsidR="0066253E" w:rsidRPr="0066253E" w14:paraId="4BA8A2EE" w14:textId="77777777" w:rsidTr="0066253E">
        <w:tc>
          <w:tcPr>
            <w:tcW w:w="4536" w:type="dxa"/>
          </w:tcPr>
          <w:p w14:paraId="282EFF9B" w14:textId="77777777" w:rsidR="0066253E" w:rsidRPr="0066253E" w:rsidRDefault="0066253E" w:rsidP="0066253E">
            <w:pPr>
              <w:spacing w:line="278" w:lineRule="auto"/>
              <w:rPr>
                <w:sz w:val="18"/>
                <w:szCs w:val="18"/>
                <w:lang w:val="es-ES"/>
              </w:rPr>
            </w:pPr>
            <w:r w:rsidRPr="0066253E">
              <w:rPr>
                <w:sz w:val="18"/>
                <w:szCs w:val="18"/>
                <w:lang w:val="es-ES"/>
              </w:rPr>
              <w:t xml:space="preserve"> Eastern European States</w:t>
            </w:r>
          </w:p>
        </w:tc>
        <w:tc>
          <w:tcPr>
            <w:tcW w:w="4896" w:type="dxa"/>
          </w:tcPr>
          <w:p w14:paraId="2E10A9BD" w14:textId="11CEF229" w:rsidR="0066253E" w:rsidRPr="0066253E" w:rsidRDefault="0066253E" w:rsidP="0066253E">
            <w:pPr>
              <w:spacing w:line="278" w:lineRule="auto"/>
              <w:rPr>
                <w:sz w:val="18"/>
                <w:szCs w:val="18"/>
                <w:lang w:val="es-ES"/>
              </w:rPr>
            </w:pPr>
            <w:r w:rsidRPr="0066253E">
              <w:rPr>
                <w:sz w:val="18"/>
                <w:szCs w:val="18"/>
                <w:lang w:val="es-ES"/>
              </w:rPr>
              <w:t>Estados de Europa Oriental</w:t>
            </w:r>
          </w:p>
        </w:tc>
      </w:tr>
      <w:tr w:rsidR="0066253E" w:rsidRPr="0066253E" w14:paraId="394930D4" w14:textId="77777777" w:rsidTr="0066253E">
        <w:tc>
          <w:tcPr>
            <w:tcW w:w="4536" w:type="dxa"/>
          </w:tcPr>
          <w:p w14:paraId="1F7F6F50" w14:textId="77777777" w:rsidR="0066253E" w:rsidRPr="0066253E" w:rsidRDefault="0066253E" w:rsidP="0066253E">
            <w:pPr>
              <w:spacing w:line="278" w:lineRule="auto"/>
              <w:rPr>
                <w:sz w:val="18"/>
                <w:szCs w:val="18"/>
                <w:lang w:val="en-US"/>
              </w:rPr>
            </w:pPr>
            <w:r w:rsidRPr="0066253E">
              <w:rPr>
                <w:sz w:val="18"/>
                <w:szCs w:val="18"/>
                <w:lang w:val="en-US"/>
              </w:rPr>
              <w:t xml:space="preserve">Western European and other States </w:t>
            </w:r>
          </w:p>
        </w:tc>
        <w:tc>
          <w:tcPr>
            <w:tcW w:w="4896" w:type="dxa"/>
          </w:tcPr>
          <w:p w14:paraId="76DE0449" w14:textId="4B2CCA2A" w:rsidR="0066253E" w:rsidRPr="0066253E" w:rsidRDefault="0066253E" w:rsidP="0066253E">
            <w:pPr>
              <w:spacing w:line="278" w:lineRule="auto"/>
              <w:rPr>
                <w:sz w:val="18"/>
                <w:szCs w:val="18"/>
                <w:lang w:val="es-ES"/>
              </w:rPr>
            </w:pPr>
            <w:r w:rsidRPr="0066253E">
              <w:rPr>
                <w:sz w:val="18"/>
                <w:szCs w:val="18"/>
                <w:lang w:val="es-ES"/>
              </w:rPr>
              <w:t xml:space="preserve">Estados de Europa Occidental y otros Estados </w:t>
            </w:r>
          </w:p>
        </w:tc>
      </w:tr>
    </w:tbl>
    <w:p w14:paraId="7FEB9EF7" w14:textId="77777777" w:rsidR="009713BF" w:rsidRPr="005E3D50" w:rsidRDefault="009713BF" w:rsidP="009713BF">
      <w:pPr>
        <w:rPr>
          <w:lang w:val="es-ES"/>
        </w:rPr>
      </w:pPr>
    </w:p>
    <w:p w14:paraId="0D3E6FD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08" w:name="_Toc235821236"/>
      <w:r w:rsidRPr="005E3D50">
        <w:rPr>
          <w:rFonts w:eastAsiaTheme="majorEastAsia" w:cstheme="majorBidi"/>
          <w:color w:val="0F4761" w:themeColor="accent1" w:themeShade="BF"/>
          <w:lang w:val="es-ES"/>
        </w:rPr>
        <w:lastRenderedPageBreak/>
        <w:t>Medidas, logros y dificultades</w:t>
      </w:r>
      <w:bookmarkEnd w:id="408"/>
      <w:r w:rsidRPr="005E3D50">
        <w:rPr>
          <w:rFonts w:eastAsiaTheme="majorEastAsia" w:cstheme="majorBidi"/>
          <w:color w:val="0F4761" w:themeColor="accent1" w:themeShade="BF"/>
          <w:lang w:val="es-ES"/>
        </w:rPr>
        <w:t xml:space="preserve"> en la implementación</w:t>
      </w:r>
    </w:p>
    <w:p w14:paraId="2F55DD6E" w14:textId="77777777" w:rsidR="009713BF" w:rsidRPr="005E3D50" w:rsidRDefault="009713BF" w:rsidP="009713BF">
      <w:pPr>
        <w:rPr>
          <w:lang w:val="es-ES"/>
        </w:rPr>
      </w:pPr>
    </w:p>
    <w:p w14:paraId="0C1C99A2"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09" w:name="_Toc235821237"/>
      <w:r w:rsidRPr="005E3D50">
        <w:rPr>
          <w:rFonts w:eastAsiaTheme="majorEastAsia" w:cstheme="majorBidi"/>
          <w:i/>
          <w:iCs/>
          <w:color w:val="595959" w:themeColor="text1" w:themeTint="A6"/>
          <w:lang w:val="es-ES"/>
        </w:rPr>
        <w:t>Resumen de medidas en apoyo a la meta 15</w:t>
      </w:r>
      <w:bookmarkEnd w:id="409"/>
      <w:r w:rsidRPr="005E3D50">
        <w:rPr>
          <w:rFonts w:eastAsiaTheme="majorEastAsia" w:cstheme="majorBidi"/>
          <w:i/>
          <w:iCs/>
          <w:color w:val="595959" w:themeColor="text1" w:themeTint="A6"/>
          <w:lang w:val="es-ES"/>
        </w:rPr>
        <w:t xml:space="preserve"> del Marco</w:t>
      </w:r>
    </w:p>
    <w:p w14:paraId="403E9911" w14:textId="77777777" w:rsidR="009713BF" w:rsidRPr="005E3D50" w:rsidRDefault="009713BF" w:rsidP="009713BF">
      <w:pPr>
        <w:rPr>
          <w:lang w:val="es-ES"/>
        </w:rPr>
      </w:pPr>
    </w:p>
    <w:p w14:paraId="3C830A60" w14:textId="77777777" w:rsidR="009713BF" w:rsidRPr="005E3D50" w:rsidRDefault="009713BF" w:rsidP="009713BF">
      <w:pPr>
        <w:rPr>
          <w:lang w:val="es-ES"/>
        </w:rPr>
      </w:pPr>
      <w:r w:rsidRPr="005E3D50">
        <w:rPr>
          <w:lang w:val="es-ES"/>
        </w:rPr>
        <w:t xml:space="preserve">La medida que más se informa que se adoptó en apoyo a la meta 15 es la utilización de la normativa del sector financiero para incorporar el riesgo ambiental o relacionado con la diversidad biológica en las operaciones bancarias, de inversión y del mercado de capitales. Esto incluye desde taxonomías de finanzas verdes obligatorias hasta orientaciones de los bancos centrales y requisitos de presentación de informes ambientales, sociales y de gobernanza para las empresas que cotizan en bolsa (véase el recuadro 37). El marco del Grupo de Trabajo sobre Divulgaciones Financieras relacionadas con la Naturaleza (TNFD) figura como el mecanismo de divulgación voluntaria más citado, tanto en países en desarrollo como en países desarrollados. Más de 30 informes nacionales mencionan específicamente al marco del TNFD, ya sea porque lo están aplicando o porque lo están implementando en modalidad piloto. En el caso de los Estados miembros de la Unión Europea y otros países que se rigen por las directrices y normas de la </w:t>
      </w:r>
      <w:r w:rsidRPr="005E3D50">
        <w:rPr>
          <w:rFonts w:ascii="Aptos" w:hAnsi="Aptos"/>
          <w:color w:val="000000" w:themeColor="text1"/>
          <w:lang w:val="es-ES"/>
        </w:rPr>
        <w:t>Unión Europea</w:t>
      </w:r>
      <w:r w:rsidRPr="005E3D50">
        <w:rPr>
          <w:lang w:val="es-ES"/>
        </w:rPr>
        <w:t xml:space="preserve">, el instrumento jurídico predominante para la consecución de la meta 15 es la Directiva sobre la Información Corporativa en materia de Sostenibilidad y sus Normas Europeas de Información sobre Sostenibilidad. Entre los países en desarrollo, el mecanismo jurídico que más se informa que se emplea son los requisitos de evaluaciones de impacto ambiental, que suelen ser preexistentes pero que se refuerzan o amplían. Varias Partes informan que los instrumentos jurídicos que aplican en relación con la meta 15 son marcos reglamentarios de APB. </w:t>
      </w:r>
    </w:p>
    <w:p w14:paraId="0A31DF9E" w14:textId="77777777" w:rsidR="009713BF" w:rsidRPr="005E3D50" w:rsidRDefault="009713BF" w:rsidP="009713BF">
      <w:pPr>
        <w:rPr>
          <w:lang w:val="es-ES"/>
        </w:rPr>
      </w:pPr>
    </w:p>
    <w:p w14:paraId="365C629A" w14:textId="77777777" w:rsidR="009713BF" w:rsidRPr="005E3D50" w:rsidRDefault="009713BF" w:rsidP="009713BF">
      <w:pPr>
        <w:rPr>
          <w:lang w:val="es-ES"/>
        </w:rPr>
      </w:pPr>
    </w:p>
    <w:p w14:paraId="113F7C4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10" w:name="_Toc235821238"/>
      <w:r w:rsidRPr="005E3D50">
        <w:rPr>
          <w:rFonts w:eastAsiaTheme="majorEastAsia" w:cstheme="majorBidi"/>
          <w:i/>
          <w:iCs/>
          <w:color w:val="595959" w:themeColor="text1" w:themeTint="A6"/>
          <w:lang w:val="es-ES"/>
        </w:rPr>
        <w:t>Ejemplos de logros y progresos en la implementación</w:t>
      </w:r>
      <w:bookmarkEnd w:id="410"/>
    </w:p>
    <w:p w14:paraId="4B8E4F9B"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4EE7D061" w14:textId="77777777" w:rsidTr="006E6831">
        <w:tc>
          <w:tcPr>
            <w:tcW w:w="9016" w:type="dxa"/>
            <w:shd w:val="clear" w:color="auto" w:fill="D1D1D1" w:themeFill="background2" w:themeFillShade="E6"/>
          </w:tcPr>
          <w:p w14:paraId="2D90DB88" w14:textId="77777777" w:rsidR="009713BF" w:rsidRPr="005E3D50" w:rsidRDefault="009713BF" w:rsidP="009713BF">
            <w:pPr>
              <w:rPr>
                <w:sz w:val="20"/>
                <w:szCs w:val="20"/>
                <w:lang w:val="es-ES"/>
              </w:rPr>
            </w:pPr>
            <w:r w:rsidRPr="005E3D50">
              <w:rPr>
                <w:sz w:val="20"/>
                <w:lang w:val="es-ES"/>
              </w:rPr>
              <w:t>Recuadro 37</w:t>
            </w:r>
          </w:p>
          <w:p w14:paraId="2942AB4D" w14:textId="77777777" w:rsidR="009713BF" w:rsidRPr="005E3D50" w:rsidRDefault="009713BF" w:rsidP="009713BF">
            <w:pPr>
              <w:rPr>
                <w:b/>
                <w:bCs/>
                <w:sz w:val="20"/>
                <w:szCs w:val="20"/>
                <w:lang w:val="es-ES"/>
              </w:rPr>
            </w:pPr>
            <w:r w:rsidRPr="005E3D50">
              <w:rPr>
                <w:b/>
                <w:sz w:val="20"/>
                <w:lang w:val="es-ES"/>
              </w:rPr>
              <w:t>Marco obligatorio sobre riesgos ambientales del Ecuador, que abarca múltiples organismos reguladores</w:t>
            </w:r>
          </w:p>
          <w:p w14:paraId="7DB279F7" w14:textId="77777777" w:rsidR="009713BF" w:rsidRPr="005E3D50" w:rsidRDefault="009713BF" w:rsidP="009713BF">
            <w:pPr>
              <w:rPr>
                <w:sz w:val="20"/>
                <w:szCs w:val="20"/>
                <w:lang w:val="es-ES"/>
              </w:rPr>
            </w:pPr>
          </w:p>
          <w:p w14:paraId="42FE067F" w14:textId="77777777" w:rsidR="009713BF" w:rsidRPr="005E3D50" w:rsidRDefault="009713BF" w:rsidP="009713BF">
            <w:pPr>
              <w:rPr>
                <w:sz w:val="20"/>
                <w:szCs w:val="20"/>
                <w:lang w:val="es-ES"/>
              </w:rPr>
            </w:pPr>
          </w:p>
          <w:p w14:paraId="264C0317" w14:textId="77777777" w:rsidR="009713BF" w:rsidRPr="005E3D50" w:rsidRDefault="009713BF" w:rsidP="009713BF">
            <w:pPr>
              <w:rPr>
                <w:sz w:val="20"/>
                <w:szCs w:val="20"/>
                <w:lang w:val="es-ES"/>
              </w:rPr>
            </w:pPr>
            <w:r w:rsidRPr="005E3D50">
              <w:rPr>
                <w:sz w:val="20"/>
                <w:lang w:val="es-ES"/>
              </w:rPr>
              <w:t xml:space="preserve">Se estima que más de un tercio del PIB del Ecuador depende de servicios de los ecosistemas, pero históricamente ese hecho no se ha reflejado en modelos de riesgo financiero, calificaciones crediticias y decisiones de inversión. Las instituciones financieras no estaban obligadas a realizar evaluaciones de riesgo ambiental y solo lo hacían en forma voluntaria y no sistemática, sin que pudieran ser sometidas a auditorías. </w:t>
            </w:r>
          </w:p>
          <w:p w14:paraId="4D1F51BC" w14:textId="77777777" w:rsidR="009713BF" w:rsidRPr="005E3D50" w:rsidRDefault="009713BF" w:rsidP="009713BF">
            <w:pPr>
              <w:rPr>
                <w:sz w:val="20"/>
                <w:szCs w:val="20"/>
                <w:lang w:val="es-ES"/>
              </w:rPr>
            </w:pPr>
          </w:p>
          <w:p w14:paraId="458F84F8" w14:textId="77777777" w:rsidR="009713BF" w:rsidRPr="005E3D50" w:rsidRDefault="009713BF" w:rsidP="009713BF">
            <w:pPr>
              <w:rPr>
                <w:sz w:val="20"/>
                <w:szCs w:val="20"/>
                <w:lang w:val="es-ES"/>
              </w:rPr>
            </w:pPr>
            <w:r w:rsidRPr="005E3D50">
              <w:rPr>
                <w:sz w:val="20"/>
                <w:lang w:val="es-ES"/>
              </w:rPr>
              <w:lastRenderedPageBreak/>
              <w:t xml:space="preserve">Con el fin de requerir a las empresas y a las instituciones financieras que hicieran un seguimiento de sus riesgos relacionados con la diversidad biológica y los evaluaran y dieran a conocer, el Ecuador implementó un marco ambiental obligatorio que rige para todo el país. Como parte de la iniciativa, la Superintendencia de Bancos impuso como regla que deben cumplir todas las instituciones financieras la obligación de integrar evaluaciones de riesgo ambiental y social en sus políticas de gobernanza, análisis crediticio y diligencia debida, determinando así que los riesgos en materia de diversidad biológica estén sujetos a auditorías. Por su parte, la Superintendencia de Compañías adoptó otra resolución que establece la obligación de las empresas que cotizan en bolsa de presentar informes de sostenibilidad conforme a las normas de la Global </w:t>
            </w:r>
            <w:proofErr w:type="spellStart"/>
            <w:r w:rsidRPr="005E3D50">
              <w:rPr>
                <w:sz w:val="20"/>
                <w:lang w:val="es-ES"/>
              </w:rPr>
              <w:t>Reporting</w:t>
            </w:r>
            <w:proofErr w:type="spellEnd"/>
            <w:r w:rsidRPr="005E3D50">
              <w:rPr>
                <w:sz w:val="20"/>
                <w:lang w:val="es-ES"/>
              </w:rPr>
              <w:t xml:space="preserve"> </w:t>
            </w:r>
            <w:proofErr w:type="spellStart"/>
            <w:r w:rsidRPr="005E3D50">
              <w:rPr>
                <w:sz w:val="20"/>
                <w:lang w:val="es-ES"/>
              </w:rPr>
              <w:t>Initiative</w:t>
            </w:r>
            <w:proofErr w:type="spellEnd"/>
            <w:r w:rsidRPr="005E3D50">
              <w:rPr>
                <w:sz w:val="20"/>
                <w:lang w:val="es-ES"/>
              </w:rPr>
              <w:t xml:space="preserve">. </w:t>
            </w:r>
            <w:proofErr w:type="spellStart"/>
            <w:r w:rsidRPr="005E3D50">
              <w:rPr>
                <w:sz w:val="20"/>
                <w:lang w:val="es-ES"/>
              </w:rPr>
              <w:t>Asobanca</w:t>
            </w:r>
            <w:proofErr w:type="spellEnd"/>
            <w:r w:rsidRPr="005E3D50">
              <w:rPr>
                <w:sz w:val="20"/>
                <w:lang w:val="es-ES"/>
              </w:rPr>
              <w:t xml:space="preserve"> (asociación de la banca privada) elaboró un protocolo de finanzas sostenibles que normaliza la gestión de riesgos para todo el sector de la banca privada y que incluye proyectos piloto en el bioma amazónico aplicando directrices del TNFD. </w:t>
            </w:r>
          </w:p>
          <w:p w14:paraId="2DECF89C" w14:textId="77777777" w:rsidR="009713BF" w:rsidRPr="005E3D50" w:rsidRDefault="009713BF" w:rsidP="009713BF">
            <w:pPr>
              <w:rPr>
                <w:sz w:val="20"/>
                <w:szCs w:val="20"/>
                <w:lang w:val="es-ES"/>
              </w:rPr>
            </w:pPr>
          </w:p>
          <w:p w14:paraId="770A3C54" w14:textId="77777777" w:rsidR="009713BF" w:rsidRPr="005E3D50" w:rsidRDefault="009713BF" w:rsidP="009713BF">
            <w:pPr>
              <w:rPr>
                <w:lang w:val="es-ES"/>
              </w:rPr>
            </w:pPr>
            <w:r w:rsidRPr="005E3D50">
              <w:rPr>
                <w:sz w:val="20"/>
                <w:lang w:val="es-ES"/>
              </w:rPr>
              <w:t>Entre los desafíos más importantes que enfrenta el Ecuador en este sentido figuran la falta de datos sobre ecosistemas, lo cual dificulta la cuantificación de los riesgos, la persistencia de subsidios perjudiciales para la diversidad biológica y la limitada capacidad técnica existente en instituciones públicas y financieras.</w:t>
            </w:r>
            <w:r w:rsidRPr="005E3D50">
              <w:rPr>
                <w:lang w:val="es-ES"/>
              </w:rPr>
              <w:t xml:space="preserve"> </w:t>
            </w:r>
          </w:p>
          <w:p w14:paraId="5EB9638A" w14:textId="77777777" w:rsidR="009713BF" w:rsidRPr="005E3D50" w:rsidRDefault="009713BF" w:rsidP="009713BF">
            <w:pPr>
              <w:rPr>
                <w:i/>
                <w:iCs/>
                <w:sz w:val="20"/>
                <w:szCs w:val="20"/>
                <w:lang w:val="es-ES"/>
              </w:rPr>
            </w:pPr>
          </w:p>
          <w:p w14:paraId="092C9D3F"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14, 15, 18 y 19.</w:t>
            </w:r>
          </w:p>
          <w:p w14:paraId="0F9933E2" w14:textId="77777777" w:rsidR="009713BF" w:rsidRPr="005E3D50" w:rsidRDefault="009713BF" w:rsidP="009713BF">
            <w:pPr>
              <w:rPr>
                <w:sz w:val="20"/>
                <w:szCs w:val="20"/>
                <w:lang w:val="es-ES"/>
              </w:rPr>
            </w:pPr>
            <w:r w:rsidRPr="005E3D50">
              <w:rPr>
                <w:i/>
                <w:sz w:val="20"/>
                <w:lang w:val="es-ES"/>
              </w:rPr>
              <w:t xml:space="preserve">Fuente: </w:t>
            </w:r>
            <w:r w:rsidRPr="005E3D50">
              <w:rPr>
                <w:sz w:val="20"/>
                <w:lang w:val="es-ES"/>
              </w:rPr>
              <w:t>Ecuador, séptimo informe nacional presentado al Convenio.</w:t>
            </w:r>
          </w:p>
          <w:p w14:paraId="03682F36" w14:textId="77777777" w:rsidR="009713BF" w:rsidRPr="005E3D50" w:rsidRDefault="009713BF" w:rsidP="009713BF">
            <w:pPr>
              <w:rPr>
                <w:lang w:val="es-ES"/>
              </w:rPr>
            </w:pPr>
          </w:p>
        </w:tc>
      </w:tr>
    </w:tbl>
    <w:p w14:paraId="2E32080F" w14:textId="77777777" w:rsidR="009713BF" w:rsidRPr="005E3D50" w:rsidRDefault="009713BF" w:rsidP="009713BF">
      <w:pPr>
        <w:rPr>
          <w:lang w:val="es-ES"/>
        </w:rPr>
      </w:pPr>
    </w:p>
    <w:p w14:paraId="506BF3B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11" w:name="_Toc235821239"/>
      <w:r w:rsidRPr="005E3D50">
        <w:rPr>
          <w:rFonts w:eastAsiaTheme="majorEastAsia" w:cstheme="majorBidi"/>
          <w:i/>
          <w:iCs/>
          <w:color w:val="595959" w:themeColor="text1" w:themeTint="A6"/>
          <w:lang w:val="es-ES"/>
        </w:rPr>
        <w:lastRenderedPageBreak/>
        <w:t>Dificultades</w:t>
      </w:r>
      <w:bookmarkEnd w:id="411"/>
    </w:p>
    <w:p w14:paraId="5871FCF6" w14:textId="77777777" w:rsidR="009713BF" w:rsidRPr="005E3D50" w:rsidRDefault="009713BF" w:rsidP="009713BF">
      <w:pPr>
        <w:keepNext/>
        <w:keepLines/>
        <w:rPr>
          <w:lang w:val="es-ES"/>
        </w:rPr>
      </w:pPr>
    </w:p>
    <w:p w14:paraId="280253C4" w14:textId="77777777" w:rsidR="009713BF" w:rsidRPr="005E3D50" w:rsidRDefault="009713BF" w:rsidP="009713BF">
      <w:pPr>
        <w:keepNext/>
        <w:keepLines/>
        <w:rPr>
          <w:lang w:val="es-ES"/>
        </w:rPr>
      </w:pPr>
      <w:r w:rsidRPr="005E3D50">
        <w:rPr>
          <w:lang w:val="es-ES"/>
        </w:rPr>
        <w:t xml:space="preserve">Alrededor de un cuarto de las Partes que presentaron informes mencionan como dificultad la ausencia de requisitos de divulgación de información específica sobre diversidad biológica impuestos a las grandes compañías. </w:t>
      </w:r>
      <w:r w:rsidRPr="005E3D50">
        <w:rPr>
          <w:rFonts w:ascii="Aptos" w:hAnsi="Aptos"/>
          <w:lang w:val="es-ES"/>
        </w:rPr>
        <w:t>En los casos en que existe la obligación de divulgar información, esta tiende a centrarse en el clima y no en la naturaleza, lo que significa que la diversidad biológica queda prácticamente sin abordar.</w:t>
      </w:r>
      <w:r w:rsidRPr="005E3D50">
        <w:rPr>
          <w:lang w:val="es-ES"/>
        </w:rPr>
        <w:t xml:space="preserve"> Entre las barreras significativas que se mencionan figuran carencias de datos y falta de capacidad, especialmente en países en desarrollo, y el hecho de que muchas empresas no tienen la capacidad técnica e institucional necesaria para aplicar las metodologías existentes de seguimiento, evaluación y divulgación en materia de diversidad biológica. Otras dificultades que mencionan algunas Partes son la exclusión de pequeñas y medianas empresas de los marcos de divulgación, así como la persistencia de incentivos perjudiciales para la diversidad biológica, que se plantea como un obstáculo a la reducción de los impactos que tienen las empresas en la diversidad biológica. </w:t>
      </w:r>
      <w:r w:rsidRPr="005E3D50">
        <w:rPr>
          <w:rFonts w:ascii="Aptos" w:hAnsi="Aptos"/>
          <w:lang w:val="es-ES"/>
        </w:rPr>
        <w:t>Las estructuras de incentivos existentes no logran muchas veces alentar la adopción de comportamientos favorables a la diversidad biológica. En este sentido, unas pocas Partes señalan como un problema la ausencia de exenciones fiscales efectivas, esquemas de certificación verde o pagos por los servicios de los ecosistemas que podrían motivar a las empresas a invertir en la conservación o a reducir sus impactos perjudiciales.</w:t>
      </w:r>
    </w:p>
    <w:p w14:paraId="7C545D57" w14:textId="77777777" w:rsidR="009713BF" w:rsidRPr="005E3D50" w:rsidRDefault="009713BF" w:rsidP="009713BF">
      <w:pPr>
        <w:rPr>
          <w:lang w:val="es-ES"/>
        </w:rPr>
      </w:pPr>
    </w:p>
    <w:p w14:paraId="4B8DDC53"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12" w:name="_Toc235821240"/>
      <w:r w:rsidRPr="005E3D50">
        <w:rPr>
          <w:rFonts w:eastAsiaTheme="majorEastAsia" w:cstheme="majorBidi"/>
          <w:color w:val="0F4761" w:themeColor="accent1" w:themeShade="BF"/>
          <w:lang w:val="es-ES"/>
        </w:rPr>
        <w:t>Contribuciones de actores distintos de los Gobiernos nacionales</w:t>
      </w:r>
      <w:bookmarkEnd w:id="412"/>
    </w:p>
    <w:p w14:paraId="1C4A3099" w14:textId="77777777" w:rsidR="009713BF" w:rsidRPr="005E3D50" w:rsidRDefault="009713BF" w:rsidP="009713BF">
      <w:pPr>
        <w:rPr>
          <w:lang w:val="es-ES"/>
        </w:rPr>
      </w:pPr>
    </w:p>
    <w:p w14:paraId="65372C41"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13" w:name="_Toc235821241"/>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413"/>
    </w:p>
    <w:p w14:paraId="10A9AF2E" w14:textId="77777777" w:rsidR="009713BF" w:rsidRPr="005E3D50" w:rsidRDefault="009713BF" w:rsidP="009713BF">
      <w:pPr>
        <w:rPr>
          <w:lang w:val="es-ES"/>
        </w:rPr>
      </w:pPr>
    </w:p>
    <w:p w14:paraId="58B22AF6" w14:textId="77777777" w:rsidR="009713BF" w:rsidRPr="005E3D50" w:rsidRDefault="009713BF" w:rsidP="009713BF">
      <w:pPr>
        <w:rPr>
          <w:lang w:val="es-ES"/>
        </w:rPr>
      </w:pPr>
      <w:r w:rsidRPr="005E3D50">
        <w:rPr>
          <w:lang w:val="es-ES"/>
        </w:rPr>
        <w:t>De los 180 compromisos sustantivos presentados por actores que no son Gobiernos nacionales, solo 7 tienen que ver principalmente con la meta 15. Cinco de los compromisos fueron presentados por ONG y dos por actores empresariales o industriales. Los compromisos se centran en apoyar a las empresas para que tomen en cuenta la diversidad biológica en sus estrategias y procesos de presentación de informes, en particular a través de herramientas de datos e información para el relevamiento y la evaluación de riesgos e impactos. En términos geográficos, los compromisos abarcan a China, Dinamarca, Francia, el Japón y Nigeria (véase un ejemplo del Japón en el recuadro 38).</w:t>
      </w:r>
    </w:p>
    <w:p w14:paraId="4627027F" w14:textId="77777777" w:rsidR="009713BF" w:rsidRPr="005E3D50" w:rsidRDefault="009713BF" w:rsidP="009713BF">
      <w:pPr>
        <w:rPr>
          <w:lang w:val="es-ES"/>
        </w:rPr>
      </w:pPr>
    </w:p>
    <w:tbl>
      <w:tblPr>
        <w:tblStyle w:val="TableGrid"/>
        <w:tblW w:w="0" w:type="auto"/>
        <w:tblLook w:val="04A0" w:firstRow="1" w:lastRow="0" w:firstColumn="1" w:lastColumn="0" w:noHBand="0" w:noVBand="1"/>
      </w:tblPr>
      <w:tblGrid>
        <w:gridCol w:w="9016"/>
      </w:tblGrid>
      <w:tr w:rsidR="009713BF" w:rsidRPr="005E3D50" w14:paraId="5B9B9D82" w14:textId="77777777" w:rsidTr="006E6831">
        <w:tc>
          <w:tcPr>
            <w:tcW w:w="9016" w:type="dxa"/>
            <w:shd w:val="clear" w:color="auto" w:fill="E8E8E8" w:themeFill="background2"/>
          </w:tcPr>
          <w:p w14:paraId="6197A7E3" w14:textId="77777777" w:rsidR="009713BF" w:rsidRPr="005E3D50" w:rsidRDefault="009713BF" w:rsidP="009713BF">
            <w:pPr>
              <w:rPr>
                <w:sz w:val="20"/>
                <w:szCs w:val="20"/>
                <w:lang w:val="es-ES"/>
              </w:rPr>
            </w:pPr>
            <w:bookmarkStart w:id="414" w:name="_Ref230875788"/>
            <w:r w:rsidRPr="005E3D50">
              <w:rPr>
                <w:sz w:val="20"/>
                <w:lang w:val="es-ES"/>
              </w:rPr>
              <w:t>Recuadro 38</w:t>
            </w:r>
            <w:bookmarkEnd w:id="414"/>
          </w:p>
          <w:p w14:paraId="1210A2EF" w14:textId="77777777" w:rsidR="009713BF" w:rsidRPr="005E3D50" w:rsidRDefault="009713BF" w:rsidP="009713BF">
            <w:pPr>
              <w:rPr>
                <w:b/>
                <w:bCs/>
                <w:sz w:val="20"/>
                <w:szCs w:val="20"/>
                <w:lang w:val="es-ES"/>
              </w:rPr>
            </w:pPr>
            <w:r w:rsidRPr="005E3D50">
              <w:rPr>
                <w:b/>
                <w:sz w:val="20"/>
                <w:lang w:val="es-ES"/>
              </w:rPr>
              <w:t xml:space="preserve">El Consejo de Conservación de la Naturaleza de </w:t>
            </w:r>
            <w:proofErr w:type="spellStart"/>
            <w:r w:rsidRPr="005E3D50">
              <w:rPr>
                <w:b/>
                <w:sz w:val="20"/>
                <w:lang w:val="es-ES"/>
              </w:rPr>
              <w:t>Keidanren</w:t>
            </w:r>
            <w:proofErr w:type="spellEnd"/>
            <w:r w:rsidRPr="005E3D50">
              <w:rPr>
                <w:b/>
                <w:sz w:val="20"/>
                <w:lang w:val="es-ES"/>
              </w:rPr>
              <w:t xml:space="preserve"> alienta y apoya a las empresas japonesas a abordar sus riesgos e impactos relacionados con la diversidad biológica</w:t>
            </w:r>
          </w:p>
          <w:p w14:paraId="23475AC8" w14:textId="77777777" w:rsidR="009713BF" w:rsidRPr="005E3D50" w:rsidRDefault="009713BF" w:rsidP="009713BF">
            <w:pPr>
              <w:rPr>
                <w:lang w:val="es-ES"/>
              </w:rPr>
            </w:pPr>
          </w:p>
          <w:p w14:paraId="037267BA" w14:textId="77777777" w:rsidR="009713BF" w:rsidRPr="005E3D50" w:rsidRDefault="009713BF" w:rsidP="009713BF">
            <w:pPr>
              <w:spacing w:line="276" w:lineRule="auto"/>
              <w:rPr>
                <w:rFonts w:ascii="Aptos" w:eastAsia="Aptos" w:hAnsi="Aptos" w:cs="Aptos"/>
                <w:sz w:val="20"/>
                <w:szCs w:val="20"/>
                <w:lang w:val="es-ES"/>
              </w:rPr>
            </w:pPr>
            <w:r w:rsidRPr="005E3D50">
              <w:rPr>
                <w:rFonts w:ascii="Aptos" w:hAnsi="Aptos"/>
                <w:sz w:val="20"/>
                <w:lang w:val="es-ES"/>
              </w:rPr>
              <w:t xml:space="preserve">En 2023, el Consejo de Conservación de la Naturaleza de </w:t>
            </w:r>
            <w:proofErr w:type="spellStart"/>
            <w:r w:rsidRPr="005E3D50">
              <w:rPr>
                <w:rFonts w:ascii="Aptos" w:hAnsi="Aptos"/>
                <w:sz w:val="20"/>
                <w:lang w:val="es-ES"/>
              </w:rPr>
              <w:t>Keidanren</w:t>
            </w:r>
            <w:proofErr w:type="spellEnd"/>
            <w:r w:rsidRPr="005E3D50">
              <w:rPr>
                <w:rFonts w:ascii="Aptos" w:hAnsi="Aptos"/>
                <w:sz w:val="20"/>
                <w:lang w:val="es-ES"/>
              </w:rPr>
              <w:t xml:space="preserve">, una organización empresarial e industrial con sede en </w:t>
            </w:r>
            <w:proofErr w:type="spellStart"/>
            <w:r w:rsidRPr="005E3D50">
              <w:rPr>
                <w:rFonts w:ascii="Aptos" w:hAnsi="Aptos"/>
                <w:sz w:val="20"/>
                <w:lang w:val="es-ES"/>
              </w:rPr>
              <w:t>Tokyo</w:t>
            </w:r>
            <w:proofErr w:type="spellEnd"/>
            <w:r w:rsidRPr="005E3D50">
              <w:rPr>
                <w:rFonts w:ascii="Aptos" w:hAnsi="Aptos"/>
                <w:sz w:val="20"/>
                <w:lang w:val="es-ES"/>
              </w:rPr>
              <w:t xml:space="preserve">, puso en marcha su Plan de Acción en Favor de la Naturaleza, cuya ejecución se extiende hasta fines de 2030. El Consejo cumple un papel central en la movilización del sector empresarial del Japón para el logro de resultados favorables a la naturaleza. A través del Fondo para la Conservación de la Naturaleza de </w:t>
            </w:r>
            <w:proofErr w:type="spellStart"/>
            <w:r w:rsidRPr="005E3D50">
              <w:rPr>
                <w:rFonts w:ascii="Aptos" w:hAnsi="Aptos"/>
                <w:sz w:val="20"/>
                <w:lang w:val="es-ES"/>
              </w:rPr>
              <w:t>Keidanren</w:t>
            </w:r>
            <w:proofErr w:type="spellEnd"/>
            <w:r w:rsidRPr="005E3D50">
              <w:rPr>
                <w:rFonts w:ascii="Aptos" w:hAnsi="Aptos"/>
                <w:sz w:val="20"/>
                <w:lang w:val="es-ES"/>
              </w:rPr>
              <w:t xml:space="preserve">, el Consejo solicita anualmente donaciones de unas 1.500 empresas miembro, recabando alrededor de 200 millones de yenes por año para apoyar proyectos de conservación dirigidos por ONG y armonizados con metas del Marco. También promueve la adopción por parte de las empresas del marco del TNFD: de las 210 empresas japonesas que a octubre de 2025 habían adoptado el marco del TNFD aproximadamente el 30 % integran el Consejo de Conservación de la Naturaleza de </w:t>
            </w:r>
            <w:proofErr w:type="spellStart"/>
            <w:r w:rsidRPr="005E3D50">
              <w:rPr>
                <w:rFonts w:ascii="Aptos" w:hAnsi="Aptos"/>
                <w:sz w:val="20"/>
                <w:lang w:val="es-ES"/>
              </w:rPr>
              <w:t>Keidanren</w:t>
            </w:r>
            <w:proofErr w:type="spellEnd"/>
            <w:r w:rsidRPr="005E3D50">
              <w:rPr>
                <w:rFonts w:ascii="Aptos" w:hAnsi="Aptos"/>
                <w:sz w:val="20"/>
                <w:lang w:val="es-ES"/>
              </w:rPr>
              <w:t xml:space="preserve">. Por otra parte, el Consejo colabora directamente con el Ministerio de Medio Ambiente y el Ministerio de Asuntos Territoriales, Infraestructura, Transporte y Turismo del Japón con el fin de fortalecer el entorno propicio de políticas para la adopción de medidas empresariales en materia de diversidad biológica, incluido a través de propuestas sobre infraestructura de datos relacionados con la naturaleza, incentivos para otras medidas de conservación eficaces basadas en áreas y soluciones basadas en la naturaleza, así como la integración de la naturaleza en las estrategias de crecimiento del país. Junto con el Ministerio de Medio Ambiente del Japón, el Consejo también contribuye al proyecto COMDEKS (desarrollo comunitario y gestión de conocimientos de la Iniciativa </w:t>
            </w:r>
            <w:proofErr w:type="spellStart"/>
            <w:r w:rsidRPr="005E3D50">
              <w:rPr>
                <w:rFonts w:ascii="Aptos" w:hAnsi="Aptos"/>
                <w:sz w:val="20"/>
                <w:lang w:val="es-ES"/>
              </w:rPr>
              <w:t>Satoyama</w:t>
            </w:r>
            <w:proofErr w:type="spellEnd"/>
            <w:r w:rsidRPr="005E3D50">
              <w:rPr>
                <w:rFonts w:ascii="Aptos" w:hAnsi="Aptos"/>
                <w:sz w:val="20"/>
                <w:lang w:val="es-ES"/>
              </w:rPr>
              <w:t>) ejecutado por el PNUD. Los progresos se comunican anualmente en la asamblea general del Consejo y se miden contra la EPANB del país y el indicador de cabecera del Marco referido a financiación privada para la conservación de la diversidad biológica (indicador de cabecera D.3).</w:t>
            </w:r>
          </w:p>
          <w:p w14:paraId="5701FF78" w14:textId="77777777" w:rsidR="009713BF" w:rsidRPr="005E3D50" w:rsidRDefault="009713BF" w:rsidP="009713BF">
            <w:pPr>
              <w:spacing w:line="276" w:lineRule="auto"/>
              <w:rPr>
                <w:rFonts w:ascii="Aptos" w:eastAsia="Aptos" w:hAnsi="Aptos" w:cs="Aptos"/>
                <w:lang w:val="es-ES"/>
              </w:rPr>
            </w:pPr>
          </w:p>
          <w:p w14:paraId="02B28194" w14:textId="77777777" w:rsidR="009713BF" w:rsidRPr="005E3D50" w:rsidRDefault="009713BF" w:rsidP="009713BF">
            <w:pPr>
              <w:spacing w:line="276" w:lineRule="auto"/>
              <w:rPr>
                <w:rFonts w:ascii="Aptos" w:eastAsia="Aptos" w:hAnsi="Aptos" w:cs="Aptos"/>
                <w:sz w:val="20"/>
                <w:szCs w:val="20"/>
                <w:lang w:val="es-ES"/>
              </w:rPr>
            </w:pPr>
            <w:r w:rsidRPr="005E3D50">
              <w:rPr>
                <w:rFonts w:ascii="Aptos" w:hAnsi="Aptos"/>
                <w:i/>
                <w:sz w:val="20"/>
                <w:lang w:val="es-ES"/>
              </w:rPr>
              <w:t xml:space="preserve">Metas pertinentes: </w:t>
            </w:r>
            <w:r w:rsidRPr="005E3D50">
              <w:rPr>
                <w:rFonts w:ascii="Aptos" w:hAnsi="Aptos"/>
                <w:sz w:val="20"/>
                <w:lang w:val="es-ES"/>
              </w:rPr>
              <w:t>3, 8, 11, 15, 19, 20 y 21.</w:t>
            </w:r>
          </w:p>
          <w:p w14:paraId="1521BC39" w14:textId="77777777" w:rsidR="009713BF" w:rsidRPr="005E3D50" w:rsidRDefault="009713BF" w:rsidP="009713BF">
            <w:pPr>
              <w:spacing w:line="276" w:lineRule="auto"/>
              <w:rPr>
                <w:sz w:val="20"/>
                <w:szCs w:val="20"/>
                <w:lang w:val="es-ES"/>
              </w:rPr>
            </w:pPr>
            <w:r w:rsidRPr="005E3D50">
              <w:rPr>
                <w:i/>
                <w:sz w:val="20"/>
                <w:lang w:val="es-ES"/>
              </w:rPr>
              <w:t xml:space="preserve">Fuente: </w:t>
            </w:r>
            <w:r w:rsidRPr="005E3D50">
              <w:rPr>
                <w:sz w:val="20"/>
                <w:lang w:val="es-ES"/>
              </w:rPr>
              <w:t xml:space="preserve">Consejo de Conservación de la Naturaleza de </w:t>
            </w:r>
            <w:proofErr w:type="spellStart"/>
            <w:r w:rsidRPr="005E3D50">
              <w:rPr>
                <w:sz w:val="20"/>
                <w:lang w:val="es-ES"/>
              </w:rPr>
              <w:t>Keidanren</w:t>
            </w:r>
            <w:proofErr w:type="spellEnd"/>
            <w:r w:rsidRPr="005E3D50">
              <w:rPr>
                <w:sz w:val="20"/>
                <w:lang w:val="es-ES"/>
              </w:rPr>
              <w:t xml:space="preserve">, compromiso de interesado (véase </w:t>
            </w:r>
            <w:hyperlink r:id="rId162">
              <w:r w:rsidRPr="005E3D50">
                <w:rPr>
                  <w:color w:val="000000" w:themeColor="text1"/>
                  <w:sz w:val="20"/>
                  <w:lang w:val="es-ES"/>
                </w:rPr>
                <w:t>https://ort.cbd.int/database/293333</w:t>
              </w:r>
            </w:hyperlink>
            <w:r w:rsidRPr="005E3D50">
              <w:rPr>
                <w:sz w:val="20"/>
                <w:lang w:val="es-ES"/>
              </w:rPr>
              <w:t>).</w:t>
            </w:r>
          </w:p>
          <w:p w14:paraId="4A3E85B0" w14:textId="77777777" w:rsidR="009713BF" w:rsidRPr="005E3D50" w:rsidRDefault="009713BF" w:rsidP="009713BF">
            <w:pPr>
              <w:rPr>
                <w:lang w:val="es-ES"/>
              </w:rPr>
            </w:pPr>
          </w:p>
        </w:tc>
      </w:tr>
    </w:tbl>
    <w:p w14:paraId="7BF665A1"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36A5D6C9"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15" w:name="_Toc235821242"/>
      <w:r w:rsidRPr="005E3D50">
        <w:rPr>
          <w:rFonts w:eastAsiaTheme="majorEastAsia" w:cstheme="majorBidi"/>
          <w:i/>
          <w:iCs/>
          <w:color w:val="595959" w:themeColor="text1" w:themeTint="A6"/>
          <w:lang w:val="es-ES"/>
        </w:rPr>
        <w:t>Contribuciones integradas en los informes nacionales</w:t>
      </w:r>
      <w:bookmarkEnd w:id="415"/>
    </w:p>
    <w:p w14:paraId="132DBC42" w14:textId="77777777" w:rsidR="009713BF" w:rsidRPr="005E3D50" w:rsidRDefault="009713BF" w:rsidP="009713BF">
      <w:pPr>
        <w:rPr>
          <w:lang w:val="es-ES"/>
        </w:rPr>
      </w:pPr>
    </w:p>
    <w:p w14:paraId="5C9BDE48" w14:textId="77777777" w:rsidR="009713BF" w:rsidRPr="005E3D50" w:rsidRDefault="009713BF" w:rsidP="009713BF">
      <w:pPr>
        <w:rPr>
          <w:lang w:val="es-ES"/>
        </w:rPr>
      </w:pPr>
      <w:r w:rsidRPr="005E3D50">
        <w:rPr>
          <w:lang w:val="es-ES"/>
        </w:rPr>
        <w:t xml:space="preserve">Los actores empresariales y financieros contribuyen a la meta 15 a través de la divulgación en materia de diversidad biológica y la integración de riesgos, adoptando marcos de divulgación y presentación de informes (véase la sección que figura inmediatamente a continuación), integrando los riesgos relacionados con la diversidad biológica en la concesión de préstamos y las inversiones, emitiendo bonos verdes y desarrollando protocolos de financiación sostenible y taxonomías verdes. Las organizaciones intergubernamentales y los asociados internacionales aportan cofinanciación, asistencia técnica y marcos de establecimiento de normas. Los más frecuentemente citados en esta </w:t>
      </w:r>
      <w:r w:rsidRPr="005E3D50">
        <w:rPr>
          <w:lang w:val="es-ES"/>
        </w:rPr>
        <w:lastRenderedPageBreak/>
        <w:t>categoría son la Iniciativa de Financiación de la Diversidad Biológica (BIOFIN), la Corporación Financiera Internacional, el Banco Mundial, el FMAM, el PNUD y el PNUMA. Las ONG y la sociedad civil han colaborado en la organización conjunta de plataformas de biodiversidad y sector empresarial, así como con creación de capacidad. Los pueblos indígenas y las comunidades locales cumplen funciones de coadministradores, asociados en la participación en los beneficios y poseedores de conocimientos dentro de marcos de APB y de pagos por los servicios de los ecosistemas. Los gobiernos subnacionales han colaborado administrando esquemas de certificación y promulgando legislación. Los ciudadanos, la juventud y las mujeres y las niñas siguen cumpliendo principalmente el rol de receptores de las actividades de sensibilización.</w:t>
      </w:r>
    </w:p>
    <w:p w14:paraId="62AB53BC" w14:textId="77777777" w:rsidR="009713BF" w:rsidRPr="005E3D50" w:rsidRDefault="009713BF" w:rsidP="009713BF">
      <w:pPr>
        <w:rPr>
          <w:lang w:val="es-ES"/>
        </w:rPr>
      </w:pPr>
    </w:p>
    <w:p w14:paraId="61B83C7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Ejemplos de vínculos con otros acuerdos, procesos y organizaciones</w:t>
      </w:r>
    </w:p>
    <w:p w14:paraId="73F5AEDF" w14:textId="77777777" w:rsidR="009713BF" w:rsidRPr="005E3D50" w:rsidRDefault="009713BF" w:rsidP="009713BF">
      <w:pPr>
        <w:rPr>
          <w:lang w:val="es-ES"/>
        </w:rPr>
      </w:pPr>
    </w:p>
    <w:p w14:paraId="33429FF1" w14:textId="77777777" w:rsidR="009713BF" w:rsidRPr="005E3D50" w:rsidRDefault="009713BF" w:rsidP="009713BF">
      <w:pPr>
        <w:rPr>
          <w:lang w:val="es-ES"/>
        </w:rPr>
      </w:pPr>
      <w:r w:rsidRPr="005E3D50">
        <w:rPr>
          <w:lang w:val="es-ES"/>
        </w:rPr>
        <w:t xml:space="preserve">La consecución de la meta 15 es apoyada por una gama de normas de presentación de informes y marcos de divulgación reconocidos internacionalmente que proporcionan información complementaria sobre diversidad biológica y naturaleza. En su conjunto, estos instrumentos pueden proporcionar información sobre impactos, dependencias y riesgos relacionados con la diversidad biológica. En concreto, la Global </w:t>
      </w:r>
      <w:proofErr w:type="spellStart"/>
      <w:r w:rsidRPr="005E3D50">
        <w:rPr>
          <w:lang w:val="es-ES"/>
        </w:rPr>
        <w:t>Reporting</w:t>
      </w:r>
      <w:proofErr w:type="spellEnd"/>
      <w:r w:rsidRPr="005E3D50">
        <w:rPr>
          <w:lang w:val="es-ES"/>
        </w:rPr>
        <w:t xml:space="preserve"> </w:t>
      </w:r>
      <w:proofErr w:type="spellStart"/>
      <w:r w:rsidRPr="005E3D50">
        <w:rPr>
          <w:lang w:val="es-ES"/>
        </w:rPr>
        <w:t>Initiative</w:t>
      </w:r>
      <w:proofErr w:type="spellEnd"/>
      <w:r w:rsidRPr="005E3D50">
        <w:rPr>
          <w:lang w:val="es-ES"/>
        </w:rPr>
        <w:t xml:space="preserve"> (GRI) (Bosetti, 2023), el TNFD (Grupo de Trabajo sobre Divulgaciones Financieras Relacionadas con la Naturaleza, 2023) y el International </w:t>
      </w:r>
      <w:proofErr w:type="spellStart"/>
      <w:r w:rsidRPr="005E3D50">
        <w:rPr>
          <w:lang w:val="es-ES"/>
        </w:rPr>
        <w:t>Sustainability</w:t>
      </w:r>
      <w:proofErr w:type="spellEnd"/>
      <w:r w:rsidRPr="005E3D50">
        <w:rPr>
          <w:lang w:val="es-ES"/>
        </w:rPr>
        <w:t xml:space="preserve"> </w:t>
      </w:r>
      <w:proofErr w:type="spellStart"/>
      <w:r w:rsidRPr="005E3D50">
        <w:rPr>
          <w:lang w:val="es-ES"/>
        </w:rPr>
        <w:t>Standards</w:t>
      </w:r>
      <w:proofErr w:type="spellEnd"/>
      <w:r w:rsidRPr="005E3D50">
        <w:rPr>
          <w:lang w:val="es-ES"/>
        </w:rPr>
        <w:t xml:space="preserve"> Board (International </w:t>
      </w:r>
      <w:proofErr w:type="spellStart"/>
      <w:r w:rsidRPr="005E3D50">
        <w:rPr>
          <w:lang w:val="es-ES"/>
        </w:rPr>
        <w:t>Sustainability</w:t>
      </w:r>
      <w:proofErr w:type="spellEnd"/>
      <w:r w:rsidRPr="005E3D50">
        <w:rPr>
          <w:lang w:val="es-ES"/>
        </w:rPr>
        <w:t xml:space="preserve"> </w:t>
      </w:r>
      <w:proofErr w:type="spellStart"/>
      <w:r w:rsidRPr="005E3D50">
        <w:rPr>
          <w:lang w:val="es-ES"/>
        </w:rPr>
        <w:t>Standards</w:t>
      </w:r>
      <w:proofErr w:type="spellEnd"/>
      <w:r w:rsidRPr="005E3D50">
        <w:rPr>
          <w:lang w:val="es-ES"/>
        </w:rPr>
        <w:t xml:space="preserve"> Board, 2023) están colaborando en el establecimiento de un sistema mundial coherente de presentación de información relacionada con la naturaleza que abarcará impactos, dependencias, riesgos y oportunidades desde una perspectiva de materialidad financiera y de impactos, brindando la arquitectura de divulgación necesaria para la consecución integral de la meta 15. El sistema mundial de presentación de información dependerá de tres marcos complementarios principales que ya están activos: el TNFD ayuda a las organizaciones a evaluar y a informar sobre sus dependencias, impactos, riesgos y oportunidades relacionados con la naturaleza; la Global </w:t>
      </w:r>
      <w:proofErr w:type="spellStart"/>
      <w:r w:rsidRPr="005E3D50">
        <w:rPr>
          <w:lang w:val="es-ES"/>
        </w:rPr>
        <w:t>Reporting</w:t>
      </w:r>
      <w:proofErr w:type="spellEnd"/>
      <w:r w:rsidRPr="005E3D50">
        <w:rPr>
          <w:lang w:val="es-ES"/>
        </w:rPr>
        <w:t xml:space="preserve"> </w:t>
      </w:r>
      <w:proofErr w:type="spellStart"/>
      <w:r w:rsidRPr="005E3D50">
        <w:rPr>
          <w:lang w:val="es-ES"/>
        </w:rPr>
        <w:t>Initiative</w:t>
      </w:r>
      <w:proofErr w:type="spellEnd"/>
      <w:r w:rsidRPr="005E3D50">
        <w:rPr>
          <w:lang w:val="es-ES"/>
        </w:rPr>
        <w:t xml:space="preserve"> proporciona normas aplicables a nivel mundial para la presentación de información sobre impactos, gestión y resultados en materia de diversidad biológica; y las Normas Europeas de Información sobre Sostenibilidad establecen requisitos de divulgación de datos relacionados con la naturaleza que deben cumplir las empresas europeas sujetas a la normativa. Dado que el TNFD y las Normas Europeas de Información sobre Sostenibilidad tienen una fuerte interoperabilidad con las normas de la Global </w:t>
      </w:r>
      <w:proofErr w:type="spellStart"/>
      <w:r w:rsidRPr="005E3D50">
        <w:rPr>
          <w:lang w:val="es-ES"/>
        </w:rPr>
        <w:t>Reporting</w:t>
      </w:r>
      <w:proofErr w:type="spellEnd"/>
      <w:r w:rsidRPr="005E3D50">
        <w:rPr>
          <w:lang w:val="es-ES"/>
        </w:rPr>
        <w:t xml:space="preserve"> </w:t>
      </w:r>
      <w:proofErr w:type="spellStart"/>
      <w:r w:rsidRPr="005E3D50">
        <w:rPr>
          <w:lang w:val="es-ES"/>
        </w:rPr>
        <w:t>Initiative</w:t>
      </w:r>
      <w:proofErr w:type="spellEnd"/>
      <w:r w:rsidRPr="005E3D50">
        <w:rPr>
          <w:lang w:val="es-ES"/>
        </w:rPr>
        <w:t>, ofrecen una base empírica rica y coherente para la implementación.</w:t>
      </w:r>
    </w:p>
    <w:p w14:paraId="1DFEAF01" w14:textId="77777777" w:rsidR="009713BF" w:rsidRPr="005E3D50" w:rsidRDefault="009713BF" w:rsidP="009713BF">
      <w:pPr>
        <w:rPr>
          <w:lang w:val="es-ES"/>
        </w:rPr>
      </w:pPr>
    </w:p>
    <w:p w14:paraId="4E8C73A8"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416" w:name="_Toc235821243"/>
      <w:bookmarkStart w:id="417" w:name="_Toc239069212"/>
      <w:bookmarkStart w:id="418" w:name="_Toc980791050"/>
      <w:bookmarkStart w:id="419" w:name="_Toc242882990"/>
      <w:r w:rsidRPr="005E3D50">
        <w:rPr>
          <w:rFonts w:eastAsiaTheme="majorEastAsia" w:cstheme="majorBidi"/>
          <w:b/>
          <w:iCs/>
          <w:color w:val="0F4761" w:themeColor="accent1" w:themeShade="BF"/>
          <w:lang w:val="es-ES"/>
        </w:rPr>
        <w:t>Meta 16</w:t>
      </w:r>
      <w:r w:rsidRPr="005E3D50">
        <w:rPr>
          <w:rFonts w:eastAsiaTheme="majorEastAsia" w:cstheme="majorBidi"/>
          <w:iCs/>
          <w:color w:val="0F4761" w:themeColor="accent1" w:themeShade="BF"/>
          <w:lang w:val="es-ES"/>
        </w:rPr>
        <w:t>.</w:t>
      </w:r>
      <w:r w:rsidRPr="005E3D50">
        <w:rPr>
          <w:rFonts w:eastAsiaTheme="majorEastAsia" w:cstheme="majorBidi"/>
          <w:i/>
          <w:iCs/>
          <w:color w:val="0F4761" w:themeColor="accent1" w:themeShade="BF"/>
          <w:lang w:val="es-ES"/>
        </w:rPr>
        <w:t xml:space="preserve"> </w:t>
      </w:r>
      <w:r w:rsidRPr="005E3D50">
        <w:rPr>
          <w:rFonts w:eastAsiaTheme="majorEastAsia" w:cstheme="majorBidi"/>
          <w:iCs/>
          <w:color w:val="0F4761" w:themeColor="accent1" w:themeShade="BF"/>
          <w:lang w:val="es-ES"/>
        </w:rPr>
        <w:t>Promover la elección de opciones de consumo sostenible para reducir el desperdicio y el consumo excesivo</w:t>
      </w:r>
      <w:bookmarkEnd w:id="416"/>
      <w:bookmarkEnd w:id="417"/>
      <w:bookmarkEnd w:id="418"/>
      <w:bookmarkEnd w:id="419"/>
    </w:p>
    <w:p w14:paraId="7D3DDA01" w14:textId="77777777" w:rsidR="009713BF" w:rsidRPr="005E3D50" w:rsidRDefault="009713BF" w:rsidP="009713BF">
      <w:pPr>
        <w:rPr>
          <w:lang w:val="es-ES"/>
        </w:rPr>
      </w:pPr>
    </w:p>
    <w:p w14:paraId="48E160BC" w14:textId="77777777" w:rsidR="009713BF" w:rsidRPr="005E3D50" w:rsidRDefault="009713BF" w:rsidP="009713BF">
      <w:pPr>
        <w:rPr>
          <w:i/>
          <w:iCs/>
          <w:sz w:val="22"/>
          <w:szCs w:val="22"/>
          <w:lang w:val="es-ES"/>
        </w:rPr>
      </w:pPr>
      <w:r w:rsidRPr="005E3D50">
        <w:rPr>
          <w:b/>
          <w:lang w:val="es-ES"/>
        </w:rPr>
        <w:t>Texto de la meta</w:t>
      </w:r>
      <w:r w:rsidRPr="005E3D50">
        <w:rPr>
          <w:lang w:val="es-ES"/>
        </w:rPr>
        <w:t>.</w:t>
      </w:r>
      <w:r w:rsidRPr="005E3D50">
        <w:rPr>
          <w:i/>
          <w:lang w:val="es-ES"/>
        </w:rPr>
        <w:t xml:space="preserve"> </w:t>
      </w:r>
      <w:r w:rsidRPr="005E3D50">
        <w:rPr>
          <w:i/>
          <w:sz w:val="22"/>
          <w:lang w:val="es-ES"/>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0948D641" w14:textId="77777777" w:rsidR="009713BF" w:rsidRPr="005E3D50" w:rsidRDefault="009713BF" w:rsidP="009713BF">
      <w:pPr>
        <w:rPr>
          <w:lang w:val="es-ES"/>
        </w:rPr>
      </w:pPr>
    </w:p>
    <w:p w14:paraId="4A5039C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2A1DEC0D" w14:textId="77777777" w:rsidTr="006E6831">
        <w:tc>
          <w:tcPr>
            <w:tcW w:w="9016" w:type="dxa"/>
            <w:shd w:val="clear" w:color="auto" w:fill="D1D1D1" w:themeFill="background2" w:themeFillShade="E6"/>
          </w:tcPr>
          <w:p w14:paraId="02C6648A" w14:textId="77777777" w:rsidR="009713BF" w:rsidRPr="005E3D50" w:rsidRDefault="009713BF" w:rsidP="009713BF">
            <w:pPr>
              <w:rPr>
                <w:rFonts w:ascii="Aptos" w:eastAsia="Times New Roman" w:hAnsi="Aptos" w:cs="Calibri"/>
                <w:color w:val="000000"/>
                <w:kern w:val="0"/>
                <w:lang w:val="es-ES" w:eastAsia="en-GB"/>
                <w14:ligatures w14:val="none"/>
              </w:rPr>
            </w:pPr>
          </w:p>
          <w:p w14:paraId="100BA74D" w14:textId="77777777" w:rsidR="009713BF" w:rsidRPr="005E3D50" w:rsidRDefault="009713BF" w:rsidP="009713BF">
            <w:pPr>
              <w:rPr>
                <w:rFonts w:eastAsia="Times New Roman" w:cs="Times New Roman"/>
                <w:color w:val="000000"/>
                <w:kern w:val="0"/>
                <w:lang w:val="es-ES" w:eastAsia="en-GB"/>
                <w14:ligatures w14:val="none"/>
              </w:rPr>
            </w:pPr>
            <w:r w:rsidRPr="005E3D50">
              <w:rPr>
                <w:rFonts w:eastAsia="Times New Roman" w:cs="Times New Roman"/>
                <w:color w:val="000000"/>
                <w:kern w:val="0"/>
                <w:szCs w:val="17"/>
                <w:lang w:val="es-ES" w:eastAsia="en-GB"/>
                <w14:ligatures w14:val="none"/>
              </w:rPr>
              <w:t>La mayoría de los aspectos de la meta 16 no se abordan adecuadamente en las metas nacionales, pero se está avanzando en la implementación de instrumentos de políticas pertinentes. Menos de la mitad de las Partes cuyas metas nacionales fueron considerados en el informe mundial han abordado elementos individuales de la Meta 16. Se informa que se han logrado ciertos progresos satisfactorios en el establecimiento de políticas y mecanismos para fomentar el consumo sostenible, pero en cuanto a medidas concretas dirigidas a abordar el desperdicio de alimentos, el consumo excesivo y la gestión de desechos, estas aún se están desarrollando. En sus autoevaluaciones, las Partes cuyos informes nacionales estaban disponibles para ser analizados reconocen que hubo progresos insuficientes en la mayoría (70 %) de las metas nacionales relacionadas con la meta 16. Las Partes comunican que existen dificultades importantes, entre las que se incluyen la falta de instalaciones adecuadas para la gestión de desechos; la falta de financiación y de aplicación de la normativa; la débil aplicación del principio de responsabilidad ampliada de los productores; y la persistencia de grandes huellas materiales en algunos países.</w:t>
            </w:r>
          </w:p>
        </w:tc>
      </w:tr>
    </w:tbl>
    <w:p w14:paraId="58F5663E" w14:textId="77777777" w:rsidR="009713BF" w:rsidRPr="005E3D50" w:rsidRDefault="009713BF" w:rsidP="009713BF">
      <w:pPr>
        <w:rPr>
          <w:b/>
          <w:bCs/>
          <w:i/>
          <w:iCs/>
          <w:sz w:val="22"/>
          <w:szCs w:val="22"/>
          <w:lang w:val="es-ES"/>
        </w:rPr>
      </w:pPr>
    </w:p>
    <w:p w14:paraId="59604937"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Grado en que las Partes cubren el alcance de la meta 16 del Marco en sus metas nacionales</w:t>
      </w:r>
    </w:p>
    <w:p w14:paraId="5DE5A403" w14:textId="77777777" w:rsidR="009713BF" w:rsidRPr="005E3D50" w:rsidRDefault="009713BF" w:rsidP="009713BF">
      <w:pPr>
        <w:keepNext/>
        <w:keepLines/>
        <w:rPr>
          <w:b/>
          <w:bCs/>
          <w:i/>
          <w:iCs/>
          <w:sz w:val="22"/>
          <w:szCs w:val="22"/>
          <w:lang w:val="es-ES"/>
        </w:rPr>
      </w:pPr>
    </w:p>
    <w:p w14:paraId="4DD1E98C" w14:textId="77777777" w:rsidR="009713BF" w:rsidRPr="005E3D50" w:rsidRDefault="009713BF" w:rsidP="009713BF">
      <w:pPr>
        <w:keepNext/>
        <w:keepLines/>
        <w:rPr>
          <w:sz w:val="20"/>
          <w:szCs w:val="20"/>
          <w:lang w:val="es-ES"/>
        </w:rPr>
      </w:pPr>
      <w:bookmarkStart w:id="420" w:name="_Ref230776321"/>
      <w:r w:rsidRPr="005E3D50">
        <w:rPr>
          <w:sz w:val="20"/>
          <w:lang w:val="es-ES"/>
        </w:rPr>
        <w:t>Cuadro 35</w:t>
      </w:r>
      <w:bookmarkStart w:id="421" w:name="_Ref231217040"/>
      <w:bookmarkEnd w:id="420"/>
    </w:p>
    <w:p w14:paraId="08F96D44" w14:textId="77777777" w:rsidR="009713BF" w:rsidRPr="005E3D50" w:rsidRDefault="009713BF" w:rsidP="009713BF">
      <w:pPr>
        <w:keepNext/>
        <w:keepLines/>
        <w:rPr>
          <w:b/>
          <w:bCs/>
          <w:i/>
          <w:iCs/>
          <w:sz w:val="20"/>
          <w:szCs w:val="20"/>
          <w:lang w:val="es-ES"/>
        </w:rPr>
      </w:pPr>
      <w:r w:rsidRPr="005E3D50">
        <w:rPr>
          <w:b/>
          <w:sz w:val="20"/>
          <w:lang w:val="es-ES"/>
        </w:rPr>
        <w:t xml:space="preserve">Elementos de la meta 16 del Marco y cómo se abordan en las metas </w:t>
      </w:r>
      <w:proofErr w:type="spellStart"/>
      <w:r w:rsidRPr="005E3D50">
        <w:rPr>
          <w:b/>
          <w:sz w:val="20"/>
          <w:lang w:val="es-ES"/>
        </w:rPr>
        <w:t>nacionales</w:t>
      </w:r>
      <w:r w:rsidRPr="005E3D50">
        <w:rPr>
          <w:sz w:val="20"/>
          <w:vertAlign w:val="superscript"/>
          <w:lang w:val="es-ES"/>
        </w:rPr>
        <w:t>a</w:t>
      </w:r>
      <w:bookmarkEnd w:id="421"/>
      <w:proofErr w:type="spellEnd"/>
    </w:p>
    <w:tbl>
      <w:tblPr>
        <w:tblStyle w:val="TableGrid"/>
        <w:tblW w:w="0" w:type="auto"/>
        <w:tblLook w:val="04A0" w:firstRow="1" w:lastRow="0" w:firstColumn="1" w:lastColumn="0" w:noHBand="0" w:noVBand="1"/>
      </w:tblPr>
      <w:tblGrid>
        <w:gridCol w:w="8500"/>
        <w:gridCol w:w="516"/>
      </w:tblGrid>
      <w:tr w:rsidR="009713BF" w:rsidRPr="005E3D50" w14:paraId="792D726F" w14:textId="77777777" w:rsidTr="006E6831">
        <w:tc>
          <w:tcPr>
            <w:tcW w:w="8500" w:type="dxa"/>
            <w:tcMar>
              <w:top w:w="29" w:type="dxa"/>
              <w:left w:w="115" w:type="dxa"/>
              <w:bottom w:w="29" w:type="dxa"/>
              <w:right w:w="115" w:type="dxa"/>
            </w:tcMar>
            <w:vAlign w:val="center"/>
          </w:tcPr>
          <w:p w14:paraId="63E16F2A" w14:textId="77777777" w:rsidR="009713BF" w:rsidRPr="005E3D50" w:rsidRDefault="009713BF" w:rsidP="009713BF">
            <w:pPr>
              <w:keepNext/>
              <w:keepLines/>
              <w:autoSpaceDE w:val="0"/>
              <w:autoSpaceDN w:val="0"/>
              <w:adjustRightInd w:val="0"/>
              <w:rPr>
                <w:rFonts w:cs="Times New Roman"/>
                <w:kern w:val="0"/>
                <w:sz w:val="21"/>
                <w:szCs w:val="21"/>
                <w:lang w:val="es-ES"/>
              </w:rPr>
            </w:pPr>
            <w:r w:rsidRPr="005E3D50">
              <w:rPr>
                <w:sz w:val="21"/>
                <w:lang w:val="es-ES"/>
              </w:rPr>
              <w:t>Garantizar que se aliente y apoye a las personas para que elijan opciones de consumo sostenible mediante el establecimiento de marcos de políticas, legislativos y normativos</w:t>
            </w:r>
          </w:p>
        </w:tc>
        <w:tc>
          <w:tcPr>
            <w:tcW w:w="516" w:type="dxa"/>
            <w:shd w:val="clear" w:color="auto" w:fill="FFFF00"/>
            <w:tcMar>
              <w:top w:w="29" w:type="dxa"/>
              <w:left w:w="115" w:type="dxa"/>
              <w:bottom w:w="29" w:type="dxa"/>
              <w:right w:w="115" w:type="dxa"/>
            </w:tcMar>
            <w:vAlign w:val="center"/>
          </w:tcPr>
          <w:p w14:paraId="5A729791" w14:textId="77777777" w:rsidR="009713BF" w:rsidRPr="005E3D50" w:rsidRDefault="009713BF" w:rsidP="009713BF">
            <w:pPr>
              <w:keepNext/>
              <w:keepLines/>
              <w:rPr>
                <w:lang w:val="es-ES"/>
              </w:rPr>
            </w:pPr>
            <w:r w:rsidRPr="005E3D50">
              <w:rPr>
                <w:lang w:val="es-ES"/>
              </w:rPr>
              <w:t>47</w:t>
            </w:r>
          </w:p>
        </w:tc>
      </w:tr>
      <w:tr w:rsidR="009713BF" w:rsidRPr="005E3D50" w14:paraId="4D9EA0F5" w14:textId="77777777" w:rsidTr="006E6831">
        <w:tc>
          <w:tcPr>
            <w:tcW w:w="8500" w:type="dxa"/>
            <w:tcMar>
              <w:top w:w="29" w:type="dxa"/>
              <w:left w:w="115" w:type="dxa"/>
              <w:bottom w:w="29" w:type="dxa"/>
              <w:right w:w="115" w:type="dxa"/>
            </w:tcMar>
            <w:vAlign w:val="center"/>
          </w:tcPr>
          <w:p w14:paraId="5F8C0794" w14:textId="77777777" w:rsidR="009713BF" w:rsidRPr="005E3D50" w:rsidRDefault="009713BF" w:rsidP="009713BF">
            <w:pPr>
              <w:keepNext/>
              <w:keepLines/>
              <w:rPr>
                <w:sz w:val="21"/>
                <w:szCs w:val="21"/>
                <w:lang w:val="es-ES"/>
              </w:rPr>
            </w:pPr>
            <w:r w:rsidRPr="005E3D50">
              <w:rPr>
                <w:sz w:val="21"/>
                <w:lang w:val="es-ES"/>
              </w:rPr>
              <w:t>Garantizar que se aliente y apoye a las personas para que elijan opciones de consumo sostenible mediante la mejora de la enseñanza y el acceso a información pertinente y precisa y a alternativas</w:t>
            </w:r>
          </w:p>
        </w:tc>
        <w:tc>
          <w:tcPr>
            <w:tcW w:w="516" w:type="dxa"/>
            <w:shd w:val="clear" w:color="auto" w:fill="FFFF00"/>
            <w:tcMar>
              <w:top w:w="29" w:type="dxa"/>
              <w:left w:w="115" w:type="dxa"/>
              <w:bottom w:w="29" w:type="dxa"/>
              <w:right w:w="115" w:type="dxa"/>
            </w:tcMar>
            <w:vAlign w:val="center"/>
          </w:tcPr>
          <w:p w14:paraId="1A0BB154" w14:textId="77777777" w:rsidR="009713BF" w:rsidRPr="005E3D50" w:rsidRDefault="009713BF" w:rsidP="009713BF">
            <w:pPr>
              <w:keepNext/>
              <w:keepLines/>
              <w:rPr>
                <w:lang w:val="es-ES"/>
              </w:rPr>
            </w:pPr>
            <w:r w:rsidRPr="005E3D50">
              <w:rPr>
                <w:lang w:val="es-ES"/>
              </w:rPr>
              <w:t>46</w:t>
            </w:r>
          </w:p>
        </w:tc>
      </w:tr>
      <w:tr w:rsidR="009713BF" w:rsidRPr="005E3D50" w14:paraId="523C4987" w14:textId="77777777" w:rsidTr="006E6831">
        <w:tc>
          <w:tcPr>
            <w:tcW w:w="8500" w:type="dxa"/>
            <w:tcMar>
              <w:top w:w="29" w:type="dxa"/>
              <w:left w:w="115" w:type="dxa"/>
              <w:bottom w:w="29" w:type="dxa"/>
              <w:right w:w="115" w:type="dxa"/>
            </w:tcMar>
            <w:vAlign w:val="center"/>
          </w:tcPr>
          <w:p w14:paraId="5991AEBE"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Para 2030, reducir la huella mundial del consumo de manera equitativa</w:t>
            </w:r>
          </w:p>
        </w:tc>
        <w:tc>
          <w:tcPr>
            <w:tcW w:w="516" w:type="dxa"/>
            <w:shd w:val="clear" w:color="auto" w:fill="FFC000"/>
            <w:tcMar>
              <w:top w:w="29" w:type="dxa"/>
              <w:left w:w="115" w:type="dxa"/>
              <w:bottom w:w="29" w:type="dxa"/>
              <w:right w:w="115" w:type="dxa"/>
            </w:tcMar>
            <w:vAlign w:val="center"/>
          </w:tcPr>
          <w:p w14:paraId="44E9A3C3" w14:textId="77777777" w:rsidR="009713BF" w:rsidRPr="005E3D50" w:rsidRDefault="009713BF" w:rsidP="009713BF">
            <w:pPr>
              <w:rPr>
                <w:lang w:val="es-ES"/>
              </w:rPr>
            </w:pPr>
            <w:r w:rsidRPr="005E3D50">
              <w:rPr>
                <w:lang w:val="es-ES"/>
              </w:rPr>
              <w:t>26</w:t>
            </w:r>
          </w:p>
        </w:tc>
      </w:tr>
      <w:tr w:rsidR="009713BF" w:rsidRPr="005E3D50" w14:paraId="66BBFBAA" w14:textId="77777777" w:rsidTr="006E6831">
        <w:tc>
          <w:tcPr>
            <w:tcW w:w="8500" w:type="dxa"/>
            <w:tcMar>
              <w:top w:w="29" w:type="dxa"/>
              <w:left w:w="115" w:type="dxa"/>
              <w:bottom w:w="29" w:type="dxa"/>
              <w:right w:w="115" w:type="dxa"/>
            </w:tcMar>
            <w:vAlign w:val="center"/>
          </w:tcPr>
          <w:p w14:paraId="6DDDAA24" w14:textId="77777777" w:rsidR="009713BF" w:rsidRPr="005E3D50" w:rsidRDefault="009713BF" w:rsidP="009713BF">
            <w:pPr>
              <w:rPr>
                <w:lang w:val="es-ES"/>
              </w:rPr>
            </w:pPr>
            <w:r w:rsidRPr="005E3D50">
              <w:rPr>
                <w:sz w:val="21"/>
                <w:lang w:val="es-ES"/>
              </w:rPr>
              <w:t>Para 2030, reducir a la mitad el desperdicio mundial de alimentos</w:t>
            </w:r>
          </w:p>
        </w:tc>
        <w:tc>
          <w:tcPr>
            <w:tcW w:w="516" w:type="dxa"/>
            <w:shd w:val="clear" w:color="auto" w:fill="FFC000"/>
            <w:tcMar>
              <w:top w:w="29" w:type="dxa"/>
              <w:left w:w="115" w:type="dxa"/>
              <w:bottom w:w="29" w:type="dxa"/>
              <w:right w:w="115" w:type="dxa"/>
            </w:tcMar>
            <w:vAlign w:val="center"/>
          </w:tcPr>
          <w:p w14:paraId="6BD508B5" w14:textId="77777777" w:rsidR="009713BF" w:rsidRPr="005E3D50" w:rsidRDefault="009713BF" w:rsidP="009713BF">
            <w:pPr>
              <w:rPr>
                <w:lang w:val="es-ES"/>
              </w:rPr>
            </w:pPr>
            <w:r w:rsidRPr="005E3D50">
              <w:rPr>
                <w:lang w:val="es-ES"/>
              </w:rPr>
              <w:t>22</w:t>
            </w:r>
          </w:p>
        </w:tc>
      </w:tr>
      <w:tr w:rsidR="009713BF" w:rsidRPr="005E3D50" w14:paraId="1A62D406" w14:textId="77777777" w:rsidTr="006E6831">
        <w:tc>
          <w:tcPr>
            <w:tcW w:w="8500" w:type="dxa"/>
            <w:tcMar>
              <w:top w:w="29" w:type="dxa"/>
              <w:left w:w="115" w:type="dxa"/>
              <w:bottom w:w="29" w:type="dxa"/>
              <w:right w:w="115" w:type="dxa"/>
            </w:tcMar>
            <w:vAlign w:val="center"/>
          </w:tcPr>
          <w:p w14:paraId="54B2A8F6" w14:textId="77777777" w:rsidR="009713BF" w:rsidRPr="005E3D50" w:rsidRDefault="009713BF" w:rsidP="009713BF">
            <w:pPr>
              <w:rPr>
                <w:sz w:val="21"/>
                <w:szCs w:val="21"/>
                <w:lang w:val="es-ES"/>
              </w:rPr>
            </w:pPr>
            <w:r w:rsidRPr="005E3D50">
              <w:rPr>
                <w:sz w:val="21"/>
                <w:lang w:val="es-ES"/>
              </w:rPr>
              <w:t>Para 2030, reducir significativamente el consumo excesivo</w:t>
            </w:r>
          </w:p>
        </w:tc>
        <w:tc>
          <w:tcPr>
            <w:tcW w:w="516" w:type="dxa"/>
            <w:shd w:val="clear" w:color="auto" w:fill="FFC000"/>
            <w:tcMar>
              <w:top w:w="29" w:type="dxa"/>
              <w:left w:w="115" w:type="dxa"/>
              <w:bottom w:w="29" w:type="dxa"/>
              <w:right w:w="115" w:type="dxa"/>
            </w:tcMar>
            <w:vAlign w:val="center"/>
          </w:tcPr>
          <w:p w14:paraId="6508B709" w14:textId="77777777" w:rsidR="009713BF" w:rsidRPr="005E3D50" w:rsidRDefault="009713BF" w:rsidP="009713BF">
            <w:pPr>
              <w:rPr>
                <w:lang w:val="es-ES"/>
              </w:rPr>
            </w:pPr>
            <w:r w:rsidRPr="005E3D50">
              <w:rPr>
                <w:lang w:val="es-ES"/>
              </w:rPr>
              <w:t>38</w:t>
            </w:r>
          </w:p>
        </w:tc>
      </w:tr>
      <w:tr w:rsidR="009713BF" w:rsidRPr="005E3D50" w14:paraId="480B08BF" w14:textId="77777777" w:rsidTr="006E6831">
        <w:tc>
          <w:tcPr>
            <w:tcW w:w="8500" w:type="dxa"/>
            <w:tcMar>
              <w:top w:w="29" w:type="dxa"/>
              <w:left w:w="115" w:type="dxa"/>
              <w:bottom w:w="29" w:type="dxa"/>
              <w:right w:w="115" w:type="dxa"/>
            </w:tcMar>
          </w:tcPr>
          <w:p w14:paraId="5C6CB867" w14:textId="77777777" w:rsidR="009713BF" w:rsidRPr="005E3D50" w:rsidRDefault="009713BF" w:rsidP="009713BF">
            <w:pPr>
              <w:rPr>
                <w:sz w:val="21"/>
                <w:szCs w:val="21"/>
                <w:lang w:val="es-ES"/>
              </w:rPr>
            </w:pPr>
            <w:r w:rsidRPr="005E3D50">
              <w:rPr>
                <w:sz w:val="21"/>
                <w:lang w:val="es-ES"/>
              </w:rPr>
              <w:t>Para 2030, reducir sustancialmente la generación de desechos</w:t>
            </w:r>
          </w:p>
        </w:tc>
        <w:tc>
          <w:tcPr>
            <w:tcW w:w="516" w:type="dxa"/>
            <w:shd w:val="clear" w:color="auto" w:fill="FFFF00"/>
            <w:tcMar>
              <w:top w:w="29" w:type="dxa"/>
              <w:left w:w="115" w:type="dxa"/>
              <w:bottom w:w="29" w:type="dxa"/>
              <w:right w:w="115" w:type="dxa"/>
            </w:tcMar>
          </w:tcPr>
          <w:p w14:paraId="51EB3988" w14:textId="77777777" w:rsidR="009713BF" w:rsidRPr="005E3D50" w:rsidRDefault="009713BF" w:rsidP="009713BF">
            <w:pPr>
              <w:rPr>
                <w:lang w:val="es-ES"/>
              </w:rPr>
            </w:pPr>
            <w:r w:rsidRPr="005E3D50">
              <w:rPr>
                <w:lang w:val="es-ES"/>
              </w:rPr>
              <w:t>44</w:t>
            </w:r>
          </w:p>
        </w:tc>
      </w:tr>
      <w:tr w:rsidR="009713BF" w:rsidRPr="005E3D50" w14:paraId="4FBBF396" w14:textId="77777777" w:rsidTr="006E6831">
        <w:tc>
          <w:tcPr>
            <w:tcW w:w="9016" w:type="dxa"/>
            <w:gridSpan w:val="2"/>
            <w:tcMar>
              <w:top w:w="29" w:type="dxa"/>
              <w:bottom w:w="29" w:type="dxa"/>
            </w:tcMar>
          </w:tcPr>
          <w:p w14:paraId="6A5B6844" w14:textId="77777777" w:rsidR="009713BF" w:rsidRPr="005E3D50" w:rsidRDefault="009713BF" w:rsidP="009713BF">
            <w:pPr>
              <w:keepNext/>
              <w:rPr>
                <w:rFonts w:ascii="Times New Roman" w:eastAsia="Times New Roman" w:hAnsi="Times New Roman" w:cs="Times New Roman"/>
                <w:color w:val="000000"/>
                <w:kern w:val="0"/>
                <w:sz w:val="17"/>
                <w:szCs w:val="17"/>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37 % de estos elementos en sus metas nacionales</w:t>
            </w:r>
          </w:p>
        </w:tc>
      </w:tr>
    </w:tbl>
    <w:p w14:paraId="787C9722" w14:textId="77777777" w:rsidR="009713BF" w:rsidRPr="005E3D50" w:rsidRDefault="009713BF" w:rsidP="009713BF">
      <w:pPr>
        <w:rPr>
          <w:lang w:val="es-ES"/>
        </w:rPr>
      </w:pPr>
    </w:p>
    <w:p w14:paraId="5EBEE4CB"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5C5C19E2"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63"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64"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5459E0A5" w14:textId="77777777" w:rsidR="009713BF" w:rsidRPr="005E3D50" w:rsidRDefault="009713BF" w:rsidP="009713BF">
      <w:pPr>
        <w:rPr>
          <w:lang w:val="es-ES"/>
        </w:rPr>
      </w:pPr>
    </w:p>
    <w:p w14:paraId="170C0936" w14:textId="77777777" w:rsidR="009713BF" w:rsidRPr="005E3D50" w:rsidRDefault="009713BF" w:rsidP="009713BF">
      <w:pPr>
        <w:rPr>
          <w:lang w:val="es-ES"/>
        </w:rPr>
      </w:pPr>
      <w:r w:rsidRPr="005E3D50">
        <w:rPr>
          <w:lang w:val="es-ES"/>
        </w:rPr>
        <w:t xml:space="preserve">En hasta un 50 % de las Partes no se aborda en ninguna medida ni uno de los elementos de la meta 16 en las metas nacionales que estaban disponibles para ser consideradas en el informe mundial (véase el cuadro 35). Los elementos más abordados por las Partes tienen que ver con marcos de políticas, legislativos o normativos dirigidos a garantizar que se aliente y apoye a las personas para que elijan opciones de consumo sostenible (47 %) y a mejorar la enseñanza y el acceso a información pertinente y precisa y a alternativas (46 %). Un número más reducido de Partes abordan los objetivos específicos de la meta 16 de reducir sustancialmente la generación de desechos (44 %), reducir significativamente el consumo excesivo (38 %), reducir la huella mundial del consumo de manera equitativa (26 %) y reducir a la mitad el desperdicio mundial de alimentos (22 %). </w:t>
      </w:r>
    </w:p>
    <w:p w14:paraId="43CA2C57" w14:textId="77777777" w:rsidR="009713BF" w:rsidRPr="005E3D50" w:rsidRDefault="009713BF" w:rsidP="009713BF">
      <w:pPr>
        <w:rPr>
          <w:lang w:val="es-ES"/>
        </w:rPr>
      </w:pPr>
      <w:r w:rsidRPr="005E3D50">
        <w:rPr>
          <w:lang w:val="es-ES"/>
        </w:rPr>
        <w:t xml:space="preserve">Muy pocas Partes (12 %) han establecido metas nacionales cuantitativas de reducción del desperdicio de alimentos. De las Partes que han fijado tales metas, la mayoría (61 %) tienen el objetivo de reducir a la mitad el desperdicio de alimentos, en consonancia con la ambición mundial de la meta 16. El resto fijó valores que van de un 10 % a un 30 % de reducción del desperdicio de alimentos para 2030. </w:t>
      </w:r>
    </w:p>
    <w:p w14:paraId="3E13E9A3"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22" w:name="_Toc235821246"/>
      <w:r w:rsidRPr="005E3D50">
        <w:rPr>
          <w:rFonts w:eastAsiaTheme="majorEastAsia" w:cstheme="majorBidi"/>
          <w:color w:val="0F4761" w:themeColor="accent1" w:themeShade="BF"/>
          <w:lang w:val="es-ES"/>
        </w:rPr>
        <w:lastRenderedPageBreak/>
        <w:t>Indicadores de progresos</w:t>
      </w:r>
      <w:bookmarkEnd w:id="422"/>
    </w:p>
    <w:p w14:paraId="1CF6D880"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44DC6883"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bookmarkStart w:id="423" w:name="_Ref238993342"/>
      <w:r w:rsidRPr="005E3D50">
        <w:rPr>
          <w:rFonts w:eastAsiaTheme="minorEastAsia"/>
          <w:iCs/>
          <w:color w:val="0E2841" w:themeColor="text2"/>
          <w:kern w:val="0"/>
          <w:sz w:val="20"/>
          <w:szCs w:val="18"/>
          <w:lang w:val="es-ES" w:eastAsia="ja-JP"/>
          <w14:ligatures w14:val="none"/>
        </w:rPr>
        <w:t>Cuadro 36</w:t>
      </w:r>
      <w:bookmarkEnd w:id="423"/>
    </w:p>
    <w:p w14:paraId="56A24467"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16 del Marco</w:t>
      </w:r>
    </w:p>
    <w:tbl>
      <w:tblPr>
        <w:tblW w:w="10300" w:type="dxa"/>
        <w:tblLook w:val="04A0" w:firstRow="1" w:lastRow="0" w:firstColumn="1" w:lastColumn="0" w:noHBand="0" w:noVBand="1"/>
      </w:tblPr>
      <w:tblGrid>
        <w:gridCol w:w="3240"/>
        <w:gridCol w:w="3145"/>
        <w:gridCol w:w="695"/>
        <w:gridCol w:w="2620"/>
        <w:gridCol w:w="600"/>
      </w:tblGrid>
      <w:tr w:rsidR="009713BF" w:rsidRPr="005E3D50" w14:paraId="6ED98D4C"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702F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r w:rsidRPr="005E3D50">
              <w:rPr>
                <w:lang w:val="es-ES"/>
              </w:rPr>
              <w:t xml:space="preserve"> </w:t>
            </w:r>
          </w:p>
        </w:tc>
        <w:tc>
          <w:tcPr>
            <w:tcW w:w="3840" w:type="dxa"/>
            <w:gridSpan w:val="2"/>
            <w:tcBorders>
              <w:top w:val="single" w:sz="4" w:space="0" w:color="auto"/>
              <w:left w:val="nil"/>
              <w:bottom w:val="single" w:sz="4" w:space="0" w:color="auto"/>
              <w:right w:val="single" w:sz="4" w:space="0" w:color="auto"/>
            </w:tcBorders>
            <w:vAlign w:val="center"/>
          </w:tcPr>
          <w:p w14:paraId="35A914D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220" w:type="dxa"/>
            <w:gridSpan w:val="2"/>
            <w:tcBorders>
              <w:top w:val="single" w:sz="4" w:space="0" w:color="auto"/>
              <w:left w:val="nil"/>
              <w:bottom w:val="single" w:sz="4" w:space="0" w:color="auto"/>
              <w:right w:val="single" w:sz="4" w:space="0" w:color="auto"/>
            </w:tcBorders>
            <w:vAlign w:val="center"/>
          </w:tcPr>
          <w:p w14:paraId="32908F6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1ABEB968"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0E8FA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16.b: número de países que elaboran, adoptan o aplican instrumentos de políticas dirigidos a alentar y apoyar a las personas para que elijan opciones de consumo sostenible</w:t>
            </w:r>
          </w:p>
        </w:tc>
        <w:tc>
          <w:tcPr>
            <w:tcW w:w="3145" w:type="dxa"/>
            <w:tcBorders>
              <w:top w:val="single" w:sz="4" w:space="0" w:color="auto"/>
              <w:left w:val="nil"/>
              <w:bottom w:val="single" w:sz="4" w:space="0" w:color="auto"/>
              <w:right w:val="single" w:sz="4" w:space="0" w:color="auto"/>
            </w:tcBorders>
            <w:vAlign w:val="center"/>
            <w:hideMark/>
          </w:tcPr>
          <w:p w14:paraId="68A8C01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695" w:type="dxa"/>
            <w:tcBorders>
              <w:top w:val="single" w:sz="4" w:space="0" w:color="auto"/>
              <w:left w:val="nil"/>
              <w:bottom w:val="single" w:sz="4" w:space="0" w:color="auto"/>
              <w:right w:val="single" w:sz="4" w:space="0" w:color="auto"/>
            </w:tcBorders>
            <w:vAlign w:val="center"/>
            <w:hideMark/>
          </w:tcPr>
          <w:p w14:paraId="2CDD4F4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 xml:space="preserve">n. </w:t>
            </w:r>
            <w:proofErr w:type="spellStart"/>
            <w:proofErr w:type="gramStart"/>
            <w:r w:rsidRPr="005E3D50">
              <w:rPr>
                <w:sz w:val="20"/>
                <w:lang w:val="es-ES"/>
              </w:rPr>
              <w:t>a.</w:t>
            </w:r>
            <w:r w:rsidRPr="005E3D50">
              <w:rPr>
                <w:sz w:val="20"/>
                <w:vertAlign w:val="superscript"/>
                <w:lang w:val="es-ES"/>
              </w:rPr>
              <w:t>a</w:t>
            </w:r>
            <w:proofErr w:type="spellEnd"/>
            <w:proofErr w:type="gramEnd"/>
          </w:p>
        </w:tc>
        <w:tc>
          <w:tcPr>
            <w:tcW w:w="2620" w:type="dxa"/>
            <w:tcBorders>
              <w:top w:val="single" w:sz="4" w:space="0" w:color="auto"/>
              <w:left w:val="nil"/>
              <w:bottom w:val="single" w:sz="4" w:space="0" w:color="auto"/>
              <w:right w:val="single" w:sz="4" w:space="0" w:color="auto"/>
            </w:tcBorders>
            <w:vAlign w:val="center"/>
            <w:hideMark/>
          </w:tcPr>
          <w:p w14:paraId="413811D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El 69 % de las Partes tuvieron una puntuación alta (puntuación de 4 o 5)</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F1243C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7C580099"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B804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3145" w:type="dxa"/>
            <w:tcBorders>
              <w:top w:val="single" w:sz="4" w:space="0" w:color="auto"/>
              <w:left w:val="nil"/>
              <w:bottom w:val="single" w:sz="4" w:space="0" w:color="auto"/>
              <w:right w:val="single" w:sz="4" w:space="0" w:color="auto"/>
            </w:tcBorders>
            <w:vAlign w:val="center"/>
            <w:hideMark/>
          </w:tcPr>
          <w:p w14:paraId="7CD51827"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25 </w:t>
            </w:r>
            <w:proofErr w:type="gramStart"/>
            <w:r w:rsidRPr="005E3D50">
              <w:rPr>
                <w:sz w:val="20"/>
                <w:lang w:val="es-ES"/>
              </w:rPr>
              <w:t>Partes</w:t>
            </w:r>
            <w:proofErr w:type="gramEnd"/>
            <w:r w:rsidRPr="005E3D50">
              <w:rPr>
                <w:sz w:val="20"/>
                <w:lang w:val="es-ES"/>
              </w:rPr>
              <w:t>, 19 %</w:t>
            </w:r>
          </w:p>
        </w:tc>
        <w:tc>
          <w:tcPr>
            <w:tcW w:w="695" w:type="dxa"/>
            <w:tcBorders>
              <w:top w:val="single" w:sz="4" w:space="0" w:color="auto"/>
              <w:left w:val="nil"/>
              <w:bottom w:val="single" w:sz="4" w:space="0" w:color="auto"/>
              <w:right w:val="single" w:sz="4" w:space="0" w:color="auto"/>
            </w:tcBorders>
            <w:shd w:val="clear" w:color="auto" w:fill="C00000"/>
            <w:vAlign w:val="center"/>
            <w:hideMark/>
          </w:tcPr>
          <w:p w14:paraId="160C93B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7B8CB85C" w14:textId="77777777" w:rsidR="009713BF" w:rsidRPr="005E3D50" w:rsidRDefault="009713BF" w:rsidP="009713BF">
            <w:pPr>
              <w:jc w:val="center"/>
              <w:rPr>
                <w:sz w:val="20"/>
                <w:szCs w:val="20"/>
                <w:lang w:val="es-ES"/>
              </w:rPr>
            </w:pPr>
            <w:r w:rsidRPr="005E3D50">
              <w:rPr>
                <w:sz w:val="20"/>
                <w:lang w:val="es-ES"/>
              </w:rPr>
              <w:t>32 % registran tendencias positivas</w:t>
            </w:r>
          </w:p>
          <w:p w14:paraId="6089A78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16 % registran tendencias negativas</w:t>
            </w:r>
          </w:p>
        </w:tc>
        <w:tc>
          <w:tcPr>
            <w:tcW w:w="600" w:type="dxa"/>
            <w:tcBorders>
              <w:top w:val="single" w:sz="4" w:space="0" w:color="auto"/>
              <w:left w:val="nil"/>
              <w:bottom w:val="single" w:sz="4" w:space="0" w:color="auto"/>
              <w:right w:val="single" w:sz="4" w:space="0" w:color="auto"/>
            </w:tcBorders>
            <w:shd w:val="clear" w:color="auto" w:fill="FFC000"/>
            <w:vAlign w:val="center"/>
            <w:hideMark/>
          </w:tcPr>
          <w:p w14:paraId="1BED5EBC"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571BF786"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66F3B8F4"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2F0B4A59"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5F300CC6"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5166FCF8" w14:textId="77777777" w:rsidR="009713BF" w:rsidRPr="005E3D50" w:rsidRDefault="009713BF" w:rsidP="009713BF">
      <w:pPr>
        <w:rPr>
          <w:lang w:val="es-ES"/>
        </w:rPr>
      </w:pPr>
      <w:r w:rsidRPr="005E3D50">
        <w:rPr>
          <w:lang w:val="es-ES"/>
        </w:rPr>
        <w:t xml:space="preserve">El marco de seguimiento no incluye un indicador de cabecera específico para la meta 16. La mayoría de las Partes tuvieron una puntuación alta en el indicador binario de la meta, lo que estaría indicando que se lograron en general progresos en cuanto a la elaboración de instrumentos de políticas para alentar y apoyar a las personas para que elijan opciones de consumo sostenible </w:t>
      </w:r>
      <w:r w:rsidRPr="005E3D50">
        <w:rPr>
          <w:rFonts w:ascii="Aptos" w:hAnsi="Aptos"/>
          <w:lang w:val="es-ES"/>
        </w:rPr>
        <w:t xml:space="preserve">(véase el </w:t>
      </w:r>
      <w:r w:rsidRPr="005E3D50">
        <w:rPr>
          <w:lang w:val="es-ES"/>
        </w:rPr>
        <w:t>cuadro 36</w:t>
      </w:r>
      <w:r w:rsidRPr="005E3D50">
        <w:rPr>
          <w:rFonts w:ascii="Aptos" w:hAnsi="Aptos"/>
          <w:lang w:val="es-ES"/>
        </w:rPr>
        <w:t xml:space="preserve"> y la </w:t>
      </w:r>
      <w:r w:rsidRPr="005E3D50">
        <w:rPr>
          <w:lang w:val="es-ES"/>
        </w:rPr>
        <w:t>figura 67</w:t>
      </w:r>
      <w:r w:rsidRPr="005E3D50">
        <w:rPr>
          <w:rFonts w:ascii="Aptos" w:hAnsi="Aptos"/>
          <w:lang w:val="es-ES"/>
        </w:rPr>
        <w:t xml:space="preserve">). </w:t>
      </w:r>
      <w:r w:rsidRPr="005E3D50">
        <w:rPr>
          <w:lang w:val="es-ES"/>
        </w:rPr>
        <w:t xml:space="preserve">El indicador binario no capta tendencias relacionadas con cambios en las modalidades de consumo o con presiones sobre la diversidad biológica relacionadas con el consumo. Los mayores progresos se registraron en el establecimiento de mecanismos, políticas, marcos legislativos y medidas normativas para apoyar el consumo sostenible. No obstante, con respecto a medidas tendientes a alentar y apoyar reducciones en el desperdicio de alimentos, el consumo excesivo y la generación de desechos, el número de Partes que informa que tales medidas aún están en fase de desarrollo o no se han implementado es mayor que el número de </w:t>
      </w:r>
      <w:r w:rsidRPr="005E3D50">
        <w:rPr>
          <w:lang w:val="es-ES"/>
        </w:rPr>
        <w:lastRenderedPageBreak/>
        <w:t xml:space="preserve">Partes que informa que ya se han implementado tales medidas. Los progresos alcanzados en la mejora de la educación y la conciencia sobre los impactos que tiene el consumo en la diversidad biológica también son mayormente parciales. </w:t>
      </w:r>
    </w:p>
    <w:p w14:paraId="7703854A" w14:textId="77777777" w:rsidR="009713BF" w:rsidRPr="005E3D50" w:rsidRDefault="009713BF" w:rsidP="009713BF">
      <w:pPr>
        <w:rPr>
          <w:rFonts w:ascii="Aptos" w:hAnsi="Aptos"/>
          <w:lang w:val="es-ES"/>
        </w:rPr>
      </w:pPr>
      <w:r w:rsidRPr="005E3D50">
        <w:rPr>
          <w:lang w:val="es-ES"/>
        </w:rPr>
        <w:t xml:space="preserve">Casi un quinto (19 %) de las Partes presentaron indicadores adicionales, la mayoría de ellos relacionados con gestión de desechos, reciclaje o reducción de la huella de consumo. Entre los indicadores comunicados son pocos los que abordan la reducción del consumo excesivo. El análisis muestra tendencias variadas para estos indicadores y en esta etapa es difícil extraer conclusiones generales sobre elementos tan distintos de la meta </w:t>
      </w:r>
      <w:r w:rsidRPr="005E3D50">
        <w:rPr>
          <w:rFonts w:ascii="Aptos" w:hAnsi="Aptos"/>
          <w:lang w:val="es-ES"/>
        </w:rPr>
        <w:t xml:space="preserve">(véase la </w:t>
      </w:r>
      <w:r w:rsidRPr="005E3D50">
        <w:rPr>
          <w:lang w:val="es-ES"/>
        </w:rPr>
        <w:t>figura 68</w:t>
      </w:r>
      <w:r w:rsidRPr="005E3D50">
        <w:rPr>
          <w:rFonts w:ascii="Aptos" w:hAnsi="Aptos"/>
          <w:lang w:val="es-ES"/>
        </w:rPr>
        <w:t>).</w:t>
      </w:r>
    </w:p>
    <w:p w14:paraId="5D1D67DC" w14:textId="77777777" w:rsidR="009713BF" w:rsidRPr="005E3D50" w:rsidRDefault="009713BF" w:rsidP="009713BF">
      <w:pPr>
        <w:rPr>
          <w:lang w:val="es-ES"/>
        </w:rPr>
      </w:pPr>
      <w:r w:rsidRPr="005E3D50">
        <w:rPr>
          <w:lang w:val="es-ES"/>
        </w:rPr>
        <w:t>En general, el análisis sugiere que las Partes están tomando medidas tendientes a lograr la meta 16, pero con los datos presentados no es posible determinar el impacto que tienen esas medidas en las modalidades de consumo.</w:t>
      </w:r>
    </w:p>
    <w:p w14:paraId="4C26460D" w14:textId="77777777" w:rsidR="009713BF" w:rsidRPr="005E3D50" w:rsidRDefault="009713BF" w:rsidP="009713BF">
      <w:pPr>
        <w:rPr>
          <w:lang w:val="es-ES"/>
        </w:rPr>
      </w:pPr>
    </w:p>
    <w:p w14:paraId="735A4679" w14:textId="77777777" w:rsidR="009713BF" w:rsidRPr="005E3D50" w:rsidRDefault="009713BF" w:rsidP="009713BF">
      <w:pPr>
        <w:rPr>
          <w:sz w:val="20"/>
          <w:szCs w:val="20"/>
          <w:lang w:val="es-ES"/>
        </w:rPr>
      </w:pPr>
      <w:r w:rsidRPr="005E3D50">
        <w:rPr>
          <w:sz w:val="20"/>
          <w:lang w:val="es-ES"/>
        </w:rPr>
        <w:t xml:space="preserve">Figura 67 </w:t>
      </w:r>
    </w:p>
    <w:p w14:paraId="694E836B" w14:textId="77777777" w:rsidR="009713BF" w:rsidRPr="005E3D50" w:rsidRDefault="009713BF" w:rsidP="009713BF">
      <w:pPr>
        <w:rPr>
          <w:b/>
          <w:bCs/>
          <w:sz w:val="20"/>
          <w:szCs w:val="20"/>
          <w:lang w:val="es-ES"/>
        </w:rPr>
      </w:pPr>
      <w:r w:rsidRPr="005E3D50">
        <w:rPr>
          <w:b/>
          <w:sz w:val="20"/>
          <w:lang w:val="es-ES"/>
        </w:rPr>
        <w:t>Indicador binario 16.b: número de países que elaboran, adoptan o aplican instrumentos de políticas dirigidos a alentar y apoyar a las personas para que elijan opciones de consumo sostenible</w:t>
      </w:r>
    </w:p>
    <w:p w14:paraId="04149CA1" w14:textId="77777777" w:rsidR="009713BF" w:rsidRPr="005E3D50" w:rsidRDefault="009713BF" w:rsidP="009713BF">
      <w:pPr>
        <w:rPr>
          <w:lang w:val="es-ES"/>
        </w:rPr>
      </w:pPr>
    </w:p>
    <w:p w14:paraId="25C99086"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31CB2BC2" wp14:editId="5A5A719D">
            <wp:extent cx="5943600" cy="2264410"/>
            <wp:effectExtent l="0" t="0" r="0" b="0"/>
            <wp:docPr id="1271151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51485" name="Picture 1271151485"/>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40BA3BD2"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4395CAA5" w14:textId="77777777" w:rsidR="009713BF" w:rsidRDefault="009713BF" w:rsidP="009713BF">
      <w:pPr>
        <w:rPr>
          <w:lang w:val="es-ES"/>
        </w:rPr>
      </w:pPr>
      <w:r w:rsidRPr="005E3D50">
        <w:rPr>
          <w:sz w:val="18"/>
          <w:vertAlign w:val="superscript"/>
          <w:lang w:val="es-ES"/>
        </w:rPr>
        <w:t>a</w:t>
      </w:r>
      <w:r w:rsidRPr="005E3D50">
        <w:rPr>
          <w:sz w:val="18"/>
          <w:lang w:val="es-ES"/>
        </w:rPr>
        <w:t xml:space="preserve"> La metodología empleada para calcular los niveles de puntuación para cada indicador binario, así como las preguntas incluidas para cada indicador, figuran en el documento </w:t>
      </w:r>
      <w:hyperlink r:id="rId166" w:history="1">
        <w:r w:rsidRPr="005E3D50">
          <w:rPr>
            <w:color w:val="000000" w:themeColor="text1"/>
            <w:sz w:val="18"/>
            <w:lang w:val="es-ES"/>
          </w:rPr>
          <w:t>CBD/COP/16/INF/3/Rev.1</w:t>
        </w:r>
      </w:hyperlink>
      <w:r w:rsidRPr="005E3D50">
        <w:rPr>
          <w:lang w:val="es-ES"/>
        </w:rPr>
        <w:t>.</w:t>
      </w:r>
    </w:p>
    <w:tbl>
      <w:tblPr>
        <w:tblStyle w:val="TableGrid"/>
        <w:tblW w:w="9282" w:type="dxa"/>
        <w:tblLook w:val="04A0" w:firstRow="1" w:lastRow="0" w:firstColumn="1" w:lastColumn="0" w:noHBand="0" w:noVBand="1"/>
      </w:tblPr>
      <w:tblGrid>
        <w:gridCol w:w="4789"/>
        <w:gridCol w:w="4493"/>
      </w:tblGrid>
      <w:tr w:rsidR="00CF35BC" w:rsidRPr="00CF35BC" w14:paraId="080FE1D7" w14:textId="77777777" w:rsidTr="00CF35BC">
        <w:tc>
          <w:tcPr>
            <w:tcW w:w="9282" w:type="dxa"/>
            <w:gridSpan w:val="2"/>
          </w:tcPr>
          <w:p w14:paraId="691593FA" w14:textId="0D5FE4EB" w:rsidR="00CF35BC" w:rsidRPr="00CF35BC" w:rsidRDefault="00CF35BC" w:rsidP="00CF35BC">
            <w:pPr>
              <w:spacing w:line="278" w:lineRule="auto"/>
              <w:rPr>
                <w:sz w:val="18"/>
                <w:szCs w:val="18"/>
                <w:lang w:val="es-ES"/>
              </w:rPr>
            </w:pPr>
            <w:r w:rsidRPr="00CF35BC">
              <w:rPr>
                <w:sz w:val="18"/>
                <w:szCs w:val="18"/>
                <w:lang w:val="es-ES"/>
              </w:rPr>
              <w:lastRenderedPageBreak/>
              <w:t>Figura 67</w:t>
            </w:r>
          </w:p>
        </w:tc>
      </w:tr>
      <w:tr w:rsidR="00CF35BC" w:rsidRPr="00CF35BC" w14:paraId="528BB4A2" w14:textId="77777777" w:rsidTr="00CF35BC">
        <w:tc>
          <w:tcPr>
            <w:tcW w:w="4789" w:type="dxa"/>
          </w:tcPr>
          <w:p w14:paraId="6457BADD" w14:textId="5998D212" w:rsidR="00CF35BC" w:rsidRPr="00CF35BC" w:rsidRDefault="00CF35BC" w:rsidP="00CF35BC">
            <w:pPr>
              <w:spacing w:line="278" w:lineRule="auto"/>
              <w:rPr>
                <w:sz w:val="18"/>
                <w:szCs w:val="18"/>
                <w:lang w:val="es-ES"/>
              </w:rPr>
            </w:pPr>
            <w:r w:rsidRPr="00CF35BC">
              <w:rPr>
                <w:sz w:val="18"/>
                <w:szCs w:val="18"/>
                <w:lang w:val="es-ES"/>
              </w:rPr>
              <w:t>English</w:t>
            </w:r>
          </w:p>
        </w:tc>
        <w:tc>
          <w:tcPr>
            <w:tcW w:w="4493" w:type="dxa"/>
          </w:tcPr>
          <w:p w14:paraId="14A88E40" w14:textId="682F25D4" w:rsidR="00CF35BC" w:rsidRPr="00CF35BC" w:rsidRDefault="007371B4" w:rsidP="00CF35BC">
            <w:pPr>
              <w:spacing w:line="278" w:lineRule="auto"/>
              <w:rPr>
                <w:sz w:val="18"/>
                <w:szCs w:val="18"/>
                <w:lang w:val="es-ES"/>
              </w:rPr>
            </w:pPr>
            <w:r>
              <w:rPr>
                <w:sz w:val="18"/>
                <w:szCs w:val="18"/>
                <w:lang w:val="es-ES"/>
              </w:rPr>
              <w:t>Español</w:t>
            </w:r>
          </w:p>
        </w:tc>
      </w:tr>
      <w:tr w:rsidR="00CF35BC" w:rsidRPr="00CF35BC" w14:paraId="1D9F1FEA" w14:textId="77777777" w:rsidTr="00CF35BC">
        <w:tc>
          <w:tcPr>
            <w:tcW w:w="4789" w:type="dxa"/>
          </w:tcPr>
          <w:p w14:paraId="549D8D9B" w14:textId="77777777" w:rsidR="00CF35BC" w:rsidRPr="00CF35BC" w:rsidRDefault="00CF35BC" w:rsidP="00CF35BC">
            <w:pPr>
              <w:spacing w:line="278" w:lineRule="auto"/>
              <w:rPr>
                <w:sz w:val="18"/>
                <w:szCs w:val="18"/>
                <w:lang w:val="es-ES"/>
              </w:rPr>
            </w:pPr>
            <w:proofErr w:type="spellStart"/>
            <w:r w:rsidRPr="00CF35BC">
              <w:rPr>
                <w:sz w:val="18"/>
                <w:szCs w:val="18"/>
                <w:lang w:val="es-ES"/>
              </w:rPr>
              <w:t>Answers</w:t>
            </w:r>
            <w:proofErr w:type="spellEnd"/>
            <w:r w:rsidRPr="00CF35BC">
              <w:rPr>
                <w:sz w:val="18"/>
                <w:szCs w:val="18"/>
                <w:lang w:val="es-ES"/>
              </w:rPr>
              <w:t xml:space="preserve"> (</w:t>
            </w:r>
            <w:proofErr w:type="spellStart"/>
            <w:r w:rsidRPr="00CF35BC">
              <w:rPr>
                <w:sz w:val="18"/>
                <w:szCs w:val="18"/>
                <w:lang w:val="es-ES"/>
              </w:rPr>
              <w:t>percentage</w:t>
            </w:r>
            <w:proofErr w:type="spellEnd"/>
            <w:r w:rsidRPr="00CF35BC">
              <w:rPr>
                <w:sz w:val="18"/>
                <w:szCs w:val="18"/>
                <w:lang w:val="es-ES"/>
              </w:rPr>
              <w:t>)</w:t>
            </w:r>
          </w:p>
        </w:tc>
        <w:tc>
          <w:tcPr>
            <w:tcW w:w="4493" w:type="dxa"/>
          </w:tcPr>
          <w:p w14:paraId="3B4E5C95" w14:textId="6B7C4B10" w:rsidR="00CF35BC" w:rsidRPr="00CF35BC" w:rsidRDefault="00CF35BC" w:rsidP="00CF35BC">
            <w:pPr>
              <w:spacing w:line="278" w:lineRule="auto"/>
              <w:rPr>
                <w:sz w:val="18"/>
                <w:szCs w:val="18"/>
                <w:lang w:val="es-ES"/>
              </w:rPr>
            </w:pPr>
            <w:r w:rsidRPr="00CF35BC">
              <w:rPr>
                <w:sz w:val="18"/>
                <w:szCs w:val="18"/>
                <w:lang w:val="es-ES"/>
              </w:rPr>
              <w:t>Respuestas (porcentaje)</w:t>
            </w:r>
          </w:p>
        </w:tc>
      </w:tr>
      <w:tr w:rsidR="00CF35BC" w:rsidRPr="00CF35BC" w14:paraId="3EC79573" w14:textId="77777777" w:rsidTr="00CF35BC">
        <w:tc>
          <w:tcPr>
            <w:tcW w:w="4789" w:type="dxa"/>
          </w:tcPr>
          <w:p w14:paraId="7C9810C5" w14:textId="77777777" w:rsidR="00CF35BC" w:rsidRPr="00CF35BC" w:rsidRDefault="00CF35BC" w:rsidP="00CF35BC">
            <w:pPr>
              <w:spacing w:line="278" w:lineRule="auto"/>
              <w:rPr>
                <w:sz w:val="18"/>
                <w:szCs w:val="18"/>
                <w:lang w:val="es-ES"/>
              </w:rPr>
            </w:pPr>
            <w:r w:rsidRPr="00CF35BC">
              <w:rPr>
                <w:sz w:val="18"/>
                <w:szCs w:val="18"/>
                <w:lang w:val="es-ES"/>
              </w:rPr>
              <w:t>Score Level</w:t>
            </w:r>
          </w:p>
        </w:tc>
        <w:tc>
          <w:tcPr>
            <w:tcW w:w="4493" w:type="dxa"/>
          </w:tcPr>
          <w:p w14:paraId="70C861AE" w14:textId="1A58925C" w:rsidR="00CF35BC" w:rsidRPr="00CF35BC" w:rsidRDefault="00CF35BC" w:rsidP="00CF35BC">
            <w:pPr>
              <w:spacing w:line="278" w:lineRule="auto"/>
              <w:rPr>
                <w:sz w:val="18"/>
                <w:szCs w:val="18"/>
                <w:lang w:val="es-ES"/>
              </w:rPr>
            </w:pPr>
            <w:r w:rsidRPr="00CF35BC">
              <w:rPr>
                <w:sz w:val="18"/>
                <w:szCs w:val="18"/>
                <w:lang w:val="es-ES"/>
              </w:rPr>
              <w:t>Nivel de puntuación</w:t>
            </w:r>
          </w:p>
        </w:tc>
      </w:tr>
      <w:tr w:rsidR="00CF35BC" w:rsidRPr="00CF35BC" w14:paraId="4AAFAC60" w14:textId="77777777" w:rsidTr="00CF35BC">
        <w:tc>
          <w:tcPr>
            <w:tcW w:w="4789" w:type="dxa"/>
          </w:tcPr>
          <w:p w14:paraId="09BD2E3A" w14:textId="77777777" w:rsidR="00CF35BC" w:rsidRPr="00CF35BC" w:rsidRDefault="00CF35BC" w:rsidP="00CF35BC">
            <w:pPr>
              <w:spacing w:line="278" w:lineRule="auto"/>
              <w:rPr>
                <w:sz w:val="18"/>
                <w:szCs w:val="18"/>
                <w:lang w:val="es-ES"/>
              </w:rPr>
            </w:pPr>
            <w:r w:rsidRPr="00CF35BC">
              <w:rPr>
                <w:sz w:val="18"/>
                <w:szCs w:val="18"/>
                <w:lang w:val="es-ES"/>
              </w:rPr>
              <w:t xml:space="preserve">Party </w:t>
            </w:r>
            <w:proofErr w:type="spellStart"/>
            <w:r w:rsidRPr="00CF35BC">
              <w:rPr>
                <w:sz w:val="18"/>
                <w:szCs w:val="18"/>
                <w:lang w:val="es-ES"/>
              </w:rPr>
              <w:t>count</w:t>
            </w:r>
            <w:proofErr w:type="spellEnd"/>
            <w:r w:rsidRPr="00CF35BC">
              <w:rPr>
                <w:sz w:val="18"/>
                <w:szCs w:val="18"/>
                <w:lang w:val="es-ES"/>
              </w:rPr>
              <w:t>: 127</w:t>
            </w:r>
          </w:p>
        </w:tc>
        <w:tc>
          <w:tcPr>
            <w:tcW w:w="4493" w:type="dxa"/>
          </w:tcPr>
          <w:p w14:paraId="39A32B8E" w14:textId="52F39C7A" w:rsidR="00CF35BC" w:rsidRPr="00CF35BC" w:rsidRDefault="00CF35BC" w:rsidP="00CF35BC">
            <w:pPr>
              <w:spacing w:line="278" w:lineRule="auto"/>
              <w:rPr>
                <w:sz w:val="18"/>
                <w:szCs w:val="18"/>
                <w:lang w:val="es-ES"/>
              </w:rPr>
            </w:pPr>
            <w:r w:rsidRPr="00CF35BC">
              <w:rPr>
                <w:sz w:val="18"/>
                <w:szCs w:val="18"/>
                <w:lang w:val="es-ES"/>
              </w:rPr>
              <w:t>Número de Partes: 127</w:t>
            </w:r>
          </w:p>
        </w:tc>
      </w:tr>
      <w:tr w:rsidR="00CF35BC" w:rsidRPr="00CF35BC" w14:paraId="067B975B" w14:textId="77777777" w:rsidTr="00CF35BC">
        <w:tc>
          <w:tcPr>
            <w:tcW w:w="4789" w:type="dxa"/>
          </w:tcPr>
          <w:p w14:paraId="5074C2FB" w14:textId="77777777" w:rsidR="00CF35BC" w:rsidRPr="00CF35BC" w:rsidRDefault="00CF35BC" w:rsidP="00CF35BC">
            <w:pPr>
              <w:spacing w:line="278" w:lineRule="auto"/>
              <w:rPr>
                <w:sz w:val="18"/>
                <w:szCs w:val="18"/>
                <w:lang w:val="es-ES"/>
              </w:rPr>
            </w:pPr>
            <w:proofErr w:type="spellStart"/>
            <w:r w:rsidRPr="00CF35BC">
              <w:rPr>
                <w:sz w:val="18"/>
                <w:szCs w:val="18"/>
                <w:lang w:val="es-ES"/>
              </w:rPr>
              <w:t>Region</w:t>
            </w:r>
            <w:proofErr w:type="spellEnd"/>
          </w:p>
        </w:tc>
        <w:tc>
          <w:tcPr>
            <w:tcW w:w="4493" w:type="dxa"/>
          </w:tcPr>
          <w:p w14:paraId="2A68E470" w14:textId="66C6D1FB" w:rsidR="00CF35BC" w:rsidRPr="00CF35BC" w:rsidRDefault="00CF35BC" w:rsidP="00CF35BC">
            <w:pPr>
              <w:spacing w:line="278" w:lineRule="auto"/>
              <w:rPr>
                <w:sz w:val="18"/>
                <w:szCs w:val="18"/>
                <w:lang w:val="es-ES"/>
              </w:rPr>
            </w:pPr>
            <w:r w:rsidRPr="00CF35BC">
              <w:rPr>
                <w:sz w:val="18"/>
                <w:szCs w:val="18"/>
                <w:lang w:val="es-ES"/>
              </w:rPr>
              <w:t>Región</w:t>
            </w:r>
          </w:p>
        </w:tc>
      </w:tr>
      <w:tr w:rsidR="00CF35BC" w:rsidRPr="00CF35BC" w14:paraId="6C587B71" w14:textId="77777777" w:rsidTr="00CF35BC">
        <w:tc>
          <w:tcPr>
            <w:tcW w:w="4789" w:type="dxa"/>
          </w:tcPr>
          <w:p w14:paraId="4E6A37C1" w14:textId="77777777" w:rsidR="00CF35BC" w:rsidRPr="00CF35BC" w:rsidRDefault="00CF35BC" w:rsidP="00CF35BC">
            <w:pPr>
              <w:spacing w:line="278" w:lineRule="auto"/>
              <w:rPr>
                <w:sz w:val="18"/>
                <w:szCs w:val="18"/>
                <w:lang w:val="es-ES"/>
              </w:rPr>
            </w:pPr>
            <w:r w:rsidRPr="00CF35BC">
              <w:rPr>
                <w:sz w:val="18"/>
                <w:szCs w:val="18"/>
                <w:lang w:val="es-ES"/>
              </w:rPr>
              <w:t>African States</w:t>
            </w:r>
          </w:p>
        </w:tc>
        <w:tc>
          <w:tcPr>
            <w:tcW w:w="4493" w:type="dxa"/>
          </w:tcPr>
          <w:p w14:paraId="5BE9BBB5" w14:textId="747265F8" w:rsidR="00CF35BC" w:rsidRPr="00CF35BC" w:rsidRDefault="00CF35BC" w:rsidP="00CF35BC">
            <w:pPr>
              <w:spacing w:line="278" w:lineRule="auto"/>
              <w:rPr>
                <w:sz w:val="18"/>
                <w:szCs w:val="18"/>
                <w:lang w:val="es-ES"/>
              </w:rPr>
            </w:pPr>
            <w:r w:rsidRPr="00CF35BC">
              <w:rPr>
                <w:sz w:val="18"/>
                <w:szCs w:val="18"/>
                <w:lang w:val="es-ES"/>
              </w:rPr>
              <w:t>Estados de África</w:t>
            </w:r>
          </w:p>
        </w:tc>
      </w:tr>
      <w:tr w:rsidR="00CF35BC" w:rsidRPr="00CF35BC" w14:paraId="7312E6DA" w14:textId="77777777" w:rsidTr="00CF35BC">
        <w:tc>
          <w:tcPr>
            <w:tcW w:w="4789" w:type="dxa"/>
          </w:tcPr>
          <w:p w14:paraId="19849544" w14:textId="77777777" w:rsidR="00CF35BC" w:rsidRPr="00CF35BC" w:rsidRDefault="00CF35BC" w:rsidP="00CF35BC">
            <w:pPr>
              <w:spacing w:line="278" w:lineRule="auto"/>
              <w:rPr>
                <w:sz w:val="18"/>
                <w:szCs w:val="18"/>
                <w:lang w:val="es-ES"/>
              </w:rPr>
            </w:pPr>
            <w:r w:rsidRPr="00CF35BC">
              <w:rPr>
                <w:sz w:val="18"/>
                <w:szCs w:val="18"/>
                <w:lang w:val="es-ES"/>
              </w:rPr>
              <w:t>Asia –Pacific States</w:t>
            </w:r>
          </w:p>
        </w:tc>
        <w:tc>
          <w:tcPr>
            <w:tcW w:w="4493" w:type="dxa"/>
          </w:tcPr>
          <w:p w14:paraId="0E5F04E2" w14:textId="63BEC87D" w:rsidR="00CF35BC" w:rsidRPr="00CF35BC" w:rsidRDefault="00CF35BC" w:rsidP="00CF35BC">
            <w:pPr>
              <w:spacing w:line="278" w:lineRule="auto"/>
              <w:rPr>
                <w:sz w:val="18"/>
                <w:szCs w:val="18"/>
                <w:lang w:val="es-ES"/>
              </w:rPr>
            </w:pPr>
            <w:r w:rsidRPr="00CF35BC">
              <w:rPr>
                <w:sz w:val="18"/>
                <w:szCs w:val="18"/>
                <w:lang w:val="es-ES"/>
              </w:rPr>
              <w:t>Estados de Asia y el Pacífico</w:t>
            </w:r>
          </w:p>
        </w:tc>
      </w:tr>
      <w:tr w:rsidR="00CF35BC" w:rsidRPr="00CF35BC" w14:paraId="1DC848DE" w14:textId="77777777" w:rsidTr="00CF35BC">
        <w:tc>
          <w:tcPr>
            <w:tcW w:w="4789" w:type="dxa"/>
          </w:tcPr>
          <w:p w14:paraId="372F3953" w14:textId="77777777" w:rsidR="00CF35BC" w:rsidRPr="00CF35BC" w:rsidRDefault="00CF35BC" w:rsidP="00CF35BC">
            <w:pPr>
              <w:spacing w:line="278" w:lineRule="auto"/>
              <w:rPr>
                <w:sz w:val="18"/>
                <w:szCs w:val="18"/>
                <w:lang w:val="en-US"/>
              </w:rPr>
            </w:pPr>
            <w:r w:rsidRPr="00CF35BC">
              <w:rPr>
                <w:sz w:val="18"/>
                <w:szCs w:val="18"/>
                <w:lang w:val="en-US"/>
              </w:rPr>
              <w:t>Latin American and Caribbean States</w:t>
            </w:r>
          </w:p>
        </w:tc>
        <w:tc>
          <w:tcPr>
            <w:tcW w:w="4493" w:type="dxa"/>
          </w:tcPr>
          <w:p w14:paraId="29B6F002" w14:textId="291E44BE" w:rsidR="00CF35BC" w:rsidRPr="00CF35BC" w:rsidRDefault="00CF35BC" w:rsidP="00CF35BC">
            <w:pPr>
              <w:spacing w:line="278" w:lineRule="auto"/>
              <w:rPr>
                <w:sz w:val="18"/>
                <w:szCs w:val="18"/>
                <w:lang w:val="es-ES"/>
              </w:rPr>
            </w:pPr>
            <w:r w:rsidRPr="00CF35BC">
              <w:rPr>
                <w:sz w:val="18"/>
                <w:szCs w:val="18"/>
                <w:lang w:val="es-ES"/>
              </w:rPr>
              <w:t>Estados de América Latina y el Caribe</w:t>
            </w:r>
          </w:p>
        </w:tc>
      </w:tr>
      <w:tr w:rsidR="00CF35BC" w:rsidRPr="00CF35BC" w14:paraId="15188014" w14:textId="77777777" w:rsidTr="00CF35BC">
        <w:tc>
          <w:tcPr>
            <w:tcW w:w="4789" w:type="dxa"/>
          </w:tcPr>
          <w:p w14:paraId="27A03029" w14:textId="77777777" w:rsidR="00CF35BC" w:rsidRPr="00CF35BC" w:rsidRDefault="00CF35BC" w:rsidP="00CF35BC">
            <w:pPr>
              <w:spacing w:line="278" w:lineRule="auto"/>
              <w:rPr>
                <w:sz w:val="18"/>
                <w:szCs w:val="18"/>
                <w:lang w:val="es-ES"/>
              </w:rPr>
            </w:pPr>
            <w:r w:rsidRPr="00CF35BC">
              <w:rPr>
                <w:sz w:val="18"/>
                <w:szCs w:val="18"/>
                <w:lang w:val="es-ES"/>
              </w:rPr>
              <w:t>Eastern European States</w:t>
            </w:r>
          </w:p>
        </w:tc>
        <w:tc>
          <w:tcPr>
            <w:tcW w:w="4493" w:type="dxa"/>
          </w:tcPr>
          <w:p w14:paraId="4764619F" w14:textId="094004FE" w:rsidR="00CF35BC" w:rsidRPr="00CF35BC" w:rsidRDefault="00CF35BC" w:rsidP="00CF35BC">
            <w:pPr>
              <w:spacing w:line="278" w:lineRule="auto"/>
              <w:rPr>
                <w:sz w:val="18"/>
                <w:szCs w:val="18"/>
                <w:lang w:val="es-ES"/>
              </w:rPr>
            </w:pPr>
            <w:r w:rsidRPr="00CF35BC">
              <w:rPr>
                <w:sz w:val="18"/>
                <w:szCs w:val="18"/>
                <w:lang w:val="es-ES"/>
              </w:rPr>
              <w:t>Estados de Europa Oriental</w:t>
            </w:r>
          </w:p>
        </w:tc>
      </w:tr>
      <w:tr w:rsidR="00CF35BC" w:rsidRPr="00CF35BC" w14:paraId="38F65890" w14:textId="77777777" w:rsidTr="00CF35BC">
        <w:tc>
          <w:tcPr>
            <w:tcW w:w="4789" w:type="dxa"/>
          </w:tcPr>
          <w:p w14:paraId="67F647DE" w14:textId="77777777" w:rsidR="00CF35BC" w:rsidRPr="00CF35BC" w:rsidRDefault="00CF35BC" w:rsidP="00CF35BC">
            <w:pPr>
              <w:spacing w:line="278" w:lineRule="auto"/>
              <w:rPr>
                <w:sz w:val="18"/>
                <w:szCs w:val="18"/>
                <w:lang w:val="en-US"/>
              </w:rPr>
            </w:pPr>
            <w:r w:rsidRPr="00CF35BC">
              <w:rPr>
                <w:sz w:val="18"/>
                <w:szCs w:val="18"/>
                <w:lang w:val="en-US"/>
              </w:rPr>
              <w:t>Western European and other States</w:t>
            </w:r>
          </w:p>
        </w:tc>
        <w:tc>
          <w:tcPr>
            <w:tcW w:w="4493" w:type="dxa"/>
          </w:tcPr>
          <w:p w14:paraId="6E301039" w14:textId="780C4130" w:rsidR="00CF35BC" w:rsidRPr="00CF35BC" w:rsidRDefault="00CF35BC" w:rsidP="00CF35BC">
            <w:pPr>
              <w:spacing w:line="278" w:lineRule="auto"/>
              <w:rPr>
                <w:sz w:val="18"/>
                <w:szCs w:val="18"/>
                <w:lang w:val="es-ES"/>
              </w:rPr>
            </w:pPr>
            <w:r w:rsidRPr="00CF35BC">
              <w:rPr>
                <w:sz w:val="18"/>
                <w:szCs w:val="18"/>
                <w:lang w:val="es-ES"/>
              </w:rPr>
              <w:t>Estados de Europa Occidental y otros Estados</w:t>
            </w:r>
          </w:p>
        </w:tc>
      </w:tr>
    </w:tbl>
    <w:p w14:paraId="648BF03C" w14:textId="77777777" w:rsidR="009713BF" w:rsidRPr="005E3D50" w:rsidRDefault="009713BF" w:rsidP="009713BF">
      <w:pPr>
        <w:rPr>
          <w:lang w:val="es-ES" w:eastAsia="ja-JP"/>
        </w:rPr>
      </w:pPr>
    </w:p>
    <w:p w14:paraId="678C14E5"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68</w:t>
      </w:r>
      <w:r w:rsidRPr="005E3D50">
        <w:rPr>
          <w:rFonts w:ascii="Aptos" w:eastAsiaTheme="minorEastAsia" w:hAnsi="Aptos"/>
          <w:iCs/>
          <w:color w:val="0E2841" w:themeColor="text2"/>
          <w:kern w:val="0"/>
          <w:sz w:val="20"/>
          <w:szCs w:val="18"/>
          <w:lang w:val="es-ES" w:eastAsia="ja-JP"/>
          <w14:ligatures w14:val="none"/>
        </w:rPr>
        <w:t xml:space="preserve"> </w:t>
      </w:r>
    </w:p>
    <w:p w14:paraId="040A9300"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16 del Marco que sugieren tendencias de mejora, estables y negativas, respectivamente </w:t>
      </w:r>
    </w:p>
    <w:p w14:paraId="24B61981" w14:textId="77777777" w:rsidR="009713BF" w:rsidRPr="005E3D50" w:rsidRDefault="009713BF" w:rsidP="009713BF">
      <w:pPr>
        <w:rPr>
          <w:lang w:val="es-ES" w:eastAsia="ja-JP"/>
        </w:rPr>
      </w:pPr>
    </w:p>
    <w:p w14:paraId="78FD2DAC"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5AC58075" wp14:editId="65DDDBF9">
            <wp:extent cx="5731510" cy="2456180"/>
            <wp:effectExtent l="0" t="0" r="0" b="0"/>
            <wp:docPr id="7757234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23432" name="Picture 775723432"/>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3CE0816"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3218FD59" w14:textId="77777777" w:rsidR="009713BF" w:rsidRDefault="009713BF" w:rsidP="009713BF">
      <w:pPr>
        <w:spacing w:after="200" w:line="240" w:lineRule="auto"/>
        <w:rPr>
          <w:rFonts w:eastAsiaTheme="minorEastAsia"/>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xml:space="preserve"> Las proporciones están ponderadas por Parte. Las tendencias incluyen datos</w:t>
      </w:r>
      <w:r w:rsidRPr="005E3D50">
        <w:rPr>
          <w:rFonts w:eastAsiaTheme="minorEastAsia"/>
          <w:i/>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de</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3 indicadores de componentes,</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5 indicadores complementarios y</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60 indicadores nacionales de un total de</w:t>
      </w:r>
      <w:r w:rsidRPr="005E3D50">
        <w:rPr>
          <w:rFonts w:ascii="Arial" w:eastAsiaTheme="minorEastAsia" w:hAnsi="Arial"/>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25 Partes. El gráfico circular muestra la distribución de las Partes que presentaron indicadores para la meta 16,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74" w:type="dxa"/>
        <w:tblLook w:val="04A0" w:firstRow="1" w:lastRow="0" w:firstColumn="1" w:lastColumn="0" w:noHBand="0" w:noVBand="1"/>
      </w:tblPr>
      <w:tblGrid>
        <w:gridCol w:w="4879"/>
        <w:gridCol w:w="4395"/>
      </w:tblGrid>
      <w:tr w:rsidR="005C1230" w:rsidRPr="005C1230" w14:paraId="77761CD1" w14:textId="77777777" w:rsidTr="005C1230">
        <w:tc>
          <w:tcPr>
            <w:tcW w:w="9274" w:type="dxa"/>
            <w:gridSpan w:val="2"/>
          </w:tcPr>
          <w:p w14:paraId="1A48D73E" w14:textId="4FB765DD" w:rsidR="005C1230" w:rsidRPr="005C1230" w:rsidRDefault="005C1230" w:rsidP="005C1230">
            <w:pPr>
              <w:rPr>
                <w:sz w:val="18"/>
                <w:szCs w:val="18"/>
                <w:lang w:val="es-ES"/>
              </w:rPr>
            </w:pPr>
            <w:r w:rsidRPr="005C1230">
              <w:rPr>
                <w:sz w:val="18"/>
                <w:szCs w:val="18"/>
                <w:lang w:val="es-ES"/>
              </w:rPr>
              <w:t>Figura 68</w:t>
            </w:r>
          </w:p>
        </w:tc>
      </w:tr>
      <w:tr w:rsidR="005C1230" w:rsidRPr="005C1230" w14:paraId="68BA18FB" w14:textId="77777777" w:rsidTr="005C1230">
        <w:tc>
          <w:tcPr>
            <w:tcW w:w="4879" w:type="dxa"/>
          </w:tcPr>
          <w:p w14:paraId="1870E539" w14:textId="77777777" w:rsidR="005C1230" w:rsidRPr="005C1230" w:rsidRDefault="005C1230" w:rsidP="005C1230">
            <w:pPr>
              <w:spacing w:line="278" w:lineRule="auto"/>
              <w:rPr>
                <w:sz w:val="18"/>
                <w:szCs w:val="18"/>
                <w:lang w:val="es-ES"/>
              </w:rPr>
            </w:pPr>
            <w:r w:rsidRPr="005C1230">
              <w:rPr>
                <w:sz w:val="18"/>
                <w:szCs w:val="18"/>
                <w:lang w:val="es-ES"/>
              </w:rPr>
              <w:t xml:space="preserve">English </w:t>
            </w:r>
          </w:p>
        </w:tc>
        <w:tc>
          <w:tcPr>
            <w:tcW w:w="4395" w:type="dxa"/>
          </w:tcPr>
          <w:p w14:paraId="3E166ECF" w14:textId="54C6A135" w:rsidR="005C1230" w:rsidRPr="005C1230" w:rsidRDefault="007371B4" w:rsidP="005C1230">
            <w:pPr>
              <w:spacing w:line="278" w:lineRule="auto"/>
              <w:rPr>
                <w:sz w:val="18"/>
                <w:szCs w:val="18"/>
                <w:lang w:val="es-ES"/>
              </w:rPr>
            </w:pPr>
            <w:r>
              <w:rPr>
                <w:sz w:val="18"/>
                <w:szCs w:val="18"/>
                <w:lang w:val="es-ES"/>
              </w:rPr>
              <w:t>Español</w:t>
            </w:r>
          </w:p>
        </w:tc>
      </w:tr>
      <w:tr w:rsidR="005C1230" w:rsidRPr="005C1230" w14:paraId="363C270D" w14:textId="77777777" w:rsidTr="005C1230">
        <w:tc>
          <w:tcPr>
            <w:tcW w:w="4879" w:type="dxa"/>
          </w:tcPr>
          <w:p w14:paraId="628EAADB" w14:textId="77777777" w:rsidR="005C1230" w:rsidRPr="005C1230" w:rsidRDefault="005C1230" w:rsidP="005C1230">
            <w:pPr>
              <w:spacing w:line="278" w:lineRule="auto"/>
              <w:rPr>
                <w:sz w:val="18"/>
                <w:szCs w:val="18"/>
                <w:lang w:val="es-ES"/>
              </w:rPr>
            </w:pPr>
            <w:proofErr w:type="spellStart"/>
            <w:r w:rsidRPr="005C1230">
              <w:rPr>
                <w:sz w:val="18"/>
                <w:szCs w:val="18"/>
                <w:lang w:val="es-ES"/>
              </w:rPr>
              <w:t>Proportion</w:t>
            </w:r>
            <w:proofErr w:type="spellEnd"/>
          </w:p>
        </w:tc>
        <w:tc>
          <w:tcPr>
            <w:tcW w:w="4395" w:type="dxa"/>
          </w:tcPr>
          <w:p w14:paraId="163D75B8" w14:textId="19C2A808" w:rsidR="005C1230" w:rsidRPr="005C1230" w:rsidRDefault="005C1230" w:rsidP="005C1230">
            <w:pPr>
              <w:spacing w:line="278" w:lineRule="auto"/>
              <w:rPr>
                <w:sz w:val="18"/>
                <w:szCs w:val="18"/>
                <w:lang w:val="es-ES"/>
              </w:rPr>
            </w:pPr>
            <w:r w:rsidRPr="005C1230">
              <w:rPr>
                <w:sz w:val="18"/>
                <w:szCs w:val="18"/>
                <w:lang w:val="es-ES"/>
              </w:rPr>
              <w:t>Proporción</w:t>
            </w:r>
          </w:p>
        </w:tc>
      </w:tr>
      <w:tr w:rsidR="005C1230" w:rsidRPr="005C1230" w14:paraId="46CDD5F4" w14:textId="77777777" w:rsidTr="005C1230">
        <w:tc>
          <w:tcPr>
            <w:tcW w:w="4879" w:type="dxa"/>
          </w:tcPr>
          <w:p w14:paraId="3CB2E85A" w14:textId="77777777" w:rsidR="005C1230" w:rsidRPr="005C1230" w:rsidRDefault="005C1230" w:rsidP="005C1230">
            <w:pPr>
              <w:spacing w:line="278" w:lineRule="auto"/>
              <w:rPr>
                <w:sz w:val="18"/>
                <w:szCs w:val="18"/>
                <w:lang w:val="es-ES"/>
              </w:rPr>
            </w:pPr>
            <w:r w:rsidRPr="005C1230">
              <w:rPr>
                <w:sz w:val="18"/>
                <w:szCs w:val="18"/>
                <w:lang w:val="es-ES"/>
              </w:rPr>
              <w:t xml:space="preserve">Current </w:t>
            </w:r>
            <w:proofErr w:type="gramStart"/>
            <w:r w:rsidRPr="005C1230">
              <w:rPr>
                <w:sz w:val="18"/>
                <w:szCs w:val="18"/>
                <w:lang w:val="es-ES"/>
              </w:rPr>
              <w:t>Status</w:t>
            </w:r>
            <w:proofErr w:type="gramEnd"/>
          </w:p>
        </w:tc>
        <w:tc>
          <w:tcPr>
            <w:tcW w:w="4395" w:type="dxa"/>
          </w:tcPr>
          <w:p w14:paraId="36889B3D" w14:textId="5BB50695" w:rsidR="005C1230" w:rsidRPr="005C1230" w:rsidRDefault="005C1230" w:rsidP="005C1230">
            <w:pPr>
              <w:spacing w:line="278" w:lineRule="auto"/>
              <w:rPr>
                <w:sz w:val="18"/>
                <w:szCs w:val="18"/>
                <w:lang w:val="es-ES"/>
              </w:rPr>
            </w:pPr>
            <w:r w:rsidRPr="005C1230">
              <w:rPr>
                <w:sz w:val="18"/>
                <w:szCs w:val="18"/>
                <w:lang w:val="es-ES"/>
              </w:rPr>
              <w:t>Estado actual</w:t>
            </w:r>
          </w:p>
        </w:tc>
      </w:tr>
      <w:tr w:rsidR="005C1230" w:rsidRPr="005C1230" w14:paraId="4B2739E8" w14:textId="77777777" w:rsidTr="005C1230">
        <w:tc>
          <w:tcPr>
            <w:tcW w:w="4879" w:type="dxa"/>
          </w:tcPr>
          <w:p w14:paraId="6195CCD4" w14:textId="77777777" w:rsidR="005C1230" w:rsidRPr="005C1230" w:rsidRDefault="005C1230" w:rsidP="005C1230">
            <w:pPr>
              <w:spacing w:line="278" w:lineRule="auto"/>
              <w:rPr>
                <w:sz w:val="18"/>
                <w:szCs w:val="18"/>
                <w:lang w:val="es-ES"/>
              </w:rPr>
            </w:pPr>
            <w:proofErr w:type="spellStart"/>
            <w:r w:rsidRPr="005C1230">
              <w:rPr>
                <w:sz w:val="18"/>
                <w:szCs w:val="18"/>
                <w:lang w:val="es-ES"/>
              </w:rPr>
              <w:t>improving</w:t>
            </w:r>
            <w:proofErr w:type="spellEnd"/>
          </w:p>
        </w:tc>
        <w:tc>
          <w:tcPr>
            <w:tcW w:w="4395" w:type="dxa"/>
          </w:tcPr>
          <w:p w14:paraId="4ADFBD07" w14:textId="4ACA6D80" w:rsidR="005C1230" w:rsidRPr="005C1230" w:rsidRDefault="005C1230" w:rsidP="005C1230">
            <w:pPr>
              <w:spacing w:line="278" w:lineRule="auto"/>
              <w:rPr>
                <w:sz w:val="18"/>
                <w:szCs w:val="18"/>
                <w:lang w:val="es-ES"/>
              </w:rPr>
            </w:pPr>
            <w:r w:rsidRPr="005C1230">
              <w:rPr>
                <w:sz w:val="18"/>
                <w:szCs w:val="18"/>
                <w:lang w:val="es-ES"/>
              </w:rPr>
              <w:t>mejorando</w:t>
            </w:r>
          </w:p>
        </w:tc>
      </w:tr>
      <w:tr w:rsidR="005C1230" w:rsidRPr="005C1230" w14:paraId="4B497D32" w14:textId="77777777" w:rsidTr="005C1230">
        <w:tc>
          <w:tcPr>
            <w:tcW w:w="4879" w:type="dxa"/>
          </w:tcPr>
          <w:p w14:paraId="3AE56601" w14:textId="77777777" w:rsidR="005C1230" w:rsidRPr="005C1230" w:rsidRDefault="005C1230" w:rsidP="005C1230">
            <w:pPr>
              <w:spacing w:line="278" w:lineRule="auto"/>
              <w:rPr>
                <w:sz w:val="18"/>
                <w:szCs w:val="18"/>
                <w:lang w:val="es-ES"/>
              </w:rPr>
            </w:pPr>
            <w:proofErr w:type="spellStart"/>
            <w:r w:rsidRPr="005C1230">
              <w:rPr>
                <w:sz w:val="18"/>
                <w:szCs w:val="18"/>
                <w:lang w:val="es-ES"/>
              </w:rPr>
              <w:t>stable</w:t>
            </w:r>
            <w:proofErr w:type="spellEnd"/>
          </w:p>
        </w:tc>
        <w:tc>
          <w:tcPr>
            <w:tcW w:w="4395" w:type="dxa"/>
          </w:tcPr>
          <w:p w14:paraId="0D86FD59" w14:textId="52D7AC81" w:rsidR="005C1230" w:rsidRPr="005C1230" w:rsidRDefault="005C1230" w:rsidP="005C1230">
            <w:pPr>
              <w:spacing w:line="278" w:lineRule="auto"/>
              <w:rPr>
                <w:sz w:val="18"/>
                <w:szCs w:val="18"/>
                <w:lang w:val="es-ES"/>
              </w:rPr>
            </w:pPr>
            <w:r w:rsidRPr="005C1230">
              <w:rPr>
                <w:sz w:val="18"/>
                <w:szCs w:val="18"/>
                <w:lang w:val="es-ES"/>
              </w:rPr>
              <w:t>estable</w:t>
            </w:r>
          </w:p>
        </w:tc>
      </w:tr>
      <w:tr w:rsidR="005C1230" w:rsidRPr="005C1230" w14:paraId="41B44119" w14:textId="77777777" w:rsidTr="005C1230">
        <w:tc>
          <w:tcPr>
            <w:tcW w:w="4879" w:type="dxa"/>
          </w:tcPr>
          <w:p w14:paraId="5D54C8A5" w14:textId="77777777" w:rsidR="005C1230" w:rsidRPr="005C1230" w:rsidRDefault="005C1230" w:rsidP="005C1230">
            <w:pPr>
              <w:spacing w:line="278" w:lineRule="auto"/>
              <w:rPr>
                <w:sz w:val="18"/>
                <w:szCs w:val="18"/>
                <w:lang w:val="es-ES"/>
              </w:rPr>
            </w:pPr>
            <w:proofErr w:type="spellStart"/>
            <w:r w:rsidRPr="005C1230">
              <w:rPr>
                <w:sz w:val="18"/>
                <w:szCs w:val="18"/>
                <w:lang w:val="es-ES"/>
              </w:rPr>
              <w:t>moving</w:t>
            </w:r>
            <w:proofErr w:type="spellEnd"/>
            <w:r w:rsidRPr="005C1230">
              <w:rPr>
                <w:sz w:val="18"/>
                <w:szCs w:val="18"/>
                <w:lang w:val="es-ES"/>
              </w:rPr>
              <w:t xml:space="preserve"> </w:t>
            </w:r>
            <w:proofErr w:type="spellStart"/>
            <w:r w:rsidRPr="005C1230">
              <w:rPr>
                <w:sz w:val="18"/>
                <w:szCs w:val="18"/>
                <w:lang w:val="es-ES"/>
              </w:rPr>
              <w:t>away</w:t>
            </w:r>
            <w:proofErr w:type="spellEnd"/>
          </w:p>
        </w:tc>
        <w:tc>
          <w:tcPr>
            <w:tcW w:w="4395" w:type="dxa"/>
          </w:tcPr>
          <w:p w14:paraId="18A247D9" w14:textId="3701A502" w:rsidR="005C1230" w:rsidRPr="005C1230" w:rsidRDefault="005C1230" w:rsidP="005C1230">
            <w:pPr>
              <w:spacing w:line="278" w:lineRule="auto"/>
              <w:rPr>
                <w:sz w:val="18"/>
                <w:szCs w:val="18"/>
                <w:lang w:val="es-ES"/>
              </w:rPr>
            </w:pPr>
            <w:r w:rsidRPr="005C1230">
              <w:rPr>
                <w:sz w:val="18"/>
                <w:szCs w:val="18"/>
                <w:lang w:val="es-ES"/>
              </w:rPr>
              <w:t>alejándose</w:t>
            </w:r>
          </w:p>
        </w:tc>
      </w:tr>
      <w:tr w:rsidR="005C1230" w:rsidRPr="005C1230" w14:paraId="62034FD8" w14:textId="77777777" w:rsidTr="005C1230">
        <w:tc>
          <w:tcPr>
            <w:tcW w:w="4879" w:type="dxa"/>
          </w:tcPr>
          <w:p w14:paraId="3B3237A5" w14:textId="77777777" w:rsidR="005C1230" w:rsidRPr="005C1230" w:rsidRDefault="005C1230" w:rsidP="005C1230">
            <w:pPr>
              <w:spacing w:line="278" w:lineRule="auto"/>
              <w:rPr>
                <w:sz w:val="18"/>
                <w:szCs w:val="18"/>
                <w:lang w:val="es-ES"/>
              </w:rPr>
            </w:pPr>
            <w:r w:rsidRPr="005C1230">
              <w:rPr>
                <w:sz w:val="18"/>
                <w:szCs w:val="18"/>
                <w:lang w:val="es-ES"/>
              </w:rPr>
              <w:lastRenderedPageBreak/>
              <w:t xml:space="preserve">Party </w:t>
            </w:r>
            <w:proofErr w:type="spellStart"/>
            <w:r w:rsidRPr="005C1230">
              <w:rPr>
                <w:sz w:val="18"/>
                <w:szCs w:val="18"/>
                <w:lang w:val="es-ES"/>
              </w:rPr>
              <w:t>count</w:t>
            </w:r>
            <w:proofErr w:type="spellEnd"/>
            <w:r w:rsidRPr="005C1230">
              <w:rPr>
                <w:sz w:val="18"/>
                <w:szCs w:val="18"/>
                <w:lang w:val="es-ES"/>
              </w:rPr>
              <w:t>: 25</w:t>
            </w:r>
          </w:p>
        </w:tc>
        <w:tc>
          <w:tcPr>
            <w:tcW w:w="4395" w:type="dxa"/>
          </w:tcPr>
          <w:p w14:paraId="108D8D6F" w14:textId="552416E4" w:rsidR="005C1230" w:rsidRPr="005C1230" w:rsidRDefault="005C1230" w:rsidP="005C1230">
            <w:pPr>
              <w:spacing w:line="278" w:lineRule="auto"/>
              <w:rPr>
                <w:sz w:val="18"/>
                <w:szCs w:val="18"/>
                <w:lang w:val="es-ES"/>
              </w:rPr>
            </w:pPr>
            <w:r w:rsidRPr="005C1230">
              <w:rPr>
                <w:sz w:val="18"/>
                <w:szCs w:val="18"/>
                <w:lang w:val="es-ES"/>
              </w:rPr>
              <w:t>Número de Partes: 25</w:t>
            </w:r>
          </w:p>
        </w:tc>
      </w:tr>
      <w:tr w:rsidR="005C1230" w:rsidRPr="005C1230" w14:paraId="56544B0F" w14:textId="77777777" w:rsidTr="005C1230">
        <w:tc>
          <w:tcPr>
            <w:tcW w:w="4879" w:type="dxa"/>
          </w:tcPr>
          <w:p w14:paraId="341AF6FF" w14:textId="77777777" w:rsidR="005C1230" w:rsidRPr="005C1230" w:rsidRDefault="005C1230" w:rsidP="005C1230">
            <w:pPr>
              <w:spacing w:line="278" w:lineRule="auto"/>
              <w:rPr>
                <w:sz w:val="18"/>
                <w:szCs w:val="18"/>
                <w:lang w:val="es-ES"/>
              </w:rPr>
            </w:pPr>
            <w:proofErr w:type="spellStart"/>
            <w:r w:rsidRPr="005C1230">
              <w:rPr>
                <w:sz w:val="18"/>
                <w:szCs w:val="18"/>
                <w:lang w:val="es-ES"/>
              </w:rPr>
              <w:t>Region</w:t>
            </w:r>
            <w:proofErr w:type="spellEnd"/>
          </w:p>
        </w:tc>
        <w:tc>
          <w:tcPr>
            <w:tcW w:w="4395" w:type="dxa"/>
          </w:tcPr>
          <w:p w14:paraId="09827333" w14:textId="648F0882" w:rsidR="005C1230" w:rsidRPr="005C1230" w:rsidRDefault="005C1230" w:rsidP="005C1230">
            <w:pPr>
              <w:spacing w:line="278" w:lineRule="auto"/>
              <w:rPr>
                <w:sz w:val="18"/>
                <w:szCs w:val="18"/>
                <w:lang w:val="es-ES"/>
              </w:rPr>
            </w:pPr>
            <w:r w:rsidRPr="005C1230">
              <w:rPr>
                <w:sz w:val="18"/>
                <w:szCs w:val="18"/>
                <w:lang w:val="es-ES"/>
              </w:rPr>
              <w:t>Región</w:t>
            </w:r>
          </w:p>
        </w:tc>
      </w:tr>
      <w:tr w:rsidR="005C1230" w:rsidRPr="005C1230" w14:paraId="37C56B17" w14:textId="77777777" w:rsidTr="005C1230">
        <w:tc>
          <w:tcPr>
            <w:tcW w:w="4879" w:type="dxa"/>
          </w:tcPr>
          <w:p w14:paraId="7AD052E4" w14:textId="77777777" w:rsidR="005C1230" w:rsidRPr="005C1230" w:rsidRDefault="005C1230" w:rsidP="005C1230">
            <w:pPr>
              <w:spacing w:line="278" w:lineRule="auto"/>
              <w:rPr>
                <w:sz w:val="18"/>
                <w:szCs w:val="18"/>
                <w:lang w:val="es-ES"/>
              </w:rPr>
            </w:pPr>
            <w:r w:rsidRPr="005C1230">
              <w:rPr>
                <w:sz w:val="18"/>
                <w:szCs w:val="18"/>
                <w:lang w:val="es-ES"/>
              </w:rPr>
              <w:t>African</w:t>
            </w:r>
          </w:p>
        </w:tc>
        <w:tc>
          <w:tcPr>
            <w:tcW w:w="4395" w:type="dxa"/>
          </w:tcPr>
          <w:p w14:paraId="2508E9DE" w14:textId="5E4661B4" w:rsidR="005C1230" w:rsidRPr="005C1230" w:rsidRDefault="005C1230" w:rsidP="005C1230">
            <w:pPr>
              <w:spacing w:line="278" w:lineRule="auto"/>
              <w:rPr>
                <w:sz w:val="18"/>
                <w:szCs w:val="18"/>
                <w:lang w:val="es-ES"/>
              </w:rPr>
            </w:pPr>
            <w:r w:rsidRPr="005C1230">
              <w:rPr>
                <w:sz w:val="18"/>
                <w:szCs w:val="18"/>
                <w:lang w:val="es-ES"/>
              </w:rPr>
              <w:t>Estados de África</w:t>
            </w:r>
          </w:p>
        </w:tc>
      </w:tr>
      <w:tr w:rsidR="005C1230" w:rsidRPr="005C1230" w14:paraId="1DA5D2BE" w14:textId="77777777" w:rsidTr="005C1230">
        <w:tc>
          <w:tcPr>
            <w:tcW w:w="4879" w:type="dxa"/>
          </w:tcPr>
          <w:p w14:paraId="2BAA24D4" w14:textId="77777777" w:rsidR="005C1230" w:rsidRPr="005C1230" w:rsidRDefault="005C1230" w:rsidP="005C1230">
            <w:pPr>
              <w:spacing w:line="278" w:lineRule="auto"/>
              <w:rPr>
                <w:sz w:val="18"/>
                <w:szCs w:val="18"/>
                <w:lang w:val="es-ES"/>
              </w:rPr>
            </w:pPr>
            <w:r w:rsidRPr="005C1230">
              <w:rPr>
                <w:sz w:val="18"/>
                <w:szCs w:val="18"/>
                <w:lang w:val="es-ES"/>
              </w:rPr>
              <w:t>Asia-Pacific</w:t>
            </w:r>
          </w:p>
        </w:tc>
        <w:tc>
          <w:tcPr>
            <w:tcW w:w="4395" w:type="dxa"/>
          </w:tcPr>
          <w:p w14:paraId="395399D4" w14:textId="4D1F279B" w:rsidR="005C1230" w:rsidRPr="005C1230" w:rsidRDefault="005C1230" w:rsidP="005C1230">
            <w:pPr>
              <w:spacing w:line="278" w:lineRule="auto"/>
              <w:rPr>
                <w:sz w:val="18"/>
                <w:szCs w:val="18"/>
                <w:lang w:val="es-ES"/>
              </w:rPr>
            </w:pPr>
            <w:r w:rsidRPr="005C1230">
              <w:rPr>
                <w:sz w:val="18"/>
                <w:szCs w:val="18"/>
                <w:lang w:val="es-ES"/>
              </w:rPr>
              <w:t>Estados de Asia y el Pacífico</w:t>
            </w:r>
          </w:p>
        </w:tc>
      </w:tr>
      <w:tr w:rsidR="005C1230" w:rsidRPr="005C1230" w14:paraId="049A9F29" w14:textId="77777777" w:rsidTr="005C1230">
        <w:tc>
          <w:tcPr>
            <w:tcW w:w="4879" w:type="dxa"/>
          </w:tcPr>
          <w:p w14:paraId="7D928FD2" w14:textId="77777777" w:rsidR="005C1230" w:rsidRPr="005C1230" w:rsidRDefault="005C1230" w:rsidP="005C1230">
            <w:pPr>
              <w:spacing w:line="278" w:lineRule="auto"/>
              <w:rPr>
                <w:sz w:val="18"/>
                <w:szCs w:val="18"/>
                <w:lang w:val="en-US"/>
              </w:rPr>
            </w:pPr>
            <w:r w:rsidRPr="005C1230">
              <w:rPr>
                <w:sz w:val="18"/>
                <w:szCs w:val="18"/>
                <w:lang w:val="en-US"/>
              </w:rPr>
              <w:t>Latin American and Caribbean States</w:t>
            </w:r>
          </w:p>
        </w:tc>
        <w:tc>
          <w:tcPr>
            <w:tcW w:w="4395" w:type="dxa"/>
          </w:tcPr>
          <w:p w14:paraId="7AA47275" w14:textId="3F3F50C2" w:rsidR="005C1230" w:rsidRPr="005C1230" w:rsidRDefault="005C1230" w:rsidP="005C1230">
            <w:pPr>
              <w:spacing w:line="278" w:lineRule="auto"/>
              <w:rPr>
                <w:sz w:val="18"/>
                <w:szCs w:val="18"/>
                <w:lang w:val="es-ES"/>
              </w:rPr>
            </w:pPr>
            <w:r w:rsidRPr="005C1230">
              <w:rPr>
                <w:sz w:val="18"/>
                <w:szCs w:val="18"/>
                <w:lang w:val="es-ES"/>
              </w:rPr>
              <w:t>Estados de América Latina y el Caribe</w:t>
            </w:r>
          </w:p>
        </w:tc>
      </w:tr>
      <w:tr w:rsidR="005C1230" w:rsidRPr="005C1230" w14:paraId="725547A2" w14:textId="77777777" w:rsidTr="005C1230">
        <w:tc>
          <w:tcPr>
            <w:tcW w:w="4879" w:type="dxa"/>
          </w:tcPr>
          <w:p w14:paraId="3AD88D49" w14:textId="77777777" w:rsidR="005C1230" w:rsidRPr="005C1230" w:rsidRDefault="005C1230" w:rsidP="005C1230">
            <w:pPr>
              <w:spacing w:line="278" w:lineRule="auto"/>
              <w:rPr>
                <w:sz w:val="18"/>
                <w:szCs w:val="18"/>
                <w:lang w:val="es-ES"/>
              </w:rPr>
            </w:pPr>
            <w:r w:rsidRPr="005C1230">
              <w:rPr>
                <w:sz w:val="18"/>
                <w:szCs w:val="18"/>
                <w:lang w:val="es-ES"/>
              </w:rPr>
              <w:t xml:space="preserve"> Eastern European States</w:t>
            </w:r>
          </w:p>
        </w:tc>
        <w:tc>
          <w:tcPr>
            <w:tcW w:w="4395" w:type="dxa"/>
          </w:tcPr>
          <w:p w14:paraId="20B0F580" w14:textId="7B09E815" w:rsidR="005C1230" w:rsidRPr="005C1230" w:rsidRDefault="005C1230" w:rsidP="005C1230">
            <w:pPr>
              <w:spacing w:line="278" w:lineRule="auto"/>
              <w:rPr>
                <w:sz w:val="18"/>
                <w:szCs w:val="18"/>
                <w:lang w:val="es-ES"/>
              </w:rPr>
            </w:pPr>
            <w:r w:rsidRPr="005C1230">
              <w:rPr>
                <w:sz w:val="18"/>
                <w:szCs w:val="18"/>
                <w:lang w:val="es-ES"/>
              </w:rPr>
              <w:t>Estados de Europa Oriental</w:t>
            </w:r>
          </w:p>
        </w:tc>
      </w:tr>
      <w:tr w:rsidR="005C1230" w:rsidRPr="005C1230" w14:paraId="6E66F44C" w14:textId="77777777" w:rsidTr="005C1230">
        <w:tc>
          <w:tcPr>
            <w:tcW w:w="4879" w:type="dxa"/>
          </w:tcPr>
          <w:p w14:paraId="4CA9FF79" w14:textId="77777777" w:rsidR="005C1230" w:rsidRPr="005C1230" w:rsidRDefault="005C1230" w:rsidP="005C1230">
            <w:pPr>
              <w:spacing w:line="278" w:lineRule="auto"/>
              <w:rPr>
                <w:sz w:val="18"/>
                <w:szCs w:val="18"/>
                <w:lang w:val="en-US"/>
              </w:rPr>
            </w:pPr>
            <w:r w:rsidRPr="005C1230">
              <w:rPr>
                <w:sz w:val="18"/>
                <w:szCs w:val="18"/>
                <w:lang w:val="en-US"/>
              </w:rPr>
              <w:t xml:space="preserve">Western European and other States </w:t>
            </w:r>
          </w:p>
        </w:tc>
        <w:tc>
          <w:tcPr>
            <w:tcW w:w="4395" w:type="dxa"/>
          </w:tcPr>
          <w:p w14:paraId="30BA94E8" w14:textId="46196404" w:rsidR="005C1230" w:rsidRPr="005C1230" w:rsidRDefault="005C1230" w:rsidP="005C1230">
            <w:pPr>
              <w:spacing w:line="278" w:lineRule="auto"/>
              <w:rPr>
                <w:sz w:val="18"/>
                <w:szCs w:val="18"/>
                <w:lang w:val="es-ES"/>
              </w:rPr>
            </w:pPr>
            <w:r w:rsidRPr="005C1230">
              <w:rPr>
                <w:sz w:val="18"/>
                <w:szCs w:val="18"/>
                <w:lang w:val="es-ES"/>
              </w:rPr>
              <w:t xml:space="preserve">Estados de Europa Occidental y otros Estados </w:t>
            </w:r>
          </w:p>
        </w:tc>
      </w:tr>
    </w:tbl>
    <w:p w14:paraId="1C030F01" w14:textId="77777777" w:rsidR="005C1230" w:rsidRPr="005E3D50" w:rsidRDefault="005C1230" w:rsidP="009713BF">
      <w:pPr>
        <w:spacing w:after="200" w:line="240" w:lineRule="auto"/>
        <w:rPr>
          <w:rFonts w:eastAsiaTheme="minorEastAsia"/>
          <w:iCs/>
          <w:color w:val="0E2841" w:themeColor="text2"/>
          <w:kern w:val="0"/>
          <w:sz w:val="18"/>
          <w:szCs w:val="18"/>
          <w:lang w:val="es-ES" w:eastAsia="ja-JP"/>
          <w14:ligatures w14:val="none"/>
        </w:rPr>
      </w:pPr>
    </w:p>
    <w:p w14:paraId="03BC1282"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611EAA2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24" w:name="_Toc235821247"/>
      <w:r w:rsidRPr="005E3D50">
        <w:rPr>
          <w:rFonts w:eastAsiaTheme="majorEastAsia" w:cstheme="majorBidi"/>
          <w:color w:val="0F4761" w:themeColor="accent1" w:themeShade="BF"/>
          <w:lang w:val="es-ES"/>
        </w:rPr>
        <w:t>Autoevaluación de progresos</w:t>
      </w:r>
      <w:bookmarkEnd w:id="424"/>
    </w:p>
    <w:p w14:paraId="7072FC26" w14:textId="77777777" w:rsidR="009713BF" w:rsidRPr="005E3D50" w:rsidRDefault="009713BF" w:rsidP="009713BF">
      <w:pPr>
        <w:rPr>
          <w:rFonts w:ascii="Aptos" w:hAnsi="Aptos"/>
          <w:lang w:val="es-ES"/>
        </w:rPr>
      </w:pPr>
      <w:r w:rsidRPr="005E3D50">
        <w:rPr>
          <w:lang w:val="es-ES"/>
        </w:rPr>
        <w:t>Según las autoevaluaciones realizadas por las Partes en sus informes nacionales, menos de un tercio (28 %) de las metas nacionales presentadas como estrechamente armonizadas con la meta 16 están en vías de alcanzarse, frente a la mayoría (70 %) que no muestran cambios significativos o bien muestran progresos insuficientes, y solo se informa de dos metas nacionales que se alcanzaron tempranamente (1 %) (véase la figura 69).</w:t>
      </w:r>
    </w:p>
    <w:p w14:paraId="0640376B" w14:textId="77777777" w:rsidR="009713BF" w:rsidRPr="005E3D50" w:rsidRDefault="009713BF" w:rsidP="009713BF">
      <w:pPr>
        <w:rPr>
          <w:rFonts w:ascii="Aptos" w:hAnsi="Aptos"/>
          <w:lang w:val="es-ES"/>
        </w:rPr>
      </w:pPr>
    </w:p>
    <w:p w14:paraId="689AAFDA" w14:textId="77777777" w:rsidR="009713BF" w:rsidRPr="005E3D50" w:rsidRDefault="009713BF" w:rsidP="009713BF">
      <w:pPr>
        <w:rPr>
          <w:sz w:val="20"/>
          <w:szCs w:val="20"/>
          <w:lang w:val="es-ES"/>
        </w:rPr>
      </w:pPr>
      <w:r w:rsidRPr="005E3D50">
        <w:rPr>
          <w:sz w:val="20"/>
          <w:lang w:val="es-ES"/>
        </w:rPr>
        <w:t>Figura 69</w:t>
      </w:r>
    </w:p>
    <w:p w14:paraId="11592FF1" w14:textId="77777777" w:rsidR="009713BF" w:rsidRPr="005E3D50" w:rsidRDefault="009713BF" w:rsidP="009713BF">
      <w:pPr>
        <w:rPr>
          <w:lang w:val="es-ES"/>
        </w:rPr>
      </w:pPr>
    </w:p>
    <w:p w14:paraId="2590D9B0"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16 del Marco </w:t>
      </w:r>
    </w:p>
    <w:p w14:paraId="40FC0410" w14:textId="77777777" w:rsidR="009713BF" w:rsidRPr="005E3D50" w:rsidRDefault="009713BF" w:rsidP="009713BF">
      <w:pPr>
        <w:rPr>
          <w:rFonts w:ascii="Aptos" w:eastAsia="Aptos" w:hAnsi="Aptos" w:cs="Aptos"/>
          <w:sz w:val="20"/>
          <w:szCs w:val="20"/>
          <w:lang w:val="es-ES"/>
        </w:rPr>
      </w:pPr>
    </w:p>
    <w:p w14:paraId="1F34AC76" w14:textId="77777777" w:rsidR="009713BF" w:rsidRPr="005E3D50" w:rsidRDefault="009713BF" w:rsidP="009713BF">
      <w:pPr>
        <w:rPr>
          <w:i/>
          <w:iCs/>
          <w:color w:val="0E2841" w:themeColor="text2"/>
          <w:sz w:val="18"/>
          <w:szCs w:val="18"/>
          <w:lang w:val="es-ES"/>
        </w:rPr>
      </w:pPr>
      <w:bookmarkStart w:id="425" w:name="_Ref231217686"/>
      <w:r w:rsidRPr="005E3D50">
        <w:rPr>
          <w:i/>
          <w:noProof/>
          <w:color w:val="0E2841" w:themeColor="text2"/>
          <w:sz w:val="18"/>
          <w:lang w:val="en-US"/>
        </w:rPr>
        <w:drawing>
          <wp:inline distT="0" distB="0" distL="0" distR="0" wp14:anchorId="0B4CC6A3" wp14:editId="1B6D1344">
            <wp:extent cx="5731510" cy="2292350"/>
            <wp:effectExtent l="0" t="0" r="0" b="6350"/>
            <wp:docPr id="158325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5952" name="Picture 158325952"/>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425"/>
    <w:p w14:paraId="42C8EBC1"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3109307E"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w:t>
      </w:r>
      <w:r w:rsidRPr="005E3D50">
        <w:rPr>
          <w:rFonts w:ascii="Aptos" w:eastAsiaTheme="minorEastAsia" w:hAnsi="Aptos"/>
          <w:iCs/>
          <w:color w:val="0E2841" w:themeColor="text2"/>
          <w:kern w:val="0"/>
          <w:sz w:val="18"/>
          <w:szCs w:val="18"/>
          <w:lang w:val="es-ES" w:eastAsia="ja-JP"/>
          <w14:ligatures w14:val="none"/>
        </w:rPr>
        <w:lastRenderedPageBreak/>
        <w:t>proporción de Partes de una región dada para la que se incluyen datos en el gráfico; los tonos más claros representan la proporción de Partes de la misma región para la que no se incluyen datos en el gráfico.</w:t>
      </w:r>
    </w:p>
    <w:tbl>
      <w:tblPr>
        <w:tblStyle w:val="TableGrid"/>
        <w:tblW w:w="9353" w:type="dxa"/>
        <w:tblLook w:val="04A0" w:firstRow="1" w:lastRow="0" w:firstColumn="1" w:lastColumn="0" w:noHBand="0" w:noVBand="1"/>
      </w:tblPr>
      <w:tblGrid>
        <w:gridCol w:w="4498"/>
        <w:gridCol w:w="4855"/>
      </w:tblGrid>
      <w:tr w:rsidR="002B456B" w:rsidRPr="002B456B" w14:paraId="6B66717D" w14:textId="77777777" w:rsidTr="002B456B">
        <w:tc>
          <w:tcPr>
            <w:tcW w:w="9353" w:type="dxa"/>
            <w:gridSpan w:val="2"/>
          </w:tcPr>
          <w:p w14:paraId="52C0890F" w14:textId="4F1EED9A" w:rsidR="002B456B" w:rsidRPr="002B456B" w:rsidRDefault="002B456B" w:rsidP="002B456B">
            <w:pPr>
              <w:spacing w:line="278" w:lineRule="auto"/>
              <w:rPr>
                <w:sz w:val="18"/>
                <w:szCs w:val="18"/>
                <w:lang w:val="es-ES"/>
              </w:rPr>
            </w:pPr>
            <w:r w:rsidRPr="002B456B">
              <w:rPr>
                <w:sz w:val="18"/>
                <w:szCs w:val="18"/>
                <w:lang w:val="es-ES"/>
              </w:rPr>
              <w:t>Figura 69</w:t>
            </w:r>
          </w:p>
        </w:tc>
      </w:tr>
      <w:tr w:rsidR="002B456B" w:rsidRPr="002B456B" w14:paraId="05E9D4B5" w14:textId="77777777" w:rsidTr="002B456B">
        <w:tc>
          <w:tcPr>
            <w:tcW w:w="4498" w:type="dxa"/>
          </w:tcPr>
          <w:p w14:paraId="541CA85B" w14:textId="55F1AD05" w:rsidR="002B456B" w:rsidRPr="002B456B" w:rsidRDefault="002B456B" w:rsidP="002B456B">
            <w:pPr>
              <w:spacing w:line="278" w:lineRule="auto"/>
              <w:rPr>
                <w:sz w:val="18"/>
                <w:szCs w:val="18"/>
                <w:lang w:val="es-ES"/>
              </w:rPr>
            </w:pPr>
            <w:r w:rsidRPr="002B456B">
              <w:rPr>
                <w:sz w:val="18"/>
                <w:szCs w:val="18"/>
                <w:lang w:val="es-ES"/>
              </w:rPr>
              <w:t>English</w:t>
            </w:r>
          </w:p>
        </w:tc>
        <w:tc>
          <w:tcPr>
            <w:tcW w:w="4855" w:type="dxa"/>
          </w:tcPr>
          <w:p w14:paraId="6A739F6C" w14:textId="33F4ABB0" w:rsidR="002B456B" w:rsidRPr="002B456B" w:rsidRDefault="002B456B" w:rsidP="002B456B">
            <w:pPr>
              <w:spacing w:line="278" w:lineRule="auto"/>
              <w:rPr>
                <w:sz w:val="18"/>
                <w:szCs w:val="18"/>
                <w:lang w:val="es-ES"/>
              </w:rPr>
            </w:pPr>
            <w:r w:rsidRPr="002B456B">
              <w:rPr>
                <w:sz w:val="18"/>
                <w:szCs w:val="18"/>
                <w:lang w:val="es-ES"/>
              </w:rPr>
              <w:t>Español</w:t>
            </w:r>
          </w:p>
        </w:tc>
      </w:tr>
      <w:tr w:rsidR="002B456B" w:rsidRPr="002B456B" w14:paraId="6614BA37" w14:textId="77777777" w:rsidTr="002B456B">
        <w:tc>
          <w:tcPr>
            <w:tcW w:w="4498" w:type="dxa"/>
          </w:tcPr>
          <w:p w14:paraId="7691E996" w14:textId="77777777" w:rsidR="002B456B" w:rsidRPr="002B456B" w:rsidRDefault="002B456B" w:rsidP="002B456B">
            <w:pPr>
              <w:spacing w:line="278" w:lineRule="auto"/>
              <w:rPr>
                <w:sz w:val="18"/>
                <w:szCs w:val="18"/>
                <w:lang w:val="es-ES"/>
              </w:rPr>
            </w:pPr>
            <w:proofErr w:type="spellStart"/>
            <w:r w:rsidRPr="002B456B">
              <w:rPr>
                <w:sz w:val="18"/>
                <w:szCs w:val="18"/>
                <w:lang w:val="es-ES"/>
              </w:rPr>
              <w:t>Percentage</w:t>
            </w:r>
            <w:proofErr w:type="spellEnd"/>
            <w:r w:rsidRPr="002B456B">
              <w:rPr>
                <w:sz w:val="18"/>
                <w:szCs w:val="18"/>
                <w:lang w:val="es-ES"/>
              </w:rPr>
              <w:t xml:space="preserve"> of </w:t>
            </w:r>
            <w:proofErr w:type="spellStart"/>
            <w:r w:rsidRPr="002B456B">
              <w:rPr>
                <w:sz w:val="18"/>
                <w:szCs w:val="18"/>
                <w:lang w:val="es-ES"/>
              </w:rPr>
              <w:t>national</w:t>
            </w:r>
            <w:proofErr w:type="spellEnd"/>
            <w:r w:rsidRPr="002B456B">
              <w:rPr>
                <w:sz w:val="18"/>
                <w:szCs w:val="18"/>
                <w:lang w:val="es-ES"/>
              </w:rPr>
              <w:t xml:space="preserve"> targets</w:t>
            </w:r>
          </w:p>
        </w:tc>
        <w:tc>
          <w:tcPr>
            <w:tcW w:w="4855" w:type="dxa"/>
          </w:tcPr>
          <w:p w14:paraId="56BB046B" w14:textId="09B78D2A" w:rsidR="002B456B" w:rsidRPr="002B456B" w:rsidRDefault="002B456B" w:rsidP="002B456B">
            <w:pPr>
              <w:spacing w:line="278" w:lineRule="auto"/>
              <w:rPr>
                <w:sz w:val="18"/>
                <w:szCs w:val="18"/>
                <w:lang w:val="es-ES"/>
              </w:rPr>
            </w:pPr>
            <w:r w:rsidRPr="002B456B">
              <w:rPr>
                <w:sz w:val="18"/>
                <w:szCs w:val="18"/>
                <w:lang w:val="es-ES"/>
              </w:rPr>
              <w:t>Porcentaje de metas nacionales</w:t>
            </w:r>
          </w:p>
        </w:tc>
      </w:tr>
      <w:tr w:rsidR="002B456B" w:rsidRPr="002B456B" w14:paraId="5AABD9CA" w14:textId="77777777" w:rsidTr="002B456B">
        <w:tc>
          <w:tcPr>
            <w:tcW w:w="4498" w:type="dxa"/>
          </w:tcPr>
          <w:p w14:paraId="4438CB50" w14:textId="77777777" w:rsidR="002B456B" w:rsidRPr="002B456B" w:rsidRDefault="002B456B" w:rsidP="002B456B">
            <w:pPr>
              <w:spacing w:line="278" w:lineRule="auto"/>
              <w:rPr>
                <w:sz w:val="18"/>
                <w:szCs w:val="18"/>
                <w:lang w:val="es-ES"/>
              </w:rPr>
            </w:pPr>
            <w:proofErr w:type="spellStart"/>
            <w:r w:rsidRPr="002B456B">
              <w:rPr>
                <w:sz w:val="18"/>
                <w:szCs w:val="18"/>
                <w:lang w:val="es-ES"/>
              </w:rPr>
              <w:t>Progress</w:t>
            </w:r>
            <w:proofErr w:type="spellEnd"/>
            <w:r w:rsidRPr="002B456B">
              <w:rPr>
                <w:sz w:val="18"/>
                <w:szCs w:val="18"/>
                <w:lang w:val="es-ES"/>
              </w:rPr>
              <w:t xml:space="preserve"> </w:t>
            </w:r>
            <w:proofErr w:type="spellStart"/>
            <w:r w:rsidRPr="002B456B">
              <w:rPr>
                <w:sz w:val="18"/>
                <w:szCs w:val="18"/>
                <w:lang w:val="es-ES"/>
              </w:rPr>
              <w:t>level</w:t>
            </w:r>
            <w:proofErr w:type="spellEnd"/>
          </w:p>
        </w:tc>
        <w:tc>
          <w:tcPr>
            <w:tcW w:w="4855" w:type="dxa"/>
          </w:tcPr>
          <w:p w14:paraId="51DC9527" w14:textId="61AF2E84" w:rsidR="002B456B" w:rsidRPr="002B456B" w:rsidRDefault="002B456B" w:rsidP="002B456B">
            <w:pPr>
              <w:spacing w:line="278" w:lineRule="auto"/>
              <w:rPr>
                <w:sz w:val="18"/>
                <w:szCs w:val="18"/>
                <w:lang w:val="es-ES"/>
              </w:rPr>
            </w:pPr>
            <w:r w:rsidRPr="002B456B">
              <w:rPr>
                <w:sz w:val="18"/>
                <w:szCs w:val="18"/>
                <w:lang w:val="es-ES"/>
              </w:rPr>
              <w:t>Nivel de progreso</w:t>
            </w:r>
          </w:p>
        </w:tc>
      </w:tr>
      <w:tr w:rsidR="002B456B" w:rsidRPr="002B456B" w14:paraId="609776AC" w14:textId="77777777" w:rsidTr="002B456B">
        <w:tc>
          <w:tcPr>
            <w:tcW w:w="4498" w:type="dxa"/>
          </w:tcPr>
          <w:p w14:paraId="0DCEF68C" w14:textId="77777777" w:rsidR="002B456B" w:rsidRPr="002B456B" w:rsidRDefault="002B456B" w:rsidP="002B456B">
            <w:pPr>
              <w:spacing w:line="278" w:lineRule="auto"/>
              <w:rPr>
                <w:sz w:val="18"/>
                <w:szCs w:val="18"/>
                <w:lang w:val="es-ES"/>
              </w:rPr>
            </w:pPr>
            <w:proofErr w:type="spellStart"/>
            <w:r w:rsidRPr="002B456B">
              <w:rPr>
                <w:sz w:val="18"/>
                <w:szCs w:val="18"/>
                <w:lang w:val="es-ES"/>
              </w:rPr>
              <w:t>Achieved</w:t>
            </w:r>
            <w:proofErr w:type="spellEnd"/>
          </w:p>
        </w:tc>
        <w:tc>
          <w:tcPr>
            <w:tcW w:w="4855" w:type="dxa"/>
          </w:tcPr>
          <w:p w14:paraId="57D51C5E" w14:textId="189868E1" w:rsidR="002B456B" w:rsidRPr="002B456B" w:rsidRDefault="002B456B" w:rsidP="002B456B">
            <w:pPr>
              <w:spacing w:line="278" w:lineRule="auto"/>
              <w:rPr>
                <w:sz w:val="18"/>
                <w:szCs w:val="18"/>
                <w:lang w:val="es-ES"/>
              </w:rPr>
            </w:pPr>
            <w:r w:rsidRPr="002B456B">
              <w:rPr>
                <w:sz w:val="18"/>
                <w:szCs w:val="18"/>
                <w:lang w:val="es-ES"/>
              </w:rPr>
              <w:t>Alcanzada</w:t>
            </w:r>
          </w:p>
        </w:tc>
      </w:tr>
      <w:tr w:rsidR="002B456B" w:rsidRPr="002B456B" w14:paraId="54ACC768" w14:textId="77777777" w:rsidTr="002B456B">
        <w:tc>
          <w:tcPr>
            <w:tcW w:w="4498" w:type="dxa"/>
          </w:tcPr>
          <w:p w14:paraId="2DB09D92" w14:textId="77777777" w:rsidR="002B456B" w:rsidRPr="002B456B" w:rsidRDefault="002B456B" w:rsidP="002B456B">
            <w:pPr>
              <w:spacing w:line="278" w:lineRule="auto"/>
              <w:rPr>
                <w:sz w:val="18"/>
                <w:szCs w:val="18"/>
                <w:lang w:val="en-US"/>
              </w:rPr>
            </w:pPr>
            <w:r w:rsidRPr="002B456B">
              <w:rPr>
                <w:sz w:val="18"/>
                <w:szCs w:val="18"/>
                <w:lang w:val="en-US"/>
              </w:rPr>
              <w:t>On track to achieve target</w:t>
            </w:r>
          </w:p>
        </w:tc>
        <w:tc>
          <w:tcPr>
            <w:tcW w:w="4855" w:type="dxa"/>
          </w:tcPr>
          <w:p w14:paraId="6B99B1E5" w14:textId="29FC3AEF" w:rsidR="002B456B" w:rsidRPr="002B456B" w:rsidRDefault="002B456B" w:rsidP="002B456B">
            <w:pPr>
              <w:spacing w:line="278" w:lineRule="auto"/>
              <w:rPr>
                <w:sz w:val="18"/>
                <w:szCs w:val="18"/>
                <w:lang w:val="es-ES"/>
              </w:rPr>
            </w:pPr>
            <w:r w:rsidRPr="002B456B">
              <w:rPr>
                <w:sz w:val="18"/>
                <w:szCs w:val="18"/>
                <w:lang w:val="es-ES"/>
              </w:rPr>
              <w:t>En vías de alcanzar la meta</w:t>
            </w:r>
          </w:p>
        </w:tc>
      </w:tr>
      <w:tr w:rsidR="002B456B" w:rsidRPr="002B456B" w14:paraId="71412C23" w14:textId="77777777" w:rsidTr="002B456B">
        <w:tc>
          <w:tcPr>
            <w:tcW w:w="4498" w:type="dxa"/>
          </w:tcPr>
          <w:p w14:paraId="036AC916" w14:textId="77777777" w:rsidR="002B456B" w:rsidRPr="002B456B" w:rsidRDefault="002B456B" w:rsidP="002B456B">
            <w:pPr>
              <w:spacing w:line="278" w:lineRule="auto"/>
              <w:rPr>
                <w:sz w:val="18"/>
                <w:szCs w:val="18"/>
                <w:lang w:val="en-US"/>
              </w:rPr>
            </w:pPr>
            <w:r w:rsidRPr="002B456B">
              <w:rPr>
                <w:sz w:val="18"/>
                <w:szCs w:val="18"/>
                <w:lang w:val="en-US"/>
              </w:rPr>
              <w:t>Progress towards target but at an insufficient rate</w:t>
            </w:r>
          </w:p>
        </w:tc>
        <w:tc>
          <w:tcPr>
            <w:tcW w:w="4855" w:type="dxa"/>
          </w:tcPr>
          <w:p w14:paraId="32B109F0" w14:textId="4C6DA955" w:rsidR="002B456B" w:rsidRPr="002B456B" w:rsidRDefault="002B456B" w:rsidP="002B456B">
            <w:pPr>
              <w:spacing w:line="278" w:lineRule="auto"/>
              <w:rPr>
                <w:sz w:val="18"/>
                <w:szCs w:val="18"/>
                <w:lang w:val="es-ES"/>
              </w:rPr>
            </w:pPr>
            <w:r w:rsidRPr="002B456B">
              <w:rPr>
                <w:sz w:val="18"/>
                <w:szCs w:val="18"/>
                <w:lang w:val="es-ES"/>
              </w:rPr>
              <w:t xml:space="preserve">Se ha progresado hacia la </w:t>
            </w:r>
            <w:proofErr w:type="gramStart"/>
            <w:r w:rsidRPr="002B456B">
              <w:rPr>
                <w:sz w:val="18"/>
                <w:szCs w:val="18"/>
                <w:lang w:val="es-ES"/>
              </w:rPr>
              <w:t>meta</w:t>
            </w:r>
            <w:proofErr w:type="gramEnd"/>
            <w:r w:rsidRPr="002B456B">
              <w:rPr>
                <w:sz w:val="18"/>
                <w:szCs w:val="18"/>
                <w:lang w:val="es-ES"/>
              </w:rPr>
              <w:t xml:space="preserve"> pero a un ritmo insuficiente</w:t>
            </w:r>
          </w:p>
        </w:tc>
      </w:tr>
      <w:tr w:rsidR="002B456B" w:rsidRPr="002B456B" w14:paraId="3EF00052" w14:textId="77777777" w:rsidTr="002B456B">
        <w:tc>
          <w:tcPr>
            <w:tcW w:w="4498" w:type="dxa"/>
          </w:tcPr>
          <w:p w14:paraId="6C472D21" w14:textId="77777777" w:rsidR="002B456B" w:rsidRPr="002B456B" w:rsidRDefault="002B456B" w:rsidP="002B456B">
            <w:pPr>
              <w:spacing w:line="278" w:lineRule="auto"/>
              <w:rPr>
                <w:sz w:val="18"/>
                <w:szCs w:val="18"/>
                <w:lang w:val="es-ES"/>
              </w:rPr>
            </w:pPr>
            <w:r w:rsidRPr="002B456B">
              <w:rPr>
                <w:sz w:val="18"/>
                <w:szCs w:val="18"/>
                <w:lang w:val="es-ES"/>
              </w:rPr>
              <w:t xml:space="preserve">No </w:t>
            </w:r>
            <w:proofErr w:type="spellStart"/>
            <w:r w:rsidRPr="002B456B">
              <w:rPr>
                <w:sz w:val="18"/>
                <w:szCs w:val="18"/>
                <w:lang w:val="es-ES"/>
              </w:rPr>
              <w:t>significant</w:t>
            </w:r>
            <w:proofErr w:type="spellEnd"/>
            <w:r w:rsidRPr="002B456B">
              <w:rPr>
                <w:sz w:val="18"/>
                <w:szCs w:val="18"/>
                <w:lang w:val="es-ES"/>
              </w:rPr>
              <w:t xml:space="preserve"> </w:t>
            </w:r>
            <w:proofErr w:type="spellStart"/>
            <w:r w:rsidRPr="002B456B">
              <w:rPr>
                <w:sz w:val="18"/>
                <w:szCs w:val="18"/>
                <w:lang w:val="es-ES"/>
              </w:rPr>
              <w:t>change</w:t>
            </w:r>
            <w:proofErr w:type="spellEnd"/>
          </w:p>
        </w:tc>
        <w:tc>
          <w:tcPr>
            <w:tcW w:w="4855" w:type="dxa"/>
          </w:tcPr>
          <w:p w14:paraId="019B32EB" w14:textId="2605F8CC" w:rsidR="002B456B" w:rsidRPr="002B456B" w:rsidRDefault="002B456B" w:rsidP="002B456B">
            <w:pPr>
              <w:spacing w:line="278" w:lineRule="auto"/>
              <w:rPr>
                <w:sz w:val="18"/>
                <w:szCs w:val="18"/>
                <w:lang w:val="es-ES"/>
              </w:rPr>
            </w:pPr>
            <w:r w:rsidRPr="002B456B">
              <w:rPr>
                <w:sz w:val="18"/>
                <w:szCs w:val="18"/>
                <w:lang w:val="es-ES"/>
              </w:rPr>
              <w:t>No hay cambios significativos</w:t>
            </w:r>
          </w:p>
        </w:tc>
      </w:tr>
      <w:tr w:rsidR="002B456B" w:rsidRPr="002B456B" w14:paraId="1FDD4C3F" w14:textId="77777777" w:rsidTr="002B456B">
        <w:tc>
          <w:tcPr>
            <w:tcW w:w="4498" w:type="dxa"/>
          </w:tcPr>
          <w:p w14:paraId="18492FEB" w14:textId="77777777" w:rsidR="002B456B" w:rsidRPr="002B456B" w:rsidRDefault="002B456B" w:rsidP="002B456B">
            <w:pPr>
              <w:spacing w:line="278" w:lineRule="auto"/>
              <w:rPr>
                <w:sz w:val="18"/>
                <w:szCs w:val="18"/>
                <w:lang w:val="es-ES"/>
              </w:rPr>
            </w:pPr>
            <w:r w:rsidRPr="002B456B">
              <w:rPr>
                <w:sz w:val="18"/>
                <w:szCs w:val="18"/>
                <w:lang w:val="es-ES"/>
              </w:rPr>
              <w:t>Unknown</w:t>
            </w:r>
          </w:p>
        </w:tc>
        <w:tc>
          <w:tcPr>
            <w:tcW w:w="4855" w:type="dxa"/>
          </w:tcPr>
          <w:p w14:paraId="4AC013F3" w14:textId="4E26788F" w:rsidR="002B456B" w:rsidRPr="002B456B" w:rsidRDefault="002B456B" w:rsidP="002B456B">
            <w:pPr>
              <w:spacing w:line="278" w:lineRule="auto"/>
              <w:rPr>
                <w:sz w:val="18"/>
                <w:szCs w:val="18"/>
                <w:lang w:val="es-ES"/>
              </w:rPr>
            </w:pPr>
            <w:r w:rsidRPr="002B456B">
              <w:rPr>
                <w:sz w:val="18"/>
                <w:szCs w:val="18"/>
                <w:lang w:val="es-ES"/>
              </w:rPr>
              <w:t>Se desconoce</w:t>
            </w:r>
          </w:p>
        </w:tc>
      </w:tr>
      <w:tr w:rsidR="002B456B" w:rsidRPr="002B456B" w14:paraId="32EED5B1" w14:textId="77777777" w:rsidTr="002B456B">
        <w:tc>
          <w:tcPr>
            <w:tcW w:w="4498" w:type="dxa"/>
          </w:tcPr>
          <w:p w14:paraId="07C2D9C4" w14:textId="77777777" w:rsidR="002B456B" w:rsidRPr="002B456B" w:rsidRDefault="002B456B" w:rsidP="002B456B">
            <w:pPr>
              <w:spacing w:line="278" w:lineRule="auto"/>
              <w:rPr>
                <w:sz w:val="18"/>
                <w:szCs w:val="18"/>
                <w:lang w:val="es-ES"/>
              </w:rPr>
            </w:pPr>
            <w:r w:rsidRPr="002B456B">
              <w:rPr>
                <w:sz w:val="18"/>
                <w:szCs w:val="18"/>
                <w:lang w:val="es-ES"/>
              </w:rPr>
              <w:t xml:space="preserve">Party </w:t>
            </w:r>
            <w:proofErr w:type="spellStart"/>
            <w:r w:rsidRPr="002B456B">
              <w:rPr>
                <w:sz w:val="18"/>
                <w:szCs w:val="18"/>
                <w:lang w:val="es-ES"/>
              </w:rPr>
              <w:t>count</w:t>
            </w:r>
            <w:proofErr w:type="spellEnd"/>
            <w:r w:rsidRPr="002B456B">
              <w:rPr>
                <w:sz w:val="18"/>
                <w:szCs w:val="18"/>
                <w:lang w:val="es-ES"/>
              </w:rPr>
              <w:t>: 76</w:t>
            </w:r>
          </w:p>
        </w:tc>
        <w:tc>
          <w:tcPr>
            <w:tcW w:w="4855" w:type="dxa"/>
          </w:tcPr>
          <w:p w14:paraId="5928F59D" w14:textId="34EBE69C" w:rsidR="002B456B" w:rsidRPr="002B456B" w:rsidRDefault="002B456B" w:rsidP="002B456B">
            <w:pPr>
              <w:spacing w:line="278" w:lineRule="auto"/>
              <w:rPr>
                <w:sz w:val="18"/>
                <w:szCs w:val="18"/>
                <w:lang w:val="es-ES"/>
              </w:rPr>
            </w:pPr>
            <w:r w:rsidRPr="002B456B">
              <w:rPr>
                <w:sz w:val="18"/>
                <w:szCs w:val="18"/>
                <w:lang w:val="es-ES"/>
              </w:rPr>
              <w:t>Número de Partes: 76</w:t>
            </w:r>
          </w:p>
        </w:tc>
      </w:tr>
      <w:tr w:rsidR="002B456B" w:rsidRPr="002B456B" w14:paraId="0E5501B1" w14:textId="77777777" w:rsidTr="002B456B">
        <w:tc>
          <w:tcPr>
            <w:tcW w:w="4498" w:type="dxa"/>
          </w:tcPr>
          <w:p w14:paraId="0F88A4F8" w14:textId="77777777" w:rsidR="002B456B" w:rsidRPr="002B456B" w:rsidRDefault="002B456B" w:rsidP="002B456B">
            <w:pPr>
              <w:spacing w:line="278" w:lineRule="auto"/>
              <w:rPr>
                <w:sz w:val="18"/>
                <w:szCs w:val="18"/>
                <w:lang w:val="es-ES"/>
              </w:rPr>
            </w:pPr>
            <w:proofErr w:type="spellStart"/>
            <w:r w:rsidRPr="002B456B">
              <w:rPr>
                <w:sz w:val="18"/>
                <w:szCs w:val="18"/>
                <w:lang w:val="es-ES"/>
              </w:rPr>
              <w:t>Region</w:t>
            </w:r>
            <w:proofErr w:type="spellEnd"/>
          </w:p>
        </w:tc>
        <w:tc>
          <w:tcPr>
            <w:tcW w:w="4855" w:type="dxa"/>
          </w:tcPr>
          <w:p w14:paraId="082D8461" w14:textId="58FAAE49" w:rsidR="002B456B" w:rsidRPr="002B456B" w:rsidRDefault="002B456B" w:rsidP="002B456B">
            <w:pPr>
              <w:spacing w:line="278" w:lineRule="auto"/>
              <w:rPr>
                <w:sz w:val="18"/>
                <w:szCs w:val="18"/>
                <w:lang w:val="es-ES"/>
              </w:rPr>
            </w:pPr>
            <w:r w:rsidRPr="002B456B">
              <w:rPr>
                <w:sz w:val="18"/>
                <w:szCs w:val="18"/>
                <w:lang w:val="es-ES"/>
              </w:rPr>
              <w:t>Región</w:t>
            </w:r>
          </w:p>
        </w:tc>
      </w:tr>
      <w:tr w:rsidR="002B456B" w:rsidRPr="002B456B" w14:paraId="1C810444" w14:textId="77777777" w:rsidTr="002B456B">
        <w:tc>
          <w:tcPr>
            <w:tcW w:w="4498" w:type="dxa"/>
          </w:tcPr>
          <w:p w14:paraId="6E2E9E91" w14:textId="77777777" w:rsidR="002B456B" w:rsidRPr="002B456B" w:rsidRDefault="002B456B" w:rsidP="002B456B">
            <w:pPr>
              <w:spacing w:line="278" w:lineRule="auto"/>
              <w:rPr>
                <w:sz w:val="18"/>
                <w:szCs w:val="18"/>
                <w:lang w:val="es-ES"/>
              </w:rPr>
            </w:pPr>
            <w:r w:rsidRPr="002B456B">
              <w:rPr>
                <w:sz w:val="18"/>
                <w:szCs w:val="18"/>
                <w:lang w:val="es-ES"/>
              </w:rPr>
              <w:t>African States</w:t>
            </w:r>
          </w:p>
        </w:tc>
        <w:tc>
          <w:tcPr>
            <w:tcW w:w="4855" w:type="dxa"/>
          </w:tcPr>
          <w:p w14:paraId="0D861485" w14:textId="23FD0887" w:rsidR="002B456B" w:rsidRPr="002B456B" w:rsidRDefault="002B456B" w:rsidP="002B456B">
            <w:pPr>
              <w:spacing w:line="278" w:lineRule="auto"/>
              <w:rPr>
                <w:sz w:val="18"/>
                <w:szCs w:val="18"/>
                <w:lang w:val="es-ES"/>
              </w:rPr>
            </w:pPr>
            <w:r w:rsidRPr="002B456B">
              <w:rPr>
                <w:sz w:val="18"/>
                <w:szCs w:val="18"/>
                <w:lang w:val="es-ES"/>
              </w:rPr>
              <w:t>Estados de África</w:t>
            </w:r>
          </w:p>
        </w:tc>
      </w:tr>
      <w:tr w:rsidR="002B456B" w:rsidRPr="002B456B" w14:paraId="15C46ADC" w14:textId="77777777" w:rsidTr="002B456B">
        <w:tc>
          <w:tcPr>
            <w:tcW w:w="4498" w:type="dxa"/>
          </w:tcPr>
          <w:p w14:paraId="1C8D5AF4" w14:textId="77777777" w:rsidR="002B456B" w:rsidRPr="002B456B" w:rsidRDefault="002B456B" w:rsidP="002B456B">
            <w:pPr>
              <w:spacing w:line="278" w:lineRule="auto"/>
              <w:rPr>
                <w:sz w:val="18"/>
                <w:szCs w:val="18"/>
                <w:lang w:val="es-ES"/>
              </w:rPr>
            </w:pPr>
            <w:r w:rsidRPr="002B456B">
              <w:rPr>
                <w:sz w:val="18"/>
                <w:szCs w:val="18"/>
                <w:lang w:val="es-ES"/>
              </w:rPr>
              <w:t>Asia- Pacific States</w:t>
            </w:r>
          </w:p>
        </w:tc>
        <w:tc>
          <w:tcPr>
            <w:tcW w:w="4855" w:type="dxa"/>
          </w:tcPr>
          <w:p w14:paraId="75E70998" w14:textId="3D3CECFF" w:rsidR="002B456B" w:rsidRPr="002B456B" w:rsidRDefault="002B456B" w:rsidP="002B456B">
            <w:pPr>
              <w:spacing w:line="278" w:lineRule="auto"/>
              <w:rPr>
                <w:sz w:val="18"/>
                <w:szCs w:val="18"/>
                <w:lang w:val="es-ES"/>
              </w:rPr>
            </w:pPr>
            <w:r w:rsidRPr="002B456B">
              <w:rPr>
                <w:sz w:val="18"/>
                <w:szCs w:val="18"/>
                <w:lang w:val="es-ES"/>
              </w:rPr>
              <w:t>Estados de Asia y el Pacífico</w:t>
            </w:r>
          </w:p>
        </w:tc>
      </w:tr>
      <w:tr w:rsidR="002B456B" w:rsidRPr="002B456B" w14:paraId="5483DE65" w14:textId="77777777" w:rsidTr="002B456B">
        <w:tc>
          <w:tcPr>
            <w:tcW w:w="4498" w:type="dxa"/>
          </w:tcPr>
          <w:p w14:paraId="2B444813" w14:textId="77777777" w:rsidR="002B456B" w:rsidRPr="002B456B" w:rsidRDefault="002B456B" w:rsidP="002B456B">
            <w:pPr>
              <w:spacing w:line="278" w:lineRule="auto"/>
              <w:rPr>
                <w:sz w:val="18"/>
                <w:szCs w:val="18"/>
                <w:lang w:val="en-US"/>
              </w:rPr>
            </w:pPr>
            <w:r w:rsidRPr="002B456B">
              <w:rPr>
                <w:sz w:val="18"/>
                <w:szCs w:val="18"/>
                <w:lang w:val="en-US"/>
              </w:rPr>
              <w:t>Latin American and Caribbean States</w:t>
            </w:r>
          </w:p>
        </w:tc>
        <w:tc>
          <w:tcPr>
            <w:tcW w:w="4855" w:type="dxa"/>
          </w:tcPr>
          <w:p w14:paraId="758DC5AF" w14:textId="655CD730" w:rsidR="002B456B" w:rsidRPr="002B456B" w:rsidRDefault="002B456B" w:rsidP="002B456B">
            <w:pPr>
              <w:spacing w:line="278" w:lineRule="auto"/>
              <w:rPr>
                <w:sz w:val="18"/>
                <w:szCs w:val="18"/>
                <w:lang w:val="es-ES"/>
              </w:rPr>
            </w:pPr>
            <w:r w:rsidRPr="002B456B">
              <w:rPr>
                <w:sz w:val="18"/>
                <w:szCs w:val="18"/>
                <w:lang w:val="es-ES"/>
              </w:rPr>
              <w:t>Estados de América Latina y el Caribe</w:t>
            </w:r>
          </w:p>
        </w:tc>
      </w:tr>
      <w:tr w:rsidR="002B456B" w:rsidRPr="002B456B" w14:paraId="1E7114E5" w14:textId="77777777" w:rsidTr="002B456B">
        <w:tc>
          <w:tcPr>
            <w:tcW w:w="4498" w:type="dxa"/>
          </w:tcPr>
          <w:p w14:paraId="61F7B0C4" w14:textId="77777777" w:rsidR="002B456B" w:rsidRPr="002B456B" w:rsidRDefault="002B456B" w:rsidP="002B456B">
            <w:pPr>
              <w:spacing w:line="278" w:lineRule="auto"/>
              <w:rPr>
                <w:sz w:val="18"/>
                <w:szCs w:val="18"/>
                <w:lang w:val="es-ES"/>
              </w:rPr>
            </w:pPr>
            <w:r w:rsidRPr="002B456B">
              <w:rPr>
                <w:sz w:val="18"/>
                <w:szCs w:val="18"/>
                <w:lang w:val="es-ES"/>
              </w:rPr>
              <w:t xml:space="preserve"> Eastern European States</w:t>
            </w:r>
          </w:p>
        </w:tc>
        <w:tc>
          <w:tcPr>
            <w:tcW w:w="4855" w:type="dxa"/>
          </w:tcPr>
          <w:p w14:paraId="76453481" w14:textId="35B84380" w:rsidR="002B456B" w:rsidRPr="002B456B" w:rsidRDefault="002B456B" w:rsidP="002B456B">
            <w:pPr>
              <w:spacing w:line="278" w:lineRule="auto"/>
              <w:rPr>
                <w:sz w:val="18"/>
                <w:szCs w:val="18"/>
                <w:lang w:val="es-ES"/>
              </w:rPr>
            </w:pPr>
            <w:r w:rsidRPr="002B456B">
              <w:rPr>
                <w:sz w:val="18"/>
                <w:szCs w:val="18"/>
                <w:lang w:val="es-ES"/>
              </w:rPr>
              <w:t>Estados de Europa Oriental</w:t>
            </w:r>
          </w:p>
        </w:tc>
      </w:tr>
      <w:tr w:rsidR="002B456B" w:rsidRPr="002B456B" w14:paraId="6E175252" w14:textId="77777777" w:rsidTr="002B456B">
        <w:tc>
          <w:tcPr>
            <w:tcW w:w="4498" w:type="dxa"/>
          </w:tcPr>
          <w:p w14:paraId="733B5CF8" w14:textId="77777777" w:rsidR="002B456B" w:rsidRPr="002B456B" w:rsidRDefault="002B456B" w:rsidP="002B456B">
            <w:pPr>
              <w:spacing w:line="278" w:lineRule="auto"/>
              <w:rPr>
                <w:sz w:val="18"/>
                <w:szCs w:val="18"/>
                <w:lang w:val="en-US"/>
              </w:rPr>
            </w:pPr>
            <w:r w:rsidRPr="002B456B">
              <w:rPr>
                <w:sz w:val="18"/>
                <w:szCs w:val="18"/>
                <w:lang w:val="en-US"/>
              </w:rPr>
              <w:t>Western European and other States</w:t>
            </w:r>
          </w:p>
        </w:tc>
        <w:tc>
          <w:tcPr>
            <w:tcW w:w="4855" w:type="dxa"/>
          </w:tcPr>
          <w:p w14:paraId="476A96BF" w14:textId="79025106" w:rsidR="002B456B" w:rsidRPr="002B456B" w:rsidRDefault="002B456B" w:rsidP="002B456B">
            <w:pPr>
              <w:spacing w:line="278" w:lineRule="auto"/>
              <w:rPr>
                <w:sz w:val="18"/>
                <w:szCs w:val="18"/>
                <w:lang w:val="es-ES"/>
              </w:rPr>
            </w:pPr>
            <w:r w:rsidRPr="002B456B">
              <w:rPr>
                <w:sz w:val="18"/>
                <w:szCs w:val="18"/>
                <w:lang w:val="es-ES"/>
              </w:rPr>
              <w:t>Estados de Europa Occidental y otros Estados</w:t>
            </w:r>
          </w:p>
        </w:tc>
      </w:tr>
    </w:tbl>
    <w:p w14:paraId="48962265" w14:textId="77777777" w:rsidR="009713BF" w:rsidRPr="005E3D50" w:rsidRDefault="009713BF" w:rsidP="009713BF">
      <w:pPr>
        <w:rPr>
          <w:lang w:val="es-ES"/>
        </w:rPr>
      </w:pPr>
    </w:p>
    <w:p w14:paraId="42B2679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26" w:name="_Toc235821248"/>
      <w:r w:rsidRPr="005E3D50">
        <w:rPr>
          <w:rFonts w:eastAsiaTheme="majorEastAsia" w:cstheme="majorBidi"/>
          <w:color w:val="0F4761" w:themeColor="accent1" w:themeShade="BF"/>
          <w:lang w:val="es-ES"/>
        </w:rPr>
        <w:t>Medidas, logros y dificultades</w:t>
      </w:r>
      <w:bookmarkEnd w:id="426"/>
      <w:r w:rsidRPr="005E3D50">
        <w:rPr>
          <w:rFonts w:eastAsiaTheme="majorEastAsia" w:cstheme="majorBidi"/>
          <w:color w:val="0F4761" w:themeColor="accent1" w:themeShade="BF"/>
          <w:lang w:val="es-ES"/>
        </w:rPr>
        <w:t xml:space="preserve"> en la implementación</w:t>
      </w:r>
    </w:p>
    <w:p w14:paraId="513DD397" w14:textId="77777777" w:rsidR="009713BF" w:rsidRPr="005E3D50" w:rsidRDefault="009713BF" w:rsidP="009713BF">
      <w:pPr>
        <w:rPr>
          <w:lang w:val="es-ES"/>
        </w:rPr>
      </w:pPr>
    </w:p>
    <w:p w14:paraId="4BEB34B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27" w:name="_Toc235821249"/>
      <w:r w:rsidRPr="005E3D50">
        <w:rPr>
          <w:rFonts w:eastAsiaTheme="majorEastAsia" w:cstheme="majorBidi"/>
          <w:i/>
          <w:iCs/>
          <w:color w:val="595959" w:themeColor="text1" w:themeTint="A6"/>
          <w:lang w:val="es-ES"/>
        </w:rPr>
        <w:t>Resumen de medidas en apoyo a la meta 16</w:t>
      </w:r>
      <w:bookmarkEnd w:id="427"/>
      <w:r w:rsidRPr="005E3D50">
        <w:rPr>
          <w:rFonts w:eastAsiaTheme="majorEastAsia" w:cstheme="majorBidi"/>
          <w:i/>
          <w:iCs/>
          <w:color w:val="595959" w:themeColor="text1" w:themeTint="A6"/>
          <w:lang w:val="es-ES"/>
        </w:rPr>
        <w:t xml:space="preserve"> del Marco</w:t>
      </w:r>
    </w:p>
    <w:p w14:paraId="19529A7D" w14:textId="77777777" w:rsidR="009713BF" w:rsidRPr="005E3D50" w:rsidRDefault="009713BF" w:rsidP="009713BF">
      <w:pPr>
        <w:rPr>
          <w:lang w:val="es-ES"/>
        </w:rPr>
      </w:pPr>
    </w:p>
    <w:p w14:paraId="10FD7BDD" w14:textId="77777777" w:rsidR="009713BF" w:rsidRPr="005E3D50" w:rsidRDefault="009713BF" w:rsidP="009713BF">
      <w:pPr>
        <w:rPr>
          <w:lang w:val="es-ES"/>
        </w:rPr>
      </w:pPr>
      <w:r w:rsidRPr="005E3D50">
        <w:rPr>
          <w:lang w:val="es-ES"/>
        </w:rPr>
        <w:t xml:space="preserve">El enfoque más ampliamente adoptado para la consecución de la meta 16 es la promulgación o aplicación de instrumentos jurídicos en materia de desechos, plásticos y economía circular. Las prohibiciones o restricciones de plásticos de un solo uso son las medidas más frecuentemente comunicadas y figuran en todas las regiones y en países tanto en desarrollo como de ingresos altos (véase también la meta 7). Otra categoría de medidas que aparece muy frecuentemente en los informes nacionales es la introducción de sistemas de responsabilidad ampliada de los productores, que requieren que los productores asuman responsabilidad financiera o directa por los productos al final de su vida útil. Alrededor de un cuarto de las Partes que presentan información, distribuidas en igual medida entre países de altos ingresos y países en desarrollo, mencionan la responsabilidad ampliada de los productores como una contribución a la consecución de la meta 16. Casi todas las Partes que presentaron información también mencionan la adopción de medidas para promover la sensibilización, la educación y el cambio de comportamientos a fin de fomentar el consumo sostenible. Estas medidas incluyen desde la realización de campañas nacionales hasta la integración en programas educativos de mensajes sobre moderación del consumo de alimentos y minimización del desperdicio (véanse los recuadros 39 y 40). </w:t>
      </w:r>
    </w:p>
    <w:p w14:paraId="67858794" w14:textId="77777777" w:rsidR="009713BF" w:rsidRPr="005E3D50" w:rsidRDefault="009713BF" w:rsidP="009713BF">
      <w:pPr>
        <w:rPr>
          <w:lang w:val="es-ES"/>
        </w:rPr>
      </w:pPr>
    </w:p>
    <w:p w14:paraId="08AF1EB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28" w:name="_Toc235821250"/>
      <w:r w:rsidRPr="005E3D50">
        <w:rPr>
          <w:rFonts w:eastAsiaTheme="majorEastAsia" w:cstheme="majorBidi"/>
          <w:i/>
          <w:iCs/>
          <w:color w:val="595959" w:themeColor="text1" w:themeTint="A6"/>
          <w:lang w:val="es-ES"/>
        </w:rPr>
        <w:t>Ejemplos de logros y progresos en la implementación</w:t>
      </w:r>
      <w:bookmarkEnd w:id="428"/>
    </w:p>
    <w:p w14:paraId="413B4108"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942359" w14:paraId="52106BEA" w14:textId="77777777" w:rsidTr="006E6831">
        <w:tc>
          <w:tcPr>
            <w:tcW w:w="9016" w:type="dxa"/>
            <w:shd w:val="clear" w:color="auto" w:fill="D1D1D1" w:themeFill="background2" w:themeFillShade="E6"/>
          </w:tcPr>
          <w:p w14:paraId="193A99DD" w14:textId="77777777" w:rsidR="009713BF" w:rsidRPr="005E3D50" w:rsidRDefault="009713BF" w:rsidP="009713BF">
            <w:pPr>
              <w:rPr>
                <w:sz w:val="20"/>
                <w:szCs w:val="20"/>
                <w:lang w:val="es-ES"/>
              </w:rPr>
            </w:pPr>
          </w:p>
          <w:p w14:paraId="782D7179" w14:textId="77777777" w:rsidR="009713BF" w:rsidRPr="005E3D50" w:rsidRDefault="009713BF" w:rsidP="009713BF">
            <w:pPr>
              <w:rPr>
                <w:sz w:val="20"/>
                <w:szCs w:val="20"/>
                <w:lang w:val="es-ES"/>
              </w:rPr>
            </w:pPr>
            <w:r w:rsidRPr="005E3D50">
              <w:rPr>
                <w:sz w:val="20"/>
                <w:lang w:val="es-ES"/>
              </w:rPr>
              <w:t>Recuadro 39</w:t>
            </w:r>
          </w:p>
          <w:p w14:paraId="02672606" w14:textId="77777777" w:rsidR="009713BF" w:rsidRPr="005E3D50" w:rsidRDefault="009713BF" w:rsidP="009713BF">
            <w:pPr>
              <w:spacing w:after="160" w:line="278" w:lineRule="auto"/>
              <w:rPr>
                <w:b/>
                <w:bCs/>
                <w:sz w:val="20"/>
                <w:szCs w:val="20"/>
                <w:lang w:val="es-ES"/>
              </w:rPr>
            </w:pPr>
            <w:r w:rsidRPr="005E3D50">
              <w:rPr>
                <w:b/>
                <w:sz w:val="20"/>
                <w:lang w:val="es-ES"/>
              </w:rPr>
              <w:t>Academia de compost: educación escolar sobre economía circular en Armenia</w:t>
            </w:r>
          </w:p>
          <w:p w14:paraId="4A2A596B" w14:textId="77777777" w:rsidR="009713BF" w:rsidRPr="005E3D50" w:rsidRDefault="009713BF" w:rsidP="009713BF">
            <w:pPr>
              <w:rPr>
                <w:lang w:val="es-ES"/>
              </w:rPr>
            </w:pPr>
          </w:p>
          <w:p w14:paraId="55B54247" w14:textId="77777777" w:rsidR="009713BF" w:rsidRPr="005E3D50" w:rsidRDefault="009713BF" w:rsidP="009713BF">
            <w:pPr>
              <w:spacing w:after="160" w:line="278" w:lineRule="auto"/>
              <w:rPr>
                <w:sz w:val="20"/>
                <w:szCs w:val="20"/>
                <w:lang w:val="es-ES"/>
              </w:rPr>
            </w:pPr>
            <w:r w:rsidRPr="005E3D50">
              <w:rPr>
                <w:sz w:val="20"/>
                <w:lang w:val="es-ES"/>
              </w:rPr>
              <w:t>Los desechos orgánicos contribuyen sustancialmente a la degradación ambiental en Armenia. Con el fin de aumentar los programas de sensibilización del público y las medidas educativas tendientes a prevenir el desperdicio de alimentos y el consumo excesivo, en 2021 y 2022 Armenia ejecutó su proyecto “Academia de compost” en las regiones de Ereván y Armavir. En el marco de esa iniciativa, más de 500 alumnos recibieron cursos prácticos de compostaje y gestión de desechos orgánicos. Se llegó a más de 50.000 personas a través de campañas de sensibilización y se produjeron y difundieron más de 50 materiales de comunicación, entre videos, publicaciones en redes sociales y guías educativas. El proyecto comprendió además la creación de estaciones de aprendizaje práctico de compostaje en 11 centros educativos, que incluían cubetas de compostaje y el desarrollo de sitios de compostaje. También llevo a cabo experiencias piloto de compostaje de desechos orgánicos en 12 organizaciones cuyas actividades se desarrollan en oficinas, que incluían la instalación de cubetas de compostaje en los lugares de trabajo.</w:t>
            </w:r>
          </w:p>
          <w:p w14:paraId="25BC778F" w14:textId="77777777" w:rsidR="009713BF" w:rsidRPr="005E3D50" w:rsidRDefault="009713BF" w:rsidP="009713BF">
            <w:pPr>
              <w:spacing w:after="160" w:line="278" w:lineRule="auto"/>
              <w:rPr>
                <w:sz w:val="20"/>
                <w:szCs w:val="20"/>
                <w:lang w:val="es-ES"/>
              </w:rPr>
            </w:pPr>
            <w:r w:rsidRPr="005E3D50">
              <w:rPr>
                <w:sz w:val="20"/>
                <w:lang w:val="es-ES"/>
              </w:rPr>
              <w:t xml:space="preserve">Dirigido por la ONG Innovative </w:t>
            </w:r>
            <w:proofErr w:type="spellStart"/>
            <w:r w:rsidRPr="005E3D50">
              <w:rPr>
                <w:sz w:val="20"/>
                <w:lang w:val="es-ES"/>
              </w:rPr>
              <w:t>Solutions</w:t>
            </w:r>
            <w:proofErr w:type="spellEnd"/>
            <w:r w:rsidRPr="005E3D50">
              <w:rPr>
                <w:sz w:val="20"/>
                <w:lang w:val="es-ES"/>
              </w:rPr>
              <w:t xml:space="preserve"> for </w:t>
            </w:r>
            <w:proofErr w:type="spellStart"/>
            <w:r w:rsidRPr="005E3D50">
              <w:rPr>
                <w:sz w:val="20"/>
                <w:lang w:val="es-ES"/>
              </w:rPr>
              <w:t>Sustainable</w:t>
            </w:r>
            <w:proofErr w:type="spellEnd"/>
            <w:r w:rsidRPr="005E3D50">
              <w:rPr>
                <w:sz w:val="20"/>
                <w:lang w:val="es-ES"/>
              </w:rPr>
              <w:t xml:space="preserve"> Development of </w:t>
            </w:r>
            <w:proofErr w:type="spellStart"/>
            <w:r w:rsidRPr="005E3D50">
              <w:rPr>
                <w:sz w:val="20"/>
                <w:lang w:val="es-ES"/>
              </w:rPr>
              <w:t>Communities</w:t>
            </w:r>
            <w:proofErr w:type="spellEnd"/>
            <w:r w:rsidRPr="005E3D50">
              <w:rPr>
                <w:sz w:val="20"/>
                <w:lang w:val="es-ES"/>
              </w:rPr>
              <w:t xml:space="preserve">, en colaboración con el PNUD a través del Programa de Pequeñas Donaciones del FMAM, el proyecto fomentó opciones de consumo sostenible para reducir el desperdicio y el consumo excesivo mediante la sensibilización del público y la instalación de la infraestructura necesaria para que las personas participen a nivel comunitario en la gestión eficaz de los desechos </w:t>
            </w:r>
            <w:proofErr w:type="spellStart"/>
            <w:r w:rsidRPr="005E3D50">
              <w:rPr>
                <w:sz w:val="20"/>
                <w:lang w:val="es-ES"/>
              </w:rPr>
              <w:t>orgánicos</w:t>
            </w:r>
            <w:r w:rsidRPr="005E3D50">
              <w:rPr>
                <w:sz w:val="20"/>
                <w:vertAlign w:val="superscript"/>
                <w:lang w:val="es-ES"/>
              </w:rPr>
              <w:t>a</w:t>
            </w:r>
            <w:proofErr w:type="spellEnd"/>
            <w:r w:rsidRPr="005E3D50">
              <w:rPr>
                <w:sz w:val="20"/>
                <w:lang w:val="es-ES"/>
              </w:rPr>
              <w:t>.</w:t>
            </w:r>
          </w:p>
          <w:p w14:paraId="4A4373A7" w14:textId="77777777" w:rsidR="009713BF" w:rsidRPr="005E3D50" w:rsidRDefault="009713BF" w:rsidP="009713BF">
            <w:pPr>
              <w:spacing w:after="160" w:line="278" w:lineRule="auto"/>
              <w:rPr>
                <w:sz w:val="20"/>
                <w:szCs w:val="20"/>
                <w:lang w:val="es-ES"/>
              </w:rPr>
            </w:pPr>
            <w:r w:rsidRPr="005E3D50">
              <w:rPr>
                <w:sz w:val="20"/>
                <w:lang w:val="es-ES"/>
              </w:rPr>
              <w:t>Este proyecto contribuye a reducir y mitigar los riesgos provocados por el cambio climático disminuyendo en aproximadamente 20 toneladas el volumen de desechos orgánicos de alimentos que se eliminan en vertederos, reduciendo así las emisiones de metano, a la vez que se convierten desechos orgánicos en un fertilizante de alto valor que sirve para enriquecer la calidad de los suelos. También está en consonancia con la meta nacional fijada por Armenia de reducción del desperdicio de alimentos y el consumo excesivo, a través de iniciativas educativas y campañas de sensibilización dirigidas.</w:t>
            </w:r>
          </w:p>
          <w:p w14:paraId="18B8AB2E" w14:textId="77777777" w:rsidR="009713BF" w:rsidRPr="005E3D50" w:rsidRDefault="009713BF" w:rsidP="009713BF">
            <w:pPr>
              <w:rPr>
                <w:lang w:val="es-ES"/>
              </w:rPr>
            </w:pPr>
          </w:p>
          <w:p w14:paraId="7F8BD18F"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7, 8, 16, 20 y 21.</w:t>
            </w:r>
          </w:p>
          <w:p w14:paraId="31F35096" w14:textId="77777777" w:rsidR="009713BF" w:rsidRPr="005E3D50" w:rsidRDefault="009713BF" w:rsidP="009713BF">
            <w:pPr>
              <w:rPr>
                <w:iCs/>
                <w:sz w:val="20"/>
                <w:szCs w:val="20"/>
                <w:lang w:val="es-ES"/>
              </w:rPr>
            </w:pPr>
            <w:r w:rsidRPr="005E3D50">
              <w:rPr>
                <w:i/>
                <w:sz w:val="20"/>
                <w:lang w:val="es-ES"/>
              </w:rPr>
              <w:t xml:space="preserve">Fuentes: </w:t>
            </w:r>
            <w:r w:rsidRPr="005E3D50">
              <w:rPr>
                <w:sz w:val="20"/>
                <w:lang w:val="es-ES"/>
              </w:rPr>
              <w:t>Armenia, séptimo informe nacional presentado al Convenio.</w:t>
            </w:r>
          </w:p>
          <w:p w14:paraId="5E676B39" w14:textId="77777777" w:rsidR="009713BF" w:rsidRPr="005E3D50" w:rsidRDefault="009713BF" w:rsidP="009713BF">
            <w:pPr>
              <w:rPr>
                <w:iCs/>
                <w:sz w:val="20"/>
                <w:szCs w:val="20"/>
                <w:lang w:val="es-ES"/>
              </w:rPr>
            </w:pPr>
          </w:p>
          <w:p w14:paraId="408956A7" w14:textId="77777777" w:rsidR="009713BF" w:rsidRPr="00673184" w:rsidRDefault="009713BF" w:rsidP="009713BF">
            <w:pPr>
              <w:rPr>
                <w:sz w:val="18"/>
                <w:szCs w:val="18"/>
                <w:lang w:val="fr-FR"/>
              </w:rPr>
            </w:pPr>
            <w:proofErr w:type="spellStart"/>
            <w:proofErr w:type="gramStart"/>
            <w:r w:rsidRPr="00673184">
              <w:rPr>
                <w:i/>
                <w:sz w:val="18"/>
                <w:szCs w:val="18"/>
                <w:vertAlign w:val="superscript"/>
                <w:lang w:val="fr-FR"/>
              </w:rPr>
              <w:t>a</w:t>
            </w:r>
            <w:proofErr w:type="spellEnd"/>
            <w:proofErr w:type="gramEnd"/>
            <w:r w:rsidRPr="00673184">
              <w:rPr>
                <w:sz w:val="18"/>
                <w:szCs w:val="18"/>
                <w:lang w:val="fr-FR"/>
              </w:rPr>
              <w:t xml:space="preserve"> </w:t>
            </w:r>
            <w:proofErr w:type="spellStart"/>
            <w:r w:rsidRPr="00673184">
              <w:rPr>
                <w:sz w:val="18"/>
                <w:lang w:val="fr-FR"/>
              </w:rPr>
              <w:t>Véase</w:t>
            </w:r>
            <w:proofErr w:type="spellEnd"/>
            <w:r w:rsidRPr="00673184">
              <w:rPr>
                <w:sz w:val="18"/>
                <w:lang w:val="fr-FR"/>
              </w:rPr>
              <w:t xml:space="preserve"> </w:t>
            </w:r>
            <w:hyperlink r:id="rId169">
              <w:r w:rsidRPr="00673184">
                <w:rPr>
                  <w:color w:val="000000" w:themeColor="text1"/>
                  <w:sz w:val="20"/>
                  <w:lang w:val="fr-FR"/>
                </w:rPr>
                <w:t>https://issdngo.com/en/projects/ongoing/compost-academy/</w:t>
              </w:r>
            </w:hyperlink>
            <w:r w:rsidRPr="00673184">
              <w:rPr>
                <w:sz w:val="20"/>
                <w:lang w:val="fr-FR"/>
              </w:rPr>
              <w:t>.</w:t>
            </w:r>
          </w:p>
          <w:p w14:paraId="6FCE228D" w14:textId="77777777" w:rsidR="009713BF" w:rsidRPr="00673184" w:rsidRDefault="009713BF" w:rsidP="009713BF">
            <w:pPr>
              <w:rPr>
                <w:i/>
                <w:lang w:val="fr-FR"/>
              </w:rPr>
            </w:pPr>
          </w:p>
        </w:tc>
      </w:tr>
    </w:tbl>
    <w:p w14:paraId="5B08D10A" w14:textId="77777777" w:rsidR="009713BF" w:rsidRPr="00673184" w:rsidRDefault="009713BF" w:rsidP="009713BF">
      <w:pPr>
        <w:keepNext/>
        <w:keepLines/>
        <w:spacing w:before="40" w:after="0"/>
        <w:outlineLvl w:val="5"/>
        <w:rPr>
          <w:rFonts w:eastAsiaTheme="majorEastAsia" w:cstheme="majorBidi"/>
          <w:i/>
          <w:iCs/>
          <w:color w:val="595959" w:themeColor="text1" w:themeTint="A6"/>
          <w:lang w:val="fr-FR"/>
        </w:rPr>
      </w:pPr>
    </w:p>
    <w:p w14:paraId="7C484F16" w14:textId="77777777" w:rsidR="009713BF" w:rsidRPr="00673184" w:rsidRDefault="009713BF" w:rsidP="009713BF">
      <w:pPr>
        <w:keepNext/>
        <w:spacing w:after="200" w:line="240" w:lineRule="auto"/>
        <w:rPr>
          <w:rFonts w:eastAsiaTheme="minorEastAsia"/>
          <w:i/>
          <w:iCs/>
          <w:color w:val="0E2841" w:themeColor="text2"/>
          <w:kern w:val="0"/>
          <w:sz w:val="18"/>
          <w:szCs w:val="18"/>
          <w:lang w:val="fr-FR" w:eastAsia="ja-JP"/>
          <w14:ligatures w14:val="none"/>
        </w:rPr>
      </w:pPr>
    </w:p>
    <w:tbl>
      <w:tblPr>
        <w:tblStyle w:val="TableGrid"/>
        <w:tblW w:w="0" w:type="auto"/>
        <w:tblLook w:val="04A0" w:firstRow="1" w:lastRow="0" w:firstColumn="1" w:lastColumn="0" w:noHBand="0" w:noVBand="1"/>
      </w:tblPr>
      <w:tblGrid>
        <w:gridCol w:w="9067"/>
      </w:tblGrid>
      <w:tr w:rsidR="009713BF" w:rsidRPr="00942359" w14:paraId="4D460858" w14:textId="77777777" w:rsidTr="006E6831">
        <w:tc>
          <w:tcPr>
            <w:tcW w:w="9067" w:type="dxa"/>
            <w:shd w:val="clear" w:color="auto" w:fill="D1D1D1" w:themeFill="background2" w:themeFillShade="E6"/>
          </w:tcPr>
          <w:p w14:paraId="7D0EF2C1" w14:textId="77777777" w:rsidR="009713BF" w:rsidRPr="005E3D50" w:rsidRDefault="009713BF" w:rsidP="009713BF">
            <w:pPr>
              <w:keepNext/>
              <w:keepLines/>
              <w:rPr>
                <w:sz w:val="20"/>
                <w:szCs w:val="20"/>
                <w:lang w:val="es-ES"/>
              </w:rPr>
            </w:pPr>
            <w:r w:rsidRPr="005E3D50">
              <w:rPr>
                <w:sz w:val="20"/>
                <w:lang w:val="es-ES"/>
              </w:rPr>
              <w:t>Recuadro 40</w:t>
            </w:r>
          </w:p>
          <w:p w14:paraId="4183C861" w14:textId="77777777" w:rsidR="009713BF" w:rsidRPr="005E3D50" w:rsidRDefault="009713BF" w:rsidP="009713BF">
            <w:pPr>
              <w:keepNext/>
              <w:keepLines/>
              <w:spacing w:after="160" w:line="278" w:lineRule="auto"/>
              <w:rPr>
                <w:b/>
                <w:bCs/>
                <w:sz w:val="20"/>
                <w:szCs w:val="20"/>
                <w:lang w:val="es-ES"/>
              </w:rPr>
            </w:pPr>
            <w:r w:rsidRPr="005E3D50">
              <w:rPr>
                <w:b/>
                <w:sz w:val="20"/>
                <w:lang w:val="es-ES"/>
              </w:rPr>
              <w:t>Compras públicas ecológicas y sistema de devolución/depósito en la República Dominicana</w:t>
            </w:r>
          </w:p>
          <w:p w14:paraId="77AB0B39" w14:textId="77777777" w:rsidR="009713BF" w:rsidRPr="005E3D50" w:rsidRDefault="009713BF" w:rsidP="009713BF">
            <w:pPr>
              <w:rPr>
                <w:lang w:val="es-ES"/>
              </w:rPr>
            </w:pPr>
          </w:p>
          <w:p w14:paraId="77DA8FAD" w14:textId="77777777" w:rsidR="009713BF" w:rsidRPr="005E3D50" w:rsidRDefault="009713BF" w:rsidP="009713BF">
            <w:pPr>
              <w:spacing w:after="160" w:line="278" w:lineRule="auto"/>
              <w:rPr>
                <w:sz w:val="20"/>
                <w:szCs w:val="20"/>
                <w:lang w:val="es-ES"/>
              </w:rPr>
            </w:pPr>
            <w:r w:rsidRPr="005E3D50">
              <w:rPr>
                <w:sz w:val="20"/>
                <w:lang w:val="es-ES"/>
              </w:rPr>
              <w:t>La República Dominicana ha llevado a cabo una serie de iniciativas dirigidas a achicar la huella ecológica, reducir la generación de contaminación y desechos y contribuir a la conservación y la utilización sostenible de la diversidad biológica.</w:t>
            </w:r>
          </w:p>
          <w:p w14:paraId="16C6D75C" w14:textId="77777777" w:rsidR="009713BF" w:rsidRPr="005E3D50" w:rsidRDefault="009713BF" w:rsidP="009713BF">
            <w:pPr>
              <w:spacing w:after="160" w:line="278" w:lineRule="auto"/>
              <w:rPr>
                <w:sz w:val="20"/>
                <w:szCs w:val="20"/>
                <w:lang w:val="es-ES"/>
              </w:rPr>
            </w:pPr>
            <w:r w:rsidRPr="005E3D50">
              <w:rPr>
                <w:sz w:val="20"/>
                <w:lang w:val="es-ES"/>
              </w:rPr>
              <w:t xml:space="preserve">En 2020, una asociación sin fines de lucro llamada Nueva Vida para los Residuos (NUVI) lanzó una campaña para promover la devolución de botellas plásticas PET, colocando para ello contenedores en sitios ubicados en distintos puntos de la capital Santo Domingo, donde los consumidores podían depositar sus botellas </w:t>
            </w:r>
            <w:proofErr w:type="spellStart"/>
            <w:r w:rsidRPr="005E3D50">
              <w:rPr>
                <w:sz w:val="20"/>
                <w:lang w:val="es-ES"/>
              </w:rPr>
              <w:t>usadas</w:t>
            </w:r>
            <w:r w:rsidRPr="005E3D50">
              <w:rPr>
                <w:sz w:val="20"/>
                <w:vertAlign w:val="superscript"/>
                <w:lang w:val="es-ES"/>
              </w:rPr>
              <w:t>a</w:t>
            </w:r>
            <w:proofErr w:type="spellEnd"/>
            <w:r w:rsidRPr="005E3D50">
              <w:rPr>
                <w:sz w:val="20"/>
                <w:lang w:val="es-ES"/>
              </w:rPr>
              <w:t>. La iniciativa cuenta con el apoyo del Ministerio de Industria, Comercio y Micro, Pequeñas y Medianas Empresas y la Asociación de Industrias de la República Dominicana. Desde 2020, Nueva Vida para los Residuos ha recolectado más de 80 millones de botellas plásticas PET, promocionando una economía circular y ayudando a impulsar la prevención, la reducción, el reciclaje y la reutilización de desechos.</w:t>
            </w:r>
          </w:p>
          <w:p w14:paraId="6540B378" w14:textId="77777777" w:rsidR="009713BF" w:rsidRPr="005E3D50" w:rsidRDefault="009713BF" w:rsidP="009713BF">
            <w:pPr>
              <w:spacing w:after="160" w:line="278" w:lineRule="auto"/>
              <w:rPr>
                <w:sz w:val="20"/>
                <w:szCs w:val="20"/>
                <w:lang w:val="es-ES"/>
              </w:rPr>
            </w:pPr>
            <w:r w:rsidRPr="005E3D50">
              <w:rPr>
                <w:sz w:val="20"/>
                <w:lang w:val="es-ES"/>
              </w:rPr>
              <w:t>En 2022, el Gobierno de la República Dominicana dictó un decreto por el cual declaró de interés nacional las compras públicas sostenibles e inclusivas. Como resultado de ese decreto, entre 2023 y 2025, se iniciaron cerca de 1.900 procesos basados en criterios de compras públicas ecológicas en los sectores de telecomunicaciones, salud y comercio. Estos procesos priorizan la adquisición de bienes, servicios y obras de construcción que generen menos impactos negativos en el medio ambiente y promuevan la utilización eficiente de los recursos a lo largo de todo su ciclo de vida.</w:t>
            </w:r>
          </w:p>
          <w:p w14:paraId="7E31F4A2" w14:textId="77777777" w:rsidR="009713BF" w:rsidRPr="005E3D50" w:rsidRDefault="009713BF" w:rsidP="009713BF">
            <w:pPr>
              <w:spacing w:after="160" w:line="278" w:lineRule="auto"/>
              <w:rPr>
                <w:sz w:val="20"/>
                <w:szCs w:val="20"/>
                <w:vertAlign w:val="superscript"/>
                <w:lang w:val="es-ES"/>
              </w:rPr>
            </w:pPr>
            <w:r w:rsidRPr="005E3D50">
              <w:rPr>
                <w:sz w:val="20"/>
                <w:lang w:val="es-ES"/>
              </w:rPr>
              <w:t>Este enfoque combinado ha ayudado a la República Dominicana a avanzar en la consecución de su meta nacional tendiente a lograr la transición hacia modalidades sostenibles de producción y consumo, a través de la integración de criterios de diversidad biológica en políticas públicas, adquisiciones gubernamentales, procesos de producción, cadenas de valor y decisiones de consumo.</w:t>
            </w:r>
            <w:r w:rsidRPr="005E3D50">
              <w:rPr>
                <w:sz w:val="20"/>
                <w:vertAlign w:val="superscript"/>
                <w:lang w:val="es-ES"/>
              </w:rPr>
              <w:t xml:space="preserve"> </w:t>
            </w:r>
          </w:p>
          <w:p w14:paraId="5D82D639" w14:textId="77777777" w:rsidR="009713BF" w:rsidRPr="005E3D50" w:rsidRDefault="009713BF" w:rsidP="009713BF">
            <w:pPr>
              <w:rPr>
                <w:rFonts w:ascii="Aptos" w:eastAsia="Aptos" w:hAnsi="Aptos" w:cs="Aptos"/>
                <w:color w:val="000000" w:themeColor="text1"/>
                <w:lang w:val="es-ES" w:eastAsia="zh-CN"/>
              </w:rPr>
            </w:pPr>
          </w:p>
          <w:p w14:paraId="7F612DC8" w14:textId="77777777" w:rsidR="009713BF" w:rsidRPr="005E3D50" w:rsidRDefault="009713BF" w:rsidP="009713BF">
            <w:pPr>
              <w:spacing w:after="160" w:line="278" w:lineRule="auto"/>
              <w:rPr>
                <w:sz w:val="20"/>
                <w:szCs w:val="20"/>
                <w:lang w:val="es-ES"/>
              </w:rPr>
            </w:pPr>
            <w:r w:rsidRPr="005E3D50">
              <w:rPr>
                <w:i/>
                <w:sz w:val="20"/>
                <w:lang w:val="es-ES"/>
              </w:rPr>
              <w:t>Metas pertinentes</w:t>
            </w:r>
            <w:r w:rsidRPr="005E3D50">
              <w:rPr>
                <w:sz w:val="20"/>
                <w:lang w:val="es-ES"/>
              </w:rPr>
              <w:t>:</w:t>
            </w:r>
            <w:r w:rsidRPr="005E3D50">
              <w:rPr>
                <w:i/>
                <w:sz w:val="20"/>
                <w:lang w:val="es-ES"/>
              </w:rPr>
              <w:t xml:space="preserve"> </w:t>
            </w:r>
            <w:r w:rsidRPr="005E3D50">
              <w:rPr>
                <w:sz w:val="20"/>
                <w:lang w:val="es-ES"/>
              </w:rPr>
              <w:t>7, 12, 14, 16 y 21.</w:t>
            </w:r>
          </w:p>
          <w:p w14:paraId="4E265322" w14:textId="77777777" w:rsidR="009713BF" w:rsidRPr="005E3D50" w:rsidRDefault="009713BF" w:rsidP="009713BF">
            <w:pPr>
              <w:spacing w:after="160" w:line="278" w:lineRule="auto"/>
              <w:rPr>
                <w:i/>
                <w:iCs/>
                <w:sz w:val="20"/>
                <w:szCs w:val="20"/>
                <w:lang w:val="es-ES"/>
              </w:rPr>
            </w:pPr>
            <w:r w:rsidRPr="005E3D50">
              <w:rPr>
                <w:i/>
                <w:sz w:val="20"/>
                <w:lang w:val="es-ES"/>
              </w:rPr>
              <w:t>Fuente</w:t>
            </w:r>
            <w:r w:rsidRPr="005E3D50">
              <w:rPr>
                <w:sz w:val="20"/>
                <w:lang w:val="es-ES"/>
              </w:rPr>
              <w:t>:</w:t>
            </w:r>
            <w:r w:rsidRPr="005E3D50">
              <w:rPr>
                <w:i/>
                <w:sz w:val="20"/>
                <w:lang w:val="es-ES"/>
              </w:rPr>
              <w:t xml:space="preserve"> </w:t>
            </w:r>
            <w:r w:rsidRPr="005E3D50">
              <w:rPr>
                <w:sz w:val="20"/>
                <w:lang w:val="es-ES"/>
              </w:rPr>
              <w:t>República Dominicana, séptimo informe nacional presentado al Convenio.</w:t>
            </w:r>
          </w:p>
          <w:p w14:paraId="2F501466" w14:textId="77777777" w:rsidR="009713BF" w:rsidRPr="00673184" w:rsidRDefault="009713BF" w:rsidP="009713BF">
            <w:pPr>
              <w:rPr>
                <w:rFonts w:ascii="Aptos" w:eastAsia="Aptos" w:hAnsi="Aptos" w:cs="Aptos"/>
                <w:color w:val="000000" w:themeColor="text1"/>
                <w:sz w:val="18"/>
                <w:szCs w:val="18"/>
                <w:lang w:val="fr-FR"/>
              </w:rPr>
            </w:pPr>
            <w:proofErr w:type="spellStart"/>
            <w:proofErr w:type="gramStart"/>
            <w:r w:rsidRPr="00673184">
              <w:rPr>
                <w:rFonts w:ascii="Aptos" w:hAnsi="Aptos"/>
                <w:color w:val="000000" w:themeColor="text1"/>
                <w:sz w:val="20"/>
                <w:szCs w:val="20"/>
                <w:vertAlign w:val="superscript"/>
                <w:lang w:val="fr-FR"/>
              </w:rPr>
              <w:t>a</w:t>
            </w:r>
            <w:proofErr w:type="spellEnd"/>
            <w:proofErr w:type="gramEnd"/>
            <w:r w:rsidRPr="00673184">
              <w:rPr>
                <w:sz w:val="20"/>
                <w:szCs w:val="20"/>
                <w:lang w:val="fr-FR"/>
              </w:rPr>
              <w:t xml:space="preserve"> </w:t>
            </w:r>
            <w:proofErr w:type="spellStart"/>
            <w:r w:rsidRPr="00673184">
              <w:rPr>
                <w:sz w:val="20"/>
                <w:szCs w:val="20"/>
                <w:lang w:val="fr-FR"/>
              </w:rPr>
              <w:t>Véase</w:t>
            </w:r>
            <w:proofErr w:type="spellEnd"/>
            <w:r w:rsidRPr="00673184">
              <w:rPr>
                <w:sz w:val="18"/>
                <w:lang w:val="fr-FR"/>
              </w:rPr>
              <w:t xml:space="preserve"> </w:t>
            </w:r>
            <w:hyperlink r:id="rId170" w:history="1">
              <w:r w:rsidRPr="00673184">
                <w:rPr>
                  <w:color w:val="000000" w:themeColor="text1"/>
                  <w:sz w:val="18"/>
                  <w:lang w:val="fr-FR"/>
                </w:rPr>
                <w:t>https://www.diesco.com/compromisos/medio-ambiente/</w:t>
              </w:r>
            </w:hyperlink>
            <w:r w:rsidRPr="00673184">
              <w:rPr>
                <w:sz w:val="18"/>
                <w:lang w:val="fr-FR"/>
              </w:rPr>
              <w:t>.</w:t>
            </w:r>
          </w:p>
          <w:p w14:paraId="2E2B46C0" w14:textId="77777777" w:rsidR="009713BF" w:rsidRPr="00673184" w:rsidRDefault="009713BF" w:rsidP="009713BF">
            <w:pPr>
              <w:rPr>
                <w:lang w:val="fr-FR"/>
              </w:rPr>
            </w:pPr>
          </w:p>
        </w:tc>
      </w:tr>
    </w:tbl>
    <w:p w14:paraId="12BAF495" w14:textId="77777777" w:rsidR="009713BF" w:rsidRPr="00673184" w:rsidRDefault="009713BF" w:rsidP="009713BF">
      <w:pPr>
        <w:rPr>
          <w:lang w:val="fr-FR"/>
        </w:rPr>
      </w:pPr>
    </w:p>
    <w:p w14:paraId="2945BF1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29" w:name="_Toc235821251"/>
      <w:r w:rsidRPr="005E3D50">
        <w:rPr>
          <w:rFonts w:eastAsiaTheme="majorEastAsia" w:cstheme="majorBidi"/>
          <w:i/>
          <w:iCs/>
          <w:color w:val="595959" w:themeColor="text1" w:themeTint="A6"/>
          <w:lang w:val="es-ES"/>
        </w:rPr>
        <w:t>Dificultades</w:t>
      </w:r>
      <w:bookmarkEnd w:id="429"/>
    </w:p>
    <w:p w14:paraId="73C0895A" w14:textId="77777777" w:rsidR="009713BF" w:rsidRPr="005E3D50" w:rsidRDefault="009713BF" w:rsidP="009713BF">
      <w:pPr>
        <w:rPr>
          <w:rFonts w:ascii="Aptos" w:eastAsia="Aptos" w:hAnsi="Aptos" w:cs="Aptos"/>
          <w:lang w:val="es-ES"/>
        </w:rPr>
      </w:pPr>
    </w:p>
    <w:p w14:paraId="3C624425" w14:textId="77777777" w:rsidR="009713BF" w:rsidRPr="005E3D50" w:rsidRDefault="009713BF" w:rsidP="009713BF">
      <w:pPr>
        <w:rPr>
          <w:lang w:val="es-ES"/>
        </w:rPr>
      </w:pPr>
      <w:r w:rsidRPr="005E3D50">
        <w:rPr>
          <w:lang w:val="es-ES"/>
        </w:rPr>
        <w:t xml:space="preserve">La ausencia de infraestructura apropiada es una de las dificultades más frecuentemente comunicadas por las Partes con respecto a la meta 16. Muchas carecen de instalaciones adecuadas para clasificación, reciclaje, compostaje y eliminación segura de desechos, mientras que otras siguen dependiendo enormemente de vertederos o incineración a cielo </w:t>
      </w:r>
      <w:r w:rsidRPr="005E3D50">
        <w:rPr>
          <w:lang w:val="es-ES"/>
        </w:rPr>
        <w:lastRenderedPageBreak/>
        <w:t>abierto. Entre los obstáculos que se enfrentan se menciona la falta de recursos financieros, logísticos y humanos, lo cual supone, por ejemplo, un impedimento a la inversión en infraestructura y la tramitación de proyectos para abordar la gestión de desechos. Muchas Partes informan de instrumentos jurídicos que no se aplican eficazmente, lo que debilita los efectos de las prohibiciones y reglamentaciones. Algunas Partes mencionan que los sistemas de responsabilidad ampliada de los productores o bien no existen o se aplican en forma muy acotada, sin asignar una responsabilidad financiera a los productores. La responsabilidad de la gestión de productos al final de su vida útil y la gestión de desechos recae casi que exclusivamente en gobiernos con presupuestos reducidos. Muchas Partes carecen de información de referencia sobre el desperdicio de alimentos, lo que supone un enorme obstáculo para la consecución de la meta 16. Varias Partes informan que no hacen un seguimiento sistemático del desperdicio o la pérdida de alimentos de hogares, comercios minoristas o cadenas de suministro ni tampoco cuentan con una metodología nacional uniforme para medir los progresos logrados en las metas de reducción. También son mayormente parciales los progresos logrados en términos de mejorar la educación y la sensibilización sobre los impactos del consumo en la diversidad biológica, incluido en cuanto a recursos dirigidos a distintos grupos, como las mujeres, la juventud, las personas con discapacidad y otros grupos.</w:t>
      </w:r>
    </w:p>
    <w:p w14:paraId="20DD226D" w14:textId="77777777" w:rsidR="009713BF" w:rsidRPr="005E3D50" w:rsidRDefault="009713BF" w:rsidP="009713BF">
      <w:pPr>
        <w:rPr>
          <w:lang w:val="es-ES"/>
        </w:rPr>
      </w:pPr>
      <w:r w:rsidRPr="005E3D50">
        <w:rPr>
          <w:lang w:val="es-ES"/>
        </w:rPr>
        <w:t>Varias Partes de altos ingresos informan sobre la persistencia de huellas de materiales altas en sus sociedades, huellas que se ubican en niveles no sostenibles y que aún no han empezado a reducirse. Varias Partes señalan que el hecho de que las alternativas sostenibles tengan un costo más alto limita su adopción, en particular entre consumidores de menores ingresos. Existen carencias de información en términos de la medición de tendencias relacionadas con cambios en las modalidades de consumo o con presiones sobre la diversidad biológica relacionadas con el consumo.</w:t>
      </w:r>
    </w:p>
    <w:p w14:paraId="5E7E610C" w14:textId="77777777" w:rsidR="009713BF" w:rsidRPr="005E3D50" w:rsidRDefault="009713BF" w:rsidP="009713BF">
      <w:pPr>
        <w:rPr>
          <w:lang w:val="es-ES"/>
        </w:rPr>
      </w:pPr>
    </w:p>
    <w:p w14:paraId="315E0511"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30" w:name="_Toc235821252"/>
      <w:r w:rsidRPr="005E3D50">
        <w:rPr>
          <w:rFonts w:eastAsiaTheme="majorEastAsia" w:cstheme="majorBidi"/>
          <w:color w:val="0F4761" w:themeColor="accent1" w:themeShade="BF"/>
          <w:lang w:val="es-ES"/>
        </w:rPr>
        <w:t>Contribuciones de actores distintos de los Gobiernos nacionales</w:t>
      </w:r>
      <w:bookmarkEnd w:id="430"/>
    </w:p>
    <w:p w14:paraId="7EF532BE" w14:textId="77777777" w:rsidR="009713BF" w:rsidRPr="005E3D50" w:rsidRDefault="009713BF" w:rsidP="009713BF">
      <w:pPr>
        <w:rPr>
          <w:lang w:val="es-ES"/>
        </w:rPr>
      </w:pPr>
    </w:p>
    <w:p w14:paraId="1FA88D8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31" w:name="_Toc235821253"/>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431"/>
    </w:p>
    <w:p w14:paraId="20491F53" w14:textId="77777777" w:rsidR="009713BF" w:rsidRPr="005E3D50" w:rsidRDefault="009713BF" w:rsidP="009713BF">
      <w:pPr>
        <w:rPr>
          <w:lang w:val="es-ES"/>
        </w:rPr>
      </w:pPr>
    </w:p>
    <w:p w14:paraId="304372FE" w14:textId="77777777" w:rsidR="009713BF" w:rsidRPr="005E3D50" w:rsidRDefault="009713BF" w:rsidP="009713BF">
      <w:pPr>
        <w:rPr>
          <w:lang w:val="es-ES"/>
        </w:rPr>
      </w:pPr>
      <w:bookmarkStart w:id="432" w:name="_Toc235821254"/>
      <w:r w:rsidRPr="005E3D50">
        <w:rPr>
          <w:lang w:val="es-ES"/>
        </w:rPr>
        <w:t xml:space="preserve">De los 180 compromisos sustantivos presentados por actores que no son Gobiernos nacionales, solo 2 tienen que ver principalmente con la meta 16. Uno de esos compromisos es de una red de empresas cooperativas de los sectores minorista y de servicios de Finlandia y la otra es de la red de ONG Danish 92 Group. Los compromisos </w:t>
      </w:r>
      <w:r w:rsidRPr="005E3D50">
        <w:rPr>
          <w:lang w:val="es-ES"/>
        </w:rPr>
        <w:lastRenderedPageBreak/>
        <w:t xml:space="preserve">específicos tienen que ver sobre todo con las cuestiones que abordan el consumo excesivo y la reducción del desperdicio de alimentos, así como con actividades de extensión en materia de utilización circular de recursos y reducción de desechos plásticos. </w:t>
      </w:r>
    </w:p>
    <w:p w14:paraId="269F4AD3"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48063E3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Contribuciones integradas en los informes nacionales</w:t>
      </w:r>
      <w:bookmarkEnd w:id="432"/>
    </w:p>
    <w:p w14:paraId="328EB634" w14:textId="77777777" w:rsidR="009713BF" w:rsidRPr="005E3D50" w:rsidRDefault="009713BF" w:rsidP="009713BF">
      <w:pPr>
        <w:rPr>
          <w:lang w:val="es-ES"/>
        </w:rPr>
      </w:pPr>
    </w:p>
    <w:p w14:paraId="27F0AF06" w14:textId="77777777" w:rsidR="009713BF" w:rsidRPr="005E3D50" w:rsidRDefault="009713BF" w:rsidP="009713BF">
      <w:pPr>
        <w:rPr>
          <w:lang w:val="es-ES"/>
        </w:rPr>
      </w:pPr>
      <w:r w:rsidRPr="005E3D50">
        <w:rPr>
          <w:lang w:val="es-ES"/>
        </w:rPr>
        <w:t xml:space="preserve">Se informa frecuentemente de funciones relacionadas con la implementación de medidas de gestión de desechos e infraestructura de economía circular, por ejemplo, casos en que gobiernos subnacionales, empresas y ONG proporcionan en forma conjunta instalaciones de reciclaje, centros de readquisición, programas de compostaje y redes de redistribución de alimentos. Las funciones de financiación y cofinanciación son lideradas por los asociados internacionales y el sector privado, que figuran como principales actores financieros para proyectos de gestión integrada de residuos sólidos y producción sostenible. Hay ejemplos de actores empresariales que impulsan compromisos industriales voluntarios y vinculantes, como la implementación de metas de reducción del desperdicio de alimentos a través de acuerdos industriales y marcos de responsabilidad ampliada de los productores. Las funciones relacionadas con la sensibilización, la educación y el cambio de comportamiento están a cargo de ONG, la sociedad civil y plataformas de ciudadanos, a través de campañas dirigidas a consumidores, programas escolares y herramientas digitales. </w:t>
      </w:r>
    </w:p>
    <w:p w14:paraId="5777539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17CFB77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Ejemplos de vínculos con otros acuerdos, procesos y organizaciones </w:t>
      </w:r>
    </w:p>
    <w:p w14:paraId="16BDBBEE" w14:textId="77777777" w:rsidR="009713BF" w:rsidRPr="005E3D50" w:rsidRDefault="009713BF" w:rsidP="009713BF">
      <w:pPr>
        <w:rPr>
          <w:lang w:val="es-ES"/>
        </w:rPr>
      </w:pPr>
    </w:p>
    <w:p w14:paraId="07DF4453" w14:textId="77777777" w:rsidR="009713BF" w:rsidRPr="005E3D50" w:rsidRDefault="009713BF" w:rsidP="009713BF">
      <w:pPr>
        <w:rPr>
          <w:lang w:val="es-ES"/>
        </w:rPr>
      </w:pPr>
      <w:r w:rsidRPr="005E3D50">
        <w:rPr>
          <w:lang w:val="es-ES"/>
        </w:rPr>
        <w:t xml:space="preserve">El Marco Mundial sobre los Productos Químicos cumple un papel fundamental en el apoyo a la consecución de la meta 16 mediante la promoción de prácticas de gestión sostenible y transparencia a lo largo de la cadena de valor de los productos químicos. La meta B2 de ese marco establece que para 2030 los interesados deben dar a conocer información confiable sobre el contenido de sustancias químicas en materiales y productos a lo largo de toda su cadena de valor. Esta transparencia es esencial para que los consumidores puedan adoptar decisiones más informadas sobre sus opciones de consumo y para impulsar la demanda de productos que tienen menor impacto ambiental. Por otra parte, la meta D6 del marco se centra en el desarrollo y la aplicación de estrategias de gestión sostenible de desechos y productos químicos para importantes sectores económicos e industriales. Mediante la identificación de productos químicos preocupantes prioritarios y </w:t>
      </w:r>
      <w:r w:rsidRPr="005E3D50">
        <w:rPr>
          <w:lang w:val="es-ES"/>
        </w:rPr>
        <w:lastRenderedPageBreak/>
        <w:t>la aplicación de enfoques tales como la huella química, estas estrategias buscan reducir el impacto de productos químicos a lo largo de la cadena de valor, impulsando así progresos a nivel mundial hacia opciones de consumo sostenible (Secretaría de los Convenios de Basilea, Estocolmo y Rotterdam, 2025, 2025; PNUMA, 2024a).</w:t>
      </w:r>
    </w:p>
    <w:p w14:paraId="1B4CD3BC" w14:textId="77777777" w:rsidR="009713BF" w:rsidRPr="005E3D50" w:rsidRDefault="009713BF" w:rsidP="009713BF">
      <w:pPr>
        <w:rPr>
          <w:lang w:val="es-ES"/>
        </w:rPr>
      </w:pPr>
      <w:r w:rsidRPr="005E3D50">
        <w:rPr>
          <w:lang w:val="es-ES"/>
        </w:rPr>
        <w:t>El Convenio de Basilea sobre el Control de los Movimientos Transfronterizos de los Desechos Peligrosos y su Eliminación cumple un papel crucial en la reducción de desechos y la mitigación del impacto que pueden tener los desechos de productos de consumo final en la diversidad biológica. En particular, el artículo 4.2 a) del Convenio de Basilea requiere que cada Parte tome las medidas necesarias para reducir al mínimo la generación de desechos peligrosos y otros desechos, teniendo en cuenta aspectos sociales, tecnológicos y económicos. Los desechos electrónicos constituyen una meta importante para dicha reducción a través del Convenio de Basilea, dado que suponen un flujo mundial de desechos que crece a un ritmo acelerado y que contiene sustancias peligrosas perjudiciales para los ecosistemas. Iniciativas tales como la Iniciativa sobre la Modalidad de Asociación en Materia de Teléfonos Móviles y la Asociación para la Acción en Materia de Equipos de Computadoras han tenido logros significativos en la mejora de los procesos de reciclaje y la reducción del tráfico ilegal de desechos electrónicos. La Asociación sobre los Desechos Domésticos del Convenios de Basilea también promueve la gestión ambientalmente racional de los desechos domésticos, incluida su prevención y reducción al mínimo, y ha elaborado un documento de orientación sobre gestión ambientalmente racional de los desechos domésticos (Secretaría de los Convenios de Basilea, Estocolmo y Rotterdam, 2025; PNUMA, 2025c)</w:t>
      </w:r>
      <w:r w:rsidRPr="005E3D50">
        <w:rPr>
          <w:sz w:val="22"/>
          <w:lang w:val="es-ES"/>
        </w:rPr>
        <w:t xml:space="preserve">. </w:t>
      </w:r>
    </w:p>
    <w:p w14:paraId="6D6393E2" w14:textId="77777777" w:rsidR="009713BF" w:rsidRPr="005E3D50" w:rsidRDefault="009713BF" w:rsidP="009713BF">
      <w:pPr>
        <w:rPr>
          <w:lang w:val="es-ES"/>
        </w:rPr>
      </w:pPr>
    </w:p>
    <w:p w14:paraId="202D34F9"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433" w:name="_Toc235821255"/>
      <w:bookmarkStart w:id="434" w:name="_Toc239069213"/>
      <w:bookmarkStart w:id="435" w:name="_Toc1070207803"/>
      <w:bookmarkStart w:id="436" w:name="_Toc242882991"/>
      <w:r w:rsidRPr="005E3D50">
        <w:rPr>
          <w:rFonts w:eastAsiaTheme="majorEastAsia" w:cstheme="majorBidi"/>
          <w:b/>
          <w:iCs/>
          <w:color w:val="0F4761" w:themeColor="accent1" w:themeShade="BF"/>
          <w:lang w:val="es-ES"/>
        </w:rPr>
        <w:t>Meta 17.</w:t>
      </w:r>
      <w:r w:rsidRPr="005E3D50">
        <w:rPr>
          <w:rFonts w:eastAsiaTheme="majorEastAsia" w:cstheme="majorBidi"/>
          <w:iCs/>
          <w:color w:val="0F4761" w:themeColor="accent1" w:themeShade="BF"/>
          <w:lang w:val="es-ES"/>
        </w:rPr>
        <w:t xml:space="preserve"> Reforzar la seguridad de la biotecnología y distribuir los beneficios de la biotecnología</w:t>
      </w:r>
      <w:bookmarkEnd w:id="433"/>
      <w:bookmarkEnd w:id="434"/>
      <w:bookmarkEnd w:id="435"/>
      <w:bookmarkEnd w:id="436"/>
    </w:p>
    <w:p w14:paraId="0155EF4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37" w:name="_Toc235821256"/>
    </w:p>
    <w:p w14:paraId="58C940D2" w14:textId="77777777" w:rsidR="009713BF" w:rsidRPr="005E3D50" w:rsidRDefault="009713BF" w:rsidP="009713BF">
      <w:pPr>
        <w:rPr>
          <w:i/>
          <w:iCs/>
          <w:sz w:val="22"/>
          <w:szCs w:val="22"/>
          <w:lang w:val="es-ES"/>
        </w:rPr>
      </w:pPr>
      <w:r w:rsidRPr="005E3D50">
        <w:rPr>
          <w:b/>
          <w:sz w:val="22"/>
          <w:lang w:val="es-ES"/>
        </w:rPr>
        <w:t>Texto de la meta.</w:t>
      </w:r>
      <w:r w:rsidRPr="005E3D50">
        <w:rPr>
          <w:i/>
          <w:sz w:val="22"/>
          <w:lang w:val="es-ES"/>
        </w:rPr>
        <w:t xml:space="preserve"> 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p w14:paraId="3BC8A3D0" w14:textId="77777777" w:rsidR="009713BF" w:rsidRPr="005E3D50" w:rsidRDefault="009713BF" w:rsidP="009713BF">
      <w:pPr>
        <w:rPr>
          <w:lang w:val="es-ES"/>
        </w:rPr>
      </w:pPr>
    </w:p>
    <w:p w14:paraId="1B413A9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bookmarkEnd w:id="437"/>
    </w:p>
    <w:tbl>
      <w:tblPr>
        <w:tblStyle w:val="TableGrid"/>
        <w:tblW w:w="0" w:type="auto"/>
        <w:tblLook w:val="04A0" w:firstRow="1" w:lastRow="0" w:firstColumn="1" w:lastColumn="0" w:noHBand="0" w:noVBand="1"/>
      </w:tblPr>
      <w:tblGrid>
        <w:gridCol w:w="9016"/>
      </w:tblGrid>
      <w:tr w:rsidR="009713BF" w:rsidRPr="005E3D50" w14:paraId="692FDEEE" w14:textId="77777777" w:rsidTr="006E6831">
        <w:tc>
          <w:tcPr>
            <w:tcW w:w="9016" w:type="dxa"/>
            <w:shd w:val="clear" w:color="auto" w:fill="D1D1D1" w:themeFill="background2" w:themeFillShade="E6"/>
          </w:tcPr>
          <w:p w14:paraId="30721032" w14:textId="77777777" w:rsidR="009713BF" w:rsidRPr="005E3D50" w:rsidRDefault="009713BF" w:rsidP="009713BF">
            <w:pPr>
              <w:rPr>
                <w:rFonts w:ascii="Aptos" w:eastAsia="Times New Roman" w:hAnsi="Aptos" w:cs="Aparajita"/>
                <w:color w:val="000000"/>
                <w:lang w:val="es-ES"/>
              </w:rPr>
            </w:pPr>
            <w:bookmarkStart w:id="438" w:name="_Toc230654797"/>
          </w:p>
          <w:bookmarkEnd w:id="438"/>
          <w:p w14:paraId="22E4175F" w14:textId="77777777" w:rsidR="009713BF" w:rsidRPr="005E3D50" w:rsidRDefault="009713BF" w:rsidP="009713BF">
            <w:pPr>
              <w:rPr>
                <w:lang w:val="es-ES"/>
              </w:rPr>
            </w:pPr>
            <w:r w:rsidRPr="005E3D50">
              <w:rPr>
                <w:lang w:val="es-ES"/>
              </w:rPr>
              <w:t xml:space="preserve">Se están logrando ciertos progresos en términos del establecimiento y la aplicación de medidas de seguridad de la biotecnología, aunque estos siguen siendo desiguales y algunos elementos de la meta 17 se han abordado de manera insuficiente. Una </w:t>
            </w:r>
            <w:r w:rsidRPr="005E3D50">
              <w:rPr>
                <w:lang w:val="es-ES"/>
              </w:rPr>
              <w:lastRenderedPageBreak/>
              <w:t>mayoría de Partes cuentan con metas nacionales que abordan elementos relacionados con el establecimiento y la aplicación de medidas de seguridad de la biotecnología, pero siguen sin abordarse los elementos relacionados con el artículo 19, sobre gestión de la biotecnología y distribución de sus beneficios. Las Partes informan que el 37 % de las metas nacionales estrechamente armonizadas con la meta 17 están en vías de alcanzarse y que el 5 % ya se han alcanzado. Solo unas pocas Partes comunicaron datos e indicadores relacionados con la meta 17. Las principales dificultades señaladas tienen que ver con la idoneidad, la aplicación y el cumplimiento de los marcos jurídicos y normativos, la capacidad y el acceso a instalaciones de laboratorio y la dependencia de financiación externa para proyectos.</w:t>
            </w:r>
          </w:p>
          <w:p w14:paraId="23615CBF" w14:textId="77777777" w:rsidR="009713BF" w:rsidRPr="005E3D50" w:rsidRDefault="009713BF" w:rsidP="009713BF">
            <w:pPr>
              <w:rPr>
                <w:lang w:val="es-ES"/>
              </w:rPr>
            </w:pPr>
          </w:p>
        </w:tc>
      </w:tr>
    </w:tbl>
    <w:p w14:paraId="6C883E9A" w14:textId="77777777" w:rsidR="009713BF" w:rsidRPr="005E3D50" w:rsidRDefault="009713BF" w:rsidP="009713BF">
      <w:pPr>
        <w:rPr>
          <w:lang w:val="es-ES"/>
        </w:rPr>
      </w:pPr>
    </w:p>
    <w:p w14:paraId="41D69A9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39" w:name="_Ref231219511"/>
      <w:r w:rsidRPr="005E3D50">
        <w:rPr>
          <w:rFonts w:eastAsiaTheme="majorEastAsia" w:cstheme="majorBidi"/>
          <w:color w:val="0F4761" w:themeColor="accent1" w:themeShade="BF"/>
          <w:lang w:val="es-ES"/>
        </w:rPr>
        <w:t>Grado en que las Partes cubren el alcance de la meta 17 del Marco en sus metas nacionales</w:t>
      </w:r>
    </w:p>
    <w:p w14:paraId="60F5B4C6" w14:textId="77777777" w:rsidR="009713BF" w:rsidRPr="005E3D50" w:rsidRDefault="009713BF" w:rsidP="009713BF">
      <w:pPr>
        <w:rPr>
          <w:lang w:val="es-ES"/>
        </w:rPr>
      </w:pPr>
    </w:p>
    <w:p w14:paraId="4D24FDED" w14:textId="77777777" w:rsidR="009713BF" w:rsidRPr="005E3D50" w:rsidRDefault="009713BF" w:rsidP="009713BF">
      <w:pPr>
        <w:rPr>
          <w:sz w:val="20"/>
          <w:szCs w:val="20"/>
          <w:lang w:val="es-ES"/>
        </w:rPr>
      </w:pPr>
      <w:bookmarkStart w:id="440" w:name="_Ref238744479"/>
      <w:r w:rsidRPr="005E3D50">
        <w:rPr>
          <w:sz w:val="20"/>
          <w:lang w:val="es-ES"/>
        </w:rPr>
        <w:t>Cuadro 37</w:t>
      </w:r>
      <w:bookmarkEnd w:id="440"/>
    </w:p>
    <w:p w14:paraId="1F2E3974"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17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bookmarkEnd w:id="439"/>
    <w:p w14:paraId="4B5ECE23"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8359"/>
        <w:gridCol w:w="657"/>
      </w:tblGrid>
      <w:tr w:rsidR="009713BF" w:rsidRPr="005E3D50" w14:paraId="7684D61B" w14:textId="77777777" w:rsidTr="006E6831">
        <w:tc>
          <w:tcPr>
            <w:tcW w:w="8359" w:type="dxa"/>
          </w:tcPr>
          <w:p w14:paraId="0F16FAFF"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Establecer, en todos los países, medidas de seguridad de la biotecnología, tal como se establece en el artículo 8 g) del Convenio sobre la Diversidad Biológica</w:t>
            </w:r>
          </w:p>
          <w:p w14:paraId="7FA7B9C9" w14:textId="77777777" w:rsidR="009713BF" w:rsidRPr="005E3D50" w:rsidRDefault="009713BF" w:rsidP="009713BF">
            <w:pPr>
              <w:rPr>
                <w:sz w:val="22"/>
                <w:szCs w:val="22"/>
                <w:lang w:val="es-ES"/>
              </w:rPr>
            </w:pPr>
          </w:p>
        </w:tc>
        <w:tc>
          <w:tcPr>
            <w:tcW w:w="657" w:type="dxa"/>
            <w:shd w:val="clear" w:color="auto" w:fill="92D050"/>
          </w:tcPr>
          <w:p w14:paraId="608F5A37" w14:textId="77777777" w:rsidR="009713BF" w:rsidRPr="005E3D50" w:rsidRDefault="009713BF" w:rsidP="009713BF">
            <w:pPr>
              <w:rPr>
                <w:sz w:val="22"/>
                <w:szCs w:val="22"/>
                <w:lang w:val="es-ES"/>
              </w:rPr>
            </w:pPr>
            <w:r w:rsidRPr="005E3D50">
              <w:rPr>
                <w:sz w:val="22"/>
                <w:lang w:val="es-ES"/>
              </w:rPr>
              <w:t>62</w:t>
            </w:r>
          </w:p>
        </w:tc>
      </w:tr>
      <w:tr w:rsidR="009713BF" w:rsidRPr="005E3D50" w14:paraId="3EC75D71" w14:textId="77777777" w:rsidTr="006E6831">
        <w:tc>
          <w:tcPr>
            <w:tcW w:w="8359" w:type="dxa"/>
          </w:tcPr>
          <w:p w14:paraId="6116B9C0"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Reforzar la capacidad, en todos los países, en relación con medidas de seguridad de la biotecnología, tal como se establece en el artículo 8 g) del Convenio</w:t>
            </w:r>
          </w:p>
          <w:p w14:paraId="3FE0E2FA" w14:textId="77777777" w:rsidR="009713BF" w:rsidRPr="005E3D50" w:rsidRDefault="009713BF" w:rsidP="009713BF">
            <w:pPr>
              <w:rPr>
                <w:sz w:val="22"/>
                <w:szCs w:val="22"/>
                <w:lang w:val="es-ES"/>
              </w:rPr>
            </w:pPr>
            <w:r w:rsidRPr="005E3D50">
              <w:rPr>
                <w:sz w:val="22"/>
                <w:lang w:val="es-ES"/>
              </w:rPr>
              <w:t xml:space="preserve"> </w:t>
            </w:r>
          </w:p>
        </w:tc>
        <w:tc>
          <w:tcPr>
            <w:tcW w:w="657" w:type="dxa"/>
            <w:shd w:val="clear" w:color="auto" w:fill="FFFF00"/>
          </w:tcPr>
          <w:p w14:paraId="31705DB3" w14:textId="77777777" w:rsidR="009713BF" w:rsidRPr="005E3D50" w:rsidRDefault="009713BF" w:rsidP="009713BF">
            <w:pPr>
              <w:rPr>
                <w:sz w:val="22"/>
                <w:szCs w:val="22"/>
                <w:lang w:val="es-ES"/>
              </w:rPr>
            </w:pPr>
            <w:r w:rsidRPr="005E3D50">
              <w:rPr>
                <w:sz w:val="22"/>
                <w:lang w:val="es-ES"/>
              </w:rPr>
              <w:t>48</w:t>
            </w:r>
          </w:p>
        </w:tc>
      </w:tr>
      <w:tr w:rsidR="009713BF" w:rsidRPr="005E3D50" w14:paraId="2B85A41D" w14:textId="77777777" w:rsidTr="006E6831">
        <w:tc>
          <w:tcPr>
            <w:tcW w:w="8359" w:type="dxa"/>
          </w:tcPr>
          <w:p w14:paraId="0158817C"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Aplicar, en todos los países, medidas de seguridad de la biotecnología, tal como se establece en el artículo 8 g) del Convenio</w:t>
            </w:r>
          </w:p>
          <w:p w14:paraId="3B6C25D3" w14:textId="77777777" w:rsidR="009713BF" w:rsidRPr="005E3D50" w:rsidRDefault="009713BF" w:rsidP="009713BF">
            <w:pPr>
              <w:rPr>
                <w:sz w:val="22"/>
                <w:szCs w:val="22"/>
                <w:lang w:val="es-ES"/>
              </w:rPr>
            </w:pPr>
            <w:r w:rsidRPr="005E3D50">
              <w:rPr>
                <w:sz w:val="22"/>
                <w:lang w:val="es-ES"/>
              </w:rPr>
              <w:t xml:space="preserve"> </w:t>
            </w:r>
          </w:p>
        </w:tc>
        <w:tc>
          <w:tcPr>
            <w:tcW w:w="657" w:type="dxa"/>
            <w:shd w:val="clear" w:color="auto" w:fill="92D050"/>
          </w:tcPr>
          <w:p w14:paraId="3EF3D6D6" w14:textId="77777777" w:rsidR="009713BF" w:rsidRPr="005E3D50" w:rsidRDefault="009713BF" w:rsidP="009713BF">
            <w:pPr>
              <w:rPr>
                <w:sz w:val="22"/>
                <w:szCs w:val="22"/>
                <w:lang w:val="es-ES"/>
              </w:rPr>
            </w:pPr>
            <w:r w:rsidRPr="005E3D50">
              <w:rPr>
                <w:sz w:val="22"/>
                <w:lang w:val="es-ES"/>
              </w:rPr>
              <w:t>63</w:t>
            </w:r>
          </w:p>
        </w:tc>
      </w:tr>
      <w:tr w:rsidR="009713BF" w:rsidRPr="005E3D50" w14:paraId="00F14A69" w14:textId="77777777" w:rsidTr="006E6831">
        <w:tc>
          <w:tcPr>
            <w:tcW w:w="8359" w:type="dxa"/>
          </w:tcPr>
          <w:p w14:paraId="40F5B43E"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Establecer, en todos los países, medidas para la gestión de la biotecnología y la distribución de sus beneficios, tal como se establece en el artículo 19 del Convenio</w:t>
            </w:r>
          </w:p>
          <w:p w14:paraId="2D1081D8" w14:textId="77777777" w:rsidR="009713BF" w:rsidRPr="005E3D50" w:rsidRDefault="009713BF" w:rsidP="009713BF">
            <w:pPr>
              <w:rPr>
                <w:sz w:val="22"/>
                <w:szCs w:val="22"/>
                <w:lang w:val="es-ES"/>
              </w:rPr>
            </w:pPr>
          </w:p>
        </w:tc>
        <w:tc>
          <w:tcPr>
            <w:tcW w:w="657" w:type="dxa"/>
            <w:shd w:val="clear" w:color="auto" w:fill="FFFF00"/>
          </w:tcPr>
          <w:p w14:paraId="6D5214B5" w14:textId="77777777" w:rsidR="009713BF" w:rsidRPr="005E3D50" w:rsidRDefault="009713BF" w:rsidP="009713BF">
            <w:pPr>
              <w:rPr>
                <w:sz w:val="22"/>
                <w:szCs w:val="22"/>
                <w:lang w:val="es-ES"/>
              </w:rPr>
            </w:pPr>
            <w:r w:rsidRPr="005E3D50">
              <w:rPr>
                <w:sz w:val="22"/>
                <w:lang w:val="es-ES"/>
              </w:rPr>
              <w:t>47</w:t>
            </w:r>
          </w:p>
        </w:tc>
      </w:tr>
      <w:tr w:rsidR="009713BF" w:rsidRPr="005E3D50" w14:paraId="47D0A17D" w14:textId="77777777" w:rsidTr="006E6831">
        <w:tc>
          <w:tcPr>
            <w:tcW w:w="8359" w:type="dxa"/>
          </w:tcPr>
          <w:p w14:paraId="43C04BED"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Reforzar la capacidad, en todos los países, en relación con medidas para la gestión de la biotecnología y la distribución de sus beneficios, conforme a lo dispuesto en el artículo 19 del Convenio</w:t>
            </w:r>
          </w:p>
        </w:tc>
        <w:tc>
          <w:tcPr>
            <w:tcW w:w="657" w:type="dxa"/>
            <w:shd w:val="clear" w:color="auto" w:fill="FFC000"/>
          </w:tcPr>
          <w:p w14:paraId="432D9C43" w14:textId="77777777" w:rsidR="009713BF" w:rsidRPr="005E3D50" w:rsidRDefault="009713BF" w:rsidP="009713BF">
            <w:pPr>
              <w:rPr>
                <w:sz w:val="22"/>
                <w:szCs w:val="22"/>
                <w:lang w:val="es-ES"/>
              </w:rPr>
            </w:pPr>
            <w:r w:rsidRPr="005E3D50">
              <w:rPr>
                <w:sz w:val="22"/>
                <w:lang w:val="es-ES"/>
              </w:rPr>
              <w:t>30</w:t>
            </w:r>
          </w:p>
        </w:tc>
      </w:tr>
      <w:tr w:rsidR="009713BF" w:rsidRPr="005E3D50" w14:paraId="137EDC7E" w14:textId="77777777" w:rsidTr="006E6831">
        <w:tc>
          <w:tcPr>
            <w:tcW w:w="8359" w:type="dxa"/>
          </w:tcPr>
          <w:p w14:paraId="29D00883"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Aplicar, en todos los países, medidas para la gestión de la biotecnología y la distribución de sus beneficios, tal como se establece en el artículo 19 del Convenio</w:t>
            </w:r>
          </w:p>
          <w:p w14:paraId="2CE343BC" w14:textId="77777777" w:rsidR="009713BF" w:rsidRPr="005E3D50" w:rsidRDefault="009713BF" w:rsidP="009713BF">
            <w:pPr>
              <w:rPr>
                <w:sz w:val="22"/>
                <w:szCs w:val="22"/>
                <w:lang w:val="es-ES"/>
              </w:rPr>
            </w:pPr>
          </w:p>
        </w:tc>
        <w:tc>
          <w:tcPr>
            <w:tcW w:w="657" w:type="dxa"/>
            <w:shd w:val="clear" w:color="auto" w:fill="FFFF00"/>
          </w:tcPr>
          <w:p w14:paraId="25AA5B57" w14:textId="77777777" w:rsidR="009713BF" w:rsidRPr="005E3D50" w:rsidRDefault="009713BF" w:rsidP="009713BF">
            <w:pPr>
              <w:rPr>
                <w:sz w:val="22"/>
                <w:szCs w:val="22"/>
                <w:lang w:val="es-ES"/>
              </w:rPr>
            </w:pPr>
            <w:r w:rsidRPr="005E3D50">
              <w:rPr>
                <w:sz w:val="22"/>
                <w:lang w:val="es-ES"/>
              </w:rPr>
              <w:t>49</w:t>
            </w:r>
          </w:p>
        </w:tc>
      </w:tr>
      <w:tr w:rsidR="009713BF" w:rsidRPr="005E3D50" w14:paraId="3FAD9CA7" w14:textId="77777777" w:rsidTr="006E6831">
        <w:tc>
          <w:tcPr>
            <w:tcW w:w="9016" w:type="dxa"/>
            <w:gridSpan w:val="2"/>
          </w:tcPr>
          <w:p w14:paraId="04DD96FB"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43F5E06B"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50 % de estos elementos en sus metas nacionales</w:t>
            </w:r>
          </w:p>
          <w:p w14:paraId="4AAF3C6A" w14:textId="77777777" w:rsidR="009713BF" w:rsidRPr="005E3D50" w:rsidRDefault="009713BF" w:rsidP="009713BF">
            <w:pPr>
              <w:rPr>
                <w:sz w:val="22"/>
                <w:szCs w:val="22"/>
                <w:lang w:val="es-ES"/>
              </w:rPr>
            </w:pPr>
          </w:p>
        </w:tc>
      </w:tr>
    </w:tbl>
    <w:p w14:paraId="025F8CF6" w14:textId="77777777" w:rsidR="009713BF" w:rsidRPr="005E3D50" w:rsidRDefault="009713BF" w:rsidP="009713BF">
      <w:pPr>
        <w:rPr>
          <w:lang w:val="es-ES"/>
        </w:rPr>
      </w:pPr>
    </w:p>
    <w:p w14:paraId="26AF6820" w14:textId="77777777" w:rsidR="009713BF" w:rsidRPr="005E3D50" w:rsidRDefault="009713BF" w:rsidP="009713BF">
      <w:pPr>
        <w:rPr>
          <w:iCs/>
          <w:sz w:val="16"/>
          <w:szCs w:val="16"/>
          <w:lang w:val="es-ES"/>
        </w:rPr>
      </w:pPr>
      <w:r w:rsidRPr="005E3D50">
        <w:rPr>
          <w:i/>
          <w:sz w:val="16"/>
          <w:lang w:val="es-ES"/>
        </w:rPr>
        <w:lastRenderedPageBreak/>
        <w:t>Nota</w:t>
      </w:r>
      <w:r w:rsidRPr="005E3D50">
        <w:rPr>
          <w:sz w:val="16"/>
          <w:lang w:val="es-ES"/>
        </w:rPr>
        <w:t>: La columna de la derecha indica el porcentaje de Partes con metas nacionales que abordan al menos en cierta medida el elemento correspondiente.</w:t>
      </w:r>
    </w:p>
    <w:p w14:paraId="323A544B"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71"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72"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02C0825D" w14:textId="77777777" w:rsidR="009713BF" w:rsidRPr="005E3D50" w:rsidRDefault="009713BF" w:rsidP="009713BF">
      <w:pPr>
        <w:rPr>
          <w:lang w:val="es-ES"/>
        </w:rPr>
      </w:pPr>
    </w:p>
    <w:p w14:paraId="2E55D758" w14:textId="77777777" w:rsidR="009713BF" w:rsidRPr="005E3D50" w:rsidRDefault="009713BF" w:rsidP="009713BF">
      <w:pPr>
        <w:rPr>
          <w:lang w:val="es-ES"/>
        </w:rPr>
      </w:pPr>
      <w:r w:rsidRPr="005E3D50">
        <w:rPr>
          <w:lang w:val="es-ES"/>
        </w:rPr>
        <w:t xml:space="preserve">Una mayoría de Partes abordan, al menos en cierta medida, </w:t>
      </w:r>
      <w:proofErr w:type="gramStart"/>
      <w:r w:rsidRPr="005E3D50">
        <w:rPr>
          <w:lang w:val="es-ES"/>
        </w:rPr>
        <w:t>elementos relacionado</w:t>
      </w:r>
      <w:proofErr w:type="gramEnd"/>
      <w:r w:rsidRPr="005E3D50">
        <w:rPr>
          <w:lang w:val="es-ES"/>
        </w:rPr>
        <w:t xml:space="preserve"> con el establecimiento (62 % de las Partes) y la aplicación (63 % de las Partes) de medidas de seguridad de la biotecnología, tal como se establece en el artículo 8 g) del Convenio (véase el cuadro 37). Alrededor de la mitad de las Partes también tienen metas nacionales específicas sobre el fortalecimiento de la capacidad con respecto a medidas de seguridad de la biotecnología (48 %) o el establecimiento (47 %) y la aplicación (49 %) de medidas para la gestión de la biotecnología y la distribución de sus beneficios, tal como se establece en el artículo 19 del Convenio. Menos de un tercio de las Partes (30 %) han fijado metas nacionales que abordan el fortalecimiento de la capacidad con respecto a medidas de gestión de la biotecnología y la distribución de sus beneficios.</w:t>
      </w:r>
    </w:p>
    <w:p w14:paraId="2E330F3B" w14:textId="77777777" w:rsidR="009713BF" w:rsidRPr="005E3D50" w:rsidRDefault="009713BF" w:rsidP="009713BF">
      <w:pPr>
        <w:rPr>
          <w:lang w:val="es-ES"/>
        </w:rPr>
      </w:pPr>
      <w:r w:rsidRPr="005E3D50">
        <w:rPr>
          <w:lang w:val="es-ES"/>
        </w:rPr>
        <w:t xml:space="preserve"> </w:t>
      </w:r>
    </w:p>
    <w:p w14:paraId="77DC271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41" w:name="_Toc235821258"/>
      <w:r w:rsidRPr="005E3D50">
        <w:rPr>
          <w:rFonts w:eastAsiaTheme="majorEastAsia" w:cstheme="majorBidi"/>
          <w:color w:val="0F4761" w:themeColor="accent1" w:themeShade="BF"/>
          <w:lang w:val="es-ES"/>
        </w:rPr>
        <w:t>Indicadores de progresos</w:t>
      </w:r>
      <w:bookmarkEnd w:id="441"/>
    </w:p>
    <w:p w14:paraId="53D59E30"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45226DAE"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38 </w:t>
      </w:r>
    </w:p>
    <w:p w14:paraId="54D688A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17 del Marco</w:t>
      </w:r>
    </w:p>
    <w:p w14:paraId="45460DDE" w14:textId="77777777" w:rsidR="009713BF" w:rsidRPr="005E3D50" w:rsidRDefault="009713BF" w:rsidP="009713BF">
      <w:pPr>
        <w:rPr>
          <w:lang w:val="es-ES"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075"/>
        <w:gridCol w:w="809"/>
        <w:gridCol w:w="2600"/>
        <w:gridCol w:w="596"/>
      </w:tblGrid>
      <w:tr w:rsidR="009713BF" w:rsidRPr="005E3D50" w14:paraId="4238C0C4" w14:textId="77777777" w:rsidTr="006E6831">
        <w:trPr>
          <w:trHeight w:val="1050"/>
        </w:trPr>
        <w:tc>
          <w:tcPr>
            <w:tcW w:w="3220" w:type="dxa"/>
            <w:shd w:val="clear" w:color="000000" w:fill="FFFFFF"/>
            <w:vAlign w:val="center"/>
          </w:tcPr>
          <w:p w14:paraId="2B8EE041"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eastAsia="en-CA"/>
                <w14:ligatures w14:val="none"/>
              </w:rPr>
            </w:pPr>
          </w:p>
        </w:tc>
        <w:tc>
          <w:tcPr>
            <w:tcW w:w="3884" w:type="dxa"/>
            <w:gridSpan w:val="2"/>
            <w:vAlign w:val="center"/>
          </w:tcPr>
          <w:p w14:paraId="233DF8F4"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196" w:type="dxa"/>
            <w:gridSpan w:val="2"/>
            <w:vAlign w:val="center"/>
          </w:tcPr>
          <w:p w14:paraId="1B846C3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5B633855" w14:textId="77777777" w:rsidTr="006E6831">
        <w:trPr>
          <w:trHeight w:val="1050"/>
        </w:trPr>
        <w:tc>
          <w:tcPr>
            <w:tcW w:w="3220" w:type="dxa"/>
            <w:shd w:val="clear" w:color="000000" w:fill="FFFFFF"/>
            <w:vAlign w:val="center"/>
            <w:hideMark/>
          </w:tcPr>
          <w:p w14:paraId="1647F4ED"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17.b: 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tc>
        <w:tc>
          <w:tcPr>
            <w:tcW w:w="3075" w:type="dxa"/>
            <w:vAlign w:val="center"/>
            <w:hideMark/>
          </w:tcPr>
          <w:p w14:paraId="618BD3C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809" w:type="dxa"/>
            <w:vAlign w:val="center"/>
            <w:hideMark/>
          </w:tcPr>
          <w:p w14:paraId="4C487586"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sz w:val="20"/>
                <w:lang w:val="es-ES"/>
              </w:rPr>
              <w:t xml:space="preserve">n. </w:t>
            </w:r>
            <w:proofErr w:type="spellStart"/>
            <w:r w:rsidRPr="005E3D50">
              <w:rPr>
                <w:sz w:val="20"/>
                <w:lang w:val="es-ES"/>
              </w:rPr>
              <w:t>a.</w:t>
            </w:r>
            <w:r w:rsidRPr="005E3D50">
              <w:rPr>
                <w:sz w:val="20"/>
                <w:vertAlign w:val="superscript"/>
                <w:lang w:val="es-ES"/>
              </w:rPr>
              <w:t>a</w:t>
            </w:r>
            <w:proofErr w:type="spellEnd"/>
            <w:r w:rsidRPr="005E3D50">
              <w:rPr>
                <w:sz w:val="20"/>
                <w:lang w:val="es-ES"/>
              </w:rPr>
              <w:t xml:space="preserve"> </w:t>
            </w:r>
          </w:p>
        </w:tc>
        <w:tc>
          <w:tcPr>
            <w:tcW w:w="2600" w:type="dxa"/>
            <w:vAlign w:val="center"/>
            <w:hideMark/>
          </w:tcPr>
          <w:p w14:paraId="12D175A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El 40 % de las Partes tuvieron una puntuación alta (puntuación de 4 o 5)</w:t>
            </w:r>
          </w:p>
        </w:tc>
        <w:tc>
          <w:tcPr>
            <w:tcW w:w="596" w:type="dxa"/>
            <w:shd w:val="clear" w:color="000000" w:fill="FFC000"/>
            <w:vAlign w:val="bottom"/>
            <w:hideMark/>
          </w:tcPr>
          <w:p w14:paraId="089BC863"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tc>
      </w:tr>
      <w:tr w:rsidR="009713BF" w:rsidRPr="005E3D50" w14:paraId="40773F9A" w14:textId="77777777" w:rsidTr="006E6831">
        <w:trPr>
          <w:trHeight w:val="1050"/>
        </w:trPr>
        <w:tc>
          <w:tcPr>
            <w:tcW w:w="3220" w:type="dxa"/>
            <w:shd w:val="clear" w:color="000000" w:fill="FFFFFF"/>
            <w:vAlign w:val="center"/>
            <w:hideMark/>
          </w:tcPr>
          <w:p w14:paraId="087501D4"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3075" w:type="dxa"/>
            <w:vAlign w:val="center"/>
            <w:hideMark/>
          </w:tcPr>
          <w:p w14:paraId="0BD3D98A"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11 </w:t>
            </w:r>
            <w:proofErr w:type="gramStart"/>
            <w:r w:rsidRPr="005E3D50">
              <w:rPr>
                <w:sz w:val="20"/>
                <w:lang w:val="es-ES"/>
              </w:rPr>
              <w:t>Partes</w:t>
            </w:r>
            <w:proofErr w:type="gramEnd"/>
            <w:r w:rsidRPr="005E3D50">
              <w:rPr>
                <w:sz w:val="20"/>
                <w:lang w:val="es-ES"/>
              </w:rPr>
              <w:t>, 9 %</w:t>
            </w:r>
          </w:p>
        </w:tc>
        <w:tc>
          <w:tcPr>
            <w:tcW w:w="809" w:type="dxa"/>
            <w:shd w:val="clear" w:color="000000" w:fill="C00000"/>
            <w:vAlign w:val="center"/>
            <w:hideMark/>
          </w:tcPr>
          <w:p w14:paraId="594D4D76"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tc>
        <w:tc>
          <w:tcPr>
            <w:tcW w:w="2600" w:type="dxa"/>
            <w:vAlign w:val="center"/>
            <w:hideMark/>
          </w:tcPr>
          <w:p w14:paraId="05A188E7" w14:textId="77777777" w:rsidR="009713BF" w:rsidRPr="005E3D50" w:rsidRDefault="009713BF" w:rsidP="009713BF">
            <w:pPr>
              <w:jc w:val="center"/>
              <w:rPr>
                <w:sz w:val="20"/>
                <w:szCs w:val="20"/>
                <w:lang w:val="es-ES"/>
              </w:rPr>
            </w:pPr>
            <w:r w:rsidRPr="005E3D50">
              <w:rPr>
                <w:sz w:val="20"/>
                <w:lang w:val="es-ES"/>
              </w:rPr>
              <w:t>14 % registran tendencias positivas</w:t>
            </w:r>
          </w:p>
          <w:p w14:paraId="210DC20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19 % registran tendencias negativas</w:t>
            </w:r>
          </w:p>
        </w:tc>
        <w:tc>
          <w:tcPr>
            <w:tcW w:w="596" w:type="dxa"/>
            <w:shd w:val="clear" w:color="000000" w:fill="C00000"/>
            <w:vAlign w:val="center"/>
            <w:hideMark/>
          </w:tcPr>
          <w:p w14:paraId="27D8BA7E"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tc>
      </w:tr>
    </w:tbl>
    <w:p w14:paraId="39CFC9E4" w14:textId="77777777" w:rsidR="009713BF" w:rsidRPr="005E3D50" w:rsidRDefault="009713BF" w:rsidP="009713BF">
      <w:pPr>
        <w:rPr>
          <w:rFonts w:ascii="Aptos" w:hAnsi="Aptos"/>
          <w:lang w:val="es-ES"/>
        </w:rPr>
      </w:pPr>
    </w:p>
    <w:p w14:paraId="73810C96"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38CCD1C0"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249784F3" w14:textId="77777777" w:rsidR="009713BF" w:rsidRPr="005E3D50" w:rsidRDefault="009713BF" w:rsidP="009713BF">
      <w:pPr>
        <w:rPr>
          <w:rFonts w:ascii="Aptos" w:hAnsi="Aptos"/>
          <w:lang w:val="es-ES"/>
        </w:rPr>
      </w:pPr>
    </w:p>
    <w:p w14:paraId="63D41BB7" w14:textId="77777777" w:rsidR="009713BF" w:rsidRPr="005E3D50" w:rsidRDefault="009713BF" w:rsidP="009713BF">
      <w:pPr>
        <w:rPr>
          <w:lang w:val="es-ES"/>
        </w:rPr>
      </w:pPr>
      <w:r w:rsidRPr="005E3D50">
        <w:rPr>
          <w:lang w:val="es-ES"/>
        </w:rPr>
        <w:t xml:space="preserve">El marco de seguimiento no incluye un indicador de cabecera para la meta 17. En general, las respuestas relacionadas con el indicador binario de la meta indican que las Partes han logrado progresos dispares. Las tendencias relacionadas con los indicadores para los cuales se aportó información refuerzan esta preocupación, dado que en muy pocos indicadores se registra una tendencia positiva. La información presentada para indicadores adicionales también </w:t>
      </w:r>
      <w:proofErr w:type="gramStart"/>
      <w:r w:rsidRPr="005E3D50">
        <w:rPr>
          <w:lang w:val="es-ES"/>
        </w:rPr>
        <w:t>se centró principalmente en</w:t>
      </w:r>
      <w:proofErr w:type="gramEnd"/>
      <w:r w:rsidRPr="005E3D50">
        <w:rPr>
          <w:lang w:val="es-ES"/>
        </w:rPr>
        <w:t xml:space="preserve"> componentes relacionados con la seguridad de la biotecnología y no en los otros elementos de la meta 17 (véase el cuadro 38).</w:t>
      </w:r>
    </w:p>
    <w:p w14:paraId="5B383995" w14:textId="77777777" w:rsidR="009713BF" w:rsidRPr="005E3D50" w:rsidRDefault="009713BF" w:rsidP="009713BF">
      <w:pPr>
        <w:rPr>
          <w:lang w:val="es-ES"/>
        </w:rPr>
      </w:pPr>
      <w:r w:rsidRPr="005E3D50">
        <w:rPr>
          <w:lang w:val="es-ES"/>
        </w:rPr>
        <w:t xml:space="preserve">En sus respuestas relacionadas con el indicador binario 17.b, la mayoría de las Partes informaron que los progresos han sido parciales, lo que indica que a pesar de que se están llevando a cabo esfuerzos para la consecución de la meta 17, es necesario dedicar más esfuerzos. Una Parte informó que había logrado plenamente todos los aspectos de las medidas abordadas en el indicador binario (véase la figura 70). </w:t>
      </w:r>
    </w:p>
    <w:p w14:paraId="1705FDDF" w14:textId="77777777" w:rsidR="009713BF" w:rsidRPr="005E3D50" w:rsidRDefault="009713BF" w:rsidP="009713BF">
      <w:pPr>
        <w:rPr>
          <w:lang w:val="es-ES"/>
        </w:rPr>
      </w:pPr>
      <w:r w:rsidRPr="005E3D50">
        <w:rPr>
          <w:lang w:val="es-ES"/>
        </w:rPr>
        <w:t xml:space="preserve">Los mayores progresos logrados por las Partes se dieron en el establecimiento y la aplicación de medidas relacionadas con la seguridad de la biotecnología conforme al artículo 8 g) del Convenio, que fueron plenamente establecidas y aplicadas por casi la mitad de las Partes. Asimismo, casi la mitad de las Partes informaron que realizan evaluaciones de riesgo sobre la utilización y liberación de organismos vivos modificados y la provisión de acceso a información relacionada con la seguridad de la biotecnología. Se comunica un nivel mucho menor de progresos en relación con la gestión de la biotecnología y la distribución de sus beneficios. En este sentido, muchas Partes recién han empezado a elaborar medidas relacionadas con la participación efectiva en la investigación en biotecnología, incluida la participación de países que aportan los recursos genéticos para tales investigaciones, y el acceso prioritario por las Partes, especialmente las que son países en desarrollo, en forma justa y equitativa, a los </w:t>
      </w:r>
      <w:r w:rsidRPr="005E3D50">
        <w:rPr>
          <w:lang w:val="es-ES"/>
        </w:rPr>
        <w:lastRenderedPageBreak/>
        <w:t>resultados y beneficios que se deriven de biotecnologías basadas en recursos genéticos aportados por Partes.</w:t>
      </w:r>
    </w:p>
    <w:p w14:paraId="5BE90756" w14:textId="77777777" w:rsidR="009713BF" w:rsidRPr="005E3D50" w:rsidRDefault="009713BF" w:rsidP="009713BF">
      <w:pPr>
        <w:rPr>
          <w:lang w:val="es-ES"/>
        </w:rPr>
      </w:pPr>
      <w:r w:rsidRPr="005E3D50">
        <w:rPr>
          <w:lang w:val="es-ES"/>
        </w:rPr>
        <w:t>Relativamente pocas Partes (9 %) presentaron indicadores adicionales y los que se presentaron tienen que ver mayormente con los elementos de seguridad de la biotecnología de la meta 17. Entre estos indicadores, fueron más los que registraron tendencias negativas (véase la figura 71). Estas tendencias no pueden, sin embargo, considerarse representativas de todas las Partes.</w:t>
      </w:r>
    </w:p>
    <w:p w14:paraId="15CB5858" w14:textId="77777777" w:rsidR="009713BF" w:rsidRPr="005E3D50" w:rsidRDefault="009713BF" w:rsidP="009713BF">
      <w:pPr>
        <w:rPr>
          <w:sz w:val="20"/>
          <w:szCs w:val="20"/>
          <w:lang w:val="es-ES"/>
        </w:rPr>
      </w:pPr>
    </w:p>
    <w:p w14:paraId="3508E33D" w14:textId="77777777" w:rsidR="009713BF" w:rsidRPr="005E3D50" w:rsidRDefault="009713BF" w:rsidP="009713BF">
      <w:pPr>
        <w:rPr>
          <w:sz w:val="20"/>
          <w:szCs w:val="20"/>
          <w:lang w:val="es-ES"/>
        </w:rPr>
      </w:pPr>
      <w:r w:rsidRPr="005E3D50">
        <w:rPr>
          <w:sz w:val="20"/>
          <w:lang w:val="es-ES"/>
        </w:rPr>
        <w:t>Figura 70</w:t>
      </w:r>
    </w:p>
    <w:p w14:paraId="310268A3" w14:textId="77777777" w:rsidR="009713BF" w:rsidRPr="005E3D50" w:rsidRDefault="009713BF" w:rsidP="009713BF">
      <w:pPr>
        <w:rPr>
          <w:i/>
          <w:iCs/>
          <w:sz w:val="20"/>
          <w:szCs w:val="20"/>
          <w:lang w:val="es-ES"/>
        </w:rPr>
      </w:pPr>
      <w:r w:rsidRPr="005E3D50">
        <w:rPr>
          <w:b/>
          <w:sz w:val="20"/>
          <w:lang w:val="es-ES"/>
        </w:rPr>
        <w:t>Indicador binario 17.b: 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p w14:paraId="44750803" w14:textId="77777777" w:rsidR="009713BF" w:rsidRPr="005E3D50" w:rsidRDefault="009713BF" w:rsidP="009713BF">
      <w:pPr>
        <w:rPr>
          <w:lang w:val="es-ES"/>
        </w:rPr>
      </w:pPr>
    </w:p>
    <w:p w14:paraId="58C129EA"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4288C615" wp14:editId="1423FE2E">
            <wp:extent cx="5943600" cy="2264410"/>
            <wp:effectExtent l="0" t="0" r="0" b="0"/>
            <wp:docPr id="86069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9656" name="Picture 86069656"/>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0571D326"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7ABE03CF" w14:textId="77777777" w:rsidR="009713BF" w:rsidRPr="005E3D50" w:rsidRDefault="009713BF" w:rsidP="009713BF">
      <w:pPr>
        <w:spacing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Cs/>
          <w:color w:val="0E2841" w:themeColor="text2"/>
          <w:kern w:val="0"/>
          <w:sz w:val="18"/>
          <w:szCs w:val="18"/>
          <w:vertAlign w:val="superscript"/>
          <w:lang w:val="es-ES" w:eastAsia="ja-JP"/>
          <w14:ligatures w14:val="none"/>
        </w:rPr>
        <w:t>a</w:t>
      </w:r>
      <w:r w:rsidRPr="005E3D50">
        <w:rPr>
          <w:rFonts w:ascii="Aptos" w:eastAsiaTheme="minorEastAsia" w:hAnsi="Aptos"/>
          <w:iCs/>
          <w:color w:val="0E2841" w:themeColor="text2"/>
          <w:kern w:val="0"/>
          <w:sz w:val="18"/>
          <w:szCs w:val="18"/>
          <w:lang w:val="es-ES" w:eastAsia="ja-JP"/>
          <w14:ligatures w14:val="none"/>
        </w:rPr>
        <w:t xml:space="preserve"> La metodología empleada para calcular los niveles de puntuación para cada indicador binario, así como las preguntas incluidas para cada indicador, figuran en el documento </w:t>
      </w:r>
      <w:hyperlink r:id="rId174" w:history="1">
        <w:r w:rsidRPr="005E3D50">
          <w:rPr>
            <w:rFonts w:ascii="Aptos" w:eastAsiaTheme="minorEastAsia" w:hAnsi="Aptos"/>
            <w:iCs/>
            <w:color w:val="0E2841" w:themeColor="text2"/>
            <w:kern w:val="0"/>
            <w:sz w:val="18"/>
            <w:szCs w:val="18"/>
            <w:lang w:val="es-ES" w:eastAsia="ja-JP"/>
            <w14:ligatures w14:val="none"/>
          </w:rPr>
          <w:t>CBD/COP/16/INF/3/Rev.1</w:t>
        </w:r>
      </w:hyperlink>
      <w:r w:rsidRPr="005E3D50">
        <w:rPr>
          <w:rFonts w:ascii="Aptos" w:eastAsiaTheme="minorEastAsia" w:hAnsi="Aptos"/>
          <w:iCs/>
          <w:color w:val="0E2841" w:themeColor="text2"/>
          <w:kern w:val="0"/>
          <w:sz w:val="18"/>
          <w:szCs w:val="18"/>
          <w:lang w:val="es-ES" w:eastAsia="ja-JP"/>
          <w14:ligatures w14:val="none"/>
        </w:rPr>
        <w:t>.</w:t>
      </w:r>
    </w:p>
    <w:tbl>
      <w:tblPr>
        <w:tblStyle w:val="TableGrid"/>
        <w:tblW w:w="9477" w:type="dxa"/>
        <w:tblLook w:val="04A0" w:firstRow="1" w:lastRow="0" w:firstColumn="1" w:lastColumn="0" w:noHBand="0" w:noVBand="1"/>
      </w:tblPr>
      <w:tblGrid>
        <w:gridCol w:w="4886"/>
        <w:gridCol w:w="4591"/>
      </w:tblGrid>
      <w:tr w:rsidR="006B0E82" w:rsidRPr="006B0E82" w14:paraId="740B145F" w14:textId="77777777" w:rsidTr="006B0E82">
        <w:tc>
          <w:tcPr>
            <w:tcW w:w="9477" w:type="dxa"/>
            <w:gridSpan w:val="2"/>
          </w:tcPr>
          <w:p w14:paraId="2707DF37" w14:textId="39ACF9D5" w:rsidR="006B0E82" w:rsidRPr="006B0E82" w:rsidRDefault="006B0E82" w:rsidP="006B0E82">
            <w:pPr>
              <w:spacing w:line="278" w:lineRule="auto"/>
              <w:rPr>
                <w:sz w:val="18"/>
                <w:szCs w:val="18"/>
                <w:lang w:val="es-ES"/>
              </w:rPr>
            </w:pPr>
            <w:r w:rsidRPr="006B0E82">
              <w:rPr>
                <w:sz w:val="18"/>
                <w:szCs w:val="18"/>
                <w:lang w:val="es-ES"/>
              </w:rPr>
              <w:t>Figura 70</w:t>
            </w:r>
          </w:p>
        </w:tc>
      </w:tr>
      <w:tr w:rsidR="006B0E82" w:rsidRPr="006B0E82" w14:paraId="1FDC173F" w14:textId="77777777" w:rsidTr="006B0E82">
        <w:tc>
          <w:tcPr>
            <w:tcW w:w="4886" w:type="dxa"/>
          </w:tcPr>
          <w:p w14:paraId="68198715" w14:textId="6B7C4DF3" w:rsidR="006B0E82" w:rsidRPr="006B0E82" w:rsidRDefault="006B0E82" w:rsidP="006B0E82">
            <w:pPr>
              <w:spacing w:line="278" w:lineRule="auto"/>
              <w:rPr>
                <w:sz w:val="18"/>
                <w:szCs w:val="18"/>
                <w:lang w:val="es-ES"/>
              </w:rPr>
            </w:pPr>
            <w:r w:rsidRPr="006B0E82">
              <w:rPr>
                <w:sz w:val="18"/>
                <w:szCs w:val="18"/>
                <w:lang w:val="es-ES"/>
              </w:rPr>
              <w:t xml:space="preserve">English </w:t>
            </w:r>
          </w:p>
        </w:tc>
        <w:tc>
          <w:tcPr>
            <w:tcW w:w="4590" w:type="dxa"/>
          </w:tcPr>
          <w:p w14:paraId="74D4B978" w14:textId="49E0AF94" w:rsidR="006B0E82" w:rsidRPr="006B0E82" w:rsidRDefault="006B0E82" w:rsidP="006B0E82">
            <w:pPr>
              <w:spacing w:line="278" w:lineRule="auto"/>
              <w:rPr>
                <w:sz w:val="18"/>
                <w:szCs w:val="18"/>
                <w:lang w:val="es-ES"/>
              </w:rPr>
            </w:pPr>
            <w:r w:rsidRPr="006B0E82">
              <w:rPr>
                <w:sz w:val="18"/>
                <w:szCs w:val="18"/>
                <w:lang w:val="es-ES"/>
              </w:rPr>
              <w:t>Español</w:t>
            </w:r>
          </w:p>
        </w:tc>
      </w:tr>
      <w:tr w:rsidR="006B0E82" w:rsidRPr="006B0E82" w14:paraId="76574BAB" w14:textId="77777777" w:rsidTr="006B0E82">
        <w:tc>
          <w:tcPr>
            <w:tcW w:w="4886" w:type="dxa"/>
          </w:tcPr>
          <w:p w14:paraId="5974A008" w14:textId="77777777" w:rsidR="006B0E82" w:rsidRPr="006B0E82" w:rsidRDefault="006B0E82" w:rsidP="006B0E82">
            <w:pPr>
              <w:spacing w:line="278" w:lineRule="auto"/>
              <w:rPr>
                <w:sz w:val="18"/>
                <w:szCs w:val="18"/>
                <w:lang w:val="es-ES"/>
              </w:rPr>
            </w:pPr>
            <w:proofErr w:type="spellStart"/>
            <w:r w:rsidRPr="006B0E82">
              <w:rPr>
                <w:sz w:val="18"/>
                <w:szCs w:val="18"/>
                <w:lang w:val="es-ES"/>
              </w:rPr>
              <w:t>Answers</w:t>
            </w:r>
            <w:proofErr w:type="spellEnd"/>
            <w:r w:rsidRPr="006B0E82">
              <w:rPr>
                <w:sz w:val="18"/>
                <w:szCs w:val="18"/>
                <w:lang w:val="es-ES"/>
              </w:rPr>
              <w:t xml:space="preserve"> (</w:t>
            </w:r>
            <w:proofErr w:type="spellStart"/>
            <w:r w:rsidRPr="006B0E82">
              <w:rPr>
                <w:sz w:val="18"/>
                <w:szCs w:val="18"/>
                <w:lang w:val="es-ES"/>
              </w:rPr>
              <w:t>percentage</w:t>
            </w:r>
            <w:proofErr w:type="spellEnd"/>
            <w:r w:rsidRPr="006B0E82">
              <w:rPr>
                <w:sz w:val="18"/>
                <w:szCs w:val="18"/>
                <w:lang w:val="es-ES"/>
              </w:rPr>
              <w:t>)</w:t>
            </w:r>
          </w:p>
        </w:tc>
        <w:tc>
          <w:tcPr>
            <w:tcW w:w="4590" w:type="dxa"/>
          </w:tcPr>
          <w:p w14:paraId="381E1D50" w14:textId="77777777" w:rsidR="006B0E82" w:rsidRPr="006B0E82" w:rsidRDefault="006B0E82" w:rsidP="006B0E82">
            <w:pPr>
              <w:spacing w:line="278" w:lineRule="auto"/>
              <w:rPr>
                <w:sz w:val="18"/>
                <w:szCs w:val="18"/>
                <w:lang w:val="es-ES"/>
              </w:rPr>
            </w:pPr>
            <w:r w:rsidRPr="006B0E82">
              <w:rPr>
                <w:sz w:val="18"/>
                <w:szCs w:val="18"/>
                <w:lang w:val="es-ES"/>
              </w:rPr>
              <w:t>Respuestas (porcentaje)</w:t>
            </w:r>
          </w:p>
        </w:tc>
      </w:tr>
      <w:tr w:rsidR="006B0E82" w:rsidRPr="006B0E82" w14:paraId="4DAAF31E" w14:textId="77777777" w:rsidTr="006B0E82">
        <w:tc>
          <w:tcPr>
            <w:tcW w:w="4886" w:type="dxa"/>
          </w:tcPr>
          <w:p w14:paraId="0DFED583" w14:textId="77777777" w:rsidR="006B0E82" w:rsidRPr="006B0E82" w:rsidRDefault="006B0E82" w:rsidP="006B0E82">
            <w:pPr>
              <w:spacing w:line="278" w:lineRule="auto"/>
              <w:rPr>
                <w:sz w:val="18"/>
                <w:szCs w:val="18"/>
                <w:lang w:val="es-ES"/>
              </w:rPr>
            </w:pPr>
            <w:r w:rsidRPr="006B0E82">
              <w:rPr>
                <w:sz w:val="18"/>
                <w:szCs w:val="18"/>
                <w:lang w:val="es-ES"/>
              </w:rPr>
              <w:t>Score Level</w:t>
            </w:r>
          </w:p>
        </w:tc>
        <w:tc>
          <w:tcPr>
            <w:tcW w:w="4590" w:type="dxa"/>
          </w:tcPr>
          <w:p w14:paraId="4F676C1A" w14:textId="77777777" w:rsidR="006B0E82" w:rsidRPr="006B0E82" w:rsidRDefault="006B0E82" w:rsidP="006B0E82">
            <w:pPr>
              <w:spacing w:line="278" w:lineRule="auto"/>
              <w:rPr>
                <w:sz w:val="18"/>
                <w:szCs w:val="18"/>
                <w:lang w:val="es-ES"/>
              </w:rPr>
            </w:pPr>
            <w:r w:rsidRPr="006B0E82">
              <w:rPr>
                <w:sz w:val="18"/>
                <w:szCs w:val="18"/>
                <w:lang w:val="es-ES"/>
              </w:rPr>
              <w:t>Nivel de puntuación</w:t>
            </w:r>
          </w:p>
        </w:tc>
      </w:tr>
      <w:tr w:rsidR="006B0E82" w:rsidRPr="006B0E82" w14:paraId="7B8F9EED" w14:textId="77777777" w:rsidTr="006B0E82">
        <w:tc>
          <w:tcPr>
            <w:tcW w:w="4886" w:type="dxa"/>
          </w:tcPr>
          <w:p w14:paraId="323D9F4A" w14:textId="77777777" w:rsidR="006B0E82" w:rsidRPr="006B0E82" w:rsidRDefault="006B0E82" w:rsidP="006B0E82">
            <w:pPr>
              <w:spacing w:line="278" w:lineRule="auto"/>
              <w:rPr>
                <w:sz w:val="18"/>
                <w:szCs w:val="18"/>
                <w:lang w:val="es-ES"/>
              </w:rPr>
            </w:pPr>
            <w:r w:rsidRPr="006B0E82">
              <w:rPr>
                <w:sz w:val="18"/>
                <w:szCs w:val="18"/>
                <w:lang w:val="es-ES"/>
              </w:rPr>
              <w:t xml:space="preserve">Party </w:t>
            </w:r>
            <w:proofErr w:type="spellStart"/>
            <w:r w:rsidRPr="006B0E82">
              <w:rPr>
                <w:sz w:val="18"/>
                <w:szCs w:val="18"/>
                <w:lang w:val="es-ES"/>
              </w:rPr>
              <w:t>count</w:t>
            </w:r>
            <w:proofErr w:type="spellEnd"/>
            <w:r w:rsidRPr="006B0E82">
              <w:rPr>
                <w:sz w:val="18"/>
                <w:szCs w:val="18"/>
                <w:lang w:val="es-ES"/>
              </w:rPr>
              <w:t>: 127</w:t>
            </w:r>
          </w:p>
        </w:tc>
        <w:tc>
          <w:tcPr>
            <w:tcW w:w="4590" w:type="dxa"/>
          </w:tcPr>
          <w:p w14:paraId="00814DBB" w14:textId="77777777" w:rsidR="006B0E82" w:rsidRPr="006B0E82" w:rsidRDefault="006B0E82" w:rsidP="006B0E82">
            <w:pPr>
              <w:spacing w:line="278" w:lineRule="auto"/>
              <w:rPr>
                <w:sz w:val="18"/>
                <w:szCs w:val="18"/>
                <w:lang w:val="es-ES"/>
              </w:rPr>
            </w:pPr>
            <w:r w:rsidRPr="006B0E82">
              <w:rPr>
                <w:sz w:val="18"/>
                <w:szCs w:val="18"/>
                <w:lang w:val="es-ES"/>
              </w:rPr>
              <w:t>Número de Partes: 127</w:t>
            </w:r>
          </w:p>
        </w:tc>
      </w:tr>
      <w:tr w:rsidR="006B0E82" w:rsidRPr="006B0E82" w14:paraId="2BE0D69B" w14:textId="77777777" w:rsidTr="006B0E82">
        <w:tc>
          <w:tcPr>
            <w:tcW w:w="4886" w:type="dxa"/>
          </w:tcPr>
          <w:p w14:paraId="4FD0D971" w14:textId="77777777" w:rsidR="006B0E82" w:rsidRPr="006B0E82" w:rsidRDefault="006B0E82" w:rsidP="006B0E82">
            <w:pPr>
              <w:spacing w:line="278" w:lineRule="auto"/>
              <w:rPr>
                <w:sz w:val="18"/>
                <w:szCs w:val="18"/>
                <w:lang w:val="es-ES"/>
              </w:rPr>
            </w:pPr>
            <w:proofErr w:type="spellStart"/>
            <w:r w:rsidRPr="006B0E82">
              <w:rPr>
                <w:sz w:val="18"/>
                <w:szCs w:val="18"/>
                <w:lang w:val="es-ES"/>
              </w:rPr>
              <w:t>Region</w:t>
            </w:r>
            <w:proofErr w:type="spellEnd"/>
          </w:p>
        </w:tc>
        <w:tc>
          <w:tcPr>
            <w:tcW w:w="4590" w:type="dxa"/>
          </w:tcPr>
          <w:p w14:paraId="560C2B2A" w14:textId="77777777" w:rsidR="006B0E82" w:rsidRPr="006B0E82" w:rsidRDefault="006B0E82" w:rsidP="006B0E82">
            <w:pPr>
              <w:spacing w:line="278" w:lineRule="auto"/>
              <w:rPr>
                <w:sz w:val="18"/>
                <w:szCs w:val="18"/>
                <w:lang w:val="es-ES"/>
              </w:rPr>
            </w:pPr>
            <w:r w:rsidRPr="006B0E82">
              <w:rPr>
                <w:sz w:val="18"/>
                <w:szCs w:val="18"/>
                <w:lang w:val="es-ES"/>
              </w:rPr>
              <w:t>Región</w:t>
            </w:r>
          </w:p>
        </w:tc>
      </w:tr>
      <w:tr w:rsidR="006B0E82" w:rsidRPr="006B0E82" w14:paraId="4CD022AA" w14:textId="77777777" w:rsidTr="006B0E82">
        <w:tc>
          <w:tcPr>
            <w:tcW w:w="4886" w:type="dxa"/>
          </w:tcPr>
          <w:p w14:paraId="6B95C4CF" w14:textId="77777777" w:rsidR="006B0E82" w:rsidRPr="006B0E82" w:rsidRDefault="006B0E82" w:rsidP="006B0E82">
            <w:pPr>
              <w:spacing w:line="278" w:lineRule="auto"/>
              <w:rPr>
                <w:sz w:val="18"/>
                <w:szCs w:val="18"/>
                <w:lang w:val="es-ES"/>
              </w:rPr>
            </w:pPr>
            <w:r w:rsidRPr="006B0E82">
              <w:rPr>
                <w:sz w:val="18"/>
                <w:szCs w:val="18"/>
                <w:lang w:val="es-ES"/>
              </w:rPr>
              <w:lastRenderedPageBreak/>
              <w:t>African States</w:t>
            </w:r>
          </w:p>
        </w:tc>
        <w:tc>
          <w:tcPr>
            <w:tcW w:w="4590" w:type="dxa"/>
          </w:tcPr>
          <w:p w14:paraId="10634EBB" w14:textId="77777777" w:rsidR="006B0E82" w:rsidRPr="006B0E82" w:rsidRDefault="006B0E82" w:rsidP="006B0E82">
            <w:pPr>
              <w:spacing w:line="278" w:lineRule="auto"/>
              <w:rPr>
                <w:sz w:val="18"/>
                <w:szCs w:val="18"/>
                <w:lang w:val="es-ES"/>
              </w:rPr>
            </w:pPr>
            <w:r w:rsidRPr="006B0E82">
              <w:rPr>
                <w:sz w:val="18"/>
                <w:szCs w:val="18"/>
                <w:lang w:val="es-ES"/>
              </w:rPr>
              <w:t>Estados de África</w:t>
            </w:r>
          </w:p>
        </w:tc>
      </w:tr>
      <w:tr w:rsidR="006B0E82" w:rsidRPr="006B0E82" w14:paraId="2414BA88" w14:textId="77777777" w:rsidTr="006B0E82">
        <w:tc>
          <w:tcPr>
            <w:tcW w:w="4886" w:type="dxa"/>
          </w:tcPr>
          <w:p w14:paraId="67CEBF94" w14:textId="77777777" w:rsidR="006B0E82" w:rsidRPr="006B0E82" w:rsidRDefault="006B0E82" w:rsidP="006B0E82">
            <w:pPr>
              <w:spacing w:line="278" w:lineRule="auto"/>
              <w:rPr>
                <w:sz w:val="18"/>
                <w:szCs w:val="18"/>
                <w:lang w:val="es-ES"/>
              </w:rPr>
            </w:pPr>
            <w:r w:rsidRPr="006B0E82">
              <w:rPr>
                <w:sz w:val="18"/>
                <w:szCs w:val="18"/>
                <w:lang w:val="es-ES"/>
              </w:rPr>
              <w:t>Asia –Pacific States</w:t>
            </w:r>
          </w:p>
        </w:tc>
        <w:tc>
          <w:tcPr>
            <w:tcW w:w="4590" w:type="dxa"/>
          </w:tcPr>
          <w:p w14:paraId="77C38D68" w14:textId="77777777" w:rsidR="006B0E82" w:rsidRPr="006B0E82" w:rsidRDefault="006B0E82" w:rsidP="006B0E82">
            <w:pPr>
              <w:spacing w:line="278" w:lineRule="auto"/>
              <w:rPr>
                <w:sz w:val="18"/>
                <w:szCs w:val="18"/>
                <w:lang w:val="es-ES"/>
              </w:rPr>
            </w:pPr>
            <w:r w:rsidRPr="006B0E82">
              <w:rPr>
                <w:sz w:val="18"/>
                <w:szCs w:val="18"/>
                <w:lang w:val="es-ES"/>
              </w:rPr>
              <w:t>Estados de Asia y el Pacífico</w:t>
            </w:r>
          </w:p>
        </w:tc>
      </w:tr>
      <w:tr w:rsidR="006B0E82" w:rsidRPr="006B0E82" w14:paraId="7FF70460" w14:textId="77777777" w:rsidTr="006B0E82">
        <w:tc>
          <w:tcPr>
            <w:tcW w:w="4886" w:type="dxa"/>
          </w:tcPr>
          <w:p w14:paraId="4A44AEAD" w14:textId="77777777" w:rsidR="006B0E82" w:rsidRPr="006B0E82" w:rsidRDefault="006B0E82" w:rsidP="006B0E82">
            <w:pPr>
              <w:spacing w:line="278" w:lineRule="auto"/>
              <w:rPr>
                <w:sz w:val="18"/>
                <w:szCs w:val="18"/>
                <w:lang w:val="en-US"/>
              </w:rPr>
            </w:pPr>
            <w:r w:rsidRPr="006B0E82">
              <w:rPr>
                <w:sz w:val="18"/>
                <w:szCs w:val="18"/>
                <w:lang w:val="en-US"/>
              </w:rPr>
              <w:t>Latin American and Caribbean States</w:t>
            </w:r>
          </w:p>
        </w:tc>
        <w:tc>
          <w:tcPr>
            <w:tcW w:w="4590" w:type="dxa"/>
          </w:tcPr>
          <w:p w14:paraId="429F9A80" w14:textId="77777777" w:rsidR="006B0E82" w:rsidRPr="006B0E82" w:rsidRDefault="006B0E82" w:rsidP="006B0E82">
            <w:pPr>
              <w:spacing w:line="278" w:lineRule="auto"/>
              <w:rPr>
                <w:sz w:val="18"/>
                <w:szCs w:val="18"/>
                <w:lang w:val="es-ES"/>
              </w:rPr>
            </w:pPr>
            <w:r w:rsidRPr="006B0E82">
              <w:rPr>
                <w:sz w:val="18"/>
                <w:szCs w:val="18"/>
                <w:lang w:val="es-ES"/>
              </w:rPr>
              <w:t>Estados de América Latina y el Caribe</w:t>
            </w:r>
          </w:p>
        </w:tc>
      </w:tr>
      <w:tr w:rsidR="006B0E82" w:rsidRPr="006B0E82" w14:paraId="636E7D21" w14:textId="77777777" w:rsidTr="006B0E82">
        <w:tc>
          <w:tcPr>
            <w:tcW w:w="4886" w:type="dxa"/>
          </w:tcPr>
          <w:p w14:paraId="426FDBF3" w14:textId="77777777" w:rsidR="006B0E82" w:rsidRPr="006B0E82" w:rsidRDefault="006B0E82" w:rsidP="006B0E82">
            <w:pPr>
              <w:spacing w:line="278" w:lineRule="auto"/>
              <w:rPr>
                <w:sz w:val="18"/>
                <w:szCs w:val="18"/>
                <w:lang w:val="es-ES"/>
              </w:rPr>
            </w:pPr>
            <w:r w:rsidRPr="006B0E82">
              <w:rPr>
                <w:sz w:val="18"/>
                <w:szCs w:val="18"/>
                <w:lang w:val="es-ES"/>
              </w:rPr>
              <w:t xml:space="preserve"> Eastern European States</w:t>
            </w:r>
          </w:p>
        </w:tc>
        <w:tc>
          <w:tcPr>
            <w:tcW w:w="4590" w:type="dxa"/>
          </w:tcPr>
          <w:p w14:paraId="266A9F50" w14:textId="77777777" w:rsidR="006B0E82" w:rsidRPr="006B0E82" w:rsidRDefault="006B0E82" w:rsidP="006B0E82">
            <w:pPr>
              <w:spacing w:line="278" w:lineRule="auto"/>
              <w:rPr>
                <w:sz w:val="18"/>
                <w:szCs w:val="18"/>
                <w:lang w:val="es-ES"/>
              </w:rPr>
            </w:pPr>
            <w:r w:rsidRPr="006B0E82">
              <w:rPr>
                <w:sz w:val="18"/>
                <w:szCs w:val="18"/>
                <w:lang w:val="es-ES"/>
              </w:rPr>
              <w:t>Estados de Europa Oriental</w:t>
            </w:r>
          </w:p>
        </w:tc>
      </w:tr>
      <w:tr w:rsidR="006B0E82" w:rsidRPr="006B0E82" w14:paraId="7E7DB3E1" w14:textId="77777777" w:rsidTr="006B0E82">
        <w:tc>
          <w:tcPr>
            <w:tcW w:w="4886" w:type="dxa"/>
          </w:tcPr>
          <w:p w14:paraId="20C33641" w14:textId="77777777" w:rsidR="006B0E82" w:rsidRPr="006B0E82" w:rsidRDefault="006B0E82" w:rsidP="006B0E82">
            <w:pPr>
              <w:spacing w:line="278" w:lineRule="auto"/>
              <w:rPr>
                <w:sz w:val="18"/>
                <w:szCs w:val="18"/>
                <w:lang w:val="en-US"/>
              </w:rPr>
            </w:pPr>
            <w:r w:rsidRPr="006B0E82">
              <w:rPr>
                <w:sz w:val="18"/>
                <w:szCs w:val="18"/>
                <w:lang w:val="en-US"/>
              </w:rPr>
              <w:t>Western European and other States</w:t>
            </w:r>
          </w:p>
        </w:tc>
        <w:tc>
          <w:tcPr>
            <w:tcW w:w="4590" w:type="dxa"/>
          </w:tcPr>
          <w:p w14:paraId="288E847F" w14:textId="77777777" w:rsidR="006B0E82" w:rsidRPr="006B0E82" w:rsidRDefault="006B0E82" w:rsidP="006B0E82">
            <w:pPr>
              <w:spacing w:line="278" w:lineRule="auto"/>
              <w:rPr>
                <w:sz w:val="18"/>
                <w:szCs w:val="18"/>
                <w:lang w:val="es-ES"/>
              </w:rPr>
            </w:pPr>
            <w:r w:rsidRPr="006B0E82">
              <w:rPr>
                <w:sz w:val="18"/>
                <w:szCs w:val="18"/>
                <w:lang w:val="es-ES"/>
              </w:rPr>
              <w:t>Estados de Europa Occidental y otros Estados</w:t>
            </w:r>
          </w:p>
        </w:tc>
      </w:tr>
    </w:tbl>
    <w:p w14:paraId="66A52671" w14:textId="77777777" w:rsidR="009713BF" w:rsidRPr="005E3D50" w:rsidRDefault="009713BF" w:rsidP="009713BF">
      <w:pPr>
        <w:rPr>
          <w:lang w:val="es-ES" w:eastAsia="ja-JP"/>
        </w:rPr>
      </w:pPr>
    </w:p>
    <w:p w14:paraId="68C09BD5" w14:textId="77777777" w:rsidR="009713BF" w:rsidRPr="005E3D50" w:rsidRDefault="009713BF" w:rsidP="009713BF">
      <w:pPr>
        <w:rPr>
          <w:sz w:val="20"/>
          <w:szCs w:val="20"/>
          <w:lang w:val="es-ES"/>
        </w:rPr>
      </w:pPr>
      <w:r w:rsidRPr="005E3D50">
        <w:rPr>
          <w:sz w:val="20"/>
          <w:lang w:val="es-ES"/>
        </w:rPr>
        <w:t>Figura 71</w:t>
      </w:r>
    </w:p>
    <w:p w14:paraId="402731F7"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17 del Marco que sugieren tendencias de mejora, estables y negativas, respectivamente </w:t>
      </w:r>
    </w:p>
    <w:p w14:paraId="3AB4A6AD" w14:textId="77777777" w:rsidR="009713BF" w:rsidRPr="005E3D50" w:rsidRDefault="009713BF" w:rsidP="009713BF">
      <w:pPr>
        <w:rPr>
          <w:lang w:val="es-ES" w:eastAsia="ja-JP"/>
        </w:rPr>
      </w:pPr>
    </w:p>
    <w:p w14:paraId="3F6AFB70"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43DAE96D" wp14:editId="4039D5B6">
            <wp:extent cx="5731510" cy="2456180"/>
            <wp:effectExtent l="0" t="0" r="0" b="0"/>
            <wp:docPr id="3959723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2307" name="Picture 395972307"/>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63CC132" w14:textId="77777777" w:rsidR="009713BF" w:rsidRPr="005E3D50" w:rsidRDefault="009713BF" w:rsidP="009713BF">
      <w:pPr>
        <w:spacing w:after="200" w:line="240" w:lineRule="auto"/>
        <w:rPr>
          <w:rFonts w:eastAsiaTheme="minorEastAsia"/>
          <w:iCs/>
          <w:color w:val="0E2841" w:themeColor="text2"/>
          <w:kern w:val="0"/>
          <w:sz w:val="16"/>
          <w:szCs w:val="16"/>
          <w:lang w:val="es-ES" w:eastAsia="ja-JP"/>
          <w14:ligatures w14:val="none"/>
        </w:rPr>
      </w:pPr>
      <w:r w:rsidRPr="005E3D50">
        <w:rPr>
          <w:rFonts w:eastAsiaTheme="minorEastAsia"/>
          <w:i/>
          <w:iCs/>
          <w:color w:val="0E2841" w:themeColor="text2"/>
          <w:kern w:val="0"/>
          <w:sz w:val="16"/>
          <w:szCs w:val="18"/>
          <w:lang w:val="es-ES" w:eastAsia="ja-JP"/>
          <w14:ligatures w14:val="none"/>
        </w:rPr>
        <w:t>Nota</w:t>
      </w:r>
      <w:r w:rsidRPr="005E3D50">
        <w:rPr>
          <w:rFonts w:eastAsiaTheme="minorEastAsia"/>
          <w:iCs/>
          <w:color w:val="0E2841" w:themeColor="text2"/>
          <w:kern w:val="0"/>
          <w:sz w:val="16"/>
          <w:szCs w:val="18"/>
          <w:lang w:val="es-ES" w:eastAsia="ja-JP"/>
          <w14:ligatures w14:val="none"/>
        </w:rPr>
        <w:t xml:space="preserve">: Las proporciones están ponderadas por Parte. </w:t>
      </w:r>
      <w:r w:rsidRPr="005E3D50">
        <w:rPr>
          <w:rFonts w:ascii="Arial" w:eastAsiaTheme="minorEastAsia" w:hAnsi="Arial"/>
          <w:iCs/>
          <w:color w:val="0E2841" w:themeColor="text2"/>
          <w:kern w:val="0"/>
          <w:sz w:val="16"/>
          <w:szCs w:val="18"/>
          <w:lang w:val="es-ES" w:eastAsia="ja-JP"/>
          <w14:ligatures w14:val="none"/>
        </w:rPr>
        <w:t>Las tendencias incluyen datos</w:t>
      </w:r>
      <w:r w:rsidRPr="005E3D50">
        <w:rPr>
          <w:rFonts w:eastAsiaTheme="minorEastAsia"/>
          <w:iCs/>
          <w:color w:val="0E2841" w:themeColor="text2"/>
          <w:kern w:val="0"/>
          <w:sz w:val="16"/>
          <w:szCs w:val="18"/>
          <w:lang w:val="es-ES" w:eastAsia="ja-JP"/>
          <w14:ligatures w14:val="none"/>
        </w:rPr>
        <w:t xml:space="preserve"> de</w:t>
      </w:r>
      <w:r w:rsidRPr="005E3D50">
        <w:rPr>
          <w:rFonts w:ascii="Arial" w:eastAsiaTheme="minorEastAsia" w:hAnsi="Arial"/>
          <w:iCs/>
          <w:color w:val="0E2841" w:themeColor="text2"/>
          <w:kern w:val="0"/>
          <w:sz w:val="16"/>
          <w:szCs w:val="18"/>
          <w:lang w:val="es-ES" w:eastAsia="ja-JP"/>
          <w14:ligatures w14:val="none"/>
        </w:rPr>
        <w:t xml:space="preserve"> </w:t>
      </w:r>
      <w:r w:rsidRPr="005E3D50">
        <w:rPr>
          <w:rFonts w:eastAsiaTheme="minorEastAsia"/>
          <w:iCs/>
          <w:color w:val="0E2841" w:themeColor="text2"/>
          <w:kern w:val="0"/>
          <w:sz w:val="16"/>
          <w:szCs w:val="18"/>
          <w:lang w:val="es-ES" w:eastAsia="ja-JP"/>
          <w14:ligatures w14:val="none"/>
        </w:rPr>
        <w:t>1 indicador complementario y 26 indicadores nacionales de un total de</w:t>
      </w:r>
      <w:r w:rsidRPr="005E3D50">
        <w:rPr>
          <w:rFonts w:ascii="Arial" w:eastAsiaTheme="minorEastAsia" w:hAnsi="Arial"/>
          <w:iCs/>
          <w:color w:val="0E2841" w:themeColor="text2"/>
          <w:kern w:val="0"/>
          <w:sz w:val="16"/>
          <w:szCs w:val="18"/>
          <w:lang w:val="es-ES" w:eastAsia="ja-JP"/>
          <w14:ligatures w14:val="none"/>
        </w:rPr>
        <w:t xml:space="preserve"> </w:t>
      </w:r>
      <w:r w:rsidRPr="005E3D50">
        <w:rPr>
          <w:rFonts w:eastAsiaTheme="minorEastAsia"/>
          <w:iCs/>
          <w:color w:val="0E2841" w:themeColor="text2"/>
          <w:kern w:val="0"/>
          <w:sz w:val="16"/>
          <w:szCs w:val="18"/>
          <w:lang w:val="es-ES" w:eastAsia="ja-JP"/>
          <w14:ligatures w14:val="none"/>
        </w:rPr>
        <w:t>11 Partes. El gráfico circular muestra la distribución de las Partes que presentaron indicadores para la meta 17,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83" w:type="dxa"/>
        <w:tblLook w:val="04A0" w:firstRow="1" w:lastRow="0" w:firstColumn="1" w:lastColumn="0" w:noHBand="0" w:noVBand="1"/>
      </w:tblPr>
      <w:tblGrid>
        <w:gridCol w:w="4893"/>
        <w:gridCol w:w="4390"/>
      </w:tblGrid>
      <w:tr w:rsidR="00750D55" w:rsidRPr="00750D55" w14:paraId="16DD2CB1" w14:textId="77777777" w:rsidTr="00750D55">
        <w:tc>
          <w:tcPr>
            <w:tcW w:w="9283" w:type="dxa"/>
            <w:gridSpan w:val="2"/>
          </w:tcPr>
          <w:p w14:paraId="1D45B929" w14:textId="4634718B" w:rsidR="00750D55" w:rsidRPr="00750D55" w:rsidRDefault="00750D55" w:rsidP="00750D55">
            <w:pPr>
              <w:spacing w:line="278" w:lineRule="auto"/>
              <w:rPr>
                <w:sz w:val="18"/>
                <w:szCs w:val="18"/>
                <w:lang w:val="es-ES"/>
              </w:rPr>
            </w:pPr>
            <w:bookmarkStart w:id="442" w:name="_Toc235821259"/>
            <w:r w:rsidRPr="00750D55">
              <w:rPr>
                <w:sz w:val="18"/>
                <w:szCs w:val="18"/>
                <w:lang w:val="es-ES"/>
              </w:rPr>
              <w:t>Figura 71</w:t>
            </w:r>
          </w:p>
        </w:tc>
      </w:tr>
      <w:tr w:rsidR="00750D55" w:rsidRPr="00750D55" w14:paraId="674AF10E" w14:textId="77777777" w:rsidTr="00750D55">
        <w:tc>
          <w:tcPr>
            <w:tcW w:w="4893" w:type="dxa"/>
          </w:tcPr>
          <w:p w14:paraId="3E085120" w14:textId="07082915" w:rsidR="00750D55" w:rsidRPr="00750D55" w:rsidRDefault="00750D55" w:rsidP="00750D55">
            <w:pPr>
              <w:spacing w:line="278" w:lineRule="auto"/>
              <w:rPr>
                <w:sz w:val="18"/>
                <w:szCs w:val="18"/>
                <w:lang w:val="es-ES"/>
              </w:rPr>
            </w:pPr>
            <w:r w:rsidRPr="00750D55">
              <w:rPr>
                <w:sz w:val="18"/>
                <w:szCs w:val="18"/>
                <w:lang w:val="es-ES"/>
              </w:rPr>
              <w:t xml:space="preserve">English </w:t>
            </w:r>
          </w:p>
        </w:tc>
        <w:tc>
          <w:tcPr>
            <w:tcW w:w="4390" w:type="dxa"/>
          </w:tcPr>
          <w:p w14:paraId="20834717" w14:textId="6E584D3D" w:rsidR="00750D55" w:rsidRPr="00750D55" w:rsidRDefault="00750D55" w:rsidP="00750D55">
            <w:pPr>
              <w:spacing w:line="278" w:lineRule="auto"/>
              <w:rPr>
                <w:sz w:val="18"/>
                <w:szCs w:val="18"/>
                <w:lang w:val="es-ES"/>
              </w:rPr>
            </w:pPr>
            <w:r w:rsidRPr="00750D55">
              <w:rPr>
                <w:sz w:val="18"/>
                <w:szCs w:val="18"/>
                <w:lang w:val="es-ES"/>
              </w:rPr>
              <w:t>Español</w:t>
            </w:r>
          </w:p>
        </w:tc>
      </w:tr>
      <w:tr w:rsidR="00750D55" w:rsidRPr="00750D55" w14:paraId="38A3846E" w14:textId="77777777" w:rsidTr="00750D55">
        <w:tc>
          <w:tcPr>
            <w:tcW w:w="4893" w:type="dxa"/>
          </w:tcPr>
          <w:p w14:paraId="410E8CAA" w14:textId="77777777" w:rsidR="00750D55" w:rsidRPr="00750D55" w:rsidRDefault="00750D55" w:rsidP="00750D55">
            <w:pPr>
              <w:spacing w:line="278" w:lineRule="auto"/>
              <w:rPr>
                <w:sz w:val="18"/>
                <w:szCs w:val="18"/>
                <w:lang w:val="es-ES"/>
              </w:rPr>
            </w:pPr>
            <w:proofErr w:type="spellStart"/>
            <w:r w:rsidRPr="00750D55">
              <w:rPr>
                <w:sz w:val="18"/>
                <w:szCs w:val="18"/>
                <w:lang w:val="es-ES"/>
              </w:rPr>
              <w:t>Proportion</w:t>
            </w:r>
            <w:proofErr w:type="spellEnd"/>
          </w:p>
        </w:tc>
        <w:tc>
          <w:tcPr>
            <w:tcW w:w="4390" w:type="dxa"/>
          </w:tcPr>
          <w:p w14:paraId="71BE9D40" w14:textId="77777777" w:rsidR="00750D55" w:rsidRPr="00750D55" w:rsidRDefault="00750D55" w:rsidP="00750D55">
            <w:pPr>
              <w:spacing w:line="278" w:lineRule="auto"/>
              <w:rPr>
                <w:sz w:val="18"/>
                <w:szCs w:val="18"/>
                <w:lang w:val="es-ES"/>
              </w:rPr>
            </w:pPr>
            <w:r w:rsidRPr="00750D55">
              <w:rPr>
                <w:sz w:val="18"/>
                <w:szCs w:val="18"/>
                <w:lang w:val="es-ES"/>
              </w:rPr>
              <w:t>Proporción</w:t>
            </w:r>
          </w:p>
        </w:tc>
      </w:tr>
      <w:tr w:rsidR="00750D55" w:rsidRPr="00750D55" w14:paraId="215A920A" w14:textId="77777777" w:rsidTr="00750D55">
        <w:tc>
          <w:tcPr>
            <w:tcW w:w="4893" w:type="dxa"/>
          </w:tcPr>
          <w:p w14:paraId="741C4441" w14:textId="77777777" w:rsidR="00750D55" w:rsidRPr="00750D55" w:rsidRDefault="00750D55" w:rsidP="00750D55">
            <w:pPr>
              <w:spacing w:line="278" w:lineRule="auto"/>
              <w:rPr>
                <w:sz w:val="18"/>
                <w:szCs w:val="18"/>
                <w:lang w:val="es-ES"/>
              </w:rPr>
            </w:pPr>
            <w:r w:rsidRPr="00750D55">
              <w:rPr>
                <w:sz w:val="18"/>
                <w:szCs w:val="18"/>
                <w:lang w:val="es-ES"/>
              </w:rPr>
              <w:t xml:space="preserve">Current </w:t>
            </w:r>
            <w:proofErr w:type="gramStart"/>
            <w:r w:rsidRPr="00750D55">
              <w:rPr>
                <w:sz w:val="18"/>
                <w:szCs w:val="18"/>
                <w:lang w:val="es-ES"/>
              </w:rPr>
              <w:t>Status</w:t>
            </w:r>
            <w:proofErr w:type="gramEnd"/>
          </w:p>
        </w:tc>
        <w:tc>
          <w:tcPr>
            <w:tcW w:w="4390" w:type="dxa"/>
          </w:tcPr>
          <w:p w14:paraId="58CBE69A" w14:textId="77777777" w:rsidR="00750D55" w:rsidRPr="00750D55" w:rsidRDefault="00750D55" w:rsidP="00750D55">
            <w:pPr>
              <w:spacing w:line="278" w:lineRule="auto"/>
              <w:rPr>
                <w:sz w:val="18"/>
                <w:szCs w:val="18"/>
                <w:lang w:val="es-ES"/>
              </w:rPr>
            </w:pPr>
            <w:r w:rsidRPr="00750D55">
              <w:rPr>
                <w:sz w:val="18"/>
                <w:szCs w:val="18"/>
                <w:lang w:val="es-ES"/>
              </w:rPr>
              <w:t>Estado actual</w:t>
            </w:r>
          </w:p>
        </w:tc>
      </w:tr>
      <w:tr w:rsidR="00750D55" w:rsidRPr="00750D55" w14:paraId="2D3EFA0F" w14:textId="77777777" w:rsidTr="00750D55">
        <w:tc>
          <w:tcPr>
            <w:tcW w:w="4893" w:type="dxa"/>
          </w:tcPr>
          <w:p w14:paraId="2AA15949" w14:textId="77777777" w:rsidR="00750D55" w:rsidRPr="00750D55" w:rsidRDefault="00750D55" w:rsidP="00750D55">
            <w:pPr>
              <w:spacing w:line="278" w:lineRule="auto"/>
              <w:rPr>
                <w:sz w:val="18"/>
                <w:szCs w:val="18"/>
                <w:lang w:val="es-ES"/>
              </w:rPr>
            </w:pPr>
            <w:proofErr w:type="spellStart"/>
            <w:r w:rsidRPr="00750D55">
              <w:rPr>
                <w:sz w:val="18"/>
                <w:szCs w:val="18"/>
                <w:lang w:val="es-ES"/>
              </w:rPr>
              <w:t>improving</w:t>
            </w:r>
            <w:proofErr w:type="spellEnd"/>
          </w:p>
        </w:tc>
        <w:tc>
          <w:tcPr>
            <w:tcW w:w="4390" w:type="dxa"/>
          </w:tcPr>
          <w:p w14:paraId="38BC5CC0" w14:textId="77777777" w:rsidR="00750D55" w:rsidRPr="00750D55" w:rsidRDefault="00750D55" w:rsidP="00750D55">
            <w:pPr>
              <w:spacing w:line="278" w:lineRule="auto"/>
              <w:rPr>
                <w:sz w:val="18"/>
                <w:szCs w:val="18"/>
                <w:lang w:val="es-ES"/>
              </w:rPr>
            </w:pPr>
            <w:r w:rsidRPr="00750D55">
              <w:rPr>
                <w:sz w:val="18"/>
                <w:szCs w:val="18"/>
                <w:lang w:val="es-ES"/>
              </w:rPr>
              <w:t>mejorando</w:t>
            </w:r>
          </w:p>
        </w:tc>
      </w:tr>
      <w:tr w:rsidR="00750D55" w:rsidRPr="00750D55" w14:paraId="62DBA9C9" w14:textId="77777777" w:rsidTr="00750D55">
        <w:tc>
          <w:tcPr>
            <w:tcW w:w="4893" w:type="dxa"/>
          </w:tcPr>
          <w:p w14:paraId="640BCFCA" w14:textId="77777777" w:rsidR="00750D55" w:rsidRPr="00750D55" w:rsidRDefault="00750D55" w:rsidP="00750D55">
            <w:pPr>
              <w:spacing w:line="278" w:lineRule="auto"/>
              <w:rPr>
                <w:sz w:val="18"/>
                <w:szCs w:val="18"/>
                <w:lang w:val="es-ES"/>
              </w:rPr>
            </w:pPr>
            <w:proofErr w:type="spellStart"/>
            <w:r w:rsidRPr="00750D55">
              <w:rPr>
                <w:sz w:val="18"/>
                <w:szCs w:val="18"/>
                <w:lang w:val="es-ES"/>
              </w:rPr>
              <w:t>stable</w:t>
            </w:r>
            <w:proofErr w:type="spellEnd"/>
          </w:p>
        </w:tc>
        <w:tc>
          <w:tcPr>
            <w:tcW w:w="4390" w:type="dxa"/>
          </w:tcPr>
          <w:p w14:paraId="28E135DA" w14:textId="77777777" w:rsidR="00750D55" w:rsidRPr="00750D55" w:rsidRDefault="00750D55" w:rsidP="00750D55">
            <w:pPr>
              <w:spacing w:line="278" w:lineRule="auto"/>
              <w:rPr>
                <w:sz w:val="18"/>
                <w:szCs w:val="18"/>
                <w:lang w:val="es-ES"/>
              </w:rPr>
            </w:pPr>
            <w:r w:rsidRPr="00750D55">
              <w:rPr>
                <w:sz w:val="18"/>
                <w:szCs w:val="18"/>
                <w:lang w:val="es-ES"/>
              </w:rPr>
              <w:t>estable</w:t>
            </w:r>
          </w:p>
        </w:tc>
      </w:tr>
      <w:tr w:rsidR="00750D55" w:rsidRPr="00750D55" w14:paraId="337E8B23" w14:textId="77777777" w:rsidTr="00750D55">
        <w:tc>
          <w:tcPr>
            <w:tcW w:w="4893" w:type="dxa"/>
          </w:tcPr>
          <w:p w14:paraId="200D69B3" w14:textId="77777777" w:rsidR="00750D55" w:rsidRPr="00750D55" w:rsidRDefault="00750D55" w:rsidP="00750D55">
            <w:pPr>
              <w:spacing w:line="278" w:lineRule="auto"/>
              <w:rPr>
                <w:sz w:val="18"/>
                <w:szCs w:val="18"/>
                <w:lang w:val="es-ES"/>
              </w:rPr>
            </w:pPr>
            <w:proofErr w:type="spellStart"/>
            <w:r w:rsidRPr="00750D55">
              <w:rPr>
                <w:sz w:val="18"/>
                <w:szCs w:val="18"/>
                <w:lang w:val="es-ES"/>
              </w:rPr>
              <w:t>moving</w:t>
            </w:r>
            <w:proofErr w:type="spellEnd"/>
            <w:r w:rsidRPr="00750D55">
              <w:rPr>
                <w:sz w:val="18"/>
                <w:szCs w:val="18"/>
                <w:lang w:val="es-ES"/>
              </w:rPr>
              <w:t xml:space="preserve"> </w:t>
            </w:r>
            <w:proofErr w:type="spellStart"/>
            <w:r w:rsidRPr="00750D55">
              <w:rPr>
                <w:sz w:val="18"/>
                <w:szCs w:val="18"/>
                <w:lang w:val="es-ES"/>
              </w:rPr>
              <w:t>away</w:t>
            </w:r>
            <w:proofErr w:type="spellEnd"/>
          </w:p>
        </w:tc>
        <w:tc>
          <w:tcPr>
            <w:tcW w:w="4390" w:type="dxa"/>
          </w:tcPr>
          <w:p w14:paraId="314EB4E5" w14:textId="77777777" w:rsidR="00750D55" w:rsidRPr="00750D55" w:rsidRDefault="00750D55" w:rsidP="00750D55">
            <w:pPr>
              <w:spacing w:line="278" w:lineRule="auto"/>
              <w:rPr>
                <w:sz w:val="18"/>
                <w:szCs w:val="18"/>
                <w:lang w:val="es-ES"/>
              </w:rPr>
            </w:pPr>
            <w:r w:rsidRPr="00750D55">
              <w:rPr>
                <w:sz w:val="18"/>
                <w:szCs w:val="18"/>
                <w:lang w:val="es-ES"/>
              </w:rPr>
              <w:t>alejándose</w:t>
            </w:r>
          </w:p>
        </w:tc>
      </w:tr>
      <w:tr w:rsidR="00750D55" w:rsidRPr="00750D55" w14:paraId="2E464110" w14:textId="77777777" w:rsidTr="00750D55">
        <w:tc>
          <w:tcPr>
            <w:tcW w:w="4893" w:type="dxa"/>
          </w:tcPr>
          <w:p w14:paraId="18AC7E4E" w14:textId="77777777" w:rsidR="00750D55" w:rsidRPr="00750D55" w:rsidRDefault="00750D55" w:rsidP="00750D55">
            <w:pPr>
              <w:spacing w:line="278" w:lineRule="auto"/>
              <w:rPr>
                <w:sz w:val="18"/>
                <w:szCs w:val="18"/>
                <w:lang w:val="es-ES"/>
              </w:rPr>
            </w:pPr>
            <w:r w:rsidRPr="00750D55">
              <w:rPr>
                <w:sz w:val="18"/>
                <w:szCs w:val="18"/>
                <w:lang w:val="es-ES"/>
              </w:rPr>
              <w:t xml:space="preserve">Party </w:t>
            </w:r>
            <w:proofErr w:type="spellStart"/>
            <w:r w:rsidRPr="00750D55">
              <w:rPr>
                <w:sz w:val="18"/>
                <w:szCs w:val="18"/>
                <w:lang w:val="es-ES"/>
              </w:rPr>
              <w:t>count</w:t>
            </w:r>
            <w:proofErr w:type="spellEnd"/>
            <w:r w:rsidRPr="00750D55">
              <w:rPr>
                <w:sz w:val="18"/>
                <w:szCs w:val="18"/>
                <w:lang w:val="es-ES"/>
              </w:rPr>
              <w:t>: 11</w:t>
            </w:r>
          </w:p>
        </w:tc>
        <w:tc>
          <w:tcPr>
            <w:tcW w:w="4390" w:type="dxa"/>
          </w:tcPr>
          <w:p w14:paraId="365677FF" w14:textId="77777777" w:rsidR="00750D55" w:rsidRPr="00750D55" w:rsidRDefault="00750D55" w:rsidP="00750D55">
            <w:pPr>
              <w:spacing w:line="278" w:lineRule="auto"/>
              <w:rPr>
                <w:sz w:val="18"/>
                <w:szCs w:val="18"/>
                <w:lang w:val="es-ES"/>
              </w:rPr>
            </w:pPr>
            <w:r w:rsidRPr="00750D55">
              <w:rPr>
                <w:sz w:val="18"/>
                <w:szCs w:val="18"/>
                <w:lang w:val="es-ES"/>
              </w:rPr>
              <w:t>Número de Partes: 11</w:t>
            </w:r>
          </w:p>
        </w:tc>
      </w:tr>
      <w:tr w:rsidR="00750D55" w:rsidRPr="00750D55" w14:paraId="5C7C201A" w14:textId="77777777" w:rsidTr="00750D55">
        <w:tc>
          <w:tcPr>
            <w:tcW w:w="4893" w:type="dxa"/>
          </w:tcPr>
          <w:p w14:paraId="583ACAF8" w14:textId="77777777" w:rsidR="00750D55" w:rsidRPr="00750D55" w:rsidRDefault="00750D55" w:rsidP="00750D55">
            <w:pPr>
              <w:spacing w:line="278" w:lineRule="auto"/>
              <w:rPr>
                <w:sz w:val="18"/>
                <w:szCs w:val="18"/>
                <w:lang w:val="es-ES"/>
              </w:rPr>
            </w:pPr>
            <w:proofErr w:type="spellStart"/>
            <w:r w:rsidRPr="00750D55">
              <w:rPr>
                <w:sz w:val="18"/>
                <w:szCs w:val="18"/>
                <w:lang w:val="es-ES"/>
              </w:rPr>
              <w:t>Region</w:t>
            </w:r>
            <w:proofErr w:type="spellEnd"/>
          </w:p>
        </w:tc>
        <w:tc>
          <w:tcPr>
            <w:tcW w:w="4390" w:type="dxa"/>
          </w:tcPr>
          <w:p w14:paraId="682131B0" w14:textId="77777777" w:rsidR="00750D55" w:rsidRPr="00750D55" w:rsidRDefault="00750D55" w:rsidP="00750D55">
            <w:pPr>
              <w:spacing w:line="278" w:lineRule="auto"/>
              <w:rPr>
                <w:sz w:val="18"/>
                <w:szCs w:val="18"/>
                <w:lang w:val="es-ES"/>
              </w:rPr>
            </w:pPr>
            <w:r w:rsidRPr="00750D55">
              <w:rPr>
                <w:sz w:val="18"/>
                <w:szCs w:val="18"/>
                <w:lang w:val="es-ES"/>
              </w:rPr>
              <w:t>Región</w:t>
            </w:r>
          </w:p>
        </w:tc>
      </w:tr>
      <w:tr w:rsidR="00750D55" w:rsidRPr="00750D55" w14:paraId="136674BE" w14:textId="77777777" w:rsidTr="00750D55">
        <w:tc>
          <w:tcPr>
            <w:tcW w:w="4893" w:type="dxa"/>
          </w:tcPr>
          <w:p w14:paraId="20E86641" w14:textId="77777777" w:rsidR="00750D55" w:rsidRPr="00750D55" w:rsidRDefault="00750D55" w:rsidP="00750D55">
            <w:pPr>
              <w:spacing w:line="278" w:lineRule="auto"/>
              <w:rPr>
                <w:sz w:val="18"/>
                <w:szCs w:val="18"/>
                <w:lang w:val="es-ES"/>
              </w:rPr>
            </w:pPr>
            <w:r w:rsidRPr="00750D55">
              <w:rPr>
                <w:sz w:val="18"/>
                <w:szCs w:val="18"/>
                <w:lang w:val="es-ES"/>
              </w:rPr>
              <w:t>African States</w:t>
            </w:r>
          </w:p>
        </w:tc>
        <w:tc>
          <w:tcPr>
            <w:tcW w:w="4390" w:type="dxa"/>
          </w:tcPr>
          <w:p w14:paraId="143A15E3" w14:textId="77777777" w:rsidR="00750D55" w:rsidRPr="00750D55" w:rsidRDefault="00750D55" w:rsidP="00750D55">
            <w:pPr>
              <w:spacing w:line="278" w:lineRule="auto"/>
              <w:rPr>
                <w:sz w:val="18"/>
                <w:szCs w:val="18"/>
                <w:lang w:val="es-ES"/>
              </w:rPr>
            </w:pPr>
            <w:r w:rsidRPr="00750D55">
              <w:rPr>
                <w:sz w:val="18"/>
                <w:szCs w:val="18"/>
                <w:lang w:val="es-ES"/>
              </w:rPr>
              <w:t>Estados de África</w:t>
            </w:r>
          </w:p>
        </w:tc>
      </w:tr>
      <w:tr w:rsidR="00750D55" w:rsidRPr="00750D55" w14:paraId="1E706F15" w14:textId="77777777" w:rsidTr="00750D55">
        <w:tc>
          <w:tcPr>
            <w:tcW w:w="4893" w:type="dxa"/>
          </w:tcPr>
          <w:p w14:paraId="5C99573E" w14:textId="77777777" w:rsidR="00750D55" w:rsidRPr="00750D55" w:rsidRDefault="00750D55" w:rsidP="00750D55">
            <w:pPr>
              <w:spacing w:line="278" w:lineRule="auto"/>
              <w:rPr>
                <w:sz w:val="18"/>
                <w:szCs w:val="18"/>
                <w:lang w:val="es-ES"/>
              </w:rPr>
            </w:pPr>
            <w:r w:rsidRPr="00750D55">
              <w:rPr>
                <w:sz w:val="18"/>
                <w:szCs w:val="18"/>
                <w:lang w:val="es-ES"/>
              </w:rPr>
              <w:t>Asia –Pacific States</w:t>
            </w:r>
          </w:p>
        </w:tc>
        <w:tc>
          <w:tcPr>
            <w:tcW w:w="4390" w:type="dxa"/>
          </w:tcPr>
          <w:p w14:paraId="5CCF7961" w14:textId="77777777" w:rsidR="00750D55" w:rsidRPr="00750D55" w:rsidRDefault="00750D55" w:rsidP="00750D55">
            <w:pPr>
              <w:spacing w:line="278" w:lineRule="auto"/>
              <w:rPr>
                <w:sz w:val="18"/>
                <w:szCs w:val="18"/>
                <w:lang w:val="es-ES"/>
              </w:rPr>
            </w:pPr>
            <w:r w:rsidRPr="00750D55">
              <w:rPr>
                <w:sz w:val="18"/>
                <w:szCs w:val="18"/>
                <w:lang w:val="es-ES"/>
              </w:rPr>
              <w:t>Estados de Asia y el Pacífico</w:t>
            </w:r>
          </w:p>
        </w:tc>
      </w:tr>
      <w:tr w:rsidR="00750D55" w:rsidRPr="00750D55" w14:paraId="4621F270" w14:textId="77777777" w:rsidTr="00750D55">
        <w:tc>
          <w:tcPr>
            <w:tcW w:w="4893" w:type="dxa"/>
          </w:tcPr>
          <w:p w14:paraId="5A62413C" w14:textId="77777777" w:rsidR="00750D55" w:rsidRPr="00750D55" w:rsidRDefault="00750D55" w:rsidP="00750D55">
            <w:pPr>
              <w:spacing w:line="278" w:lineRule="auto"/>
              <w:rPr>
                <w:sz w:val="18"/>
                <w:szCs w:val="18"/>
                <w:lang w:val="en-US"/>
              </w:rPr>
            </w:pPr>
            <w:r w:rsidRPr="00750D55">
              <w:rPr>
                <w:sz w:val="18"/>
                <w:szCs w:val="18"/>
                <w:lang w:val="en-US"/>
              </w:rPr>
              <w:t>Latin American and Caribbean States</w:t>
            </w:r>
          </w:p>
        </w:tc>
        <w:tc>
          <w:tcPr>
            <w:tcW w:w="4390" w:type="dxa"/>
          </w:tcPr>
          <w:p w14:paraId="38A2519E" w14:textId="77777777" w:rsidR="00750D55" w:rsidRPr="00750D55" w:rsidRDefault="00750D55" w:rsidP="00750D55">
            <w:pPr>
              <w:spacing w:line="278" w:lineRule="auto"/>
              <w:rPr>
                <w:sz w:val="18"/>
                <w:szCs w:val="18"/>
                <w:lang w:val="es-ES"/>
              </w:rPr>
            </w:pPr>
            <w:r w:rsidRPr="00750D55">
              <w:rPr>
                <w:sz w:val="18"/>
                <w:szCs w:val="18"/>
                <w:lang w:val="es-ES"/>
              </w:rPr>
              <w:t>Estados de América Latina y el Caribe</w:t>
            </w:r>
          </w:p>
        </w:tc>
      </w:tr>
      <w:tr w:rsidR="00750D55" w:rsidRPr="00750D55" w14:paraId="6F1FD354" w14:textId="77777777" w:rsidTr="00750D55">
        <w:tc>
          <w:tcPr>
            <w:tcW w:w="4893" w:type="dxa"/>
          </w:tcPr>
          <w:p w14:paraId="1F5E9CF0" w14:textId="77777777" w:rsidR="00750D55" w:rsidRPr="00750D55" w:rsidRDefault="00750D55" w:rsidP="00750D55">
            <w:pPr>
              <w:spacing w:line="278" w:lineRule="auto"/>
              <w:rPr>
                <w:sz w:val="18"/>
                <w:szCs w:val="18"/>
                <w:lang w:val="es-ES"/>
              </w:rPr>
            </w:pPr>
            <w:r w:rsidRPr="00750D55">
              <w:rPr>
                <w:sz w:val="18"/>
                <w:szCs w:val="18"/>
                <w:lang w:val="es-ES"/>
              </w:rPr>
              <w:t xml:space="preserve"> Eastern European States</w:t>
            </w:r>
          </w:p>
        </w:tc>
        <w:tc>
          <w:tcPr>
            <w:tcW w:w="4390" w:type="dxa"/>
          </w:tcPr>
          <w:p w14:paraId="11546E80" w14:textId="77777777" w:rsidR="00750D55" w:rsidRPr="00750D55" w:rsidRDefault="00750D55" w:rsidP="00750D55">
            <w:pPr>
              <w:spacing w:line="278" w:lineRule="auto"/>
              <w:rPr>
                <w:sz w:val="18"/>
                <w:szCs w:val="18"/>
                <w:lang w:val="es-ES"/>
              </w:rPr>
            </w:pPr>
            <w:r w:rsidRPr="00750D55">
              <w:rPr>
                <w:sz w:val="18"/>
                <w:szCs w:val="18"/>
                <w:lang w:val="es-ES"/>
              </w:rPr>
              <w:t>Estados de Europa Oriental</w:t>
            </w:r>
          </w:p>
        </w:tc>
      </w:tr>
      <w:tr w:rsidR="00750D55" w:rsidRPr="00750D55" w14:paraId="246729AF" w14:textId="77777777" w:rsidTr="00750D55">
        <w:tc>
          <w:tcPr>
            <w:tcW w:w="4893" w:type="dxa"/>
          </w:tcPr>
          <w:p w14:paraId="32FB2B83" w14:textId="77777777" w:rsidR="00750D55" w:rsidRPr="00750D55" w:rsidRDefault="00750D55" w:rsidP="00750D55">
            <w:pPr>
              <w:spacing w:line="278" w:lineRule="auto"/>
              <w:rPr>
                <w:sz w:val="18"/>
                <w:szCs w:val="18"/>
                <w:lang w:val="en-US"/>
              </w:rPr>
            </w:pPr>
            <w:r w:rsidRPr="00750D55">
              <w:rPr>
                <w:sz w:val="18"/>
                <w:szCs w:val="18"/>
                <w:lang w:val="en-US"/>
              </w:rPr>
              <w:t>Western European and other States</w:t>
            </w:r>
          </w:p>
        </w:tc>
        <w:tc>
          <w:tcPr>
            <w:tcW w:w="4390" w:type="dxa"/>
          </w:tcPr>
          <w:p w14:paraId="0345B616" w14:textId="77777777" w:rsidR="00750D55" w:rsidRPr="00750D55" w:rsidRDefault="00750D55" w:rsidP="00750D55">
            <w:pPr>
              <w:spacing w:line="278" w:lineRule="auto"/>
              <w:rPr>
                <w:sz w:val="18"/>
                <w:szCs w:val="18"/>
                <w:lang w:val="es-ES"/>
              </w:rPr>
            </w:pPr>
            <w:r w:rsidRPr="00750D55">
              <w:rPr>
                <w:sz w:val="18"/>
                <w:szCs w:val="18"/>
                <w:lang w:val="es-ES"/>
              </w:rPr>
              <w:t>Estados de Europa Occidental y otros Estados</w:t>
            </w:r>
          </w:p>
        </w:tc>
      </w:tr>
    </w:tbl>
    <w:p w14:paraId="63CC55E8"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31088EB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lastRenderedPageBreak/>
        <w:t>Autoevaluación de progresos</w:t>
      </w:r>
      <w:bookmarkEnd w:id="442"/>
    </w:p>
    <w:p w14:paraId="30577F09" w14:textId="77777777" w:rsidR="009713BF" w:rsidRPr="005E3D50" w:rsidRDefault="009713BF" w:rsidP="009713BF">
      <w:pPr>
        <w:rPr>
          <w:lang w:val="es-ES"/>
        </w:rPr>
      </w:pPr>
    </w:p>
    <w:p w14:paraId="27B14879" w14:textId="77777777" w:rsidR="009713BF" w:rsidRPr="005E3D50" w:rsidRDefault="009713BF" w:rsidP="009713BF">
      <w:pPr>
        <w:rPr>
          <w:rFonts w:ascii="Aptos" w:hAnsi="Aptos"/>
          <w:lang w:val="es-ES"/>
        </w:rPr>
      </w:pPr>
      <w:bookmarkStart w:id="443" w:name="_Ref231220342"/>
      <w:r w:rsidRPr="005E3D50">
        <w:rPr>
          <w:lang w:val="es-ES"/>
        </w:rPr>
        <w:t xml:space="preserve">Sobre la base de las autoevaluaciones realizadas por las Partes en sus informes nacionales, se calcula que solo el 37 % de las metas nacionales que se presentaron como estrechamente armonizadas con la meta 17 están en vías de alcanzarse; en el 7 % no se registran cambios significativos y en el 49 % se registran progresos insuficientes; y se informa de 5 metas (5 %) que ya se alcanzaron </w:t>
      </w:r>
      <w:r w:rsidRPr="005E3D50">
        <w:rPr>
          <w:rFonts w:ascii="Aptos" w:hAnsi="Aptos"/>
          <w:lang w:val="es-ES"/>
        </w:rPr>
        <w:t xml:space="preserve">(véase </w:t>
      </w:r>
      <w:r w:rsidRPr="005E3D50">
        <w:rPr>
          <w:color w:val="0E2841" w:themeColor="text2"/>
          <w:lang w:val="es-ES"/>
        </w:rPr>
        <w:t>la figura 72</w:t>
      </w:r>
      <w:r w:rsidRPr="005E3D50">
        <w:rPr>
          <w:rFonts w:ascii="Aptos" w:hAnsi="Aptos"/>
          <w:lang w:val="es-ES"/>
        </w:rPr>
        <w:t xml:space="preserve">). </w:t>
      </w:r>
    </w:p>
    <w:p w14:paraId="57361961" w14:textId="77777777" w:rsidR="009713BF" w:rsidRPr="005E3D50" w:rsidRDefault="009713BF" w:rsidP="009713BF">
      <w:pPr>
        <w:rPr>
          <w:rFonts w:ascii="Aptos" w:hAnsi="Aptos"/>
          <w:lang w:val="es-ES"/>
        </w:rPr>
      </w:pPr>
    </w:p>
    <w:p w14:paraId="51788CC2" w14:textId="77777777" w:rsidR="009713BF" w:rsidRPr="005E3D50" w:rsidRDefault="009713BF" w:rsidP="009713BF">
      <w:pPr>
        <w:rPr>
          <w:sz w:val="20"/>
          <w:szCs w:val="20"/>
          <w:lang w:val="es-ES"/>
        </w:rPr>
      </w:pPr>
      <w:r w:rsidRPr="005E3D50">
        <w:rPr>
          <w:sz w:val="20"/>
          <w:lang w:val="es-ES"/>
        </w:rPr>
        <w:t>Figura 72</w:t>
      </w:r>
    </w:p>
    <w:p w14:paraId="18BCC53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17 del Marco </w:t>
      </w:r>
    </w:p>
    <w:p w14:paraId="1CE7C267" w14:textId="77777777" w:rsidR="009713BF" w:rsidRPr="005E3D50" w:rsidRDefault="009713BF" w:rsidP="009713BF">
      <w:pPr>
        <w:rPr>
          <w:rFonts w:ascii="Aptos" w:hAnsi="Aptos"/>
          <w:sz w:val="20"/>
          <w:szCs w:val="20"/>
          <w:lang w:val="es-ES"/>
        </w:rPr>
      </w:pPr>
    </w:p>
    <w:p w14:paraId="0219ABF5" w14:textId="77777777" w:rsidR="009713BF" w:rsidRPr="005E3D50" w:rsidRDefault="009713BF" w:rsidP="009713BF">
      <w:pPr>
        <w:rPr>
          <w:rFonts w:ascii="Aptos" w:hAnsi="Aptos"/>
          <w:lang w:val="es-ES"/>
        </w:rPr>
      </w:pPr>
      <w:r w:rsidRPr="005E3D50">
        <w:rPr>
          <w:rFonts w:ascii="Aptos" w:hAnsi="Aptos"/>
          <w:noProof/>
          <w:lang w:val="en-US"/>
        </w:rPr>
        <w:drawing>
          <wp:inline distT="0" distB="0" distL="0" distR="0" wp14:anchorId="05C87C2A" wp14:editId="775010F3">
            <wp:extent cx="5731510" cy="2292350"/>
            <wp:effectExtent l="0" t="0" r="0" b="6350"/>
            <wp:docPr id="542992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2755" name="Picture 542992755"/>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DE694DF" w14:textId="77777777" w:rsidR="009713BF" w:rsidRPr="005E3D50" w:rsidRDefault="009713BF" w:rsidP="009713BF">
      <w:pPr>
        <w:rPr>
          <w:rFonts w:ascii="Aptos" w:hAnsi="Aptos"/>
          <w:lang w:val="es-ES"/>
        </w:rPr>
      </w:pPr>
    </w:p>
    <w:bookmarkEnd w:id="443"/>
    <w:p w14:paraId="01E9F1B4"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37" w:type="dxa"/>
        <w:tblLook w:val="04A0" w:firstRow="1" w:lastRow="0" w:firstColumn="1" w:lastColumn="0" w:noHBand="0" w:noVBand="1"/>
      </w:tblPr>
      <w:tblGrid>
        <w:gridCol w:w="4482"/>
        <w:gridCol w:w="4855"/>
      </w:tblGrid>
      <w:tr w:rsidR="007759BF" w:rsidRPr="00E944B1" w14:paraId="07B73B46" w14:textId="77777777" w:rsidTr="007759BF">
        <w:tc>
          <w:tcPr>
            <w:tcW w:w="9337" w:type="dxa"/>
            <w:gridSpan w:val="2"/>
          </w:tcPr>
          <w:p w14:paraId="338EC8B9" w14:textId="53249AAA" w:rsidR="007759BF" w:rsidRPr="007759BF" w:rsidRDefault="007759BF" w:rsidP="007759BF">
            <w:pPr>
              <w:spacing w:line="278" w:lineRule="auto"/>
              <w:rPr>
                <w:sz w:val="18"/>
                <w:szCs w:val="18"/>
                <w:lang w:val="es-ES"/>
              </w:rPr>
            </w:pPr>
            <w:r w:rsidRPr="007759BF">
              <w:rPr>
                <w:sz w:val="18"/>
                <w:szCs w:val="18"/>
                <w:lang w:val="es-ES"/>
              </w:rPr>
              <w:t>Figura 72</w:t>
            </w:r>
          </w:p>
        </w:tc>
      </w:tr>
      <w:tr w:rsidR="007759BF" w:rsidRPr="00E944B1" w14:paraId="5A5FC029" w14:textId="77777777" w:rsidTr="007759BF">
        <w:tc>
          <w:tcPr>
            <w:tcW w:w="4482" w:type="dxa"/>
          </w:tcPr>
          <w:p w14:paraId="1B69ACA5" w14:textId="60AC510C" w:rsidR="007759BF" w:rsidRPr="007759BF" w:rsidRDefault="007759BF" w:rsidP="007759BF">
            <w:pPr>
              <w:spacing w:line="278" w:lineRule="auto"/>
              <w:rPr>
                <w:sz w:val="18"/>
                <w:szCs w:val="18"/>
                <w:lang w:val="es-ES"/>
              </w:rPr>
            </w:pPr>
            <w:r w:rsidRPr="007759BF">
              <w:rPr>
                <w:sz w:val="18"/>
                <w:szCs w:val="18"/>
                <w:lang w:val="es-ES"/>
              </w:rPr>
              <w:t xml:space="preserve">English </w:t>
            </w:r>
          </w:p>
        </w:tc>
        <w:tc>
          <w:tcPr>
            <w:tcW w:w="4855" w:type="dxa"/>
          </w:tcPr>
          <w:p w14:paraId="7B2BCCE1" w14:textId="217D24C6" w:rsidR="007759BF" w:rsidRPr="007759BF" w:rsidRDefault="007759BF" w:rsidP="007759BF">
            <w:pPr>
              <w:spacing w:line="278" w:lineRule="auto"/>
              <w:rPr>
                <w:sz w:val="18"/>
                <w:szCs w:val="18"/>
                <w:lang w:val="es-ES"/>
              </w:rPr>
            </w:pPr>
            <w:r>
              <w:rPr>
                <w:sz w:val="18"/>
                <w:szCs w:val="18"/>
                <w:lang w:val="es-ES"/>
              </w:rPr>
              <w:t>Español</w:t>
            </w:r>
          </w:p>
        </w:tc>
      </w:tr>
      <w:tr w:rsidR="007759BF" w:rsidRPr="00E944B1" w14:paraId="7A9E5BA1" w14:textId="77777777" w:rsidTr="007759BF">
        <w:tc>
          <w:tcPr>
            <w:tcW w:w="4482" w:type="dxa"/>
          </w:tcPr>
          <w:p w14:paraId="265BB871" w14:textId="77777777" w:rsidR="007759BF" w:rsidRPr="007759BF" w:rsidRDefault="007759BF" w:rsidP="007759BF">
            <w:pPr>
              <w:spacing w:line="278" w:lineRule="auto"/>
              <w:rPr>
                <w:sz w:val="18"/>
                <w:szCs w:val="18"/>
                <w:lang w:val="es-ES"/>
              </w:rPr>
            </w:pPr>
            <w:proofErr w:type="spellStart"/>
            <w:r w:rsidRPr="007759BF">
              <w:rPr>
                <w:sz w:val="18"/>
                <w:szCs w:val="18"/>
                <w:lang w:val="es-ES"/>
              </w:rPr>
              <w:t>Percentage</w:t>
            </w:r>
            <w:proofErr w:type="spellEnd"/>
            <w:r w:rsidRPr="007759BF">
              <w:rPr>
                <w:sz w:val="18"/>
                <w:szCs w:val="18"/>
                <w:lang w:val="es-ES"/>
              </w:rPr>
              <w:t xml:space="preserve"> of </w:t>
            </w:r>
            <w:proofErr w:type="spellStart"/>
            <w:r w:rsidRPr="007759BF">
              <w:rPr>
                <w:sz w:val="18"/>
                <w:szCs w:val="18"/>
                <w:lang w:val="es-ES"/>
              </w:rPr>
              <w:t>national</w:t>
            </w:r>
            <w:proofErr w:type="spellEnd"/>
            <w:r w:rsidRPr="007759BF">
              <w:rPr>
                <w:sz w:val="18"/>
                <w:szCs w:val="18"/>
                <w:lang w:val="es-ES"/>
              </w:rPr>
              <w:t xml:space="preserve"> targets</w:t>
            </w:r>
          </w:p>
        </w:tc>
        <w:tc>
          <w:tcPr>
            <w:tcW w:w="4855" w:type="dxa"/>
          </w:tcPr>
          <w:p w14:paraId="5E97A4E9" w14:textId="77777777" w:rsidR="007759BF" w:rsidRPr="007759BF" w:rsidRDefault="007759BF" w:rsidP="007759BF">
            <w:pPr>
              <w:spacing w:line="278" w:lineRule="auto"/>
              <w:rPr>
                <w:sz w:val="18"/>
                <w:szCs w:val="18"/>
                <w:lang w:val="es-ES"/>
              </w:rPr>
            </w:pPr>
            <w:r w:rsidRPr="007759BF">
              <w:rPr>
                <w:sz w:val="18"/>
                <w:szCs w:val="18"/>
                <w:lang w:val="es-ES"/>
              </w:rPr>
              <w:t>Porcentaje de metas nacionales</w:t>
            </w:r>
          </w:p>
        </w:tc>
      </w:tr>
      <w:tr w:rsidR="007759BF" w:rsidRPr="00E944B1" w14:paraId="30CE1259" w14:textId="77777777" w:rsidTr="007759BF">
        <w:tc>
          <w:tcPr>
            <w:tcW w:w="4482" w:type="dxa"/>
          </w:tcPr>
          <w:p w14:paraId="282E194A" w14:textId="77777777" w:rsidR="007759BF" w:rsidRPr="007759BF" w:rsidRDefault="007759BF" w:rsidP="007759BF">
            <w:pPr>
              <w:spacing w:line="278" w:lineRule="auto"/>
              <w:rPr>
                <w:sz w:val="18"/>
                <w:szCs w:val="18"/>
                <w:lang w:val="es-ES"/>
              </w:rPr>
            </w:pPr>
            <w:proofErr w:type="spellStart"/>
            <w:r w:rsidRPr="007759BF">
              <w:rPr>
                <w:sz w:val="18"/>
                <w:szCs w:val="18"/>
                <w:lang w:val="es-ES"/>
              </w:rPr>
              <w:t>Progress</w:t>
            </w:r>
            <w:proofErr w:type="spellEnd"/>
            <w:r w:rsidRPr="007759BF">
              <w:rPr>
                <w:sz w:val="18"/>
                <w:szCs w:val="18"/>
                <w:lang w:val="es-ES"/>
              </w:rPr>
              <w:t xml:space="preserve"> </w:t>
            </w:r>
            <w:proofErr w:type="spellStart"/>
            <w:r w:rsidRPr="007759BF">
              <w:rPr>
                <w:sz w:val="18"/>
                <w:szCs w:val="18"/>
                <w:lang w:val="es-ES"/>
              </w:rPr>
              <w:t>level</w:t>
            </w:r>
            <w:proofErr w:type="spellEnd"/>
          </w:p>
        </w:tc>
        <w:tc>
          <w:tcPr>
            <w:tcW w:w="4855" w:type="dxa"/>
          </w:tcPr>
          <w:p w14:paraId="4701F2D8" w14:textId="77777777" w:rsidR="007759BF" w:rsidRPr="007759BF" w:rsidRDefault="007759BF" w:rsidP="007759BF">
            <w:pPr>
              <w:spacing w:line="278" w:lineRule="auto"/>
              <w:rPr>
                <w:sz w:val="18"/>
                <w:szCs w:val="18"/>
                <w:lang w:val="es-ES"/>
              </w:rPr>
            </w:pPr>
            <w:r w:rsidRPr="007759BF">
              <w:rPr>
                <w:sz w:val="18"/>
                <w:szCs w:val="18"/>
                <w:lang w:val="es-ES"/>
              </w:rPr>
              <w:t>Nivel de progreso</w:t>
            </w:r>
          </w:p>
        </w:tc>
      </w:tr>
      <w:tr w:rsidR="007759BF" w:rsidRPr="00E944B1" w14:paraId="51E47E44" w14:textId="77777777" w:rsidTr="007759BF">
        <w:tc>
          <w:tcPr>
            <w:tcW w:w="4482" w:type="dxa"/>
          </w:tcPr>
          <w:p w14:paraId="6CA2BDEA" w14:textId="77777777" w:rsidR="007759BF" w:rsidRPr="007759BF" w:rsidRDefault="007759BF" w:rsidP="007759BF">
            <w:pPr>
              <w:spacing w:line="278" w:lineRule="auto"/>
              <w:rPr>
                <w:sz w:val="18"/>
                <w:szCs w:val="18"/>
                <w:lang w:val="es-ES"/>
              </w:rPr>
            </w:pPr>
            <w:proofErr w:type="spellStart"/>
            <w:r w:rsidRPr="007759BF">
              <w:rPr>
                <w:sz w:val="18"/>
                <w:szCs w:val="18"/>
                <w:lang w:val="es-ES"/>
              </w:rPr>
              <w:t>Achieved</w:t>
            </w:r>
            <w:proofErr w:type="spellEnd"/>
          </w:p>
        </w:tc>
        <w:tc>
          <w:tcPr>
            <w:tcW w:w="4855" w:type="dxa"/>
          </w:tcPr>
          <w:p w14:paraId="4A9BB110" w14:textId="77777777" w:rsidR="007759BF" w:rsidRPr="007759BF" w:rsidRDefault="007759BF" w:rsidP="007759BF">
            <w:pPr>
              <w:spacing w:line="278" w:lineRule="auto"/>
              <w:rPr>
                <w:sz w:val="18"/>
                <w:szCs w:val="18"/>
                <w:lang w:val="es-ES"/>
              </w:rPr>
            </w:pPr>
            <w:r w:rsidRPr="007759BF">
              <w:rPr>
                <w:sz w:val="18"/>
                <w:szCs w:val="18"/>
                <w:lang w:val="es-ES"/>
              </w:rPr>
              <w:t>Alcanzada</w:t>
            </w:r>
          </w:p>
        </w:tc>
      </w:tr>
      <w:tr w:rsidR="007759BF" w:rsidRPr="00E944B1" w14:paraId="5FD58EDE" w14:textId="77777777" w:rsidTr="007759BF">
        <w:tc>
          <w:tcPr>
            <w:tcW w:w="4482" w:type="dxa"/>
          </w:tcPr>
          <w:p w14:paraId="45CCCD2C" w14:textId="77777777" w:rsidR="007759BF" w:rsidRPr="007759BF" w:rsidRDefault="007759BF" w:rsidP="007759BF">
            <w:pPr>
              <w:spacing w:line="278" w:lineRule="auto"/>
              <w:rPr>
                <w:sz w:val="18"/>
                <w:szCs w:val="18"/>
                <w:lang w:val="en-US"/>
              </w:rPr>
            </w:pPr>
            <w:r w:rsidRPr="007759BF">
              <w:rPr>
                <w:sz w:val="18"/>
                <w:szCs w:val="18"/>
                <w:lang w:val="en-US"/>
              </w:rPr>
              <w:t>On track to achieve target</w:t>
            </w:r>
          </w:p>
        </w:tc>
        <w:tc>
          <w:tcPr>
            <w:tcW w:w="4855" w:type="dxa"/>
          </w:tcPr>
          <w:p w14:paraId="349F56E6" w14:textId="77777777" w:rsidR="007759BF" w:rsidRPr="007759BF" w:rsidRDefault="007759BF" w:rsidP="007759BF">
            <w:pPr>
              <w:spacing w:line="278" w:lineRule="auto"/>
              <w:rPr>
                <w:sz w:val="18"/>
                <w:szCs w:val="18"/>
                <w:lang w:val="es-ES"/>
              </w:rPr>
            </w:pPr>
            <w:r w:rsidRPr="007759BF">
              <w:rPr>
                <w:sz w:val="18"/>
                <w:szCs w:val="18"/>
                <w:lang w:val="es-ES"/>
              </w:rPr>
              <w:t>En vías de alcanzar la meta</w:t>
            </w:r>
          </w:p>
        </w:tc>
      </w:tr>
      <w:tr w:rsidR="007759BF" w:rsidRPr="00E944B1" w14:paraId="6FC7613A" w14:textId="77777777" w:rsidTr="007759BF">
        <w:tc>
          <w:tcPr>
            <w:tcW w:w="4482" w:type="dxa"/>
          </w:tcPr>
          <w:p w14:paraId="1ED6C845" w14:textId="77777777" w:rsidR="007759BF" w:rsidRPr="007759BF" w:rsidRDefault="007759BF" w:rsidP="007759BF">
            <w:pPr>
              <w:spacing w:line="278" w:lineRule="auto"/>
              <w:rPr>
                <w:sz w:val="18"/>
                <w:szCs w:val="18"/>
                <w:lang w:val="en-US"/>
              </w:rPr>
            </w:pPr>
            <w:r w:rsidRPr="007759BF">
              <w:rPr>
                <w:sz w:val="18"/>
                <w:szCs w:val="18"/>
                <w:lang w:val="en-US"/>
              </w:rPr>
              <w:t>Progress towards target but at an insufficient rate</w:t>
            </w:r>
          </w:p>
        </w:tc>
        <w:tc>
          <w:tcPr>
            <w:tcW w:w="4855" w:type="dxa"/>
          </w:tcPr>
          <w:p w14:paraId="2A17D808" w14:textId="77777777" w:rsidR="007759BF" w:rsidRPr="007759BF" w:rsidRDefault="007759BF" w:rsidP="007759BF">
            <w:pPr>
              <w:spacing w:line="278" w:lineRule="auto"/>
              <w:rPr>
                <w:sz w:val="18"/>
                <w:szCs w:val="18"/>
                <w:lang w:val="es-ES"/>
              </w:rPr>
            </w:pPr>
            <w:r w:rsidRPr="007759BF">
              <w:rPr>
                <w:sz w:val="18"/>
                <w:szCs w:val="18"/>
                <w:lang w:val="es-ES"/>
              </w:rPr>
              <w:t xml:space="preserve">Se ha progresado hacia la </w:t>
            </w:r>
            <w:proofErr w:type="gramStart"/>
            <w:r w:rsidRPr="007759BF">
              <w:rPr>
                <w:sz w:val="18"/>
                <w:szCs w:val="18"/>
                <w:lang w:val="es-ES"/>
              </w:rPr>
              <w:t>meta</w:t>
            </w:r>
            <w:proofErr w:type="gramEnd"/>
            <w:r w:rsidRPr="007759BF">
              <w:rPr>
                <w:sz w:val="18"/>
                <w:szCs w:val="18"/>
                <w:lang w:val="es-ES"/>
              </w:rPr>
              <w:t xml:space="preserve"> pero a un ritmo insuficiente</w:t>
            </w:r>
          </w:p>
        </w:tc>
      </w:tr>
      <w:tr w:rsidR="007759BF" w:rsidRPr="00E944B1" w14:paraId="195774EE" w14:textId="77777777" w:rsidTr="007759BF">
        <w:tc>
          <w:tcPr>
            <w:tcW w:w="4482" w:type="dxa"/>
          </w:tcPr>
          <w:p w14:paraId="4EE9E25C" w14:textId="77777777" w:rsidR="007759BF" w:rsidRPr="007759BF" w:rsidRDefault="007759BF" w:rsidP="007759BF">
            <w:pPr>
              <w:spacing w:line="278" w:lineRule="auto"/>
              <w:rPr>
                <w:sz w:val="18"/>
                <w:szCs w:val="18"/>
                <w:lang w:val="es-ES"/>
              </w:rPr>
            </w:pPr>
            <w:r w:rsidRPr="007759BF">
              <w:rPr>
                <w:sz w:val="18"/>
                <w:szCs w:val="18"/>
                <w:lang w:val="es-ES"/>
              </w:rPr>
              <w:t xml:space="preserve">No </w:t>
            </w:r>
            <w:proofErr w:type="spellStart"/>
            <w:r w:rsidRPr="007759BF">
              <w:rPr>
                <w:sz w:val="18"/>
                <w:szCs w:val="18"/>
                <w:lang w:val="es-ES"/>
              </w:rPr>
              <w:t>significant</w:t>
            </w:r>
            <w:proofErr w:type="spellEnd"/>
            <w:r w:rsidRPr="007759BF">
              <w:rPr>
                <w:sz w:val="18"/>
                <w:szCs w:val="18"/>
                <w:lang w:val="es-ES"/>
              </w:rPr>
              <w:t xml:space="preserve"> </w:t>
            </w:r>
            <w:proofErr w:type="spellStart"/>
            <w:r w:rsidRPr="007759BF">
              <w:rPr>
                <w:sz w:val="18"/>
                <w:szCs w:val="18"/>
                <w:lang w:val="es-ES"/>
              </w:rPr>
              <w:t>change</w:t>
            </w:r>
            <w:proofErr w:type="spellEnd"/>
          </w:p>
        </w:tc>
        <w:tc>
          <w:tcPr>
            <w:tcW w:w="4855" w:type="dxa"/>
          </w:tcPr>
          <w:p w14:paraId="55863977" w14:textId="77777777" w:rsidR="007759BF" w:rsidRPr="007759BF" w:rsidRDefault="007759BF" w:rsidP="007759BF">
            <w:pPr>
              <w:spacing w:line="278" w:lineRule="auto"/>
              <w:rPr>
                <w:sz w:val="18"/>
                <w:szCs w:val="18"/>
                <w:lang w:val="es-ES"/>
              </w:rPr>
            </w:pPr>
            <w:r w:rsidRPr="007759BF">
              <w:rPr>
                <w:sz w:val="18"/>
                <w:szCs w:val="18"/>
                <w:lang w:val="es-ES"/>
              </w:rPr>
              <w:t>No hay cambios significativos</w:t>
            </w:r>
          </w:p>
        </w:tc>
      </w:tr>
      <w:tr w:rsidR="007759BF" w:rsidRPr="00E944B1" w14:paraId="49C3EC95" w14:textId="77777777" w:rsidTr="007759BF">
        <w:tc>
          <w:tcPr>
            <w:tcW w:w="4482" w:type="dxa"/>
          </w:tcPr>
          <w:p w14:paraId="4B2D9B1D" w14:textId="77777777" w:rsidR="007759BF" w:rsidRPr="007759BF" w:rsidRDefault="007759BF" w:rsidP="007759BF">
            <w:pPr>
              <w:spacing w:line="278" w:lineRule="auto"/>
              <w:rPr>
                <w:sz w:val="18"/>
                <w:szCs w:val="18"/>
                <w:lang w:val="es-ES"/>
              </w:rPr>
            </w:pPr>
            <w:r w:rsidRPr="007759BF">
              <w:rPr>
                <w:sz w:val="18"/>
                <w:szCs w:val="18"/>
                <w:lang w:val="es-ES"/>
              </w:rPr>
              <w:lastRenderedPageBreak/>
              <w:t>Unknown</w:t>
            </w:r>
          </w:p>
        </w:tc>
        <w:tc>
          <w:tcPr>
            <w:tcW w:w="4855" w:type="dxa"/>
          </w:tcPr>
          <w:p w14:paraId="294150C2" w14:textId="77777777" w:rsidR="007759BF" w:rsidRPr="007759BF" w:rsidRDefault="007759BF" w:rsidP="007759BF">
            <w:pPr>
              <w:spacing w:line="278" w:lineRule="auto"/>
              <w:rPr>
                <w:sz w:val="18"/>
                <w:szCs w:val="18"/>
                <w:lang w:val="es-ES"/>
              </w:rPr>
            </w:pPr>
            <w:r w:rsidRPr="007759BF">
              <w:rPr>
                <w:sz w:val="18"/>
                <w:szCs w:val="18"/>
                <w:lang w:val="es-ES"/>
              </w:rPr>
              <w:t>Se desconoce</w:t>
            </w:r>
          </w:p>
        </w:tc>
      </w:tr>
      <w:tr w:rsidR="007759BF" w:rsidRPr="00E944B1" w14:paraId="53B2B059" w14:textId="77777777" w:rsidTr="007759BF">
        <w:tc>
          <w:tcPr>
            <w:tcW w:w="4482" w:type="dxa"/>
          </w:tcPr>
          <w:p w14:paraId="7C57DC41" w14:textId="77777777" w:rsidR="007759BF" w:rsidRPr="007759BF" w:rsidRDefault="007759BF" w:rsidP="007759BF">
            <w:pPr>
              <w:spacing w:line="278" w:lineRule="auto"/>
              <w:rPr>
                <w:sz w:val="18"/>
                <w:szCs w:val="18"/>
                <w:lang w:val="es-ES"/>
              </w:rPr>
            </w:pPr>
            <w:r w:rsidRPr="007759BF">
              <w:rPr>
                <w:sz w:val="18"/>
                <w:szCs w:val="18"/>
                <w:lang w:val="es-ES"/>
              </w:rPr>
              <w:t xml:space="preserve">Party </w:t>
            </w:r>
            <w:proofErr w:type="spellStart"/>
            <w:r w:rsidRPr="007759BF">
              <w:rPr>
                <w:sz w:val="18"/>
                <w:szCs w:val="18"/>
                <w:lang w:val="es-ES"/>
              </w:rPr>
              <w:t>count</w:t>
            </w:r>
            <w:proofErr w:type="spellEnd"/>
            <w:r w:rsidRPr="007759BF">
              <w:rPr>
                <w:sz w:val="18"/>
                <w:szCs w:val="18"/>
                <w:lang w:val="es-ES"/>
              </w:rPr>
              <w:t>: 79</w:t>
            </w:r>
          </w:p>
        </w:tc>
        <w:tc>
          <w:tcPr>
            <w:tcW w:w="4855" w:type="dxa"/>
          </w:tcPr>
          <w:p w14:paraId="4B59EBAA" w14:textId="77777777" w:rsidR="007759BF" w:rsidRPr="007759BF" w:rsidRDefault="007759BF" w:rsidP="007759BF">
            <w:pPr>
              <w:spacing w:line="278" w:lineRule="auto"/>
              <w:rPr>
                <w:sz w:val="18"/>
                <w:szCs w:val="18"/>
                <w:lang w:val="es-ES"/>
              </w:rPr>
            </w:pPr>
            <w:r w:rsidRPr="007759BF">
              <w:rPr>
                <w:sz w:val="18"/>
                <w:szCs w:val="18"/>
                <w:lang w:val="es-ES"/>
              </w:rPr>
              <w:t>Número de Partes: 79</w:t>
            </w:r>
          </w:p>
        </w:tc>
      </w:tr>
      <w:tr w:rsidR="007759BF" w:rsidRPr="00E944B1" w14:paraId="5E5FC743" w14:textId="77777777" w:rsidTr="007759BF">
        <w:tc>
          <w:tcPr>
            <w:tcW w:w="4482" w:type="dxa"/>
          </w:tcPr>
          <w:p w14:paraId="09242D23" w14:textId="77777777" w:rsidR="007759BF" w:rsidRPr="007759BF" w:rsidRDefault="007759BF" w:rsidP="007759BF">
            <w:pPr>
              <w:spacing w:line="278" w:lineRule="auto"/>
              <w:rPr>
                <w:sz w:val="18"/>
                <w:szCs w:val="18"/>
                <w:lang w:val="es-ES"/>
              </w:rPr>
            </w:pPr>
            <w:proofErr w:type="spellStart"/>
            <w:r w:rsidRPr="007759BF">
              <w:rPr>
                <w:sz w:val="18"/>
                <w:szCs w:val="18"/>
                <w:lang w:val="es-ES"/>
              </w:rPr>
              <w:t>Region</w:t>
            </w:r>
            <w:proofErr w:type="spellEnd"/>
          </w:p>
        </w:tc>
        <w:tc>
          <w:tcPr>
            <w:tcW w:w="4855" w:type="dxa"/>
          </w:tcPr>
          <w:p w14:paraId="5271448D" w14:textId="77777777" w:rsidR="007759BF" w:rsidRPr="007759BF" w:rsidRDefault="007759BF" w:rsidP="007759BF">
            <w:pPr>
              <w:spacing w:line="278" w:lineRule="auto"/>
              <w:rPr>
                <w:sz w:val="18"/>
                <w:szCs w:val="18"/>
                <w:lang w:val="es-ES"/>
              </w:rPr>
            </w:pPr>
            <w:r w:rsidRPr="007759BF">
              <w:rPr>
                <w:sz w:val="18"/>
                <w:szCs w:val="18"/>
                <w:lang w:val="es-ES"/>
              </w:rPr>
              <w:t>Región</w:t>
            </w:r>
          </w:p>
        </w:tc>
      </w:tr>
      <w:tr w:rsidR="007759BF" w:rsidRPr="00E944B1" w14:paraId="6B9987C0" w14:textId="77777777" w:rsidTr="007759BF">
        <w:tc>
          <w:tcPr>
            <w:tcW w:w="4482" w:type="dxa"/>
          </w:tcPr>
          <w:p w14:paraId="1B6C40B7" w14:textId="77777777" w:rsidR="007759BF" w:rsidRPr="007759BF" w:rsidRDefault="007759BF" w:rsidP="007759BF">
            <w:pPr>
              <w:spacing w:line="278" w:lineRule="auto"/>
              <w:rPr>
                <w:sz w:val="18"/>
                <w:szCs w:val="18"/>
                <w:lang w:val="es-ES"/>
              </w:rPr>
            </w:pPr>
            <w:r w:rsidRPr="007759BF">
              <w:rPr>
                <w:sz w:val="18"/>
                <w:szCs w:val="18"/>
                <w:lang w:val="es-ES"/>
              </w:rPr>
              <w:t>African States</w:t>
            </w:r>
          </w:p>
        </w:tc>
        <w:tc>
          <w:tcPr>
            <w:tcW w:w="4855" w:type="dxa"/>
          </w:tcPr>
          <w:p w14:paraId="1FE692C6" w14:textId="77777777" w:rsidR="007759BF" w:rsidRPr="007759BF" w:rsidRDefault="007759BF" w:rsidP="007759BF">
            <w:pPr>
              <w:spacing w:line="278" w:lineRule="auto"/>
              <w:rPr>
                <w:sz w:val="18"/>
                <w:szCs w:val="18"/>
                <w:lang w:val="es-ES"/>
              </w:rPr>
            </w:pPr>
            <w:r w:rsidRPr="007759BF">
              <w:rPr>
                <w:sz w:val="18"/>
                <w:szCs w:val="18"/>
                <w:lang w:val="es-ES"/>
              </w:rPr>
              <w:t>Estados de África</w:t>
            </w:r>
          </w:p>
        </w:tc>
      </w:tr>
      <w:tr w:rsidR="007759BF" w:rsidRPr="00E944B1" w14:paraId="6FE09711" w14:textId="77777777" w:rsidTr="007759BF">
        <w:tc>
          <w:tcPr>
            <w:tcW w:w="4482" w:type="dxa"/>
          </w:tcPr>
          <w:p w14:paraId="7BF9B813" w14:textId="77777777" w:rsidR="007759BF" w:rsidRPr="007759BF" w:rsidRDefault="007759BF" w:rsidP="007759BF">
            <w:pPr>
              <w:spacing w:line="278" w:lineRule="auto"/>
              <w:rPr>
                <w:sz w:val="18"/>
                <w:szCs w:val="18"/>
                <w:lang w:val="es-ES"/>
              </w:rPr>
            </w:pPr>
            <w:r w:rsidRPr="007759BF">
              <w:rPr>
                <w:sz w:val="18"/>
                <w:szCs w:val="18"/>
                <w:lang w:val="es-ES"/>
              </w:rPr>
              <w:t>Asia- Pacific States</w:t>
            </w:r>
          </w:p>
        </w:tc>
        <w:tc>
          <w:tcPr>
            <w:tcW w:w="4855" w:type="dxa"/>
          </w:tcPr>
          <w:p w14:paraId="383BF988" w14:textId="77777777" w:rsidR="007759BF" w:rsidRPr="007759BF" w:rsidRDefault="007759BF" w:rsidP="007759BF">
            <w:pPr>
              <w:spacing w:line="278" w:lineRule="auto"/>
              <w:rPr>
                <w:sz w:val="18"/>
                <w:szCs w:val="18"/>
                <w:lang w:val="es-ES"/>
              </w:rPr>
            </w:pPr>
            <w:r w:rsidRPr="007759BF">
              <w:rPr>
                <w:sz w:val="18"/>
                <w:szCs w:val="18"/>
                <w:lang w:val="es-ES"/>
              </w:rPr>
              <w:t>Estados de Asia y el Pacífico</w:t>
            </w:r>
          </w:p>
        </w:tc>
      </w:tr>
      <w:tr w:rsidR="007759BF" w:rsidRPr="00E944B1" w14:paraId="0EC20D1E" w14:textId="77777777" w:rsidTr="007759BF">
        <w:tc>
          <w:tcPr>
            <w:tcW w:w="4482" w:type="dxa"/>
          </w:tcPr>
          <w:p w14:paraId="16105E04" w14:textId="77777777" w:rsidR="007759BF" w:rsidRPr="007759BF" w:rsidRDefault="007759BF" w:rsidP="007759BF">
            <w:pPr>
              <w:spacing w:line="278" w:lineRule="auto"/>
              <w:rPr>
                <w:sz w:val="18"/>
                <w:szCs w:val="18"/>
                <w:lang w:val="en-US"/>
              </w:rPr>
            </w:pPr>
            <w:r w:rsidRPr="007759BF">
              <w:rPr>
                <w:sz w:val="18"/>
                <w:szCs w:val="18"/>
                <w:lang w:val="en-US"/>
              </w:rPr>
              <w:t>Latin American and Caribbean States</w:t>
            </w:r>
          </w:p>
        </w:tc>
        <w:tc>
          <w:tcPr>
            <w:tcW w:w="4855" w:type="dxa"/>
          </w:tcPr>
          <w:p w14:paraId="6EBAC91B" w14:textId="77777777" w:rsidR="007759BF" w:rsidRPr="007759BF" w:rsidRDefault="007759BF" w:rsidP="007759BF">
            <w:pPr>
              <w:spacing w:line="278" w:lineRule="auto"/>
              <w:rPr>
                <w:sz w:val="18"/>
                <w:szCs w:val="18"/>
                <w:lang w:val="es-ES"/>
              </w:rPr>
            </w:pPr>
            <w:r w:rsidRPr="007759BF">
              <w:rPr>
                <w:sz w:val="18"/>
                <w:szCs w:val="18"/>
                <w:lang w:val="es-ES"/>
              </w:rPr>
              <w:t>Estados de América Latina y el Caribe</w:t>
            </w:r>
          </w:p>
        </w:tc>
      </w:tr>
      <w:tr w:rsidR="007759BF" w:rsidRPr="00E944B1" w14:paraId="2B811FCE" w14:textId="77777777" w:rsidTr="007759BF">
        <w:tc>
          <w:tcPr>
            <w:tcW w:w="4482" w:type="dxa"/>
          </w:tcPr>
          <w:p w14:paraId="457DF890" w14:textId="77777777" w:rsidR="007759BF" w:rsidRPr="007759BF" w:rsidRDefault="007759BF" w:rsidP="007759BF">
            <w:pPr>
              <w:spacing w:line="278" w:lineRule="auto"/>
              <w:rPr>
                <w:sz w:val="18"/>
                <w:szCs w:val="18"/>
                <w:lang w:val="es-ES"/>
              </w:rPr>
            </w:pPr>
            <w:r w:rsidRPr="007759BF">
              <w:rPr>
                <w:sz w:val="18"/>
                <w:szCs w:val="18"/>
                <w:lang w:val="es-ES"/>
              </w:rPr>
              <w:t xml:space="preserve"> Eastern European States</w:t>
            </w:r>
          </w:p>
        </w:tc>
        <w:tc>
          <w:tcPr>
            <w:tcW w:w="4855" w:type="dxa"/>
          </w:tcPr>
          <w:p w14:paraId="4D575C6A" w14:textId="77777777" w:rsidR="007759BF" w:rsidRPr="007759BF" w:rsidRDefault="007759BF" w:rsidP="007759BF">
            <w:pPr>
              <w:spacing w:line="278" w:lineRule="auto"/>
              <w:rPr>
                <w:sz w:val="18"/>
                <w:szCs w:val="18"/>
                <w:lang w:val="es-ES"/>
              </w:rPr>
            </w:pPr>
            <w:r w:rsidRPr="007759BF">
              <w:rPr>
                <w:sz w:val="18"/>
                <w:szCs w:val="18"/>
                <w:lang w:val="es-ES"/>
              </w:rPr>
              <w:t>Estados de Europa Oriental</w:t>
            </w:r>
          </w:p>
        </w:tc>
      </w:tr>
      <w:tr w:rsidR="007759BF" w:rsidRPr="00E944B1" w14:paraId="4780F279" w14:textId="77777777" w:rsidTr="007759BF">
        <w:tc>
          <w:tcPr>
            <w:tcW w:w="4482" w:type="dxa"/>
          </w:tcPr>
          <w:p w14:paraId="13ADFEC0" w14:textId="77777777" w:rsidR="007759BF" w:rsidRPr="007759BF" w:rsidRDefault="007759BF" w:rsidP="007759BF">
            <w:pPr>
              <w:spacing w:line="278" w:lineRule="auto"/>
              <w:rPr>
                <w:sz w:val="18"/>
                <w:szCs w:val="18"/>
                <w:lang w:val="en-US"/>
              </w:rPr>
            </w:pPr>
            <w:r w:rsidRPr="007759BF">
              <w:rPr>
                <w:sz w:val="18"/>
                <w:szCs w:val="18"/>
                <w:lang w:val="en-US"/>
              </w:rPr>
              <w:t>Western European and other States</w:t>
            </w:r>
          </w:p>
        </w:tc>
        <w:tc>
          <w:tcPr>
            <w:tcW w:w="4855" w:type="dxa"/>
          </w:tcPr>
          <w:p w14:paraId="6F37B754" w14:textId="77777777" w:rsidR="007759BF" w:rsidRPr="007759BF" w:rsidRDefault="007759BF" w:rsidP="007759BF">
            <w:pPr>
              <w:spacing w:line="278" w:lineRule="auto"/>
              <w:rPr>
                <w:sz w:val="18"/>
                <w:szCs w:val="18"/>
                <w:lang w:val="es-ES"/>
              </w:rPr>
            </w:pPr>
            <w:r w:rsidRPr="007759BF">
              <w:rPr>
                <w:sz w:val="18"/>
                <w:szCs w:val="18"/>
                <w:lang w:val="es-ES"/>
              </w:rPr>
              <w:t>Estados de Europa Occidental y otros Estados</w:t>
            </w:r>
          </w:p>
        </w:tc>
      </w:tr>
    </w:tbl>
    <w:p w14:paraId="06EA43D6" w14:textId="77777777" w:rsidR="009713BF" w:rsidRPr="005E3D50" w:rsidRDefault="009713BF" w:rsidP="009713BF">
      <w:pPr>
        <w:rPr>
          <w:lang w:val="es-ES"/>
        </w:rPr>
      </w:pPr>
    </w:p>
    <w:p w14:paraId="64391A1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44" w:name="_Toc235821260"/>
      <w:r w:rsidRPr="005E3D50">
        <w:rPr>
          <w:rFonts w:eastAsiaTheme="majorEastAsia" w:cstheme="majorBidi"/>
          <w:color w:val="0F4761" w:themeColor="accent1" w:themeShade="BF"/>
          <w:lang w:val="es-ES"/>
        </w:rPr>
        <w:t>Medidas, logros y dificultades</w:t>
      </w:r>
      <w:bookmarkEnd w:id="444"/>
      <w:r w:rsidRPr="005E3D50">
        <w:rPr>
          <w:rFonts w:eastAsiaTheme="majorEastAsia" w:cstheme="majorBidi"/>
          <w:color w:val="0F4761" w:themeColor="accent1" w:themeShade="BF"/>
          <w:lang w:val="es-ES"/>
        </w:rPr>
        <w:t xml:space="preserve"> en la implementación</w:t>
      </w:r>
    </w:p>
    <w:p w14:paraId="7DABFCA0" w14:textId="77777777" w:rsidR="009713BF" w:rsidRPr="005E3D50" w:rsidRDefault="009713BF" w:rsidP="009713BF">
      <w:pPr>
        <w:rPr>
          <w:lang w:val="es-ES"/>
        </w:rPr>
      </w:pPr>
    </w:p>
    <w:p w14:paraId="4A07943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45" w:name="_Toc235821261"/>
      <w:r w:rsidRPr="005E3D50">
        <w:rPr>
          <w:rFonts w:eastAsiaTheme="majorEastAsia" w:cstheme="majorBidi"/>
          <w:i/>
          <w:iCs/>
          <w:color w:val="595959" w:themeColor="text1" w:themeTint="A6"/>
          <w:lang w:val="es-ES"/>
        </w:rPr>
        <w:t>Resumen de medidas en apoyo a la meta 17</w:t>
      </w:r>
      <w:bookmarkEnd w:id="445"/>
      <w:r w:rsidRPr="005E3D50">
        <w:rPr>
          <w:rFonts w:eastAsiaTheme="majorEastAsia" w:cstheme="majorBidi"/>
          <w:i/>
          <w:iCs/>
          <w:color w:val="595959" w:themeColor="text1" w:themeTint="A6"/>
          <w:lang w:val="es-ES"/>
        </w:rPr>
        <w:t xml:space="preserve"> del Marco</w:t>
      </w:r>
    </w:p>
    <w:p w14:paraId="1FCCDE44" w14:textId="77777777" w:rsidR="009713BF" w:rsidRPr="005E3D50" w:rsidRDefault="009713BF" w:rsidP="009713BF">
      <w:pPr>
        <w:rPr>
          <w:lang w:val="es-ES"/>
        </w:rPr>
      </w:pPr>
    </w:p>
    <w:p w14:paraId="11778E9A" w14:textId="77777777" w:rsidR="009713BF" w:rsidRPr="005E3D50" w:rsidRDefault="009713BF" w:rsidP="009713BF">
      <w:pPr>
        <w:rPr>
          <w:lang w:val="es-ES"/>
        </w:rPr>
      </w:pPr>
      <w:r w:rsidRPr="005E3D50">
        <w:rPr>
          <w:lang w:val="es-ES"/>
        </w:rPr>
        <w:t>Muchas Partes informan que han logrado progresos en la elaboración o el fortalecimiento de medidas de seguridad de la biotecnología e infraestructura técnica, incluido el establecimiento de métodos de detección de organismos vivos modificados y laboratorios para aplicar esos métodos, así como sistemas para su seguimiento, medidas de control de fronteras y herramientas para evaluaciones de riesgo. Algunas Partes informaron que han concedido autorizaciones y permisos específicos para organismos vivos modificados, mientras que otras documentaron medidas para restringir o limitar su cultivo. En algunos informes nacionales también se incluyó información sobre la elaboración de directrices o reglamentaciones que cubren nuevos adelantos en biotecnología, incluidos organismos producidos mediante edición genómica. En el caso de aquellas Partes en el Convenio que también son Partes en el Protocolo de Cartagena sobre Seguridad de la Biotecnología, el fortalecimiento del apoyo al Protocolo es un mecanismo clave para profundizar los avances en la consecución de la meta 17, en particular con respecto al establecimiento de normas de seguridad de la biotecnología que apoyen la aplicación del Convenio (véanse los recuadros 41 y 42).</w:t>
      </w:r>
    </w:p>
    <w:p w14:paraId="32A670C1" w14:textId="77777777" w:rsidR="009713BF" w:rsidRPr="005E3D50" w:rsidRDefault="009713BF" w:rsidP="009713BF">
      <w:pPr>
        <w:rPr>
          <w:lang w:val="es-ES"/>
        </w:rPr>
      </w:pPr>
    </w:p>
    <w:p w14:paraId="3640688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46" w:name="_Toc235821262"/>
      <w:r w:rsidRPr="005E3D50">
        <w:rPr>
          <w:rFonts w:eastAsiaTheme="majorEastAsia" w:cstheme="majorBidi"/>
          <w:i/>
          <w:iCs/>
          <w:color w:val="595959" w:themeColor="text1" w:themeTint="A6"/>
          <w:lang w:val="es-ES"/>
        </w:rPr>
        <w:t>Ejemplos de logros y progresos en la implementación</w:t>
      </w:r>
      <w:bookmarkEnd w:id="446"/>
    </w:p>
    <w:p w14:paraId="5FF75A76"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9713BF" w:rsidRPr="005E3D50" w14:paraId="7CC1E0C9" w14:textId="77777777" w:rsidTr="006E6831">
        <w:tc>
          <w:tcPr>
            <w:tcW w:w="9016" w:type="dxa"/>
            <w:shd w:val="clear" w:color="auto" w:fill="D1D1D1" w:themeFill="background2" w:themeFillShade="E6"/>
          </w:tcPr>
          <w:p w14:paraId="2F564306" w14:textId="77777777" w:rsidR="009713BF" w:rsidRPr="005E3D50" w:rsidRDefault="009713BF" w:rsidP="009713BF">
            <w:pPr>
              <w:rPr>
                <w:sz w:val="20"/>
                <w:szCs w:val="20"/>
                <w:lang w:val="es-ES"/>
              </w:rPr>
            </w:pPr>
            <w:r w:rsidRPr="005E3D50">
              <w:rPr>
                <w:sz w:val="20"/>
                <w:lang w:val="es-ES"/>
              </w:rPr>
              <w:t>Recuadro 41</w:t>
            </w:r>
          </w:p>
          <w:p w14:paraId="1B561513" w14:textId="77777777" w:rsidR="009713BF" w:rsidRPr="005E3D50" w:rsidRDefault="009713BF" w:rsidP="009713BF">
            <w:pPr>
              <w:spacing w:after="160" w:line="278" w:lineRule="auto"/>
              <w:rPr>
                <w:b/>
                <w:bCs/>
                <w:sz w:val="20"/>
                <w:szCs w:val="20"/>
                <w:lang w:val="es-ES"/>
              </w:rPr>
            </w:pPr>
            <w:r w:rsidRPr="005E3D50">
              <w:rPr>
                <w:b/>
                <w:sz w:val="20"/>
                <w:lang w:val="es-ES"/>
              </w:rPr>
              <w:t>Legislación nacional que refuerza las medidas de seguridad de la biotecnología en el Camerún</w:t>
            </w:r>
          </w:p>
          <w:p w14:paraId="50732FDA" w14:textId="77777777" w:rsidR="009713BF" w:rsidRPr="005E3D50" w:rsidRDefault="009713BF" w:rsidP="009713BF">
            <w:pPr>
              <w:rPr>
                <w:rFonts w:ascii="Aptos" w:eastAsia="Aptos" w:hAnsi="Aptos" w:cs="Aptos"/>
                <w:color w:val="000000" w:themeColor="text1"/>
                <w:lang w:val="es-ES"/>
              </w:rPr>
            </w:pPr>
          </w:p>
          <w:p w14:paraId="6DFF8FA4" w14:textId="77777777" w:rsidR="009713BF" w:rsidRPr="005E3D50" w:rsidRDefault="009713BF" w:rsidP="009713BF">
            <w:pPr>
              <w:spacing w:after="160"/>
              <w:rPr>
                <w:sz w:val="20"/>
                <w:szCs w:val="20"/>
                <w:vertAlign w:val="superscript"/>
                <w:lang w:val="es-ES"/>
              </w:rPr>
            </w:pPr>
            <w:r w:rsidRPr="005E3D50">
              <w:rPr>
                <w:sz w:val="20"/>
                <w:lang w:val="es-ES"/>
              </w:rPr>
              <w:t xml:space="preserve">En 2025, el Camerún aprobó una nueva ley dirigida a fortalecer el marco jurídico, institucional y técnico de seguridad de la biotecnología, así como a gestionar, controlar y prevenir riesgos relacionados con la seguridad de la biotecnología. El alcance de la ley abarca la introducción, la gestión y el control de organismos vivos modificados y especies exóticas invasoras, así como sus </w:t>
            </w:r>
            <w:r w:rsidRPr="005E3D50">
              <w:rPr>
                <w:sz w:val="20"/>
                <w:lang w:val="es-ES"/>
              </w:rPr>
              <w:lastRenderedPageBreak/>
              <w:t>riesgos asociados y sus efectos adversos en la inocuidad de los alimentos, la salud humana, vegetal y animal, la protección del medio ambiente, el comercio y diversas industrias.</w:t>
            </w:r>
            <w:r w:rsidRPr="005E3D50">
              <w:rPr>
                <w:sz w:val="20"/>
                <w:vertAlign w:val="superscript"/>
                <w:lang w:val="es-ES"/>
              </w:rPr>
              <w:t xml:space="preserve"> </w:t>
            </w:r>
          </w:p>
          <w:p w14:paraId="0036716E" w14:textId="77777777" w:rsidR="009713BF" w:rsidRPr="005E3D50" w:rsidRDefault="009713BF" w:rsidP="009713BF">
            <w:pPr>
              <w:spacing w:after="160"/>
              <w:rPr>
                <w:sz w:val="20"/>
                <w:szCs w:val="20"/>
                <w:lang w:val="es-ES"/>
              </w:rPr>
            </w:pPr>
            <w:r w:rsidRPr="005E3D50">
              <w:rPr>
                <w:sz w:val="20"/>
                <w:lang w:val="es-ES"/>
              </w:rPr>
              <w:t>A nivel institucional se está llevando a cabo una serie de consultas sobre un proyecto de decreto por el que se crearía un organismo nacional de seguridad de la biotecnología. El objetivo es fortalecer la coordinación, supervisión y fiscalización de actividades relacionadas con la biotecnología moderna. Por otra parte, se han implementado procedimientos técnicos para el examen de aplicaciones, sobre la base del principio de precaución, y se estableció un registro de aplicaciones, en particular en el contexto del examen de una aplicación para la introducción de algodón modificado genéticamente.</w:t>
            </w:r>
          </w:p>
          <w:p w14:paraId="43AA3D56" w14:textId="77777777" w:rsidR="009713BF" w:rsidRPr="005E3D50" w:rsidRDefault="009713BF" w:rsidP="009713BF">
            <w:pPr>
              <w:rPr>
                <w:sz w:val="20"/>
                <w:szCs w:val="20"/>
                <w:lang w:val="es-ES"/>
              </w:rPr>
            </w:pPr>
            <w:r w:rsidRPr="005E3D50">
              <w:rPr>
                <w:sz w:val="20"/>
                <w:lang w:val="es-ES"/>
              </w:rPr>
              <w:t xml:space="preserve">Con el fin de mejorar y reforzar la capacidad nacional de detección y análisis de organismos vivos modificados, se está suministrando equipos especializados a varios laboratorios universitarios, se han organizado sesiones de capacitación para personal técnico y científico y se está elaborando un manual de capacitación nacional. </w:t>
            </w:r>
          </w:p>
          <w:p w14:paraId="74FFE4CE" w14:textId="77777777" w:rsidR="009713BF" w:rsidRPr="005E3D50" w:rsidRDefault="009713BF" w:rsidP="009713BF">
            <w:pPr>
              <w:rPr>
                <w:rFonts w:ascii="Aptos" w:eastAsia="Aptos" w:hAnsi="Aptos" w:cs="Aptos"/>
                <w:color w:val="000000" w:themeColor="text1"/>
                <w:sz w:val="20"/>
                <w:szCs w:val="20"/>
                <w:lang w:val="es-ES"/>
              </w:rPr>
            </w:pPr>
          </w:p>
          <w:p w14:paraId="17F9B5E3"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color w:val="000000" w:themeColor="text1"/>
                <w:sz w:val="20"/>
                <w:lang w:val="es-ES"/>
              </w:rPr>
              <w:t xml:space="preserve">Desde 2023, se ha movilizado un importante volumen de financiación internacional en asociación con el Programa de las Naciones Unidas para el Medio Ambiente (PNUMA) y el Fondo para el Medio Ambiente Mundial (FMAM) y se continuará dicha financiación hasta 2028, con el fin de apoyar el fortalecimiento de los marcos de seguridad de la biotecnología establecidos para la gestión de organismos vivos modificados y especies exóticas invasoras. </w:t>
            </w:r>
          </w:p>
          <w:p w14:paraId="61C39377" w14:textId="77777777" w:rsidR="009713BF" w:rsidRPr="005E3D50" w:rsidRDefault="009713BF" w:rsidP="009713BF">
            <w:pPr>
              <w:rPr>
                <w:rFonts w:ascii="Aptos" w:eastAsia="Aptos" w:hAnsi="Aptos" w:cs="Aptos"/>
                <w:color w:val="000000" w:themeColor="text1"/>
                <w:lang w:val="es-ES"/>
              </w:rPr>
            </w:pPr>
          </w:p>
          <w:p w14:paraId="26FD1971" w14:textId="77777777" w:rsidR="009713BF" w:rsidRPr="005E3D50" w:rsidRDefault="009713BF" w:rsidP="009713BF">
            <w:pPr>
              <w:spacing w:after="160"/>
              <w:rPr>
                <w:sz w:val="20"/>
                <w:szCs w:val="20"/>
                <w:lang w:val="es-ES"/>
              </w:rPr>
            </w:pPr>
            <w:r w:rsidRPr="005E3D50">
              <w:rPr>
                <w:sz w:val="20"/>
                <w:lang w:val="es-ES"/>
              </w:rPr>
              <w:t>A nivel nacional, la seguridad de la biotecnología fue integrada en la planificación presupuestaria sectorial y se han establecido asociaciones público-privadas para apoyar investigaciones y la adquisición de equipos de laboratorio. En general, el conjunto de estas medidas representa un avance sistemático en el establecimiento de un sólido sistema nacional de seguridad de la biotecnología que está en consonancia con los compromisos internacionales asumidos por el país y que está diseñado para abordar los desafíos que plantea la biotecnología moderna.</w:t>
            </w:r>
          </w:p>
          <w:p w14:paraId="56C5DC64" w14:textId="77777777" w:rsidR="009713BF" w:rsidRPr="005E3D50" w:rsidRDefault="009713BF" w:rsidP="009713BF">
            <w:pPr>
              <w:rPr>
                <w:lang w:val="es-ES"/>
              </w:rPr>
            </w:pPr>
          </w:p>
          <w:p w14:paraId="7FA4C815"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6, 13, 17, 19, 20 y 21.</w:t>
            </w:r>
          </w:p>
          <w:p w14:paraId="6F9CD313" w14:textId="77777777" w:rsidR="009713BF" w:rsidRPr="005E3D50" w:rsidRDefault="009713BF" w:rsidP="009713BF">
            <w:pPr>
              <w:rPr>
                <w:sz w:val="20"/>
                <w:szCs w:val="20"/>
                <w:lang w:val="es-ES"/>
              </w:rPr>
            </w:pPr>
            <w:r w:rsidRPr="005E3D50">
              <w:rPr>
                <w:i/>
                <w:sz w:val="20"/>
                <w:lang w:val="es-ES"/>
              </w:rPr>
              <w:t>Fuentes</w:t>
            </w:r>
            <w:r w:rsidRPr="005E3D50">
              <w:rPr>
                <w:i/>
                <w:lang w:val="es-ES"/>
              </w:rPr>
              <w:t xml:space="preserve">: </w:t>
            </w:r>
            <w:r w:rsidRPr="005E3D50">
              <w:rPr>
                <w:sz w:val="20"/>
                <w:lang w:val="es-ES"/>
              </w:rPr>
              <w:t>Camerún, séptimo informe nacional presentado al Convenio; Gobierno del Camerún, 2025; y PNUMA y FMAM, 2023.</w:t>
            </w:r>
          </w:p>
          <w:p w14:paraId="6E5A6D12" w14:textId="77777777" w:rsidR="009713BF" w:rsidRPr="005E3D50" w:rsidRDefault="009713BF" w:rsidP="009713BF">
            <w:pPr>
              <w:rPr>
                <w:i/>
                <w:iCs/>
                <w:lang w:val="es-ES"/>
              </w:rPr>
            </w:pPr>
          </w:p>
          <w:p w14:paraId="1E173E68" w14:textId="77777777" w:rsidR="009713BF" w:rsidRPr="005E3D50" w:rsidRDefault="009713BF" w:rsidP="009713BF">
            <w:pPr>
              <w:rPr>
                <w:i/>
                <w:iCs/>
                <w:lang w:val="es-ES"/>
              </w:rPr>
            </w:pPr>
          </w:p>
        </w:tc>
      </w:tr>
    </w:tbl>
    <w:p w14:paraId="34D98A63"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lastRenderedPageBreak/>
        <w:t xml:space="preserve"> </w:t>
      </w:r>
    </w:p>
    <w:tbl>
      <w:tblPr>
        <w:tblStyle w:val="TableGrid"/>
        <w:tblW w:w="0" w:type="auto"/>
        <w:tblLook w:val="04A0" w:firstRow="1" w:lastRow="0" w:firstColumn="1" w:lastColumn="0" w:noHBand="0" w:noVBand="1"/>
      </w:tblPr>
      <w:tblGrid>
        <w:gridCol w:w="9069"/>
      </w:tblGrid>
      <w:tr w:rsidR="009713BF" w:rsidRPr="005E3D50" w14:paraId="15489E8D" w14:textId="77777777" w:rsidTr="006E6831">
        <w:trPr>
          <w:trHeight w:val="303"/>
        </w:trPr>
        <w:tc>
          <w:tcPr>
            <w:tcW w:w="9069" w:type="dxa"/>
            <w:shd w:val="clear" w:color="auto" w:fill="D1D1D1" w:themeFill="background2" w:themeFillShade="E6"/>
          </w:tcPr>
          <w:p w14:paraId="189ECC1D" w14:textId="77777777" w:rsidR="009713BF" w:rsidRPr="005E3D50" w:rsidRDefault="009713BF" w:rsidP="009713BF">
            <w:pPr>
              <w:keepNext/>
              <w:keepLines/>
              <w:rPr>
                <w:sz w:val="20"/>
                <w:szCs w:val="20"/>
                <w:lang w:val="es-ES"/>
              </w:rPr>
            </w:pPr>
            <w:r w:rsidRPr="005E3D50">
              <w:rPr>
                <w:sz w:val="20"/>
                <w:lang w:val="es-ES"/>
              </w:rPr>
              <w:t>Recuadro 42</w:t>
            </w:r>
          </w:p>
          <w:p w14:paraId="1F092757" w14:textId="77777777" w:rsidR="009713BF" w:rsidRPr="005E3D50" w:rsidRDefault="009713BF" w:rsidP="009713BF">
            <w:pPr>
              <w:keepNext/>
              <w:keepLines/>
              <w:spacing w:after="160"/>
              <w:rPr>
                <w:b/>
                <w:bCs/>
                <w:sz w:val="20"/>
                <w:szCs w:val="20"/>
                <w:lang w:val="es-ES"/>
              </w:rPr>
            </w:pPr>
            <w:r w:rsidRPr="005E3D50">
              <w:rPr>
                <w:b/>
                <w:sz w:val="20"/>
                <w:lang w:val="es-ES"/>
              </w:rPr>
              <w:t>Paquete legislativo en materia de seguridad de la biotecnología de la República de Moldova, armonizado con su candidatura de adhesión a la Unión Europea</w:t>
            </w:r>
          </w:p>
          <w:p w14:paraId="3D36EDED" w14:textId="77777777" w:rsidR="009713BF" w:rsidRPr="005E3D50" w:rsidRDefault="009713BF" w:rsidP="009713BF">
            <w:pPr>
              <w:keepNext/>
              <w:keepLines/>
              <w:rPr>
                <w:lang w:val="es-ES"/>
              </w:rPr>
            </w:pPr>
          </w:p>
          <w:p w14:paraId="7F527536" w14:textId="77777777" w:rsidR="009713BF" w:rsidRPr="005E3D50" w:rsidRDefault="009713BF" w:rsidP="009713BF">
            <w:pPr>
              <w:spacing w:after="160" w:line="278" w:lineRule="auto"/>
              <w:rPr>
                <w:sz w:val="20"/>
                <w:szCs w:val="20"/>
                <w:lang w:val="es-ES"/>
              </w:rPr>
            </w:pPr>
            <w:r w:rsidRPr="005E3D50">
              <w:rPr>
                <w:sz w:val="20"/>
                <w:lang w:val="es-ES"/>
              </w:rPr>
              <w:t>Entre los años 2020 y 2025, la República de Moldova elaboró y aprobó varias leyes y decisiones gubernamentales relacionadas con la seguridad de la biotecnología, incluido en materia de reglamentación, control, movimiento y utilización de organismos vivos modificados y alimentos, piensos y microorganismos modificados genéticamente. En 2025, el Organismo Ambiental de la República de Moldova otorgó 18 autorizaciones a 17 beneficiarios en el país para productos relacionados con piensos modificados genéticamente, entre ellas, autorizaciones para harina producida a partir de soja modificada genéticamente, pienso elaborado con harina producida a partir de soja modificada genéticamente y maíz modificado genéticamente; y pienso elaborado con organismos modificados genéticamente.</w:t>
            </w:r>
          </w:p>
          <w:p w14:paraId="196789D6" w14:textId="77777777" w:rsidR="009713BF" w:rsidRPr="005E3D50" w:rsidRDefault="009713BF" w:rsidP="009713BF">
            <w:pPr>
              <w:spacing w:after="160" w:line="278" w:lineRule="auto"/>
              <w:rPr>
                <w:sz w:val="20"/>
                <w:szCs w:val="20"/>
                <w:lang w:val="es-ES"/>
              </w:rPr>
            </w:pPr>
            <w:r w:rsidRPr="005E3D50">
              <w:rPr>
                <w:sz w:val="20"/>
                <w:lang w:val="es-ES"/>
              </w:rPr>
              <w:t>Estas medidas están en consonancia con la implementación del marco normativo para la utilización de organismos vivos modificados y la aplicación del Protocolo de Cartagena y del Protocolo de Nagoya-Kuala Lumpur sobre Responsabilidad y Compensación Suplementario al Protocolo de Cartagena sobre Seguridad de la Biotecnología. Las medidas también ayudan a armonizar el marco jurídico de la República de Moldova con directivas específicas de la Unión Europea en materia de reglamentación de la biotecnología y la seguridad de la biotecnología.</w:t>
            </w:r>
          </w:p>
          <w:p w14:paraId="341F9BE7"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Metas pertinentes: </w:t>
            </w:r>
            <w:r w:rsidRPr="005E3D50">
              <w:rPr>
                <w:rFonts w:ascii="Aptos" w:hAnsi="Aptos"/>
                <w:color w:val="000000" w:themeColor="text1"/>
                <w:sz w:val="20"/>
                <w:lang w:val="es-ES"/>
              </w:rPr>
              <w:t>10,14 y 17.</w:t>
            </w:r>
          </w:p>
          <w:p w14:paraId="3BACB97F"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Fuente: </w:t>
            </w:r>
            <w:r w:rsidRPr="005E3D50">
              <w:rPr>
                <w:rFonts w:ascii="Aptos" w:hAnsi="Aptos"/>
                <w:color w:val="000000" w:themeColor="text1"/>
                <w:sz w:val="20"/>
                <w:lang w:val="es-ES"/>
              </w:rPr>
              <w:t>Moldova, séptimo informe nacional presentado al Convenio.</w:t>
            </w:r>
          </w:p>
          <w:p w14:paraId="6C550909" w14:textId="77777777" w:rsidR="009713BF" w:rsidRPr="005E3D50" w:rsidRDefault="009713BF" w:rsidP="009713BF">
            <w:pPr>
              <w:rPr>
                <w:lang w:val="es-ES"/>
              </w:rPr>
            </w:pPr>
          </w:p>
        </w:tc>
      </w:tr>
    </w:tbl>
    <w:p w14:paraId="1DF73980" w14:textId="77777777" w:rsidR="009713BF" w:rsidRPr="005E3D50" w:rsidRDefault="009713BF" w:rsidP="009713BF">
      <w:pPr>
        <w:rPr>
          <w:lang w:val="es-ES"/>
        </w:rPr>
      </w:pPr>
    </w:p>
    <w:p w14:paraId="3065B8C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47" w:name="_Toc235821263"/>
      <w:r w:rsidRPr="005E3D50">
        <w:rPr>
          <w:rFonts w:eastAsiaTheme="majorEastAsia" w:cstheme="majorBidi"/>
          <w:i/>
          <w:iCs/>
          <w:color w:val="595959" w:themeColor="text1" w:themeTint="A6"/>
          <w:lang w:val="es-ES"/>
        </w:rPr>
        <w:t>Dificultades</w:t>
      </w:r>
      <w:bookmarkEnd w:id="447"/>
    </w:p>
    <w:p w14:paraId="496E2C2A" w14:textId="77777777" w:rsidR="009713BF" w:rsidRPr="005E3D50" w:rsidRDefault="009713BF" w:rsidP="009713BF">
      <w:pPr>
        <w:rPr>
          <w:lang w:val="es-ES"/>
        </w:rPr>
      </w:pPr>
    </w:p>
    <w:p w14:paraId="22A135DB" w14:textId="77777777" w:rsidR="009713BF" w:rsidRPr="005E3D50" w:rsidRDefault="009713BF" w:rsidP="009713BF">
      <w:pPr>
        <w:rPr>
          <w:lang w:val="es-ES"/>
        </w:rPr>
      </w:pPr>
      <w:r w:rsidRPr="005E3D50">
        <w:rPr>
          <w:lang w:val="es-ES"/>
        </w:rPr>
        <w:t xml:space="preserve">Un número significativo de Partes informan que tienen proyectos de ley sobre seguridad de la biotecnología pendientes de aprobación, lo que limita su poder de aplicación y reglamentación. Varias Partes señalan que los marcos normativos resultan insuficientes para atender los nuevos avances en biotecnología. Muchas Partes, particularmente en países en desarrollo y entre los pequeños Estados insulares en desarrollo, informan que no cuentan con infraestructura adecuada para la detección de organismos vivos modificados y para evaluaciones de riesgo. Entre las Partes también se menciona la escasez de científicos, evaluadores de riesgo e inspectores capacitados en seguridad de la biotecnología. Unas pocas Partes señalan que enfrentan dificultades para hacer un seguimiento de lo que ingresa por sus fronteras. Infraestructuras de inspección limitadas, procedimientos de verificación basados en documentación en vez de en análisis de laboratorio y falta de personal en los puestos fronterizos significan que pueden ingresar sin ser detectados materiales de organismos vivos modificados no autorizados o no </w:t>
      </w:r>
      <w:r w:rsidRPr="005E3D50">
        <w:rPr>
          <w:lang w:val="es-ES"/>
        </w:rPr>
        <w:lastRenderedPageBreak/>
        <w:t>regulados. Según varios informes nacionales, el elemento de la meta 17 relacionado con el artículo 19 del Convenio (la distribución de beneficios derivados de la biotecnología) es ampliamente reconocido, pero raramente puesto en práctica. Muchas Partes señalan que la implementación de la seguridad de la biotecnología depende enormemente de financiación externa y de corto plazo para proyectos puntuales, en vez de presupuestos nacionales sostenibles. Esto puede llevar a medidas de implementación que también están vinculadas a proyectos concretos y que no tienen estabilidad nacional a largo plazo.</w:t>
      </w:r>
    </w:p>
    <w:p w14:paraId="1D9BC9EF" w14:textId="77777777" w:rsidR="009713BF" w:rsidRPr="005E3D50" w:rsidRDefault="009713BF" w:rsidP="009713BF">
      <w:pPr>
        <w:rPr>
          <w:lang w:val="es-ES"/>
        </w:rPr>
      </w:pPr>
      <w:r w:rsidRPr="005E3D50">
        <w:rPr>
          <w:lang w:val="es-ES"/>
        </w:rPr>
        <w:t>Algunas Partes informan que tienen dificultades en cuanto a conciencia pública, educación y acceso a información sobre medidas y obligaciones en materia de seguridad de la biotecnología. Varias Partes también señalaron que el establecimiento de plataformas nacionales del Centro de Intercambio de Información sobre Seguridad de la Biotecnología y el fortalecimiento de su vínculo con la plataforma internacional de intercambio de información plantean dificultades.</w:t>
      </w:r>
    </w:p>
    <w:p w14:paraId="7C9E9237"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6A5C3141"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48" w:name="_Toc235821264"/>
      <w:r w:rsidRPr="005E3D50">
        <w:rPr>
          <w:rFonts w:eastAsiaTheme="majorEastAsia" w:cstheme="majorBidi"/>
          <w:color w:val="0F4761" w:themeColor="accent1" w:themeShade="BF"/>
          <w:lang w:val="es-ES"/>
        </w:rPr>
        <w:t>Contribuciones de actores distintos de los Gobiernos nacionales</w:t>
      </w:r>
      <w:bookmarkEnd w:id="448"/>
    </w:p>
    <w:p w14:paraId="6DDA6C64" w14:textId="77777777" w:rsidR="009713BF" w:rsidRPr="005E3D50" w:rsidRDefault="009713BF" w:rsidP="009713BF">
      <w:pPr>
        <w:rPr>
          <w:lang w:val="es-ES"/>
        </w:rPr>
      </w:pPr>
    </w:p>
    <w:p w14:paraId="6F7D3A1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49" w:name="_Toc235821265"/>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449"/>
    </w:p>
    <w:p w14:paraId="322AE85D" w14:textId="77777777" w:rsidR="009713BF" w:rsidRPr="005E3D50" w:rsidRDefault="009713BF" w:rsidP="009713BF">
      <w:pPr>
        <w:rPr>
          <w:lang w:val="es-ES"/>
        </w:rPr>
      </w:pPr>
    </w:p>
    <w:p w14:paraId="3321076F" w14:textId="77777777" w:rsidR="009713BF" w:rsidRPr="005E3D50" w:rsidRDefault="009713BF" w:rsidP="009713BF">
      <w:pPr>
        <w:rPr>
          <w:lang w:val="es-ES"/>
        </w:rPr>
      </w:pPr>
      <w:r w:rsidRPr="005E3D50">
        <w:rPr>
          <w:lang w:val="es-ES"/>
        </w:rPr>
        <w:t>De los 180 compromisos sustantivos presentados por actores que no son Gobiernos nacionales, solo 1 tiene que ver principalmente con la meta 17. Ese compromiso es de una red de ONG con sede en Dinamarca, que presentó compromisos que abordan las 23 metas del Marco. La red se centra en promover el principio de precaución y garantizar que las nuevas tecnologías biológicas no perjudiquen inadvertidamente la integridad de los ecosistemas.</w:t>
      </w:r>
    </w:p>
    <w:p w14:paraId="15270A63" w14:textId="77777777" w:rsidR="009713BF" w:rsidRPr="005E3D50" w:rsidRDefault="009713BF" w:rsidP="009713BF">
      <w:pPr>
        <w:rPr>
          <w:lang w:val="es-ES"/>
        </w:rPr>
      </w:pPr>
    </w:p>
    <w:p w14:paraId="15C6425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50" w:name="_Toc235821266"/>
      <w:r w:rsidRPr="005E3D50">
        <w:rPr>
          <w:rFonts w:eastAsiaTheme="majorEastAsia" w:cstheme="majorBidi"/>
          <w:i/>
          <w:iCs/>
          <w:color w:val="595959" w:themeColor="text1" w:themeTint="A6"/>
          <w:lang w:val="es-ES"/>
        </w:rPr>
        <w:t>Contribuciones integradas en los informes nacionales</w:t>
      </w:r>
      <w:bookmarkEnd w:id="450"/>
    </w:p>
    <w:p w14:paraId="71ECF825" w14:textId="77777777" w:rsidR="009713BF" w:rsidRPr="005E3D50" w:rsidRDefault="009713BF" w:rsidP="009713BF">
      <w:pPr>
        <w:rPr>
          <w:lang w:val="es-ES"/>
        </w:rPr>
      </w:pPr>
    </w:p>
    <w:p w14:paraId="2AF8A824" w14:textId="77777777" w:rsidR="009713BF" w:rsidRPr="005E3D50" w:rsidRDefault="009713BF" w:rsidP="009713BF">
      <w:pPr>
        <w:rPr>
          <w:lang w:val="es-ES"/>
        </w:rPr>
      </w:pPr>
      <w:r w:rsidRPr="005E3D50">
        <w:rPr>
          <w:lang w:val="es-ES"/>
        </w:rPr>
        <w:t xml:space="preserve">Las organizaciones de investigación contribuyen en carácter de sedes y operadoras de laboratorios, integrantes institucionales de comités de seguridad de la biotecnología, encargadas de elaborar programas de estudios, generadoras de conocimientos y </w:t>
      </w:r>
      <w:r w:rsidRPr="005E3D50">
        <w:rPr>
          <w:spacing w:val="-4"/>
          <w:lang w:val="es-ES"/>
        </w:rPr>
        <w:t>asesoras científicas de organismos reguladores. Las organizaciones intergubernamentales</w:t>
      </w:r>
      <w:r w:rsidRPr="005E3D50">
        <w:rPr>
          <w:lang w:val="es-ES"/>
        </w:rPr>
        <w:t xml:space="preserve"> aportan mediante financiación para proyectos, asistencia técnica, donación de equipos, apoyo para la formulación de leyes y capacitación. Los ciudadanos y el público figuran </w:t>
      </w:r>
      <w:r w:rsidRPr="005E3D50">
        <w:rPr>
          <w:lang w:val="es-ES"/>
        </w:rPr>
        <w:lastRenderedPageBreak/>
        <w:t>principalmente como receptores de campañas de sensibilización y como sujetos de consulta en procedimientos normativos, aunque unos pocos informes mencionan instancias de ciencia ciudadana y deliberación del público. Los pueblos indígenas y las comunidades locales se mencionan como titulares de derechos en marcos de acceso y participación en los beneficios, y ocasionalmente como actores en la integración del consentimiento libre, previo e informado o en funciones de gobernanza conjunta. Las ONG figuran principalmente en calidad de participantes en talleres y a veces cumpliendo funciones de implementación conjunta de normas de seguridad de la biotecnología o en la ejecución de proyectos. Los gobiernos subnacionales, las ciudades y otras autoridades locales aparecen como actores de gobernanza conjunta en aquellos casos en que hay delegación de competencias.</w:t>
      </w:r>
    </w:p>
    <w:p w14:paraId="20573AE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4D7C8BB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Ejemplos de vínculos con otros acuerdos, procesos y organizaciones </w:t>
      </w:r>
    </w:p>
    <w:p w14:paraId="3E098BE1" w14:textId="77777777" w:rsidR="009713BF" w:rsidRPr="005E3D50" w:rsidRDefault="009713BF" w:rsidP="009713BF">
      <w:pPr>
        <w:rPr>
          <w:lang w:val="es-ES"/>
        </w:rPr>
      </w:pPr>
      <w:r w:rsidRPr="005E3D50">
        <w:rPr>
          <w:lang w:val="es-ES"/>
        </w:rPr>
        <w:t>La consecución de la meta 17 está estrechamente relacionada con la aplicación del Protocolo de Cartagena sobre Seguridad de la Biotecnología, un tratado internacional jurídicamente vinculante adoptado en el marco del Convenio sobre la Diversidad Biológica cuyo objetivo central es garantizar la seguridad en la manipulación, el transporte y la utilización de los organismos vivos modificados resultantes de la biotecnología moderna que puedan tener efectos adversos para la diversidad biológica, tomando también en cuenta los riesgos para la salud humana</w:t>
      </w:r>
      <w:r w:rsidRPr="005E3D50">
        <w:rPr>
          <w:vertAlign w:val="superscript"/>
          <w:lang w:val="es-ES"/>
        </w:rPr>
        <w:footnoteReference w:id="35"/>
      </w:r>
      <w:r w:rsidRPr="005E3D50">
        <w:rPr>
          <w:lang w:val="es-ES"/>
        </w:rPr>
        <w:t>. El Protocolo de Cartagena se adoptó en el año 2000 y entró en vigor en 2003. Actualmente, 173 de las 196 Partes en el Convenio son Partes en el Protocolo de Cartagena. El Protocolo de Nagoya-Kuala Lumpur sobre Responsabilidad y Compensación Suplementario al Protocolo de Cartagena sobre Seguridad de la Biotecnología, que se adoptó en 2010 y entró en vigor en 2018, tiene como objetivo contribuir a la conservación y utilización sostenible de la diversidad biológica proporcionando normas y procedimientos internacionales en la esfera de la responsabilidad y compensación en relación con daños resultantes de organismos vivos modificados cuyo origen provenga de movimientos transfronterizos</w:t>
      </w:r>
      <w:r w:rsidRPr="005E3D50">
        <w:rPr>
          <w:vertAlign w:val="superscript"/>
          <w:lang w:val="es-ES"/>
        </w:rPr>
        <w:footnoteReference w:id="36"/>
      </w:r>
      <w:r w:rsidRPr="005E3D50">
        <w:rPr>
          <w:lang w:val="es-ES"/>
        </w:rPr>
        <w:t>.</w:t>
      </w:r>
    </w:p>
    <w:p w14:paraId="0F4815C0" w14:textId="77777777" w:rsidR="009713BF" w:rsidRPr="005E3D50" w:rsidRDefault="009713BF" w:rsidP="009713BF">
      <w:pPr>
        <w:rPr>
          <w:lang w:val="es-ES"/>
        </w:rPr>
      </w:pPr>
    </w:p>
    <w:p w14:paraId="5B772683"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451" w:name="_Toc235821267"/>
      <w:bookmarkStart w:id="452" w:name="_Ref236137031"/>
      <w:bookmarkStart w:id="453" w:name="_Ref236153916"/>
      <w:bookmarkStart w:id="454" w:name="_Toc239069214"/>
      <w:bookmarkStart w:id="455" w:name="_Toc141907097"/>
      <w:bookmarkStart w:id="456" w:name="_Toc242882992"/>
      <w:r w:rsidRPr="005E3D50">
        <w:rPr>
          <w:rFonts w:eastAsiaTheme="majorEastAsia" w:cstheme="majorBidi"/>
          <w:b/>
          <w:iCs/>
          <w:color w:val="0F4761" w:themeColor="accent1" w:themeShade="BF"/>
          <w:lang w:val="es-ES"/>
        </w:rPr>
        <w:t>Meta 18.</w:t>
      </w:r>
      <w:r w:rsidRPr="005E3D50">
        <w:rPr>
          <w:rFonts w:eastAsiaTheme="majorEastAsia" w:cstheme="majorBidi"/>
          <w:iCs/>
          <w:color w:val="0F4761" w:themeColor="accent1" w:themeShade="BF"/>
          <w:lang w:val="es-ES"/>
        </w:rPr>
        <w:t xml:space="preserve"> Reducir los incentivos perjudiciales en al menos 500.000 millones de dólares de los Estados Unidos al año y aumentar los incentivos positivos para la biodiversidad</w:t>
      </w:r>
      <w:bookmarkEnd w:id="451"/>
      <w:bookmarkEnd w:id="452"/>
      <w:bookmarkEnd w:id="453"/>
      <w:bookmarkEnd w:id="454"/>
      <w:bookmarkEnd w:id="455"/>
      <w:bookmarkEnd w:id="456"/>
    </w:p>
    <w:p w14:paraId="050D5F89" w14:textId="77777777" w:rsidR="009713BF" w:rsidRPr="005E3D50" w:rsidRDefault="009713BF" w:rsidP="009713BF">
      <w:pPr>
        <w:rPr>
          <w:b/>
          <w:sz w:val="22"/>
          <w:lang w:val="es-ES"/>
        </w:rPr>
      </w:pPr>
      <w:bookmarkStart w:id="457" w:name="_Toc235821268"/>
    </w:p>
    <w:p w14:paraId="6D16CC7B" w14:textId="77777777" w:rsidR="009713BF" w:rsidRPr="005E3D50" w:rsidRDefault="009713BF" w:rsidP="009713BF">
      <w:pPr>
        <w:widowControl w:val="0"/>
        <w:rPr>
          <w:i/>
          <w:iCs/>
          <w:sz w:val="22"/>
          <w:szCs w:val="22"/>
          <w:lang w:val="es-ES"/>
        </w:rPr>
      </w:pPr>
      <w:r w:rsidRPr="005E3D50">
        <w:rPr>
          <w:b/>
          <w:sz w:val="22"/>
          <w:lang w:val="es-ES"/>
        </w:rPr>
        <w:t>Texto de la meta.</w:t>
      </w:r>
      <w:r w:rsidRPr="005E3D50">
        <w:rPr>
          <w:i/>
          <w:sz w:val="22"/>
          <w:lang w:val="es-ES"/>
        </w:rPr>
        <w:t xml:space="preserve"> Identificar para 2025 y eliminar, eliminar gradualmente o reformar los incentivos, </w:t>
      </w:r>
      <w:r w:rsidRPr="005E3D50">
        <w:rPr>
          <w:i/>
          <w:sz w:val="22"/>
          <w:lang w:val="es-ES"/>
        </w:rPr>
        <w:lastRenderedPageBreak/>
        <w:t>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p w14:paraId="1EAF6FF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bookmarkEnd w:id="457"/>
    </w:p>
    <w:tbl>
      <w:tblPr>
        <w:tblStyle w:val="TableGrid"/>
        <w:tblW w:w="0" w:type="auto"/>
        <w:tblLook w:val="04A0" w:firstRow="1" w:lastRow="0" w:firstColumn="1" w:lastColumn="0" w:noHBand="0" w:noVBand="1"/>
      </w:tblPr>
      <w:tblGrid>
        <w:gridCol w:w="9016"/>
      </w:tblGrid>
      <w:tr w:rsidR="009713BF" w:rsidRPr="005E3D50" w14:paraId="18D801A1" w14:textId="77777777" w:rsidTr="006E6831">
        <w:tc>
          <w:tcPr>
            <w:tcW w:w="9016" w:type="dxa"/>
            <w:shd w:val="clear" w:color="auto" w:fill="D1D1D1" w:themeFill="background2" w:themeFillShade="E6"/>
          </w:tcPr>
          <w:p w14:paraId="4B680690" w14:textId="77777777" w:rsidR="009713BF" w:rsidRPr="005E3D50" w:rsidRDefault="009713BF" w:rsidP="009713BF">
            <w:pPr>
              <w:rPr>
                <w:rFonts w:ascii="Aptos" w:eastAsia="Times New Roman" w:hAnsi="Aptos" w:cs="Aparajita"/>
                <w:color w:val="000000"/>
                <w:lang w:val="es-ES"/>
              </w:rPr>
            </w:pPr>
          </w:p>
          <w:p w14:paraId="70D0B15B" w14:textId="77777777" w:rsidR="009713BF" w:rsidRPr="005E3D50" w:rsidRDefault="009713BF" w:rsidP="009713BF">
            <w:pPr>
              <w:rPr>
                <w:lang w:val="es-ES"/>
              </w:rPr>
            </w:pPr>
            <w:r w:rsidRPr="005E3D50">
              <w:rPr>
                <w:lang w:val="es-ES"/>
              </w:rPr>
              <w:t>Se han logrado progresos limitados en el aumento de los incentivos positivos y en la identificación y reforma de los incentivos perjudiciales. Los datos empíricos disponibles sugieren que el hito de 2025 referido a la identificación de incentivos, incluidos subsidios, que son perjudiciales para la diversidad biológica, no se habría alcanzado. Los elementos de la meta 18 se abordan en forma desigual en las metas nacionales. La información presentada para los indicadores muestra un aumento en el número de incentivos positivos, pero el valor de los subsidios y otros incentivos comunicados que son perjudiciales para la diversidad biológica sigue siendo considerable. Las autoevaluaciones indican que solo una cuarta parte de las metas nacionales presentadas como altamente armonizadas con la meta 18 están en vías de alcanzarse, mientras que en la mayoría se registran progresos insuficientes. Las principales dificultades tienen que ver con la identificación, la cuantificación y la reforma de subsidios perjudiciales.</w:t>
            </w:r>
          </w:p>
          <w:p w14:paraId="1130D13E" w14:textId="77777777" w:rsidR="009713BF" w:rsidRPr="005E3D50" w:rsidRDefault="009713BF" w:rsidP="009713BF">
            <w:pPr>
              <w:rPr>
                <w:lang w:val="es-ES"/>
              </w:rPr>
            </w:pPr>
          </w:p>
        </w:tc>
      </w:tr>
    </w:tbl>
    <w:p w14:paraId="31C3499E" w14:textId="77777777" w:rsidR="009713BF" w:rsidRPr="005E3D50" w:rsidRDefault="009713BF" w:rsidP="009713BF">
      <w:pPr>
        <w:rPr>
          <w:lang w:val="es-ES"/>
        </w:rPr>
      </w:pPr>
    </w:p>
    <w:p w14:paraId="2BEBFAD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18 del Marco en sus metas nacionales</w:t>
      </w:r>
    </w:p>
    <w:p w14:paraId="17036FD7" w14:textId="77777777" w:rsidR="009713BF" w:rsidRPr="005E3D50" w:rsidRDefault="009713BF" w:rsidP="009713BF">
      <w:pPr>
        <w:rPr>
          <w:i/>
          <w:iCs/>
          <w:sz w:val="22"/>
          <w:szCs w:val="22"/>
          <w:lang w:val="es-ES"/>
        </w:rPr>
      </w:pPr>
    </w:p>
    <w:p w14:paraId="79E63B22"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bookmarkStart w:id="458" w:name="_Ref230779533"/>
      <w:r w:rsidRPr="005E3D50">
        <w:rPr>
          <w:rFonts w:eastAsiaTheme="minorEastAsia"/>
          <w:iCs/>
          <w:color w:val="0E2841" w:themeColor="text2"/>
          <w:kern w:val="0"/>
          <w:sz w:val="20"/>
          <w:szCs w:val="18"/>
          <w:lang w:val="es-ES" w:eastAsia="ja-JP"/>
          <w14:ligatures w14:val="none"/>
        </w:rPr>
        <w:t>Cuadro 39</w:t>
      </w:r>
      <w:bookmarkEnd w:id="458"/>
      <w:r w:rsidRPr="005E3D50">
        <w:rPr>
          <w:rFonts w:eastAsiaTheme="minorEastAsia"/>
          <w:iCs/>
          <w:color w:val="0E2841" w:themeColor="text2"/>
          <w:kern w:val="0"/>
          <w:sz w:val="20"/>
          <w:szCs w:val="18"/>
          <w:lang w:val="es-ES" w:eastAsia="ja-JP"/>
          <w14:ligatures w14:val="none"/>
        </w:rPr>
        <w:t xml:space="preserve"> </w:t>
      </w:r>
    </w:p>
    <w:p w14:paraId="107771C1"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18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9713BF" w:rsidRPr="005E3D50" w14:paraId="295F4B40" w14:textId="77777777" w:rsidTr="006E6831">
        <w:tc>
          <w:tcPr>
            <w:tcW w:w="8359" w:type="dxa"/>
          </w:tcPr>
          <w:p w14:paraId="11A97330" w14:textId="1D4AD8D3" w:rsidR="009713BF" w:rsidRPr="00434492" w:rsidRDefault="009713BF" w:rsidP="009713BF">
            <w:pPr>
              <w:rPr>
                <w:rFonts w:cs="Times New Roman"/>
                <w:kern w:val="0"/>
                <w:sz w:val="22"/>
                <w:szCs w:val="22"/>
                <w:lang w:val="es-ES"/>
              </w:rPr>
            </w:pPr>
            <w:r w:rsidRPr="005E3D50">
              <w:rPr>
                <w:sz w:val="22"/>
                <w:lang w:val="es-ES"/>
              </w:rPr>
              <w:t>Identificar para 2025 los incentivos, entre ellos los subsidios, perjudiciales para la diversidad biológica</w:t>
            </w:r>
          </w:p>
        </w:tc>
        <w:tc>
          <w:tcPr>
            <w:tcW w:w="657" w:type="dxa"/>
            <w:shd w:val="clear" w:color="auto" w:fill="FFC000"/>
          </w:tcPr>
          <w:p w14:paraId="2CB4A65F" w14:textId="77777777" w:rsidR="009713BF" w:rsidRPr="005E3D50" w:rsidRDefault="009713BF" w:rsidP="009713BF">
            <w:pPr>
              <w:rPr>
                <w:sz w:val="22"/>
                <w:szCs w:val="22"/>
                <w:lang w:val="es-ES"/>
              </w:rPr>
            </w:pPr>
            <w:r w:rsidRPr="005E3D50">
              <w:rPr>
                <w:sz w:val="22"/>
                <w:lang w:val="es-ES"/>
              </w:rPr>
              <w:t>39</w:t>
            </w:r>
          </w:p>
        </w:tc>
      </w:tr>
      <w:tr w:rsidR="009713BF" w:rsidRPr="005E3D50" w14:paraId="48C18D6E" w14:textId="77777777" w:rsidTr="006E6831">
        <w:tc>
          <w:tcPr>
            <w:tcW w:w="8359" w:type="dxa"/>
          </w:tcPr>
          <w:p w14:paraId="47D6ADB1" w14:textId="77777777" w:rsidR="009713BF" w:rsidRPr="005E3D50" w:rsidRDefault="009713BF" w:rsidP="009713BF">
            <w:pPr>
              <w:rPr>
                <w:sz w:val="22"/>
                <w:szCs w:val="22"/>
                <w:lang w:val="es-ES"/>
              </w:rPr>
            </w:pPr>
            <w:r w:rsidRPr="005E3D50">
              <w:rPr>
                <w:sz w:val="22"/>
                <w:lang w:val="es-ES"/>
              </w:rPr>
              <w:t>Eliminar, eliminar gradualmente o reformar los incentivos, entre ellos los subsidios, perjudiciales para la diversidad biológica de manera proporcionada, justa y equitativa</w:t>
            </w:r>
          </w:p>
        </w:tc>
        <w:tc>
          <w:tcPr>
            <w:tcW w:w="657" w:type="dxa"/>
            <w:shd w:val="clear" w:color="auto" w:fill="FFFF00"/>
          </w:tcPr>
          <w:p w14:paraId="11D2382B" w14:textId="77777777" w:rsidR="009713BF" w:rsidRPr="005E3D50" w:rsidRDefault="009713BF" w:rsidP="009713BF">
            <w:pPr>
              <w:rPr>
                <w:sz w:val="22"/>
                <w:szCs w:val="22"/>
                <w:lang w:val="es-ES"/>
              </w:rPr>
            </w:pPr>
            <w:r w:rsidRPr="005E3D50">
              <w:rPr>
                <w:sz w:val="22"/>
                <w:lang w:val="es-ES"/>
              </w:rPr>
              <w:t>48</w:t>
            </w:r>
          </w:p>
        </w:tc>
      </w:tr>
      <w:tr w:rsidR="009713BF" w:rsidRPr="005E3D50" w14:paraId="0247814C" w14:textId="77777777" w:rsidTr="006E6831">
        <w:tc>
          <w:tcPr>
            <w:tcW w:w="8359" w:type="dxa"/>
          </w:tcPr>
          <w:p w14:paraId="445B9D90"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Reducir sustancial y progresivamente en al menos 500.000 millones de dólares al año para 2030 los incentivos, entre ellos los subsidios, perjudiciales para la diversidad biológica</w:t>
            </w:r>
          </w:p>
        </w:tc>
        <w:tc>
          <w:tcPr>
            <w:tcW w:w="657" w:type="dxa"/>
            <w:shd w:val="clear" w:color="auto" w:fill="FFC000"/>
          </w:tcPr>
          <w:p w14:paraId="09B866AC" w14:textId="77777777" w:rsidR="009713BF" w:rsidRPr="005E3D50" w:rsidRDefault="009713BF" w:rsidP="009713BF">
            <w:pPr>
              <w:rPr>
                <w:sz w:val="22"/>
                <w:szCs w:val="22"/>
                <w:lang w:val="es-ES"/>
              </w:rPr>
            </w:pPr>
            <w:r w:rsidRPr="005E3D50">
              <w:rPr>
                <w:sz w:val="22"/>
                <w:lang w:val="es-ES"/>
              </w:rPr>
              <w:t>27</w:t>
            </w:r>
          </w:p>
        </w:tc>
      </w:tr>
      <w:tr w:rsidR="009713BF" w:rsidRPr="005E3D50" w14:paraId="03B584FB" w14:textId="77777777" w:rsidTr="006E6831">
        <w:tc>
          <w:tcPr>
            <w:tcW w:w="8359" w:type="dxa"/>
          </w:tcPr>
          <w:p w14:paraId="576E1AC1" w14:textId="0CFE0F1A" w:rsidR="009713BF" w:rsidRPr="00434492" w:rsidRDefault="009713BF" w:rsidP="00434492">
            <w:pPr>
              <w:autoSpaceDE w:val="0"/>
              <w:autoSpaceDN w:val="0"/>
              <w:adjustRightInd w:val="0"/>
              <w:rPr>
                <w:rFonts w:cs="Times New Roman"/>
                <w:kern w:val="0"/>
                <w:sz w:val="22"/>
                <w:szCs w:val="22"/>
                <w:lang w:val="es-ES"/>
              </w:rPr>
            </w:pPr>
            <w:r w:rsidRPr="005E3D50">
              <w:rPr>
                <w:sz w:val="22"/>
                <w:lang w:val="es-ES"/>
              </w:rPr>
              <w:t>Aumentar los incentivos positivos para la conservación y la utilización sostenible de la diversidad biológica</w:t>
            </w:r>
          </w:p>
        </w:tc>
        <w:tc>
          <w:tcPr>
            <w:tcW w:w="657" w:type="dxa"/>
            <w:shd w:val="clear" w:color="auto" w:fill="FFFF00"/>
          </w:tcPr>
          <w:p w14:paraId="3605485A" w14:textId="77777777" w:rsidR="009713BF" w:rsidRPr="005E3D50" w:rsidRDefault="009713BF" w:rsidP="009713BF">
            <w:pPr>
              <w:rPr>
                <w:sz w:val="22"/>
                <w:szCs w:val="22"/>
                <w:lang w:val="es-ES"/>
              </w:rPr>
            </w:pPr>
            <w:r w:rsidRPr="005E3D50">
              <w:rPr>
                <w:sz w:val="22"/>
                <w:lang w:val="es-ES"/>
              </w:rPr>
              <w:t>58</w:t>
            </w:r>
          </w:p>
        </w:tc>
      </w:tr>
      <w:tr w:rsidR="009713BF" w:rsidRPr="005E3D50" w14:paraId="55121547" w14:textId="77777777" w:rsidTr="006E6831">
        <w:tc>
          <w:tcPr>
            <w:tcW w:w="9016" w:type="dxa"/>
            <w:gridSpan w:val="2"/>
          </w:tcPr>
          <w:p w14:paraId="65BB5451" w14:textId="77777777" w:rsidR="009713BF" w:rsidRPr="005E3D50" w:rsidRDefault="009713BF" w:rsidP="009713BF">
            <w:pPr>
              <w:rPr>
                <w:sz w:val="22"/>
                <w:szCs w:val="22"/>
                <w:lang w:val="es-ES"/>
              </w:rPr>
            </w:pPr>
          </w:p>
          <w:p w14:paraId="5E9E9E09"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43 % de estos elementos en sus metas nacionales</w:t>
            </w:r>
          </w:p>
          <w:p w14:paraId="0621ADB8" w14:textId="77777777" w:rsidR="009713BF" w:rsidRPr="005E3D50" w:rsidRDefault="009713BF" w:rsidP="009713BF">
            <w:pPr>
              <w:rPr>
                <w:sz w:val="22"/>
                <w:szCs w:val="22"/>
                <w:lang w:val="es-ES"/>
              </w:rPr>
            </w:pPr>
          </w:p>
        </w:tc>
      </w:tr>
    </w:tbl>
    <w:p w14:paraId="31C72FCB" w14:textId="77777777" w:rsidR="009713BF" w:rsidRPr="005E3D50" w:rsidRDefault="009713BF" w:rsidP="009713BF">
      <w:pPr>
        <w:spacing w:after="0"/>
        <w:rPr>
          <w:lang w:val="es-ES"/>
        </w:rPr>
      </w:pPr>
    </w:p>
    <w:p w14:paraId="418140E8" w14:textId="77777777" w:rsidR="009713BF" w:rsidRPr="005E3D50" w:rsidRDefault="009713BF" w:rsidP="009713BF">
      <w:pPr>
        <w:rPr>
          <w:iCs/>
          <w:sz w:val="16"/>
          <w:szCs w:val="16"/>
          <w:lang w:val="es-ES"/>
        </w:rPr>
      </w:pPr>
      <w:r w:rsidRPr="005E3D50">
        <w:rPr>
          <w:i/>
          <w:sz w:val="16"/>
          <w:lang w:val="es-ES"/>
        </w:rPr>
        <w:lastRenderedPageBreak/>
        <w:t>Nota</w:t>
      </w:r>
      <w:r w:rsidRPr="005E3D50">
        <w:rPr>
          <w:sz w:val="16"/>
          <w:lang w:val="es-ES"/>
        </w:rPr>
        <w:t>: La columna de la derecha indica el porcentaje de Partes con metas nacionales que abordan al menos en cierta medida el elemento correspondiente.</w:t>
      </w:r>
    </w:p>
    <w:p w14:paraId="16A3ED09"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77"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78"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29C92333" w14:textId="77777777" w:rsidR="009713BF" w:rsidRPr="005E3D50" w:rsidRDefault="009713BF" w:rsidP="009713BF">
      <w:pPr>
        <w:rPr>
          <w:lang w:val="es-ES"/>
        </w:rPr>
      </w:pPr>
    </w:p>
    <w:p w14:paraId="24582675" w14:textId="77777777" w:rsidR="009713BF" w:rsidRPr="005E3D50" w:rsidRDefault="009713BF" w:rsidP="009713BF">
      <w:pPr>
        <w:rPr>
          <w:spacing w:val="-2"/>
          <w:lang w:val="es-ES"/>
        </w:rPr>
      </w:pPr>
      <w:r w:rsidRPr="005E3D50">
        <w:rPr>
          <w:spacing w:val="-2"/>
          <w:lang w:val="es-ES"/>
        </w:rPr>
        <w:t xml:space="preserve">Las Partes abordan los elementos de la meta 18 en sus metas nacionales en forma despareja (véase el cuadro 39). La mayor proporción de Partes (58 %) tienen metas nacionales que abordan en cierta medida el aumento de los incentivos positivos para la conservación y la utilización sostenible de la diversidad biológica. Menos de la mitad (48 %) fijaron metas nacionales referidas a la eliminación, eliminación gradual o reforma de los incentivos, entre ellos los subsidios, perjudiciales para la diversidad biológica de manera proporcionada, justa y equitativa. El elemento de la meta 18 con plazo para 2025, a saber, la identificación de incentivos </w:t>
      </w:r>
      <w:proofErr w:type="gramStart"/>
      <w:r w:rsidRPr="005E3D50">
        <w:rPr>
          <w:spacing w:val="-2"/>
          <w:lang w:val="es-ES"/>
        </w:rPr>
        <w:t>perjudiciales,</w:t>
      </w:r>
      <w:proofErr w:type="gramEnd"/>
      <w:r w:rsidRPr="005E3D50">
        <w:rPr>
          <w:spacing w:val="-2"/>
          <w:lang w:val="es-ES"/>
        </w:rPr>
        <w:t xml:space="preserve"> se aborda en cierta medida en las metas nacionales del 39 % de las Partes. El elemento que menos Partes abordan (27 %) tiene que ver con la reducción sustancial y progresiva de subsidios perjudiciales en al menos 500.000 millones de dólares a nivel mundial para 2030.</w:t>
      </w:r>
    </w:p>
    <w:p w14:paraId="64C8228E" w14:textId="77777777" w:rsidR="009713BF" w:rsidRPr="005E3D50" w:rsidRDefault="009713BF" w:rsidP="009713BF">
      <w:pPr>
        <w:rPr>
          <w:lang w:val="es-ES"/>
        </w:rPr>
      </w:pPr>
      <w:bookmarkStart w:id="459" w:name="_Toc235821270"/>
      <w:r w:rsidRPr="005E3D50">
        <w:rPr>
          <w:lang w:val="es-ES"/>
        </w:rPr>
        <w:t xml:space="preserve">Muy pocas Partes (5 %) han establecido metas nacionales cuantitativas de reducción de incentivos, entre ellos subsidios, que son perjudiciales para la diversidad biológica. Los valores fijados por esas Partes van del 10 % al 50 % de reducción de incentivos perjudiciales. </w:t>
      </w:r>
    </w:p>
    <w:p w14:paraId="6CE2896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49BF5E16"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Indicadores de progresos</w:t>
      </w:r>
      <w:bookmarkEnd w:id="459"/>
    </w:p>
    <w:p w14:paraId="4D894816"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269F4285"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bookmarkStart w:id="460" w:name="_Ref238753575"/>
      <w:r w:rsidRPr="005E3D50">
        <w:rPr>
          <w:rFonts w:eastAsiaTheme="minorEastAsia"/>
          <w:iCs/>
          <w:color w:val="0E2841" w:themeColor="text2"/>
          <w:kern w:val="0"/>
          <w:sz w:val="20"/>
          <w:szCs w:val="18"/>
          <w:lang w:val="es-ES" w:eastAsia="ja-JP"/>
          <w14:ligatures w14:val="none"/>
        </w:rPr>
        <w:t>Cuadro 40</w:t>
      </w:r>
      <w:bookmarkEnd w:id="460"/>
      <w:r w:rsidRPr="005E3D50">
        <w:rPr>
          <w:rFonts w:eastAsiaTheme="minorEastAsia"/>
          <w:iCs/>
          <w:color w:val="0E2841" w:themeColor="text2"/>
          <w:kern w:val="0"/>
          <w:sz w:val="20"/>
          <w:szCs w:val="18"/>
          <w:lang w:val="es-ES" w:eastAsia="ja-JP"/>
          <w14:ligatures w14:val="none"/>
        </w:rPr>
        <w:t xml:space="preserve"> </w:t>
      </w:r>
    </w:p>
    <w:p w14:paraId="46C7A994"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18 del Marco</w:t>
      </w:r>
    </w:p>
    <w:p w14:paraId="74C1749E" w14:textId="77777777" w:rsidR="009713BF" w:rsidRPr="005E3D50" w:rsidRDefault="009713BF" w:rsidP="009713BF">
      <w:pPr>
        <w:rPr>
          <w:lang w:val="es-ES" w:eastAsia="ja-JP"/>
        </w:rPr>
      </w:pPr>
    </w:p>
    <w:tbl>
      <w:tblPr>
        <w:tblW w:w="9918" w:type="dxa"/>
        <w:tblLook w:val="04A0" w:firstRow="1" w:lastRow="0" w:firstColumn="1" w:lastColumn="0" w:noHBand="0" w:noVBand="1"/>
      </w:tblPr>
      <w:tblGrid>
        <w:gridCol w:w="3240"/>
        <w:gridCol w:w="2709"/>
        <w:gridCol w:w="567"/>
        <w:gridCol w:w="2835"/>
        <w:gridCol w:w="567"/>
      </w:tblGrid>
      <w:tr w:rsidR="009713BF" w:rsidRPr="005E3D50" w14:paraId="6150C49D"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3CA3DA2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74F483F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6376D83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21376112"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939BB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18.1: incentivos positivos establecidos para promover la conservación y la utilización sostenible de la diversidad biológica</w:t>
            </w:r>
          </w:p>
        </w:tc>
        <w:tc>
          <w:tcPr>
            <w:tcW w:w="2709" w:type="dxa"/>
            <w:tcBorders>
              <w:top w:val="single" w:sz="4" w:space="0" w:color="auto"/>
              <w:left w:val="nil"/>
              <w:bottom w:val="single" w:sz="4" w:space="0" w:color="auto"/>
              <w:right w:val="single" w:sz="4" w:space="0" w:color="auto"/>
            </w:tcBorders>
            <w:vAlign w:val="center"/>
            <w:hideMark/>
          </w:tcPr>
          <w:p w14:paraId="23C8BB48"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30 % de las Partes</w:t>
            </w:r>
          </w:p>
        </w:tc>
        <w:tc>
          <w:tcPr>
            <w:tcW w:w="567" w:type="dxa"/>
            <w:tcBorders>
              <w:top w:val="single" w:sz="4" w:space="0" w:color="auto"/>
              <w:left w:val="nil"/>
              <w:bottom w:val="single" w:sz="4" w:space="0" w:color="auto"/>
              <w:right w:val="nil"/>
            </w:tcBorders>
            <w:shd w:val="clear" w:color="auto" w:fill="C00000"/>
            <w:vAlign w:val="center"/>
            <w:hideMark/>
          </w:tcPr>
          <w:p w14:paraId="66C574D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4021864C"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Aumento año a año hasta un total de 548 en 2025</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6129F20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33EC6C13"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493B78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lastRenderedPageBreak/>
              <w:t>Indicador de cabecera 18.2: valor de subsidios y otros incentivos perjudiciales para la diversidad biológica</w:t>
            </w:r>
          </w:p>
        </w:tc>
        <w:tc>
          <w:tcPr>
            <w:tcW w:w="2709" w:type="dxa"/>
            <w:tcBorders>
              <w:top w:val="nil"/>
              <w:left w:val="nil"/>
              <w:bottom w:val="single" w:sz="4" w:space="0" w:color="auto"/>
              <w:right w:val="single" w:sz="4" w:space="0" w:color="auto"/>
            </w:tcBorders>
            <w:vAlign w:val="center"/>
            <w:hideMark/>
          </w:tcPr>
          <w:p w14:paraId="11F53EB1"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19 % de las Partes, que representan el 25 % del PIB de todas las Partes</w:t>
            </w:r>
          </w:p>
        </w:tc>
        <w:tc>
          <w:tcPr>
            <w:tcW w:w="567" w:type="dxa"/>
            <w:tcBorders>
              <w:top w:val="nil"/>
              <w:left w:val="nil"/>
              <w:bottom w:val="single" w:sz="4" w:space="0" w:color="auto"/>
              <w:right w:val="single" w:sz="4" w:space="0" w:color="auto"/>
            </w:tcBorders>
            <w:shd w:val="clear" w:color="000000" w:fill="C00000"/>
            <w:vAlign w:val="center"/>
            <w:hideMark/>
          </w:tcPr>
          <w:p w14:paraId="0872D50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nil"/>
              <w:left w:val="nil"/>
              <w:bottom w:val="single" w:sz="4" w:space="0" w:color="auto"/>
              <w:right w:val="single" w:sz="4" w:space="0" w:color="auto"/>
            </w:tcBorders>
            <w:vAlign w:val="center"/>
            <w:hideMark/>
          </w:tcPr>
          <w:p w14:paraId="3864623D"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Entre 2022 y 2025 se gastaron un total de 268.000 millones de dólares de los </w:t>
            </w:r>
            <w:proofErr w:type="gramStart"/>
            <w:r w:rsidRPr="005E3D50">
              <w:rPr>
                <w:sz w:val="20"/>
                <w:lang w:val="es-ES"/>
              </w:rPr>
              <w:t>EE.UU.</w:t>
            </w:r>
            <w:proofErr w:type="gramEnd"/>
            <w:r w:rsidRPr="005E3D50">
              <w:rPr>
                <w:sz w:val="20"/>
                <w:lang w:val="es-ES"/>
              </w:rPr>
              <w:t xml:space="preserve"> en subsidios perjudiciales</w:t>
            </w:r>
          </w:p>
        </w:tc>
        <w:tc>
          <w:tcPr>
            <w:tcW w:w="567" w:type="dxa"/>
            <w:tcBorders>
              <w:top w:val="nil"/>
              <w:left w:val="nil"/>
              <w:bottom w:val="single" w:sz="4" w:space="0" w:color="auto"/>
              <w:right w:val="single" w:sz="4" w:space="0" w:color="auto"/>
            </w:tcBorders>
            <w:shd w:val="clear" w:color="auto" w:fill="C00000"/>
            <w:vAlign w:val="center"/>
            <w:hideMark/>
          </w:tcPr>
          <w:p w14:paraId="7E198411"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5BDF7612"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FFADDF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709" w:type="dxa"/>
            <w:tcBorders>
              <w:top w:val="nil"/>
              <w:left w:val="nil"/>
              <w:bottom w:val="single" w:sz="4" w:space="0" w:color="auto"/>
              <w:right w:val="single" w:sz="4" w:space="0" w:color="auto"/>
            </w:tcBorders>
            <w:vAlign w:val="center"/>
            <w:hideMark/>
          </w:tcPr>
          <w:p w14:paraId="2621DDAB"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48 </w:t>
            </w:r>
            <w:proofErr w:type="gramStart"/>
            <w:r w:rsidRPr="005E3D50">
              <w:rPr>
                <w:sz w:val="20"/>
                <w:lang w:val="es-ES"/>
              </w:rPr>
              <w:t>Partes</w:t>
            </w:r>
            <w:proofErr w:type="gramEnd"/>
            <w:r w:rsidRPr="005E3D50">
              <w:rPr>
                <w:sz w:val="20"/>
                <w:lang w:val="es-ES"/>
              </w:rPr>
              <w:t>, 37 %</w:t>
            </w:r>
          </w:p>
        </w:tc>
        <w:tc>
          <w:tcPr>
            <w:tcW w:w="567" w:type="dxa"/>
            <w:tcBorders>
              <w:top w:val="nil"/>
              <w:left w:val="nil"/>
              <w:bottom w:val="single" w:sz="4" w:space="0" w:color="auto"/>
              <w:right w:val="nil"/>
            </w:tcBorders>
            <w:shd w:val="clear" w:color="000000" w:fill="FFC000"/>
            <w:vAlign w:val="center"/>
            <w:hideMark/>
          </w:tcPr>
          <w:p w14:paraId="7C419E8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7C6C27E3" w14:textId="77777777" w:rsidR="009713BF" w:rsidRPr="005E3D50" w:rsidRDefault="009713BF" w:rsidP="009713BF">
            <w:pPr>
              <w:jc w:val="center"/>
              <w:rPr>
                <w:sz w:val="20"/>
                <w:szCs w:val="20"/>
                <w:lang w:val="es-ES"/>
              </w:rPr>
            </w:pPr>
            <w:r w:rsidRPr="005E3D50">
              <w:rPr>
                <w:sz w:val="20"/>
                <w:lang w:val="es-ES"/>
              </w:rPr>
              <w:t>21 % registran tendencias positivas</w:t>
            </w:r>
          </w:p>
          <w:p w14:paraId="5C433729"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19 % registran tendencias negativas</w:t>
            </w:r>
          </w:p>
        </w:tc>
        <w:tc>
          <w:tcPr>
            <w:tcW w:w="567" w:type="dxa"/>
            <w:tcBorders>
              <w:top w:val="nil"/>
              <w:left w:val="nil"/>
              <w:bottom w:val="single" w:sz="4" w:space="0" w:color="auto"/>
              <w:right w:val="single" w:sz="4" w:space="0" w:color="auto"/>
            </w:tcBorders>
            <w:shd w:val="clear" w:color="000000" w:fill="C00000"/>
            <w:vAlign w:val="center"/>
            <w:hideMark/>
          </w:tcPr>
          <w:p w14:paraId="19A7F7F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26C1801C"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685C7767"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3E5DA454" w14:textId="77777777" w:rsidR="009713BF" w:rsidRPr="005E3D50" w:rsidRDefault="009713BF" w:rsidP="009713BF">
      <w:pPr>
        <w:rPr>
          <w:rFonts w:cs="Times New Roman"/>
          <w:kern w:val="0"/>
          <w:lang w:val="es-ES"/>
        </w:rPr>
      </w:pPr>
    </w:p>
    <w:p w14:paraId="2975F24C" w14:textId="77777777" w:rsidR="009713BF" w:rsidRPr="005E3D50" w:rsidRDefault="009713BF" w:rsidP="009713BF">
      <w:pPr>
        <w:rPr>
          <w:lang w:val="es-ES"/>
        </w:rPr>
      </w:pPr>
      <w:r w:rsidRPr="005E3D50">
        <w:rPr>
          <w:lang w:val="es-ES"/>
        </w:rPr>
        <w:t xml:space="preserve">Casi un tercio de las Partes proporcionaron datos sobre incentivos positivos (indicador de cabecera 18.1), </w:t>
      </w:r>
      <w:proofErr w:type="gramStart"/>
      <w:r w:rsidRPr="005E3D50">
        <w:rPr>
          <w:lang w:val="es-ES"/>
        </w:rPr>
        <w:t>un quinto de las Partes proporcionaron</w:t>
      </w:r>
      <w:proofErr w:type="gramEnd"/>
      <w:r w:rsidRPr="005E3D50">
        <w:rPr>
          <w:lang w:val="es-ES"/>
        </w:rPr>
        <w:t xml:space="preserve"> datos sobre subsidios perjudiciales (indicador de cabecera 18.2) y muchas Partes informaron que debido a cuestiones metodológicas tenían dificultades para rastrear y cuantificar subsidios relacionados con la diversidad biológica (véase el cuadro 40). La aplicación de enfoques metodológicos diferentes puede dar lugar a incoherencias en las estimaciones mundiales. Por otra parte, todos los valores comunicados deben considerarse subestimaciones ya que no representan a todas las Partes, no captan el espectro total de subsidios e incentivos que existen en todos los sectores y podrían no incluir todos los subsidios nacionales.</w:t>
      </w:r>
    </w:p>
    <w:p w14:paraId="2CDD27E6" w14:textId="77777777" w:rsidR="009713BF" w:rsidRPr="005E3D50" w:rsidRDefault="009713BF" w:rsidP="009713BF">
      <w:pPr>
        <w:rPr>
          <w:lang w:val="es-ES"/>
        </w:rPr>
      </w:pPr>
      <w:r w:rsidRPr="005E3D50">
        <w:rPr>
          <w:lang w:val="es-ES"/>
        </w:rPr>
        <w:t>Desde que se aprobó el Marco en 2022, las Partes han comunicado un aumento de más del 60 % en el número de incentivos existentes, registrándose, al año 2025, 548 incentivos positivos comunicados por 33 Partes (véase la figura 73). Esto podría ser una subrepresentación importante, ya que en 2024 la base de datos de la Organización de Cooperación y Desarrollo Económicos (OCDE) sobre instrumentos de políticas para el medio ambiente (Policy Instruments for the Environment) tenía registros de más de 869 incentivos positivos para la biodiversidad de un total de 100 países, incluidos subsidios favorables a la biodiversidad, pagos por servicios de los ecosistemas, impuestos y tasas, permisos negociables y compensaciones de diversidad biológica (véase la figura 74) (OCDE, 2024).</w:t>
      </w:r>
    </w:p>
    <w:p w14:paraId="3B5077AD" w14:textId="77777777" w:rsidR="009713BF" w:rsidRPr="005E3D50" w:rsidRDefault="009713BF" w:rsidP="009713BF">
      <w:pPr>
        <w:rPr>
          <w:lang w:val="es-ES"/>
        </w:rPr>
      </w:pPr>
      <w:r w:rsidRPr="005E3D50">
        <w:rPr>
          <w:lang w:val="es-ES"/>
        </w:rPr>
        <w:lastRenderedPageBreak/>
        <w:t xml:space="preserve">Con respecto a los incentivos, entre ellos los subsidios, perjudiciales para la diversidad biológica, las 22 Partes que presentaron información representan aproximadamente un cuarto del PIB mundial. Según los informes de esas Partes, entre 2022 y 2025 hubo un total acumulado de 268.000 millones de dólares disponibles para subsidios y otros incentivos perjudiciales para la diversidad biológica, lo que equivale a un promedio de 67.000 millones de dólares anuales. El valor de los subsidios y otros incentivos perjudiciales para la diversidad biológica osciló entre 0 % y 2,6 % del PIB anual. Estas cifras son probablemente subestimaciones importantes, dado que muchas Partes solo informaron sobre sectores en los ya se habían identificado subsidios y otros incentivos perjudiciales para la diversidad biológica, y señalaron que se requiere un análisis nacional más a fondo. Entre las Partes que presentaron información en forma sostenida entre 2022 y 2024, existe evidencia de que los subsidios y otros incentivos perjudiciales para la diversidad biológica se redujeron en aproximadamente un 20 %. </w:t>
      </w:r>
    </w:p>
    <w:p w14:paraId="190BE883" w14:textId="77777777" w:rsidR="009713BF" w:rsidRPr="005E3D50" w:rsidRDefault="009713BF" w:rsidP="009713BF">
      <w:pPr>
        <w:spacing w:after="0" w:line="276" w:lineRule="auto"/>
        <w:rPr>
          <w:rFonts w:eastAsia="Times New Roman" w:cs="Times New Roman"/>
          <w:color w:val="000000"/>
          <w:spacing w:val="-4"/>
          <w:kern w:val="0"/>
          <w:lang w:val="es-ES" w:eastAsia="en-GB"/>
          <w14:ligatures w14:val="none"/>
        </w:rPr>
      </w:pPr>
      <w:r w:rsidRPr="005E3D50">
        <w:rPr>
          <w:rFonts w:eastAsia="Times New Roman" w:cs="Times New Roman"/>
          <w:color w:val="000000"/>
          <w:kern w:val="0"/>
          <w:szCs w:val="17"/>
          <w:lang w:val="es-ES" w:eastAsia="en-GB"/>
          <w14:ligatures w14:val="none"/>
        </w:rPr>
        <w:t xml:space="preserve">A pesar de estas señales alentadoras, el valor de los subsidios comunicados sigue siendo mayor que los recursos que movilizan las Partes para la diversidad biológica (véase también la meta 19). Cabe advertir que estas dos cifras pueden corresponder a distintas Partes que presentan información, de manera que la comparación muestra solamente que existe una diferencia, pero no la dimensión de esa diferencia. En menos del 20 % de las Partes se registró una tendencia positiva en los indicadores que comunicaron en relación con la meta 18 (véase la figura 75). Además, la mayoría de los indicadores nacionales comunicados se centran en la identificación de subsidios perjudiciales y el aumento de los incentivos positivos; no se comunicaron indicadores sobre los elementos de la meta relacionados con la eliminación, la eliminación progresiva, la reforma o la reducción de subsidios perjudiciales. Esto estaría indicando </w:t>
      </w:r>
      <w:r w:rsidRPr="005E3D50">
        <w:rPr>
          <w:rFonts w:eastAsia="Times New Roman" w:cs="Times New Roman"/>
          <w:color w:val="000000"/>
          <w:spacing w:val="-4"/>
          <w:kern w:val="0"/>
          <w:szCs w:val="17"/>
          <w:lang w:val="es-ES" w:eastAsia="en-GB"/>
          <w14:ligatures w14:val="none"/>
        </w:rPr>
        <w:t>que los progresos generales en la consecución de la meta 18 siguen siendo insuficientes.</w:t>
      </w:r>
    </w:p>
    <w:p w14:paraId="78E3BA0F" w14:textId="77777777" w:rsidR="009713BF" w:rsidRPr="005E3D50" w:rsidRDefault="009713BF" w:rsidP="009713BF">
      <w:pPr>
        <w:spacing w:after="0" w:line="276" w:lineRule="auto"/>
        <w:rPr>
          <w:rFonts w:eastAsia="Times New Roman" w:cs="Times New Roman"/>
          <w:color w:val="000000"/>
          <w:kern w:val="0"/>
          <w:lang w:val="es-ES" w:eastAsia="en-GB"/>
          <w14:ligatures w14:val="none"/>
        </w:rPr>
      </w:pPr>
    </w:p>
    <w:p w14:paraId="5365D4CC" w14:textId="77777777" w:rsidR="009713BF" w:rsidRPr="005E3D50" w:rsidRDefault="009713BF" w:rsidP="009713BF">
      <w:pPr>
        <w:spacing w:after="0" w:line="276" w:lineRule="auto"/>
        <w:rPr>
          <w:rFonts w:eastAsia="Times New Roman" w:cs="Times New Roman"/>
          <w:color w:val="000000"/>
          <w:kern w:val="0"/>
          <w:lang w:val="es-ES" w:eastAsia="en-GB"/>
          <w14:ligatures w14:val="none"/>
        </w:rPr>
      </w:pPr>
      <w:bookmarkStart w:id="461" w:name="_Ref238754264"/>
      <w:r w:rsidRPr="005E3D50">
        <w:rPr>
          <w:rFonts w:eastAsia="Times New Roman" w:cs="Times New Roman"/>
          <w:color w:val="000000"/>
          <w:kern w:val="0"/>
          <w:szCs w:val="17"/>
          <w:lang w:val="es-ES" w:eastAsia="en-GB"/>
          <w14:ligatures w14:val="none"/>
        </w:rPr>
        <w:t>Figura 73</w:t>
      </w:r>
      <w:bookmarkEnd w:id="461"/>
    </w:p>
    <w:p w14:paraId="04A17FFD" w14:textId="77777777" w:rsidR="009713BF" w:rsidRPr="005E3D50" w:rsidRDefault="009713BF" w:rsidP="009713BF">
      <w:pPr>
        <w:rPr>
          <w:b/>
          <w:bCs/>
          <w:lang w:val="es-ES"/>
        </w:rPr>
      </w:pPr>
      <w:r w:rsidRPr="005E3D50">
        <w:rPr>
          <w:b/>
          <w:lang w:val="es-ES"/>
        </w:rPr>
        <w:t>Indicador de cabecera 18.1: incentivos positivos establecidos para promover la conservación y la utilización sostenible de la diversidad biológica</w:t>
      </w:r>
    </w:p>
    <w:p w14:paraId="42B7B346" w14:textId="77777777" w:rsidR="009713BF" w:rsidRPr="005E3D50" w:rsidRDefault="009713BF" w:rsidP="009713BF">
      <w:pPr>
        <w:spacing w:after="0" w:line="276" w:lineRule="auto"/>
        <w:rPr>
          <w:rFonts w:eastAsia="Times New Roman" w:cs="Times New Roman"/>
          <w:color w:val="000000"/>
          <w:kern w:val="0"/>
          <w:lang w:val="es-ES" w:eastAsia="en-GB"/>
          <w14:ligatures w14:val="none"/>
        </w:rPr>
      </w:pPr>
    </w:p>
    <w:p w14:paraId="1C655E45" w14:textId="77777777" w:rsidR="009713BF" w:rsidRPr="005E3D50" w:rsidRDefault="009713BF" w:rsidP="009713BF">
      <w:pPr>
        <w:spacing w:after="0" w:line="240" w:lineRule="auto"/>
        <w:textAlignment w:val="baseline"/>
        <w:rPr>
          <w:rFonts w:ascii="Aptos" w:eastAsia="Times New Roman" w:hAnsi="Aptos" w:cs="Segoe UI"/>
          <w:kern w:val="0"/>
          <w:sz w:val="18"/>
          <w:szCs w:val="18"/>
          <w:lang w:val="es-ES"/>
          <w14:ligatures w14:val="none"/>
        </w:rPr>
      </w:pPr>
      <w:r w:rsidRPr="005E3D50">
        <w:rPr>
          <w:rFonts w:ascii="Aptos" w:eastAsia="Times New Roman" w:hAnsi="Aptos" w:cs="Times New Roman"/>
          <w:kern w:val="0"/>
          <w:lang w:val="es-ES"/>
          <w14:ligatures w14:val="none"/>
        </w:rPr>
        <w:lastRenderedPageBreak/>
        <w:t> </w:t>
      </w:r>
      <w:r w:rsidRPr="005E3D50">
        <w:rPr>
          <w:rFonts w:ascii="Times New Roman" w:eastAsia="Times New Roman" w:hAnsi="Times New Roman" w:cs="Times New Roman"/>
          <w:noProof/>
          <w:kern w:val="0"/>
          <w:sz w:val="18"/>
          <w:lang w:val="en-US"/>
          <w14:ligatures w14:val="none"/>
        </w:rPr>
        <w:drawing>
          <wp:inline distT="0" distB="0" distL="0" distR="0" wp14:anchorId="55A7353C" wp14:editId="0AB21B7D">
            <wp:extent cx="4834328" cy="3626014"/>
            <wp:effectExtent l="0" t="0" r="4445" b="6350"/>
            <wp:docPr id="1677787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87870" name="Picture 1677787870"/>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4860919" cy="3645959"/>
                    </a:xfrm>
                    <a:prstGeom prst="rect">
                      <a:avLst/>
                    </a:prstGeom>
                  </pic:spPr>
                </pic:pic>
              </a:graphicData>
            </a:graphic>
          </wp:inline>
        </w:drawing>
      </w:r>
    </w:p>
    <w:p w14:paraId="77DE4EBC" w14:textId="77777777" w:rsidR="009713BF" w:rsidRPr="005E3D50" w:rsidRDefault="009713BF" w:rsidP="009713BF">
      <w:pPr>
        <w:rPr>
          <w:sz w:val="20"/>
          <w:lang w:val="es-ES"/>
        </w:rPr>
      </w:pPr>
      <w:r w:rsidRPr="005E3D50">
        <w:rPr>
          <w:i/>
          <w:sz w:val="20"/>
          <w:lang w:val="es-ES"/>
        </w:rPr>
        <w:t>Nota</w:t>
      </w:r>
      <w:r w:rsidRPr="005E3D50">
        <w:rPr>
          <w:sz w:val="20"/>
          <w:lang w:val="es-ES"/>
        </w:rPr>
        <w:t>: Los valores del indicador muestran el conteo anual de incentivos establecidos en todas las comunicaciones de las Partes.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09" w:type="dxa"/>
        <w:tblLook w:val="04A0" w:firstRow="1" w:lastRow="0" w:firstColumn="1" w:lastColumn="0" w:noHBand="0" w:noVBand="1"/>
      </w:tblPr>
      <w:tblGrid>
        <w:gridCol w:w="4496"/>
        <w:gridCol w:w="4913"/>
      </w:tblGrid>
      <w:tr w:rsidR="00B2211D" w:rsidRPr="00B2211D" w14:paraId="5ADD0976" w14:textId="77777777" w:rsidTr="00B2211D">
        <w:trPr>
          <w:trHeight w:val="313"/>
        </w:trPr>
        <w:tc>
          <w:tcPr>
            <w:tcW w:w="4496" w:type="dxa"/>
          </w:tcPr>
          <w:p w14:paraId="01603EFB" w14:textId="53673E33" w:rsidR="00B2211D" w:rsidRPr="00B2211D" w:rsidRDefault="00B2211D" w:rsidP="00B2211D">
            <w:pPr>
              <w:rPr>
                <w:sz w:val="18"/>
                <w:szCs w:val="18"/>
                <w:lang w:val="es-ES"/>
              </w:rPr>
            </w:pPr>
            <w:r w:rsidRPr="00B2211D">
              <w:rPr>
                <w:sz w:val="18"/>
                <w:szCs w:val="18"/>
                <w:lang w:val="es-ES"/>
              </w:rPr>
              <w:t>Figura 73</w:t>
            </w:r>
          </w:p>
        </w:tc>
        <w:tc>
          <w:tcPr>
            <w:tcW w:w="4913" w:type="dxa"/>
          </w:tcPr>
          <w:p w14:paraId="645CE57E" w14:textId="77777777" w:rsidR="00B2211D" w:rsidRPr="00B2211D" w:rsidRDefault="00B2211D" w:rsidP="00B2211D">
            <w:pPr>
              <w:rPr>
                <w:sz w:val="18"/>
                <w:szCs w:val="18"/>
                <w:lang w:val="es-ES"/>
              </w:rPr>
            </w:pPr>
          </w:p>
        </w:tc>
      </w:tr>
      <w:tr w:rsidR="00B2211D" w:rsidRPr="00B2211D" w14:paraId="7198632A" w14:textId="77777777" w:rsidTr="00B2211D">
        <w:trPr>
          <w:trHeight w:val="313"/>
        </w:trPr>
        <w:tc>
          <w:tcPr>
            <w:tcW w:w="4496" w:type="dxa"/>
          </w:tcPr>
          <w:p w14:paraId="11175B56" w14:textId="77777777" w:rsidR="00B2211D" w:rsidRPr="00B2211D" w:rsidRDefault="00B2211D" w:rsidP="00B2211D">
            <w:pPr>
              <w:spacing w:line="278" w:lineRule="auto"/>
              <w:rPr>
                <w:sz w:val="18"/>
                <w:szCs w:val="18"/>
                <w:lang w:val="es-ES"/>
              </w:rPr>
            </w:pPr>
            <w:r w:rsidRPr="00B2211D">
              <w:rPr>
                <w:sz w:val="18"/>
                <w:szCs w:val="18"/>
                <w:lang w:val="es-ES"/>
              </w:rPr>
              <w:t xml:space="preserve">English </w:t>
            </w:r>
          </w:p>
        </w:tc>
        <w:tc>
          <w:tcPr>
            <w:tcW w:w="4913" w:type="dxa"/>
          </w:tcPr>
          <w:p w14:paraId="33AC3C77" w14:textId="310817CD" w:rsidR="00B2211D" w:rsidRPr="00B2211D" w:rsidRDefault="00B2211D" w:rsidP="00B2211D">
            <w:pPr>
              <w:spacing w:line="278" w:lineRule="auto"/>
              <w:rPr>
                <w:sz w:val="18"/>
                <w:szCs w:val="18"/>
                <w:lang w:val="es-ES"/>
              </w:rPr>
            </w:pPr>
            <w:r w:rsidRPr="00B2211D">
              <w:rPr>
                <w:sz w:val="18"/>
                <w:szCs w:val="18"/>
                <w:lang w:val="es-ES"/>
              </w:rPr>
              <w:t>Español</w:t>
            </w:r>
          </w:p>
        </w:tc>
      </w:tr>
      <w:tr w:rsidR="00B2211D" w:rsidRPr="00B2211D" w14:paraId="6AEE53A2" w14:textId="77777777" w:rsidTr="00B2211D">
        <w:trPr>
          <w:trHeight w:val="313"/>
        </w:trPr>
        <w:tc>
          <w:tcPr>
            <w:tcW w:w="4496" w:type="dxa"/>
          </w:tcPr>
          <w:p w14:paraId="7E213C76" w14:textId="77777777" w:rsidR="00B2211D" w:rsidRPr="00B2211D" w:rsidRDefault="00B2211D" w:rsidP="00B2211D">
            <w:pPr>
              <w:spacing w:line="278" w:lineRule="auto"/>
              <w:rPr>
                <w:sz w:val="18"/>
                <w:szCs w:val="18"/>
                <w:lang w:val="es-ES"/>
              </w:rPr>
            </w:pPr>
            <w:r w:rsidRPr="00B2211D">
              <w:rPr>
                <w:sz w:val="18"/>
                <w:szCs w:val="18"/>
                <w:lang w:val="es-ES"/>
              </w:rPr>
              <w:t xml:space="preserve">Policy </w:t>
            </w:r>
            <w:proofErr w:type="spellStart"/>
            <w:r w:rsidRPr="00B2211D">
              <w:rPr>
                <w:sz w:val="18"/>
                <w:szCs w:val="18"/>
                <w:lang w:val="es-ES"/>
              </w:rPr>
              <w:t>instruments</w:t>
            </w:r>
            <w:proofErr w:type="spellEnd"/>
            <w:r w:rsidRPr="00B2211D">
              <w:rPr>
                <w:sz w:val="18"/>
                <w:szCs w:val="18"/>
                <w:lang w:val="es-ES"/>
              </w:rPr>
              <w:t xml:space="preserve"> (</w:t>
            </w:r>
            <w:proofErr w:type="spellStart"/>
            <w:r w:rsidRPr="00B2211D">
              <w:rPr>
                <w:sz w:val="18"/>
                <w:szCs w:val="18"/>
                <w:lang w:val="es-ES"/>
              </w:rPr>
              <w:t>count</w:t>
            </w:r>
            <w:proofErr w:type="spellEnd"/>
            <w:r w:rsidRPr="00B2211D">
              <w:rPr>
                <w:sz w:val="18"/>
                <w:szCs w:val="18"/>
                <w:lang w:val="es-ES"/>
              </w:rPr>
              <w:t>)</w:t>
            </w:r>
          </w:p>
        </w:tc>
        <w:tc>
          <w:tcPr>
            <w:tcW w:w="4913" w:type="dxa"/>
          </w:tcPr>
          <w:p w14:paraId="1B216361" w14:textId="77777777" w:rsidR="00B2211D" w:rsidRPr="00B2211D" w:rsidRDefault="00B2211D" w:rsidP="00B2211D">
            <w:pPr>
              <w:spacing w:line="278" w:lineRule="auto"/>
              <w:rPr>
                <w:sz w:val="18"/>
                <w:szCs w:val="18"/>
                <w:lang w:val="es-ES"/>
              </w:rPr>
            </w:pPr>
            <w:r w:rsidRPr="00B2211D">
              <w:rPr>
                <w:sz w:val="18"/>
                <w:szCs w:val="18"/>
                <w:lang w:val="es-ES"/>
              </w:rPr>
              <w:t>Instrumentos de políticas (número)</w:t>
            </w:r>
          </w:p>
        </w:tc>
      </w:tr>
      <w:tr w:rsidR="00B2211D" w:rsidRPr="00B2211D" w14:paraId="3405A5A9" w14:textId="77777777" w:rsidTr="00B2211D">
        <w:trPr>
          <w:trHeight w:val="313"/>
        </w:trPr>
        <w:tc>
          <w:tcPr>
            <w:tcW w:w="4496" w:type="dxa"/>
          </w:tcPr>
          <w:p w14:paraId="540B4E0F" w14:textId="77777777" w:rsidR="00B2211D" w:rsidRPr="00B2211D" w:rsidRDefault="00B2211D" w:rsidP="00B2211D">
            <w:pPr>
              <w:spacing w:line="278" w:lineRule="auto"/>
              <w:rPr>
                <w:sz w:val="18"/>
                <w:szCs w:val="18"/>
                <w:lang w:val="es-ES"/>
              </w:rPr>
            </w:pPr>
            <w:proofErr w:type="spellStart"/>
            <w:r w:rsidRPr="00B2211D">
              <w:rPr>
                <w:sz w:val="18"/>
                <w:szCs w:val="18"/>
                <w:lang w:val="es-ES"/>
              </w:rPr>
              <w:t>Year</w:t>
            </w:r>
            <w:proofErr w:type="spellEnd"/>
          </w:p>
        </w:tc>
        <w:tc>
          <w:tcPr>
            <w:tcW w:w="4913" w:type="dxa"/>
          </w:tcPr>
          <w:p w14:paraId="29B586EB" w14:textId="77777777" w:rsidR="00B2211D" w:rsidRPr="00B2211D" w:rsidRDefault="00B2211D" w:rsidP="00B2211D">
            <w:pPr>
              <w:spacing w:line="278" w:lineRule="auto"/>
              <w:rPr>
                <w:sz w:val="18"/>
                <w:szCs w:val="18"/>
                <w:lang w:val="es-ES"/>
              </w:rPr>
            </w:pPr>
            <w:r w:rsidRPr="00B2211D">
              <w:rPr>
                <w:sz w:val="18"/>
                <w:szCs w:val="18"/>
                <w:lang w:val="es-ES"/>
              </w:rPr>
              <w:t>Año</w:t>
            </w:r>
          </w:p>
        </w:tc>
      </w:tr>
      <w:tr w:rsidR="00B2211D" w:rsidRPr="00B2211D" w14:paraId="2989300F" w14:textId="77777777" w:rsidTr="00B2211D">
        <w:trPr>
          <w:trHeight w:val="313"/>
        </w:trPr>
        <w:tc>
          <w:tcPr>
            <w:tcW w:w="4496" w:type="dxa"/>
          </w:tcPr>
          <w:p w14:paraId="57B11863" w14:textId="77777777" w:rsidR="00B2211D" w:rsidRPr="00B2211D" w:rsidRDefault="00B2211D" w:rsidP="00B2211D">
            <w:pPr>
              <w:spacing w:line="278" w:lineRule="auto"/>
              <w:rPr>
                <w:sz w:val="18"/>
                <w:szCs w:val="18"/>
                <w:lang w:val="es-ES"/>
              </w:rPr>
            </w:pPr>
            <w:r w:rsidRPr="00B2211D">
              <w:rPr>
                <w:sz w:val="18"/>
                <w:szCs w:val="18"/>
                <w:lang w:val="es-ES"/>
              </w:rPr>
              <w:t xml:space="preserve">Party </w:t>
            </w:r>
            <w:proofErr w:type="spellStart"/>
            <w:r w:rsidRPr="00B2211D">
              <w:rPr>
                <w:sz w:val="18"/>
                <w:szCs w:val="18"/>
                <w:lang w:val="es-ES"/>
              </w:rPr>
              <w:t>count</w:t>
            </w:r>
            <w:proofErr w:type="spellEnd"/>
            <w:r w:rsidRPr="00B2211D">
              <w:rPr>
                <w:sz w:val="18"/>
                <w:szCs w:val="18"/>
                <w:lang w:val="es-ES"/>
              </w:rPr>
              <w:t xml:space="preserve"> </w:t>
            </w:r>
            <w:proofErr w:type="spellStart"/>
            <w:r w:rsidRPr="00B2211D">
              <w:rPr>
                <w:sz w:val="18"/>
                <w:szCs w:val="18"/>
                <w:lang w:val="es-ES"/>
              </w:rPr>
              <w:t>by</w:t>
            </w:r>
            <w:proofErr w:type="spellEnd"/>
            <w:r w:rsidRPr="00B2211D">
              <w:rPr>
                <w:sz w:val="18"/>
                <w:szCs w:val="18"/>
                <w:lang w:val="es-ES"/>
              </w:rPr>
              <w:t xml:space="preserve"> </w:t>
            </w:r>
            <w:proofErr w:type="spellStart"/>
            <w:r w:rsidRPr="00B2211D">
              <w:rPr>
                <w:sz w:val="18"/>
                <w:szCs w:val="18"/>
                <w:lang w:val="es-ES"/>
              </w:rPr>
              <w:t>region</w:t>
            </w:r>
            <w:proofErr w:type="spellEnd"/>
          </w:p>
        </w:tc>
        <w:tc>
          <w:tcPr>
            <w:tcW w:w="4913" w:type="dxa"/>
          </w:tcPr>
          <w:p w14:paraId="58289FD9" w14:textId="77777777" w:rsidR="00B2211D" w:rsidRPr="00B2211D" w:rsidRDefault="00B2211D" w:rsidP="00B2211D">
            <w:pPr>
              <w:spacing w:line="278" w:lineRule="auto"/>
              <w:rPr>
                <w:sz w:val="18"/>
                <w:szCs w:val="18"/>
                <w:lang w:val="es-ES"/>
              </w:rPr>
            </w:pPr>
            <w:r w:rsidRPr="00B2211D">
              <w:rPr>
                <w:sz w:val="18"/>
                <w:szCs w:val="18"/>
                <w:lang w:val="es-ES"/>
              </w:rPr>
              <w:t>Número de Partes por región</w:t>
            </w:r>
          </w:p>
        </w:tc>
      </w:tr>
      <w:tr w:rsidR="00B2211D" w:rsidRPr="00B2211D" w14:paraId="4155B5C0" w14:textId="77777777" w:rsidTr="00B2211D">
        <w:trPr>
          <w:trHeight w:val="313"/>
        </w:trPr>
        <w:tc>
          <w:tcPr>
            <w:tcW w:w="4496" w:type="dxa"/>
          </w:tcPr>
          <w:p w14:paraId="0F057C54" w14:textId="77777777" w:rsidR="00B2211D" w:rsidRPr="00B2211D" w:rsidRDefault="00B2211D" w:rsidP="00B2211D">
            <w:pPr>
              <w:spacing w:line="278" w:lineRule="auto"/>
              <w:rPr>
                <w:sz w:val="18"/>
                <w:szCs w:val="18"/>
                <w:lang w:val="es-ES"/>
              </w:rPr>
            </w:pPr>
            <w:r w:rsidRPr="00B2211D">
              <w:rPr>
                <w:sz w:val="18"/>
                <w:szCs w:val="18"/>
                <w:lang w:val="es-ES"/>
              </w:rPr>
              <w:t xml:space="preserve">Party </w:t>
            </w:r>
            <w:proofErr w:type="spellStart"/>
            <w:r w:rsidRPr="00B2211D">
              <w:rPr>
                <w:sz w:val="18"/>
                <w:szCs w:val="18"/>
                <w:lang w:val="es-ES"/>
              </w:rPr>
              <w:t>count</w:t>
            </w:r>
            <w:proofErr w:type="spellEnd"/>
            <w:r w:rsidRPr="00B2211D">
              <w:rPr>
                <w:sz w:val="18"/>
                <w:szCs w:val="18"/>
                <w:lang w:val="es-ES"/>
              </w:rPr>
              <w:t>: 33</w:t>
            </w:r>
          </w:p>
        </w:tc>
        <w:tc>
          <w:tcPr>
            <w:tcW w:w="4913" w:type="dxa"/>
          </w:tcPr>
          <w:p w14:paraId="037F2FB4" w14:textId="77777777" w:rsidR="00B2211D" w:rsidRPr="00B2211D" w:rsidRDefault="00B2211D" w:rsidP="00B2211D">
            <w:pPr>
              <w:spacing w:line="278" w:lineRule="auto"/>
              <w:rPr>
                <w:sz w:val="18"/>
                <w:szCs w:val="18"/>
                <w:lang w:val="es-ES"/>
              </w:rPr>
            </w:pPr>
            <w:r w:rsidRPr="00B2211D">
              <w:rPr>
                <w:sz w:val="18"/>
                <w:szCs w:val="18"/>
                <w:lang w:val="es-ES"/>
              </w:rPr>
              <w:t>Número de Partes: 33</w:t>
            </w:r>
          </w:p>
        </w:tc>
      </w:tr>
      <w:tr w:rsidR="00B2211D" w:rsidRPr="00B2211D" w14:paraId="13EA3C27" w14:textId="77777777" w:rsidTr="00B2211D">
        <w:trPr>
          <w:trHeight w:val="313"/>
        </w:trPr>
        <w:tc>
          <w:tcPr>
            <w:tcW w:w="4496" w:type="dxa"/>
          </w:tcPr>
          <w:p w14:paraId="102A6AC8" w14:textId="77777777" w:rsidR="00B2211D" w:rsidRPr="00B2211D" w:rsidRDefault="00B2211D" w:rsidP="00B2211D">
            <w:pPr>
              <w:spacing w:line="278" w:lineRule="auto"/>
              <w:rPr>
                <w:sz w:val="18"/>
                <w:szCs w:val="18"/>
                <w:lang w:val="es-ES"/>
              </w:rPr>
            </w:pPr>
            <w:proofErr w:type="spellStart"/>
            <w:r w:rsidRPr="00B2211D">
              <w:rPr>
                <w:sz w:val="18"/>
                <w:szCs w:val="18"/>
                <w:lang w:val="es-ES"/>
              </w:rPr>
              <w:t>Region</w:t>
            </w:r>
            <w:proofErr w:type="spellEnd"/>
          </w:p>
        </w:tc>
        <w:tc>
          <w:tcPr>
            <w:tcW w:w="4913" w:type="dxa"/>
          </w:tcPr>
          <w:p w14:paraId="677BD012" w14:textId="77777777" w:rsidR="00B2211D" w:rsidRPr="00B2211D" w:rsidRDefault="00B2211D" w:rsidP="00B2211D">
            <w:pPr>
              <w:spacing w:line="278" w:lineRule="auto"/>
              <w:rPr>
                <w:sz w:val="18"/>
                <w:szCs w:val="18"/>
                <w:lang w:val="es-ES"/>
              </w:rPr>
            </w:pPr>
            <w:r w:rsidRPr="00B2211D">
              <w:rPr>
                <w:sz w:val="18"/>
                <w:szCs w:val="18"/>
                <w:lang w:val="es-ES"/>
              </w:rPr>
              <w:t>Región</w:t>
            </w:r>
          </w:p>
        </w:tc>
      </w:tr>
      <w:tr w:rsidR="00B2211D" w:rsidRPr="00B2211D" w14:paraId="465CD7C2" w14:textId="77777777" w:rsidTr="00B2211D">
        <w:trPr>
          <w:trHeight w:val="313"/>
        </w:trPr>
        <w:tc>
          <w:tcPr>
            <w:tcW w:w="4496" w:type="dxa"/>
          </w:tcPr>
          <w:p w14:paraId="1C125014" w14:textId="77777777" w:rsidR="00B2211D" w:rsidRPr="00B2211D" w:rsidRDefault="00B2211D" w:rsidP="00B2211D">
            <w:pPr>
              <w:spacing w:line="278" w:lineRule="auto"/>
              <w:rPr>
                <w:sz w:val="18"/>
                <w:szCs w:val="18"/>
                <w:lang w:val="es-ES"/>
              </w:rPr>
            </w:pPr>
            <w:r w:rsidRPr="00B2211D">
              <w:rPr>
                <w:sz w:val="18"/>
                <w:szCs w:val="18"/>
                <w:lang w:val="es-ES"/>
              </w:rPr>
              <w:t>African States</w:t>
            </w:r>
          </w:p>
        </w:tc>
        <w:tc>
          <w:tcPr>
            <w:tcW w:w="4913" w:type="dxa"/>
          </w:tcPr>
          <w:p w14:paraId="3981DF35" w14:textId="77777777" w:rsidR="00B2211D" w:rsidRPr="00B2211D" w:rsidRDefault="00B2211D" w:rsidP="00B2211D">
            <w:pPr>
              <w:spacing w:line="278" w:lineRule="auto"/>
              <w:rPr>
                <w:sz w:val="18"/>
                <w:szCs w:val="18"/>
                <w:lang w:val="es-ES"/>
              </w:rPr>
            </w:pPr>
            <w:r w:rsidRPr="00B2211D">
              <w:rPr>
                <w:sz w:val="18"/>
                <w:szCs w:val="18"/>
                <w:lang w:val="es-ES"/>
              </w:rPr>
              <w:t>Estados de África</w:t>
            </w:r>
          </w:p>
        </w:tc>
      </w:tr>
      <w:tr w:rsidR="00B2211D" w:rsidRPr="00B2211D" w14:paraId="074E4F32" w14:textId="77777777" w:rsidTr="00B2211D">
        <w:trPr>
          <w:trHeight w:val="313"/>
        </w:trPr>
        <w:tc>
          <w:tcPr>
            <w:tcW w:w="4496" w:type="dxa"/>
          </w:tcPr>
          <w:p w14:paraId="72CE0FB4" w14:textId="77777777" w:rsidR="00B2211D" w:rsidRPr="00B2211D" w:rsidRDefault="00B2211D" w:rsidP="00B2211D">
            <w:pPr>
              <w:spacing w:line="278" w:lineRule="auto"/>
              <w:rPr>
                <w:sz w:val="18"/>
                <w:szCs w:val="18"/>
                <w:lang w:val="es-ES"/>
              </w:rPr>
            </w:pPr>
            <w:r w:rsidRPr="00B2211D">
              <w:rPr>
                <w:sz w:val="18"/>
                <w:szCs w:val="18"/>
                <w:lang w:val="es-ES"/>
              </w:rPr>
              <w:t>Asia- Pacific States</w:t>
            </w:r>
          </w:p>
        </w:tc>
        <w:tc>
          <w:tcPr>
            <w:tcW w:w="4913" w:type="dxa"/>
          </w:tcPr>
          <w:p w14:paraId="30DC1CEC" w14:textId="77777777" w:rsidR="00B2211D" w:rsidRPr="00B2211D" w:rsidRDefault="00B2211D" w:rsidP="00B2211D">
            <w:pPr>
              <w:spacing w:line="278" w:lineRule="auto"/>
              <w:rPr>
                <w:sz w:val="18"/>
                <w:szCs w:val="18"/>
                <w:lang w:val="es-ES"/>
              </w:rPr>
            </w:pPr>
            <w:r w:rsidRPr="00B2211D">
              <w:rPr>
                <w:sz w:val="18"/>
                <w:szCs w:val="18"/>
                <w:lang w:val="es-ES"/>
              </w:rPr>
              <w:t>Estados de Asia y el Pacífico</w:t>
            </w:r>
          </w:p>
        </w:tc>
      </w:tr>
      <w:tr w:rsidR="00B2211D" w:rsidRPr="00B2211D" w14:paraId="37F0FA62" w14:textId="77777777" w:rsidTr="00B2211D">
        <w:trPr>
          <w:trHeight w:val="313"/>
        </w:trPr>
        <w:tc>
          <w:tcPr>
            <w:tcW w:w="4496" w:type="dxa"/>
          </w:tcPr>
          <w:p w14:paraId="6240F340" w14:textId="77777777" w:rsidR="00B2211D" w:rsidRPr="00B2211D" w:rsidRDefault="00B2211D" w:rsidP="00B2211D">
            <w:pPr>
              <w:spacing w:line="278" w:lineRule="auto"/>
              <w:rPr>
                <w:sz w:val="18"/>
                <w:szCs w:val="18"/>
                <w:lang w:val="en-US"/>
              </w:rPr>
            </w:pPr>
            <w:r w:rsidRPr="00B2211D">
              <w:rPr>
                <w:sz w:val="18"/>
                <w:szCs w:val="18"/>
                <w:lang w:val="en-US"/>
              </w:rPr>
              <w:t>Latin American and Caribbean States</w:t>
            </w:r>
          </w:p>
        </w:tc>
        <w:tc>
          <w:tcPr>
            <w:tcW w:w="4913" w:type="dxa"/>
          </w:tcPr>
          <w:p w14:paraId="2CB50797" w14:textId="77777777" w:rsidR="00B2211D" w:rsidRPr="00B2211D" w:rsidRDefault="00B2211D" w:rsidP="00B2211D">
            <w:pPr>
              <w:spacing w:line="278" w:lineRule="auto"/>
              <w:rPr>
                <w:sz w:val="18"/>
                <w:szCs w:val="18"/>
                <w:lang w:val="es-ES"/>
              </w:rPr>
            </w:pPr>
            <w:r w:rsidRPr="00B2211D">
              <w:rPr>
                <w:sz w:val="18"/>
                <w:szCs w:val="18"/>
                <w:lang w:val="es-ES"/>
              </w:rPr>
              <w:t>Estados de América Latina y el Caribe</w:t>
            </w:r>
          </w:p>
        </w:tc>
      </w:tr>
      <w:tr w:rsidR="00B2211D" w:rsidRPr="00B2211D" w14:paraId="6638939E" w14:textId="77777777" w:rsidTr="00B2211D">
        <w:trPr>
          <w:trHeight w:val="313"/>
        </w:trPr>
        <w:tc>
          <w:tcPr>
            <w:tcW w:w="4496" w:type="dxa"/>
          </w:tcPr>
          <w:p w14:paraId="32C242DE" w14:textId="77777777" w:rsidR="00B2211D" w:rsidRPr="00B2211D" w:rsidRDefault="00B2211D" w:rsidP="00B2211D">
            <w:pPr>
              <w:spacing w:line="278" w:lineRule="auto"/>
              <w:rPr>
                <w:sz w:val="18"/>
                <w:szCs w:val="18"/>
                <w:lang w:val="es-ES"/>
              </w:rPr>
            </w:pPr>
            <w:r w:rsidRPr="00B2211D">
              <w:rPr>
                <w:sz w:val="18"/>
                <w:szCs w:val="18"/>
                <w:lang w:val="es-ES"/>
              </w:rPr>
              <w:t xml:space="preserve"> Eastern European States</w:t>
            </w:r>
          </w:p>
        </w:tc>
        <w:tc>
          <w:tcPr>
            <w:tcW w:w="4913" w:type="dxa"/>
          </w:tcPr>
          <w:p w14:paraId="2B39DF4F" w14:textId="77777777" w:rsidR="00B2211D" w:rsidRPr="00B2211D" w:rsidRDefault="00B2211D" w:rsidP="00B2211D">
            <w:pPr>
              <w:spacing w:line="278" w:lineRule="auto"/>
              <w:rPr>
                <w:sz w:val="18"/>
                <w:szCs w:val="18"/>
                <w:lang w:val="es-ES"/>
              </w:rPr>
            </w:pPr>
            <w:r w:rsidRPr="00B2211D">
              <w:rPr>
                <w:sz w:val="18"/>
                <w:szCs w:val="18"/>
                <w:lang w:val="es-ES"/>
              </w:rPr>
              <w:t>Estados de Europa Oriental</w:t>
            </w:r>
          </w:p>
        </w:tc>
      </w:tr>
      <w:tr w:rsidR="00B2211D" w:rsidRPr="00B2211D" w14:paraId="32E8BC7C" w14:textId="77777777" w:rsidTr="00B2211D">
        <w:trPr>
          <w:trHeight w:val="313"/>
        </w:trPr>
        <w:tc>
          <w:tcPr>
            <w:tcW w:w="4496" w:type="dxa"/>
          </w:tcPr>
          <w:p w14:paraId="2383FDE6" w14:textId="77777777" w:rsidR="00B2211D" w:rsidRPr="00B2211D" w:rsidRDefault="00B2211D" w:rsidP="00B2211D">
            <w:pPr>
              <w:spacing w:line="278" w:lineRule="auto"/>
              <w:rPr>
                <w:sz w:val="18"/>
                <w:szCs w:val="18"/>
                <w:lang w:val="en-US"/>
              </w:rPr>
            </w:pPr>
            <w:r w:rsidRPr="00B2211D">
              <w:rPr>
                <w:sz w:val="18"/>
                <w:szCs w:val="18"/>
                <w:lang w:val="en-US"/>
              </w:rPr>
              <w:t>Western European and other States</w:t>
            </w:r>
          </w:p>
        </w:tc>
        <w:tc>
          <w:tcPr>
            <w:tcW w:w="4913" w:type="dxa"/>
          </w:tcPr>
          <w:p w14:paraId="2766EEED" w14:textId="77777777" w:rsidR="00B2211D" w:rsidRPr="00B2211D" w:rsidRDefault="00B2211D" w:rsidP="00B2211D">
            <w:pPr>
              <w:spacing w:line="278" w:lineRule="auto"/>
              <w:rPr>
                <w:sz w:val="18"/>
                <w:szCs w:val="18"/>
                <w:lang w:val="es-ES"/>
              </w:rPr>
            </w:pPr>
            <w:r w:rsidRPr="00B2211D">
              <w:rPr>
                <w:sz w:val="18"/>
                <w:szCs w:val="18"/>
                <w:lang w:val="es-ES"/>
              </w:rPr>
              <w:t>Estados de Europa Occidental y otros Estados</w:t>
            </w:r>
          </w:p>
        </w:tc>
      </w:tr>
    </w:tbl>
    <w:p w14:paraId="267F820D" w14:textId="77777777" w:rsidR="009713BF" w:rsidRPr="005E3D50" w:rsidRDefault="009713BF" w:rsidP="009713BF">
      <w:pPr>
        <w:rPr>
          <w:sz w:val="20"/>
          <w:szCs w:val="20"/>
          <w:lang w:val="es-ES"/>
        </w:rPr>
      </w:pPr>
    </w:p>
    <w:p w14:paraId="04ACFB07" w14:textId="77777777" w:rsidR="009713BF" w:rsidRPr="005E3D50" w:rsidRDefault="009713BF" w:rsidP="009713BF">
      <w:pPr>
        <w:rPr>
          <w:sz w:val="20"/>
          <w:szCs w:val="20"/>
          <w:lang w:val="es-ES"/>
        </w:rPr>
      </w:pPr>
      <w:bookmarkStart w:id="462" w:name="_Ref238754345"/>
      <w:r w:rsidRPr="005E3D50">
        <w:rPr>
          <w:sz w:val="20"/>
          <w:lang w:val="es-ES"/>
        </w:rPr>
        <w:t>Figura 74</w:t>
      </w:r>
      <w:bookmarkEnd w:id="462"/>
    </w:p>
    <w:p w14:paraId="7B26E7E6" w14:textId="77777777" w:rsidR="009713BF" w:rsidRPr="005E3D50" w:rsidRDefault="009713BF" w:rsidP="009713BF">
      <w:pPr>
        <w:rPr>
          <w:sz w:val="20"/>
          <w:szCs w:val="20"/>
          <w:lang w:val="es-ES"/>
        </w:rPr>
      </w:pPr>
      <w:r w:rsidRPr="005E3D50">
        <w:rPr>
          <w:b/>
          <w:lang w:val="es-ES"/>
        </w:rPr>
        <w:lastRenderedPageBreak/>
        <w:t>Indicador de cabecera 18.1: incentivos positivos establecidos para promover la conservación y la utilización sostenible de la diversidad biológica (de la base de datos Policy Instruments for the Environment de la OCDE)</w:t>
      </w:r>
    </w:p>
    <w:p w14:paraId="1E9B50C7" w14:textId="77777777" w:rsidR="009713BF" w:rsidRPr="005E3D50" w:rsidRDefault="009713BF" w:rsidP="009713BF">
      <w:pPr>
        <w:spacing w:after="0" w:line="240" w:lineRule="auto"/>
        <w:textAlignment w:val="baseline"/>
        <w:rPr>
          <w:rFonts w:ascii="Aptos" w:eastAsia="Times New Roman" w:hAnsi="Aptos" w:cs="Segoe UI"/>
          <w:kern w:val="0"/>
          <w:sz w:val="18"/>
          <w:szCs w:val="18"/>
          <w:lang w:val="es-ES"/>
          <w14:ligatures w14:val="none"/>
        </w:rPr>
      </w:pPr>
      <w:r w:rsidRPr="005E3D50">
        <w:rPr>
          <w:rFonts w:ascii="Aptos" w:eastAsia="Times New Roman" w:hAnsi="Aptos" w:cs="Times New Roman"/>
          <w:color w:val="000000"/>
          <w:kern w:val="0"/>
          <w:lang w:val="es-ES"/>
          <w14:ligatures w14:val="none"/>
        </w:rPr>
        <w:t> </w:t>
      </w:r>
      <w:r w:rsidRPr="005E3D50">
        <w:rPr>
          <w:rFonts w:ascii="Times New Roman" w:eastAsia="Times New Roman" w:hAnsi="Times New Roman" w:cs="Times New Roman"/>
          <w:noProof/>
          <w:kern w:val="0"/>
          <w:sz w:val="18"/>
          <w:lang w:val="en-US"/>
          <w14:ligatures w14:val="none"/>
        </w:rPr>
        <w:drawing>
          <wp:inline distT="0" distB="0" distL="0" distR="0" wp14:anchorId="6DD531F8" wp14:editId="26EAF3B4">
            <wp:extent cx="5731510" cy="4298950"/>
            <wp:effectExtent l="0" t="0" r="0" b="6350"/>
            <wp:docPr id="157868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88365" name="Picture 1578688365"/>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7769D43" w14:textId="77777777" w:rsidR="009713BF" w:rsidRPr="005E3D50" w:rsidRDefault="009713BF" w:rsidP="009713BF">
      <w:pPr>
        <w:rPr>
          <w:sz w:val="20"/>
          <w:szCs w:val="20"/>
          <w:lang w:val="es-ES"/>
        </w:rPr>
      </w:pPr>
      <w:r w:rsidRPr="005E3D50">
        <w:rPr>
          <w:i/>
          <w:sz w:val="20"/>
          <w:lang w:val="es-ES"/>
        </w:rPr>
        <w:t>Nota</w:t>
      </w:r>
      <w:r w:rsidRPr="005E3D50">
        <w:rPr>
          <w:sz w:val="20"/>
          <w:lang w:val="es-ES"/>
        </w:rPr>
        <w:t>: Los valores del indicador muestran el conteo total de incentivos vigentes en todas las Partes, por año. El gráfico de barras de la derecha muestra la distribución de las Partes para las que se dispone de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w:t>
      </w:r>
    </w:p>
    <w:tbl>
      <w:tblPr>
        <w:tblStyle w:val="TableGrid"/>
        <w:tblW w:w="9219" w:type="dxa"/>
        <w:tblLook w:val="04A0" w:firstRow="1" w:lastRow="0" w:firstColumn="1" w:lastColumn="0" w:noHBand="0" w:noVBand="1"/>
      </w:tblPr>
      <w:tblGrid>
        <w:gridCol w:w="4406"/>
        <w:gridCol w:w="4813"/>
      </w:tblGrid>
      <w:tr w:rsidR="00BF2A2A" w:rsidRPr="00D21289" w14:paraId="4A5BA6C2" w14:textId="77777777" w:rsidTr="00D21289">
        <w:tc>
          <w:tcPr>
            <w:tcW w:w="4406" w:type="dxa"/>
          </w:tcPr>
          <w:p w14:paraId="2EE33E1C" w14:textId="5C3AF3CA" w:rsidR="00BF2A2A" w:rsidRPr="00D21289" w:rsidRDefault="00BF2A2A" w:rsidP="00D21289">
            <w:pPr>
              <w:rPr>
                <w:sz w:val="18"/>
                <w:szCs w:val="18"/>
                <w:lang w:val="es-ES"/>
              </w:rPr>
            </w:pPr>
            <w:r w:rsidRPr="00D21289">
              <w:rPr>
                <w:sz w:val="18"/>
                <w:szCs w:val="18"/>
                <w:lang w:val="es-ES"/>
              </w:rPr>
              <w:t xml:space="preserve">Figura </w:t>
            </w:r>
            <w:r w:rsidR="00D21289" w:rsidRPr="00D21289">
              <w:rPr>
                <w:sz w:val="18"/>
                <w:szCs w:val="18"/>
                <w:lang w:val="es-ES"/>
              </w:rPr>
              <w:t>74</w:t>
            </w:r>
          </w:p>
        </w:tc>
        <w:tc>
          <w:tcPr>
            <w:tcW w:w="4813" w:type="dxa"/>
          </w:tcPr>
          <w:p w14:paraId="5ED27191" w14:textId="77777777" w:rsidR="00BF2A2A" w:rsidRPr="00D21289" w:rsidRDefault="00BF2A2A" w:rsidP="00D21289">
            <w:pPr>
              <w:rPr>
                <w:sz w:val="18"/>
                <w:szCs w:val="18"/>
                <w:lang w:val="es-ES"/>
              </w:rPr>
            </w:pPr>
          </w:p>
        </w:tc>
      </w:tr>
      <w:tr w:rsidR="00BF2A2A" w:rsidRPr="00D21289" w14:paraId="3B84917C" w14:textId="77777777" w:rsidTr="00D21289">
        <w:tc>
          <w:tcPr>
            <w:tcW w:w="4406" w:type="dxa"/>
          </w:tcPr>
          <w:p w14:paraId="638912D8" w14:textId="77777777" w:rsidR="00BF2A2A" w:rsidRPr="00D21289" w:rsidRDefault="00BF2A2A" w:rsidP="00D21289">
            <w:pPr>
              <w:spacing w:line="278" w:lineRule="auto"/>
              <w:rPr>
                <w:sz w:val="18"/>
                <w:szCs w:val="18"/>
                <w:lang w:val="es-ES"/>
              </w:rPr>
            </w:pPr>
            <w:r w:rsidRPr="00D21289">
              <w:rPr>
                <w:sz w:val="18"/>
                <w:szCs w:val="18"/>
                <w:lang w:val="es-ES"/>
              </w:rPr>
              <w:t xml:space="preserve">English </w:t>
            </w:r>
          </w:p>
        </w:tc>
        <w:tc>
          <w:tcPr>
            <w:tcW w:w="4813" w:type="dxa"/>
          </w:tcPr>
          <w:p w14:paraId="76627DE4" w14:textId="74AB8217" w:rsidR="00BF2A2A" w:rsidRPr="00D21289" w:rsidRDefault="00D21289" w:rsidP="00D21289">
            <w:pPr>
              <w:spacing w:line="278" w:lineRule="auto"/>
              <w:rPr>
                <w:sz w:val="18"/>
                <w:szCs w:val="18"/>
                <w:lang w:val="es-ES"/>
              </w:rPr>
            </w:pPr>
            <w:r w:rsidRPr="00D21289">
              <w:rPr>
                <w:sz w:val="18"/>
                <w:szCs w:val="18"/>
                <w:lang w:val="es-ES"/>
              </w:rPr>
              <w:t>Español</w:t>
            </w:r>
          </w:p>
        </w:tc>
      </w:tr>
      <w:tr w:rsidR="00BF2A2A" w:rsidRPr="00D21289" w14:paraId="510E467B" w14:textId="77777777" w:rsidTr="00D21289">
        <w:tc>
          <w:tcPr>
            <w:tcW w:w="4406" w:type="dxa"/>
          </w:tcPr>
          <w:p w14:paraId="67CE0D0C" w14:textId="77777777" w:rsidR="00BF2A2A" w:rsidRPr="00D21289" w:rsidRDefault="00BF2A2A" w:rsidP="00D21289">
            <w:pPr>
              <w:spacing w:line="278" w:lineRule="auto"/>
              <w:rPr>
                <w:sz w:val="18"/>
                <w:szCs w:val="18"/>
                <w:lang w:val="es-ES"/>
              </w:rPr>
            </w:pPr>
            <w:r w:rsidRPr="00D21289">
              <w:rPr>
                <w:sz w:val="18"/>
                <w:szCs w:val="18"/>
                <w:lang w:val="es-ES"/>
              </w:rPr>
              <w:t xml:space="preserve">Policy </w:t>
            </w:r>
            <w:proofErr w:type="spellStart"/>
            <w:r w:rsidRPr="00D21289">
              <w:rPr>
                <w:sz w:val="18"/>
                <w:szCs w:val="18"/>
                <w:lang w:val="es-ES"/>
              </w:rPr>
              <w:t>instruments</w:t>
            </w:r>
            <w:proofErr w:type="spellEnd"/>
            <w:r w:rsidRPr="00D21289">
              <w:rPr>
                <w:sz w:val="18"/>
                <w:szCs w:val="18"/>
                <w:lang w:val="es-ES"/>
              </w:rPr>
              <w:t xml:space="preserve"> (</w:t>
            </w:r>
            <w:proofErr w:type="spellStart"/>
            <w:r w:rsidRPr="00D21289">
              <w:rPr>
                <w:sz w:val="18"/>
                <w:szCs w:val="18"/>
                <w:lang w:val="es-ES"/>
              </w:rPr>
              <w:t>count</w:t>
            </w:r>
            <w:proofErr w:type="spellEnd"/>
            <w:r w:rsidRPr="00D21289">
              <w:rPr>
                <w:sz w:val="18"/>
                <w:szCs w:val="18"/>
                <w:lang w:val="es-ES"/>
              </w:rPr>
              <w:t>)</w:t>
            </w:r>
          </w:p>
        </w:tc>
        <w:tc>
          <w:tcPr>
            <w:tcW w:w="4813" w:type="dxa"/>
          </w:tcPr>
          <w:p w14:paraId="6BDE7A7F" w14:textId="77777777" w:rsidR="00BF2A2A" w:rsidRPr="00D21289" w:rsidRDefault="00BF2A2A" w:rsidP="00D21289">
            <w:pPr>
              <w:spacing w:line="278" w:lineRule="auto"/>
              <w:rPr>
                <w:sz w:val="18"/>
                <w:szCs w:val="18"/>
                <w:lang w:val="es-ES"/>
              </w:rPr>
            </w:pPr>
            <w:r w:rsidRPr="00D21289">
              <w:rPr>
                <w:sz w:val="18"/>
                <w:szCs w:val="18"/>
                <w:lang w:val="es-ES"/>
              </w:rPr>
              <w:t>Instrumentos de políticas (número)</w:t>
            </w:r>
          </w:p>
        </w:tc>
      </w:tr>
      <w:tr w:rsidR="00BF2A2A" w:rsidRPr="00D21289" w14:paraId="4B6DEF3B" w14:textId="77777777" w:rsidTr="00D21289">
        <w:tc>
          <w:tcPr>
            <w:tcW w:w="4406" w:type="dxa"/>
          </w:tcPr>
          <w:p w14:paraId="2BB2CFB3" w14:textId="77777777" w:rsidR="00BF2A2A" w:rsidRPr="00D21289" w:rsidRDefault="00BF2A2A" w:rsidP="00D21289">
            <w:pPr>
              <w:spacing w:line="278" w:lineRule="auto"/>
              <w:rPr>
                <w:sz w:val="18"/>
                <w:szCs w:val="18"/>
                <w:lang w:val="es-ES"/>
              </w:rPr>
            </w:pPr>
            <w:proofErr w:type="spellStart"/>
            <w:r w:rsidRPr="00D21289">
              <w:rPr>
                <w:sz w:val="18"/>
                <w:szCs w:val="18"/>
                <w:lang w:val="es-ES"/>
              </w:rPr>
              <w:t>Year</w:t>
            </w:r>
            <w:proofErr w:type="spellEnd"/>
          </w:p>
        </w:tc>
        <w:tc>
          <w:tcPr>
            <w:tcW w:w="4813" w:type="dxa"/>
          </w:tcPr>
          <w:p w14:paraId="2B2527A0" w14:textId="77777777" w:rsidR="00BF2A2A" w:rsidRPr="00D21289" w:rsidRDefault="00BF2A2A" w:rsidP="00D21289">
            <w:pPr>
              <w:spacing w:line="278" w:lineRule="auto"/>
              <w:rPr>
                <w:sz w:val="18"/>
                <w:szCs w:val="18"/>
                <w:lang w:val="es-ES"/>
              </w:rPr>
            </w:pPr>
            <w:r w:rsidRPr="00D21289">
              <w:rPr>
                <w:sz w:val="18"/>
                <w:szCs w:val="18"/>
                <w:lang w:val="es-ES"/>
              </w:rPr>
              <w:t>Año</w:t>
            </w:r>
          </w:p>
        </w:tc>
      </w:tr>
      <w:tr w:rsidR="00BF2A2A" w:rsidRPr="00D21289" w14:paraId="734876D0" w14:textId="77777777" w:rsidTr="00D21289">
        <w:tc>
          <w:tcPr>
            <w:tcW w:w="4406" w:type="dxa"/>
          </w:tcPr>
          <w:p w14:paraId="537F768F" w14:textId="77777777" w:rsidR="00BF2A2A" w:rsidRPr="00D21289" w:rsidRDefault="00BF2A2A" w:rsidP="00D21289">
            <w:pPr>
              <w:spacing w:line="278" w:lineRule="auto"/>
              <w:rPr>
                <w:sz w:val="18"/>
                <w:szCs w:val="18"/>
                <w:lang w:val="es-ES"/>
              </w:rPr>
            </w:pPr>
            <w:proofErr w:type="spellStart"/>
            <w:r w:rsidRPr="00D21289">
              <w:rPr>
                <w:sz w:val="18"/>
                <w:szCs w:val="18"/>
                <w:lang w:val="es-ES"/>
              </w:rPr>
              <w:t>Parties</w:t>
            </w:r>
            <w:proofErr w:type="spellEnd"/>
            <w:r w:rsidRPr="00D21289">
              <w:rPr>
                <w:sz w:val="18"/>
                <w:szCs w:val="18"/>
                <w:lang w:val="es-ES"/>
              </w:rPr>
              <w:t xml:space="preserve"> </w:t>
            </w:r>
            <w:proofErr w:type="spellStart"/>
            <w:r w:rsidRPr="00D21289">
              <w:rPr>
                <w:sz w:val="18"/>
                <w:szCs w:val="18"/>
                <w:lang w:val="es-ES"/>
              </w:rPr>
              <w:t>covered</w:t>
            </w:r>
            <w:proofErr w:type="spellEnd"/>
          </w:p>
        </w:tc>
        <w:tc>
          <w:tcPr>
            <w:tcW w:w="4813" w:type="dxa"/>
          </w:tcPr>
          <w:p w14:paraId="3C06FDEE" w14:textId="77777777" w:rsidR="00BF2A2A" w:rsidRPr="00D21289" w:rsidRDefault="00BF2A2A" w:rsidP="00D21289">
            <w:pPr>
              <w:spacing w:line="278" w:lineRule="auto"/>
              <w:rPr>
                <w:sz w:val="18"/>
                <w:szCs w:val="18"/>
                <w:lang w:val="es-ES"/>
              </w:rPr>
            </w:pPr>
            <w:r w:rsidRPr="00D21289">
              <w:rPr>
                <w:sz w:val="18"/>
                <w:szCs w:val="18"/>
                <w:lang w:val="es-ES"/>
              </w:rPr>
              <w:t>Partes cubiertas</w:t>
            </w:r>
          </w:p>
        </w:tc>
      </w:tr>
      <w:tr w:rsidR="00BF2A2A" w:rsidRPr="00D21289" w14:paraId="2B023003" w14:textId="77777777" w:rsidTr="00D21289">
        <w:tc>
          <w:tcPr>
            <w:tcW w:w="4406" w:type="dxa"/>
          </w:tcPr>
          <w:p w14:paraId="3E030438" w14:textId="77777777" w:rsidR="00BF2A2A" w:rsidRPr="00D21289" w:rsidRDefault="00BF2A2A" w:rsidP="00D21289">
            <w:pPr>
              <w:spacing w:line="278" w:lineRule="auto"/>
              <w:rPr>
                <w:sz w:val="18"/>
                <w:szCs w:val="18"/>
                <w:lang w:val="es-ES"/>
              </w:rPr>
            </w:pPr>
            <w:r w:rsidRPr="00D21289">
              <w:rPr>
                <w:sz w:val="18"/>
                <w:szCs w:val="18"/>
                <w:lang w:val="es-ES"/>
              </w:rPr>
              <w:t xml:space="preserve">Party </w:t>
            </w:r>
            <w:proofErr w:type="spellStart"/>
            <w:r w:rsidRPr="00D21289">
              <w:rPr>
                <w:sz w:val="18"/>
                <w:szCs w:val="18"/>
                <w:lang w:val="es-ES"/>
              </w:rPr>
              <w:t>count</w:t>
            </w:r>
            <w:proofErr w:type="spellEnd"/>
            <w:r w:rsidRPr="00D21289">
              <w:rPr>
                <w:sz w:val="18"/>
                <w:szCs w:val="18"/>
                <w:lang w:val="es-ES"/>
              </w:rPr>
              <w:t>: 98</w:t>
            </w:r>
          </w:p>
        </w:tc>
        <w:tc>
          <w:tcPr>
            <w:tcW w:w="4813" w:type="dxa"/>
          </w:tcPr>
          <w:p w14:paraId="01A17B41" w14:textId="77777777" w:rsidR="00BF2A2A" w:rsidRPr="00D21289" w:rsidRDefault="00BF2A2A" w:rsidP="00D21289">
            <w:pPr>
              <w:spacing w:line="278" w:lineRule="auto"/>
              <w:rPr>
                <w:sz w:val="18"/>
                <w:szCs w:val="18"/>
                <w:lang w:val="es-ES"/>
              </w:rPr>
            </w:pPr>
            <w:r w:rsidRPr="00D21289">
              <w:rPr>
                <w:sz w:val="18"/>
                <w:szCs w:val="18"/>
                <w:lang w:val="es-ES"/>
              </w:rPr>
              <w:t>Número de Partes:98</w:t>
            </w:r>
          </w:p>
        </w:tc>
      </w:tr>
      <w:tr w:rsidR="00BF2A2A" w:rsidRPr="00D21289" w14:paraId="3B581097" w14:textId="77777777" w:rsidTr="00D21289">
        <w:tc>
          <w:tcPr>
            <w:tcW w:w="4406" w:type="dxa"/>
          </w:tcPr>
          <w:p w14:paraId="0DF8B88D" w14:textId="77777777" w:rsidR="00BF2A2A" w:rsidRPr="00D21289" w:rsidRDefault="00BF2A2A" w:rsidP="00D21289">
            <w:pPr>
              <w:spacing w:line="278" w:lineRule="auto"/>
              <w:rPr>
                <w:sz w:val="18"/>
                <w:szCs w:val="18"/>
                <w:lang w:val="es-ES"/>
              </w:rPr>
            </w:pPr>
            <w:proofErr w:type="spellStart"/>
            <w:r w:rsidRPr="00D21289">
              <w:rPr>
                <w:sz w:val="18"/>
                <w:szCs w:val="18"/>
                <w:lang w:val="es-ES"/>
              </w:rPr>
              <w:t>Region</w:t>
            </w:r>
            <w:proofErr w:type="spellEnd"/>
          </w:p>
        </w:tc>
        <w:tc>
          <w:tcPr>
            <w:tcW w:w="4813" w:type="dxa"/>
          </w:tcPr>
          <w:p w14:paraId="3D387E75" w14:textId="77777777" w:rsidR="00BF2A2A" w:rsidRPr="00D21289" w:rsidRDefault="00BF2A2A" w:rsidP="00D21289">
            <w:pPr>
              <w:spacing w:line="278" w:lineRule="auto"/>
              <w:rPr>
                <w:sz w:val="18"/>
                <w:szCs w:val="18"/>
                <w:lang w:val="es-ES"/>
              </w:rPr>
            </w:pPr>
            <w:r w:rsidRPr="00D21289">
              <w:rPr>
                <w:sz w:val="18"/>
                <w:szCs w:val="18"/>
                <w:lang w:val="es-ES"/>
              </w:rPr>
              <w:t>Región</w:t>
            </w:r>
          </w:p>
        </w:tc>
      </w:tr>
      <w:tr w:rsidR="00BF2A2A" w:rsidRPr="00D21289" w14:paraId="3E358400" w14:textId="77777777" w:rsidTr="00D21289">
        <w:tc>
          <w:tcPr>
            <w:tcW w:w="4406" w:type="dxa"/>
          </w:tcPr>
          <w:p w14:paraId="3C8152A3" w14:textId="77777777" w:rsidR="00BF2A2A" w:rsidRPr="00D21289" w:rsidRDefault="00BF2A2A" w:rsidP="00D21289">
            <w:pPr>
              <w:spacing w:line="278" w:lineRule="auto"/>
              <w:rPr>
                <w:sz w:val="18"/>
                <w:szCs w:val="18"/>
                <w:lang w:val="es-ES"/>
              </w:rPr>
            </w:pPr>
            <w:r w:rsidRPr="00D21289">
              <w:rPr>
                <w:sz w:val="18"/>
                <w:szCs w:val="18"/>
                <w:lang w:val="es-ES"/>
              </w:rPr>
              <w:t>African States</w:t>
            </w:r>
          </w:p>
        </w:tc>
        <w:tc>
          <w:tcPr>
            <w:tcW w:w="4813" w:type="dxa"/>
          </w:tcPr>
          <w:p w14:paraId="453C87E0" w14:textId="77777777" w:rsidR="00BF2A2A" w:rsidRPr="00D21289" w:rsidRDefault="00BF2A2A" w:rsidP="00D21289">
            <w:pPr>
              <w:spacing w:line="278" w:lineRule="auto"/>
              <w:rPr>
                <w:sz w:val="18"/>
                <w:szCs w:val="18"/>
                <w:lang w:val="es-ES"/>
              </w:rPr>
            </w:pPr>
            <w:r w:rsidRPr="00D21289">
              <w:rPr>
                <w:sz w:val="18"/>
                <w:szCs w:val="18"/>
                <w:lang w:val="es-ES"/>
              </w:rPr>
              <w:t>Estados de África</w:t>
            </w:r>
          </w:p>
        </w:tc>
      </w:tr>
      <w:tr w:rsidR="00BF2A2A" w:rsidRPr="00D21289" w14:paraId="519222C5" w14:textId="77777777" w:rsidTr="00D21289">
        <w:tc>
          <w:tcPr>
            <w:tcW w:w="4406" w:type="dxa"/>
          </w:tcPr>
          <w:p w14:paraId="2615D5DC" w14:textId="77777777" w:rsidR="00BF2A2A" w:rsidRPr="00D21289" w:rsidRDefault="00BF2A2A" w:rsidP="00D21289">
            <w:pPr>
              <w:spacing w:line="278" w:lineRule="auto"/>
              <w:rPr>
                <w:sz w:val="18"/>
                <w:szCs w:val="18"/>
                <w:lang w:val="es-ES"/>
              </w:rPr>
            </w:pPr>
            <w:r w:rsidRPr="00D21289">
              <w:rPr>
                <w:sz w:val="18"/>
                <w:szCs w:val="18"/>
                <w:lang w:val="es-ES"/>
              </w:rPr>
              <w:t>Asia- Pacific States</w:t>
            </w:r>
          </w:p>
        </w:tc>
        <w:tc>
          <w:tcPr>
            <w:tcW w:w="4813" w:type="dxa"/>
          </w:tcPr>
          <w:p w14:paraId="64956009" w14:textId="77777777" w:rsidR="00BF2A2A" w:rsidRPr="00D21289" w:rsidRDefault="00BF2A2A" w:rsidP="00D21289">
            <w:pPr>
              <w:spacing w:line="278" w:lineRule="auto"/>
              <w:rPr>
                <w:sz w:val="18"/>
                <w:szCs w:val="18"/>
                <w:lang w:val="es-ES"/>
              </w:rPr>
            </w:pPr>
            <w:r w:rsidRPr="00D21289">
              <w:rPr>
                <w:sz w:val="18"/>
                <w:szCs w:val="18"/>
                <w:lang w:val="es-ES"/>
              </w:rPr>
              <w:t>Estados de Asia y el Pacífico</w:t>
            </w:r>
          </w:p>
        </w:tc>
      </w:tr>
      <w:tr w:rsidR="00BF2A2A" w:rsidRPr="00D21289" w14:paraId="7DE21E3D" w14:textId="77777777" w:rsidTr="00D21289">
        <w:tc>
          <w:tcPr>
            <w:tcW w:w="4406" w:type="dxa"/>
          </w:tcPr>
          <w:p w14:paraId="6E4CAFD0" w14:textId="77777777" w:rsidR="00BF2A2A" w:rsidRPr="00D21289" w:rsidRDefault="00BF2A2A" w:rsidP="00D21289">
            <w:pPr>
              <w:spacing w:line="278" w:lineRule="auto"/>
              <w:rPr>
                <w:sz w:val="18"/>
                <w:szCs w:val="18"/>
                <w:lang w:val="en-US"/>
              </w:rPr>
            </w:pPr>
            <w:r w:rsidRPr="00D21289">
              <w:rPr>
                <w:sz w:val="18"/>
                <w:szCs w:val="18"/>
                <w:lang w:val="en-US"/>
              </w:rPr>
              <w:t>Latin American and Caribbean States</w:t>
            </w:r>
          </w:p>
        </w:tc>
        <w:tc>
          <w:tcPr>
            <w:tcW w:w="4813" w:type="dxa"/>
          </w:tcPr>
          <w:p w14:paraId="12B326BF" w14:textId="77777777" w:rsidR="00BF2A2A" w:rsidRPr="00D21289" w:rsidRDefault="00BF2A2A" w:rsidP="00D21289">
            <w:pPr>
              <w:spacing w:line="278" w:lineRule="auto"/>
              <w:rPr>
                <w:sz w:val="18"/>
                <w:szCs w:val="18"/>
                <w:lang w:val="es-ES"/>
              </w:rPr>
            </w:pPr>
            <w:r w:rsidRPr="00D21289">
              <w:rPr>
                <w:sz w:val="18"/>
                <w:szCs w:val="18"/>
                <w:lang w:val="es-ES"/>
              </w:rPr>
              <w:t>Estados de América Latina y el Caribe</w:t>
            </w:r>
          </w:p>
        </w:tc>
      </w:tr>
      <w:tr w:rsidR="00BF2A2A" w:rsidRPr="00D21289" w14:paraId="3CA91B06" w14:textId="77777777" w:rsidTr="00D21289">
        <w:tc>
          <w:tcPr>
            <w:tcW w:w="4406" w:type="dxa"/>
          </w:tcPr>
          <w:p w14:paraId="66AEF47B" w14:textId="77777777" w:rsidR="00BF2A2A" w:rsidRPr="00D21289" w:rsidRDefault="00BF2A2A" w:rsidP="00D21289">
            <w:pPr>
              <w:spacing w:line="278" w:lineRule="auto"/>
              <w:rPr>
                <w:sz w:val="18"/>
                <w:szCs w:val="18"/>
                <w:lang w:val="es-ES"/>
              </w:rPr>
            </w:pPr>
            <w:r w:rsidRPr="00D21289">
              <w:rPr>
                <w:sz w:val="18"/>
                <w:szCs w:val="18"/>
                <w:lang w:val="es-ES"/>
              </w:rPr>
              <w:t xml:space="preserve"> Eastern European States</w:t>
            </w:r>
          </w:p>
        </w:tc>
        <w:tc>
          <w:tcPr>
            <w:tcW w:w="4813" w:type="dxa"/>
          </w:tcPr>
          <w:p w14:paraId="133A3FAA" w14:textId="77777777" w:rsidR="00BF2A2A" w:rsidRPr="00D21289" w:rsidRDefault="00BF2A2A" w:rsidP="00D21289">
            <w:pPr>
              <w:spacing w:line="278" w:lineRule="auto"/>
              <w:rPr>
                <w:sz w:val="18"/>
                <w:szCs w:val="18"/>
                <w:lang w:val="es-ES"/>
              </w:rPr>
            </w:pPr>
            <w:r w:rsidRPr="00D21289">
              <w:rPr>
                <w:sz w:val="18"/>
                <w:szCs w:val="18"/>
                <w:lang w:val="es-ES"/>
              </w:rPr>
              <w:t>Estados de Europa Oriental</w:t>
            </w:r>
          </w:p>
        </w:tc>
      </w:tr>
      <w:tr w:rsidR="00BF2A2A" w:rsidRPr="00D21289" w14:paraId="72A24B40" w14:textId="77777777" w:rsidTr="00D21289">
        <w:tc>
          <w:tcPr>
            <w:tcW w:w="4406" w:type="dxa"/>
          </w:tcPr>
          <w:p w14:paraId="3E7E8CD9" w14:textId="77777777" w:rsidR="00BF2A2A" w:rsidRPr="00D21289" w:rsidRDefault="00BF2A2A" w:rsidP="00D21289">
            <w:pPr>
              <w:spacing w:line="278" w:lineRule="auto"/>
              <w:rPr>
                <w:sz w:val="18"/>
                <w:szCs w:val="18"/>
                <w:lang w:val="en-US"/>
              </w:rPr>
            </w:pPr>
            <w:r w:rsidRPr="00D21289">
              <w:rPr>
                <w:sz w:val="18"/>
                <w:szCs w:val="18"/>
                <w:lang w:val="en-US"/>
              </w:rPr>
              <w:lastRenderedPageBreak/>
              <w:t>Western European and other States</w:t>
            </w:r>
          </w:p>
        </w:tc>
        <w:tc>
          <w:tcPr>
            <w:tcW w:w="4813" w:type="dxa"/>
          </w:tcPr>
          <w:p w14:paraId="705E7458" w14:textId="77777777" w:rsidR="00BF2A2A" w:rsidRPr="00D21289" w:rsidRDefault="00BF2A2A" w:rsidP="00D21289">
            <w:pPr>
              <w:spacing w:line="278" w:lineRule="auto"/>
              <w:rPr>
                <w:sz w:val="18"/>
                <w:szCs w:val="18"/>
                <w:lang w:val="es-ES"/>
              </w:rPr>
            </w:pPr>
            <w:r w:rsidRPr="00D21289">
              <w:rPr>
                <w:sz w:val="18"/>
                <w:szCs w:val="18"/>
                <w:lang w:val="es-ES"/>
              </w:rPr>
              <w:t>Estados de Europa Occidental y otros Estados</w:t>
            </w:r>
          </w:p>
        </w:tc>
      </w:tr>
    </w:tbl>
    <w:p w14:paraId="2C7BEB4F" w14:textId="77777777" w:rsidR="009713BF" w:rsidRPr="005E3D50" w:rsidRDefault="009713BF" w:rsidP="009713BF">
      <w:pPr>
        <w:rPr>
          <w:lang w:val="es-ES" w:eastAsia="ja-JP"/>
        </w:rPr>
      </w:pPr>
    </w:p>
    <w:p w14:paraId="28FEF29E" w14:textId="77777777" w:rsidR="009713BF" w:rsidRPr="005E3D50" w:rsidRDefault="009713BF" w:rsidP="009713BF">
      <w:pPr>
        <w:spacing w:after="0" w:line="240" w:lineRule="auto"/>
        <w:textAlignment w:val="baseline"/>
        <w:rPr>
          <w:rFonts w:eastAsia="Times New Roman" w:cs="Segoe UI"/>
          <w:kern w:val="0"/>
          <w:sz w:val="20"/>
          <w:szCs w:val="20"/>
          <w:lang w:val="es-ES"/>
          <w14:ligatures w14:val="none"/>
        </w:rPr>
      </w:pPr>
      <w:bookmarkStart w:id="463" w:name="_Ref238754630"/>
      <w:r w:rsidRPr="005E3D50">
        <w:rPr>
          <w:rFonts w:eastAsia="Times New Roman" w:cs="Times New Roman"/>
          <w:kern w:val="0"/>
          <w:sz w:val="20"/>
          <w:lang w:val="es-ES"/>
          <w14:ligatures w14:val="none"/>
        </w:rPr>
        <w:t>Figura 75</w:t>
      </w:r>
      <w:bookmarkEnd w:id="463"/>
    </w:p>
    <w:p w14:paraId="57AE64B9"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18 del Marco que sugieren tendencias de mejora, estables y negativas, respectivamente </w:t>
      </w:r>
    </w:p>
    <w:p w14:paraId="585AF86E"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34F96B07"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1E93F691" wp14:editId="2D66D8AA">
            <wp:extent cx="5731510" cy="2456180"/>
            <wp:effectExtent l="0" t="0" r="0" b="0"/>
            <wp:docPr id="16841375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37531" name="Picture 1684137531"/>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F8BC7EE"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1081CDE1" w14:textId="77777777" w:rsidR="009713BF" w:rsidRPr="005E3D50" w:rsidRDefault="009713BF" w:rsidP="009713BF">
      <w:pPr>
        <w:spacing w:after="200" w:line="240" w:lineRule="auto"/>
        <w:rPr>
          <w:rFonts w:ascii="Aptos" w:eastAsiaTheme="minorEastAsia" w:hAnsi="Aptos"/>
          <w:iCs/>
          <w:color w:val="0E2841" w:themeColor="text2"/>
          <w:kern w:val="0"/>
          <w:sz w:val="16"/>
          <w:szCs w:val="16"/>
          <w:lang w:val="es-ES" w:eastAsia="ja-JP"/>
          <w14:ligatures w14:val="none"/>
        </w:rPr>
      </w:pPr>
      <w:r w:rsidRPr="005E3D50">
        <w:rPr>
          <w:rFonts w:eastAsiaTheme="minorEastAsia"/>
          <w:i/>
          <w:iCs/>
          <w:color w:val="0E2841" w:themeColor="text2"/>
          <w:kern w:val="0"/>
          <w:sz w:val="16"/>
          <w:szCs w:val="18"/>
          <w:lang w:val="es-ES" w:eastAsia="ja-JP"/>
          <w14:ligatures w14:val="none"/>
        </w:rPr>
        <w:t xml:space="preserve">Nota: </w:t>
      </w:r>
      <w:r w:rsidRPr="005E3D50">
        <w:rPr>
          <w:rFonts w:eastAsiaTheme="minorEastAsia"/>
          <w:iCs/>
          <w:color w:val="0E2841" w:themeColor="text2"/>
          <w:kern w:val="0"/>
          <w:sz w:val="16"/>
          <w:szCs w:val="18"/>
          <w:lang w:val="es-ES" w:eastAsia="ja-JP"/>
          <w14:ligatures w14:val="none"/>
        </w:rPr>
        <w:t>Las proporciones están ponderadas por Parte. Las tendencias incluyen datos para 2 indicadores de cabecera de 44 Partes y 28 indicadores nacionales de 12 Partes. El gráfico circular muestra la distribución de las Partes que presentaron indicadores para la meta 18, por región.</w:t>
      </w:r>
      <w:r w:rsidRPr="005E3D50">
        <w:rPr>
          <w:rFonts w:ascii="Aptos" w:eastAsiaTheme="minorEastAsia" w:hAnsi="Aptos"/>
          <w:iCs/>
          <w:color w:val="0E2841" w:themeColor="text2"/>
          <w:kern w:val="0"/>
          <w:sz w:val="16"/>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76" w:type="dxa"/>
        <w:tblLook w:val="04A0" w:firstRow="1" w:lastRow="0" w:firstColumn="1" w:lastColumn="0" w:noHBand="0" w:noVBand="1"/>
      </w:tblPr>
      <w:tblGrid>
        <w:gridCol w:w="4944"/>
        <w:gridCol w:w="4432"/>
      </w:tblGrid>
      <w:tr w:rsidR="00B07252" w:rsidRPr="00B07252" w14:paraId="19AC078E" w14:textId="77777777" w:rsidTr="00B07252">
        <w:tc>
          <w:tcPr>
            <w:tcW w:w="4944" w:type="dxa"/>
          </w:tcPr>
          <w:p w14:paraId="7381063B" w14:textId="182873BA" w:rsidR="00B07252" w:rsidRPr="00B07252" w:rsidRDefault="00B07252" w:rsidP="00B07252">
            <w:pPr>
              <w:rPr>
                <w:sz w:val="18"/>
                <w:szCs w:val="18"/>
                <w:lang w:val="es-ES"/>
              </w:rPr>
            </w:pPr>
            <w:r w:rsidRPr="00B07252">
              <w:rPr>
                <w:sz w:val="18"/>
                <w:szCs w:val="18"/>
                <w:lang w:val="es-ES"/>
              </w:rPr>
              <w:t>Figura 75</w:t>
            </w:r>
          </w:p>
        </w:tc>
        <w:tc>
          <w:tcPr>
            <w:tcW w:w="4432" w:type="dxa"/>
          </w:tcPr>
          <w:p w14:paraId="37D8F7ED" w14:textId="77777777" w:rsidR="00B07252" w:rsidRPr="00B07252" w:rsidRDefault="00B07252" w:rsidP="00B07252">
            <w:pPr>
              <w:rPr>
                <w:sz w:val="18"/>
                <w:szCs w:val="18"/>
                <w:lang w:val="es-ES"/>
              </w:rPr>
            </w:pPr>
          </w:p>
        </w:tc>
      </w:tr>
      <w:tr w:rsidR="00B07252" w:rsidRPr="00B07252" w14:paraId="2E5AD93E" w14:textId="77777777" w:rsidTr="00B07252">
        <w:tc>
          <w:tcPr>
            <w:tcW w:w="4944" w:type="dxa"/>
          </w:tcPr>
          <w:p w14:paraId="7B843D69" w14:textId="77777777" w:rsidR="00B07252" w:rsidRPr="00B07252" w:rsidRDefault="00B07252" w:rsidP="00B07252">
            <w:pPr>
              <w:spacing w:line="278" w:lineRule="auto"/>
              <w:rPr>
                <w:sz w:val="18"/>
                <w:szCs w:val="18"/>
                <w:lang w:val="es-ES"/>
              </w:rPr>
            </w:pPr>
            <w:bookmarkStart w:id="464" w:name="_Toc235821271"/>
            <w:r w:rsidRPr="00B07252">
              <w:rPr>
                <w:sz w:val="18"/>
                <w:szCs w:val="18"/>
                <w:lang w:val="es-ES"/>
              </w:rPr>
              <w:t xml:space="preserve">English </w:t>
            </w:r>
          </w:p>
        </w:tc>
        <w:tc>
          <w:tcPr>
            <w:tcW w:w="4432" w:type="dxa"/>
          </w:tcPr>
          <w:p w14:paraId="173D866E" w14:textId="4405F026" w:rsidR="00B07252" w:rsidRPr="00B07252" w:rsidRDefault="00B07252" w:rsidP="00B07252">
            <w:pPr>
              <w:spacing w:line="278" w:lineRule="auto"/>
              <w:rPr>
                <w:sz w:val="18"/>
                <w:szCs w:val="18"/>
                <w:lang w:val="es-ES"/>
              </w:rPr>
            </w:pPr>
            <w:r w:rsidRPr="00B07252">
              <w:rPr>
                <w:sz w:val="18"/>
                <w:szCs w:val="18"/>
                <w:lang w:val="es-ES"/>
              </w:rPr>
              <w:t>Español</w:t>
            </w:r>
          </w:p>
        </w:tc>
      </w:tr>
      <w:tr w:rsidR="00B07252" w:rsidRPr="00B07252" w14:paraId="0A746A73" w14:textId="77777777" w:rsidTr="00B07252">
        <w:tc>
          <w:tcPr>
            <w:tcW w:w="4944" w:type="dxa"/>
          </w:tcPr>
          <w:p w14:paraId="2E50EFFB" w14:textId="77777777" w:rsidR="00B07252" w:rsidRPr="00B07252" w:rsidRDefault="00B07252" w:rsidP="00B07252">
            <w:pPr>
              <w:spacing w:line="278" w:lineRule="auto"/>
              <w:rPr>
                <w:sz w:val="18"/>
                <w:szCs w:val="18"/>
                <w:lang w:val="es-ES"/>
              </w:rPr>
            </w:pPr>
            <w:proofErr w:type="spellStart"/>
            <w:r w:rsidRPr="00B07252">
              <w:rPr>
                <w:sz w:val="18"/>
                <w:szCs w:val="18"/>
                <w:lang w:val="es-ES"/>
              </w:rPr>
              <w:t>Proportion</w:t>
            </w:r>
            <w:proofErr w:type="spellEnd"/>
          </w:p>
        </w:tc>
        <w:tc>
          <w:tcPr>
            <w:tcW w:w="4432" w:type="dxa"/>
          </w:tcPr>
          <w:p w14:paraId="65DDD655" w14:textId="77777777" w:rsidR="00B07252" w:rsidRPr="00B07252" w:rsidRDefault="00B07252" w:rsidP="00B07252">
            <w:pPr>
              <w:spacing w:line="278" w:lineRule="auto"/>
              <w:rPr>
                <w:sz w:val="18"/>
                <w:szCs w:val="18"/>
                <w:lang w:val="es-ES"/>
              </w:rPr>
            </w:pPr>
            <w:r w:rsidRPr="00B07252">
              <w:rPr>
                <w:sz w:val="18"/>
                <w:szCs w:val="18"/>
                <w:lang w:val="es-ES"/>
              </w:rPr>
              <w:t>Proporción</w:t>
            </w:r>
          </w:p>
        </w:tc>
      </w:tr>
      <w:tr w:rsidR="00B07252" w:rsidRPr="00B07252" w14:paraId="7761CC32" w14:textId="77777777" w:rsidTr="00B07252">
        <w:tc>
          <w:tcPr>
            <w:tcW w:w="4944" w:type="dxa"/>
          </w:tcPr>
          <w:p w14:paraId="2F248303" w14:textId="77777777" w:rsidR="00B07252" w:rsidRPr="00B07252" w:rsidRDefault="00B07252" w:rsidP="00B07252">
            <w:pPr>
              <w:spacing w:line="278" w:lineRule="auto"/>
              <w:rPr>
                <w:sz w:val="18"/>
                <w:szCs w:val="18"/>
                <w:lang w:val="es-ES"/>
              </w:rPr>
            </w:pPr>
            <w:r w:rsidRPr="00B07252">
              <w:rPr>
                <w:sz w:val="18"/>
                <w:szCs w:val="18"/>
                <w:lang w:val="es-ES"/>
              </w:rPr>
              <w:t xml:space="preserve">Current </w:t>
            </w:r>
            <w:proofErr w:type="gramStart"/>
            <w:r w:rsidRPr="00B07252">
              <w:rPr>
                <w:sz w:val="18"/>
                <w:szCs w:val="18"/>
                <w:lang w:val="es-ES"/>
              </w:rPr>
              <w:t>Status</w:t>
            </w:r>
            <w:proofErr w:type="gramEnd"/>
          </w:p>
        </w:tc>
        <w:tc>
          <w:tcPr>
            <w:tcW w:w="4432" w:type="dxa"/>
          </w:tcPr>
          <w:p w14:paraId="471E7B02" w14:textId="77777777" w:rsidR="00B07252" w:rsidRPr="00B07252" w:rsidRDefault="00B07252" w:rsidP="00B07252">
            <w:pPr>
              <w:spacing w:line="278" w:lineRule="auto"/>
              <w:rPr>
                <w:sz w:val="18"/>
                <w:szCs w:val="18"/>
                <w:lang w:val="es-ES"/>
              </w:rPr>
            </w:pPr>
            <w:r w:rsidRPr="00B07252">
              <w:rPr>
                <w:sz w:val="18"/>
                <w:szCs w:val="18"/>
                <w:lang w:val="es-ES"/>
              </w:rPr>
              <w:t>Estado actual</w:t>
            </w:r>
          </w:p>
        </w:tc>
      </w:tr>
      <w:tr w:rsidR="00B07252" w:rsidRPr="00B07252" w14:paraId="7FBE1C2F" w14:textId="77777777" w:rsidTr="00B07252">
        <w:tc>
          <w:tcPr>
            <w:tcW w:w="4944" w:type="dxa"/>
          </w:tcPr>
          <w:p w14:paraId="7DE39D83" w14:textId="77777777" w:rsidR="00B07252" w:rsidRPr="00B07252" w:rsidRDefault="00B07252" w:rsidP="00B07252">
            <w:pPr>
              <w:spacing w:line="278" w:lineRule="auto"/>
              <w:rPr>
                <w:sz w:val="18"/>
                <w:szCs w:val="18"/>
                <w:lang w:val="es-ES"/>
              </w:rPr>
            </w:pPr>
            <w:proofErr w:type="spellStart"/>
            <w:r w:rsidRPr="00B07252">
              <w:rPr>
                <w:sz w:val="18"/>
                <w:szCs w:val="18"/>
                <w:lang w:val="es-ES"/>
              </w:rPr>
              <w:t>improving</w:t>
            </w:r>
            <w:proofErr w:type="spellEnd"/>
          </w:p>
        </w:tc>
        <w:tc>
          <w:tcPr>
            <w:tcW w:w="4432" w:type="dxa"/>
          </w:tcPr>
          <w:p w14:paraId="430707AC" w14:textId="77777777" w:rsidR="00B07252" w:rsidRPr="00B07252" w:rsidRDefault="00B07252" w:rsidP="00B07252">
            <w:pPr>
              <w:spacing w:line="278" w:lineRule="auto"/>
              <w:rPr>
                <w:sz w:val="18"/>
                <w:szCs w:val="18"/>
                <w:lang w:val="es-ES"/>
              </w:rPr>
            </w:pPr>
            <w:r w:rsidRPr="00B07252">
              <w:rPr>
                <w:sz w:val="18"/>
                <w:szCs w:val="18"/>
                <w:lang w:val="es-ES"/>
              </w:rPr>
              <w:t>mejorando</w:t>
            </w:r>
          </w:p>
        </w:tc>
      </w:tr>
      <w:tr w:rsidR="00B07252" w:rsidRPr="00B07252" w14:paraId="44A28627" w14:textId="77777777" w:rsidTr="00B07252">
        <w:tc>
          <w:tcPr>
            <w:tcW w:w="4944" w:type="dxa"/>
          </w:tcPr>
          <w:p w14:paraId="3B4C3AF3" w14:textId="77777777" w:rsidR="00B07252" w:rsidRPr="00B07252" w:rsidRDefault="00B07252" w:rsidP="00B07252">
            <w:pPr>
              <w:spacing w:line="278" w:lineRule="auto"/>
              <w:rPr>
                <w:sz w:val="18"/>
                <w:szCs w:val="18"/>
                <w:lang w:val="es-ES"/>
              </w:rPr>
            </w:pPr>
            <w:proofErr w:type="spellStart"/>
            <w:r w:rsidRPr="00B07252">
              <w:rPr>
                <w:sz w:val="18"/>
                <w:szCs w:val="18"/>
                <w:lang w:val="es-ES"/>
              </w:rPr>
              <w:t>stable</w:t>
            </w:r>
            <w:proofErr w:type="spellEnd"/>
          </w:p>
        </w:tc>
        <w:tc>
          <w:tcPr>
            <w:tcW w:w="4432" w:type="dxa"/>
          </w:tcPr>
          <w:p w14:paraId="0CE4E7EF" w14:textId="77777777" w:rsidR="00B07252" w:rsidRPr="00B07252" w:rsidRDefault="00B07252" w:rsidP="00B07252">
            <w:pPr>
              <w:spacing w:line="278" w:lineRule="auto"/>
              <w:rPr>
                <w:sz w:val="18"/>
                <w:szCs w:val="18"/>
                <w:lang w:val="es-ES"/>
              </w:rPr>
            </w:pPr>
            <w:r w:rsidRPr="00B07252">
              <w:rPr>
                <w:sz w:val="18"/>
                <w:szCs w:val="18"/>
                <w:lang w:val="es-ES"/>
              </w:rPr>
              <w:t>estable</w:t>
            </w:r>
          </w:p>
        </w:tc>
      </w:tr>
      <w:tr w:rsidR="00B07252" w:rsidRPr="00B07252" w14:paraId="04C91746" w14:textId="77777777" w:rsidTr="00B07252">
        <w:tc>
          <w:tcPr>
            <w:tcW w:w="4944" w:type="dxa"/>
          </w:tcPr>
          <w:p w14:paraId="2A016734" w14:textId="77777777" w:rsidR="00B07252" w:rsidRPr="00B07252" w:rsidRDefault="00B07252" w:rsidP="00B07252">
            <w:pPr>
              <w:spacing w:line="278" w:lineRule="auto"/>
              <w:rPr>
                <w:sz w:val="18"/>
                <w:szCs w:val="18"/>
                <w:lang w:val="es-ES"/>
              </w:rPr>
            </w:pPr>
            <w:proofErr w:type="spellStart"/>
            <w:r w:rsidRPr="00B07252">
              <w:rPr>
                <w:sz w:val="18"/>
                <w:szCs w:val="18"/>
                <w:lang w:val="es-ES"/>
              </w:rPr>
              <w:t>moving</w:t>
            </w:r>
            <w:proofErr w:type="spellEnd"/>
            <w:r w:rsidRPr="00B07252">
              <w:rPr>
                <w:sz w:val="18"/>
                <w:szCs w:val="18"/>
                <w:lang w:val="es-ES"/>
              </w:rPr>
              <w:t xml:space="preserve"> </w:t>
            </w:r>
            <w:proofErr w:type="spellStart"/>
            <w:r w:rsidRPr="00B07252">
              <w:rPr>
                <w:sz w:val="18"/>
                <w:szCs w:val="18"/>
                <w:lang w:val="es-ES"/>
              </w:rPr>
              <w:t>away</w:t>
            </w:r>
            <w:proofErr w:type="spellEnd"/>
          </w:p>
        </w:tc>
        <w:tc>
          <w:tcPr>
            <w:tcW w:w="4432" w:type="dxa"/>
          </w:tcPr>
          <w:p w14:paraId="2CD865E0" w14:textId="77777777" w:rsidR="00B07252" w:rsidRPr="00B07252" w:rsidRDefault="00B07252" w:rsidP="00B07252">
            <w:pPr>
              <w:spacing w:line="278" w:lineRule="auto"/>
              <w:rPr>
                <w:sz w:val="18"/>
                <w:szCs w:val="18"/>
                <w:lang w:val="es-ES"/>
              </w:rPr>
            </w:pPr>
            <w:r w:rsidRPr="00B07252">
              <w:rPr>
                <w:sz w:val="18"/>
                <w:szCs w:val="18"/>
                <w:lang w:val="es-ES"/>
              </w:rPr>
              <w:t>alejándose</w:t>
            </w:r>
          </w:p>
        </w:tc>
      </w:tr>
      <w:tr w:rsidR="00B07252" w:rsidRPr="00B07252" w14:paraId="5E99E211" w14:textId="77777777" w:rsidTr="00B07252">
        <w:tc>
          <w:tcPr>
            <w:tcW w:w="4944" w:type="dxa"/>
          </w:tcPr>
          <w:p w14:paraId="318E8430" w14:textId="77777777" w:rsidR="00B07252" w:rsidRPr="00B07252" w:rsidRDefault="00B07252" w:rsidP="00B07252">
            <w:pPr>
              <w:spacing w:line="278" w:lineRule="auto"/>
              <w:rPr>
                <w:sz w:val="18"/>
                <w:szCs w:val="18"/>
                <w:lang w:val="es-ES"/>
              </w:rPr>
            </w:pPr>
            <w:r w:rsidRPr="00B07252">
              <w:rPr>
                <w:sz w:val="18"/>
                <w:szCs w:val="18"/>
                <w:lang w:val="es-ES"/>
              </w:rPr>
              <w:t xml:space="preserve">Party </w:t>
            </w:r>
            <w:proofErr w:type="spellStart"/>
            <w:r w:rsidRPr="00B07252">
              <w:rPr>
                <w:sz w:val="18"/>
                <w:szCs w:val="18"/>
                <w:lang w:val="es-ES"/>
              </w:rPr>
              <w:t>count</w:t>
            </w:r>
            <w:proofErr w:type="spellEnd"/>
            <w:r w:rsidRPr="00B07252">
              <w:rPr>
                <w:sz w:val="18"/>
                <w:szCs w:val="18"/>
                <w:lang w:val="es-ES"/>
              </w:rPr>
              <w:t>: 48</w:t>
            </w:r>
          </w:p>
        </w:tc>
        <w:tc>
          <w:tcPr>
            <w:tcW w:w="4432" w:type="dxa"/>
          </w:tcPr>
          <w:p w14:paraId="4B9CEF6C" w14:textId="77777777" w:rsidR="00B07252" w:rsidRPr="00B07252" w:rsidRDefault="00B07252" w:rsidP="00B07252">
            <w:pPr>
              <w:spacing w:line="278" w:lineRule="auto"/>
              <w:rPr>
                <w:sz w:val="18"/>
                <w:szCs w:val="18"/>
                <w:lang w:val="es-ES"/>
              </w:rPr>
            </w:pPr>
            <w:r w:rsidRPr="00B07252">
              <w:rPr>
                <w:sz w:val="18"/>
                <w:szCs w:val="18"/>
                <w:lang w:val="es-ES"/>
              </w:rPr>
              <w:t>Número de Partes: 48</w:t>
            </w:r>
          </w:p>
        </w:tc>
      </w:tr>
      <w:tr w:rsidR="00B07252" w:rsidRPr="00B07252" w14:paraId="20DF21E4" w14:textId="77777777" w:rsidTr="00B07252">
        <w:tc>
          <w:tcPr>
            <w:tcW w:w="4944" w:type="dxa"/>
          </w:tcPr>
          <w:p w14:paraId="50828C3A" w14:textId="77777777" w:rsidR="00B07252" w:rsidRPr="00B07252" w:rsidRDefault="00B07252" w:rsidP="00B07252">
            <w:pPr>
              <w:spacing w:line="278" w:lineRule="auto"/>
              <w:rPr>
                <w:sz w:val="18"/>
                <w:szCs w:val="18"/>
                <w:lang w:val="es-ES"/>
              </w:rPr>
            </w:pPr>
            <w:proofErr w:type="spellStart"/>
            <w:r w:rsidRPr="00B07252">
              <w:rPr>
                <w:sz w:val="18"/>
                <w:szCs w:val="18"/>
                <w:lang w:val="es-ES"/>
              </w:rPr>
              <w:t>Region</w:t>
            </w:r>
            <w:proofErr w:type="spellEnd"/>
          </w:p>
        </w:tc>
        <w:tc>
          <w:tcPr>
            <w:tcW w:w="4432" w:type="dxa"/>
          </w:tcPr>
          <w:p w14:paraId="5C040275" w14:textId="77777777" w:rsidR="00B07252" w:rsidRPr="00B07252" w:rsidRDefault="00B07252" w:rsidP="00B07252">
            <w:pPr>
              <w:spacing w:line="278" w:lineRule="auto"/>
              <w:rPr>
                <w:sz w:val="18"/>
                <w:szCs w:val="18"/>
                <w:lang w:val="es-ES"/>
              </w:rPr>
            </w:pPr>
            <w:r w:rsidRPr="00B07252">
              <w:rPr>
                <w:sz w:val="18"/>
                <w:szCs w:val="18"/>
                <w:lang w:val="es-ES"/>
              </w:rPr>
              <w:t>Región</w:t>
            </w:r>
          </w:p>
        </w:tc>
      </w:tr>
      <w:tr w:rsidR="00B07252" w:rsidRPr="00B07252" w14:paraId="5C84A4EF" w14:textId="77777777" w:rsidTr="00B07252">
        <w:tc>
          <w:tcPr>
            <w:tcW w:w="4944" w:type="dxa"/>
          </w:tcPr>
          <w:p w14:paraId="2B23E412" w14:textId="77777777" w:rsidR="00B07252" w:rsidRPr="00B07252" w:rsidRDefault="00B07252" w:rsidP="00B07252">
            <w:pPr>
              <w:spacing w:line="278" w:lineRule="auto"/>
              <w:rPr>
                <w:sz w:val="18"/>
                <w:szCs w:val="18"/>
                <w:lang w:val="es-ES"/>
              </w:rPr>
            </w:pPr>
            <w:r w:rsidRPr="00B07252">
              <w:rPr>
                <w:sz w:val="18"/>
                <w:szCs w:val="18"/>
                <w:lang w:val="es-ES"/>
              </w:rPr>
              <w:t>African States</w:t>
            </w:r>
          </w:p>
        </w:tc>
        <w:tc>
          <w:tcPr>
            <w:tcW w:w="4432" w:type="dxa"/>
          </w:tcPr>
          <w:p w14:paraId="165BD846" w14:textId="77777777" w:rsidR="00B07252" w:rsidRPr="00B07252" w:rsidRDefault="00B07252" w:rsidP="00B07252">
            <w:pPr>
              <w:spacing w:line="278" w:lineRule="auto"/>
              <w:rPr>
                <w:sz w:val="18"/>
                <w:szCs w:val="18"/>
                <w:lang w:val="es-ES"/>
              </w:rPr>
            </w:pPr>
            <w:r w:rsidRPr="00B07252">
              <w:rPr>
                <w:sz w:val="18"/>
                <w:szCs w:val="18"/>
                <w:lang w:val="es-ES"/>
              </w:rPr>
              <w:t>Estados de África</w:t>
            </w:r>
          </w:p>
        </w:tc>
      </w:tr>
      <w:tr w:rsidR="00B07252" w:rsidRPr="00B07252" w14:paraId="72B5B361" w14:textId="77777777" w:rsidTr="00B07252">
        <w:tc>
          <w:tcPr>
            <w:tcW w:w="4944" w:type="dxa"/>
          </w:tcPr>
          <w:p w14:paraId="67B844CE" w14:textId="77777777" w:rsidR="00B07252" w:rsidRPr="00B07252" w:rsidRDefault="00B07252" w:rsidP="00B07252">
            <w:pPr>
              <w:spacing w:line="278" w:lineRule="auto"/>
              <w:rPr>
                <w:sz w:val="18"/>
                <w:szCs w:val="18"/>
                <w:lang w:val="es-ES"/>
              </w:rPr>
            </w:pPr>
            <w:r w:rsidRPr="00B07252">
              <w:rPr>
                <w:sz w:val="18"/>
                <w:szCs w:val="18"/>
                <w:lang w:val="es-ES"/>
              </w:rPr>
              <w:t>Asia-</w:t>
            </w:r>
            <w:proofErr w:type="gramStart"/>
            <w:r w:rsidRPr="00B07252">
              <w:rPr>
                <w:sz w:val="18"/>
                <w:szCs w:val="18"/>
                <w:lang w:val="es-ES"/>
              </w:rPr>
              <w:t>Pacific  States</w:t>
            </w:r>
            <w:proofErr w:type="gramEnd"/>
          </w:p>
        </w:tc>
        <w:tc>
          <w:tcPr>
            <w:tcW w:w="4432" w:type="dxa"/>
          </w:tcPr>
          <w:p w14:paraId="23403ECB" w14:textId="77777777" w:rsidR="00B07252" w:rsidRPr="00B07252" w:rsidRDefault="00B07252" w:rsidP="00B07252">
            <w:pPr>
              <w:spacing w:line="278" w:lineRule="auto"/>
              <w:rPr>
                <w:sz w:val="18"/>
                <w:szCs w:val="18"/>
                <w:lang w:val="es-ES"/>
              </w:rPr>
            </w:pPr>
            <w:r w:rsidRPr="00B07252">
              <w:rPr>
                <w:sz w:val="18"/>
                <w:szCs w:val="18"/>
                <w:lang w:val="es-ES"/>
              </w:rPr>
              <w:t>Estados de Asia y el Pacífico</w:t>
            </w:r>
          </w:p>
        </w:tc>
      </w:tr>
      <w:tr w:rsidR="00B07252" w:rsidRPr="00B07252" w14:paraId="414C3F74" w14:textId="77777777" w:rsidTr="00B07252">
        <w:tc>
          <w:tcPr>
            <w:tcW w:w="4944" w:type="dxa"/>
          </w:tcPr>
          <w:p w14:paraId="3FAF94F0" w14:textId="77777777" w:rsidR="00B07252" w:rsidRPr="00B07252" w:rsidRDefault="00B07252" w:rsidP="00B07252">
            <w:pPr>
              <w:spacing w:line="278" w:lineRule="auto"/>
              <w:rPr>
                <w:sz w:val="18"/>
                <w:szCs w:val="18"/>
                <w:lang w:val="en-US"/>
              </w:rPr>
            </w:pPr>
            <w:r w:rsidRPr="00B07252">
              <w:rPr>
                <w:sz w:val="18"/>
                <w:szCs w:val="18"/>
                <w:lang w:val="en-US"/>
              </w:rPr>
              <w:t>Latin American and Caribbean States</w:t>
            </w:r>
          </w:p>
        </w:tc>
        <w:tc>
          <w:tcPr>
            <w:tcW w:w="4432" w:type="dxa"/>
          </w:tcPr>
          <w:p w14:paraId="1D5E2F60" w14:textId="77777777" w:rsidR="00B07252" w:rsidRPr="00B07252" w:rsidRDefault="00B07252" w:rsidP="00B07252">
            <w:pPr>
              <w:spacing w:line="278" w:lineRule="auto"/>
              <w:rPr>
                <w:sz w:val="18"/>
                <w:szCs w:val="18"/>
                <w:lang w:val="es-ES"/>
              </w:rPr>
            </w:pPr>
            <w:r w:rsidRPr="00B07252">
              <w:rPr>
                <w:sz w:val="18"/>
                <w:szCs w:val="18"/>
                <w:lang w:val="es-ES"/>
              </w:rPr>
              <w:t>Estados de América Latina y el Caribe</w:t>
            </w:r>
          </w:p>
        </w:tc>
      </w:tr>
      <w:tr w:rsidR="00B07252" w:rsidRPr="00B07252" w14:paraId="4C057BF9" w14:textId="77777777" w:rsidTr="00B07252">
        <w:tc>
          <w:tcPr>
            <w:tcW w:w="4944" w:type="dxa"/>
          </w:tcPr>
          <w:p w14:paraId="252B2D38" w14:textId="77777777" w:rsidR="00B07252" w:rsidRPr="00B07252" w:rsidRDefault="00B07252" w:rsidP="00B07252">
            <w:pPr>
              <w:spacing w:line="278" w:lineRule="auto"/>
              <w:rPr>
                <w:sz w:val="18"/>
                <w:szCs w:val="18"/>
                <w:lang w:val="es-ES"/>
              </w:rPr>
            </w:pPr>
            <w:r w:rsidRPr="00B07252">
              <w:rPr>
                <w:sz w:val="18"/>
                <w:szCs w:val="18"/>
                <w:lang w:val="es-ES"/>
              </w:rPr>
              <w:t xml:space="preserve"> Eastern European States</w:t>
            </w:r>
          </w:p>
        </w:tc>
        <w:tc>
          <w:tcPr>
            <w:tcW w:w="4432" w:type="dxa"/>
          </w:tcPr>
          <w:p w14:paraId="76879FAC" w14:textId="77777777" w:rsidR="00B07252" w:rsidRPr="00B07252" w:rsidRDefault="00B07252" w:rsidP="00B07252">
            <w:pPr>
              <w:spacing w:line="278" w:lineRule="auto"/>
              <w:rPr>
                <w:sz w:val="18"/>
                <w:szCs w:val="18"/>
                <w:lang w:val="es-ES"/>
              </w:rPr>
            </w:pPr>
            <w:r w:rsidRPr="00B07252">
              <w:rPr>
                <w:sz w:val="18"/>
                <w:szCs w:val="18"/>
                <w:lang w:val="es-ES"/>
              </w:rPr>
              <w:t>Estados de Europa Oriental</w:t>
            </w:r>
          </w:p>
        </w:tc>
      </w:tr>
      <w:tr w:rsidR="00B07252" w:rsidRPr="00B07252" w14:paraId="2EF97C1F" w14:textId="77777777" w:rsidTr="00B07252">
        <w:tc>
          <w:tcPr>
            <w:tcW w:w="4944" w:type="dxa"/>
          </w:tcPr>
          <w:p w14:paraId="0971EE48" w14:textId="77777777" w:rsidR="00B07252" w:rsidRPr="00B07252" w:rsidRDefault="00B07252" w:rsidP="00B07252">
            <w:pPr>
              <w:spacing w:line="278" w:lineRule="auto"/>
              <w:rPr>
                <w:sz w:val="18"/>
                <w:szCs w:val="18"/>
                <w:lang w:val="en-US"/>
              </w:rPr>
            </w:pPr>
            <w:r w:rsidRPr="00B07252">
              <w:rPr>
                <w:sz w:val="18"/>
                <w:szCs w:val="18"/>
                <w:lang w:val="en-US"/>
              </w:rPr>
              <w:t>Western European and other States</w:t>
            </w:r>
          </w:p>
        </w:tc>
        <w:tc>
          <w:tcPr>
            <w:tcW w:w="4432" w:type="dxa"/>
          </w:tcPr>
          <w:p w14:paraId="531D880F" w14:textId="77777777" w:rsidR="00B07252" w:rsidRPr="00B07252" w:rsidRDefault="00B07252" w:rsidP="00B07252">
            <w:pPr>
              <w:spacing w:line="278" w:lineRule="auto"/>
              <w:rPr>
                <w:sz w:val="18"/>
                <w:szCs w:val="18"/>
                <w:lang w:val="es-ES"/>
              </w:rPr>
            </w:pPr>
            <w:r w:rsidRPr="00B07252">
              <w:rPr>
                <w:sz w:val="18"/>
                <w:szCs w:val="18"/>
                <w:lang w:val="es-ES"/>
              </w:rPr>
              <w:t>Estados de Europa Occidental y otros Estados</w:t>
            </w:r>
          </w:p>
        </w:tc>
      </w:tr>
    </w:tbl>
    <w:p w14:paraId="5EC3F11A" w14:textId="77777777" w:rsidR="009713BF" w:rsidRPr="005E3D50" w:rsidRDefault="009713BF" w:rsidP="009713BF">
      <w:pPr>
        <w:spacing w:after="200" w:line="240" w:lineRule="auto"/>
        <w:rPr>
          <w:rFonts w:ascii="Aptos" w:eastAsiaTheme="minorEastAsia" w:hAnsi="Aptos" w:cs="Segoe UI"/>
          <w:i/>
          <w:iCs/>
          <w:color w:val="0E2841" w:themeColor="text2"/>
          <w:kern w:val="0"/>
          <w:sz w:val="16"/>
          <w:szCs w:val="16"/>
          <w:lang w:val="es-ES" w:eastAsia="ja-JP"/>
          <w14:ligatures w14:val="none"/>
        </w:rPr>
      </w:pPr>
    </w:p>
    <w:p w14:paraId="1E054D6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464"/>
    </w:p>
    <w:p w14:paraId="4C777C40" w14:textId="77777777" w:rsidR="009713BF" w:rsidRPr="005E3D50" w:rsidRDefault="009713BF" w:rsidP="009713BF">
      <w:pPr>
        <w:rPr>
          <w:lang w:val="es-ES"/>
        </w:rPr>
      </w:pPr>
    </w:p>
    <w:p w14:paraId="1EE68B8D" w14:textId="77777777" w:rsidR="009713BF" w:rsidRPr="005E3D50" w:rsidRDefault="009713BF" w:rsidP="009713BF">
      <w:pPr>
        <w:keepNext/>
        <w:rPr>
          <w:lang w:val="es-ES"/>
        </w:rPr>
      </w:pPr>
      <w:bookmarkStart w:id="465" w:name="_Ref231226137"/>
      <w:r w:rsidRPr="005E3D50">
        <w:rPr>
          <w:lang w:val="es-ES"/>
        </w:rPr>
        <w:lastRenderedPageBreak/>
        <w:t xml:space="preserve">Según las autoevaluaciones realizadas por las Partes en sus informes nacionales, solo un cuarto (25 %) de las metas nacionales presentadas como estrechamente armonizadas con la meta 18 están en vías de alcanzarse, frente a más del doble de esa cifra (62 %) en las que se registran progresos insuficientes y otro 7 % sin cambios significativos. </w:t>
      </w:r>
      <w:r w:rsidRPr="005E3D50">
        <w:rPr>
          <w:rFonts w:ascii="Aptos" w:hAnsi="Aptos"/>
          <w:lang w:val="es-ES"/>
        </w:rPr>
        <w:t xml:space="preserve">Solo se informa de dos metas nacionales (1 %) que ya se han logrado (véase la </w:t>
      </w:r>
      <w:r w:rsidRPr="005E3D50">
        <w:rPr>
          <w:lang w:val="es-ES"/>
        </w:rPr>
        <w:t>figura 76).</w:t>
      </w:r>
      <w:r w:rsidRPr="005E3D50">
        <w:rPr>
          <w:rFonts w:ascii="Aptos" w:hAnsi="Aptos"/>
          <w:lang w:val="es-ES"/>
        </w:rPr>
        <w:t xml:space="preserve"> </w:t>
      </w:r>
    </w:p>
    <w:p w14:paraId="0D847412" w14:textId="77777777" w:rsidR="009713BF" w:rsidRPr="005E3D50" w:rsidRDefault="009713BF" w:rsidP="009713BF">
      <w:pPr>
        <w:keepNext/>
        <w:rPr>
          <w:sz w:val="20"/>
          <w:szCs w:val="20"/>
          <w:lang w:val="es-ES"/>
        </w:rPr>
      </w:pPr>
    </w:p>
    <w:p w14:paraId="2D6593D5" w14:textId="77777777" w:rsidR="009713BF" w:rsidRPr="005E3D50" w:rsidRDefault="009713BF" w:rsidP="009713BF">
      <w:pPr>
        <w:keepNext/>
        <w:rPr>
          <w:sz w:val="20"/>
          <w:szCs w:val="20"/>
          <w:lang w:val="es-ES"/>
        </w:rPr>
      </w:pPr>
      <w:r w:rsidRPr="005E3D50">
        <w:rPr>
          <w:sz w:val="20"/>
          <w:lang w:val="es-ES"/>
        </w:rPr>
        <w:t>Figura 76</w:t>
      </w:r>
    </w:p>
    <w:p w14:paraId="2CE51C2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18 del Marco </w:t>
      </w:r>
    </w:p>
    <w:p w14:paraId="6C770DB0" w14:textId="77777777" w:rsidR="009713BF" w:rsidRPr="005E3D50" w:rsidRDefault="009713BF" w:rsidP="009713BF">
      <w:pPr>
        <w:keepNext/>
        <w:rPr>
          <w:sz w:val="20"/>
          <w:szCs w:val="20"/>
          <w:lang w:val="es-ES"/>
        </w:rPr>
      </w:pPr>
    </w:p>
    <w:p w14:paraId="2E55183E" w14:textId="77777777" w:rsidR="009713BF" w:rsidRPr="005E3D50" w:rsidRDefault="009713BF" w:rsidP="009713BF">
      <w:pPr>
        <w:keepNext/>
        <w:rPr>
          <w:lang w:val="es-ES"/>
        </w:rPr>
      </w:pPr>
      <w:r w:rsidRPr="005E3D50">
        <w:rPr>
          <w:rFonts w:ascii="Aptos" w:hAnsi="Aptos"/>
          <w:noProof/>
          <w:lang w:val="en-US"/>
        </w:rPr>
        <w:drawing>
          <wp:inline distT="0" distB="0" distL="0" distR="0" wp14:anchorId="5D92D03E" wp14:editId="644BB63C">
            <wp:extent cx="5731510" cy="2292350"/>
            <wp:effectExtent l="0" t="0" r="0" b="6350"/>
            <wp:docPr id="172301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17383" name="Picture 1723017383"/>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bookmarkEnd w:id="465"/>
    </w:p>
    <w:p w14:paraId="118FCD61" w14:textId="77777777" w:rsidR="009713BF" w:rsidRPr="005E3D50" w:rsidRDefault="009713BF" w:rsidP="009713BF">
      <w:pPr>
        <w:keepNext/>
        <w:rPr>
          <w:sz w:val="18"/>
          <w:szCs w:val="18"/>
          <w:lang w:val="es-ES"/>
        </w:rPr>
      </w:pPr>
    </w:p>
    <w:p w14:paraId="54C6C752"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17" w:type="dxa"/>
        <w:tblLook w:val="04A0" w:firstRow="1" w:lastRow="0" w:firstColumn="1" w:lastColumn="0" w:noHBand="0" w:noVBand="1"/>
      </w:tblPr>
      <w:tblGrid>
        <w:gridCol w:w="4473"/>
        <w:gridCol w:w="4844"/>
      </w:tblGrid>
      <w:tr w:rsidR="00B63071" w:rsidRPr="00B63071" w14:paraId="504B180C" w14:textId="77777777" w:rsidTr="00B63071">
        <w:tc>
          <w:tcPr>
            <w:tcW w:w="4473" w:type="dxa"/>
          </w:tcPr>
          <w:p w14:paraId="43E8C37E" w14:textId="5C451947" w:rsidR="00B63071" w:rsidRPr="00B63071" w:rsidRDefault="00B63071" w:rsidP="00B63071">
            <w:pPr>
              <w:rPr>
                <w:sz w:val="18"/>
                <w:szCs w:val="18"/>
                <w:lang w:val="es-ES"/>
              </w:rPr>
            </w:pPr>
            <w:r w:rsidRPr="00B63071">
              <w:rPr>
                <w:sz w:val="18"/>
                <w:szCs w:val="18"/>
                <w:lang w:val="es-ES"/>
              </w:rPr>
              <w:t>Figura 76</w:t>
            </w:r>
          </w:p>
        </w:tc>
        <w:tc>
          <w:tcPr>
            <w:tcW w:w="4844" w:type="dxa"/>
          </w:tcPr>
          <w:p w14:paraId="53A08640" w14:textId="77777777" w:rsidR="00B63071" w:rsidRPr="00B63071" w:rsidRDefault="00B63071" w:rsidP="00B63071">
            <w:pPr>
              <w:rPr>
                <w:sz w:val="18"/>
                <w:szCs w:val="18"/>
                <w:lang w:val="es-ES"/>
              </w:rPr>
            </w:pPr>
          </w:p>
        </w:tc>
      </w:tr>
      <w:tr w:rsidR="00B63071" w:rsidRPr="00B63071" w14:paraId="7DBCE30C" w14:textId="77777777" w:rsidTr="00B63071">
        <w:tc>
          <w:tcPr>
            <w:tcW w:w="4473" w:type="dxa"/>
          </w:tcPr>
          <w:p w14:paraId="1C7287B3" w14:textId="77777777" w:rsidR="00B63071" w:rsidRPr="00B63071" w:rsidRDefault="00B63071" w:rsidP="00B63071">
            <w:pPr>
              <w:spacing w:line="278" w:lineRule="auto"/>
              <w:rPr>
                <w:sz w:val="18"/>
                <w:szCs w:val="18"/>
                <w:lang w:val="es-ES"/>
              </w:rPr>
            </w:pPr>
            <w:r w:rsidRPr="00B63071">
              <w:rPr>
                <w:sz w:val="18"/>
                <w:szCs w:val="18"/>
                <w:lang w:val="es-ES"/>
              </w:rPr>
              <w:t xml:space="preserve">English </w:t>
            </w:r>
          </w:p>
        </w:tc>
        <w:tc>
          <w:tcPr>
            <w:tcW w:w="4844" w:type="dxa"/>
          </w:tcPr>
          <w:p w14:paraId="115B7C51" w14:textId="66D315BC" w:rsidR="00B63071" w:rsidRPr="00B63071" w:rsidRDefault="00B63071" w:rsidP="00B63071">
            <w:pPr>
              <w:spacing w:line="278" w:lineRule="auto"/>
              <w:rPr>
                <w:sz w:val="18"/>
                <w:szCs w:val="18"/>
                <w:lang w:val="es-ES"/>
              </w:rPr>
            </w:pPr>
            <w:r w:rsidRPr="00B63071">
              <w:rPr>
                <w:sz w:val="18"/>
                <w:szCs w:val="18"/>
                <w:lang w:val="es-ES"/>
              </w:rPr>
              <w:t>Español</w:t>
            </w:r>
          </w:p>
        </w:tc>
      </w:tr>
      <w:tr w:rsidR="00B63071" w:rsidRPr="00B63071" w14:paraId="0D9D639F" w14:textId="77777777" w:rsidTr="00B63071">
        <w:tc>
          <w:tcPr>
            <w:tcW w:w="4473" w:type="dxa"/>
          </w:tcPr>
          <w:p w14:paraId="6D540B2A" w14:textId="77777777" w:rsidR="00B63071" w:rsidRPr="00B63071" w:rsidRDefault="00B63071" w:rsidP="00B63071">
            <w:pPr>
              <w:spacing w:line="278" w:lineRule="auto"/>
              <w:rPr>
                <w:sz w:val="18"/>
                <w:szCs w:val="18"/>
                <w:lang w:val="es-ES"/>
              </w:rPr>
            </w:pPr>
            <w:proofErr w:type="spellStart"/>
            <w:r w:rsidRPr="00B63071">
              <w:rPr>
                <w:sz w:val="18"/>
                <w:szCs w:val="18"/>
                <w:lang w:val="es-ES"/>
              </w:rPr>
              <w:t>Percentage</w:t>
            </w:r>
            <w:proofErr w:type="spellEnd"/>
            <w:r w:rsidRPr="00B63071">
              <w:rPr>
                <w:sz w:val="18"/>
                <w:szCs w:val="18"/>
                <w:lang w:val="es-ES"/>
              </w:rPr>
              <w:t xml:space="preserve"> of </w:t>
            </w:r>
            <w:proofErr w:type="spellStart"/>
            <w:r w:rsidRPr="00B63071">
              <w:rPr>
                <w:sz w:val="18"/>
                <w:szCs w:val="18"/>
                <w:lang w:val="es-ES"/>
              </w:rPr>
              <w:t>national</w:t>
            </w:r>
            <w:proofErr w:type="spellEnd"/>
            <w:r w:rsidRPr="00B63071">
              <w:rPr>
                <w:sz w:val="18"/>
                <w:szCs w:val="18"/>
                <w:lang w:val="es-ES"/>
              </w:rPr>
              <w:t xml:space="preserve"> targets</w:t>
            </w:r>
          </w:p>
        </w:tc>
        <w:tc>
          <w:tcPr>
            <w:tcW w:w="4844" w:type="dxa"/>
          </w:tcPr>
          <w:p w14:paraId="245FE33D" w14:textId="77777777" w:rsidR="00B63071" w:rsidRPr="00B63071" w:rsidRDefault="00B63071" w:rsidP="00B63071">
            <w:pPr>
              <w:spacing w:line="278" w:lineRule="auto"/>
              <w:rPr>
                <w:sz w:val="18"/>
                <w:szCs w:val="18"/>
                <w:lang w:val="es-ES"/>
              </w:rPr>
            </w:pPr>
            <w:r w:rsidRPr="00B63071">
              <w:rPr>
                <w:sz w:val="18"/>
                <w:szCs w:val="18"/>
                <w:lang w:val="es-ES"/>
              </w:rPr>
              <w:t>Porcentaje de metas nacionales</w:t>
            </w:r>
          </w:p>
        </w:tc>
      </w:tr>
      <w:tr w:rsidR="00B63071" w:rsidRPr="00B63071" w14:paraId="08C11040" w14:textId="77777777" w:rsidTr="00B63071">
        <w:tc>
          <w:tcPr>
            <w:tcW w:w="4473" w:type="dxa"/>
          </w:tcPr>
          <w:p w14:paraId="6A0370AC" w14:textId="77777777" w:rsidR="00B63071" w:rsidRPr="00B63071" w:rsidRDefault="00B63071" w:rsidP="00B63071">
            <w:pPr>
              <w:spacing w:line="278" w:lineRule="auto"/>
              <w:rPr>
                <w:sz w:val="18"/>
                <w:szCs w:val="18"/>
                <w:lang w:val="es-ES"/>
              </w:rPr>
            </w:pPr>
            <w:proofErr w:type="spellStart"/>
            <w:r w:rsidRPr="00B63071">
              <w:rPr>
                <w:sz w:val="18"/>
                <w:szCs w:val="18"/>
                <w:lang w:val="es-ES"/>
              </w:rPr>
              <w:t>Progress</w:t>
            </w:r>
            <w:proofErr w:type="spellEnd"/>
            <w:r w:rsidRPr="00B63071">
              <w:rPr>
                <w:sz w:val="18"/>
                <w:szCs w:val="18"/>
                <w:lang w:val="es-ES"/>
              </w:rPr>
              <w:t xml:space="preserve"> </w:t>
            </w:r>
            <w:proofErr w:type="spellStart"/>
            <w:r w:rsidRPr="00B63071">
              <w:rPr>
                <w:sz w:val="18"/>
                <w:szCs w:val="18"/>
                <w:lang w:val="es-ES"/>
              </w:rPr>
              <w:t>level</w:t>
            </w:r>
            <w:proofErr w:type="spellEnd"/>
          </w:p>
        </w:tc>
        <w:tc>
          <w:tcPr>
            <w:tcW w:w="4844" w:type="dxa"/>
          </w:tcPr>
          <w:p w14:paraId="2D75516A" w14:textId="77777777" w:rsidR="00B63071" w:rsidRPr="00B63071" w:rsidRDefault="00B63071" w:rsidP="00B63071">
            <w:pPr>
              <w:spacing w:line="278" w:lineRule="auto"/>
              <w:rPr>
                <w:sz w:val="18"/>
                <w:szCs w:val="18"/>
                <w:lang w:val="es-ES"/>
              </w:rPr>
            </w:pPr>
            <w:r w:rsidRPr="00B63071">
              <w:rPr>
                <w:sz w:val="18"/>
                <w:szCs w:val="18"/>
                <w:lang w:val="es-ES"/>
              </w:rPr>
              <w:t>Nivel de progreso</w:t>
            </w:r>
          </w:p>
        </w:tc>
      </w:tr>
      <w:tr w:rsidR="00B63071" w:rsidRPr="00B63071" w14:paraId="6EC979B4" w14:textId="77777777" w:rsidTr="00B63071">
        <w:tc>
          <w:tcPr>
            <w:tcW w:w="4473" w:type="dxa"/>
          </w:tcPr>
          <w:p w14:paraId="71991853" w14:textId="77777777" w:rsidR="00B63071" w:rsidRPr="00B63071" w:rsidRDefault="00B63071" w:rsidP="00B63071">
            <w:pPr>
              <w:spacing w:line="278" w:lineRule="auto"/>
              <w:rPr>
                <w:sz w:val="18"/>
                <w:szCs w:val="18"/>
                <w:lang w:val="es-ES"/>
              </w:rPr>
            </w:pPr>
            <w:proofErr w:type="spellStart"/>
            <w:r w:rsidRPr="00B63071">
              <w:rPr>
                <w:sz w:val="18"/>
                <w:szCs w:val="18"/>
                <w:lang w:val="es-ES"/>
              </w:rPr>
              <w:t>Achieved</w:t>
            </w:r>
            <w:proofErr w:type="spellEnd"/>
          </w:p>
        </w:tc>
        <w:tc>
          <w:tcPr>
            <w:tcW w:w="4844" w:type="dxa"/>
          </w:tcPr>
          <w:p w14:paraId="55F68E99" w14:textId="77777777" w:rsidR="00B63071" w:rsidRPr="00B63071" w:rsidRDefault="00B63071" w:rsidP="00B63071">
            <w:pPr>
              <w:spacing w:line="278" w:lineRule="auto"/>
              <w:rPr>
                <w:sz w:val="18"/>
                <w:szCs w:val="18"/>
                <w:lang w:val="es-ES"/>
              </w:rPr>
            </w:pPr>
            <w:r w:rsidRPr="00B63071">
              <w:rPr>
                <w:sz w:val="18"/>
                <w:szCs w:val="18"/>
                <w:lang w:val="es-ES"/>
              </w:rPr>
              <w:t>Alcanzada</w:t>
            </w:r>
          </w:p>
        </w:tc>
      </w:tr>
      <w:tr w:rsidR="00B63071" w:rsidRPr="00B63071" w14:paraId="543D8FA0" w14:textId="77777777" w:rsidTr="00B63071">
        <w:tc>
          <w:tcPr>
            <w:tcW w:w="4473" w:type="dxa"/>
          </w:tcPr>
          <w:p w14:paraId="424EE920" w14:textId="77777777" w:rsidR="00B63071" w:rsidRPr="00B63071" w:rsidRDefault="00B63071" w:rsidP="00B63071">
            <w:pPr>
              <w:spacing w:line="278" w:lineRule="auto"/>
              <w:rPr>
                <w:sz w:val="18"/>
                <w:szCs w:val="18"/>
                <w:lang w:val="en-US"/>
              </w:rPr>
            </w:pPr>
            <w:r w:rsidRPr="00B63071">
              <w:rPr>
                <w:sz w:val="18"/>
                <w:szCs w:val="18"/>
                <w:lang w:val="en-US"/>
              </w:rPr>
              <w:t>On track to achieve target</w:t>
            </w:r>
          </w:p>
        </w:tc>
        <w:tc>
          <w:tcPr>
            <w:tcW w:w="4844" w:type="dxa"/>
          </w:tcPr>
          <w:p w14:paraId="630F124A" w14:textId="77777777" w:rsidR="00B63071" w:rsidRPr="00B63071" w:rsidRDefault="00B63071" w:rsidP="00B63071">
            <w:pPr>
              <w:spacing w:line="278" w:lineRule="auto"/>
              <w:rPr>
                <w:sz w:val="18"/>
                <w:szCs w:val="18"/>
                <w:lang w:val="es-ES"/>
              </w:rPr>
            </w:pPr>
            <w:r w:rsidRPr="00B63071">
              <w:rPr>
                <w:sz w:val="18"/>
                <w:szCs w:val="18"/>
                <w:lang w:val="es-ES"/>
              </w:rPr>
              <w:t>En vías de alcanzar la meta</w:t>
            </w:r>
          </w:p>
        </w:tc>
      </w:tr>
      <w:tr w:rsidR="00B63071" w:rsidRPr="00B63071" w14:paraId="63FC9EE8" w14:textId="77777777" w:rsidTr="00B63071">
        <w:tc>
          <w:tcPr>
            <w:tcW w:w="4473" w:type="dxa"/>
          </w:tcPr>
          <w:p w14:paraId="58BBD8CC" w14:textId="77777777" w:rsidR="00B63071" w:rsidRPr="00B63071" w:rsidRDefault="00B63071" w:rsidP="00B63071">
            <w:pPr>
              <w:spacing w:line="278" w:lineRule="auto"/>
              <w:rPr>
                <w:sz w:val="18"/>
                <w:szCs w:val="18"/>
                <w:lang w:val="en-US"/>
              </w:rPr>
            </w:pPr>
            <w:r w:rsidRPr="00B63071">
              <w:rPr>
                <w:sz w:val="18"/>
                <w:szCs w:val="18"/>
                <w:lang w:val="en-US"/>
              </w:rPr>
              <w:t>Progress towards target but at an insufficient rate</w:t>
            </w:r>
          </w:p>
        </w:tc>
        <w:tc>
          <w:tcPr>
            <w:tcW w:w="4844" w:type="dxa"/>
          </w:tcPr>
          <w:p w14:paraId="2B4A7F26" w14:textId="77777777" w:rsidR="00B63071" w:rsidRPr="00B63071" w:rsidRDefault="00B63071" w:rsidP="00B63071">
            <w:pPr>
              <w:spacing w:line="278" w:lineRule="auto"/>
              <w:rPr>
                <w:sz w:val="18"/>
                <w:szCs w:val="18"/>
                <w:lang w:val="es-ES"/>
              </w:rPr>
            </w:pPr>
            <w:r w:rsidRPr="00B63071">
              <w:rPr>
                <w:sz w:val="18"/>
                <w:szCs w:val="18"/>
                <w:lang w:val="es-ES"/>
              </w:rPr>
              <w:t xml:space="preserve">Se ha progresado hacia la </w:t>
            </w:r>
            <w:proofErr w:type="gramStart"/>
            <w:r w:rsidRPr="00B63071">
              <w:rPr>
                <w:sz w:val="18"/>
                <w:szCs w:val="18"/>
                <w:lang w:val="es-ES"/>
              </w:rPr>
              <w:t>meta</w:t>
            </w:r>
            <w:proofErr w:type="gramEnd"/>
            <w:r w:rsidRPr="00B63071">
              <w:rPr>
                <w:sz w:val="18"/>
                <w:szCs w:val="18"/>
                <w:lang w:val="es-ES"/>
              </w:rPr>
              <w:t xml:space="preserve"> pero a un ritmo insuficiente</w:t>
            </w:r>
          </w:p>
        </w:tc>
      </w:tr>
      <w:tr w:rsidR="00B63071" w:rsidRPr="00B63071" w14:paraId="3E20B9A9" w14:textId="77777777" w:rsidTr="00B63071">
        <w:tc>
          <w:tcPr>
            <w:tcW w:w="4473" w:type="dxa"/>
          </w:tcPr>
          <w:p w14:paraId="6D691CC5" w14:textId="77777777" w:rsidR="00B63071" w:rsidRPr="00B63071" w:rsidRDefault="00B63071" w:rsidP="00B63071">
            <w:pPr>
              <w:spacing w:line="278" w:lineRule="auto"/>
              <w:rPr>
                <w:sz w:val="18"/>
                <w:szCs w:val="18"/>
                <w:lang w:val="es-ES"/>
              </w:rPr>
            </w:pPr>
            <w:r w:rsidRPr="00B63071">
              <w:rPr>
                <w:sz w:val="18"/>
                <w:szCs w:val="18"/>
                <w:lang w:val="es-ES"/>
              </w:rPr>
              <w:t xml:space="preserve">No </w:t>
            </w:r>
            <w:proofErr w:type="spellStart"/>
            <w:r w:rsidRPr="00B63071">
              <w:rPr>
                <w:sz w:val="18"/>
                <w:szCs w:val="18"/>
                <w:lang w:val="es-ES"/>
              </w:rPr>
              <w:t>significant</w:t>
            </w:r>
            <w:proofErr w:type="spellEnd"/>
            <w:r w:rsidRPr="00B63071">
              <w:rPr>
                <w:sz w:val="18"/>
                <w:szCs w:val="18"/>
                <w:lang w:val="es-ES"/>
              </w:rPr>
              <w:t xml:space="preserve"> </w:t>
            </w:r>
            <w:proofErr w:type="spellStart"/>
            <w:r w:rsidRPr="00B63071">
              <w:rPr>
                <w:sz w:val="18"/>
                <w:szCs w:val="18"/>
                <w:lang w:val="es-ES"/>
              </w:rPr>
              <w:t>change</w:t>
            </w:r>
            <w:proofErr w:type="spellEnd"/>
          </w:p>
        </w:tc>
        <w:tc>
          <w:tcPr>
            <w:tcW w:w="4844" w:type="dxa"/>
          </w:tcPr>
          <w:p w14:paraId="6FAC4004" w14:textId="77777777" w:rsidR="00B63071" w:rsidRPr="00B63071" w:rsidRDefault="00B63071" w:rsidP="00B63071">
            <w:pPr>
              <w:spacing w:line="278" w:lineRule="auto"/>
              <w:rPr>
                <w:sz w:val="18"/>
                <w:szCs w:val="18"/>
                <w:lang w:val="es-ES"/>
              </w:rPr>
            </w:pPr>
            <w:r w:rsidRPr="00B63071">
              <w:rPr>
                <w:sz w:val="18"/>
                <w:szCs w:val="18"/>
                <w:lang w:val="es-ES"/>
              </w:rPr>
              <w:t>No hay cambios significativos</w:t>
            </w:r>
          </w:p>
        </w:tc>
      </w:tr>
      <w:tr w:rsidR="00B63071" w:rsidRPr="00B63071" w14:paraId="1EA77206" w14:textId="77777777" w:rsidTr="00B63071">
        <w:tc>
          <w:tcPr>
            <w:tcW w:w="4473" w:type="dxa"/>
          </w:tcPr>
          <w:p w14:paraId="087F6AEE" w14:textId="77777777" w:rsidR="00B63071" w:rsidRPr="00B63071" w:rsidRDefault="00B63071" w:rsidP="00B63071">
            <w:pPr>
              <w:spacing w:line="278" w:lineRule="auto"/>
              <w:rPr>
                <w:sz w:val="18"/>
                <w:szCs w:val="18"/>
                <w:lang w:val="es-ES"/>
              </w:rPr>
            </w:pPr>
            <w:r w:rsidRPr="00B63071">
              <w:rPr>
                <w:sz w:val="18"/>
                <w:szCs w:val="18"/>
                <w:lang w:val="es-ES"/>
              </w:rPr>
              <w:t>Unknown</w:t>
            </w:r>
          </w:p>
        </w:tc>
        <w:tc>
          <w:tcPr>
            <w:tcW w:w="4844" w:type="dxa"/>
          </w:tcPr>
          <w:p w14:paraId="168C47B4" w14:textId="77777777" w:rsidR="00B63071" w:rsidRPr="00B63071" w:rsidRDefault="00B63071" w:rsidP="00B63071">
            <w:pPr>
              <w:spacing w:line="278" w:lineRule="auto"/>
              <w:rPr>
                <w:sz w:val="18"/>
                <w:szCs w:val="18"/>
                <w:lang w:val="es-ES"/>
              </w:rPr>
            </w:pPr>
            <w:r w:rsidRPr="00B63071">
              <w:rPr>
                <w:sz w:val="18"/>
                <w:szCs w:val="18"/>
                <w:lang w:val="es-ES"/>
              </w:rPr>
              <w:t>Se desconoce</w:t>
            </w:r>
          </w:p>
        </w:tc>
      </w:tr>
      <w:tr w:rsidR="00B63071" w:rsidRPr="00B63071" w14:paraId="182A3E83" w14:textId="77777777" w:rsidTr="00B63071">
        <w:tc>
          <w:tcPr>
            <w:tcW w:w="4473" w:type="dxa"/>
          </w:tcPr>
          <w:p w14:paraId="18CE1B69" w14:textId="77777777" w:rsidR="00B63071" w:rsidRPr="00B63071" w:rsidRDefault="00B63071" w:rsidP="00B63071">
            <w:pPr>
              <w:spacing w:line="278" w:lineRule="auto"/>
              <w:rPr>
                <w:sz w:val="18"/>
                <w:szCs w:val="18"/>
                <w:lang w:val="es-ES"/>
              </w:rPr>
            </w:pPr>
            <w:r w:rsidRPr="00B63071">
              <w:rPr>
                <w:sz w:val="18"/>
                <w:szCs w:val="18"/>
                <w:lang w:val="es-ES"/>
              </w:rPr>
              <w:t xml:space="preserve">Party </w:t>
            </w:r>
            <w:proofErr w:type="spellStart"/>
            <w:r w:rsidRPr="00B63071">
              <w:rPr>
                <w:sz w:val="18"/>
                <w:szCs w:val="18"/>
                <w:lang w:val="es-ES"/>
              </w:rPr>
              <w:t>count</w:t>
            </w:r>
            <w:proofErr w:type="spellEnd"/>
            <w:r w:rsidRPr="00B63071">
              <w:rPr>
                <w:sz w:val="18"/>
                <w:szCs w:val="18"/>
                <w:lang w:val="es-ES"/>
              </w:rPr>
              <w:t>: 81</w:t>
            </w:r>
          </w:p>
        </w:tc>
        <w:tc>
          <w:tcPr>
            <w:tcW w:w="4844" w:type="dxa"/>
          </w:tcPr>
          <w:p w14:paraId="699870BF" w14:textId="77777777" w:rsidR="00B63071" w:rsidRPr="00B63071" w:rsidRDefault="00B63071" w:rsidP="00B63071">
            <w:pPr>
              <w:spacing w:line="278" w:lineRule="auto"/>
              <w:rPr>
                <w:sz w:val="18"/>
                <w:szCs w:val="18"/>
                <w:lang w:val="es-ES"/>
              </w:rPr>
            </w:pPr>
            <w:r w:rsidRPr="00B63071">
              <w:rPr>
                <w:sz w:val="18"/>
                <w:szCs w:val="18"/>
                <w:lang w:val="es-ES"/>
              </w:rPr>
              <w:t>Número de Partes: 81</w:t>
            </w:r>
          </w:p>
        </w:tc>
      </w:tr>
      <w:tr w:rsidR="00B63071" w:rsidRPr="00B63071" w14:paraId="1E64BABF" w14:textId="77777777" w:rsidTr="00B63071">
        <w:tc>
          <w:tcPr>
            <w:tcW w:w="4473" w:type="dxa"/>
          </w:tcPr>
          <w:p w14:paraId="27ACDA05" w14:textId="77777777" w:rsidR="00B63071" w:rsidRPr="00B63071" w:rsidRDefault="00B63071" w:rsidP="00B63071">
            <w:pPr>
              <w:spacing w:line="278" w:lineRule="auto"/>
              <w:rPr>
                <w:sz w:val="18"/>
                <w:szCs w:val="18"/>
                <w:lang w:val="es-ES"/>
              </w:rPr>
            </w:pPr>
            <w:proofErr w:type="spellStart"/>
            <w:r w:rsidRPr="00B63071">
              <w:rPr>
                <w:sz w:val="18"/>
                <w:szCs w:val="18"/>
                <w:lang w:val="es-ES"/>
              </w:rPr>
              <w:t>Region</w:t>
            </w:r>
            <w:proofErr w:type="spellEnd"/>
          </w:p>
        </w:tc>
        <w:tc>
          <w:tcPr>
            <w:tcW w:w="4844" w:type="dxa"/>
          </w:tcPr>
          <w:p w14:paraId="4A39970D" w14:textId="77777777" w:rsidR="00B63071" w:rsidRPr="00B63071" w:rsidRDefault="00B63071" w:rsidP="00B63071">
            <w:pPr>
              <w:spacing w:line="278" w:lineRule="auto"/>
              <w:rPr>
                <w:sz w:val="18"/>
                <w:szCs w:val="18"/>
                <w:lang w:val="es-ES"/>
              </w:rPr>
            </w:pPr>
            <w:r w:rsidRPr="00B63071">
              <w:rPr>
                <w:sz w:val="18"/>
                <w:szCs w:val="18"/>
                <w:lang w:val="es-ES"/>
              </w:rPr>
              <w:t>Región</w:t>
            </w:r>
          </w:p>
        </w:tc>
      </w:tr>
      <w:tr w:rsidR="00B63071" w:rsidRPr="00B63071" w14:paraId="4F944888" w14:textId="77777777" w:rsidTr="00B63071">
        <w:tc>
          <w:tcPr>
            <w:tcW w:w="4473" w:type="dxa"/>
          </w:tcPr>
          <w:p w14:paraId="195CEFE1" w14:textId="77777777" w:rsidR="00B63071" w:rsidRPr="00B63071" w:rsidRDefault="00B63071" w:rsidP="00B63071">
            <w:pPr>
              <w:spacing w:line="278" w:lineRule="auto"/>
              <w:rPr>
                <w:sz w:val="18"/>
                <w:szCs w:val="18"/>
                <w:lang w:val="es-ES"/>
              </w:rPr>
            </w:pPr>
            <w:r w:rsidRPr="00B63071">
              <w:rPr>
                <w:sz w:val="18"/>
                <w:szCs w:val="18"/>
                <w:lang w:val="es-ES"/>
              </w:rPr>
              <w:lastRenderedPageBreak/>
              <w:t>African States</w:t>
            </w:r>
          </w:p>
        </w:tc>
        <w:tc>
          <w:tcPr>
            <w:tcW w:w="4844" w:type="dxa"/>
          </w:tcPr>
          <w:p w14:paraId="4E5C8CD9" w14:textId="77777777" w:rsidR="00B63071" w:rsidRPr="00B63071" w:rsidRDefault="00B63071" w:rsidP="00B63071">
            <w:pPr>
              <w:spacing w:line="278" w:lineRule="auto"/>
              <w:rPr>
                <w:sz w:val="18"/>
                <w:szCs w:val="18"/>
                <w:lang w:val="es-ES"/>
              </w:rPr>
            </w:pPr>
            <w:r w:rsidRPr="00B63071">
              <w:rPr>
                <w:sz w:val="18"/>
                <w:szCs w:val="18"/>
                <w:lang w:val="es-ES"/>
              </w:rPr>
              <w:t>Estados de África</w:t>
            </w:r>
          </w:p>
        </w:tc>
      </w:tr>
      <w:tr w:rsidR="00B63071" w:rsidRPr="00B63071" w14:paraId="3F88084A" w14:textId="77777777" w:rsidTr="00B63071">
        <w:tc>
          <w:tcPr>
            <w:tcW w:w="4473" w:type="dxa"/>
          </w:tcPr>
          <w:p w14:paraId="06AF723C" w14:textId="77777777" w:rsidR="00B63071" w:rsidRPr="00B63071" w:rsidRDefault="00B63071" w:rsidP="00B63071">
            <w:pPr>
              <w:spacing w:line="278" w:lineRule="auto"/>
              <w:rPr>
                <w:sz w:val="18"/>
                <w:szCs w:val="18"/>
                <w:lang w:val="es-ES"/>
              </w:rPr>
            </w:pPr>
            <w:r w:rsidRPr="00B63071">
              <w:rPr>
                <w:sz w:val="18"/>
                <w:szCs w:val="18"/>
                <w:lang w:val="es-ES"/>
              </w:rPr>
              <w:t>Asia-Pacific States</w:t>
            </w:r>
          </w:p>
        </w:tc>
        <w:tc>
          <w:tcPr>
            <w:tcW w:w="4844" w:type="dxa"/>
          </w:tcPr>
          <w:p w14:paraId="5E535F9E" w14:textId="77777777" w:rsidR="00B63071" w:rsidRPr="00B63071" w:rsidRDefault="00B63071" w:rsidP="00B63071">
            <w:pPr>
              <w:spacing w:line="278" w:lineRule="auto"/>
              <w:rPr>
                <w:sz w:val="18"/>
                <w:szCs w:val="18"/>
                <w:lang w:val="es-ES"/>
              </w:rPr>
            </w:pPr>
            <w:r w:rsidRPr="00B63071">
              <w:rPr>
                <w:sz w:val="18"/>
                <w:szCs w:val="18"/>
                <w:lang w:val="es-ES"/>
              </w:rPr>
              <w:t>Estados de Asia y el Pacífico</w:t>
            </w:r>
          </w:p>
        </w:tc>
      </w:tr>
      <w:tr w:rsidR="00B63071" w:rsidRPr="00B63071" w14:paraId="4F2A4769" w14:textId="77777777" w:rsidTr="00B63071">
        <w:tc>
          <w:tcPr>
            <w:tcW w:w="4473" w:type="dxa"/>
          </w:tcPr>
          <w:p w14:paraId="60B2DB31" w14:textId="77777777" w:rsidR="00B63071" w:rsidRPr="00B63071" w:rsidRDefault="00B63071" w:rsidP="00B63071">
            <w:pPr>
              <w:spacing w:line="278" w:lineRule="auto"/>
              <w:rPr>
                <w:sz w:val="18"/>
                <w:szCs w:val="18"/>
                <w:lang w:val="en-US"/>
              </w:rPr>
            </w:pPr>
            <w:r w:rsidRPr="00B63071">
              <w:rPr>
                <w:sz w:val="18"/>
                <w:szCs w:val="18"/>
                <w:lang w:val="en-US"/>
              </w:rPr>
              <w:t>Latin American and Caribbean States</w:t>
            </w:r>
          </w:p>
        </w:tc>
        <w:tc>
          <w:tcPr>
            <w:tcW w:w="4844" w:type="dxa"/>
          </w:tcPr>
          <w:p w14:paraId="56031430" w14:textId="77777777" w:rsidR="00B63071" w:rsidRPr="00B63071" w:rsidRDefault="00B63071" w:rsidP="00B63071">
            <w:pPr>
              <w:spacing w:line="278" w:lineRule="auto"/>
              <w:rPr>
                <w:sz w:val="18"/>
                <w:szCs w:val="18"/>
                <w:lang w:val="es-ES"/>
              </w:rPr>
            </w:pPr>
            <w:r w:rsidRPr="00B63071">
              <w:rPr>
                <w:sz w:val="18"/>
                <w:szCs w:val="18"/>
                <w:lang w:val="es-ES"/>
              </w:rPr>
              <w:t>Estados de América Latina y el Caribe</w:t>
            </w:r>
          </w:p>
        </w:tc>
      </w:tr>
      <w:tr w:rsidR="00B63071" w:rsidRPr="00B63071" w14:paraId="1FF1AA4E" w14:textId="77777777" w:rsidTr="00B63071">
        <w:tc>
          <w:tcPr>
            <w:tcW w:w="4473" w:type="dxa"/>
          </w:tcPr>
          <w:p w14:paraId="2402560C" w14:textId="77777777" w:rsidR="00B63071" w:rsidRPr="00B63071" w:rsidRDefault="00B63071" w:rsidP="00B63071">
            <w:pPr>
              <w:spacing w:line="278" w:lineRule="auto"/>
              <w:rPr>
                <w:sz w:val="18"/>
                <w:szCs w:val="18"/>
                <w:lang w:val="es-ES"/>
              </w:rPr>
            </w:pPr>
            <w:r w:rsidRPr="00B63071">
              <w:rPr>
                <w:sz w:val="18"/>
                <w:szCs w:val="18"/>
                <w:lang w:val="es-ES"/>
              </w:rPr>
              <w:t xml:space="preserve"> Eastern European States</w:t>
            </w:r>
          </w:p>
        </w:tc>
        <w:tc>
          <w:tcPr>
            <w:tcW w:w="4844" w:type="dxa"/>
          </w:tcPr>
          <w:p w14:paraId="0FBEA5F7" w14:textId="77777777" w:rsidR="00B63071" w:rsidRPr="00B63071" w:rsidRDefault="00B63071" w:rsidP="00B63071">
            <w:pPr>
              <w:spacing w:line="278" w:lineRule="auto"/>
              <w:rPr>
                <w:sz w:val="18"/>
                <w:szCs w:val="18"/>
                <w:lang w:val="es-ES"/>
              </w:rPr>
            </w:pPr>
            <w:r w:rsidRPr="00B63071">
              <w:rPr>
                <w:sz w:val="18"/>
                <w:szCs w:val="18"/>
                <w:lang w:val="es-ES"/>
              </w:rPr>
              <w:t>Estados de Europa Oriental</w:t>
            </w:r>
          </w:p>
        </w:tc>
      </w:tr>
      <w:tr w:rsidR="00B63071" w:rsidRPr="00B63071" w14:paraId="58E23E99" w14:textId="77777777" w:rsidTr="00B63071">
        <w:tc>
          <w:tcPr>
            <w:tcW w:w="4473" w:type="dxa"/>
          </w:tcPr>
          <w:p w14:paraId="151F474F" w14:textId="77777777" w:rsidR="00B63071" w:rsidRPr="00B63071" w:rsidRDefault="00B63071" w:rsidP="00B63071">
            <w:pPr>
              <w:spacing w:line="278" w:lineRule="auto"/>
              <w:rPr>
                <w:sz w:val="18"/>
                <w:szCs w:val="18"/>
                <w:lang w:val="en-US"/>
              </w:rPr>
            </w:pPr>
            <w:r w:rsidRPr="00B63071">
              <w:rPr>
                <w:sz w:val="18"/>
                <w:szCs w:val="18"/>
                <w:lang w:val="en-US"/>
              </w:rPr>
              <w:t>Western European and other States</w:t>
            </w:r>
          </w:p>
        </w:tc>
        <w:tc>
          <w:tcPr>
            <w:tcW w:w="4844" w:type="dxa"/>
          </w:tcPr>
          <w:p w14:paraId="38E589BF" w14:textId="77777777" w:rsidR="00B63071" w:rsidRPr="00B63071" w:rsidRDefault="00B63071" w:rsidP="00B63071">
            <w:pPr>
              <w:spacing w:line="278" w:lineRule="auto"/>
              <w:rPr>
                <w:sz w:val="18"/>
                <w:szCs w:val="18"/>
                <w:lang w:val="es-ES"/>
              </w:rPr>
            </w:pPr>
            <w:r w:rsidRPr="00B63071">
              <w:rPr>
                <w:sz w:val="18"/>
                <w:szCs w:val="18"/>
                <w:lang w:val="es-ES"/>
              </w:rPr>
              <w:t>Estados de Europa Occidental y otros Estados</w:t>
            </w:r>
          </w:p>
        </w:tc>
      </w:tr>
    </w:tbl>
    <w:p w14:paraId="68D980C2"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7B2D88D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i/>
          <w:color w:val="0E2841" w:themeColor="text2"/>
          <w:sz w:val="18"/>
          <w:lang w:val="es-ES"/>
        </w:rPr>
        <w:t xml:space="preserve"> </w:t>
      </w:r>
      <w:r w:rsidRPr="005E3D50">
        <w:rPr>
          <w:rFonts w:eastAsiaTheme="majorEastAsia" w:cstheme="majorBidi"/>
          <w:color w:val="0F4761" w:themeColor="accent1" w:themeShade="BF"/>
          <w:lang w:val="es-ES"/>
        </w:rPr>
        <w:t>Medidas, logros y dificultades en la implementación</w:t>
      </w:r>
    </w:p>
    <w:p w14:paraId="1CE85FD4" w14:textId="77777777" w:rsidR="009713BF" w:rsidRPr="005E3D50" w:rsidRDefault="009713BF" w:rsidP="009713BF">
      <w:pPr>
        <w:rPr>
          <w:lang w:val="es-ES"/>
        </w:rPr>
      </w:pPr>
    </w:p>
    <w:p w14:paraId="19B0FDE4"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66" w:name="_Toc235821272"/>
      <w:r w:rsidRPr="005E3D50">
        <w:rPr>
          <w:rFonts w:eastAsiaTheme="majorEastAsia" w:cstheme="majorBidi"/>
          <w:i/>
          <w:iCs/>
          <w:color w:val="595959" w:themeColor="text1" w:themeTint="A6"/>
          <w:lang w:val="es-ES"/>
        </w:rPr>
        <w:t>Resumen de medidas en apoyo a la meta 18</w:t>
      </w:r>
      <w:bookmarkEnd w:id="466"/>
      <w:r w:rsidRPr="005E3D50">
        <w:rPr>
          <w:rFonts w:eastAsiaTheme="majorEastAsia" w:cstheme="majorBidi"/>
          <w:i/>
          <w:iCs/>
          <w:color w:val="595959" w:themeColor="text1" w:themeTint="A6"/>
          <w:lang w:val="es-ES"/>
        </w:rPr>
        <w:t xml:space="preserve"> del Marco</w:t>
      </w:r>
    </w:p>
    <w:p w14:paraId="3608DE4F" w14:textId="77777777" w:rsidR="009713BF" w:rsidRPr="005E3D50" w:rsidRDefault="009713BF" w:rsidP="009713BF">
      <w:pPr>
        <w:rPr>
          <w:lang w:val="es-ES"/>
        </w:rPr>
      </w:pPr>
    </w:p>
    <w:p w14:paraId="0D45454F" w14:textId="77777777" w:rsidR="009713BF" w:rsidRPr="005E3D50" w:rsidRDefault="009713BF" w:rsidP="009713BF">
      <w:pPr>
        <w:rPr>
          <w:spacing w:val="-2"/>
          <w:lang w:val="es-ES"/>
        </w:rPr>
      </w:pPr>
      <w:r w:rsidRPr="005E3D50">
        <w:rPr>
          <w:spacing w:val="-2"/>
          <w:lang w:val="es-ES"/>
        </w:rPr>
        <w:t>Una abrumadora mayoría de Partes informan que han adoptado medidas para la identificación y la evaluación de incentivos, entre ellos subsidios, que son perjudiciales para la diversidad biológica, es decir, el elemento de la meta 18 que tenía como plazo de cumplimiento el año 2025. Estas medidas incluyen la compilación de inventarios de subsidios, el encargo de estudios y el desarrollo de marcos de clasificación. Un grupo mucho más reducido de Partes informan que han dado pasos concretos para reformar y eliminar tales incentivos para 2030, ambos requisitos clave de la meta 18 (véase el recuadro 44). Unas pocas Partes abordaron la reducción o reducción gradual de subsidios a combustibles fósiles, considerados incentivos perjudiciales pertinentes en relación con la diversidad biológica (véase el recuadro 43). Otras señalan que ratificaron el Acuerdo sobre Subvenciones a la Pesca de la Organización Mundial del Comercio (OMC, 2022), que entró en vigor en septiembre de 2025</w:t>
      </w:r>
      <w:r w:rsidRPr="005E3D50">
        <w:rPr>
          <w:spacing w:val="-2"/>
          <w:vertAlign w:val="superscript"/>
          <w:lang w:val="es-ES"/>
        </w:rPr>
        <w:footnoteReference w:id="37"/>
      </w:r>
      <w:r w:rsidRPr="005E3D50">
        <w:rPr>
          <w:spacing w:val="-2"/>
          <w:lang w:val="es-ES"/>
        </w:rPr>
        <w:t xml:space="preserve">. </w:t>
      </w:r>
      <w:bookmarkStart w:id="467" w:name="_Toc235821273"/>
      <w:r w:rsidRPr="005E3D50">
        <w:rPr>
          <w:spacing w:val="-2"/>
          <w:lang w:val="es-ES"/>
        </w:rPr>
        <w:t xml:space="preserve">En todas las regiones y entre Partes de todos los niveles de ingresos se informa más de la adopción de medidas tendientes a aumentar los incentivos favorables a la conservación y utilización sostenible de la biodiversidad que de la adopción de medidas tendientes a reducir incentivos perjudiciales. Algunos ejemplos de incentivos positivos son pagos por los servicios de los ecosistemas, mecanismos de financiación de la conservación y reorientación del apoyo brindado a la agricultura hacia prácticas favorables a la diversidad biológica. Por lo menos 25 Partes citan a BIOFIN como vehículo de apoyo analítico, como metodología o como soporte institucional para la consecución de la meta 18. </w:t>
      </w:r>
    </w:p>
    <w:p w14:paraId="35809B8D" w14:textId="77777777" w:rsidR="009713BF" w:rsidRPr="005E3D50" w:rsidRDefault="009713BF" w:rsidP="009713BF">
      <w:pPr>
        <w:rPr>
          <w:lang w:val="es-ES"/>
        </w:rPr>
      </w:pPr>
    </w:p>
    <w:p w14:paraId="21DC3E6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Ejemplos de logros y progresos en la implementación</w:t>
      </w:r>
      <w:bookmarkEnd w:id="467"/>
    </w:p>
    <w:p w14:paraId="1951ADA9"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6D33349C" w14:textId="77777777" w:rsidTr="006E6831">
        <w:tc>
          <w:tcPr>
            <w:tcW w:w="9016" w:type="dxa"/>
            <w:shd w:val="clear" w:color="auto" w:fill="D1D1D1" w:themeFill="background2" w:themeFillShade="E6"/>
          </w:tcPr>
          <w:p w14:paraId="6D7FFC7E" w14:textId="77777777" w:rsidR="009713BF" w:rsidRPr="005E3D50" w:rsidRDefault="009713BF" w:rsidP="009713BF">
            <w:pPr>
              <w:rPr>
                <w:sz w:val="20"/>
                <w:szCs w:val="20"/>
                <w:lang w:val="es-ES"/>
              </w:rPr>
            </w:pPr>
            <w:r w:rsidRPr="005E3D50">
              <w:rPr>
                <w:sz w:val="20"/>
                <w:lang w:val="es-ES"/>
              </w:rPr>
              <w:t>Recuadro 43</w:t>
            </w:r>
          </w:p>
          <w:p w14:paraId="62064E48" w14:textId="77777777" w:rsidR="009713BF" w:rsidRPr="005E3D50" w:rsidRDefault="009713BF" w:rsidP="009713BF">
            <w:pPr>
              <w:spacing w:after="160" w:line="278" w:lineRule="auto"/>
              <w:rPr>
                <w:b/>
                <w:bCs/>
                <w:sz w:val="20"/>
                <w:szCs w:val="20"/>
                <w:lang w:val="es-ES"/>
              </w:rPr>
            </w:pPr>
            <w:r w:rsidRPr="005E3D50">
              <w:rPr>
                <w:b/>
                <w:sz w:val="20"/>
                <w:lang w:val="es-ES"/>
              </w:rPr>
              <w:lastRenderedPageBreak/>
              <w:t>Reducción gradual de subsidios a combustibles fósiles establecida por ley en Uzbekistán, con incentivos fiscales para fuentes de energía renovable</w:t>
            </w:r>
          </w:p>
          <w:p w14:paraId="26F5F833" w14:textId="77777777" w:rsidR="009713BF" w:rsidRPr="005E3D50" w:rsidRDefault="009713BF" w:rsidP="009713BF">
            <w:pPr>
              <w:spacing w:after="160" w:line="278" w:lineRule="auto"/>
              <w:rPr>
                <w:sz w:val="20"/>
                <w:szCs w:val="20"/>
                <w:lang w:val="es-ES"/>
              </w:rPr>
            </w:pPr>
            <w:r w:rsidRPr="005E3D50">
              <w:rPr>
                <w:sz w:val="20"/>
                <w:lang w:val="es-ES"/>
              </w:rPr>
              <w:t xml:space="preserve">Uzbekistán está entre los países con consumo de energía y niveles de emisiones más intensivos del mundo. En los últimos años, el Gobierno ha dedicado enormes esfuerzos a reformar y reducir los subsidios a combustibles fósiles, otorgando a la vez incentivos para el uso de energía renovable. </w:t>
            </w:r>
          </w:p>
          <w:p w14:paraId="453F806A" w14:textId="77777777" w:rsidR="009713BF" w:rsidRPr="005E3D50" w:rsidRDefault="009713BF" w:rsidP="009713BF">
            <w:pPr>
              <w:spacing w:after="160" w:line="278" w:lineRule="auto"/>
              <w:rPr>
                <w:sz w:val="20"/>
                <w:szCs w:val="20"/>
                <w:lang w:val="es-ES"/>
              </w:rPr>
            </w:pPr>
            <w:r w:rsidRPr="005E3D50">
              <w:rPr>
                <w:sz w:val="20"/>
                <w:lang w:val="es-ES"/>
              </w:rPr>
              <w:t>Desde 2019, Uzbekistán se encuentra abocado a la reforma de su legislación energética, incluida la adopción de una ley sobre el uso de fuentes de energía renovable y una ley sobre eficiencia, ahorro y uso racional energéticos. Dictó un decreto presidencial sobre medidas aceleradas para mejorar la eficiencia energética, aplicar tecnologías de ahorro energético y desarrollar fuentes de energía renovable. En 2024, se introdujo mediante resoluciones ministeriales una política revisada de aranceles para el sector energético y de combustibles y se estableció oficialmente el Organismo de Desarrollo y Regulación del Mercado Energético, un órgano independiente que regula el sector.</w:t>
            </w:r>
          </w:p>
          <w:p w14:paraId="302E2BB7" w14:textId="77777777" w:rsidR="009713BF" w:rsidRPr="005E3D50" w:rsidRDefault="009713BF" w:rsidP="009713BF">
            <w:pPr>
              <w:spacing w:after="160" w:line="278" w:lineRule="auto"/>
              <w:rPr>
                <w:sz w:val="20"/>
                <w:szCs w:val="20"/>
                <w:lang w:val="es-ES"/>
              </w:rPr>
            </w:pPr>
            <w:r w:rsidRPr="005E3D50">
              <w:rPr>
                <w:sz w:val="20"/>
                <w:lang w:val="es-ES"/>
              </w:rPr>
              <w:t xml:space="preserve">Posteriormente se aumentaron las tarifas de gas y electricidad de las empresas y los hogares de Uzbekistán. En 2025 hubo otra suba, con miras a alcanzar una recuperación plena de costos para fines de 2026 y a eliminar gradualmente todos los subsidios arancelarios para 2027. Esto significó que entre 2024 y 2025 el gasto total en importantes subsidios perjudiciales para la diversidad biológica se redujo en un 13 % en términos reales, mientras que el gasto en subsidios energéticos y a combustibles que son perjudiciales para la diversidad biológica descendió en un 30 %. </w:t>
            </w:r>
          </w:p>
          <w:p w14:paraId="764FD0B6" w14:textId="77777777" w:rsidR="009713BF" w:rsidRPr="005E3D50" w:rsidRDefault="009713BF" w:rsidP="009713BF">
            <w:pPr>
              <w:spacing w:after="160" w:line="278" w:lineRule="auto"/>
              <w:rPr>
                <w:sz w:val="20"/>
                <w:szCs w:val="20"/>
                <w:lang w:val="es-ES"/>
              </w:rPr>
            </w:pPr>
            <w:r w:rsidRPr="005E3D50">
              <w:rPr>
                <w:sz w:val="20"/>
                <w:lang w:val="es-ES"/>
              </w:rPr>
              <w:t xml:space="preserve">Estas medidas son cofinanciadas en el marco del proyecto </w:t>
            </w:r>
            <w:proofErr w:type="spellStart"/>
            <w:r w:rsidRPr="005E3D50">
              <w:rPr>
                <w:sz w:val="20"/>
                <w:lang w:val="es-ES"/>
              </w:rPr>
              <w:t>iCRAFT</w:t>
            </w:r>
            <w:proofErr w:type="spellEnd"/>
            <w:r w:rsidRPr="005E3D50">
              <w:rPr>
                <w:sz w:val="20"/>
                <w:lang w:val="es-ES"/>
              </w:rPr>
              <w:t xml:space="preserve"> (Aplicación Innovadora de Recursos de Carbono para la Transición Energética) del Banco Mundial, la primera iniciativa mundial del Banco dirigida a apoyar reformas de políticas a través de pagos para la reducción de emisiones. </w:t>
            </w:r>
          </w:p>
          <w:p w14:paraId="6F06D006" w14:textId="77777777" w:rsidR="009713BF" w:rsidRPr="005E3D50" w:rsidRDefault="009713BF" w:rsidP="009713BF">
            <w:pPr>
              <w:rPr>
                <w:rFonts w:ascii="Aptos" w:eastAsia="Aptos" w:hAnsi="Aptos" w:cs="Aptos"/>
                <w:color w:val="000000" w:themeColor="text1"/>
                <w:lang w:val="es-ES" w:eastAsia="zh-CN"/>
              </w:rPr>
            </w:pPr>
          </w:p>
          <w:p w14:paraId="73676465"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Metas pertinentes:</w:t>
            </w:r>
            <w:r w:rsidRPr="005E3D50">
              <w:rPr>
                <w:rFonts w:ascii="Aptos" w:hAnsi="Aptos"/>
                <w:color w:val="000000" w:themeColor="text1"/>
                <w:sz w:val="20"/>
                <w:lang w:val="es-ES"/>
              </w:rPr>
              <w:t xml:space="preserve"> 7, 8, 15 y 19.</w:t>
            </w:r>
          </w:p>
          <w:p w14:paraId="60837E63"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Fuentes:</w:t>
            </w:r>
            <w:r w:rsidRPr="005E3D50">
              <w:rPr>
                <w:rFonts w:ascii="Aptos" w:hAnsi="Aptos"/>
                <w:color w:val="000000" w:themeColor="text1"/>
                <w:sz w:val="20"/>
                <w:lang w:val="es-ES"/>
              </w:rPr>
              <w:t xml:space="preserve"> Uzbekistán, séptimo informe nacional presentado al Convenio; OCDE, 2025; y PNUD y otros, 2025.</w:t>
            </w:r>
          </w:p>
          <w:p w14:paraId="2F947402" w14:textId="77777777" w:rsidR="009713BF" w:rsidRPr="005E3D50" w:rsidRDefault="009713BF" w:rsidP="009713BF">
            <w:pPr>
              <w:rPr>
                <w:lang w:val="es-ES"/>
              </w:rPr>
            </w:pPr>
          </w:p>
        </w:tc>
      </w:tr>
    </w:tbl>
    <w:p w14:paraId="6076343D" w14:textId="77777777" w:rsidR="009713BF" w:rsidRPr="005E3D50" w:rsidRDefault="009713BF" w:rsidP="009713BF">
      <w:pPr>
        <w:rPr>
          <w:lang w:val="es-ES"/>
        </w:rPr>
      </w:pPr>
    </w:p>
    <w:p w14:paraId="31BEF3D5"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03"/>
      </w:tblGrid>
      <w:tr w:rsidR="009713BF" w:rsidRPr="005E3D50" w14:paraId="776FF496" w14:textId="77777777" w:rsidTr="006E6831">
        <w:trPr>
          <w:trHeight w:val="280"/>
        </w:trPr>
        <w:tc>
          <w:tcPr>
            <w:tcW w:w="9003" w:type="dxa"/>
            <w:shd w:val="clear" w:color="auto" w:fill="D1D1D1" w:themeFill="background2" w:themeFillShade="E6"/>
          </w:tcPr>
          <w:p w14:paraId="059D0CE5" w14:textId="77777777" w:rsidR="009713BF" w:rsidRPr="005E3D50" w:rsidRDefault="009713BF" w:rsidP="009713BF">
            <w:pPr>
              <w:rPr>
                <w:sz w:val="20"/>
                <w:szCs w:val="20"/>
                <w:lang w:val="es-ES"/>
              </w:rPr>
            </w:pPr>
            <w:r w:rsidRPr="005E3D50">
              <w:rPr>
                <w:sz w:val="20"/>
                <w:lang w:val="es-ES"/>
              </w:rPr>
              <w:t>Recuadro 44</w:t>
            </w:r>
          </w:p>
          <w:p w14:paraId="750470D9" w14:textId="77777777" w:rsidR="009713BF" w:rsidRPr="005E3D50" w:rsidRDefault="009713BF" w:rsidP="009713BF">
            <w:pPr>
              <w:spacing w:after="160" w:line="276" w:lineRule="auto"/>
              <w:rPr>
                <w:b/>
                <w:bCs/>
                <w:sz w:val="20"/>
                <w:szCs w:val="20"/>
                <w:lang w:val="es-ES"/>
              </w:rPr>
            </w:pPr>
            <w:r w:rsidRPr="005E3D50">
              <w:rPr>
                <w:b/>
                <w:sz w:val="20"/>
                <w:lang w:val="es-ES"/>
              </w:rPr>
              <w:t>Catálogo anual de subsidios perjudiciales para el medio ambiente establecido por ley en Italia, con cuantificación de resultados en materia de reforma</w:t>
            </w:r>
          </w:p>
          <w:p w14:paraId="466A35DC" w14:textId="77777777" w:rsidR="009713BF" w:rsidRPr="005E3D50" w:rsidRDefault="009713BF" w:rsidP="009713BF">
            <w:pPr>
              <w:rPr>
                <w:lang w:val="es-ES"/>
              </w:rPr>
            </w:pPr>
          </w:p>
          <w:p w14:paraId="73A10AAA" w14:textId="77777777" w:rsidR="009713BF" w:rsidRPr="005E3D50" w:rsidRDefault="009713BF" w:rsidP="009713BF">
            <w:pPr>
              <w:spacing w:after="160" w:line="278" w:lineRule="auto"/>
              <w:rPr>
                <w:sz w:val="20"/>
                <w:szCs w:val="20"/>
                <w:lang w:val="es-ES"/>
              </w:rPr>
            </w:pPr>
            <w:r w:rsidRPr="005E3D50">
              <w:rPr>
                <w:sz w:val="20"/>
                <w:lang w:val="es-ES"/>
              </w:rPr>
              <w:t xml:space="preserve">En 2015, Italia aprobó una ley que requiere que el Ministerio de Medio Ambiente y Seguridad Energética elabore un catálogo anual de subsidios perjudiciales para el medio ambiente y de subsidios favorables al medio </w:t>
            </w:r>
            <w:proofErr w:type="spellStart"/>
            <w:r w:rsidRPr="005E3D50">
              <w:rPr>
                <w:sz w:val="20"/>
                <w:lang w:val="es-ES"/>
              </w:rPr>
              <w:t>ambiente</w:t>
            </w:r>
            <w:r w:rsidRPr="005E3D50">
              <w:rPr>
                <w:sz w:val="20"/>
                <w:vertAlign w:val="superscript"/>
                <w:lang w:val="es-ES"/>
              </w:rPr>
              <w:t>a</w:t>
            </w:r>
            <w:proofErr w:type="spellEnd"/>
            <w:r w:rsidRPr="005E3D50">
              <w:rPr>
                <w:sz w:val="20"/>
                <w:lang w:val="es-ES"/>
              </w:rPr>
              <w:t xml:space="preserve">. El objetivo de esta ley es promover la adopción de medidas de economía verde y disminuir el uso excesivo de recursos naturales. El catálogo es una referencia clave para las iniciativas nacionales e internacionales dirigidas a identificar, reformar y eliminar gradualmente los subsidios perjudiciales para el medio ambiente, a la vez que se fomenta la ampliación de los incentivos que generan beneficios para el medio ambiente. </w:t>
            </w:r>
          </w:p>
          <w:p w14:paraId="0423227C" w14:textId="77777777" w:rsidR="009713BF" w:rsidRPr="005E3D50" w:rsidRDefault="009713BF" w:rsidP="009713BF">
            <w:pPr>
              <w:spacing w:after="160" w:line="278" w:lineRule="auto"/>
              <w:rPr>
                <w:sz w:val="20"/>
                <w:szCs w:val="20"/>
                <w:lang w:val="es-ES"/>
              </w:rPr>
            </w:pPr>
            <w:r w:rsidRPr="005E3D50">
              <w:rPr>
                <w:sz w:val="20"/>
                <w:lang w:val="es-ES"/>
              </w:rPr>
              <w:lastRenderedPageBreak/>
              <w:t>Entre 2022 y 2023, Italia eliminó varios subsidios a combustibles fósiles considerados perjudiciales para la diversidad biológica que se aplicaban en diversos sectores y que abarcaban incentivos, concesiones, financiación subsidiada y exenciones. Entre las medidas adoptadas figuran las siguientes:</w:t>
            </w:r>
          </w:p>
          <w:p w14:paraId="52EE92F0" w14:textId="77777777" w:rsidR="009713BF" w:rsidRPr="005E3D50" w:rsidRDefault="009713BF" w:rsidP="009713BF">
            <w:pPr>
              <w:numPr>
                <w:ilvl w:val="0"/>
                <w:numId w:val="50"/>
              </w:numPr>
              <w:spacing w:after="160" w:line="278" w:lineRule="auto"/>
              <w:rPr>
                <w:sz w:val="20"/>
                <w:szCs w:val="20"/>
                <w:lang w:val="es-ES"/>
              </w:rPr>
            </w:pPr>
            <w:r w:rsidRPr="005E3D50">
              <w:rPr>
                <w:sz w:val="20"/>
                <w:lang w:val="es-ES"/>
              </w:rPr>
              <w:t>Reducción de la exención de impuestos especiales concedida a combustibles utilizados en el transporte ferroviario;</w:t>
            </w:r>
          </w:p>
          <w:p w14:paraId="2587DB41" w14:textId="77777777" w:rsidR="009713BF" w:rsidRPr="005E3D50" w:rsidRDefault="009713BF" w:rsidP="009713BF">
            <w:pPr>
              <w:numPr>
                <w:ilvl w:val="0"/>
                <w:numId w:val="50"/>
              </w:numPr>
              <w:spacing w:after="160" w:line="278" w:lineRule="auto"/>
              <w:rPr>
                <w:sz w:val="20"/>
                <w:szCs w:val="20"/>
                <w:lang w:val="es-ES"/>
              </w:rPr>
            </w:pPr>
            <w:r w:rsidRPr="005E3D50">
              <w:rPr>
                <w:sz w:val="20"/>
                <w:lang w:val="es-ES"/>
              </w:rPr>
              <w:t>Eliminación de la exención de impuestos especiales concedida a productos energéticos utilizados para la producción de magnesio a partir de agua salada;</w:t>
            </w:r>
          </w:p>
          <w:p w14:paraId="67F30CD3" w14:textId="77777777" w:rsidR="009713BF" w:rsidRPr="005E3D50" w:rsidRDefault="009713BF" w:rsidP="009713BF">
            <w:pPr>
              <w:numPr>
                <w:ilvl w:val="0"/>
                <w:numId w:val="50"/>
              </w:numPr>
              <w:spacing w:after="160" w:line="278" w:lineRule="auto"/>
              <w:rPr>
                <w:sz w:val="20"/>
                <w:szCs w:val="20"/>
                <w:lang w:val="es-ES"/>
              </w:rPr>
            </w:pPr>
            <w:r w:rsidRPr="005E3D50">
              <w:rPr>
                <w:sz w:val="20"/>
                <w:lang w:val="es-ES"/>
              </w:rPr>
              <w:t>Cese de la financiación pública para investigación, desarrollo y demostración en relación con petróleo, gas y carbón.</w:t>
            </w:r>
          </w:p>
          <w:p w14:paraId="723FEE0A" w14:textId="77777777" w:rsidR="009713BF" w:rsidRPr="005E3D50" w:rsidRDefault="009713BF" w:rsidP="009713BF">
            <w:pPr>
              <w:spacing w:after="160" w:line="278" w:lineRule="auto"/>
              <w:rPr>
                <w:sz w:val="20"/>
                <w:szCs w:val="20"/>
                <w:lang w:val="es-ES"/>
              </w:rPr>
            </w:pPr>
            <w:r w:rsidRPr="005E3D50">
              <w:rPr>
                <w:sz w:val="20"/>
                <w:lang w:val="es-ES"/>
              </w:rPr>
              <w:t xml:space="preserve">En su conjunto, estas medidas lograron una reducción anual total de más de 282 millones de euros en subsidios perjudiciales. </w:t>
            </w:r>
          </w:p>
          <w:p w14:paraId="199BEB59" w14:textId="77777777" w:rsidR="009713BF" w:rsidRPr="005E3D50" w:rsidRDefault="009713BF" w:rsidP="009713BF">
            <w:pPr>
              <w:rPr>
                <w:rFonts w:ascii="Aptos" w:eastAsia="Aptos" w:hAnsi="Aptos" w:cs="Aptos"/>
                <w:color w:val="000000" w:themeColor="text1"/>
                <w:sz w:val="20"/>
                <w:szCs w:val="20"/>
                <w:lang w:val="es-ES"/>
              </w:rPr>
            </w:pPr>
            <w:r w:rsidRPr="005E3D50">
              <w:rPr>
                <w:i/>
                <w:sz w:val="20"/>
                <w:lang w:val="es-ES"/>
              </w:rPr>
              <w:t xml:space="preserve">Metas pertinentes: </w:t>
            </w:r>
            <w:r w:rsidRPr="005E3D50">
              <w:rPr>
                <w:rFonts w:ascii="Aptos" w:hAnsi="Aptos"/>
                <w:color w:val="000000" w:themeColor="text1"/>
                <w:sz w:val="20"/>
                <w:lang w:val="es-ES"/>
              </w:rPr>
              <w:t>7, 8, 14, 15, 19 y 21.</w:t>
            </w:r>
          </w:p>
          <w:p w14:paraId="0DA07699"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Fuente: </w:t>
            </w:r>
            <w:r w:rsidRPr="005E3D50">
              <w:rPr>
                <w:rFonts w:ascii="Aptos" w:hAnsi="Aptos"/>
                <w:color w:val="000000" w:themeColor="text1"/>
                <w:sz w:val="20"/>
                <w:lang w:val="es-ES"/>
              </w:rPr>
              <w:t>Italia, séptimo informe nacional presentado al Convenio.</w:t>
            </w:r>
          </w:p>
          <w:p w14:paraId="5FF28713" w14:textId="77777777" w:rsidR="009713BF" w:rsidRPr="005E3D50" w:rsidRDefault="009713BF" w:rsidP="009713BF">
            <w:pPr>
              <w:rPr>
                <w:rFonts w:ascii="Aptos" w:eastAsia="Aptos" w:hAnsi="Aptos" w:cs="Aptos"/>
                <w:i/>
                <w:iCs/>
                <w:color w:val="000000" w:themeColor="text1"/>
                <w:lang w:val="es-ES"/>
              </w:rPr>
            </w:pPr>
          </w:p>
          <w:p w14:paraId="7634C648" w14:textId="77777777" w:rsidR="009713BF" w:rsidRPr="005E3D50" w:rsidRDefault="009713BF" w:rsidP="009713BF">
            <w:pPr>
              <w:rPr>
                <w:rFonts w:ascii="Aptos" w:eastAsia="Aptos" w:hAnsi="Aptos" w:cs="Aptos"/>
                <w:color w:val="000000" w:themeColor="text1"/>
                <w:sz w:val="18"/>
                <w:szCs w:val="18"/>
                <w:lang w:val="es-ES"/>
              </w:rPr>
            </w:pPr>
            <w:r w:rsidRPr="005E3D50">
              <w:rPr>
                <w:rFonts w:ascii="Aptos" w:hAnsi="Aptos"/>
                <w:color w:val="000000" w:themeColor="text1"/>
                <w:sz w:val="18"/>
                <w:vertAlign w:val="superscript"/>
                <w:lang w:val="es-ES"/>
              </w:rPr>
              <w:t>a</w:t>
            </w:r>
            <w:r w:rsidRPr="005E3D50">
              <w:rPr>
                <w:rFonts w:ascii="Aptos" w:hAnsi="Aptos"/>
                <w:color w:val="000000" w:themeColor="text1"/>
                <w:sz w:val="18"/>
                <w:lang w:val="es-ES"/>
              </w:rPr>
              <w:t xml:space="preserve"> Disponible en </w:t>
            </w:r>
            <w:hyperlink r:id="rId183" w:history="1">
              <w:r w:rsidRPr="005E3D50">
                <w:rPr>
                  <w:color w:val="000000" w:themeColor="text1"/>
                  <w:sz w:val="18"/>
                  <w:lang w:val="es-ES"/>
                </w:rPr>
                <w:t>www.mase.gov.it/portale/catalogo-dei-sussidi-ambientalmente-dannosi-e-dei-sussidi-ambientalmente-favorevoli</w:t>
              </w:r>
            </w:hyperlink>
            <w:r w:rsidRPr="005E3D50">
              <w:rPr>
                <w:sz w:val="18"/>
                <w:lang w:val="es-ES"/>
              </w:rPr>
              <w:t>.</w:t>
            </w:r>
          </w:p>
          <w:p w14:paraId="61A7A4F3" w14:textId="77777777" w:rsidR="009713BF" w:rsidRPr="005E3D50" w:rsidRDefault="009713BF" w:rsidP="009713BF">
            <w:pPr>
              <w:rPr>
                <w:lang w:val="es-ES"/>
              </w:rPr>
            </w:pPr>
          </w:p>
        </w:tc>
      </w:tr>
    </w:tbl>
    <w:p w14:paraId="1D07176E" w14:textId="77777777" w:rsidR="009713BF" w:rsidRPr="005E3D50" w:rsidRDefault="009713BF" w:rsidP="009713BF">
      <w:pPr>
        <w:rPr>
          <w:lang w:val="es-ES"/>
        </w:rPr>
      </w:pPr>
    </w:p>
    <w:p w14:paraId="341A9108"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68" w:name="_Toc235821274"/>
      <w:r w:rsidRPr="005E3D50">
        <w:rPr>
          <w:rFonts w:eastAsiaTheme="majorEastAsia" w:cstheme="majorBidi"/>
          <w:i/>
          <w:iCs/>
          <w:color w:val="595959" w:themeColor="text1" w:themeTint="A6"/>
          <w:lang w:val="es-ES"/>
        </w:rPr>
        <w:t>Dificultades</w:t>
      </w:r>
      <w:bookmarkEnd w:id="468"/>
    </w:p>
    <w:p w14:paraId="7A3AB0FA" w14:textId="77777777" w:rsidR="009713BF" w:rsidRPr="005E3D50" w:rsidRDefault="009713BF" w:rsidP="009713BF">
      <w:pPr>
        <w:rPr>
          <w:rFonts w:ascii="Aptos" w:eastAsia="Aptos" w:hAnsi="Aptos" w:cs="Aptos"/>
          <w:color w:val="008080"/>
          <w:u w:val="single"/>
          <w:lang w:val="es-ES"/>
        </w:rPr>
      </w:pPr>
    </w:p>
    <w:p w14:paraId="38A45531" w14:textId="77777777" w:rsidR="009713BF" w:rsidRPr="005E3D50" w:rsidRDefault="009713BF" w:rsidP="009713BF">
      <w:pPr>
        <w:rPr>
          <w:lang w:val="es-ES"/>
        </w:rPr>
      </w:pPr>
      <w:r w:rsidRPr="005E3D50">
        <w:rPr>
          <w:lang w:val="es-ES"/>
        </w:rPr>
        <w:t xml:space="preserve">Muchas Partes informan que enfrentan obstáculos en cuanto a la identificación de incentivos, entre ellos subsidios, que son perjudiciales para la diversidad biológica. Estos obstáculos incluyen inventarios incompletos de incentivos perjudiciales, datos faltantes o incompletos en Partes de todos los niveles de ingresos y ausencia de definiciones acordadas y enfoques armonizados para la identificación de incentivos que son perjudiciales. Dado que no se puede priorizar ni medir las reformas sin antes saber qué incentivos existen, cuál es su valor monetario y qué impactos específicos tienen en la diversidad biológica, los obstáculos que dificultan la identificación también dificultan la introducción de reformas. Aun en aquellos casos en que se intente implementar reformas, es posible que las Partes no cuenten con sistemas para hacer un seguimiento de los ahorros por concepto de subsidios y determinar si lo ahorrado se reinvierte en la naturaleza, si los incentivos positivos están arrojando resultados o si los incentivos perjudiciales no reaparecen en otra modalidad. En varios informes nacionales se señala la existencia de intereses arraigados y de barreras políticas que impiden la reforma de subsidios. Los subsidios agrícolas, energéticos y de la pesca suelen estar firmemente incorporados en las economías nacionales y vinculados a políticas de seguridad alimentaria, reducción de la pobreza o accesibilidad energética, entre otras. Varias Partes </w:t>
      </w:r>
      <w:r w:rsidRPr="005E3D50">
        <w:rPr>
          <w:lang w:val="es-ES"/>
        </w:rPr>
        <w:lastRenderedPageBreak/>
        <w:t>también señalan que la coordinación intersectorial plantea un desafío importante y citan dificultades en la armonización entre los ministerios de finanzas, medio ambiente, agricultura y energía. La falta de recursos financieros nacionales suficientes para aumentar los incentivos positivos es un tema recurrente en los informes nacionales. Además, varios informes señalan que con respecto a la aplicación de políticas en este sentido existe una dependencia de donantes externos y apoyo técnico del exterior.</w:t>
      </w:r>
    </w:p>
    <w:p w14:paraId="136501B6"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24FF4C7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69" w:name="_Toc235821275"/>
      <w:r w:rsidRPr="005E3D50">
        <w:rPr>
          <w:rFonts w:eastAsiaTheme="majorEastAsia" w:cstheme="majorBidi"/>
          <w:color w:val="0F4761" w:themeColor="accent1" w:themeShade="BF"/>
          <w:lang w:val="es-ES"/>
        </w:rPr>
        <w:t>Contribuciones de actores distintos de los Gobiernos nacionales</w:t>
      </w:r>
      <w:bookmarkEnd w:id="469"/>
    </w:p>
    <w:p w14:paraId="7125C859" w14:textId="77777777" w:rsidR="009713BF" w:rsidRPr="005E3D50" w:rsidRDefault="009713BF" w:rsidP="009713BF">
      <w:pPr>
        <w:rPr>
          <w:lang w:val="es-ES"/>
        </w:rPr>
      </w:pPr>
    </w:p>
    <w:p w14:paraId="5183EAF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70" w:name="_Toc235821276"/>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470"/>
    </w:p>
    <w:p w14:paraId="4CDA6158" w14:textId="77777777" w:rsidR="009713BF" w:rsidRPr="005E3D50" w:rsidRDefault="009713BF" w:rsidP="009713BF">
      <w:pPr>
        <w:rPr>
          <w:lang w:val="es-ES"/>
        </w:rPr>
      </w:pPr>
    </w:p>
    <w:p w14:paraId="70D555B7" w14:textId="77777777" w:rsidR="009713BF" w:rsidRPr="005E3D50" w:rsidRDefault="009713BF" w:rsidP="009713BF">
      <w:pPr>
        <w:rPr>
          <w:lang w:val="es-ES"/>
        </w:rPr>
      </w:pPr>
      <w:r w:rsidRPr="005E3D50">
        <w:rPr>
          <w:lang w:val="es-ES"/>
        </w:rPr>
        <w:t>De los 180 compromisos presentados por actores que no son Gobiernos nacionales, solo 1 tiene que ver principalmente con la meta 18. Ese compromiso, que fue presentado por una red de ONG con sede en Dinamarca que presentó compromisos referidos a las 23 metas del Marco, tiene que ver con la promoción de una reorientación más ambiciosa de los subsidios perjudiciales para la diversidad biológica.</w:t>
      </w:r>
    </w:p>
    <w:p w14:paraId="43464B23" w14:textId="77777777" w:rsidR="009713BF" w:rsidRPr="005E3D50" w:rsidRDefault="009713BF" w:rsidP="009713BF">
      <w:pPr>
        <w:rPr>
          <w:i/>
          <w:iCs/>
          <w:lang w:val="es-ES"/>
        </w:rPr>
      </w:pPr>
    </w:p>
    <w:p w14:paraId="7ABD48B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71" w:name="_Toc235821277"/>
      <w:r w:rsidRPr="005E3D50">
        <w:rPr>
          <w:rFonts w:eastAsiaTheme="majorEastAsia" w:cstheme="majorBidi"/>
          <w:i/>
          <w:iCs/>
          <w:color w:val="595959" w:themeColor="text1" w:themeTint="A6"/>
          <w:lang w:val="es-ES"/>
        </w:rPr>
        <w:t>Contribuciones integradas en los informes nacionales</w:t>
      </w:r>
      <w:bookmarkEnd w:id="471"/>
    </w:p>
    <w:p w14:paraId="4A9B8DDD" w14:textId="77777777" w:rsidR="009713BF" w:rsidRPr="005E3D50" w:rsidRDefault="009713BF" w:rsidP="009713BF">
      <w:pPr>
        <w:rPr>
          <w:lang w:val="es-ES"/>
        </w:rPr>
      </w:pPr>
    </w:p>
    <w:p w14:paraId="4C9E3B04" w14:textId="77777777" w:rsidR="009713BF" w:rsidRPr="005E3D50" w:rsidRDefault="009713BF" w:rsidP="009713BF">
      <w:pPr>
        <w:rPr>
          <w:lang w:val="es-ES"/>
        </w:rPr>
      </w:pPr>
      <w:r w:rsidRPr="005E3D50">
        <w:rPr>
          <w:lang w:val="es-ES"/>
        </w:rPr>
        <w:t>Los informes nacionales incluyen ejemplos de intercambio de análisis y conocimientos para la consecución de la meta 18. Las organizaciones intergubernamentales, en particular el PNUD a través de BIOFIN, colaboran prestando asistencia para la elaboración de planes nacionales de financiación de la biodiversidad; las organizaciones de investigación contribuyen a la realización de evaluaciones de subsidios perjudiciales; y las comunidades empresarial y financiera participan a través de marcos de divulgación tales como el Grupo de Trabajo sobre Divulgaciones Financieras relacionadas con la Naturaleza. La principal función de implementación que cumplen sectores relacionados con la diversidad biológica o dependientes de ella, así como ONG y pueblos indígenas y comunidades locales, tiene que ver con la provisión de mecanismos de incentivos positivos, tales como pagos por los servicios de los ecosistemas y esquemas de certificación de sostenibilidad. Con respecto a los ciudadanos, la juventud y las mujeres, los informes nacionales los vinculan con funciones de consulta y sensibilización.</w:t>
      </w:r>
    </w:p>
    <w:p w14:paraId="6D4AD93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6B7C589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Ejemplos de vínculos con otros acuerdos, procesos y organizaciones </w:t>
      </w:r>
    </w:p>
    <w:p w14:paraId="1C5E8C11" w14:textId="77777777" w:rsidR="009713BF" w:rsidRPr="005E3D50" w:rsidRDefault="009713BF" w:rsidP="009713BF">
      <w:pPr>
        <w:rPr>
          <w:lang w:val="es-ES"/>
        </w:rPr>
      </w:pPr>
    </w:p>
    <w:p w14:paraId="72303679" w14:textId="77777777" w:rsidR="009713BF" w:rsidRPr="005E3D50" w:rsidRDefault="009713BF" w:rsidP="009713BF">
      <w:pPr>
        <w:rPr>
          <w:lang w:val="es-ES"/>
        </w:rPr>
      </w:pPr>
      <w:r w:rsidRPr="005E3D50">
        <w:rPr>
          <w:lang w:val="es-ES"/>
        </w:rPr>
        <w:t>La entrada en vigor en 2025 del Acuerdo sobre Subvenciones a la Pesca de la Organización Mundial del Comercio, adoptado en 2022, marcó un paso significativo en la eliminación gradual de incentivos perjudiciales para la diversidad biológica y por lo tanto se relaciona estrechamente con la consecución de la meta 18. Este acuerdo prohíbe subsidios que contribuyan a la pesca ilegal, no declarada y no reglamentada, afecten poblaciones sobreexplotadas o se relacionen con actividades de pesca en alta mar donde los recursos no están sujetos a organizaciones regionales de ordenación pesquera (OMC, 2022).</w:t>
      </w:r>
    </w:p>
    <w:p w14:paraId="3EA6B90B" w14:textId="77777777" w:rsidR="009713BF" w:rsidRPr="005E3D50" w:rsidRDefault="009713BF" w:rsidP="009713BF">
      <w:pPr>
        <w:rPr>
          <w:lang w:val="es-ES"/>
        </w:rPr>
      </w:pPr>
      <w:r w:rsidRPr="005E3D50">
        <w:rPr>
          <w:lang w:val="es-ES"/>
        </w:rPr>
        <w:t xml:space="preserve">El Marco Mundial sobre los Productos Químicos tiene entre otros objetivos estratégicos el de fomentar la inversión financiera en prácticas químicas </w:t>
      </w:r>
      <w:proofErr w:type="gramStart"/>
      <w:r w:rsidRPr="005E3D50">
        <w:rPr>
          <w:lang w:val="es-ES"/>
        </w:rPr>
        <w:t>más sostenibles y más seguras</w:t>
      </w:r>
      <w:proofErr w:type="gramEnd"/>
      <w:r w:rsidRPr="005E3D50">
        <w:rPr>
          <w:lang w:val="es-ES"/>
        </w:rPr>
        <w:t>, incluidas tecnologías limpias y uso eficiente de los recursos. Mediante la promoción de enfoques integrados de financiación que incluyen la integración de la participación del sector privado y el apalancamiento de fondos externos, este marco ayuda a movilizar recursos para la eliminación gradual de los subsidios perjudiciales y la ampliación de la asistencia financiera para prácticas y tecnologías verdes, contribuyendo así a la consecución de la meta 18. En concreto, la meta D2 de este marco tiene como objetivo implementar políticas que fomenten el uso de las mejores técnicas disponibles, las compras públicas verdes y enfoques de economía circular, impulsando el giro hacia procesos de producción más sostenibles (Secretaría de los Convenios de Basilea, Estocolmo y Rotterdam, 2025; PNUMA, 2024a).</w:t>
      </w:r>
    </w:p>
    <w:p w14:paraId="1D15A2DB" w14:textId="77777777" w:rsidR="009713BF" w:rsidRPr="005E3D50" w:rsidRDefault="009713BF" w:rsidP="009713BF">
      <w:pPr>
        <w:keepNext/>
        <w:keepLines/>
        <w:spacing w:before="80" w:after="40"/>
        <w:outlineLvl w:val="3"/>
        <w:rPr>
          <w:rFonts w:eastAsiaTheme="majorEastAsia" w:cstheme="majorBidi"/>
          <w:i/>
          <w:iCs/>
          <w:color w:val="0F4761" w:themeColor="accent1" w:themeShade="BF"/>
          <w:lang w:val="es-ES"/>
        </w:rPr>
      </w:pPr>
      <w:bookmarkStart w:id="472" w:name="_Toc235821278"/>
      <w:bookmarkStart w:id="473" w:name="_Ref236151213"/>
      <w:bookmarkStart w:id="474" w:name="_Ref236152379"/>
    </w:p>
    <w:p w14:paraId="62156673"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475" w:name="_Toc239069215"/>
      <w:bookmarkStart w:id="476" w:name="_Toc1304821510"/>
      <w:bookmarkStart w:id="477" w:name="_Toc242882993"/>
      <w:r w:rsidRPr="005E3D50">
        <w:rPr>
          <w:rFonts w:eastAsiaTheme="majorEastAsia" w:cstheme="majorBidi"/>
          <w:b/>
          <w:iCs/>
          <w:color w:val="0F4761" w:themeColor="accent1" w:themeShade="BF"/>
          <w:lang w:val="es-ES"/>
        </w:rPr>
        <w:t xml:space="preserve">Meta 19. </w:t>
      </w:r>
      <w:r w:rsidRPr="005E3D50">
        <w:rPr>
          <w:rFonts w:eastAsiaTheme="majorEastAsia" w:cstheme="majorBidi"/>
          <w:iCs/>
          <w:color w:val="0F4761" w:themeColor="accent1" w:themeShade="BF"/>
          <w:lang w:val="es-ES"/>
        </w:rPr>
        <w:t>Movilizar 200.000 millones de dólares al año para la biodiversidad, provenientes de todas las fuentes, incluidos 30.000 millones de dólares mediante financiación internacional</w:t>
      </w:r>
      <w:bookmarkEnd w:id="472"/>
      <w:bookmarkEnd w:id="473"/>
      <w:bookmarkEnd w:id="474"/>
      <w:bookmarkEnd w:id="475"/>
      <w:bookmarkEnd w:id="476"/>
      <w:bookmarkEnd w:id="477"/>
    </w:p>
    <w:p w14:paraId="6A084123" w14:textId="77777777" w:rsidR="009713BF" w:rsidRPr="005E3D50" w:rsidRDefault="009713BF" w:rsidP="009713BF">
      <w:pPr>
        <w:rPr>
          <w:lang w:val="es-ES"/>
        </w:rPr>
      </w:pPr>
    </w:p>
    <w:p w14:paraId="59B7C31D"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b/>
          <w:color w:val="000000"/>
          <w:kern w:val="0"/>
          <w:sz w:val="21"/>
          <w:lang w:val="es-ES"/>
        </w:rPr>
        <w:t>Texto de la meta.</w:t>
      </w:r>
      <w:r w:rsidRPr="005E3D50">
        <w:rPr>
          <w:rFonts w:ascii="Times New Roman" w:hAnsi="Times New Roman" w:cs="Times New Roman"/>
          <w:i/>
          <w:color w:val="000000"/>
          <w:kern w:val="0"/>
          <w:sz w:val="21"/>
          <w:lang w:val="es-ES"/>
        </w:rPr>
        <w:t xml:space="preserve"> </w:t>
      </w:r>
      <w:r w:rsidRPr="005E3D50">
        <w:rPr>
          <w:rFonts w:cs="Times New Roman"/>
          <w:i/>
          <w:color w:val="000000"/>
          <w:kern w:val="0"/>
          <w:sz w:val="21"/>
          <w:lang w:val="es-ES"/>
        </w:rPr>
        <w:t xml:space="preserve">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p>
    <w:p w14:paraId="79C522D9"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 xml:space="preserve">a) 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 </w:t>
      </w:r>
    </w:p>
    <w:p w14:paraId="1AD6CD94"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lastRenderedPageBreak/>
        <w:t xml:space="preserve">b) Aumentando significativamente la movilización de recursos nacionales, facilitada mediante la preparación y aplicación de planes nacionales de financiación de la biodiversidad o instrumentos similares de acuerdo con las necesidades, prioridades y circunstancias nacionales; </w:t>
      </w:r>
    </w:p>
    <w:p w14:paraId="3D996C3A"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 xml:space="preserve">c) Apalancando la financiación privada, promoviendo la financiación combinada, aplicando estrategias de obtención de recursos nuevos y adicionales, y alentando al sector privado a invertir en la biodiversidad, entre otras cosas, mediante fondos de impacto y otros instrumentos; </w:t>
      </w:r>
    </w:p>
    <w:p w14:paraId="41D9AF28"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 xml:space="preserve">d) Estimulando planes innovadores, como pagos por los servicios de los ecosistemas, bonos verdes, compensaciones y créditos de biodiversidad y mecanismos de participación en los beneficios, con salvaguardias ambientales y sociales; </w:t>
      </w:r>
    </w:p>
    <w:p w14:paraId="57217350"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 xml:space="preserve">e) Optimizando los beneficios secundarios y las sinergias de la financiación destinada a atender las crisis de la biodiversidad y del clima; </w:t>
      </w:r>
    </w:p>
    <w:p w14:paraId="39519F7A" w14:textId="77777777" w:rsidR="009713BF" w:rsidRPr="005E3D50" w:rsidRDefault="009713BF" w:rsidP="009713BF">
      <w:pPr>
        <w:autoSpaceDE w:val="0"/>
        <w:autoSpaceDN w:val="0"/>
        <w:adjustRightInd w:val="0"/>
        <w:spacing w:after="0" w:line="240" w:lineRule="auto"/>
        <w:rPr>
          <w:rFonts w:cs="Times New Roman"/>
          <w:i/>
          <w:iCs/>
          <w:color w:val="000000"/>
          <w:kern w:val="0"/>
          <w:sz w:val="21"/>
          <w:szCs w:val="21"/>
          <w:lang w:val="es-ES"/>
        </w:rPr>
      </w:pPr>
      <w:r w:rsidRPr="005E3D50">
        <w:rPr>
          <w:rFonts w:cs="Times New Roman"/>
          <w:i/>
          <w:color w:val="000000"/>
          <w:kern w:val="0"/>
          <w:sz w:val="21"/>
          <w:lang w:val="es-ES"/>
        </w:rPr>
        <w:t xml:space="preserve">f) Reforzando el papel de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 </w:t>
      </w:r>
    </w:p>
    <w:p w14:paraId="0B5FD5E1" w14:textId="77777777" w:rsidR="009713BF" w:rsidRPr="005E3D50" w:rsidRDefault="009713BF" w:rsidP="009713BF">
      <w:pPr>
        <w:rPr>
          <w:rFonts w:cs="Times New Roman"/>
          <w:i/>
          <w:color w:val="000000"/>
          <w:kern w:val="0"/>
          <w:sz w:val="21"/>
          <w:lang w:val="es-ES"/>
        </w:rPr>
      </w:pPr>
      <w:r w:rsidRPr="005E3D50">
        <w:rPr>
          <w:rFonts w:cs="Times New Roman"/>
          <w:i/>
          <w:color w:val="000000"/>
          <w:kern w:val="0"/>
          <w:sz w:val="21"/>
          <w:lang w:val="es-ES"/>
        </w:rPr>
        <w:t>g) Reforzando la eficacia, eficiencia y transparencia de la provisión y utilización de los recursos.</w:t>
      </w:r>
    </w:p>
    <w:p w14:paraId="769CC1F2" w14:textId="77777777" w:rsidR="009713BF" w:rsidRPr="005E3D50" w:rsidRDefault="009713BF" w:rsidP="009713BF">
      <w:pPr>
        <w:rPr>
          <w:lang w:val="es-ES"/>
        </w:rPr>
      </w:pPr>
    </w:p>
    <w:p w14:paraId="76C95D5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49B853D5" w14:textId="77777777" w:rsidTr="006E6831">
        <w:tc>
          <w:tcPr>
            <w:tcW w:w="9016" w:type="dxa"/>
            <w:shd w:val="clear" w:color="auto" w:fill="D1D1D1" w:themeFill="background2" w:themeFillShade="E6"/>
          </w:tcPr>
          <w:p w14:paraId="260FD41D" w14:textId="77777777" w:rsidR="009713BF" w:rsidRPr="005E3D50" w:rsidRDefault="009713BF" w:rsidP="009713BF">
            <w:pPr>
              <w:rPr>
                <w:rFonts w:ascii="Aptos" w:eastAsia="Times New Roman" w:hAnsi="Aptos" w:cs="Calibri"/>
                <w:color w:val="000000"/>
                <w:lang w:val="es-ES"/>
              </w:rPr>
            </w:pPr>
          </w:p>
          <w:p w14:paraId="484924D7" w14:textId="77777777" w:rsidR="009713BF" w:rsidRPr="005E3D50" w:rsidRDefault="009713BF" w:rsidP="009713BF">
            <w:pPr>
              <w:rPr>
                <w:rFonts w:ascii="Aptos" w:eastAsia="Times New Roman" w:hAnsi="Aptos" w:cs="Calibri"/>
                <w:color w:val="000000"/>
                <w:lang w:val="es-ES"/>
              </w:rPr>
            </w:pPr>
            <w:r w:rsidRPr="005E3D50">
              <w:rPr>
                <w:rFonts w:ascii="Aptos" w:hAnsi="Aptos"/>
                <w:color w:val="000000"/>
                <w:spacing w:val="-2"/>
                <w:lang w:val="es-ES"/>
              </w:rPr>
              <w:t>La financiación de la biodiversidad está aumentando, pero los progresos siguen siendo insuficientes y es probable que no se haya alcanzado el hito de financiación</w:t>
            </w:r>
            <w:r w:rsidRPr="005E3D50">
              <w:rPr>
                <w:rFonts w:ascii="Aptos" w:hAnsi="Aptos"/>
                <w:color w:val="000000"/>
                <w:lang w:val="es-ES"/>
              </w:rPr>
              <w:t xml:space="preserve"> fijado para 2025, aunque solo será posible realizar una evaluación definitiva una vez que se hayan comunicado datos completos para los años 2024 y 2025. Los elementos relacionados con sinergias de la financiación y el papel de las acciones colectivas están mayormente ausentes de las metas nacionales. En cuanto a la financiación internacional y nacional para la diversidad biológica, se registran en general tendencias crecientes, aunque por debajo de los niveles necesarios para alcanzar la meta, y el gasto nacional como porcentaje del PIB ha disminuido. Según los datos comunicados, la financiación privada alcanzó un punto máximo en 2021, para luego descender, y se mantiene en gran medida sin desarrollar. Las autoevaluaciones indican que solo una minoría de las metas nacionales están en vías de ser alcanzadas. Las principales dificultades que se enfrentan tienen que ver con la movilización de financiación a escala, la mejora en el acceso a financiación y el fortalecimiento de condiciones propicias para la inversión.</w:t>
            </w:r>
          </w:p>
          <w:p w14:paraId="391730CF" w14:textId="77777777" w:rsidR="009713BF" w:rsidRPr="005E3D50" w:rsidRDefault="009713BF" w:rsidP="009713BF">
            <w:pPr>
              <w:rPr>
                <w:lang w:val="es-ES"/>
              </w:rPr>
            </w:pPr>
          </w:p>
        </w:tc>
      </w:tr>
    </w:tbl>
    <w:p w14:paraId="3F74FC07" w14:textId="77777777" w:rsidR="009713BF" w:rsidRPr="005E3D50" w:rsidRDefault="009713BF" w:rsidP="009713BF">
      <w:pPr>
        <w:rPr>
          <w:lang w:val="es-ES"/>
        </w:rPr>
      </w:pPr>
    </w:p>
    <w:p w14:paraId="05F576B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19 del Marco en sus metas nacionales</w:t>
      </w:r>
    </w:p>
    <w:p w14:paraId="34D8A3C6" w14:textId="77777777" w:rsidR="009713BF" w:rsidRPr="005E3D50" w:rsidRDefault="009713BF" w:rsidP="009713BF">
      <w:pPr>
        <w:rPr>
          <w:sz w:val="20"/>
          <w:szCs w:val="20"/>
          <w:lang w:val="es-ES"/>
        </w:rPr>
      </w:pPr>
    </w:p>
    <w:p w14:paraId="760FB37A" w14:textId="77777777" w:rsidR="009713BF" w:rsidRPr="005E3D50" w:rsidRDefault="009713BF" w:rsidP="009713BF">
      <w:pPr>
        <w:keepNext/>
        <w:spacing w:after="200" w:line="240" w:lineRule="auto"/>
        <w:rPr>
          <w:rFonts w:eastAsiaTheme="minorEastAsia"/>
          <w:color w:val="0E2841" w:themeColor="text2"/>
          <w:kern w:val="0"/>
          <w:sz w:val="20"/>
          <w:szCs w:val="20"/>
          <w:lang w:val="es-ES" w:eastAsia="ja-JP"/>
          <w14:ligatures w14:val="none"/>
        </w:rPr>
      </w:pPr>
      <w:bookmarkStart w:id="478" w:name="_Ref230780302"/>
      <w:r w:rsidRPr="005E3D50">
        <w:rPr>
          <w:rFonts w:eastAsiaTheme="minorEastAsia"/>
          <w:iCs/>
          <w:color w:val="0E2841" w:themeColor="text2"/>
          <w:kern w:val="0"/>
          <w:sz w:val="20"/>
          <w:szCs w:val="18"/>
          <w:lang w:val="es-ES" w:eastAsia="ja-JP"/>
          <w14:ligatures w14:val="none"/>
        </w:rPr>
        <w:lastRenderedPageBreak/>
        <w:t>Cuadro 41</w:t>
      </w:r>
      <w:bookmarkEnd w:id="478"/>
    </w:p>
    <w:p w14:paraId="53653346" w14:textId="77777777" w:rsidR="009713BF" w:rsidRPr="005E3D50" w:rsidRDefault="009713BF" w:rsidP="009713BF">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19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896"/>
      </w:tblGrid>
      <w:tr w:rsidR="009713BF" w:rsidRPr="005E3D50" w14:paraId="71E530B4" w14:textId="77777777" w:rsidTr="006E6831">
        <w:tc>
          <w:tcPr>
            <w:tcW w:w="8359" w:type="dxa"/>
            <w:tcMar>
              <w:top w:w="29" w:type="dxa"/>
              <w:left w:w="115" w:type="dxa"/>
              <w:bottom w:w="29" w:type="dxa"/>
              <w:right w:w="115" w:type="dxa"/>
            </w:tcMar>
          </w:tcPr>
          <w:p w14:paraId="6C6CEA41"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Aumentar el total de los recursos financieros internacionales relacionados con la biodiversidad para los países en desarrollo hasta al menos 20.000 millones de dólares al año para 2025 y hasta al menos a 30.000 millones de dólares por año para 2030</w:t>
            </w:r>
          </w:p>
        </w:tc>
        <w:tc>
          <w:tcPr>
            <w:tcW w:w="896" w:type="dxa"/>
            <w:shd w:val="clear" w:color="auto" w:fill="FFFF00"/>
          </w:tcPr>
          <w:p w14:paraId="2963BA0C" w14:textId="77777777" w:rsidR="009713BF" w:rsidRPr="005E3D50" w:rsidRDefault="009713BF" w:rsidP="009713BF">
            <w:pPr>
              <w:rPr>
                <w:sz w:val="22"/>
                <w:szCs w:val="22"/>
                <w:lang w:val="es-ES"/>
              </w:rPr>
            </w:pPr>
            <w:r w:rsidRPr="005E3D50">
              <w:rPr>
                <w:sz w:val="22"/>
                <w:lang w:val="es-ES"/>
              </w:rPr>
              <w:t>58</w:t>
            </w:r>
          </w:p>
        </w:tc>
      </w:tr>
      <w:tr w:rsidR="009713BF" w:rsidRPr="005E3D50" w14:paraId="0FCE9811" w14:textId="77777777" w:rsidTr="006E6831">
        <w:tc>
          <w:tcPr>
            <w:tcW w:w="8359" w:type="dxa"/>
            <w:tcMar>
              <w:top w:w="29" w:type="dxa"/>
              <w:left w:w="115" w:type="dxa"/>
              <w:bottom w:w="29" w:type="dxa"/>
              <w:right w:w="115" w:type="dxa"/>
            </w:tcMar>
          </w:tcPr>
          <w:p w14:paraId="008A5B23"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Aumentar significativamente la movilización de recursos nacionales, facilitada mediante la preparación y aplicación de planes nacionales de financiación de la biodiversidad o instrumentos similares</w:t>
            </w:r>
          </w:p>
        </w:tc>
        <w:tc>
          <w:tcPr>
            <w:tcW w:w="896" w:type="dxa"/>
            <w:shd w:val="clear" w:color="auto" w:fill="00B050"/>
          </w:tcPr>
          <w:p w14:paraId="56D6F700" w14:textId="77777777" w:rsidR="009713BF" w:rsidRPr="005E3D50" w:rsidRDefault="009713BF" w:rsidP="009713BF">
            <w:pPr>
              <w:rPr>
                <w:sz w:val="22"/>
                <w:szCs w:val="22"/>
                <w:lang w:val="es-ES"/>
              </w:rPr>
            </w:pPr>
            <w:r w:rsidRPr="005E3D50">
              <w:rPr>
                <w:sz w:val="22"/>
                <w:lang w:val="es-ES"/>
              </w:rPr>
              <w:t>81</w:t>
            </w:r>
          </w:p>
        </w:tc>
      </w:tr>
      <w:tr w:rsidR="009713BF" w:rsidRPr="005E3D50" w14:paraId="4099DDCA" w14:textId="77777777" w:rsidTr="006E6831">
        <w:tc>
          <w:tcPr>
            <w:tcW w:w="8359" w:type="dxa"/>
            <w:tcMar>
              <w:top w:w="29" w:type="dxa"/>
              <w:left w:w="115" w:type="dxa"/>
              <w:bottom w:w="29" w:type="dxa"/>
              <w:right w:w="115" w:type="dxa"/>
            </w:tcMar>
          </w:tcPr>
          <w:p w14:paraId="03AC73AF"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Apalancar la financiación privada, promover la financiación combinada, aplicar estrategias de obtención de recursos nuevos y adicionales y alentar al sector privado a invertir en la biodiversidad</w:t>
            </w:r>
          </w:p>
        </w:tc>
        <w:tc>
          <w:tcPr>
            <w:tcW w:w="896" w:type="dxa"/>
            <w:shd w:val="clear" w:color="auto" w:fill="FFFF00"/>
          </w:tcPr>
          <w:p w14:paraId="09DEBA33" w14:textId="77777777" w:rsidR="009713BF" w:rsidRPr="005E3D50" w:rsidRDefault="009713BF" w:rsidP="009713BF">
            <w:pPr>
              <w:rPr>
                <w:sz w:val="22"/>
                <w:szCs w:val="22"/>
                <w:lang w:val="es-ES"/>
              </w:rPr>
            </w:pPr>
            <w:r w:rsidRPr="005E3D50">
              <w:rPr>
                <w:sz w:val="22"/>
                <w:lang w:val="es-ES"/>
              </w:rPr>
              <w:t>44</w:t>
            </w:r>
          </w:p>
        </w:tc>
      </w:tr>
      <w:tr w:rsidR="009713BF" w:rsidRPr="005E3D50" w14:paraId="293B8492" w14:textId="77777777" w:rsidTr="006E6831">
        <w:tc>
          <w:tcPr>
            <w:tcW w:w="8359" w:type="dxa"/>
            <w:tcMar>
              <w:top w:w="29" w:type="dxa"/>
              <w:left w:w="115" w:type="dxa"/>
              <w:bottom w:w="29" w:type="dxa"/>
              <w:right w:w="115" w:type="dxa"/>
            </w:tcMar>
          </w:tcPr>
          <w:p w14:paraId="69DE6F1D"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Estimular planes innovadores, como pagos por los servicios de los ecosistemas, bonos verdes, compensaciones y créditos de biodiversidad y mecanismos de participación en los beneficios</w:t>
            </w:r>
          </w:p>
        </w:tc>
        <w:tc>
          <w:tcPr>
            <w:tcW w:w="896" w:type="dxa"/>
            <w:shd w:val="clear" w:color="auto" w:fill="FFC000"/>
          </w:tcPr>
          <w:p w14:paraId="1559987C" w14:textId="77777777" w:rsidR="009713BF" w:rsidRPr="005E3D50" w:rsidRDefault="009713BF" w:rsidP="009713BF">
            <w:pPr>
              <w:rPr>
                <w:sz w:val="22"/>
                <w:szCs w:val="22"/>
                <w:lang w:val="es-ES"/>
              </w:rPr>
            </w:pPr>
            <w:r w:rsidRPr="005E3D50">
              <w:rPr>
                <w:sz w:val="22"/>
                <w:lang w:val="es-ES"/>
              </w:rPr>
              <w:t>34</w:t>
            </w:r>
          </w:p>
        </w:tc>
      </w:tr>
      <w:tr w:rsidR="009713BF" w:rsidRPr="005E3D50" w14:paraId="094A593F" w14:textId="77777777" w:rsidTr="006E6831">
        <w:tc>
          <w:tcPr>
            <w:tcW w:w="8359" w:type="dxa"/>
            <w:tcMar>
              <w:top w:w="29" w:type="dxa"/>
              <w:left w:w="115" w:type="dxa"/>
              <w:bottom w:w="29" w:type="dxa"/>
              <w:right w:w="115" w:type="dxa"/>
            </w:tcMar>
          </w:tcPr>
          <w:p w14:paraId="6B599F5E"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Optimizar los beneficios secundarios y las sinergias de la financiación destinada a atender las crisis de la biodiversidad y del clima</w:t>
            </w:r>
          </w:p>
        </w:tc>
        <w:tc>
          <w:tcPr>
            <w:tcW w:w="896" w:type="dxa"/>
            <w:shd w:val="clear" w:color="auto" w:fill="EE0000"/>
          </w:tcPr>
          <w:p w14:paraId="6843BA2E" w14:textId="77777777" w:rsidR="009713BF" w:rsidRPr="005E3D50" w:rsidRDefault="009713BF" w:rsidP="009713BF">
            <w:pPr>
              <w:rPr>
                <w:sz w:val="22"/>
                <w:szCs w:val="22"/>
                <w:lang w:val="es-ES"/>
              </w:rPr>
            </w:pPr>
            <w:r w:rsidRPr="005E3D50">
              <w:rPr>
                <w:sz w:val="22"/>
                <w:lang w:val="es-ES"/>
              </w:rPr>
              <w:t>16</w:t>
            </w:r>
          </w:p>
        </w:tc>
      </w:tr>
      <w:tr w:rsidR="009713BF" w:rsidRPr="005E3D50" w14:paraId="125A4DE1" w14:textId="77777777" w:rsidTr="006E6831">
        <w:tc>
          <w:tcPr>
            <w:tcW w:w="8359" w:type="dxa"/>
            <w:tcMar>
              <w:top w:w="29" w:type="dxa"/>
              <w:left w:w="115" w:type="dxa"/>
              <w:bottom w:w="29" w:type="dxa"/>
              <w:right w:w="115" w:type="dxa"/>
            </w:tcMar>
          </w:tcPr>
          <w:p w14:paraId="044E73E6"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 xml:space="preserve">Reforzar el papel de las acciones colectivas, incluidas las de los pueblos indígenas y las comunidades locales, acciones centradas en la Madre Tierra y enfoques no basados en el mercado </w:t>
            </w:r>
          </w:p>
        </w:tc>
        <w:tc>
          <w:tcPr>
            <w:tcW w:w="896" w:type="dxa"/>
            <w:shd w:val="clear" w:color="auto" w:fill="EE0000"/>
          </w:tcPr>
          <w:p w14:paraId="50C0DFE6" w14:textId="77777777" w:rsidR="009713BF" w:rsidRPr="005E3D50" w:rsidRDefault="009713BF" w:rsidP="009713BF">
            <w:pPr>
              <w:rPr>
                <w:sz w:val="22"/>
                <w:szCs w:val="22"/>
                <w:lang w:val="es-ES"/>
              </w:rPr>
            </w:pPr>
            <w:r w:rsidRPr="005E3D50">
              <w:rPr>
                <w:sz w:val="22"/>
                <w:lang w:val="es-ES"/>
              </w:rPr>
              <w:t>14</w:t>
            </w:r>
          </w:p>
        </w:tc>
      </w:tr>
      <w:tr w:rsidR="009713BF" w:rsidRPr="005E3D50" w14:paraId="6A7EA70D" w14:textId="77777777" w:rsidTr="006E6831">
        <w:tc>
          <w:tcPr>
            <w:tcW w:w="8359" w:type="dxa"/>
            <w:tcMar>
              <w:top w:w="29" w:type="dxa"/>
              <w:left w:w="115" w:type="dxa"/>
              <w:bottom w:w="29" w:type="dxa"/>
              <w:right w:w="115" w:type="dxa"/>
            </w:tcMar>
          </w:tcPr>
          <w:p w14:paraId="657C64AF" w14:textId="1F2D4BF8"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Reforzar la eficacia, eficiencia y transparencia de la provisión y utilización de los recursos</w:t>
            </w:r>
          </w:p>
        </w:tc>
        <w:tc>
          <w:tcPr>
            <w:tcW w:w="896" w:type="dxa"/>
            <w:shd w:val="clear" w:color="auto" w:fill="EE0000"/>
          </w:tcPr>
          <w:p w14:paraId="702F87EE" w14:textId="77777777" w:rsidR="009713BF" w:rsidRPr="005E3D50" w:rsidRDefault="009713BF" w:rsidP="009713BF">
            <w:pPr>
              <w:rPr>
                <w:sz w:val="22"/>
                <w:szCs w:val="22"/>
                <w:lang w:val="es-ES"/>
              </w:rPr>
            </w:pPr>
            <w:r w:rsidRPr="005E3D50">
              <w:rPr>
                <w:sz w:val="22"/>
                <w:lang w:val="es-ES"/>
              </w:rPr>
              <w:t>16</w:t>
            </w:r>
          </w:p>
        </w:tc>
      </w:tr>
      <w:tr w:rsidR="009713BF" w:rsidRPr="005E3D50" w14:paraId="7A99F788" w14:textId="77777777" w:rsidTr="006E6831">
        <w:tc>
          <w:tcPr>
            <w:tcW w:w="9255" w:type="dxa"/>
            <w:gridSpan w:val="2"/>
          </w:tcPr>
          <w:p w14:paraId="17DB85A7"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5BA308AB"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44 % de estos elementos en sus metas nacionales</w:t>
            </w:r>
          </w:p>
          <w:p w14:paraId="18908062" w14:textId="77777777" w:rsidR="009713BF" w:rsidRPr="005E3D50" w:rsidRDefault="009713BF" w:rsidP="009713BF">
            <w:pPr>
              <w:rPr>
                <w:sz w:val="22"/>
                <w:szCs w:val="22"/>
                <w:lang w:val="es-ES"/>
              </w:rPr>
            </w:pPr>
          </w:p>
        </w:tc>
      </w:tr>
    </w:tbl>
    <w:p w14:paraId="7FBA04A1" w14:textId="77777777" w:rsidR="009713BF" w:rsidRPr="005E3D50" w:rsidRDefault="009713BF" w:rsidP="009713BF">
      <w:pPr>
        <w:rPr>
          <w:lang w:val="es-ES"/>
        </w:rPr>
      </w:pPr>
    </w:p>
    <w:p w14:paraId="1E5087CE" w14:textId="77777777" w:rsidR="009713BF" w:rsidRPr="005E3D50" w:rsidRDefault="009713BF" w:rsidP="009713BF">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1276B24B"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84"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85"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6EA2B385" w14:textId="77777777" w:rsidR="009713BF" w:rsidRPr="005E3D50" w:rsidRDefault="009713BF" w:rsidP="009713BF">
      <w:pPr>
        <w:rPr>
          <w:lang w:val="es-ES"/>
        </w:rPr>
      </w:pPr>
    </w:p>
    <w:p w14:paraId="72CDF212" w14:textId="77777777" w:rsidR="009713BF" w:rsidRPr="005E3D50" w:rsidRDefault="009713BF" w:rsidP="009713BF">
      <w:pPr>
        <w:rPr>
          <w:lang w:val="es-ES"/>
        </w:rPr>
      </w:pPr>
      <w:r w:rsidRPr="005E3D50">
        <w:rPr>
          <w:lang w:val="es-ES"/>
        </w:rPr>
        <w:t xml:space="preserve">Existe una variación excepcionalmente alta en la proporción de Partes que abordan los diversos elementos de la meta 19 en sus metas nacionales (véase el cuadro 41). La gran mayoría de las Partes (81 %) tienen metas nacionales que se refieren a aumentar significativamente la movilización de recursos nacionales, facilitada mediante la preparación y aplicación de planes nacionales de financiación de la biodiversidad o instrumentos similares. Más de la mitad de las Partes (58 %) tienen metas nacionales que abordan, al menos en cierta medida, el aumento de recursos financieros internacionales relacionados con la biodiversidad para países en desarrollo. Menos de la mitad de las Partes (44 %) abordan el apalancamiento de la financiación privada para la biodiversidad, mientras que un poco más de un tercio (34 %) tienen metas nacionales dirigidas a </w:t>
      </w:r>
      <w:r w:rsidRPr="005E3D50">
        <w:rPr>
          <w:lang w:val="es-ES"/>
        </w:rPr>
        <w:lastRenderedPageBreak/>
        <w:t>estimular planes innovadores para aumentar la financiación destinada a la implementación del Marco. Los elementos de la meta 19 que son abordados por la menor cantidad de Partes son los referidos a optimizar los beneficios secundarios y las sinergias de la financiación destinada a atender las crisis de la biodiversidad y del clima (16 %), a reforzar el papel de las acciones colectivas, entre ellas las de los pueblos indígenas y las comunidades, las acciones centradas en la Madre Tierra y los enfoques no basados en el mercado (14 %) y a reforzar la eficacia, eficiencia y transparencia de la provisión y utilización de los recursos (16 %).</w:t>
      </w:r>
    </w:p>
    <w:p w14:paraId="61CC8703" w14:textId="77777777" w:rsidR="009713BF" w:rsidRPr="005E3D50" w:rsidRDefault="009713BF" w:rsidP="009713BF">
      <w:pPr>
        <w:rPr>
          <w:lang w:val="es-ES"/>
        </w:rPr>
      </w:pPr>
      <w:r w:rsidRPr="005E3D50">
        <w:rPr>
          <w:lang w:val="es-ES"/>
        </w:rPr>
        <w:t>Alrededor de un cuarto de las Partes (26 %) han incluido un componente cuantitativo en metas nacionales referidas a aumentar los recursos financieros internacionales relacionados con la biodiversidad para países en desarrollo. Dado que los valores para estos aumentos están expresados en términos muy variados, incluidos valores monetarios y porcentajes, no es posible obtener un valor agregado del aumento propuesto de recursos financieros tomando como base únicamente las metas nacionales.</w:t>
      </w:r>
    </w:p>
    <w:p w14:paraId="7E645C45" w14:textId="77777777" w:rsidR="009713BF" w:rsidRPr="005E3D50" w:rsidRDefault="009713BF" w:rsidP="009713BF">
      <w:pPr>
        <w:rPr>
          <w:lang w:val="es-ES"/>
        </w:rPr>
      </w:pPr>
    </w:p>
    <w:p w14:paraId="6B34CFA1"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79" w:name="_Toc235821281"/>
      <w:r w:rsidRPr="005E3D50">
        <w:rPr>
          <w:rFonts w:eastAsiaTheme="majorEastAsia" w:cstheme="majorBidi"/>
          <w:color w:val="0F4761" w:themeColor="accent1" w:themeShade="BF"/>
          <w:lang w:val="es-ES"/>
        </w:rPr>
        <w:t>Indicadores de progresos</w:t>
      </w:r>
      <w:bookmarkEnd w:id="479"/>
    </w:p>
    <w:p w14:paraId="640E4A66" w14:textId="77777777" w:rsidR="009713BF" w:rsidRPr="005E3D50" w:rsidRDefault="009713BF" w:rsidP="009713BF">
      <w:pPr>
        <w:rPr>
          <w:lang w:val="es-ES"/>
        </w:rPr>
      </w:pPr>
    </w:p>
    <w:p w14:paraId="13490F16"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bookmarkStart w:id="480" w:name="_Ref238993522"/>
      <w:r w:rsidRPr="005E3D50">
        <w:rPr>
          <w:rFonts w:eastAsiaTheme="minorEastAsia"/>
          <w:iCs/>
          <w:color w:val="0E2841" w:themeColor="text2"/>
          <w:kern w:val="0"/>
          <w:sz w:val="20"/>
          <w:szCs w:val="18"/>
          <w:lang w:val="es-ES" w:eastAsia="ja-JP"/>
          <w14:ligatures w14:val="none"/>
        </w:rPr>
        <w:t>Cuadro 42</w:t>
      </w:r>
      <w:bookmarkEnd w:id="480"/>
      <w:r w:rsidRPr="005E3D50">
        <w:rPr>
          <w:rFonts w:eastAsiaTheme="minorEastAsia"/>
          <w:iCs/>
          <w:color w:val="0E2841" w:themeColor="text2"/>
          <w:kern w:val="0"/>
          <w:sz w:val="20"/>
          <w:szCs w:val="18"/>
          <w:lang w:val="es-ES" w:eastAsia="ja-JP"/>
          <w14:ligatures w14:val="none"/>
        </w:rPr>
        <w:t xml:space="preserve"> </w:t>
      </w:r>
    </w:p>
    <w:p w14:paraId="74D48546"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19 del Marco</w:t>
      </w:r>
    </w:p>
    <w:p w14:paraId="1809B6CF" w14:textId="77777777" w:rsidR="009713BF" w:rsidRPr="005E3D50" w:rsidRDefault="009713BF" w:rsidP="009713BF">
      <w:pPr>
        <w:rPr>
          <w:lang w:val="es-ES" w:eastAsia="ja-JP"/>
        </w:rPr>
      </w:pPr>
    </w:p>
    <w:tbl>
      <w:tblPr>
        <w:tblW w:w="10201" w:type="dxa"/>
        <w:tblLook w:val="04A0" w:firstRow="1" w:lastRow="0" w:firstColumn="1" w:lastColumn="0" w:noHBand="0" w:noVBand="1"/>
      </w:tblPr>
      <w:tblGrid>
        <w:gridCol w:w="3240"/>
        <w:gridCol w:w="2284"/>
        <w:gridCol w:w="708"/>
        <w:gridCol w:w="3261"/>
        <w:gridCol w:w="708"/>
      </w:tblGrid>
      <w:tr w:rsidR="009713BF" w:rsidRPr="005E3D50" w14:paraId="4F39F7D1" w14:textId="77777777" w:rsidTr="006E6831">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47B6D7B9" w14:textId="77777777" w:rsidR="009713BF" w:rsidRPr="005E3D50" w:rsidRDefault="009713BF" w:rsidP="009713BF">
            <w:pPr>
              <w:spacing w:after="0" w:line="240" w:lineRule="auto"/>
              <w:jc w:val="center"/>
              <w:rPr>
                <w:rFonts w:ascii="Aptos" w:eastAsia="Times New Roman" w:hAnsi="Aptos" w:cs="Times New Roman"/>
                <w:color w:val="242424"/>
                <w:kern w:val="0"/>
                <w:sz w:val="20"/>
                <w:szCs w:val="20"/>
                <w:lang w:val="es-ES"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4C7EBAB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969" w:type="dxa"/>
            <w:gridSpan w:val="2"/>
            <w:tcBorders>
              <w:top w:val="single" w:sz="4" w:space="0" w:color="auto"/>
              <w:left w:val="nil"/>
              <w:bottom w:val="single" w:sz="4" w:space="0" w:color="auto"/>
              <w:right w:val="single" w:sz="4" w:space="0" w:color="auto"/>
            </w:tcBorders>
            <w:vAlign w:val="center"/>
          </w:tcPr>
          <w:p w14:paraId="34CD9E2D"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78100DCD" w14:textId="77777777" w:rsidTr="006E6831">
        <w:trPr>
          <w:trHeight w:val="1160"/>
        </w:trPr>
        <w:tc>
          <w:tcPr>
            <w:tcW w:w="3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DE4F419" w14:textId="77777777" w:rsidR="009713BF" w:rsidRPr="005E3D50" w:rsidRDefault="009713BF" w:rsidP="009713BF">
            <w:pPr>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t>Indicador de cabecera D.1: financiación pública internacional, incluida asistencia oficial para el desarrollo para la conservación y la utilización sostenible de la diversidad biológica y los ecosistemas</w:t>
            </w:r>
          </w:p>
        </w:tc>
        <w:tc>
          <w:tcPr>
            <w:tcW w:w="2284" w:type="dxa"/>
            <w:tcBorders>
              <w:top w:val="single" w:sz="4" w:space="0" w:color="auto"/>
              <w:left w:val="nil"/>
              <w:bottom w:val="single" w:sz="4" w:space="0" w:color="auto"/>
              <w:right w:val="single" w:sz="4" w:space="0" w:color="auto"/>
            </w:tcBorders>
            <w:tcMar>
              <w:top w:w="29" w:type="dxa"/>
              <w:left w:w="115" w:type="dxa"/>
              <w:bottom w:w="29" w:type="dxa"/>
              <w:right w:w="115" w:type="dxa"/>
            </w:tcMar>
            <w:vAlign w:val="center"/>
            <w:hideMark/>
          </w:tcPr>
          <w:p w14:paraId="537567DB"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61 % de las Partes</w:t>
            </w:r>
          </w:p>
        </w:tc>
        <w:tc>
          <w:tcPr>
            <w:tcW w:w="708" w:type="dxa"/>
            <w:tcBorders>
              <w:top w:val="single" w:sz="4" w:space="0" w:color="auto"/>
              <w:left w:val="nil"/>
              <w:bottom w:val="single" w:sz="4" w:space="0" w:color="auto"/>
              <w:right w:val="single" w:sz="4" w:space="0" w:color="auto"/>
            </w:tcBorders>
            <w:shd w:val="clear" w:color="000000" w:fill="92D050"/>
            <w:tcMar>
              <w:top w:w="29" w:type="dxa"/>
              <w:left w:w="115" w:type="dxa"/>
              <w:bottom w:w="29" w:type="dxa"/>
              <w:right w:w="115" w:type="dxa"/>
            </w:tcMar>
            <w:vAlign w:val="center"/>
            <w:hideMark/>
          </w:tcPr>
          <w:p w14:paraId="5A1E114D"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single" w:sz="4" w:space="0" w:color="auto"/>
              <w:left w:val="nil"/>
              <w:bottom w:val="single" w:sz="4" w:space="0" w:color="auto"/>
              <w:right w:val="single" w:sz="4" w:space="0" w:color="auto"/>
            </w:tcBorders>
            <w:tcMar>
              <w:top w:w="29" w:type="dxa"/>
              <w:left w:w="115" w:type="dxa"/>
              <w:bottom w:w="29" w:type="dxa"/>
              <w:right w:w="115" w:type="dxa"/>
            </w:tcMar>
            <w:vAlign w:val="center"/>
            <w:hideMark/>
          </w:tcPr>
          <w:p w14:paraId="4E8AA18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El promedio para 2020-2023 fue de 4.400 millones de dólares de los </w:t>
            </w:r>
            <w:proofErr w:type="gramStart"/>
            <w:r w:rsidRPr="005E3D50">
              <w:rPr>
                <w:sz w:val="20"/>
                <w:lang w:val="es-ES"/>
              </w:rPr>
              <w:t>EE.UU.</w:t>
            </w:r>
            <w:proofErr w:type="gramEnd"/>
            <w:r w:rsidRPr="005E3D50">
              <w:rPr>
                <w:sz w:val="20"/>
                <w:lang w:val="es-ES"/>
              </w:rPr>
              <w:t xml:space="preserve"> por año</w:t>
            </w:r>
          </w:p>
        </w:tc>
        <w:tc>
          <w:tcPr>
            <w:tcW w:w="708" w:type="dxa"/>
            <w:tcBorders>
              <w:top w:val="single" w:sz="4" w:space="0" w:color="auto"/>
              <w:left w:val="nil"/>
              <w:bottom w:val="single" w:sz="4" w:space="0" w:color="auto"/>
              <w:right w:val="single" w:sz="4" w:space="0" w:color="auto"/>
            </w:tcBorders>
            <w:shd w:val="clear" w:color="auto" w:fill="C00000"/>
            <w:tcMar>
              <w:top w:w="29" w:type="dxa"/>
              <w:left w:w="115" w:type="dxa"/>
              <w:bottom w:w="29" w:type="dxa"/>
              <w:right w:w="115" w:type="dxa"/>
            </w:tcMar>
            <w:vAlign w:val="center"/>
            <w:hideMark/>
          </w:tcPr>
          <w:p w14:paraId="3763506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053C5B87" w14:textId="77777777" w:rsidTr="006E6831">
        <w:trPr>
          <w:trHeight w:val="1120"/>
        </w:trPr>
        <w:tc>
          <w:tcPr>
            <w:tcW w:w="3240" w:type="dxa"/>
            <w:tcBorders>
              <w:top w:val="nil"/>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AEE6CE2" w14:textId="77777777" w:rsidR="009713BF" w:rsidRPr="005E3D50" w:rsidRDefault="009713BF" w:rsidP="009713BF">
            <w:pPr>
              <w:keepNext/>
              <w:keepLines/>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lastRenderedPageBreak/>
              <w:t>Indicador de cabecera D.2: financiación pública nacional para la conservación y la utilización sostenible de la diversidad biológica y los ecosistemas</w:t>
            </w:r>
          </w:p>
        </w:tc>
        <w:tc>
          <w:tcPr>
            <w:tcW w:w="2284" w:type="dxa"/>
            <w:tcBorders>
              <w:top w:val="nil"/>
              <w:left w:val="nil"/>
              <w:bottom w:val="single" w:sz="4" w:space="0" w:color="auto"/>
              <w:right w:val="single" w:sz="4" w:space="0" w:color="auto"/>
            </w:tcBorders>
            <w:tcMar>
              <w:top w:w="29" w:type="dxa"/>
              <w:left w:w="115" w:type="dxa"/>
              <w:bottom w:w="29" w:type="dxa"/>
              <w:right w:w="115" w:type="dxa"/>
            </w:tcMar>
            <w:vAlign w:val="center"/>
            <w:hideMark/>
          </w:tcPr>
          <w:p w14:paraId="47D3D3DF"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54 % de las Partes</w:t>
            </w:r>
          </w:p>
        </w:tc>
        <w:tc>
          <w:tcPr>
            <w:tcW w:w="708" w:type="dxa"/>
            <w:tcBorders>
              <w:top w:val="nil"/>
              <w:left w:val="nil"/>
              <w:bottom w:val="single" w:sz="4" w:space="0" w:color="auto"/>
              <w:right w:val="single" w:sz="4" w:space="0" w:color="auto"/>
            </w:tcBorders>
            <w:shd w:val="clear" w:color="auto" w:fill="FFC000"/>
            <w:tcMar>
              <w:top w:w="29" w:type="dxa"/>
              <w:left w:w="115" w:type="dxa"/>
              <w:bottom w:w="29" w:type="dxa"/>
              <w:right w:w="115" w:type="dxa"/>
            </w:tcMar>
            <w:vAlign w:val="center"/>
            <w:hideMark/>
          </w:tcPr>
          <w:p w14:paraId="2473ED93"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nil"/>
              <w:bottom w:val="single" w:sz="4" w:space="0" w:color="auto"/>
              <w:right w:val="single" w:sz="4" w:space="0" w:color="auto"/>
            </w:tcBorders>
            <w:tcMar>
              <w:top w:w="29" w:type="dxa"/>
              <w:left w:w="115" w:type="dxa"/>
              <w:bottom w:w="29" w:type="dxa"/>
              <w:right w:w="115" w:type="dxa"/>
            </w:tcMar>
            <w:vAlign w:val="center"/>
            <w:hideMark/>
          </w:tcPr>
          <w:p w14:paraId="0E6DF8E5"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El promedio para 2020-2023 fue de 34.000 millones de dólares de los </w:t>
            </w:r>
            <w:proofErr w:type="gramStart"/>
            <w:r w:rsidRPr="005E3D50">
              <w:rPr>
                <w:rFonts w:ascii="Aptos" w:hAnsi="Aptos"/>
                <w:color w:val="000000"/>
                <w:sz w:val="20"/>
                <w:lang w:val="es-ES"/>
              </w:rPr>
              <w:t>EE.UU.</w:t>
            </w:r>
            <w:proofErr w:type="gramEnd"/>
            <w:r w:rsidRPr="005E3D50">
              <w:rPr>
                <w:rFonts w:ascii="Aptos" w:hAnsi="Aptos"/>
                <w:color w:val="000000"/>
                <w:sz w:val="20"/>
                <w:lang w:val="es-ES"/>
              </w:rPr>
              <w:t xml:space="preserve"> por año</w:t>
            </w:r>
          </w:p>
        </w:tc>
        <w:tc>
          <w:tcPr>
            <w:tcW w:w="708" w:type="dxa"/>
            <w:tcBorders>
              <w:top w:val="nil"/>
              <w:left w:val="nil"/>
              <w:bottom w:val="single" w:sz="4" w:space="0" w:color="auto"/>
              <w:right w:val="single" w:sz="4" w:space="0" w:color="auto"/>
            </w:tcBorders>
            <w:shd w:val="clear" w:color="auto" w:fill="C00000"/>
            <w:tcMar>
              <w:top w:w="29" w:type="dxa"/>
              <w:left w:w="115" w:type="dxa"/>
              <w:bottom w:w="29" w:type="dxa"/>
              <w:right w:w="115" w:type="dxa"/>
            </w:tcMar>
            <w:vAlign w:val="center"/>
            <w:hideMark/>
          </w:tcPr>
          <w:p w14:paraId="2BF23086"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1AAB9D43" w14:textId="77777777" w:rsidTr="006E6831">
        <w:trPr>
          <w:trHeight w:val="1200"/>
        </w:trPr>
        <w:tc>
          <w:tcPr>
            <w:tcW w:w="3240" w:type="dxa"/>
            <w:tcBorders>
              <w:top w:val="nil"/>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78FEB29" w14:textId="77777777" w:rsidR="009713BF" w:rsidRPr="005E3D50" w:rsidRDefault="009713BF" w:rsidP="009713BF">
            <w:pPr>
              <w:keepNext/>
              <w:keepLines/>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t>Indicador de cabecera D.3: financiación privada (nacional e internacional) para la conservación y la utilización sostenible de la diversidad biológica y los ecosistemas</w:t>
            </w:r>
          </w:p>
        </w:tc>
        <w:tc>
          <w:tcPr>
            <w:tcW w:w="2284" w:type="dxa"/>
            <w:tcBorders>
              <w:top w:val="nil"/>
              <w:left w:val="nil"/>
              <w:bottom w:val="single" w:sz="4" w:space="0" w:color="auto"/>
              <w:right w:val="single" w:sz="4" w:space="0" w:color="auto"/>
            </w:tcBorders>
            <w:tcMar>
              <w:top w:w="29" w:type="dxa"/>
              <w:left w:w="115" w:type="dxa"/>
              <w:bottom w:w="29" w:type="dxa"/>
              <w:right w:w="115" w:type="dxa"/>
            </w:tcMar>
            <w:vAlign w:val="center"/>
            <w:hideMark/>
          </w:tcPr>
          <w:p w14:paraId="673D68AC"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26 % de las Partes</w:t>
            </w:r>
          </w:p>
        </w:tc>
        <w:tc>
          <w:tcPr>
            <w:tcW w:w="708" w:type="dxa"/>
            <w:tcBorders>
              <w:top w:val="nil"/>
              <w:left w:val="nil"/>
              <w:bottom w:val="single" w:sz="4" w:space="0" w:color="auto"/>
              <w:right w:val="nil"/>
            </w:tcBorders>
            <w:shd w:val="clear" w:color="auto" w:fill="C00000"/>
            <w:tcMar>
              <w:top w:w="29" w:type="dxa"/>
              <w:left w:w="115" w:type="dxa"/>
              <w:bottom w:w="29" w:type="dxa"/>
              <w:right w:w="115" w:type="dxa"/>
            </w:tcMar>
            <w:vAlign w:val="center"/>
            <w:hideMark/>
          </w:tcPr>
          <w:p w14:paraId="39E5742A"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2A63564"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El promedio para 2020-2023 fue de 8.200 millones de dólares de los </w:t>
            </w:r>
            <w:proofErr w:type="gramStart"/>
            <w:r w:rsidRPr="005E3D50">
              <w:rPr>
                <w:sz w:val="20"/>
                <w:lang w:val="es-ES"/>
              </w:rPr>
              <w:t>EE.UU.</w:t>
            </w:r>
            <w:proofErr w:type="gramEnd"/>
            <w:r w:rsidRPr="005E3D50">
              <w:rPr>
                <w:sz w:val="20"/>
                <w:lang w:val="es-ES"/>
              </w:rPr>
              <w:t xml:space="preserve"> por año</w:t>
            </w:r>
          </w:p>
        </w:tc>
        <w:tc>
          <w:tcPr>
            <w:tcW w:w="708" w:type="dxa"/>
            <w:tcBorders>
              <w:top w:val="nil"/>
              <w:left w:val="nil"/>
              <w:bottom w:val="single" w:sz="4" w:space="0" w:color="auto"/>
              <w:right w:val="single" w:sz="4" w:space="0" w:color="auto"/>
            </w:tcBorders>
            <w:shd w:val="clear" w:color="auto" w:fill="C00000"/>
            <w:tcMar>
              <w:top w:w="29" w:type="dxa"/>
              <w:left w:w="115" w:type="dxa"/>
              <w:bottom w:w="29" w:type="dxa"/>
              <w:right w:w="115" w:type="dxa"/>
            </w:tcMar>
            <w:vAlign w:val="center"/>
            <w:hideMark/>
          </w:tcPr>
          <w:p w14:paraId="2D5B17C5"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55BACCD9" w14:textId="77777777" w:rsidTr="006E6831">
        <w:trPr>
          <w:trHeight w:val="1050"/>
        </w:trPr>
        <w:tc>
          <w:tcPr>
            <w:tcW w:w="3240" w:type="dxa"/>
            <w:tcBorders>
              <w:top w:val="nil"/>
              <w:left w:val="single" w:sz="4" w:space="0" w:color="auto"/>
              <w:bottom w:val="single" w:sz="4" w:space="0" w:color="auto"/>
              <w:right w:val="single" w:sz="4" w:space="0" w:color="auto"/>
            </w:tcBorders>
            <w:shd w:val="clear" w:color="000000" w:fill="FFFFFF"/>
            <w:tcMar>
              <w:top w:w="29" w:type="dxa"/>
              <w:left w:w="115" w:type="dxa"/>
              <w:bottom w:w="29" w:type="dxa"/>
              <w:right w:w="115" w:type="dxa"/>
            </w:tcMar>
            <w:vAlign w:val="center"/>
            <w:hideMark/>
          </w:tcPr>
          <w:p w14:paraId="44BCCBC3"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2284" w:type="dxa"/>
            <w:tcBorders>
              <w:top w:val="nil"/>
              <w:left w:val="nil"/>
              <w:bottom w:val="single" w:sz="4" w:space="0" w:color="auto"/>
              <w:right w:val="single" w:sz="4" w:space="0" w:color="auto"/>
            </w:tcBorders>
            <w:tcMar>
              <w:top w:w="29" w:type="dxa"/>
              <w:left w:w="115" w:type="dxa"/>
              <w:bottom w:w="29" w:type="dxa"/>
              <w:right w:w="115" w:type="dxa"/>
            </w:tcMar>
            <w:vAlign w:val="center"/>
            <w:hideMark/>
          </w:tcPr>
          <w:p w14:paraId="19E1C911"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88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68 %</w:t>
            </w:r>
          </w:p>
        </w:tc>
        <w:tc>
          <w:tcPr>
            <w:tcW w:w="708" w:type="dxa"/>
            <w:tcBorders>
              <w:top w:val="nil"/>
              <w:left w:val="nil"/>
              <w:bottom w:val="single" w:sz="4" w:space="0" w:color="auto"/>
              <w:right w:val="single" w:sz="4" w:space="0" w:color="auto"/>
            </w:tcBorders>
            <w:shd w:val="clear" w:color="000000" w:fill="92D050"/>
            <w:tcMar>
              <w:top w:w="29" w:type="dxa"/>
              <w:left w:w="115" w:type="dxa"/>
              <w:bottom w:w="29" w:type="dxa"/>
              <w:right w:w="115" w:type="dxa"/>
            </w:tcMar>
            <w:vAlign w:val="center"/>
            <w:hideMark/>
          </w:tcPr>
          <w:p w14:paraId="05EB40C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nil"/>
              <w:bottom w:val="single" w:sz="4" w:space="0" w:color="auto"/>
              <w:right w:val="single" w:sz="4" w:space="0" w:color="auto"/>
            </w:tcBorders>
            <w:tcMar>
              <w:top w:w="29" w:type="dxa"/>
              <w:left w:w="115" w:type="dxa"/>
              <w:bottom w:w="29" w:type="dxa"/>
              <w:right w:w="115" w:type="dxa"/>
            </w:tcMar>
            <w:vAlign w:val="center"/>
            <w:hideMark/>
          </w:tcPr>
          <w:p w14:paraId="2D201311" w14:textId="77777777" w:rsidR="009713BF" w:rsidRPr="005E3D50" w:rsidRDefault="009713BF" w:rsidP="009713BF">
            <w:pPr>
              <w:jc w:val="center"/>
              <w:rPr>
                <w:sz w:val="20"/>
                <w:szCs w:val="20"/>
                <w:lang w:val="es-ES"/>
              </w:rPr>
            </w:pPr>
            <w:r w:rsidRPr="005E3D50">
              <w:rPr>
                <w:sz w:val="20"/>
                <w:lang w:val="es-ES"/>
              </w:rPr>
              <w:t>57 % registran tendencias positivas</w:t>
            </w:r>
          </w:p>
          <w:p w14:paraId="42883CA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21 % registran tendencias negativas</w:t>
            </w:r>
          </w:p>
        </w:tc>
        <w:tc>
          <w:tcPr>
            <w:tcW w:w="708" w:type="dxa"/>
            <w:tcBorders>
              <w:top w:val="nil"/>
              <w:left w:val="nil"/>
              <w:bottom w:val="single" w:sz="4" w:space="0" w:color="auto"/>
              <w:right w:val="single" w:sz="4" w:space="0" w:color="auto"/>
            </w:tcBorders>
            <w:shd w:val="clear" w:color="000000" w:fill="92D050"/>
            <w:tcMar>
              <w:top w:w="29" w:type="dxa"/>
              <w:left w:w="115" w:type="dxa"/>
              <w:bottom w:w="29" w:type="dxa"/>
              <w:right w:w="115" w:type="dxa"/>
            </w:tcMar>
            <w:vAlign w:val="center"/>
            <w:hideMark/>
          </w:tcPr>
          <w:p w14:paraId="7F8CC05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7A51908C"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26234465"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3203A225"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50703BE8" w14:textId="77777777" w:rsidR="009713BF" w:rsidRPr="005E3D50" w:rsidRDefault="009713BF" w:rsidP="009713BF">
      <w:pPr>
        <w:rPr>
          <w:lang w:val="es-ES"/>
        </w:rPr>
      </w:pPr>
      <w:r w:rsidRPr="005E3D50">
        <w:rPr>
          <w:lang w:val="es-ES"/>
        </w:rPr>
        <w:t xml:space="preserve">Muchas Partes describen dificultades en el seguimiento de corrientes financieras relacionadas con la diversidad biológica, en particular debido a la falta de sistemas de asignación que permitan distinguir gastos en materia de diversidad biológica de otros gastos ambientales, sociales y de gobernanza más amplios, así como dificultades en la identificación de corrientes financieras privadas. Muchas señalan que están desarrollando actualmente un sistema de seguimiento de la financiación, para lo cual un número importante de ellas emplean la metodología BIOFIN. Estas dificultades explican la falta de datos más recientes, y es probable que los valores presentados para algunos países sean cálculos que estén por debajo de la realidad, ya que no siempre representan la financiación de todas las fuentes. </w:t>
      </w:r>
    </w:p>
    <w:p w14:paraId="7CB724A5" w14:textId="77777777" w:rsidR="009713BF" w:rsidRPr="005E3D50" w:rsidRDefault="009713BF" w:rsidP="009713BF">
      <w:pPr>
        <w:spacing w:after="0" w:line="240" w:lineRule="auto"/>
        <w:textAlignment w:val="baseline"/>
        <w:rPr>
          <w:rFonts w:ascii="Aptos" w:eastAsia="Times New Roman" w:hAnsi="Aptos" w:cs="Segoe UI"/>
          <w:color w:val="0F4761"/>
          <w:kern w:val="0"/>
          <w:u w:val="single"/>
          <w:lang w:val="es-ES"/>
          <w14:ligatures w14:val="none"/>
        </w:rPr>
      </w:pPr>
    </w:p>
    <w:p w14:paraId="1905C754"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81" w:name="_Toc235821282"/>
      <w:r w:rsidRPr="005E3D50">
        <w:rPr>
          <w:rFonts w:eastAsiaTheme="majorEastAsia" w:cstheme="majorBidi"/>
          <w:i/>
          <w:iCs/>
          <w:color w:val="595959" w:themeColor="text1" w:themeTint="A6"/>
          <w:lang w:val="es-ES"/>
        </w:rPr>
        <w:t>Hito para 2025</w:t>
      </w:r>
      <w:bookmarkEnd w:id="481"/>
    </w:p>
    <w:p w14:paraId="0DBC9EE3" w14:textId="77777777" w:rsidR="009713BF" w:rsidRPr="005E3D50" w:rsidRDefault="009713BF" w:rsidP="009713BF">
      <w:pPr>
        <w:spacing w:after="200"/>
        <w:jc w:val="both"/>
        <w:rPr>
          <w:lang w:val="es-ES"/>
        </w:rPr>
      </w:pPr>
    </w:p>
    <w:p w14:paraId="182814E1" w14:textId="77777777" w:rsidR="009713BF" w:rsidRPr="005E3D50" w:rsidRDefault="009713BF" w:rsidP="009713BF">
      <w:pPr>
        <w:rPr>
          <w:lang w:val="es-ES"/>
        </w:rPr>
      </w:pPr>
      <w:r w:rsidRPr="005E3D50">
        <w:rPr>
          <w:lang w:val="es-ES"/>
        </w:rPr>
        <w:t xml:space="preserve">La meta 19 a) del marco requiere un aumento del total de recursos financieros internacionales relacionados con la biodiversidad procedentes de los países desarrollados, incluida la asistencia oficial para el desarrollo, y de los países que asuman </w:t>
      </w:r>
      <w:r w:rsidRPr="005E3D50">
        <w:rPr>
          <w:lang w:val="es-ES"/>
        </w:rPr>
        <w:lastRenderedPageBreak/>
        <w:t>voluntariamente las obligaciones de las Partes que son países desarrollados, para los países en desarrollo, en particular, los países menos adelantados y los pequeños Estados insulares en desarrollo, así como los países con economías en transición, que para 2025 debía llegar al menos a 20.000 millones de dólares al año y para 2030 al menos a 30.000 millones de dólares al año.</w:t>
      </w:r>
      <w:r w:rsidRPr="005E3D50">
        <w:rPr>
          <w:lang w:val="es-ES"/>
        </w:rPr>
        <w:br/>
      </w:r>
    </w:p>
    <w:p w14:paraId="54B5A7DF" w14:textId="77777777" w:rsidR="009713BF" w:rsidRPr="005E3D50" w:rsidRDefault="009713BF" w:rsidP="009713BF">
      <w:pPr>
        <w:rPr>
          <w:lang w:val="es-ES"/>
        </w:rPr>
      </w:pPr>
      <w:r w:rsidRPr="005E3D50">
        <w:rPr>
          <w:lang w:val="es-ES"/>
        </w:rPr>
        <w:t xml:space="preserve">Las Partes que presentaron información para el indicador de cabecera D.1, que comprenden tanto a Partes que son países desarrollados como a Partes que han asumido voluntariamente las obligaciones de Partes que son países </w:t>
      </w:r>
      <w:proofErr w:type="gramStart"/>
      <w:r w:rsidRPr="005E3D50">
        <w:rPr>
          <w:lang w:val="es-ES"/>
        </w:rPr>
        <w:t>desarrollados,</w:t>
      </w:r>
      <w:proofErr w:type="gramEnd"/>
      <w:r w:rsidRPr="005E3D50">
        <w:rPr>
          <w:lang w:val="es-ES"/>
        </w:rPr>
        <w:t xml:space="preserve"> comunicaron un total acumulado de 17.700 millones de dólares en financiación pública internacional entre 2020 y 2023, de los cuales el mayor monto (5.200 millones de dólares) se dio en 2023 (véanse el cuadro 42 y la figura 77). Este monto debe considerarse un mínimo, dado que no capta todo el espectro de corrientes cubiertas por la meta 19 a). La OCDE, cuyo análisis cubre el espectro más amplio de corrientes indicadas en la meta 19 a), estima que en 2023 el total de financiación internacional de la biodiversidad fue de aproximadamente 16.800 millones de dólares. Ambos cálculos están por debajo del hito de 20.000 millones de dólares. Los datos estarían indicando, por lo tanto, que no se habría alcanzado el hito fijado para 2025, aunque solo será posible realizar una evaluación definitiva una vez que se hayan comunicado todos los datos correspondientes a 2024 y 2025.</w:t>
      </w:r>
    </w:p>
    <w:p w14:paraId="57F5EF53" w14:textId="77777777" w:rsidR="009713BF" w:rsidRPr="005E3D50" w:rsidRDefault="009713BF" w:rsidP="009713BF">
      <w:pPr>
        <w:spacing w:after="200"/>
        <w:jc w:val="both"/>
        <w:rPr>
          <w:lang w:val="es-ES"/>
        </w:rPr>
      </w:pPr>
    </w:p>
    <w:p w14:paraId="10EB30C7" w14:textId="77777777" w:rsidR="009713BF" w:rsidRPr="005E3D50" w:rsidRDefault="009713BF" w:rsidP="009713BF">
      <w:pPr>
        <w:rPr>
          <w:i/>
          <w:iCs/>
          <w:lang w:val="es-ES"/>
        </w:rPr>
      </w:pPr>
      <w:r w:rsidRPr="005E3D50">
        <w:rPr>
          <w:i/>
          <w:lang w:val="es-ES"/>
        </w:rPr>
        <w:t>Meta de 200.000 millones de dólares para 2030</w:t>
      </w:r>
    </w:p>
    <w:p w14:paraId="29BAEBCE" w14:textId="77777777" w:rsidR="009713BF" w:rsidRPr="005E3D50" w:rsidRDefault="009713BF" w:rsidP="009713BF">
      <w:pPr>
        <w:rPr>
          <w:lang w:val="es-ES"/>
        </w:rPr>
      </w:pPr>
      <w:r w:rsidRPr="005E3D50">
        <w:rPr>
          <w:lang w:val="es-ES"/>
        </w:rPr>
        <w:t>La meta 19 establece como objetivo general para 2030 la movilización de al menos 200.000 millones de dólares al año para la diversidad biológica de todas las fuentes.</w:t>
      </w:r>
    </w:p>
    <w:p w14:paraId="02F50971" w14:textId="77777777" w:rsidR="009713BF" w:rsidRPr="005E3D50" w:rsidRDefault="009713BF" w:rsidP="009713BF">
      <w:pPr>
        <w:rPr>
          <w:lang w:val="es-ES"/>
        </w:rPr>
      </w:pPr>
      <w:r w:rsidRPr="005E3D50">
        <w:rPr>
          <w:lang w:val="es-ES"/>
        </w:rPr>
        <w:t xml:space="preserve">La financiación total de fuentes públicas internacionales, fuentes públicas nacionales y fuentes de financiación privada fue de 5.200 millones de dólares, 20.600 millones de dólares y 6.900 millones de dólares, respectivamente, en 2023. Las Partes informan que movilizaron un total acumulado de 17.700 millones de dólares de fuentes públicas internacionales, 135.900 millones de dólares de fuentes nacionales y 32.800 millones de dólares de fuentes de financiación privada, lo que equivale a un total acumulado de 186.400 millones de dólares a lo largo de cuatro años (2020-2023). </w:t>
      </w:r>
    </w:p>
    <w:p w14:paraId="0D77F218" w14:textId="77777777" w:rsidR="009713BF" w:rsidRPr="005E3D50" w:rsidRDefault="009713BF" w:rsidP="009713BF">
      <w:pPr>
        <w:rPr>
          <w:lang w:val="es-ES"/>
        </w:rPr>
      </w:pPr>
      <w:r w:rsidRPr="005E3D50">
        <w:rPr>
          <w:lang w:val="es-ES"/>
        </w:rPr>
        <w:t xml:space="preserve">Si bien la financiación de fuentes públicas internacionales y fuentes nacionales se ha incrementado año a año, durante este mismo período se registró una tendencia descendente en la financiación pública nacional para la conservación y la utilización sostenible de la diversidad biológica y los ecosistemas como porcentaje del PIB </w:t>
      </w:r>
      <w:r w:rsidRPr="005E3D50">
        <w:rPr>
          <w:rFonts w:ascii="Aptos" w:hAnsi="Aptos"/>
          <w:color w:val="000000" w:themeColor="text1"/>
          <w:lang w:val="es-ES"/>
        </w:rPr>
        <w:t xml:space="preserve">(véase la </w:t>
      </w:r>
      <w:r w:rsidRPr="005E3D50">
        <w:rPr>
          <w:rFonts w:ascii="Aptos" w:hAnsi="Aptos"/>
          <w:color w:val="000000" w:themeColor="text1"/>
          <w:lang w:val="es-ES"/>
        </w:rPr>
        <w:lastRenderedPageBreak/>
        <w:t xml:space="preserve">figura 78). </w:t>
      </w:r>
      <w:r w:rsidRPr="005E3D50">
        <w:rPr>
          <w:lang w:val="es-ES"/>
        </w:rPr>
        <w:t xml:space="preserve">Con respecto a la financiación de fuentes nacionales como porcentaje del PIB se registró una variación considerable, oscilando entre 0,1 % y 2,7 %. </w:t>
      </w:r>
    </w:p>
    <w:p w14:paraId="4D8F457B" w14:textId="77777777" w:rsidR="009713BF" w:rsidRPr="005E3D50" w:rsidRDefault="009713BF" w:rsidP="009713BF">
      <w:pPr>
        <w:rPr>
          <w:lang w:val="es-ES"/>
        </w:rPr>
      </w:pPr>
      <w:r w:rsidRPr="005E3D50">
        <w:rPr>
          <w:lang w:val="es-ES"/>
        </w:rPr>
        <w:t xml:space="preserve">En cuanto a fuentes privadas, el valor de la financiación alcanzó un pico en 2021, ubicándose en 11.200 millones de dólares </w:t>
      </w:r>
      <w:r w:rsidRPr="005E3D50">
        <w:rPr>
          <w:rFonts w:ascii="Aptos" w:hAnsi="Aptos"/>
          <w:lang w:val="es-ES"/>
        </w:rPr>
        <w:t xml:space="preserve">(véase </w:t>
      </w:r>
      <w:r w:rsidRPr="005E3D50">
        <w:rPr>
          <w:lang w:val="es-ES"/>
        </w:rPr>
        <w:t>la figura 79</w:t>
      </w:r>
      <w:r w:rsidRPr="005E3D50">
        <w:rPr>
          <w:rFonts w:ascii="Aptos" w:hAnsi="Aptos"/>
          <w:lang w:val="es-ES"/>
        </w:rPr>
        <w:t xml:space="preserve">). </w:t>
      </w:r>
      <w:r w:rsidRPr="005E3D50">
        <w:rPr>
          <w:lang w:val="es-ES"/>
        </w:rPr>
        <w:t>La disminución de la financiación en 2022 y 2023 podría deberse a un desfase en los tiempos de presentación de informes, o bien podría estar reflejando una caída causada por cambios reales en la financiación. No es posible determinar esto sobre la base del análisis actual, dado que pocas Partes comunicaron datos sobre fuentes privadas de financiación y, por lo tanto, los datos están mayormente incompletos.</w:t>
      </w:r>
    </w:p>
    <w:p w14:paraId="0C696A76" w14:textId="77777777" w:rsidR="009713BF" w:rsidRPr="005E3D50" w:rsidRDefault="009713BF" w:rsidP="009713BF">
      <w:pPr>
        <w:rPr>
          <w:lang w:val="es-ES"/>
        </w:rPr>
      </w:pPr>
      <w:r w:rsidRPr="005E3D50">
        <w:rPr>
          <w:lang w:val="es-ES"/>
        </w:rPr>
        <w:t>Varias Partes aportaron información sobre otros indicadores relacionados con la meta 19, en una gran mayoría de los cuales se estarían registrando mejoras (véase la figura 80). Casi todos los indicadores adicionales tienen que ver con mejoras en la eficacia, eficiencia y transparencia de la provisión y utilización de los recursos, por lo que cubren mayormente otros aspectos de la meta 19 y podrían no estar directamente vinculados al volumen de financiación.</w:t>
      </w:r>
    </w:p>
    <w:p w14:paraId="4325DE20" w14:textId="77777777" w:rsidR="009713BF" w:rsidRPr="005E3D50" w:rsidRDefault="009713BF" w:rsidP="009713BF">
      <w:pPr>
        <w:rPr>
          <w:lang w:val="es-ES"/>
        </w:rPr>
      </w:pPr>
    </w:p>
    <w:p w14:paraId="1EC74061" w14:textId="77777777" w:rsidR="009713BF" w:rsidRPr="005E3D50" w:rsidRDefault="009713BF" w:rsidP="009713BF">
      <w:pPr>
        <w:rPr>
          <w:sz w:val="20"/>
          <w:szCs w:val="20"/>
          <w:lang w:val="es-ES"/>
        </w:rPr>
      </w:pPr>
      <w:r w:rsidRPr="005E3D50">
        <w:rPr>
          <w:sz w:val="20"/>
          <w:lang w:val="es-ES"/>
        </w:rPr>
        <w:t>Figura 77</w:t>
      </w:r>
    </w:p>
    <w:p w14:paraId="5CFD790B" w14:textId="77777777" w:rsidR="009713BF" w:rsidRPr="005E3D50" w:rsidRDefault="009713BF" w:rsidP="009713BF">
      <w:pPr>
        <w:rPr>
          <w:b/>
          <w:bCs/>
          <w:sz w:val="20"/>
          <w:szCs w:val="20"/>
          <w:lang w:val="es-ES"/>
        </w:rPr>
      </w:pPr>
      <w:r w:rsidRPr="005E3D50">
        <w:rPr>
          <w:b/>
          <w:sz w:val="20"/>
          <w:lang w:val="es-ES"/>
        </w:rPr>
        <w:t>Indicador de cabecera D.1: financiación pública internacional, incluida asistencia oficial para el desarrollo para la conservación y la utilización sostenible de la diversidad biológica y los ecosistemas </w:t>
      </w:r>
    </w:p>
    <w:p w14:paraId="0319707E" w14:textId="77777777" w:rsidR="009713BF" w:rsidRPr="005E3D50" w:rsidRDefault="009713BF" w:rsidP="009713BF">
      <w:pPr>
        <w:rPr>
          <w:sz w:val="20"/>
          <w:szCs w:val="20"/>
          <w:lang w:val="es-ES"/>
        </w:rPr>
      </w:pPr>
    </w:p>
    <w:p w14:paraId="01FD4EEB" w14:textId="77777777" w:rsidR="009713BF" w:rsidRPr="005E3D50" w:rsidRDefault="009713BF" w:rsidP="009713BF">
      <w:pPr>
        <w:rPr>
          <w:rFonts w:ascii="Aptos" w:hAnsi="Aptos" w:cs="Segoe UI"/>
          <w:sz w:val="18"/>
          <w:szCs w:val="18"/>
          <w:lang w:val="es-ES"/>
        </w:rPr>
      </w:pPr>
      <w:r w:rsidRPr="005E3D50">
        <w:rPr>
          <w:rFonts w:ascii="Aptos" w:hAnsi="Aptos"/>
          <w:lang w:val="es-ES"/>
        </w:rPr>
        <w:t> </w:t>
      </w:r>
    </w:p>
    <w:p w14:paraId="6DC9493D"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lastRenderedPageBreak/>
        <w:drawing>
          <wp:inline distT="0" distB="0" distL="0" distR="0" wp14:anchorId="479B0239" wp14:editId="20B12A2A">
            <wp:extent cx="4409630" cy="3307223"/>
            <wp:effectExtent l="0" t="0" r="0" b="0"/>
            <wp:docPr id="16588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407" name="Picture 16588407"/>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4440349" cy="3330262"/>
                    </a:xfrm>
                    <a:prstGeom prst="rect">
                      <a:avLst/>
                    </a:prstGeom>
                  </pic:spPr>
                </pic:pic>
              </a:graphicData>
            </a:graphic>
          </wp:inline>
        </w:drawing>
      </w:r>
    </w:p>
    <w:p w14:paraId="5E0B9F04" w14:textId="77777777" w:rsidR="009713BF" w:rsidRPr="005E3D50" w:rsidRDefault="009713BF" w:rsidP="009713BF">
      <w:pPr>
        <w:rPr>
          <w:rFonts w:ascii="Arial" w:hAnsi="Arial" w:cs="Arial"/>
          <w:sz w:val="18"/>
          <w:szCs w:val="18"/>
          <w:lang w:val="es-ES"/>
        </w:rPr>
      </w:pPr>
      <w:r w:rsidRPr="005E3D50">
        <w:rPr>
          <w:i/>
          <w:sz w:val="18"/>
          <w:lang w:val="es-ES"/>
        </w:rPr>
        <w:t>Nota</w:t>
      </w:r>
      <w:r w:rsidRPr="005E3D50">
        <w:rPr>
          <w:sz w:val="18"/>
          <w:lang w:val="es-ES"/>
        </w:rPr>
        <w:t>: Los valores del indicador se muestran como la suma anual de la asistencia oficial para el desarrollo aportada por Partes donantes (en azul) y el porcentaje promedio del PIB nacional que representa el valor nacional (en rojo).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Cabe señalar que en el gráfico no se incluyeron tres Partes que suman en total 430 millones de dólares, dado que estas no presentaron información para cada uno de los años entre 2020 y 2023.</w:t>
      </w:r>
      <w:r w:rsidRPr="005E3D50">
        <w:rPr>
          <w:rFonts w:ascii="Arial" w:hAnsi="Arial"/>
          <w:sz w:val="18"/>
          <w:lang w:val="es-ES"/>
        </w:rPr>
        <w:t> </w:t>
      </w:r>
    </w:p>
    <w:tbl>
      <w:tblPr>
        <w:tblStyle w:val="TableGrid"/>
        <w:tblW w:w="9320" w:type="dxa"/>
        <w:tblLook w:val="04A0" w:firstRow="1" w:lastRow="0" w:firstColumn="1" w:lastColumn="0" w:noHBand="0" w:noVBand="1"/>
      </w:tblPr>
      <w:tblGrid>
        <w:gridCol w:w="5079"/>
        <w:gridCol w:w="4241"/>
      </w:tblGrid>
      <w:tr w:rsidR="003A2418" w:rsidRPr="00B67062" w14:paraId="226F967A" w14:textId="77777777" w:rsidTr="00B67062">
        <w:tc>
          <w:tcPr>
            <w:tcW w:w="5079" w:type="dxa"/>
          </w:tcPr>
          <w:p w14:paraId="7646C8F2" w14:textId="0BB1882D" w:rsidR="003A2418" w:rsidRPr="00B67062" w:rsidRDefault="003A2418" w:rsidP="00B67062">
            <w:pPr>
              <w:rPr>
                <w:sz w:val="18"/>
                <w:szCs w:val="18"/>
                <w:lang w:val="es-ES"/>
              </w:rPr>
            </w:pPr>
            <w:r w:rsidRPr="00B67062">
              <w:rPr>
                <w:sz w:val="18"/>
                <w:szCs w:val="18"/>
                <w:lang w:val="es-ES"/>
              </w:rPr>
              <w:t>Figura 77</w:t>
            </w:r>
          </w:p>
        </w:tc>
        <w:tc>
          <w:tcPr>
            <w:tcW w:w="4241" w:type="dxa"/>
          </w:tcPr>
          <w:p w14:paraId="1497E66D" w14:textId="77777777" w:rsidR="003A2418" w:rsidRPr="00B67062" w:rsidRDefault="003A2418" w:rsidP="00B67062">
            <w:pPr>
              <w:rPr>
                <w:sz w:val="18"/>
                <w:szCs w:val="18"/>
                <w:lang w:val="es-ES"/>
              </w:rPr>
            </w:pPr>
          </w:p>
        </w:tc>
      </w:tr>
      <w:tr w:rsidR="003A2418" w:rsidRPr="00B67062" w14:paraId="389CFC27" w14:textId="77777777" w:rsidTr="00B67062">
        <w:tc>
          <w:tcPr>
            <w:tcW w:w="5079" w:type="dxa"/>
          </w:tcPr>
          <w:p w14:paraId="1A3F619C" w14:textId="77777777" w:rsidR="003A2418" w:rsidRPr="00B67062" w:rsidRDefault="003A2418" w:rsidP="00B67062">
            <w:pPr>
              <w:spacing w:line="278" w:lineRule="auto"/>
              <w:rPr>
                <w:sz w:val="18"/>
                <w:szCs w:val="18"/>
                <w:lang w:val="es-ES"/>
              </w:rPr>
            </w:pPr>
            <w:r w:rsidRPr="00B67062">
              <w:rPr>
                <w:sz w:val="18"/>
                <w:szCs w:val="18"/>
                <w:lang w:val="es-ES"/>
              </w:rPr>
              <w:t xml:space="preserve">English </w:t>
            </w:r>
          </w:p>
        </w:tc>
        <w:tc>
          <w:tcPr>
            <w:tcW w:w="4241" w:type="dxa"/>
          </w:tcPr>
          <w:p w14:paraId="0ECBB9A1" w14:textId="6EE31F3F" w:rsidR="003A2418" w:rsidRPr="00B67062" w:rsidRDefault="003A2418" w:rsidP="00B67062">
            <w:pPr>
              <w:spacing w:line="278" w:lineRule="auto"/>
              <w:rPr>
                <w:sz w:val="18"/>
                <w:szCs w:val="18"/>
                <w:lang w:val="es-ES"/>
              </w:rPr>
            </w:pPr>
            <w:r w:rsidRPr="00B67062">
              <w:rPr>
                <w:sz w:val="18"/>
                <w:szCs w:val="18"/>
                <w:lang w:val="es-ES"/>
              </w:rPr>
              <w:t>Español</w:t>
            </w:r>
          </w:p>
        </w:tc>
      </w:tr>
      <w:tr w:rsidR="003A2418" w:rsidRPr="00B67062" w14:paraId="68DF4F8D" w14:textId="77777777" w:rsidTr="00B67062">
        <w:tc>
          <w:tcPr>
            <w:tcW w:w="5079" w:type="dxa"/>
          </w:tcPr>
          <w:p w14:paraId="79823384" w14:textId="77777777" w:rsidR="003A2418" w:rsidRPr="00B67062" w:rsidRDefault="003A2418" w:rsidP="00B67062">
            <w:pPr>
              <w:spacing w:line="278" w:lineRule="auto"/>
              <w:rPr>
                <w:sz w:val="18"/>
                <w:szCs w:val="18"/>
                <w:lang w:val="en-US"/>
              </w:rPr>
            </w:pPr>
            <w:r w:rsidRPr="00B67062">
              <w:rPr>
                <w:sz w:val="18"/>
                <w:szCs w:val="18"/>
                <w:lang w:val="en-US"/>
              </w:rPr>
              <w:t>Official Development Assistance ($US billion)</w:t>
            </w:r>
          </w:p>
        </w:tc>
        <w:tc>
          <w:tcPr>
            <w:tcW w:w="4241" w:type="dxa"/>
          </w:tcPr>
          <w:p w14:paraId="1680DE5D" w14:textId="77777777" w:rsidR="003A2418" w:rsidRPr="00B67062" w:rsidRDefault="003A2418" w:rsidP="00B67062">
            <w:pPr>
              <w:spacing w:line="278" w:lineRule="auto"/>
              <w:rPr>
                <w:sz w:val="18"/>
                <w:szCs w:val="18"/>
                <w:lang w:val="es-ES"/>
              </w:rPr>
            </w:pPr>
            <w:r w:rsidRPr="00B67062">
              <w:rPr>
                <w:sz w:val="18"/>
                <w:szCs w:val="18"/>
                <w:lang w:val="es-ES"/>
              </w:rPr>
              <w:t xml:space="preserve">Asistencia Oficial para el Desarrollo (miles de millones de dólares de los </w:t>
            </w:r>
            <w:proofErr w:type="gramStart"/>
            <w:r w:rsidRPr="00B67062">
              <w:rPr>
                <w:sz w:val="18"/>
                <w:szCs w:val="18"/>
                <w:lang w:val="es-ES"/>
              </w:rPr>
              <w:t>EE.UU.</w:t>
            </w:r>
            <w:proofErr w:type="gramEnd"/>
            <w:r w:rsidRPr="00B67062">
              <w:rPr>
                <w:sz w:val="18"/>
                <w:szCs w:val="18"/>
                <w:lang w:val="es-ES"/>
              </w:rPr>
              <w:t>)</w:t>
            </w:r>
          </w:p>
        </w:tc>
      </w:tr>
      <w:tr w:rsidR="003A2418" w:rsidRPr="00B67062" w14:paraId="47C8047C" w14:textId="77777777" w:rsidTr="00B67062">
        <w:tc>
          <w:tcPr>
            <w:tcW w:w="5079" w:type="dxa"/>
          </w:tcPr>
          <w:p w14:paraId="59FBD626" w14:textId="77777777" w:rsidR="003A2418" w:rsidRPr="00B67062" w:rsidRDefault="003A2418" w:rsidP="00B67062">
            <w:pPr>
              <w:spacing w:line="278" w:lineRule="auto"/>
              <w:rPr>
                <w:sz w:val="18"/>
                <w:szCs w:val="18"/>
                <w:lang w:val="es-ES"/>
              </w:rPr>
            </w:pPr>
            <w:proofErr w:type="spellStart"/>
            <w:r w:rsidRPr="00B67062">
              <w:rPr>
                <w:sz w:val="18"/>
                <w:szCs w:val="18"/>
                <w:lang w:val="es-ES"/>
              </w:rPr>
              <w:t>Year</w:t>
            </w:r>
            <w:proofErr w:type="spellEnd"/>
          </w:p>
        </w:tc>
        <w:tc>
          <w:tcPr>
            <w:tcW w:w="4241" w:type="dxa"/>
          </w:tcPr>
          <w:p w14:paraId="2BC88CA3" w14:textId="77777777" w:rsidR="003A2418" w:rsidRPr="00B67062" w:rsidRDefault="003A2418" w:rsidP="00B67062">
            <w:pPr>
              <w:spacing w:line="278" w:lineRule="auto"/>
              <w:rPr>
                <w:sz w:val="18"/>
                <w:szCs w:val="18"/>
                <w:lang w:val="es-ES"/>
              </w:rPr>
            </w:pPr>
            <w:r w:rsidRPr="00B67062">
              <w:rPr>
                <w:sz w:val="18"/>
                <w:szCs w:val="18"/>
                <w:lang w:val="es-ES"/>
              </w:rPr>
              <w:t>Año</w:t>
            </w:r>
          </w:p>
        </w:tc>
      </w:tr>
      <w:tr w:rsidR="003A2418" w:rsidRPr="00B67062" w14:paraId="2430C6EE" w14:textId="77777777" w:rsidTr="00B67062">
        <w:tc>
          <w:tcPr>
            <w:tcW w:w="5079" w:type="dxa"/>
          </w:tcPr>
          <w:p w14:paraId="5F60D685" w14:textId="77777777" w:rsidR="003A2418" w:rsidRPr="00B67062" w:rsidRDefault="003A2418" w:rsidP="00B67062">
            <w:pPr>
              <w:spacing w:line="278" w:lineRule="auto"/>
              <w:rPr>
                <w:sz w:val="18"/>
                <w:szCs w:val="18"/>
                <w:lang w:val="es-ES"/>
              </w:rPr>
            </w:pPr>
            <w:r w:rsidRPr="00B67062">
              <w:rPr>
                <w:sz w:val="18"/>
                <w:szCs w:val="18"/>
                <w:lang w:val="es-ES"/>
              </w:rPr>
              <w:t>% of GDP (</w:t>
            </w:r>
            <w:proofErr w:type="spellStart"/>
            <w:r w:rsidRPr="00B67062">
              <w:rPr>
                <w:sz w:val="18"/>
                <w:szCs w:val="18"/>
                <w:lang w:val="es-ES"/>
              </w:rPr>
              <w:t>average</w:t>
            </w:r>
            <w:proofErr w:type="spellEnd"/>
            <w:r w:rsidRPr="00B67062">
              <w:rPr>
                <w:sz w:val="18"/>
                <w:szCs w:val="18"/>
                <w:lang w:val="es-ES"/>
              </w:rPr>
              <w:t>)</w:t>
            </w:r>
          </w:p>
        </w:tc>
        <w:tc>
          <w:tcPr>
            <w:tcW w:w="4241" w:type="dxa"/>
          </w:tcPr>
          <w:p w14:paraId="000D9599" w14:textId="77777777" w:rsidR="003A2418" w:rsidRPr="00B67062" w:rsidRDefault="003A2418" w:rsidP="00B67062">
            <w:pPr>
              <w:spacing w:line="278" w:lineRule="auto"/>
              <w:rPr>
                <w:sz w:val="18"/>
                <w:szCs w:val="18"/>
                <w:lang w:val="es-ES"/>
              </w:rPr>
            </w:pPr>
            <w:r w:rsidRPr="00B67062">
              <w:rPr>
                <w:sz w:val="18"/>
                <w:szCs w:val="18"/>
                <w:lang w:val="es-ES"/>
              </w:rPr>
              <w:t>% de PIB (promedio)</w:t>
            </w:r>
          </w:p>
        </w:tc>
      </w:tr>
      <w:tr w:rsidR="003A2418" w:rsidRPr="00B67062" w14:paraId="5401329C" w14:textId="77777777" w:rsidTr="00B67062">
        <w:tc>
          <w:tcPr>
            <w:tcW w:w="5079" w:type="dxa"/>
          </w:tcPr>
          <w:p w14:paraId="7E4C62B6" w14:textId="77777777" w:rsidR="003A2418" w:rsidRPr="00B67062" w:rsidRDefault="003A2418" w:rsidP="00B67062">
            <w:pPr>
              <w:spacing w:line="278" w:lineRule="auto"/>
              <w:rPr>
                <w:sz w:val="18"/>
                <w:szCs w:val="18"/>
                <w:lang w:val="es-ES"/>
              </w:rPr>
            </w:pPr>
            <w:r w:rsidRPr="00B67062">
              <w:rPr>
                <w:sz w:val="18"/>
                <w:szCs w:val="18"/>
                <w:lang w:val="es-ES"/>
              </w:rPr>
              <w:t xml:space="preserve">Party </w:t>
            </w:r>
            <w:proofErr w:type="spellStart"/>
            <w:r w:rsidRPr="00B67062">
              <w:rPr>
                <w:sz w:val="18"/>
                <w:szCs w:val="18"/>
                <w:lang w:val="es-ES"/>
              </w:rPr>
              <w:t>count</w:t>
            </w:r>
            <w:proofErr w:type="spellEnd"/>
            <w:r w:rsidRPr="00B67062">
              <w:rPr>
                <w:sz w:val="18"/>
                <w:szCs w:val="18"/>
                <w:lang w:val="es-ES"/>
              </w:rPr>
              <w:t>: 19</w:t>
            </w:r>
          </w:p>
        </w:tc>
        <w:tc>
          <w:tcPr>
            <w:tcW w:w="4241" w:type="dxa"/>
          </w:tcPr>
          <w:p w14:paraId="0EAB12E9" w14:textId="77777777" w:rsidR="003A2418" w:rsidRPr="00B67062" w:rsidRDefault="003A2418" w:rsidP="00B67062">
            <w:pPr>
              <w:spacing w:line="278" w:lineRule="auto"/>
              <w:rPr>
                <w:sz w:val="18"/>
                <w:szCs w:val="18"/>
                <w:lang w:val="es-ES"/>
              </w:rPr>
            </w:pPr>
            <w:r w:rsidRPr="00B67062">
              <w:rPr>
                <w:sz w:val="18"/>
                <w:szCs w:val="18"/>
                <w:lang w:val="es-ES"/>
              </w:rPr>
              <w:t>Número de Partes: 19</w:t>
            </w:r>
          </w:p>
        </w:tc>
      </w:tr>
      <w:tr w:rsidR="003A2418" w:rsidRPr="00B67062" w14:paraId="2C7C9A2F" w14:textId="77777777" w:rsidTr="00B67062">
        <w:tc>
          <w:tcPr>
            <w:tcW w:w="5079" w:type="dxa"/>
          </w:tcPr>
          <w:p w14:paraId="4CFF6CD4" w14:textId="77777777" w:rsidR="003A2418" w:rsidRPr="00B67062" w:rsidRDefault="003A2418" w:rsidP="00B67062">
            <w:pPr>
              <w:spacing w:line="278" w:lineRule="auto"/>
              <w:rPr>
                <w:sz w:val="18"/>
                <w:szCs w:val="18"/>
                <w:lang w:val="es-ES"/>
              </w:rPr>
            </w:pPr>
            <w:r w:rsidRPr="00B67062">
              <w:rPr>
                <w:sz w:val="18"/>
                <w:szCs w:val="18"/>
                <w:lang w:val="es-ES"/>
              </w:rPr>
              <w:t xml:space="preserve">Party </w:t>
            </w:r>
            <w:proofErr w:type="spellStart"/>
            <w:r w:rsidRPr="00B67062">
              <w:rPr>
                <w:sz w:val="18"/>
                <w:szCs w:val="18"/>
                <w:lang w:val="es-ES"/>
              </w:rPr>
              <w:t>count</w:t>
            </w:r>
            <w:proofErr w:type="spellEnd"/>
            <w:r w:rsidRPr="00B67062">
              <w:rPr>
                <w:sz w:val="18"/>
                <w:szCs w:val="18"/>
                <w:lang w:val="es-ES"/>
              </w:rPr>
              <w:t xml:space="preserve"> </w:t>
            </w:r>
            <w:proofErr w:type="spellStart"/>
            <w:r w:rsidRPr="00B67062">
              <w:rPr>
                <w:sz w:val="18"/>
                <w:szCs w:val="18"/>
                <w:lang w:val="es-ES"/>
              </w:rPr>
              <w:t>by</w:t>
            </w:r>
            <w:proofErr w:type="spellEnd"/>
            <w:r w:rsidRPr="00B67062">
              <w:rPr>
                <w:sz w:val="18"/>
                <w:szCs w:val="18"/>
                <w:lang w:val="es-ES"/>
              </w:rPr>
              <w:t xml:space="preserve"> </w:t>
            </w:r>
            <w:proofErr w:type="spellStart"/>
            <w:r w:rsidRPr="00B67062">
              <w:rPr>
                <w:sz w:val="18"/>
                <w:szCs w:val="18"/>
                <w:lang w:val="es-ES"/>
              </w:rPr>
              <w:t>region</w:t>
            </w:r>
            <w:proofErr w:type="spellEnd"/>
          </w:p>
        </w:tc>
        <w:tc>
          <w:tcPr>
            <w:tcW w:w="4241" w:type="dxa"/>
          </w:tcPr>
          <w:p w14:paraId="2BFD38E6" w14:textId="77777777" w:rsidR="003A2418" w:rsidRPr="00B67062" w:rsidRDefault="003A2418" w:rsidP="00B67062">
            <w:pPr>
              <w:spacing w:line="278" w:lineRule="auto"/>
              <w:rPr>
                <w:sz w:val="18"/>
                <w:szCs w:val="18"/>
                <w:lang w:val="es-ES"/>
              </w:rPr>
            </w:pPr>
            <w:r w:rsidRPr="00B67062">
              <w:rPr>
                <w:sz w:val="18"/>
                <w:szCs w:val="18"/>
                <w:lang w:val="es-ES"/>
              </w:rPr>
              <w:t>Número de Partes por región</w:t>
            </w:r>
          </w:p>
        </w:tc>
      </w:tr>
      <w:tr w:rsidR="003A2418" w:rsidRPr="00B67062" w14:paraId="52821E73" w14:textId="77777777" w:rsidTr="00B67062">
        <w:tc>
          <w:tcPr>
            <w:tcW w:w="5079" w:type="dxa"/>
          </w:tcPr>
          <w:p w14:paraId="4333D39E" w14:textId="77777777" w:rsidR="003A2418" w:rsidRPr="00B67062" w:rsidRDefault="003A2418" w:rsidP="00B67062">
            <w:pPr>
              <w:spacing w:line="278" w:lineRule="auto"/>
              <w:rPr>
                <w:sz w:val="18"/>
                <w:szCs w:val="18"/>
                <w:lang w:val="es-ES"/>
              </w:rPr>
            </w:pPr>
            <w:proofErr w:type="spellStart"/>
            <w:r w:rsidRPr="00B67062">
              <w:rPr>
                <w:sz w:val="18"/>
                <w:szCs w:val="18"/>
                <w:lang w:val="es-ES"/>
              </w:rPr>
              <w:t>Region</w:t>
            </w:r>
            <w:proofErr w:type="spellEnd"/>
          </w:p>
        </w:tc>
        <w:tc>
          <w:tcPr>
            <w:tcW w:w="4241" w:type="dxa"/>
          </w:tcPr>
          <w:p w14:paraId="31A643C1" w14:textId="77777777" w:rsidR="003A2418" w:rsidRPr="00B67062" w:rsidRDefault="003A2418" w:rsidP="00B67062">
            <w:pPr>
              <w:spacing w:line="278" w:lineRule="auto"/>
              <w:rPr>
                <w:sz w:val="18"/>
                <w:szCs w:val="18"/>
                <w:lang w:val="es-ES"/>
              </w:rPr>
            </w:pPr>
            <w:r w:rsidRPr="00B67062">
              <w:rPr>
                <w:sz w:val="18"/>
                <w:szCs w:val="18"/>
                <w:lang w:val="es-ES"/>
              </w:rPr>
              <w:t>Región</w:t>
            </w:r>
          </w:p>
        </w:tc>
      </w:tr>
      <w:tr w:rsidR="003A2418" w:rsidRPr="00B67062" w14:paraId="30C55BE3" w14:textId="77777777" w:rsidTr="00B67062">
        <w:tc>
          <w:tcPr>
            <w:tcW w:w="5079" w:type="dxa"/>
          </w:tcPr>
          <w:p w14:paraId="64D70BB9" w14:textId="77777777" w:rsidR="003A2418" w:rsidRPr="00B67062" w:rsidRDefault="003A2418" w:rsidP="00B67062">
            <w:pPr>
              <w:spacing w:line="278" w:lineRule="auto"/>
              <w:rPr>
                <w:sz w:val="18"/>
                <w:szCs w:val="18"/>
                <w:lang w:val="es-ES"/>
              </w:rPr>
            </w:pPr>
            <w:r w:rsidRPr="00B67062">
              <w:rPr>
                <w:sz w:val="18"/>
                <w:szCs w:val="18"/>
                <w:lang w:val="es-ES"/>
              </w:rPr>
              <w:t>Asia-Pacific States</w:t>
            </w:r>
          </w:p>
        </w:tc>
        <w:tc>
          <w:tcPr>
            <w:tcW w:w="4241" w:type="dxa"/>
          </w:tcPr>
          <w:p w14:paraId="0A711F2B" w14:textId="77777777" w:rsidR="003A2418" w:rsidRPr="00B67062" w:rsidRDefault="003A2418" w:rsidP="00B67062">
            <w:pPr>
              <w:spacing w:line="278" w:lineRule="auto"/>
              <w:rPr>
                <w:sz w:val="18"/>
                <w:szCs w:val="18"/>
                <w:lang w:val="es-ES"/>
              </w:rPr>
            </w:pPr>
            <w:r w:rsidRPr="00B67062">
              <w:rPr>
                <w:sz w:val="18"/>
                <w:szCs w:val="18"/>
                <w:lang w:val="es-ES"/>
              </w:rPr>
              <w:t>Estados de Asia y el Pacífico</w:t>
            </w:r>
          </w:p>
        </w:tc>
      </w:tr>
      <w:tr w:rsidR="003A2418" w:rsidRPr="00B67062" w14:paraId="07C65425" w14:textId="77777777" w:rsidTr="00B67062">
        <w:tc>
          <w:tcPr>
            <w:tcW w:w="5079" w:type="dxa"/>
          </w:tcPr>
          <w:p w14:paraId="1E62CDD6" w14:textId="77777777" w:rsidR="003A2418" w:rsidRPr="00B67062" w:rsidRDefault="003A2418" w:rsidP="00B67062">
            <w:pPr>
              <w:spacing w:line="278" w:lineRule="auto"/>
              <w:rPr>
                <w:sz w:val="18"/>
                <w:szCs w:val="18"/>
                <w:lang w:val="en-US"/>
              </w:rPr>
            </w:pPr>
            <w:r w:rsidRPr="00B67062">
              <w:rPr>
                <w:sz w:val="18"/>
                <w:szCs w:val="18"/>
                <w:lang w:val="en-US"/>
              </w:rPr>
              <w:t>Western European and other States</w:t>
            </w:r>
          </w:p>
        </w:tc>
        <w:tc>
          <w:tcPr>
            <w:tcW w:w="4241" w:type="dxa"/>
          </w:tcPr>
          <w:p w14:paraId="76752982" w14:textId="77777777" w:rsidR="003A2418" w:rsidRPr="00B67062" w:rsidRDefault="003A2418" w:rsidP="00B67062">
            <w:pPr>
              <w:spacing w:line="278" w:lineRule="auto"/>
              <w:rPr>
                <w:sz w:val="18"/>
                <w:szCs w:val="18"/>
                <w:lang w:val="es-ES"/>
              </w:rPr>
            </w:pPr>
            <w:r w:rsidRPr="00B67062">
              <w:rPr>
                <w:sz w:val="18"/>
                <w:szCs w:val="18"/>
                <w:lang w:val="es-ES"/>
              </w:rPr>
              <w:t>Estados de Europa Occidental y otros Estados</w:t>
            </w:r>
          </w:p>
        </w:tc>
      </w:tr>
    </w:tbl>
    <w:p w14:paraId="7EE04A5F" w14:textId="77777777" w:rsidR="009713BF" w:rsidRPr="005E3D50" w:rsidRDefault="009713BF" w:rsidP="009713BF">
      <w:pPr>
        <w:rPr>
          <w:rFonts w:ascii="Arial" w:hAnsi="Arial" w:cs="Arial"/>
          <w:sz w:val="20"/>
          <w:szCs w:val="20"/>
          <w:lang w:val="es-ES"/>
        </w:rPr>
      </w:pPr>
    </w:p>
    <w:p w14:paraId="7D920A41" w14:textId="77777777" w:rsidR="009713BF" w:rsidRPr="005E3D50" w:rsidRDefault="009713BF" w:rsidP="009713BF">
      <w:pPr>
        <w:rPr>
          <w:rFonts w:ascii="Aptos" w:hAnsi="Aptos"/>
          <w:color w:val="0E2841" w:themeColor="text2"/>
          <w:sz w:val="20"/>
          <w:szCs w:val="20"/>
          <w:lang w:val="es-ES"/>
        </w:rPr>
      </w:pPr>
      <w:r w:rsidRPr="005E3D50">
        <w:rPr>
          <w:rFonts w:ascii="Aptos" w:hAnsi="Aptos"/>
          <w:color w:val="0E2841" w:themeColor="text2"/>
          <w:sz w:val="20"/>
          <w:lang w:val="es-ES"/>
        </w:rPr>
        <w:t>Figura 78</w:t>
      </w:r>
    </w:p>
    <w:p w14:paraId="66A0679B" w14:textId="77777777" w:rsidR="009713BF" w:rsidRPr="005E3D50" w:rsidRDefault="009713BF" w:rsidP="009713BF">
      <w:pPr>
        <w:rPr>
          <w:b/>
          <w:bCs/>
          <w:sz w:val="20"/>
          <w:szCs w:val="20"/>
          <w:lang w:val="es-ES"/>
        </w:rPr>
      </w:pPr>
      <w:r w:rsidRPr="005E3D50">
        <w:rPr>
          <w:b/>
          <w:sz w:val="20"/>
          <w:lang w:val="es-ES"/>
        </w:rPr>
        <w:t>Indicador de cabecera D.2: financiación pública nacional para la conservación y la utilización sostenible de la diversidad biológica y los ecosistemas </w:t>
      </w:r>
    </w:p>
    <w:p w14:paraId="32B39939" w14:textId="77777777" w:rsidR="009713BF" w:rsidRPr="005E3D50" w:rsidRDefault="009713BF" w:rsidP="009713BF">
      <w:pPr>
        <w:rPr>
          <w:sz w:val="20"/>
          <w:szCs w:val="20"/>
          <w:lang w:val="es-ES"/>
        </w:rPr>
      </w:pPr>
    </w:p>
    <w:p w14:paraId="2F09F979" w14:textId="77777777" w:rsidR="009713BF" w:rsidRPr="005E3D50" w:rsidRDefault="009713BF" w:rsidP="009713BF">
      <w:pPr>
        <w:rPr>
          <w:rFonts w:ascii="Aptos" w:hAnsi="Aptos"/>
          <w:lang w:val="es-ES"/>
        </w:rPr>
      </w:pPr>
    </w:p>
    <w:p w14:paraId="2CB461A9" w14:textId="77777777" w:rsidR="009713BF" w:rsidRPr="005E3D50" w:rsidRDefault="009713BF" w:rsidP="009713BF">
      <w:pPr>
        <w:rPr>
          <w:rFonts w:ascii="Aptos" w:hAnsi="Aptos" w:cs="Segoe UI"/>
          <w:lang w:val="es-ES"/>
        </w:rPr>
      </w:pPr>
      <w:r w:rsidRPr="005E3D50">
        <w:rPr>
          <w:rFonts w:ascii="Aptos" w:hAnsi="Aptos"/>
          <w:lang w:val="es-ES"/>
        </w:rPr>
        <w:lastRenderedPageBreak/>
        <w:t> </w:t>
      </w:r>
      <w:r w:rsidRPr="005E3D50">
        <w:rPr>
          <w:noProof/>
          <w:sz w:val="18"/>
          <w:lang w:val="en-US"/>
        </w:rPr>
        <w:drawing>
          <wp:inline distT="0" distB="0" distL="0" distR="0" wp14:anchorId="47AB3E7C" wp14:editId="0F8901DA">
            <wp:extent cx="5358984" cy="4019535"/>
            <wp:effectExtent l="0" t="0" r="635" b="0"/>
            <wp:docPr id="12866459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45945" name="Picture 1286645945"/>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370686" cy="4028312"/>
                    </a:xfrm>
                    <a:prstGeom prst="rect">
                      <a:avLst/>
                    </a:prstGeom>
                  </pic:spPr>
                </pic:pic>
              </a:graphicData>
            </a:graphic>
          </wp:inline>
        </w:drawing>
      </w:r>
    </w:p>
    <w:p w14:paraId="1F136DE8" w14:textId="77777777" w:rsidR="009713BF" w:rsidRDefault="009713BF" w:rsidP="009713BF">
      <w:pPr>
        <w:rPr>
          <w:rFonts w:ascii="Arial" w:hAnsi="Arial"/>
          <w:i/>
          <w:sz w:val="18"/>
          <w:lang w:val="es-ES"/>
        </w:rPr>
      </w:pPr>
      <w:r w:rsidRPr="005E3D50">
        <w:rPr>
          <w:i/>
          <w:sz w:val="18"/>
          <w:lang w:val="es-ES"/>
        </w:rPr>
        <w:t>Nota</w:t>
      </w:r>
      <w:r w:rsidRPr="005E3D50">
        <w:rPr>
          <w:sz w:val="18"/>
          <w:lang w:val="es-ES"/>
        </w:rPr>
        <w:t>: Los valores del indicador se muestran como la suma anual de la financiación nacional para la diversidad biológica gastada por las Partes que presentan información (en azul) y el porcentaje promedio del PIB nacional que representa el valor nacional (en rojo).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área en gris oscuro del gráfico circular muestra la proporción del PIB de todas las Partes que corresponde a los datos. Cabe señalar que en el gráfico no se incluyeron 19 Partes que suman en total 73.500 millones de dólares, dado que estas no presentaron información para cada uno de los años entre 2020 y 2023.</w:t>
      </w:r>
      <w:r w:rsidRPr="005E3D50">
        <w:rPr>
          <w:rFonts w:ascii="Arial" w:hAnsi="Arial"/>
          <w:i/>
          <w:sz w:val="18"/>
          <w:lang w:val="es-ES"/>
        </w:rPr>
        <w:t> </w:t>
      </w:r>
    </w:p>
    <w:tbl>
      <w:tblPr>
        <w:tblStyle w:val="TableGrid"/>
        <w:tblW w:w="9173" w:type="dxa"/>
        <w:tblLook w:val="04A0" w:firstRow="1" w:lastRow="0" w:firstColumn="1" w:lastColumn="0" w:noHBand="0" w:noVBand="1"/>
      </w:tblPr>
      <w:tblGrid>
        <w:gridCol w:w="4601"/>
        <w:gridCol w:w="4572"/>
      </w:tblGrid>
      <w:tr w:rsidR="00614657" w:rsidRPr="00614657" w14:paraId="6D84C24B" w14:textId="77777777" w:rsidTr="00614657">
        <w:tc>
          <w:tcPr>
            <w:tcW w:w="4601" w:type="dxa"/>
          </w:tcPr>
          <w:p w14:paraId="2D3A6DE4" w14:textId="130E895C" w:rsidR="00614657" w:rsidRPr="00614657" w:rsidRDefault="00614657" w:rsidP="00614657">
            <w:pPr>
              <w:rPr>
                <w:sz w:val="18"/>
                <w:szCs w:val="18"/>
                <w:lang w:val="es-ES"/>
              </w:rPr>
            </w:pPr>
            <w:r w:rsidRPr="00614657">
              <w:rPr>
                <w:sz w:val="18"/>
                <w:szCs w:val="18"/>
                <w:lang w:val="es-ES"/>
              </w:rPr>
              <w:t>Figura 78</w:t>
            </w:r>
          </w:p>
        </w:tc>
        <w:tc>
          <w:tcPr>
            <w:tcW w:w="4572" w:type="dxa"/>
          </w:tcPr>
          <w:p w14:paraId="35969953" w14:textId="77777777" w:rsidR="00614657" w:rsidRPr="00614657" w:rsidRDefault="00614657" w:rsidP="00614657">
            <w:pPr>
              <w:rPr>
                <w:sz w:val="18"/>
                <w:szCs w:val="18"/>
                <w:lang w:val="es-ES"/>
              </w:rPr>
            </w:pPr>
          </w:p>
        </w:tc>
      </w:tr>
      <w:tr w:rsidR="00614657" w:rsidRPr="00614657" w14:paraId="6FAF8179" w14:textId="77777777" w:rsidTr="00614657">
        <w:tc>
          <w:tcPr>
            <w:tcW w:w="4601" w:type="dxa"/>
          </w:tcPr>
          <w:p w14:paraId="46AACF34" w14:textId="77777777" w:rsidR="00614657" w:rsidRPr="00614657" w:rsidRDefault="00614657" w:rsidP="00614657">
            <w:pPr>
              <w:spacing w:line="278" w:lineRule="auto"/>
              <w:rPr>
                <w:sz w:val="18"/>
                <w:szCs w:val="18"/>
                <w:lang w:val="es-ES"/>
              </w:rPr>
            </w:pPr>
            <w:r w:rsidRPr="00614657">
              <w:rPr>
                <w:sz w:val="18"/>
                <w:szCs w:val="18"/>
                <w:lang w:val="es-ES"/>
              </w:rPr>
              <w:t xml:space="preserve">English </w:t>
            </w:r>
          </w:p>
        </w:tc>
        <w:tc>
          <w:tcPr>
            <w:tcW w:w="4572" w:type="dxa"/>
          </w:tcPr>
          <w:p w14:paraId="2A8C9EA9" w14:textId="5B98F46E" w:rsidR="00614657" w:rsidRPr="00614657" w:rsidRDefault="00614657" w:rsidP="00614657">
            <w:pPr>
              <w:spacing w:line="278" w:lineRule="auto"/>
              <w:rPr>
                <w:sz w:val="18"/>
                <w:szCs w:val="18"/>
                <w:lang w:val="es-ES"/>
              </w:rPr>
            </w:pPr>
            <w:r w:rsidRPr="00614657">
              <w:rPr>
                <w:sz w:val="18"/>
                <w:szCs w:val="18"/>
                <w:lang w:val="es-ES"/>
              </w:rPr>
              <w:t>Español</w:t>
            </w:r>
          </w:p>
        </w:tc>
      </w:tr>
      <w:tr w:rsidR="00614657" w:rsidRPr="00614657" w14:paraId="36A9F189" w14:textId="77777777" w:rsidTr="00614657">
        <w:tc>
          <w:tcPr>
            <w:tcW w:w="4601" w:type="dxa"/>
          </w:tcPr>
          <w:p w14:paraId="3B06F51F" w14:textId="77777777" w:rsidR="00614657" w:rsidRPr="00614657" w:rsidRDefault="00614657" w:rsidP="00614657">
            <w:pPr>
              <w:spacing w:line="278" w:lineRule="auto"/>
              <w:rPr>
                <w:sz w:val="18"/>
                <w:szCs w:val="18"/>
                <w:lang w:val="en-US"/>
              </w:rPr>
            </w:pPr>
            <w:r w:rsidRPr="00614657">
              <w:rPr>
                <w:sz w:val="18"/>
                <w:szCs w:val="18"/>
                <w:lang w:val="en-US"/>
              </w:rPr>
              <w:t xml:space="preserve"> Domestic public funding ($US billion)</w:t>
            </w:r>
          </w:p>
        </w:tc>
        <w:tc>
          <w:tcPr>
            <w:tcW w:w="4572" w:type="dxa"/>
          </w:tcPr>
          <w:p w14:paraId="1E301BDF" w14:textId="77777777" w:rsidR="00614657" w:rsidRPr="00614657" w:rsidRDefault="00614657" w:rsidP="00614657">
            <w:pPr>
              <w:spacing w:line="278" w:lineRule="auto"/>
              <w:rPr>
                <w:sz w:val="18"/>
                <w:szCs w:val="18"/>
                <w:lang w:val="es-ES"/>
              </w:rPr>
            </w:pPr>
            <w:r w:rsidRPr="00614657">
              <w:rPr>
                <w:sz w:val="18"/>
                <w:szCs w:val="18"/>
                <w:lang w:val="es-ES"/>
              </w:rPr>
              <w:t xml:space="preserve">Financiación pública nacional (miles de millones de dólares de los </w:t>
            </w:r>
            <w:proofErr w:type="gramStart"/>
            <w:r w:rsidRPr="00614657">
              <w:rPr>
                <w:sz w:val="18"/>
                <w:szCs w:val="18"/>
                <w:lang w:val="es-ES"/>
              </w:rPr>
              <w:t>EE.UU.</w:t>
            </w:r>
            <w:proofErr w:type="gramEnd"/>
            <w:r w:rsidRPr="00614657">
              <w:rPr>
                <w:sz w:val="18"/>
                <w:szCs w:val="18"/>
                <w:lang w:val="es-ES"/>
              </w:rPr>
              <w:t>)</w:t>
            </w:r>
          </w:p>
        </w:tc>
      </w:tr>
      <w:tr w:rsidR="00614657" w:rsidRPr="00614657" w14:paraId="4D3F1F66" w14:textId="77777777" w:rsidTr="00614657">
        <w:tc>
          <w:tcPr>
            <w:tcW w:w="4601" w:type="dxa"/>
          </w:tcPr>
          <w:p w14:paraId="30A3DF1A" w14:textId="77777777" w:rsidR="00614657" w:rsidRPr="00614657" w:rsidRDefault="00614657" w:rsidP="00614657">
            <w:pPr>
              <w:spacing w:line="278" w:lineRule="auto"/>
              <w:rPr>
                <w:sz w:val="18"/>
                <w:szCs w:val="18"/>
                <w:lang w:val="es-ES"/>
              </w:rPr>
            </w:pPr>
            <w:proofErr w:type="spellStart"/>
            <w:r w:rsidRPr="00614657">
              <w:rPr>
                <w:sz w:val="18"/>
                <w:szCs w:val="18"/>
                <w:lang w:val="es-ES"/>
              </w:rPr>
              <w:t>Year</w:t>
            </w:r>
            <w:proofErr w:type="spellEnd"/>
          </w:p>
        </w:tc>
        <w:tc>
          <w:tcPr>
            <w:tcW w:w="4572" w:type="dxa"/>
          </w:tcPr>
          <w:p w14:paraId="07B531AB" w14:textId="77777777" w:rsidR="00614657" w:rsidRPr="00614657" w:rsidRDefault="00614657" w:rsidP="00614657">
            <w:pPr>
              <w:spacing w:line="278" w:lineRule="auto"/>
              <w:rPr>
                <w:sz w:val="18"/>
                <w:szCs w:val="18"/>
                <w:lang w:val="es-ES"/>
              </w:rPr>
            </w:pPr>
            <w:r w:rsidRPr="00614657">
              <w:rPr>
                <w:sz w:val="18"/>
                <w:szCs w:val="18"/>
                <w:lang w:val="es-ES"/>
              </w:rPr>
              <w:t>Año</w:t>
            </w:r>
          </w:p>
        </w:tc>
      </w:tr>
      <w:tr w:rsidR="00614657" w:rsidRPr="00614657" w14:paraId="06233EA0" w14:textId="77777777" w:rsidTr="00614657">
        <w:tc>
          <w:tcPr>
            <w:tcW w:w="4601" w:type="dxa"/>
          </w:tcPr>
          <w:p w14:paraId="09A46154" w14:textId="77777777" w:rsidR="00614657" w:rsidRPr="00614657" w:rsidRDefault="00614657" w:rsidP="00614657">
            <w:pPr>
              <w:spacing w:line="278" w:lineRule="auto"/>
              <w:rPr>
                <w:sz w:val="18"/>
                <w:szCs w:val="18"/>
                <w:lang w:val="es-ES"/>
              </w:rPr>
            </w:pPr>
            <w:r w:rsidRPr="00614657">
              <w:rPr>
                <w:sz w:val="18"/>
                <w:szCs w:val="18"/>
                <w:lang w:val="es-ES"/>
              </w:rPr>
              <w:t>Share of GDP</w:t>
            </w:r>
          </w:p>
        </w:tc>
        <w:tc>
          <w:tcPr>
            <w:tcW w:w="4572" w:type="dxa"/>
          </w:tcPr>
          <w:p w14:paraId="2F1CFD04" w14:textId="77777777" w:rsidR="00614657" w:rsidRPr="00614657" w:rsidRDefault="00614657" w:rsidP="00614657">
            <w:pPr>
              <w:spacing w:line="278" w:lineRule="auto"/>
              <w:rPr>
                <w:sz w:val="18"/>
                <w:szCs w:val="18"/>
                <w:lang w:val="es-ES"/>
              </w:rPr>
            </w:pPr>
            <w:r w:rsidRPr="00614657">
              <w:rPr>
                <w:sz w:val="18"/>
                <w:szCs w:val="18"/>
                <w:lang w:val="es-ES"/>
              </w:rPr>
              <w:t>Proporción de PIB</w:t>
            </w:r>
          </w:p>
        </w:tc>
      </w:tr>
      <w:tr w:rsidR="00614657" w:rsidRPr="00614657" w14:paraId="6FC9754A" w14:textId="77777777" w:rsidTr="00614657">
        <w:tc>
          <w:tcPr>
            <w:tcW w:w="4601" w:type="dxa"/>
          </w:tcPr>
          <w:p w14:paraId="11262E22" w14:textId="77777777" w:rsidR="00614657" w:rsidRPr="00614657" w:rsidRDefault="00614657" w:rsidP="00614657">
            <w:pPr>
              <w:spacing w:line="278" w:lineRule="auto"/>
              <w:rPr>
                <w:sz w:val="18"/>
                <w:szCs w:val="18"/>
                <w:lang w:val="es-ES"/>
              </w:rPr>
            </w:pPr>
            <w:r w:rsidRPr="00614657">
              <w:rPr>
                <w:sz w:val="18"/>
                <w:szCs w:val="18"/>
                <w:lang w:val="es-ES"/>
              </w:rPr>
              <w:t>% of GDP (</w:t>
            </w:r>
            <w:proofErr w:type="spellStart"/>
            <w:r w:rsidRPr="00614657">
              <w:rPr>
                <w:sz w:val="18"/>
                <w:szCs w:val="18"/>
                <w:lang w:val="es-ES"/>
              </w:rPr>
              <w:t>average</w:t>
            </w:r>
            <w:proofErr w:type="spellEnd"/>
            <w:r w:rsidRPr="00614657">
              <w:rPr>
                <w:sz w:val="18"/>
                <w:szCs w:val="18"/>
                <w:lang w:val="es-ES"/>
              </w:rPr>
              <w:t>)</w:t>
            </w:r>
          </w:p>
        </w:tc>
        <w:tc>
          <w:tcPr>
            <w:tcW w:w="4572" w:type="dxa"/>
          </w:tcPr>
          <w:p w14:paraId="54DAFA84" w14:textId="77777777" w:rsidR="00614657" w:rsidRPr="00614657" w:rsidRDefault="00614657" w:rsidP="00614657">
            <w:pPr>
              <w:spacing w:line="278" w:lineRule="auto"/>
              <w:rPr>
                <w:sz w:val="18"/>
                <w:szCs w:val="18"/>
                <w:lang w:val="es-ES"/>
              </w:rPr>
            </w:pPr>
            <w:r w:rsidRPr="00614657">
              <w:rPr>
                <w:sz w:val="18"/>
                <w:szCs w:val="18"/>
                <w:lang w:val="es-ES"/>
              </w:rPr>
              <w:t>% de PIB (promedio)</w:t>
            </w:r>
          </w:p>
        </w:tc>
      </w:tr>
      <w:tr w:rsidR="00614657" w:rsidRPr="00614657" w14:paraId="06B85A56" w14:textId="77777777" w:rsidTr="00614657">
        <w:tc>
          <w:tcPr>
            <w:tcW w:w="4601" w:type="dxa"/>
          </w:tcPr>
          <w:p w14:paraId="1EA581D5" w14:textId="77777777" w:rsidR="00614657" w:rsidRPr="00614657" w:rsidRDefault="00614657" w:rsidP="00614657">
            <w:pPr>
              <w:spacing w:line="278" w:lineRule="auto"/>
              <w:rPr>
                <w:sz w:val="18"/>
                <w:szCs w:val="18"/>
                <w:lang w:val="es-ES"/>
              </w:rPr>
            </w:pPr>
            <w:r w:rsidRPr="00614657">
              <w:rPr>
                <w:sz w:val="18"/>
                <w:szCs w:val="18"/>
                <w:lang w:val="es-ES"/>
              </w:rPr>
              <w:t xml:space="preserve">Party </w:t>
            </w:r>
            <w:proofErr w:type="spellStart"/>
            <w:r w:rsidRPr="00614657">
              <w:rPr>
                <w:sz w:val="18"/>
                <w:szCs w:val="18"/>
                <w:lang w:val="es-ES"/>
              </w:rPr>
              <w:t>count</w:t>
            </w:r>
            <w:proofErr w:type="spellEnd"/>
            <w:r w:rsidRPr="00614657">
              <w:rPr>
                <w:sz w:val="18"/>
                <w:szCs w:val="18"/>
                <w:lang w:val="es-ES"/>
              </w:rPr>
              <w:t>: 39</w:t>
            </w:r>
          </w:p>
        </w:tc>
        <w:tc>
          <w:tcPr>
            <w:tcW w:w="4572" w:type="dxa"/>
          </w:tcPr>
          <w:p w14:paraId="5BEBF8E5" w14:textId="77777777" w:rsidR="00614657" w:rsidRPr="00614657" w:rsidRDefault="00614657" w:rsidP="00614657">
            <w:pPr>
              <w:spacing w:line="278" w:lineRule="auto"/>
              <w:rPr>
                <w:sz w:val="18"/>
                <w:szCs w:val="18"/>
                <w:lang w:val="es-ES"/>
              </w:rPr>
            </w:pPr>
            <w:r w:rsidRPr="00614657">
              <w:rPr>
                <w:sz w:val="18"/>
                <w:szCs w:val="18"/>
                <w:lang w:val="es-ES"/>
              </w:rPr>
              <w:t>Número de Partes: 39</w:t>
            </w:r>
          </w:p>
        </w:tc>
      </w:tr>
      <w:tr w:rsidR="00614657" w:rsidRPr="00614657" w14:paraId="3FCB1818" w14:textId="77777777" w:rsidTr="00614657">
        <w:tc>
          <w:tcPr>
            <w:tcW w:w="4601" w:type="dxa"/>
          </w:tcPr>
          <w:p w14:paraId="696E535B" w14:textId="77777777" w:rsidR="00614657" w:rsidRPr="00614657" w:rsidRDefault="00614657" w:rsidP="00614657">
            <w:pPr>
              <w:spacing w:line="278" w:lineRule="auto"/>
              <w:rPr>
                <w:sz w:val="18"/>
                <w:szCs w:val="18"/>
                <w:lang w:val="es-ES"/>
              </w:rPr>
            </w:pPr>
            <w:r w:rsidRPr="00614657">
              <w:rPr>
                <w:sz w:val="18"/>
                <w:szCs w:val="18"/>
                <w:lang w:val="es-ES"/>
              </w:rPr>
              <w:t xml:space="preserve">Party </w:t>
            </w:r>
            <w:proofErr w:type="spellStart"/>
            <w:r w:rsidRPr="00614657">
              <w:rPr>
                <w:sz w:val="18"/>
                <w:szCs w:val="18"/>
                <w:lang w:val="es-ES"/>
              </w:rPr>
              <w:t>count</w:t>
            </w:r>
            <w:proofErr w:type="spellEnd"/>
            <w:r w:rsidRPr="00614657">
              <w:rPr>
                <w:sz w:val="18"/>
                <w:szCs w:val="18"/>
                <w:lang w:val="es-ES"/>
              </w:rPr>
              <w:t xml:space="preserve"> </w:t>
            </w:r>
            <w:proofErr w:type="spellStart"/>
            <w:r w:rsidRPr="00614657">
              <w:rPr>
                <w:sz w:val="18"/>
                <w:szCs w:val="18"/>
                <w:lang w:val="es-ES"/>
              </w:rPr>
              <w:t>by</w:t>
            </w:r>
            <w:proofErr w:type="spellEnd"/>
            <w:r w:rsidRPr="00614657">
              <w:rPr>
                <w:sz w:val="18"/>
                <w:szCs w:val="18"/>
                <w:lang w:val="es-ES"/>
              </w:rPr>
              <w:t xml:space="preserve"> </w:t>
            </w:r>
            <w:proofErr w:type="spellStart"/>
            <w:r w:rsidRPr="00614657">
              <w:rPr>
                <w:sz w:val="18"/>
                <w:szCs w:val="18"/>
                <w:lang w:val="es-ES"/>
              </w:rPr>
              <w:t>region</w:t>
            </w:r>
            <w:proofErr w:type="spellEnd"/>
          </w:p>
        </w:tc>
        <w:tc>
          <w:tcPr>
            <w:tcW w:w="4572" w:type="dxa"/>
          </w:tcPr>
          <w:p w14:paraId="43A58423" w14:textId="77777777" w:rsidR="00614657" w:rsidRPr="00614657" w:rsidRDefault="00614657" w:rsidP="00614657">
            <w:pPr>
              <w:spacing w:line="278" w:lineRule="auto"/>
              <w:rPr>
                <w:sz w:val="18"/>
                <w:szCs w:val="18"/>
                <w:lang w:val="es-ES"/>
              </w:rPr>
            </w:pPr>
            <w:r w:rsidRPr="00614657">
              <w:rPr>
                <w:sz w:val="18"/>
                <w:szCs w:val="18"/>
                <w:lang w:val="es-ES"/>
              </w:rPr>
              <w:t>Número de Partes por región</w:t>
            </w:r>
          </w:p>
        </w:tc>
      </w:tr>
      <w:tr w:rsidR="00614657" w:rsidRPr="00614657" w14:paraId="7186E494" w14:textId="77777777" w:rsidTr="00614657">
        <w:tc>
          <w:tcPr>
            <w:tcW w:w="4601" w:type="dxa"/>
          </w:tcPr>
          <w:p w14:paraId="6D682157" w14:textId="77777777" w:rsidR="00614657" w:rsidRPr="00614657" w:rsidRDefault="00614657" w:rsidP="00614657">
            <w:pPr>
              <w:spacing w:line="278" w:lineRule="auto"/>
              <w:rPr>
                <w:sz w:val="18"/>
                <w:szCs w:val="18"/>
                <w:lang w:val="es-ES"/>
              </w:rPr>
            </w:pPr>
            <w:proofErr w:type="spellStart"/>
            <w:r w:rsidRPr="00614657">
              <w:rPr>
                <w:sz w:val="18"/>
                <w:szCs w:val="18"/>
                <w:lang w:val="es-ES"/>
              </w:rPr>
              <w:t>Region</w:t>
            </w:r>
            <w:proofErr w:type="spellEnd"/>
          </w:p>
        </w:tc>
        <w:tc>
          <w:tcPr>
            <w:tcW w:w="4572" w:type="dxa"/>
          </w:tcPr>
          <w:p w14:paraId="1C688A1B" w14:textId="77777777" w:rsidR="00614657" w:rsidRPr="00614657" w:rsidRDefault="00614657" w:rsidP="00614657">
            <w:pPr>
              <w:spacing w:line="278" w:lineRule="auto"/>
              <w:rPr>
                <w:sz w:val="18"/>
                <w:szCs w:val="18"/>
                <w:lang w:val="es-ES"/>
              </w:rPr>
            </w:pPr>
            <w:r w:rsidRPr="00614657">
              <w:rPr>
                <w:sz w:val="18"/>
                <w:szCs w:val="18"/>
                <w:lang w:val="es-ES"/>
              </w:rPr>
              <w:t>Región</w:t>
            </w:r>
          </w:p>
        </w:tc>
      </w:tr>
      <w:tr w:rsidR="00614657" w:rsidRPr="00614657" w14:paraId="16846DD4" w14:textId="77777777" w:rsidTr="00614657">
        <w:tc>
          <w:tcPr>
            <w:tcW w:w="4601" w:type="dxa"/>
          </w:tcPr>
          <w:p w14:paraId="5EFBF980" w14:textId="77777777" w:rsidR="00614657" w:rsidRPr="00614657" w:rsidRDefault="00614657" w:rsidP="00614657">
            <w:pPr>
              <w:spacing w:line="278" w:lineRule="auto"/>
              <w:rPr>
                <w:sz w:val="18"/>
                <w:szCs w:val="18"/>
                <w:lang w:val="es-ES"/>
              </w:rPr>
            </w:pPr>
            <w:r w:rsidRPr="00614657">
              <w:rPr>
                <w:sz w:val="18"/>
                <w:szCs w:val="18"/>
                <w:lang w:val="es-ES"/>
              </w:rPr>
              <w:t>African States</w:t>
            </w:r>
          </w:p>
        </w:tc>
        <w:tc>
          <w:tcPr>
            <w:tcW w:w="4572" w:type="dxa"/>
          </w:tcPr>
          <w:p w14:paraId="44CA0DE9" w14:textId="77777777" w:rsidR="00614657" w:rsidRPr="00614657" w:rsidRDefault="00614657" w:rsidP="00614657">
            <w:pPr>
              <w:spacing w:line="278" w:lineRule="auto"/>
              <w:rPr>
                <w:sz w:val="18"/>
                <w:szCs w:val="18"/>
                <w:lang w:val="es-ES"/>
              </w:rPr>
            </w:pPr>
            <w:r w:rsidRPr="00614657">
              <w:rPr>
                <w:sz w:val="18"/>
                <w:szCs w:val="18"/>
                <w:lang w:val="es-ES"/>
              </w:rPr>
              <w:t>Estados de África</w:t>
            </w:r>
          </w:p>
        </w:tc>
      </w:tr>
      <w:tr w:rsidR="00614657" w:rsidRPr="00614657" w14:paraId="67BE6F85" w14:textId="77777777" w:rsidTr="00614657">
        <w:tc>
          <w:tcPr>
            <w:tcW w:w="4601" w:type="dxa"/>
          </w:tcPr>
          <w:p w14:paraId="71760ABF" w14:textId="77777777" w:rsidR="00614657" w:rsidRPr="00614657" w:rsidRDefault="00614657" w:rsidP="00614657">
            <w:pPr>
              <w:spacing w:line="278" w:lineRule="auto"/>
              <w:rPr>
                <w:sz w:val="18"/>
                <w:szCs w:val="18"/>
                <w:lang w:val="es-ES"/>
              </w:rPr>
            </w:pPr>
            <w:r w:rsidRPr="00614657">
              <w:rPr>
                <w:sz w:val="18"/>
                <w:szCs w:val="18"/>
                <w:lang w:val="es-ES"/>
              </w:rPr>
              <w:t>Asia-Pacific States</w:t>
            </w:r>
          </w:p>
        </w:tc>
        <w:tc>
          <w:tcPr>
            <w:tcW w:w="4572" w:type="dxa"/>
          </w:tcPr>
          <w:p w14:paraId="0A332927" w14:textId="77777777" w:rsidR="00614657" w:rsidRPr="00614657" w:rsidRDefault="00614657" w:rsidP="00614657">
            <w:pPr>
              <w:spacing w:line="278" w:lineRule="auto"/>
              <w:rPr>
                <w:sz w:val="18"/>
                <w:szCs w:val="18"/>
                <w:lang w:val="es-ES"/>
              </w:rPr>
            </w:pPr>
            <w:r w:rsidRPr="00614657">
              <w:rPr>
                <w:sz w:val="18"/>
                <w:szCs w:val="18"/>
                <w:lang w:val="es-ES"/>
              </w:rPr>
              <w:t>Estados de Asia y el Pacífico</w:t>
            </w:r>
          </w:p>
        </w:tc>
      </w:tr>
      <w:tr w:rsidR="00614657" w:rsidRPr="00614657" w14:paraId="7AEA1409" w14:textId="77777777" w:rsidTr="00614657">
        <w:tc>
          <w:tcPr>
            <w:tcW w:w="4601" w:type="dxa"/>
          </w:tcPr>
          <w:p w14:paraId="0FC91D8E" w14:textId="77777777" w:rsidR="00614657" w:rsidRPr="00614657" w:rsidRDefault="00614657" w:rsidP="00614657">
            <w:pPr>
              <w:spacing w:line="278" w:lineRule="auto"/>
              <w:rPr>
                <w:sz w:val="18"/>
                <w:szCs w:val="18"/>
                <w:lang w:val="en-US"/>
              </w:rPr>
            </w:pPr>
            <w:r w:rsidRPr="00614657">
              <w:rPr>
                <w:sz w:val="18"/>
                <w:szCs w:val="18"/>
                <w:lang w:val="en-US"/>
              </w:rPr>
              <w:t>Latin American and Caribbean States</w:t>
            </w:r>
          </w:p>
        </w:tc>
        <w:tc>
          <w:tcPr>
            <w:tcW w:w="4572" w:type="dxa"/>
          </w:tcPr>
          <w:p w14:paraId="5473D61E" w14:textId="77777777" w:rsidR="00614657" w:rsidRPr="00614657" w:rsidRDefault="00614657" w:rsidP="00614657">
            <w:pPr>
              <w:spacing w:line="278" w:lineRule="auto"/>
              <w:rPr>
                <w:sz w:val="18"/>
                <w:szCs w:val="18"/>
                <w:lang w:val="es-ES"/>
              </w:rPr>
            </w:pPr>
            <w:r w:rsidRPr="00614657">
              <w:rPr>
                <w:sz w:val="18"/>
                <w:szCs w:val="18"/>
                <w:lang w:val="es-ES"/>
              </w:rPr>
              <w:t>Estados de América Latina y el Caribe</w:t>
            </w:r>
          </w:p>
        </w:tc>
      </w:tr>
      <w:tr w:rsidR="00614657" w:rsidRPr="00614657" w14:paraId="4ADC8184" w14:textId="77777777" w:rsidTr="00614657">
        <w:tc>
          <w:tcPr>
            <w:tcW w:w="4601" w:type="dxa"/>
          </w:tcPr>
          <w:p w14:paraId="010FA6FE" w14:textId="77777777" w:rsidR="00614657" w:rsidRPr="00614657" w:rsidRDefault="00614657" w:rsidP="00614657">
            <w:pPr>
              <w:spacing w:line="278" w:lineRule="auto"/>
              <w:rPr>
                <w:sz w:val="18"/>
                <w:szCs w:val="18"/>
                <w:lang w:val="es-ES"/>
              </w:rPr>
            </w:pPr>
            <w:r w:rsidRPr="00614657">
              <w:rPr>
                <w:sz w:val="18"/>
                <w:szCs w:val="18"/>
                <w:lang w:val="es-ES"/>
              </w:rPr>
              <w:t>Eastern European States</w:t>
            </w:r>
          </w:p>
        </w:tc>
        <w:tc>
          <w:tcPr>
            <w:tcW w:w="4572" w:type="dxa"/>
          </w:tcPr>
          <w:p w14:paraId="71C5C326" w14:textId="77777777" w:rsidR="00614657" w:rsidRPr="00614657" w:rsidRDefault="00614657" w:rsidP="00614657">
            <w:pPr>
              <w:spacing w:line="278" w:lineRule="auto"/>
              <w:rPr>
                <w:sz w:val="18"/>
                <w:szCs w:val="18"/>
                <w:lang w:val="es-ES"/>
              </w:rPr>
            </w:pPr>
            <w:r w:rsidRPr="00614657">
              <w:rPr>
                <w:sz w:val="18"/>
                <w:szCs w:val="18"/>
                <w:lang w:val="es-ES"/>
              </w:rPr>
              <w:t>Estados de Europa Oriental</w:t>
            </w:r>
          </w:p>
        </w:tc>
      </w:tr>
      <w:tr w:rsidR="00614657" w:rsidRPr="00614657" w14:paraId="08443C6B" w14:textId="77777777" w:rsidTr="00614657">
        <w:tc>
          <w:tcPr>
            <w:tcW w:w="4601" w:type="dxa"/>
          </w:tcPr>
          <w:p w14:paraId="08617069" w14:textId="77777777" w:rsidR="00614657" w:rsidRPr="00614657" w:rsidRDefault="00614657" w:rsidP="00614657">
            <w:pPr>
              <w:spacing w:line="278" w:lineRule="auto"/>
              <w:rPr>
                <w:sz w:val="18"/>
                <w:szCs w:val="18"/>
                <w:lang w:val="en-US"/>
              </w:rPr>
            </w:pPr>
            <w:r w:rsidRPr="00614657">
              <w:rPr>
                <w:sz w:val="18"/>
                <w:szCs w:val="18"/>
                <w:lang w:val="en-US"/>
              </w:rPr>
              <w:lastRenderedPageBreak/>
              <w:t>Western European and other States</w:t>
            </w:r>
          </w:p>
        </w:tc>
        <w:tc>
          <w:tcPr>
            <w:tcW w:w="4572" w:type="dxa"/>
          </w:tcPr>
          <w:p w14:paraId="25033CE7" w14:textId="77777777" w:rsidR="00614657" w:rsidRPr="00614657" w:rsidRDefault="00614657" w:rsidP="00614657">
            <w:pPr>
              <w:spacing w:line="278" w:lineRule="auto"/>
              <w:rPr>
                <w:sz w:val="18"/>
                <w:szCs w:val="18"/>
                <w:lang w:val="es-ES"/>
              </w:rPr>
            </w:pPr>
            <w:r w:rsidRPr="00614657">
              <w:rPr>
                <w:sz w:val="18"/>
                <w:szCs w:val="18"/>
                <w:lang w:val="es-ES"/>
              </w:rPr>
              <w:t>Estados de Europa Occidental y otros Estados</w:t>
            </w:r>
          </w:p>
        </w:tc>
      </w:tr>
    </w:tbl>
    <w:p w14:paraId="769CCEF2" w14:textId="77777777" w:rsidR="00614657" w:rsidRPr="005E3D50" w:rsidRDefault="00614657" w:rsidP="009713BF">
      <w:pPr>
        <w:rPr>
          <w:rFonts w:ascii="Arial" w:hAnsi="Arial" w:cs="Arial"/>
          <w:i/>
          <w:iCs/>
          <w:sz w:val="18"/>
          <w:szCs w:val="18"/>
          <w:lang w:val="es-ES"/>
        </w:rPr>
      </w:pPr>
    </w:p>
    <w:p w14:paraId="476C2B22" w14:textId="77777777" w:rsidR="009713BF" w:rsidRPr="005E3D50" w:rsidRDefault="009713BF" w:rsidP="009713BF">
      <w:pPr>
        <w:rPr>
          <w:rFonts w:ascii="Arial" w:hAnsi="Arial" w:cs="Arial"/>
          <w:i/>
          <w:iCs/>
          <w:sz w:val="18"/>
          <w:szCs w:val="18"/>
          <w:lang w:val="es-ES"/>
        </w:rPr>
      </w:pPr>
    </w:p>
    <w:p w14:paraId="1BBF86A1" w14:textId="77777777" w:rsidR="009713BF" w:rsidRPr="005E3D50" w:rsidRDefault="009713BF" w:rsidP="009713BF">
      <w:pPr>
        <w:rPr>
          <w:sz w:val="20"/>
          <w:szCs w:val="20"/>
          <w:lang w:val="es-ES"/>
        </w:rPr>
      </w:pPr>
      <w:r w:rsidRPr="005E3D50">
        <w:rPr>
          <w:sz w:val="20"/>
          <w:lang w:val="es-ES"/>
        </w:rPr>
        <w:t>Figura 79</w:t>
      </w:r>
    </w:p>
    <w:p w14:paraId="1D9C88B6" w14:textId="77777777" w:rsidR="009713BF" w:rsidRPr="005E3D50" w:rsidRDefault="009713BF" w:rsidP="009713BF">
      <w:pPr>
        <w:rPr>
          <w:b/>
          <w:bCs/>
          <w:sz w:val="20"/>
          <w:szCs w:val="20"/>
          <w:lang w:val="es-ES"/>
        </w:rPr>
      </w:pPr>
      <w:r w:rsidRPr="005E3D50">
        <w:rPr>
          <w:b/>
          <w:sz w:val="20"/>
          <w:lang w:val="es-ES"/>
        </w:rPr>
        <w:t>Indicador de cabecera D.3: financiación privada (nacional e internacional) para la conservación y la utilización sostenible de la diversidad biológica y los ecosistemas</w:t>
      </w:r>
    </w:p>
    <w:p w14:paraId="193566C4" w14:textId="77777777" w:rsidR="009713BF" w:rsidRPr="005E3D50" w:rsidRDefault="009713BF" w:rsidP="009713BF">
      <w:pPr>
        <w:rPr>
          <w:b/>
          <w:bCs/>
          <w:sz w:val="20"/>
          <w:szCs w:val="20"/>
          <w:lang w:val="es-ES"/>
        </w:rPr>
      </w:pPr>
    </w:p>
    <w:p w14:paraId="30B42CF8" w14:textId="77777777" w:rsidR="009713BF" w:rsidRPr="005E3D50" w:rsidRDefault="009713BF" w:rsidP="009713BF">
      <w:pPr>
        <w:rPr>
          <w:i/>
          <w:iCs/>
          <w:sz w:val="20"/>
          <w:szCs w:val="20"/>
          <w:lang w:val="es-ES"/>
        </w:rPr>
      </w:pPr>
    </w:p>
    <w:p w14:paraId="0B2DEFAD"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7C50818E"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noProof/>
          <w:kern w:val="0"/>
          <w:lang w:val="en-US"/>
          <w14:ligatures w14:val="none"/>
        </w:rPr>
        <w:drawing>
          <wp:inline distT="0" distB="0" distL="0" distR="0" wp14:anchorId="1618C3C4" wp14:editId="4F1AF930">
            <wp:extent cx="4752225" cy="3564432"/>
            <wp:effectExtent l="0" t="0" r="0" b="4445"/>
            <wp:docPr id="1950452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52162" name="Picture 1950452162"/>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4774681" cy="3581276"/>
                    </a:xfrm>
                    <a:prstGeom prst="rect">
                      <a:avLst/>
                    </a:prstGeom>
                  </pic:spPr>
                </pic:pic>
              </a:graphicData>
            </a:graphic>
          </wp:inline>
        </w:drawing>
      </w:r>
    </w:p>
    <w:p w14:paraId="37873041" w14:textId="77777777" w:rsidR="009713BF" w:rsidRPr="005E3D50" w:rsidRDefault="009713BF" w:rsidP="009713BF">
      <w:pPr>
        <w:rPr>
          <w:sz w:val="18"/>
          <w:szCs w:val="18"/>
          <w:lang w:val="es-ES"/>
        </w:rPr>
      </w:pPr>
      <w:bookmarkStart w:id="482" w:name="_Ref238796170"/>
      <w:r w:rsidRPr="005E3D50">
        <w:rPr>
          <w:i/>
          <w:sz w:val="18"/>
          <w:lang w:val="es-ES"/>
        </w:rPr>
        <w:t>Nota</w:t>
      </w:r>
      <w:r w:rsidRPr="005E3D50">
        <w:rPr>
          <w:sz w:val="18"/>
          <w:lang w:val="es-ES"/>
        </w:rPr>
        <w:t>: Los valores del indicador se muestran como la suma anual de la financiación privada para la diversidad biológica comunicada por las Partes (en azul) y el porcentaje promedio del PIB nacional que representa el valor nacional (en rojo). El gráfico de barras de la derecha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 El área del gráfico circular que está en gris oscuro muestra la proporción del PIB de todas las Partes que corresponde a los datos. Cabe señalar que en el gráfico no se incluyeron ocho Partes que suman en total 12.800 millones de dólares, dado que no presentaron información para cada uno de los años entre 2020 y 2023.</w:t>
      </w:r>
    </w:p>
    <w:tbl>
      <w:tblPr>
        <w:tblStyle w:val="TableGrid"/>
        <w:tblW w:w="9313" w:type="dxa"/>
        <w:tblLook w:val="04A0" w:firstRow="1" w:lastRow="0" w:firstColumn="1" w:lastColumn="0" w:noHBand="0" w:noVBand="1"/>
      </w:tblPr>
      <w:tblGrid>
        <w:gridCol w:w="4672"/>
        <w:gridCol w:w="4641"/>
      </w:tblGrid>
      <w:tr w:rsidR="00AB6289" w:rsidRPr="00AB6289" w14:paraId="026EDF05" w14:textId="77777777" w:rsidTr="00AB6289">
        <w:tc>
          <w:tcPr>
            <w:tcW w:w="4672" w:type="dxa"/>
          </w:tcPr>
          <w:p w14:paraId="59DF2721" w14:textId="4C225CA1" w:rsidR="00AB6289" w:rsidRPr="00AB6289" w:rsidRDefault="00AB6289" w:rsidP="00AB6289">
            <w:pPr>
              <w:rPr>
                <w:sz w:val="18"/>
                <w:szCs w:val="18"/>
                <w:lang w:val="es-ES"/>
              </w:rPr>
            </w:pPr>
            <w:r w:rsidRPr="00AB6289">
              <w:rPr>
                <w:sz w:val="18"/>
                <w:szCs w:val="18"/>
                <w:lang w:val="es-ES"/>
              </w:rPr>
              <w:t>Figura 79</w:t>
            </w:r>
          </w:p>
        </w:tc>
        <w:tc>
          <w:tcPr>
            <w:tcW w:w="4641" w:type="dxa"/>
          </w:tcPr>
          <w:p w14:paraId="60ED15EC" w14:textId="77777777" w:rsidR="00AB6289" w:rsidRPr="00AB6289" w:rsidRDefault="00AB6289" w:rsidP="00AB6289">
            <w:pPr>
              <w:rPr>
                <w:b/>
                <w:bCs/>
                <w:sz w:val="18"/>
                <w:szCs w:val="18"/>
                <w:lang w:val="es-ES"/>
              </w:rPr>
            </w:pPr>
          </w:p>
        </w:tc>
      </w:tr>
      <w:tr w:rsidR="00AB6289" w:rsidRPr="00AB6289" w14:paraId="1C3812BA" w14:textId="77777777" w:rsidTr="00AB6289">
        <w:tc>
          <w:tcPr>
            <w:tcW w:w="4672" w:type="dxa"/>
          </w:tcPr>
          <w:p w14:paraId="7D1A5BE2" w14:textId="77777777" w:rsidR="00AB6289" w:rsidRPr="00AB6289" w:rsidRDefault="00AB6289" w:rsidP="00AB6289">
            <w:pPr>
              <w:spacing w:line="278" w:lineRule="auto"/>
              <w:rPr>
                <w:sz w:val="18"/>
                <w:szCs w:val="18"/>
                <w:lang w:val="es-ES"/>
              </w:rPr>
            </w:pPr>
            <w:r w:rsidRPr="00AB6289">
              <w:rPr>
                <w:sz w:val="18"/>
                <w:szCs w:val="18"/>
                <w:lang w:val="es-ES"/>
              </w:rPr>
              <w:t xml:space="preserve">English </w:t>
            </w:r>
          </w:p>
        </w:tc>
        <w:tc>
          <w:tcPr>
            <w:tcW w:w="4641" w:type="dxa"/>
          </w:tcPr>
          <w:p w14:paraId="1829F210" w14:textId="4CD5E420" w:rsidR="00AB6289" w:rsidRPr="00AB6289" w:rsidRDefault="00AB6289" w:rsidP="00AB6289">
            <w:pPr>
              <w:spacing w:line="278" w:lineRule="auto"/>
              <w:rPr>
                <w:sz w:val="18"/>
                <w:szCs w:val="18"/>
                <w:lang w:val="es-ES"/>
              </w:rPr>
            </w:pPr>
            <w:r w:rsidRPr="00AB6289">
              <w:rPr>
                <w:sz w:val="18"/>
                <w:szCs w:val="18"/>
                <w:lang w:val="es-ES"/>
              </w:rPr>
              <w:t>Español</w:t>
            </w:r>
          </w:p>
        </w:tc>
      </w:tr>
      <w:tr w:rsidR="00AB6289" w:rsidRPr="00AB6289" w14:paraId="4E0878EE" w14:textId="77777777" w:rsidTr="00AB6289">
        <w:tc>
          <w:tcPr>
            <w:tcW w:w="4672" w:type="dxa"/>
          </w:tcPr>
          <w:p w14:paraId="2E3324EA" w14:textId="77777777" w:rsidR="00AB6289" w:rsidRPr="00AB6289" w:rsidRDefault="00AB6289" w:rsidP="00AB6289">
            <w:pPr>
              <w:spacing w:line="278" w:lineRule="auto"/>
              <w:rPr>
                <w:sz w:val="18"/>
                <w:szCs w:val="18"/>
                <w:lang w:val="es-ES"/>
              </w:rPr>
            </w:pPr>
            <w:r w:rsidRPr="00AB6289">
              <w:rPr>
                <w:sz w:val="18"/>
                <w:szCs w:val="18"/>
                <w:lang w:val="es-ES"/>
              </w:rPr>
              <w:t xml:space="preserve">Private </w:t>
            </w:r>
            <w:proofErr w:type="spellStart"/>
            <w:r w:rsidRPr="00AB6289">
              <w:rPr>
                <w:sz w:val="18"/>
                <w:szCs w:val="18"/>
                <w:lang w:val="es-ES"/>
              </w:rPr>
              <w:t>funding</w:t>
            </w:r>
            <w:proofErr w:type="spellEnd"/>
            <w:r w:rsidRPr="00AB6289">
              <w:rPr>
                <w:sz w:val="18"/>
                <w:szCs w:val="18"/>
                <w:lang w:val="es-ES"/>
              </w:rPr>
              <w:t xml:space="preserve"> ($</w:t>
            </w:r>
            <w:proofErr w:type="gramStart"/>
            <w:r w:rsidRPr="00AB6289">
              <w:rPr>
                <w:sz w:val="18"/>
                <w:szCs w:val="18"/>
                <w:lang w:val="es-ES"/>
              </w:rPr>
              <w:t xml:space="preserve">US  </w:t>
            </w:r>
            <w:proofErr w:type="spellStart"/>
            <w:r w:rsidRPr="00AB6289">
              <w:rPr>
                <w:sz w:val="18"/>
                <w:szCs w:val="18"/>
                <w:lang w:val="es-ES"/>
              </w:rPr>
              <w:t>billion</w:t>
            </w:r>
            <w:proofErr w:type="spellEnd"/>
            <w:proofErr w:type="gramEnd"/>
            <w:r w:rsidRPr="00AB6289">
              <w:rPr>
                <w:sz w:val="18"/>
                <w:szCs w:val="18"/>
                <w:lang w:val="es-ES"/>
              </w:rPr>
              <w:t>)</w:t>
            </w:r>
          </w:p>
        </w:tc>
        <w:tc>
          <w:tcPr>
            <w:tcW w:w="4641" w:type="dxa"/>
          </w:tcPr>
          <w:p w14:paraId="04ABCDF2" w14:textId="77777777" w:rsidR="00AB6289" w:rsidRPr="00AB6289" w:rsidRDefault="00AB6289" w:rsidP="00AB6289">
            <w:pPr>
              <w:spacing w:line="278" w:lineRule="auto"/>
              <w:rPr>
                <w:sz w:val="18"/>
                <w:szCs w:val="18"/>
                <w:lang w:val="es-ES"/>
              </w:rPr>
            </w:pPr>
            <w:r w:rsidRPr="00AB6289">
              <w:rPr>
                <w:sz w:val="18"/>
                <w:szCs w:val="18"/>
                <w:lang w:val="es-ES"/>
              </w:rPr>
              <w:t xml:space="preserve">Financiación privada (miles de millones de dólares de los </w:t>
            </w:r>
            <w:proofErr w:type="gramStart"/>
            <w:r w:rsidRPr="00AB6289">
              <w:rPr>
                <w:sz w:val="18"/>
                <w:szCs w:val="18"/>
                <w:lang w:val="es-ES"/>
              </w:rPr>
              <w:t>EE.UU.</w:t>
            </w:r>
            <w:proofErr w:type="gramEnd"/>
            <w:r w:rsidRPr="00AB6289">
              <w:rPr>
                <w:sz w:val="18"/>
                <w:szCs w:val="18"/>
                <w:lang w:val="es-ES"/>
              </w:rPr>
              <w:t>)</w:t>
            </w:r>
          </w:p>
        </w:tc>
      </w:tr>
      <w:tr w:rsidR="00AB6289" w:rsidRPr="00AB6289" w14:paraId="7E4B42D7" w14:textId="77777777" w:rsidTr="00AB6289">
        <w:tc>
          <w:tcPr>
            <w:tcW w:w="4672" w:type="dxa"/>
          </w:tcPr>
          <w:p w14:paraId="36142F42" w14:textId="77777777" w:rsidR="00AB6289" w:rsidRPr="00AB6289" w:rsidRDefault="00AB6289" w:rsidP="00AB6289">
            <w:pPr>
              <w:spacing w:line="278" w:lineRule="auto"/>
              <w:rPr>
                <w:sz w:val="18"/>
                <w:szCs w:val="18"/>
                <w:lang w:val="es-ES"/>
              </w:rPr>
            </w:pPr>
            <w:proofErr w:type="spellStart"/>
            <w:r w:rsidRPr="00AB6289">
              <w:rPr>
                <w:sz w:val="18"/>
                <w:szCs w:val="18"/>
                <w:lang w:val="es-ES"/>
              </w:rPr>
              <w:t>Year</w:t>
            </w:r>
            <w:proofErr w:type="spellEnd"/>
          </w:p>
        </w:tc>
        <w:tc>
          <w:tcPr>
            <w:tcW w:w="4641" w:type="dxa"/>
          </w:tcPr>
          <w:p w14:paraId="0928D39F" w14:textId="77777777" w:rsidR="00AB6289" w:rsidRPr="00AB6289" w:rsidRDefault="00AB6289" w:rsidP="00AB6289">
            <w:pPr>
              <w:spacing w:line="278" w:lineRule="auto"/>
              <w:rPr>
                <w:sz w:val="18"/>
                <w:szCs w:val="18"/>
                <w:lang w:val="es-ES"/>
              </w:rPr>
            </w:pPr>
            <w:r w:rsidRPr="00AB6289">
              <w:rPr>
                <w:sz w:val="18"/>
                <w:szCs w:val="18"/>
                <w:lang w:val="es-ES"/>
              </w:rPr>
              <w:t>Año</w:t>
            </w:r>
          </w:p>
        </w:tc>
      </w:tr>
      <w:tr w:rsidR="00AB6289" w:rsidRPr="00AB6289" w14:paraId="371CD02C" w14:textId="77777777" w:rsidTr="00AB6289">
        <w:tc>
          <w:tcPr>
            <w:tcW w:w="4672" w:type="dxa"/>
          </w:tcPr>
          <w:p w14:paraId="28502845" w14:textId="77777777" w:rsidR="00AB6289" w:rsidRPr="00AB6289" w:rsidRDefault="00AB6289" w:rsidP="00AB6289">
            <w:pPr>
              <w:spacing w:line="278" w:lineRule="auto"/>
              <w:rPr>
                <w:sz w:val="18"/>
                <w:szCs w:val="18"/>
                <w:lang w:val="es-ES"/>
              </w:rPr>
            </w:pPr>
            <w:r w:rsidRPr="00AB6289">
              <w:rPr>
                <w:sz w:val="18"/>
                <w:szCs w:val="18"/>
                <w:lang w:val="es-ES"/>
              </w:rPr>
              <w:lastRenderedPageBreak/>
              <w:t>Share of GDP</w:t>
            </w:r>
          </w:p>
        </w:tc>
        <w:tc>
          <w:tcPr>
            <w:tcW w:w="4641" w:type="dxa"/>
          </w:tcPr>
          <w:p w14:paraId="76585E0B" w14:textId="77777777" w:rsidR="00AB6289" w:rsidRPr="00AB6289" w:rsidRDefault="00AB6289" w:rsidP="00AB6289">
            <w:pPr>
              <w:spacing w:line="278" w:lineRule="auto"/>
              <w:rPr>
                <w:sz w:val="18"/>
                <w:szCs w:val="18"/>
                <w:lang w:val="es-ES"/>
              </w:rPr>
            </w:pPr>
            <w:r w:rsidRPr="00AB6289">
              <w:rPr>
                <w:sz w:val="18"/>
                <w:szCs w:val="18"/>
                <w:lang w:val="es-ES"/>
              </w:rPr>
              <w:t>Proporción de PIB</w:t>
            </w:r>
          </w:p>
        </w:tc>
      </w:tr>
      <w:tr w:rsidR="00AB6289" w:rsidRPr="00AB6289" w14:paraId="11125763" w14:textId="77777777" w:rsidTr="00AB6289">
        <w:tc>
          <w:tcPr>
            <w:tcW w:w="4672" w:type="dxa"/>
          </w:tcPr>
          <w:p w14:paraId="676AEB58" w14:textId="77777777" w:rsidR="00AB6289" w:rsidRPr="00AB6289" w:rsidRDefault="00AB6289" w:rsidP="00AB6289">
            <w:pPr>
              <w:spacing w:line="278" w:lineRule="auto"/>
              <w:rPr>
                <w:sz w:val="18"/>
                <w:szCs w:val="18"/>
                <w:lang w:val="es-ES"/>
              </w:rPr>
            </w:pPr>
            <w:r w:rsidRPr="00AB6289">
              <w:rPr>
                <w:sz w:val="18"/>
                <w:szCs w:val="18"/>
                <w:lang w:val="es-ES"/>
              </w:rPr>
              <w:t>% of GDP (</w:t>
            </w:r>
            <w:proofErr w:type="spellStart"/>
            <w:r w:rsidRPr="00AB6289">
              <w:rPr>
                <w:sz w:val="18"/>
                <w:szCs w:val="18"/>
                <w:lang w:val="es-ES"/>
              </w:rPr>
              <w:t>average</w:t>
            </w:r>
            <w:proofErr w:type="spellEnd"/>
            <w:r w:rsidRPr="00AB6289">
              <w:rPr>
                <w:sz w:val="18"/>
                <w:szCs w:val="18"/>
                <w:lang w:val="es-ES"/>
              </w:rPr>
              <w:t>)</w:t>
            </w:r>
          </w:p>
        </w:tc>
        <w:tc>
          <w:tcPr>
            <w:tcW w:w="4641" w:type="dxa"/>
          </w:tcPr>
          <w:p w14:paraId="2957317D" w14:textId="77777777" w:rsidR="00AB6289" w:rsidRPr="00AB6289" w:rsidRDefault="00AB6289" w:rsidP="00AB6289">
            <w:pPr>
              <w:spacing w:line="278" w:lineRule="auto"/>
              <w:rPr>
                <w:sz w:val="18"/>
                <w:szCs w:val="18"/>
                <w:lang w:val="es-ES"/>
              </w:rPr>
            </w:pPr>
            <w:r w:rsidRPr="00AB6289">
              <w:rPr>
                <w:sz w:val="18"/>
                <w:szCs w:val="18"/>
                <w:lang w:val="es-ES"/>
              </w:rPr>
              <w:t>% de PIB (promedio)</w:t>
            </w:r>
          </w:p>
        </w:tc>
      </w:tr>
      <w:tr w:rsidR="00AB6289" w:rsidRPr="00AB6289" w14:paraId="48E30ACE" w14:textId="77777777" w:rsidTr="00AB6289">
        <w:tc>
          <w:tcPr>
            <w:tcW w:w="4672" w:type="dxa"/>
          </w:tcPr>
          <w:p w14:paraId="07AF35AE" w14:textId="77777777" w:rsidR="00AB6289" w:rsidRPr="00AB6289" w:rsidRDefault="00AB6289" w:rsidP="00AB6289">
            <w:pPr>
              <w:spacing w:line="278" w:lineRule="auto"/>
              <w:rPr>
                <w:sz w:val="18"/>
                <w:szCs w:val="18"/>
                <w:lang w:val="es-ES"/>
              </w:rPr>
            </w:pPr>
            <w:r w:rsidRPr="00AB6289">
              <w:rPr>
                <w:sz w:val="18"/>
                <w:szCs w:val="18"/>
                <w:lang w:val="es-ES"/>
              </w:rPr>
              <w:t xml:space="preserve">Party </w:t>
            </w:r>
            <w:proofErr w:type="spellStart"/>
            <w:r w:rsidRPr="00AB6289">
              <w:rPr>
                <w:sz w:val="18"/>
                <w:szCs w:val="18"/>
                <w:lang w:val="es-ES"/>
              </w:rPr>
              <w:t>count</w:t>
            </w:r>
            <w:proofErr w:type="spellEnd"/>
            <w:r w:rsidRPr="00AB6289">
              <w:rPr>
                <w:sz w:val="18"/>
                <w:szCs w:val="18"/>
                <w:lang w:val="es-ES"/>
              </w:rPr>
              <w:t>: 20</w:t>
            </w:r>
          </w:p>
        </w:tc>
        <w:tc>
          <w:tcPr>
            <w:tcW w:w="4641" w:type="dxa"/>
          </w:tcPr>
          <w:p w14:paraId="1AF1CA1A" w14:textId="77777777" w:rsidR="00AB6289" w:rsidRPr="00AB6289" w:rsidRDefault="00AB6289" w:rsidP="00AB6289">
            <w:pPr>
              <w:spacing w:line="278" w:lineRule="auto"/>
              <w:rPr>
                <w:sz w:val="18"/>
                <w:szCs w:val="18"/>
                <w:lang w:val="es-ES"/>
              </w:rPr>
            </w:pPr>
            <w:r w:rsidRPr="00AB6289">
              <w:rPr>
                <w:sz w:val="18"/>
                <w:szCs w:val="18"/>
                <w:lang w:val="es-ES"/>
              </w:rPr>
              <w:t>Número de Partes: 20</w:t>
            </w:r>
          </w:p>
        </w:tc>
      </w:tr>
      <w:tr w:rsidR="00AB6289" w:rsidRPr="00AB6289" w14:paraId="4AF8CA8A" w14:textId="77777777" w:rsidTr="00AB6289">
        <w:tc>
          <w:tcPr>
            <w:tcW w:w="4672" w:type="dxa"/>
          </w:tcPr>
          <w:p w14:paraId="492265FD" w14:textId="77777777" w:rsidR="00AB6289" w:rsidRPr="00AB6289" w:rsidRDefault="00AB6289" w:rsidP="00AB6289">
            <w:pPr>
              <w:spacing w:line="278" w:lineRule="auto"/>
              <w:rPr>
                <w:sz w:val="18"/>
                <w:szCs w:val="18"/>
                <w:lang w:val="es-ES"/>
              </w:rPr>
            </w:pPr>
            <w:r w:rsidRPr="00AB6289">
              <w:rPr>
                <w:sz w:val="18"/>
                <w:szCs w:val="18"/>
                <w:lang w:val="es-ES"/>
              </w:rPr>
              <w:t xml:space="preserve">Party </w:t>
            </w:r>
            <w:proofErr w:type="spellStart"/>
            <w:r w:rsidRPr="00AB6289">
              <w:rPr>
                <w:sz w:val="18"/>
                <w:szCs w:val="18"/>
                <w:lang w:val="es-ES"/>
              </w:rPr>
              <w:t>count</w:t>
            </w:r>
            <w:proofErr w:type="spellEnd"/>
            <w:r w:rsidRPr="00AB6289">
              <w:rPr>
                <w:sz w:val="18"/>
                <w:szCs w:val="18"/>
                <w:lang w:val="es-ES"/>
              </w:rPr>
              <w:t xml:space="preserve"> </w:t>
            </w:r>
            <w:proofErr w:type="spellStart"/>
            <w:r w:rsidRPr="00AB6289">
              <w:rPr>
                <w:sz w:val="18"/>
                <w:szCs w:val="18"/>
                <w:lang w:val="es-ES"/>
              </w:rPr>
              <w:t>by</w:t>
            </w:r>
            <w:proofErr w:type="spellEnd"/>
            <w:r w:rsidRPr="00AB6289">
              <w:rPr>
                <w:sz w:val="18"/>
                <w:szCs w:val="18"/>
                <w:lang w:val="es-ES"/>
              </w:rPr>
              <w:t xml:space="preserve"> </w:t>
            </w:r>
            <w:proofErr w:type="spellStart"/>
            <w:r w:rsidRPr="00AB6289">
              <w:rPr>
                <w:sz w:val="18"/>
                <w:szCs w:val="18"/>
                <w:lang w:val="es-ES"/>
              </w:rPr>
              <w:t>region</w:t>
            </w:r>
            <w:proofErr w:type="spellEnd"/>
          </w:p>
        </w:tc>
        <w:tc>
          <w:tcPr>
            <w:tcW w:w="4641" w:type="dxa"/>
          </w:tcPr>
          <w:p w14:paraId="0FA86A0A" w14:textId="77777777" w:rsidR="00AB6289" w:rsidRPr="00AB6289" w:rsidRDefault="00AB6289" w:rsidP="00AB6289">
            <w:pPr>
              <w:spacing w:line="278" w:lineRule="auto"/>
              <w:rPr>
                <w:sz w:val="18"/>
                <w:szCs w:val="18"/>
                <w:lang w:val="es-ES"/>
              </w:rPr>
            </w:pPr>
            <w:r w:rsidRPr="00AB6289">
              <w:rPr>
                <w:sz w:val="18"/>
                <w:szCs w:val="18"/>
                <w:lang w:val="es-ES"/>
              </w:rPr>
              <w:t>Número de Partes por región</w:t>
            </w:r>
          </w:p>
        </w:tc>
      </w:tr>
      <w:tr w:rsidR="00AB6289" w:rsidRPr="00AB6289" w14:paraId="25BDDCB7" w14:textId="77777777" w:rsidTr="00AB6289">
        <w:tc>
          <w:tcPr>
            <w:tcW w:w="4672" w:type="dxa"/>
          </w:tcPr>
          <w:p w14:paraId="457EDFDB" w14:textId="77777777" w:rsidR="00AB6289" w:rsidRPr="00AB6289" w:rsidRDefault="00AB6289" w:rsidP="00AB6289">
            <w:pPr>
              <w:spacing w:line="278" w:lineRule="auto"/>
              <w:rPr>
                <w:sz w:val="18"/>
                <w:szCs w:val="18"/>
                <w:lang w:val="es-ES"/>
              </w:rPr>
            </w:pPr>
            <w:proofErr w:type="spellStart"/>
            <w:r w:rsidRPr="00AB6289">
              <w:rPr>
                <w:sz w:val="18"/>
                <w:szCs w:val="18"/>
                <w:lang w:val="es-ES"/>
              </w:rPr>
              <w:t>Region</w:t>
            </w:r>
            <w:proofErr w:type="spellEnd"/>
          </w:p>
        </w:tc>
        <w:tc>
          <w:tcPr>
            <w:tcW w:w="4641" w:type="dxa"/>
          </w:tcPr>
          <w:p w14:paraId="79FE2427" w14:textId="77777777" w:rsidR="00AB6289" w:rsidRPr="00AB6289" w:rsidRDefault="00AB6289" w:rsidP="00AB6289">
            <w:pPr>
              <w:spacing w:line="278" w:lineRule="auto"/>
              <w:rPr>
                <w:sz w:val="18"/>
                <w:szCs w:val="18"/>
                <w:lang w:val="es-ES"/>
              </w:rPr>
            </w:pPr>
            <w:r w:rsidRPr="00AB6289">
              <w:rPr>
                <w:sz w:val="18"/>
                <w:szCs w:val="18"/>
                <w:lang w:val="es-ES"/>
              </w:rPr>
              <w:t>Región</w:t>
            </w:r>
          </w:p>
        </w:tc>
      </w:tr>
      <w:tr w:rsidR="00AB6289" w:rsidRPr="00AB6289" w14:paraId="4220E4D8" w14:textId="77777777" w:rsidTr="00AB6289">
        <w:tc>
          <w:tcPr>
            <w:tcW w:w="4672" w:type="dxa"/>
          </w:tcPr>
          <w:p w14:paraId="7FC91C49" w14:textId="77777777" w:rsidR="00AB6289" w:rsidRPr="00AB6289" w:rsidRDefault="00AB6289" w:rsidP="00AB6289">
            <w:pPr>
              <w:spacing w:line="278" w:lineRule="auto"/>
              <w:rPr>
                <w:sz w:val="18"/>
                <w:szCs w:val="18"/>
                <w:lang w:val="es-ES"/>
              </w:rPr>
            </w:pPr>
            <w:r w:rsidRPr="00AB6289">
              <w:rPr>
                <w:sz w:val="18"/>
                <w:szCs w:val="18"/>
                <w:lang w:val="es-ES"/>
              </w:rPr>
              <w:t>African States</w:t>
            </w:r>
          </w:p>
        </w:tc>
        <w:tc>
          <w:tcPr>
            <w:tcW w:w="4641" w:type="dxa"/>
          </w:tcPr>
          <w:p w14:paraId="4BDEEC6D" w14:textId="77777777" w:rsidR="00AB6289" w:rsidRPr="00AB6289" w:rsidRDefault="00AB6289" w:rsidP="00AB6289">
            <w:pPr>
              <w:spacing w:line="278" w:lineRule="auto"/>
              <w:rPr>
                <w:sz w:val="18"/>
                <w:szCs w:val="18"/>
                <w:lang w:val="es-ES"/>
              </w:rPr>
            </w:pPr>
            <w:r w:rsidRPr="00AB6289">
              <w:rPr>
                <w:sz w:val="18"/>
                <w:szCs w:val="18"/>
                <w:lang w:val="es-ES"/>
              </w:rPr>
              <w:t>Estados de África</w:t>
            </w:r>
          </w:p>
        </w:tc>
      </w:tr>
      <w:tr w:rsidR="00AB6289" w:rsidRPr="00AB6289" w14:paraId="41B81AD0" w14:textId="77777777" w:rsidTr="00AB6289">
        <w:tc>
          <w:tcPr>
            <w:tcW w:w="4672" w:type="dxa"/>
          </w:tcPr>
          <w:p w14:paraId="02F804BE" w14:textId="77777777" w:rsidR="00AB6289" w:rsidRPr="00AB6289" w:rsidRDefault="00AB6289" w:rsidP="00AB6289">
            <w:pPr>
              <w:spacing w:line="278" w:lineRule="auto"/>
              <w:rPr>
                <w:sz w:val="18"/>
                <w:szCs w:val="18"/>
                <w:lang w:val="es-ES"/>
              </w:rPr>
            </w:pPr>
            <w:r w:rsidRPr="00AB6289">
              <w:rPr>
                <w:sz w:val="18"/>
                <w:szCs w:val="18"/>
                <w:lang w:val="es-ES"/>
              </w:rPr>
              <w:t>Asia –Pacific States</w:t>
            </w:r>
          </w:p>
        </w:tc>
        <w:tc>
          <w:tcPr>
            <w:tcW w:w="4641" w:type="dxa"/>
          </w:tcPr>
          <w:p w14:paraId="4F1A5EEA" w14:textId="77777777" w:rsidR="00AB6289" w:rsidRPr="00AB6289" w:rsidRDefault="00AB6289" w:rsidP="00AB6289">
            <w:pPr>
              <w:spacing w:line="278" w:lineRule="auto"/>
              <w:rPr>
                <w:sz w:val="18"/>
                <w:szCs w:val="18"/>
                <w:lang w:val="es-ES"/>
              </w:rPr>
            </w:pPr>
            <w:r w:rsidRPr="00AB6289">
              <w:rPr>
                <w:sz w:val="18"/>
                <w:szCs w:val="18"/>
                <w:lang w:val="es-ES"/>
              </w:rPr>
              <w:t>Estados de Asia y el Pacífico</w:t>
            </w:r>
          </w:p>
        </w:tc>
      </w:tr>
      <w:tr w:rsidR="00AB6289" w:rsidRPr="00AB6289" w14:paraId="3B2DAD2F" w14:textId="77777777" w:rsidTr="00AB6289">
        <w:tc>
          <w:tcPr>
            <w:tcW w:w="4672" w:type="dxa"/>
          </w:tcPr>
          <w:p w14:paraId="4EE9754E" w14:textId="77777777" w:rsidR="00AB6289" w:rsidRPr="00AB6289" w:rsidRDefault="00AB6289" w:rsidP="00AB6289">
            <w:pPr>
              <w:spacing w:line="278" w:lineRule="auto"/>
              <w:rPr>
                <w:sz w:val="18"/>
                <w:szCs w:val="18"/>
                <w:lang w:val="en-US"/>
              </w:rPr>
            </w:pPr>
            <w:r w:rsidRPr="00AB6289">
              <w:rPr>
                <w:sz w:val="18"/>
                <w:szCs w:val="18"/>
                <w:lang w:val="en-US"/>
              </w:rPr>
              <w:t>Latin American and Caribbean States</w:t>
            </w:r>
          </w:p>
        </w:tc>
        <w:tc>
          <w:tcPr>
            <w:tcW w:w="4641" w:type="dxa"/>
          </w:tcPr>
          <w:p w14:paraId="31483BDF" w14:textId="77777777" w:rsidR="00AB6289" w:rsidRPr="00AB6289" w:rsidRDefault="00AB6289" w:rsidP="00AB6289">
            <w:pPr>
              <w:spacing w:line="278" w:lineRule="auto"/>
              <w:rPr>
                <w:sz w:val="18"/>
                <w:szCs w:val="18"/>
                <w:lang w:val="es-ES"/>
              </w:rPr>
            </w:pPr>
            <w:r w:rsidRPr="00AB6289">
              <w:rPr>
                <w:sz w:val="18"/>
                <w:szCs w:val="18"/>
                <w:lang w:val="es-ES"/>
              </w:rPr>
              <w:t>Estados de América Latina y el Caribe</w:t>
            </w:r>
          </w:p>
        </w:tc>
      </w:tr>
      <w:tr w:rsidR="00AB6289" w:rsidRPr="00AB6289" w14:paraId="112F8E6F" w14:textId="77777777" w:rsidTr="00AB6289">
        <w:tc>
          <w:tcPr>
            <w:tcW w:w="4672" w:type="dxa"/>
          </w:tcPr>
          <w:p w14:paraId="6259AF60" w14:textId="77777777" w:rsidR="00AB6289" w:rsidRPr="00AB6289" w:rsidRDefault="00AB6289" w:rsidP="00AB6289">
            <w:pPr>
              <w:spacing w:line="278" w:lineRule="auto"/>
              <w:rPr>
                <w:sz w:val="18"/>
                <w:szCs w:val="18"/>
                <w:lang w:val="es-ES"/>
              </w:rPr>
            </w:pPr>
            <w:r w:rsidRPr="00AB6289">
              <w:rPr>
                <w:sz w:val="18"/>
                <w:szCs w:val="18"/>
                <w:lang w:val="es-ES"/>
              </w:rPr>
              <w:t xml:space="preserve"> Eastern European States</w:t>
            </w:r>
          </w:p>
        </w:tc>
        <w:tc>
          <w:tcPr>
            <w:tcW w:w="4641" w:type="dxa"/>
          </w:tcPr>
          <w:p w14:paraId="737601CA" w14:textId="77777777" w:rsidR="00AB6289" w:rsidRPr="00AB6289" w:rsidRDefault="00AB6289" w:rsidP="00AB6289">
            <w:pPr>
              <w:spacing w:line="278" w:lineRule="auto"/>
              <w:rPr>
                <w:sz w:val="18"/>
                <w:szCs w:val="18"/>
                <w:lang w:val="es-ES"/>
              </w:rPr>
            </w:pPr>
            <w:r w:rsidRPr="00AB6289">
              <w:rPr>
                <w:sz w:val="18"/>
                <w:szCs w:val="18"/>
                <w:lang w:val="es-ES"/>
              </w:rPr>
              <w:t>Estados de Europa Oriental</w:t>
            </w:r>
          </w:p>
        </w:tc>
      </w:tr>
      <w:tr w:rsidR="00AB6289" w:rsidRPr="00AB6289" w14:paraId="5DB599B4" w14:textId="77777777" w:rsidTr="00AB6289">
        <w:tc>
          <w:tcPr>
            <w:tcW w:w="4672" w:type="dxa"/>
          </w:tcPr>
          <w:p w14:paraId="6877E91A" w14:textId="77777777" w:rsidR="00AB6289" w:rsidRPr="00AB6289" w:rsidRDefault="00AB6289" w:rsidP="00AB6289">
            <w:pPr>
              <w:spacing w:line="278" w:lineRule="auto"/>
              <w:rPr>
                <w:sz w:val="18"/>
                <w:szCs w:val="18"/>
                <w:lang w:val="en-US"/>
              </w:rPr>
            </w:pPr>
            <w:r w:rsidRPr="00AB6289">
              <w:rPr>
                <w:sz w:val="18"/>
                <w:szCs w:val="18"/>
                <w:lang w:val="en-US"/>
              </w:rPr>
              <w:t>Western European and other States</w:t>
            </w:r>
          </w:p>
        </w:tc>
        <w:tc>
          <w:tcPr>
            <w:tcW w:w="4641" w:type="dxa"/>
          </w:tcPr>
          <w:p w14:paraId="49806528" w14:textId="77777777" w:rsidR="00AB6289" w:rsidRPr="00AB6289" w:rsidRDefault="00AB6289" w:rsidP="00AB6289">
            <w:pPr>
              <w:spacing w:line="278" w:lineRule="auto"/>
              <w:rPr>
                <w:sz w:val="18"/>
                <w:szCs w:val="18"/>
                <w:lang w:val="es-ES"/>
              </w:rPr>
            </w:pPr>
            <w:r w:rsidRPr="00AB6289">
              <w:rPr>
                <w:sz w:val="18"/>
                <w:szCs w:val="18"/>
                <w:lang w:val="es-ES"/>
              </w:rPr>
              <w:t>Estados de Europa Occidental y otros Estados</w:t>
            </w:r>
          </w:p>
        </w:tc>
      </w:tr>
    </w:tbl>
    <w:p w14:paraId="5852F744" w14:textId="77777777" w:rsidR="009713BF" w:rsidRPr="005E3D50" w:rsidRDefault="009713BF" w:rsidP="009713BF">
      <w:pPr>
        <w:rPr>
          <w:sz w:val="20"/>
          <w:szCs w:val="20"/>
          <w:lang w:val="es-ES"/>
        </w:rPr>
      </w:pPr>
    </w:p>
    <w:bookmarkEnd w:id="482"/>
    <w:p w14:paraId="01E4DAC0" w14:textId="77777777" w:rsidR="009713BF" w:rsidRPr="005E3D50" w:rsidRDefault="009713BF" w:rsidP="009713BF">
      <w:pPr>
        <w:rPr>
          <w:sz w:val="20"/>
          <w:szCs w:val="20"/>
          <w:lang w:val="es-ES"/>
        </w:rPr>
      </w:pPr>
      <w:r w:rsidRPr="005E3D50">
        <w:rPr>
          <w:sz w:val="20"/>
          <w:lang w:val="es-ES"/>
        </w:rPr>
        <w:t>Figura 80</w:t>
      </w:r>
    </w:p>
    <w:p w14:paraId="43A8B292"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19 del Marco que sugieren tendencias de mejora, estables y negativas, respectivamente </w:t>
      </w:r>
    </w:p>
    <w:p w14:paraId="39D75512"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14E76FB4"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58D68F1C" wp14:editId="3A3D1BDC">
            <wp:extent cx="5731510" cy="2456180"/>
            <wp:effectExtent l="0" t="0" r="0" b="0"/>
            <wp:docPr id="20598770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77015" name="Picture 2059877015"/>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DB50FE8" w14:textId="77777777" w:rsidR="009713BF" w:rsidRPr="005E3D50" w:rsidRDefault="009713BF" w:rsidP="009713BF">
      <w:pPr>
        <w:spacing w:after="200" w:line="240" w:lineRule="auto"/>
        <w:rPr>
          <w:rFonts w:eastAsiaTheme="minorEastAsia"/>
          <w:iCs/>
          <w:color w:val="0E2841" w:themeColor="text2"/>
          <w:kern w:val="0"/>
          <w:sz w:val="16"/>
          <w:szCs w:val="18"/>
          <w:lang w:val="es-ES" w:eastAsia="ja-JP"/>
          <w14:ligatures w14:val="none"/>
        </w:rPr>
      </w:pPr>
      <w:r w:rsidRPr="005E3D50">
        <w:rPr>
          <w:rFonts w:eastAsiaTheme="minorEastAsia"/>
          <w:i/>
          <w:iCs/>
          <w:color w:val="0E2841" w:themeColor="text2"/>
          <w:kern w:val="0"/>
          <w:sz w:val="16"/>
          <w:szCs w:val="18"/>
          <w:lang w:val="es-ES" w:eastAsia="ja-JP"/>
          <w14:ligatures w14:val="none"/>
        </w:rPr>
        <w:t>Nota:</w:t>
      </w:r>
      <w:r w:rsidRPr="005E3D50">
        <w:rPr>
          <w:rFonts w:eastAsiaTheme="minorEastAsia"/>
          <w:iCs/>
          <w:color w:val="0E2841" w:themeColor="text2"/>
          <w:kern w:val="0"/>
          <w:sz w:val="16"/>
          <w:szCs w:val="18"/>
          <w:lang w:val="es-ES" w:eastAsia="ja-JP"/>
          <w14:ligatures w14:val="none"/>
        </w:rPr>
        <w:t xml:space="preserve"> Las proporciones están ponderadas por Parte. Las tendencias incluyen datos para</w:t>
      </w:r>
      <w:r w:rsidRPr="005E3D50">
        <w:rPr>
          <w:rFonts w:eastAsiaTheme="minorEastAsia"/>
          <w:i/>
          <w:iCs/>
          <w:color w:val="0E2841" w:themeColor="text2"/>
          <w:kern w:val="0"/>
          <w:sz w:val="16"/>
          <w:szCs w:val="18"/>
          <w:lang w:val="es-ES" w:eastAsia="ja-JP"/>
          <w14:ligatures w14:val="none"/>
        </w:rPr>
        <w:t xml:space="preserve"> </w:t>
      </w:r>
      <w:r w:rsidRPr="005E3D50">
        <w:rPr>
          <w:rFonts w:eastAsiaTheme="minorEastAsia"/>
          <w:iCs/>
          <w:color w:val="0E2841" w:themeColor="text2"/>
          <w:kern w:val="0"/>
          <w:sz w:val="16"/>
          <w:szCs w:val="18"/>
          <w:lang w:val="es-ES" w:eastAsia="ja-JP"/>
          <w14:ligatures w14:val="none"/>
        </w:rPr>
        <w:t xml:space="preserve">los 3 indicadores de cabecera de 86 Partes y 40 indicadores nacionales de un total de 16 Partes. El gráfico circular muestra la distribución de las Partes que presentaron indicadores para la meta 19, por región. </w:t>
      </w:r>
      <w:r w:rsidRPr="005E3D50">
        <w:rPr>
          <w:rFonts w:ascii="Aptos" w:eastAsiaTheme="minorEastAsia" w:hAnsi="Aptos"/>
          <w:iCs/>
          <w:color w:val="0E2841" w:themeColor="text2"/>
          <w:kern w:val="0"/>
          <w:sz w:val="16"/>
          <w:szCs w:val="18"/>
          <w:lang w:val="es-ES" w:eastAsia="ja-JP"/>
          <w14:ligatures w14:val="none"/>
        </w:rPr>
        <w:t xml:space="preserve">El gráfico circular muestra la distribución de las Partes que presentaron indicadores para la meta 19, por </w:t>
      </w:r>
      <w:r w:rsidRPr="005E3D50">
        <w:rPr>
          <w:rFonts w:eastAsiaTheme="minorEastAsia"/>
          <w:iCs/>
          <w:color w:val="0E2841" w:themeColor="text2"/>
          <w:kern w:val="0"/>
          <w:sz w:val="16"/>
          <w:szCs w:val="18"/>
          <w:lang w:val="es-ES" w:eastAsia="ja-JP"/>
          <w14:ligatures w14:val="none"/>
        </w:rPr>
        <w:t>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617" w:type="dxa"/>
        <w:tblLook w:val="04A0" w:firstRow="1" w:lastRow="0" w:firstColumn="1" w:lastColumn="0" w:noHBand="0" w:noVBand="1"/>
      </w:tblPr>
      <w:tblGrid>
        <w:gridCol w:w="5071"/>
        <w:gridCol w:w="4546"/>
      </w:tblGrid>
      <w:tr w:rsidR="00F9449F" w:rsidRPr="00F9449F" w14:paraId="56CDBBCE" w14:textId="77777777" w:rsidTr="00F9449F">
        <w:tc>
          <w:tcPr>
            <w:tcW w:w="5071" w:type="dxa"/>
          </w:tcPr>
          <w:p w14:paraId="336E40C7" w14:textId="3345F479" w:rsidR="00F9449F" w:rsidRPr="00F9449F" w:rsidRDefault="00F9449F" w:rsidP="00F9449F">
            <w:pPr>
              <w:rPr>
                <w:sz w:val="18"/>
                <w:szCs w:val="18"/>
                <w:lang w:val="es-ES"/>
              </w:rPr>
            </w:pPr>
            <w:r w:rsidRPr="00F9449F">
              <w:rPr>
                <w:sz w:val="18"/>
                <w:szCs w:val="18"/>
                <w:lang w:val="es-ES"/>
              </w:rPr>
              <w:t>Figura 80</w:t>
            </w:r>
          </w:p>
        </w:tc>
        <w:tc>
          <w:tcPr>
            <w:tcW w:w="4546" w:type="dxa"/>
          </w:tcPr>
          <w:p w14:paraId="27B7F20E" w14:textId="77777777" w:rsidR="00F9449F" w:rsidRPr="00F9449F" w:rsidRDefault="00F9449F" w:rsidP="00F9449F">
            <w:pPr>
              <w:rPr>
                <w:sz w:val="18"/>
                <w:szCs w:val="18"/>
                <w:lang w:val="es-ES"/>
              </w:rPr>
            </w:pPr>
          </w:p>
        </w:tc>
      </w:tr>
      <w:tr w:rsidR="00F9449F" w:rsidRPr="00F9449F" w14:paraId="088EFF85" w14:textId="77777777" w:rsidTr="00F9449F">
        <w:tc>
          <w:tcPr>
            <w:tcW w:w="5071" w:type="dxa"/>
          </w:tcPr>
          <w:p w14:paraId="721557D5" w14:textId="77777777" w:rsidR="00F9449F" w:rsidRPr="00F9449F" w:rsidRDefault="00F9449F" w:rsidP="00F9449F">
            <w:pPr>
              <w:spacing w:line="278" w:lineRule="auto"/>
              <w:rPr>
                <w:sz w:val="18"/>
                <w:szCs w:val="18"/>
                <w:lang w:val="es-ES"/>
              </w:rPr>
            </w:pPr>
            <w:bookmarkStart w:id="483" w:name="_Toc235821284"/>
            <w:r w:rsidRPr="00F9449F">
              <w:rPr>
                <w:sz w:val="18"/>
                <w:szCs w:val="18"/>
                <w:lang w:val="es-ES"/>
              </w:rPr>
              <w:t xml:space="preserve">English </w:t>
            </w:r>
          </w:p>
        </w:tc>
        <w:tc>
          <w:tcPr>
            <w:tcW w:w="4546" w:type="dxa"/>
          </w:tcPr>
          <w:p w14:paraId="1B0ACE09" w14:textId="27B3E77E" w:rsidR="00F9449F" w:rsidRPr="00F9449F" w:rsidRDefault="00F9449F" w:rsidP="00F9449F">
            <w:pPr>
              <w:spacing w:line="278" w:lineRule="auto"/>
              <w:rPr>
                <w:sz w:val="18"/>
                <w:szCs w:val="18"/>
                <w:lang w:val="es-ES"/>
              </w:rPr>
            </w:pPr>
            <w:r w:rsidRPr="00F9449F">
              <w:rPr>
                <w:sz w:val="18"/>
                <w:szCs w:val="18"/>
                <w:lang w:val="es-ES"/>
              </w:rPr>
              <w:t>Español</w:t>
            </w:r>
          </w:p>
        </w:tc>
      </w:tr>
      <w:tr w:rsidR="00F9449F" w:rsidRPr="00F9449F" w14:paraId="0975D4A0" w14:textId="77777777" w:rsidTr="00F9449F">
        <w:tc>
          <w:tcPr>
            <w:tcW w:w="5071" w:type="dxa"/>
          </w:tcPr>
          <w:p w14:paraId="285E7BD2" w14:textId="77777777" w:rsidR="00F9449F" w:rsidRPr="00F9449F" w:rsidRDefault="00F9449F" w:rsidP="00F9449F">
            <w:pPr>
              <w:spacing w:line="278" w:lineRule="auto"/>
              <w:rPr>
                <w:sz w:val="18"/>
                <w:szCs w:val="18"/>
                <w:lang w:val="es-ES"/>
              </w:rPr>
            </w:pPr>
            <w:proofErr w:type="spellStart"/>
            <w:r w:rsidRPr="00F9449F">
              <w:rPr>
                <w:sz w:val="18"/>
                <w:szCs w:val="18"/>
                <w:lang w:val="es-ES"/>
              </w:rPr>
              <w:t>Proportion</w:t>
            </w:r>
            <w:proofErr w:type="spellEnd"/>
          </w:p>
        </w:tc>
        <w:tc>
          <w:tcPr>
            <w:tcW w:w="4546" w:type="dxa"/>
          </w:tcPr>
          <w:p w14:paraId="287E1EF1" w14:textId="77777777" w:rsidR="00F9449F" w:rsidRPr="00F9449F" w:rsidRDefault="00F9449F" w:rsidP="00F9449F">
            <w:pPr>
              <w:spacing w:line="278" w:lineRule="auto"/>
              <w:rPr>
                <w:sz w:val="18"/>
                <w:szCs w:val="18"/>
                <w:lang w:val="es-ES"/>
              </w:rPr>
            </w:pPr>
            <w:r w:rsidRPr="00F9449F">
              <w:rPr>
                <w:sz w:val="18"/>
                <w:szCs w:val="18"/>
                <w:lang w:val="es-ES"/>
              </w:rPr>
              <w:t>Proporción</w:t>
            </w:r>
          </w:p>
        </w:tc>
      </w:tr>
      <w:tr w:rsidR="00F9449F" w:rsidRPr="00F9449F" w14:paraId="2634271E" w14:textId="77777777" w:rsidTr="00F9449F">
        <w:tc>
          <w:tcPr>
            <w:tcW w:w="5071" w:type="dxa"/>
          </w:tcPr>
          <w:p w14:paraId="086AC623" w14:textId="77777777" w:rsidR="00F9449F" w:rsidRPr="00F9449F" w:rsidRDefault="00F9449F" w:rsidP="00F9449F">
            <w:pPr>
              <w:spacing w:line="278" w:lineRule="auto"/>
              <w:rPr>
                <w:sz w:val="18"/>
                <w:szCs w:val="18"/>
                <w:lang w:val="es-ES"/>
              </w:rPr>
            </w:pPr>
            <w:r w:rsidRPr="00F9449F">
              <w:rPr>
                <w:sz w:val="18"/>
                <w:szCs w:val="18"/>
                <w:lang w:val="es-ES"/>
              </w:rPr>
              <w:t xml:space="preserve">Current </w:t>
            </w:r>
            <w:proofErr w:type="gramStart"/>
            <w:r w:rsidRPr="00F9449F">
              <w:rPr>
                <w:sz w:val="18"/>
                <w:szCs w:val="18"/>
                <w:lang w:val="es-ES"/>
              </w:rPr>
              <w:t>Status</w:t>
            </w:r>
            <w:proofErr w:type="gramEnd"/>
          </w:p>
        </w:tc>
        <w:tc>
          <w:tcPr>
            <w:tcW w:w="4546" w:type="dxa"/>
          </w:tcPr>
          <w:p w14:paraId="54218D3C" w14:textId="77777777" w:rsidR="00F9449F" w:rsidRPr="00F9449F" w:rsidRDefault="00F9449F" w:rsidP="00F9449F">
            <w:pPr>
              <w:spacing w:line="278" w:lineRule="auto"/>
              <w:rPr>
                <w:sz w:val="18"/>
                <w:szCs w:val="18"/>
                <w:lang w:val="es-ES"/>
              </w:rPr>
            </w:pPr>
            <w:r w:rsidRPr="00F9449F">
              <w:rPr>
                <w:sz w:val="18"/>
                <w:szCs w:val="18"/>
                <w:lang w:val="es-ES"/>
              </w:rPr>
              <w:t>Estado actual</w:t>
            </w:r>
          </w:p>
        </w:tc>
      </w:tr>
      <w:tr w:rsidR="00F9449F" w:rsidRPr="00F9449F" w14:paraId="5E7CE699" w14:textId="77777777" w:rsidTr="00F9449F">
        <w:tc>
          <w:tcPr>
            <w:tcW w:w="5071" w:type="dxa"/>
          </w:tcPr>
          <w:p w14:paraId="39CD6817" w14:textId="77777777" w:rsidR="00F9449F" w:rsidRPr="00F9449F" w:rsidRDefault="00F9449F" w:rsidP="00F9449F">
            <w:pPr>
              <w:spacing w:line="278" w:lineRule="auto"/>
              <w:rPr>
                <w:sz w:val="18"/>
                <w:szCs w:val="18"/>
                <w:lang w:val="es-ES"/>
              </w:rPr>
            </w:pPr>
            <w:proofErr w:type="spellStart"/>
            <w:r w:rsidRPr="00F9449F">
              <w:rPr>
                <w:sz w:val="18"/>
                <w:szCs w:val="18"/>
                <w:lang w:val="es-ES"/>
              </w:rPr>
              <w:t>improving</w:t>
            </w:r>
            <w:proofErr w:type="spellEnd"/>
          </w:p>
        </w:tc>
        <w:tc>
          <w:tcPr>
            <w:tcW w:w="4546" w:type="dxa"/>
          </w:tcPr>
          <w:p w14:paraId="7970265E" w14:textId="77777777" w:rsidR="00F9449F" w:rsidRPr="00F9449F" w:rsidRDefault="00F9449F" w:rsidP="00F9449F">
            <w:pPr>
              <w:spacing w:line="278" w:lineRule="auto"/>
              <w:rPr>
                <w:sz w:val="18"/>
                <w:szCs w:val="18"/>
                <w:lang w:val="es-ES"/>
              </w:rPr>
            </w:pPr>
            <w:r w:rsidRPr="00F9449F">
              <w:rPr>
                <w:sz w:val="18"/>
                <w:szCs w:val="18"/>
                <w:lang w:val="es-ES"/>
              </w:rPr>
              <w:t>mejorando</w:t>
            </w:r>
          </w:p>
        </w:tc>
      </w:tr>
      <w:tr w:rsidR="00F9449F" w:rsidRPr="00F9449F" w14:paraId="1A51D91C" w14:textId="77777777" w:rsidTr="00F9449F">
        <w:tc>
          <w:tcPr>
            <w:tcW w:w="5071" w:type="dxa"/>
          </w:tcPr>
          <w:p w14:paraId="78A76A19" w14:textId="77777777" w:rsidR="00F9449F" w:rsidRPr="00F9449F" w:rsidRDefault="00F9449F" w:rsidP="00F9449F">
            <w:pPr>
              <w:spacing w:line="278" w:lineRule="auto"/>
              <w:rPr>
                <w:sz w:val="18"/>
                <w:szCs w:val="18"/>
                <w:lang w:val="es-ES"/>
              </w:rPr>
            </w:pPr>
            <w:proofErr w:type="spellStart"/>
            <w:r w:rsidRPr="00F9449F">
              <w:rPr>
                <w:sz w:val="18"/>
                <w:szCs w:val="18"/>
                <w:lang w:val="es-ES"/>
              </w:rPr>
              <w:t>stable</w:t>
            </w:r>
            <w:proofErr w:type="spellEnd"/>
          </w:p>
        </w:tc>
        <w:tc>
          <w:tcPr>
            <w:tcW w:w="4546" w:type="dxa"/>
          </w:tcPr>
          <w:p w14:paraId="03421CA7" w14:textId="77777777" w:rsidR="00F9449F" w:rsidRPr="00F9449F" w:rsidRDefault="00F9449F" w:rsidP="00F9449F">
            <w:pPr>
              <w:spacing w:line="278" w:lineRule="auto"/>
              <w:rPr>
                <w:sz w:val="18"/>
                <w:szCs w:val="18"/>
                <w:lang w:val="es-ES"/>
              </w:rPr>
            </w:pPr>
            <w:r w:rsidRPr="00F9449F">
              <w:rPr>
                <w:sz w:val="18"/>
                <w:szCs w:val="18"/>
                <w:lang w:val="es-ES"/>
              </w:rPr>
              <w:t>estable</w:t>
            </w:r>
          </w:p>
        </w:tc>
      </w:tr>
      <w:tr w:rsidR="00F9449F" w:rsidRPr="00F9449F" w14:paraId="19747D61" w14:textId="77777777" w:rsidTr="00F9449F">
        <w:tc>
          <w:tcPr>
            <w:tcW w:w="5071" w:type="dxa"/>
          </w:tcPr>
          <w:p w14:paraId="5102C19E" w14:textId="77777777" w:rsidR="00F9449F" w:rsidRPr="00F9449F" w:rsidRDefault="00F9449F" w:rsidP="00F9449F">
            <w:pPr>
              <w:spacing w:line="278" w:lineRule="auto"/>
              <w:rPr>
                <w:sz w:val="18"/>
                <w:szCs w:val="18"/>
                <w:lang w:val="es-ES"/>
              </w:rPr>
            </w:pPr>
            <w:proofErr w:type="spellStart"/>
            <w:r w:rsidRPr="00F9449F">
              <w:rPr>
                <w:sz w:val="18"/>
                <w:szCs w:val="18"/>
                <w:lang w:val="es-ES"/>
              </w:rPr>
              <w:t>moving</w:t>
            </w:r>
            <w:proofErr w:type="spellEnd"/>
            <w:r w:rsidRPr="00F9449F">
              <w:rPr>
                <w:sz w:val="18"/>
                <w:szCs w:val="18"/>
                <w:lang w:val="es-ES"/>
              </w:rPr>
              <w:t xml:space="preserve"> </w:t>
            </w:r>
            <w:proofErr w:type="spellStart"/>
            <w:r w:rsidRPr="00F9449F">
              <w:rPr>
                <w:sz w:val="18"/>
                <w:szCs w:val="18"/>
                <w:lang w:val="es-ES"/>
              </w:rPr>
              <w:t>away</w:t>
            </w:r>
            <w:proofErr w:type="spellEnd"/>
          </w:p>
        </w:tc>
        <w:tc>
          <w:tcPr>
            <w:tcW w:w="4546" w:type="dxa"/>
          </w:tcPr>
          <w:p w14:paraId="0F17A729" w14:textId="77777777" w:rsidR="00F9449F" w:rsidRPr="00F9449F" w:rsidRDefault="00F9449F" w:rsidP="00F9449F">
            <w:pPr>
              <w:spacing w:line="278" w:lineRule="auto"/>
              <w:rPr>
                <w:sz w:val="18"/>
                <w:szCs w:val="18"/>
                <w:lang w:val="es-ES"/>
              </w:rPr>
            </w:pPr>
            <w:r w:rsidRPr="00F9449F">
              <w:rPr>
                <w:sz w:val="18"/>
                <w:szCs w:val="18"/>
                <w:lang w:val="es-ES"/>
              </w:rPr>
              <w:t>alejándose</w:t>
            </w:r>
          </w:p>
        </w:tc>
      </w:tr>
      <w:tr w:rsidR="00F9449F" w:rsidRPr="00F9449F" w14:paraId="56A33B59" w14:textId="77777777" w:rsidTr="00F9449F">
        <w:tc>
          <w:tcPr>
            <w:tcW w:w="5071" w:type="dxa"/>
          </w:tcPr>
          <w:p w14:paraId="24FAAF88" w14:textId="77777777" w:rsidR="00F9449F" w:rsidRPr="00F9449F" w:rsidRDefault="00F9449F" w:rsidP="00F9449F">
            <w:pPr>
              <w:spacing w:line="278" w:lineRule="auto"/>
              <w:rPr>
                <w:sz w:val="18"/>
                <w:szCs w:val="18"/>
                <w:lang w:val="es-ES"/>
              </w:rPr>
            </w:pPr>
            <w:r w:rsidRPr="00F9449F">
              <w:rPr>
                <w:sz w:val="18"/>
                <w:szCs w:val="18"/>
                <w:lang w:val="es-ES"/>
              </w:rPr>
              <w:t xml:space="preserve">Party </w:t>
            </w:r>
            <w:proofErr w:type="spellStart"/>
            <w:r w:rsidRPr="00F9449F">
              <w:rPr>
                <w:sz w:val="18"/>
                <w:szCs w:val="18"/>
                <w:lang w:val="es-ES"/>
              </w:rPr>
              <w:t>count</w:t>
            </w:r>
            <w:proofErr w:type="spellEnd"/>
            <w:r w:rsidRPr="00F9449F">
              <w:rPr>
                <w:sz w:val="18"/>
                <w:szCs w:val="18"/>
                <w:lang w:val="es-ES"/>
              </w:rPr>
              <w:t>: 88</w:t>
            </w:r>
          </w:p>
        </w:tc>
        <w:tc>
          <w:tcPr>
            <w:tcW w:w="4546" w:type="dxa"/>
          </w:tcPr>
          <w:p w14:paraId="50D0002A" w14:textId="77777777" w:rsidR="00F9449F" w:rsidRPr="00F9449F" w:rsidRDefault="00F9449F" w:rsidP="00F9449F">
            <w:pPr>
              <w:spacing w:line="278" w:lineRule="auto"/>
              <w:rPr>
                <w:sz w:val="18"/>
                <w:szCs w:val="18"/>
                <w:lang w:val="es-ES"/>
              </w:rPr>
            </w:pPr>
            <w:r w:rsidRPr="00F9449F">
              <w:rPr>
                <w:sz w:val="18"/>
                <w:szCs w:val="18"/>
                <w:lang w:val="es-ES"/>
              </w:rPr>
              <w:t>Número de Partes: 88</w:t>
            </w:r>
          </w:p>
        </w:tc>
      </w:tr>
      <w:tr w:rsidR="00F9449F" w:rsidRPr="00F9449F" w14:paraId="70748DC4" w14:textId="77777777" w:rsidTr="00F9449F">
        <w:tc>
          <w:tcPr>
            <w:tcW w:w="5071" w:type="dxa"/>
          </w:tcPr>
          <w:p w14:paraId="4F28BB58" w14:textId="77777777" w:rsidR="00F9449F" w:rsidRPr="00F9449F" w:rsidRDefault="00F9449F" w:rsidP="00F9449F">
            <w:pPr>
              <w:spacing w:line="278" w:lineRule="auto"/>
              <w:rPr>
                <w:sz w:val="18"/>
                <w:szCs w:val="18"/>
                <w:lang w:val="es-ES"/>
              </w:rPr>
            </w:pPr>
            <w:proofErr w:type="spellStart"/>
            <w:r w:rsidRPr="00F9449F">
              <w:rPr>
                <w:sz w:val="18"/>
                <w:szCs w:val="18"/>
                <w:lang w:val="es-ES"/>
              </w:rPr>
              <w:t>Region</w:t>
            </w:r>
            <w:proofErr w:type="spellEnd"/>
          </w:p>
        </w:tc>
        <w:tc>
          <w:tcPr>
            <w:tcW w:w="4546" w:type="dxa"/>
          </w:tcPr>
          <w:p w14:paraId="2CF5E590" w14:textId="77777777" w:rsidR="00F9449F" w:rsidRPr="00F9449F" w:rsidRDefault="00F9449F" w:rsidP="00F9449F">
            <w:pPr>
              <w:spacing w:line="278" w:lineRule="auto"/>
              <w:rPr>
                <w:sz w:val="18"/>
                <w:szCs w:val="18"/>
                <w:lang w:val="es-ES"/>
              </w:rPr>
            </w:pPr>
            <w:r w:rsidRPr="00F9449F">
              <w:rPr>
                <w:sz w:val="18"/>
                <w:szCs w:val="18"/>
                <w:lang w:val="es-ES"/>
              </w:rPr>
              <w:t>Región</w:t>
            </w:r>
          </w:p>
        </w:tc>
      </w:tr>
      <w:tr w:rsidR="00F9449F" w:rsidRPr="00F9449F" w14:paraId="6DB61441" w14:textId="77777777" w:rsidTr="00F9449F">
        <w:tc>
          <w:tcPr>
            <w:tcW w:w="5071" w:type="dxa"/>
          </w:tcPr>
          <w:p w14:paraId="426F8AD8" w14:textId="77777777" w:rsidR="00F9449F" w:rsidRPr="00F9449F" w:rsidRDefault="00F9449F" w:rsidP="00F9449F">
            <w:pPr>
              <w:spacing w:line="278" w:lineRule="auto"/>
              <w:rPr>
                <w:sz w:val="18"/>
                <w:szCs w:val="18"/>
                <w:lang w:val="es-ES"/>
              </w:rPr>
            </w:pPr>
            <w:r w:rsidRPr="00F9449F">
              <w:rPr>
                <w:sz w:val="18"/>
                <w:szCs w:val="18"/>
                <w:lang w:val="es-ES"/>
              </w:rPr>
              <w:t>African States</w:t>
            </w:r>
          </w:p>
        </w:tc>
        <w:tc>
          <w:tcPr>
            <w:tcW w:w="4546" w:type="dxa"/>
          </w:tcPr>
          <w:p w14:paraId="2E3CCDF6" w14:textId="77777777" w:rsidR="00F9449F" w:rsidRPr="00F9449F" w:rsidRDefault="00F9449F" w:rsidP="00F9449F">
            <w:pPr>
              <w:spacing w:line="278" w:lineRule="auto"/>
              <w:rPr>
                <w:sz w:val="18"/>
                <w:szCs w:val="18"/>
                <w:lang w:val="es-ES"/>
              </w:rPr>
            </w:pPr>
            <w:r w:rsidRPr="00F9449F">
              <w:rPr>
                <w:sz w:val="18"/>
                <w:szCs w:val="18"/>
                <w:lang w:val="es-ES"/>
              </w:rPr>
              <w:t>Estados de África</w:t>
            </w:r>
          </w:p>
        </w:tc>
      </w:tr>
      <w:tr w:rsidR="00F9449F" w:rsidRPr="00F9449F" w14:paraId="1B72A2B7" w14:textId="77777777" w:rsidTr="00F9449F">
        <w:tc>
          <w:tcPr>
            <w:tcW w:w="5071" w:type="dxa"/>
          </w:tcPr>
          <w:p w14:paraId="7D340329" w14:textId="77777777" w:rsidR="00F9449F" w:rsidRPr="00F9449F" w:rsidRDefault="00F9449F" w:rsidP="00F9449F">
            <w:pPr>
              <w:spacing w:line="278" w:lineRule="auto"/>
              <w:rPr>
                <w:sz w:val="18"/>
                <w:szCs w:val="18"/>
                <w:lang w:val="es-ES"/>
              </w:rPr>
            </w:pPr>
            <w:r w:rsidRPr="00F9449F">
              <w:rPr>
                <w:sz w:val="18"/>
                <w:szCs w:val="18"/>
                <w:lang w:val="es-ES"/>
              </w:rPr>
              <w:t>Asia-Pacific States</w:t>
            </w:r>
          </w:p>
        </w:tc>
        <w:tc>
          <w:tcPr>
            <w:tcW w:w="4546" w:type="dxa"/>
          </w:tcPr>
          <w:p w14:paraId="6602FB61" w14:textId="77777777" w:rsidR="00F9449F" w:rsidRPr="00F9449F" w:rsidRDefault="00F9449F" w:rsidP="00F9449F">
            <w:pPr>
              <w:spacing w:line="278" w:lineRule="auto"/>
              <w:rPr>
                <w:sz w:val="18"/>
                <w:szCs w:val="18"/>
                <w:lang w:val="es-ES"/>
              </w:rPr>
            </w:pPr>
            <w:r w:rsidRPr="00F9449F">
              <w:rPr>
                <w:sz w:val="18"/>
                <w:szCs w:val="18"/>
                <w:lang w:val="es-ES"/>
              </w:rPr>
              <w:t>Estados de Asia y el Pacífico</w:t>
            </w:r>
          </w:p>
        </w:tc>
      </w:tr>
      <w:tr w:rsidR="00F9449F" w:rsidRPr="00F9449F" w14:paraId="519AEA61" w14:textId="77777777" w:rsidTr="00F9449F">
        <w:tc>
          <w:tcPr>
            <w:tcW w:w="5071" w:type="dxa"/>
          </w:tcPr>
          <w:p w14:paraId="17D8FE3B" w14:textId="77777777" w:rsidR="00F9449F" w:rsidRPr="00F9449F" w:rsidRDefault="00F9449F" w:rsidP="00F9449F">
            <w:pPr>
              <w:spacing w:line="278" w:lineRule="auto"/>
              <w:rPr>
                <w:sz w:val="18"/>
                <w:szCs w:val="18"/>
                <w:lang w:val="en-US"/>
              </w:rPr>
            </w:pPr>
            <w:r w:rsidRPr="00F9449F">
              <w:rPr>
                <w:sz w:val="18"/>
                <w:szCs w:val="18"/>
                <w:lang w:val="en-US"/>
              </w:rPr>
              <w:lastRenderedPageBreak/>
              <w:t>Latin American and Caribbean States</w:t>
            </w:r>
          </w:p>
        </w:tc>
        <w:tc>
          <w:tcPr>
            <w:tcW w:w="4546" w:type="dxa"/>
          </w:tcPr>
          <w:p w14:paraId="5DA30245" w14:textId="77777777" w:rsidR="00F9449F" w:rsidRPr="00F9449F" w:rsidRDefault="00F9449F" w:rsidP="00F9449F">
            <w:pPr>
              <w:spacing w:line="278" w:lineRule="auto"/>
              <w:rPr>
                <w:sz w:val="18"/>
                <w:szCs w:val="18"/>
                <w:lang w:val="es-ES"/>
              </w:rPr>
            </w:pPr>
            <w:r w:rsidRPr="00F9449F">
              <w:rPr>
                <w:sz w:val="18"/>
                <w:szCs w:val="18"/>
                <w:lang w:val="es-ES"/>
              </w:rPr>
              <w:t>Estados de América Latina y el Caribe</w:t>
            </w:r>
          </w:p>
        </w:tc>
      </w:tr>
      <w:tr w:rsidR="00F9449F" w:rsidRPr="00F9449F" w14:paraId="68B82FD8" w14:textId="77777777" w:rsidTr="00F9449F">
        <w:tc>
          <w:tcPr>
            <w:tcW w:w="5071" w:type="dxa"/>
          </w:tcPr>
          <w:p w14:paraId="3F1E78DC" w14:textId="77777777" w:rsidR="00F9449F" w:rsidRPr="00F9449F" w:rsidRDefault="00F9449F" w:rsidP="00F9449F">
            <w:pPr>
              <w:spacing w:line="278" w:lineRule="auto"/>
              <w:rPr>
                <w:sz w:val="18"/>
                <w:szCs w:val="18"/>
                <w:lang w:val="es-ES"/>
              </w:rPr>
            </w:pPr>
            <w:r w:rsidRPr="00F9449F">
              <w:rPr>
                <w:sz w:val="18"/>
                <w:szCs w:val="18"/>
                <w:lang w:val="es-ES"/>
              </w:rPr>
              <w:t>Eastern European States</w:t>
            </w:r>
          </w:p>
        </w:tc>
        <w:tc>
          <w:tcPr>
            <w:tcW w:w="4546" w:type="dxa"/>
          </w:tcPr>
          <w:p w14:paraId="0FC737E6" w14:textId="77777777" w:rsidR="00F9449F" w:rsidRPr="00F9449F" w:rsidRDefault="00F9449F" w:rsidP="00F9449F">
            <w:pPr>
              <w:spacing w:line="278" w:lineRule="auto"/>
              <w:rPr>
                <w:sz w:val="18"/>
                <w:szCs w:val="18"/>
                <w:lang w:val="es-ES"/>
              </w:rPr>
            </w:pPr>
            <w:r w:rsidRPr="00F9449F">
              <w:rPr>
                <w:sz w:val="18"/>
                <w:szCs w:val="18"/>
                <w:lang w:val="es-ES"/>
              </w:rPr>
              <w:t>Estados de Europa Oriental</w:t>
            </w:r>
          </w:p>
        </w:tc>
      </w:tr>
      <w:tr w:rsidR="00F9449F" w:rsidRPr="00F9449F" w14:paraId="7D199143" w14:textId="77777777" w:rsidTr="00F9449F">
        <w:tc>
          <w:tcPr>
            <w:tcW w:w="5071" w:type="dxa"/>
          </w:tcPr>
          <w:p w14:paraId="7D1061A2" w14:textId="77777777" w:rsidR="00F9449F" w:rsidRPr="00F9449F" w:rsidRDefault="00F9449F" w:rsidP="00F9449F">
            <w:pPr>
              <w:spacing w:line="278" w:lineRule="auto"/>
              <w:rPr>
                <w:sz w:val="18"/>
                <w:szCs w:val="18"/>
                <w:lang w:val="en-US"/>
              </w:rPr>
            </w:pPr>
            <w:r w:rsidRPr="00F9449F">
              <w:rPr>
                <w:sz w:val="18"/>
                <w:szCs w:val="18"/>
                <w:lang w:val="en-US"/>
              </w:rPr>
              <w:t>Western European and other States</w:t>
            </w:r>
          </w:p>
        </w:tc>
        <w:tc>
          <w:tcPr>
            <w:tcW w:w="4546" w:type="dxa"/>
          </w:tcPr>
          <w:p w14:paraId="10C1FD28" w14:textId="77777777" w:rsidR="00F9449F" w:rsidRPr="00F9449F" w:rsidRDefault="00F9449F" w:rsidP="00F9449F">
            <w:pPr>
              <w:spacing w:line="278" w:lineRule="auto"/>
              <w:rPr>
                <w:sz w:val="18"/>
                <w:szCs w:val="18"/>
                <w:lang w:val="es-ES"/>
              </w:rPr>
            </w:pPr>
            <w:r w:rsidRPr="00F9449F">
              <w:rPr>
                <w:sz w:val="18"/>
                <w:szCs w:val="18"/>
                <w:lang w:val="es-ES"/>
              </w:rPr>
              <w:t>Estados de Europa Occidental y otros Estados</w:t>
            </w:r>
          </w:p>
        </w:tc>
      </w:tr>
    </w:tbl>
    <w:p w14:paraId="762FDDA4"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1060B66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483"/>
    </w:p>
    <w:p w14:paraId="69426DC6" w14:textId="77777777" w:rsidR="009713BF" w:rsidRPr="005E3D50" w:rsidRDefault="009713BF" w:rsidP="009713BF">
      <w:pPr>
        <w:rPr>
          <w:lang w:val="es-ES"/>
        </w:rPr>
      </w:pPr>
      <w:r w:rsidRPr="005E3D50">
        <w:rPr>
          <w:lang w:val="es-ES"/>
        </w:rPr>
        <w:t>Según las autoevaluaciones realizadas por las Partes en sus informes nacionales, solo el 32 % de las metas nacionales presentadas como estrechamente armonizadas con la meta 19 están en vías de alcanzarse, frente a un número mucho mayor (64 %) que no muestran cambios significativos o bien muestran progresos insuficientes, y solo se informa de dos metas nacionales (1 %) que se alcanzaron (véase la figura 81).</w:t>
      </w:r>
      <w:r w:rsidRPr="005E3D50">
        <w:rPr>
          <w:rFonts w:ascii="Aptos" w:hAnsi="Aptos"/>
          <w:lang w:val="es-ES"/>
        </w:rPr>
        <w:t xml:space="preserve"> </w:t>
      </w:r>
    </w:p>
    <w:p w14:paraId="347A3566" w14:textId="77777777" w:rsidR="009713BF" w:rsidRPr="005E3D50" w:rsidRDefault="009713BF" w:rsidP="009713BF">
      <w:pPr>
        <w:rPr>
          <w:color w:val="0E2841" w:themeColor="text2"/>
          <w:sz w:val="20"/>
          <w:szCs w:val="20"/>
          <w:lang w:val="es-ES"/>
        </w:rPr>
      </w:pPr>
    </w:p>
    <w:p w14:paraId="4F5F562E" w14:textId="77777777" w:rsidR="009713BF" w:rsidRPr="005E3D50" w:rsidRDefault="009713BF" w:rsidP="009713BF">
      <w:pPr>
        <w:rPr>
          <w:color w:val="0E2841" w:themeColor="text2"/>
          <w:sz w:val="20"/>
          <w:szCs w:val="20"/>
          <w:lang w:val="es-ES"/>
        </w:rPr>
      </w:pPr>
      <w:r w:rsidRPr="005E3D50">
        <w:rPr>
          <w:color w:val="0E2841" w:themeColor="text2"/>
          <w:sz w:val="20"/>
          <w:lang w:val="es-ES"/>
        </w:rPr>
        <w:t>Figura 81</w:t>
      </w:r>
    </w:p>
    <w:p w14:paraId="177A1188"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19 del Marco </w:t>
      </w:r>
    </w:p>
    <w:p w14:paraId="40FF5AAF" w14:textId="77777777" w:rsidR="009713BF" w:rsidRPr="005E3D50" w:rsidRDefault="009713BF" w:rsidP="009713BF">
      <w:pPr>
        <w:rPr>
          <w:lang w:val="es-ES"/>
        </w:rPr>
      </w:pPr>
    </w:p>
    <w:p w14:paraId="1F46C1F8" w14:textId="77777777" w:rsidR="009713BF" w:rsidRPr="005E3D50" w:rsidRDefault="009713BF" w:rsidP="009713BF">
      <w:pPr>
        <w:rPr>
          <w:i/>
          <w:iCs/>
          <w:color w:val="0E2841" w:themeColor="text2"/>
          <w:sz w:val="18"/>
          <w:szCs w:val="18"/>
          <w:lang w:val="es-ES"/>
        </w:rPr>
      </w:pPr>
      <w:r w:rsidRPr="005E3D50">
        <w:rPr>
          <w:rFonts w:ascii="Aptos" w:hAnsi="Aptos"/>
          <w:noProof/>
          <w:lang w:val="en-US"/>
        </w:rPr>
        <w:drawing>
          <wp:inline distT="0" distB="0" distL="0" distR="0" wp14:anchorId="556295F8" wp14:editId="42203D23">
            <wp:extent cx="5731510" cy="2292350"/>
            <wp:effectExtent l="0" t="0" r="0" b="6350"/>
            <wp:docPr id="25691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10525" name="Picture 256910525"/>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88C0B20"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177" w:type="dxa"/>
        <w:tblLook w:val="04A0" w:firstRow="1" w:lastRow="0" w:firstColumn="1" w:lastColumn="0" w:noHBand="0" w:noVBand="1"/>
      </w:tblPr>
      <w:tblGrid>
        <w:gridCol w:w="4406"/>
        <w:gridCol w:w="4771"/>
      </w:tblGrid>
      <w:tr w:rsidR="005D4492" w:rsidRPr="005D4492" w14:paraId="09E847B6" w14:textId="77777777" w:rsidTr="005D4492">
        <w:tc>
          <w:tcPr>
            <w:tcW w:w="4406" w:type="dxa"/>
          </w:tcPr>
          <w:p w14:paraId="503F0C62" w14:textId="535BF477" w:rsidR="005D4492" w:rsidRPr="005D4492" w:rsidRDefault="005D4492" w:rsidP="005D4492">
            <w:pPr>
              <w:rPr>
                <w:sz w:val="18"/>
                <w:szCs w:val="18"/>
                <w:lang w:val="es-ES"/>
              </w:rPr>
            </w:pPr>
            <w:r w:rsidRPr="005D4492">
              <w:rPr>
                <w:sz w:val="18"/>
                <w:szCs w:val="18"/>
                <w:lang w:val="es-ES"/>
              </w:rPr>
              <w:t>Figura 81</w:t>
            </w:r>
          </w:p>
        </w:tc>
        <w:tc>
          <w:tcPr>
            <w:tcW w:w="4771" w:type="dxa"/>
          </w:tcPr>
          <w:p w14:paraId="1DCAD8B5" w14:textId="77777777" w:rsidR="005D4492" w:rsidRPr="005D4492" w:rsidRDefault="005D4492" w:rsidP="005D4492">
            <w:pPr>
              <w:rPr>
                <w:sz w:val="18"/>
                <w:szCs w:val="18"/>
                <w:lang w:val="es-ES"/>
              </w:rPr>
            </w:pPr>
          </w:p>
        </w:tc>
      </w:tr>
      <w:tr w:rsidR="005D4492" w:rsidRPr="005D4492" w14:paraId="3E608C3A" w14:textId="77777777" w:rsidTr="005D4492">
        <w:tc>
          <w:tcPr>
            <w:tcW w:w="4406" w:type="dxa"/>
          </w:tcPr>
          <w:p w14:paraId="1C0C854B" w14:textId="77777777" w:rsidR="005D4492" w:rsidRPr="005D4492" w:rsidRDefault="005D4492" w:rsidP="005D4492">
            <w:pPr>
              <w:spacing w:line="278" w:lineRule="auto"/>
              <w:rPr>
                <w:sz w:val="18"/>
                <w:szCs w:val="18"/>
                <w:lang w:val="es-ES"/>
              </w:rPr>
            </w:pPr>
            <w:r w:rsidRPr="005D4492">
              <w:rPr>
                <w:sz w:val="18"/>
                <w:szCs w:val="18"/>
                <w:lang w:val="es-ES"/>
              </w:rPr>
              <w:t xml:space="preserve">English </w:t>
            </w:r>
          </w:p>
        </w:tc>
        <w:tc>
          <w:tcPr>
            <w:tcW w:w="4771" w:type="dxa"/>
          </w:tcPr>
          <w:p w14:paraId="0CC6B6D4" w14:textId="5BB2760A" w:rsidR="005D4492" w:rsidRPr="005D4492" w:rsidRDefault="005D4492" w:rsidP="005D4492">
            <w:pPr>
              <w:spacing w:line="278" w:lineRule="auto"/>
              <w:rPr>
                <w:sz w:val="18"/>
                <w:szCs w:val="18"/>
                <w:lang w:val="es-ES"/>
              </w:rPr>
            </w:pPr>
            <w:r>
              <w:rPr>
                <w:sz w:val="18"/>
                <w:szCs w:val="18"/>
                <w:lang w:val="es-ES"/>
              </w:rPr>
              <w:t>Español</w:t>
            </w:r>
          </w:p>
        </w:tc>
      </w:tr>
      <w:tr w:rsidR="005D4492" w:rsidRPr="005D4492" w14:paraId="71687788" w14:textId="77777777" w:rsidTr="005D4492">
        <w:tc>
          <w:tcPr>
            <w:tcW w:w="4406" w:type="dxa"/>
          </w:tcPr>
          <w:p w14:paraId="31DABF71" w14:textId="77777777" w:rsidR="005D4492" w:rsidRPr="005D4492" w:rsidRDefault="005D4492" w:rsidP="005D4492">
            <w:pPr>
              <w:spacing w:line="278" w:lineRule="auto"/>
              <w:rPr>
                <w:sz w:val="18"/>
                <w:szCs w:val="18"/>
                <w:lang w:val="es-ES"/>
              </w:rPr>
            </w:pPr>
            <w:proofErr w:type="spellStart"/>
            <w:r w:rsidRPr="005D4492">
              <w:rPr>
                <w:sz w:val="18"/>
                <w:szCs w:val="18"/>
                <w:lang w:val="es-ES"/>
              </w:rPr>
              <w:t>Percentage</w:t>
            </w:r>
            <w:proofErr w:type="spellEnd"/>
            <w:r w:rsidRPr="005D4492">
              <w:rPr>
                <w:sz w:val="18"/>
                <w:szCs w:val="18"/>
                <w:lang w:val="es-ES"/>
              </w:rPr>
              <w:t xml:space="preserve"> of </w:t>
            </w:r>
            <w:proofErr w:type="spellStart"/>
            <w:r w:rsidRPr="005D4492">
              <w:rPr>
                <w:sz w:val="18"/>
                <w:szCs w:val="18"/>
                <w:lang w:val="es-ES"/>
              </w:rPr>
              <w:t>national</w:t>
            </w:r>
            <w:proofErr w:type="spellEnd"/>
            <w:r w:rsidRPr="005D4492">
              <w:rPr>
                <w:sz w:val="18"/>
                <w:szCs w:val="18"/>
                <w:lang w:val="es-ES"/>
              </w:rPr>
              <w:t xml:space="preserve"> targets</w:t>
            </w:r>
          </w:p>
        </w:tc>
        <w:tc>
          <w:tcPr>
            <w:tcW w:w="4771" w:type="dxa"/>
          </w:tcPr>
          <w:p w14:paraId="2C87D0F8" w14:textId="77777777" w:rsidR="005D4492" w:rsidRPr="005D4492" w:rsidRDefault="005D4492" w:rsidP="005D4492">
            <w:pPr>
              <w:spacing w:line="278" w:lineRule="auto"/>
              <w:rPr>
                <w:sz w:val="18"/>
                <w:szCs w:val="18"/>
                <w:lang w:val="es-ES"/>
              </w:rPr>
            </w:pPr>
            <w:r w:rsidRPr="005D4492">
              <w:rPr>
                <w:sz w:val="18"/>
                <w:szCs w:val="18"/>
                <w:lang w:val="es-ES"/>
              </w:rPr>
              <w:t>Porcentaje de metas nacionales</w:t>
            </w:r>
          </w:p>
        </w:tc>
      </w:tr>
      <w:tr w:rsidR="005D4492" w:rsidRPr="005D4492" w14:paraId="55941E46" w14:textId="77777777" w:rsidTr="005D4492">
        <w:tc>
          <w:tcPr>
            <w:tcW w:w="4406" w:type="dxa"/>
          </w:tcPr>
          <w:p w14:paraId="4FBE9A83" w14:textId="77777777" w:rsidR="005D4492" w:rsidRPr="005D4492" w:rsidRDefault="005D4492" w:rsidP="005D4492">
            <w:pPr>
              <w:spacing w:line="278" w:lineRule="auto"/>
              <w:rPr>
                <w:sz w:val="18"/>
                <w:szCs w:val="18"/>
                <w:lang w:val="es-ES"/>
              </w:rPr>
            </w:pPr>
            <w:proofErr w:type="spellStart"/>
            <w:r w:rsidRPr="005D4492">
              <w:rPr>
                <w:sz w:val="18"/>
                <w:szCs w:val="18"/>
                <w:lang w:val="es-ES"/>
              </w:rPr>
              <w:t>Progress</w:t>
            </w:r>
            <w:proofErr w:type="spellEnd"/>
            <w:r w:rsidRPr="005D4492">
              <w:rPr>
                <w:sz w:val="18"/>
                <w:szCs w:val="18"/>
                <w:lang w:val="es-ES"/>
              </w:rPr>
              <w:t xml:space="preserve"> </w:t>
            </w:r>
            <w:proofErr w:type="spellStart"/>
            <w:r w:rsidRPr="005D4492">
              <w:rPr>
                <w:sz w:val="18"/>
                <w:szCs w:val="18"/>
                <w:lang w:val="es-ES"/>
              </w:rPr>
              <w:t>level</w:t>
            </w:r>
            <w:proofErr w:type="spellEnd"/>
          </w:p>
        </w:tc>
        <w:tc>
          <w:tcPr>
            <w:tcW w:w="4771" w:type="dxa"/>
          </w:tcPr>
          <w:p w14:paraId="554F12E1" w14:textId="77777777" w:rsidR="005D4492" w:rsidRPr="005D4492" w:rsidRDefault="005D4492" w:rsidP="005D4492">
            <w:pPr>
              <w:spacing w:line="278" w:lineRule="auto"/>
              <w:rPr>
                <w:sz w:val="18"/>
                <w:szCs w:val="18"/>
                <w:lang w:val="es-ES"/>
              </w:rPr>
            </w:pPr>
            <w:r w:rsidRPr="005D4492">
              <w:rPr>
                <w:sz w:val="18"/>
                <w:szCs w:val="18"/>
                <w:lang w:val="es-ES"/>
              </w:rPr>
              <w:t>Nivel de progreso</w:t>
            </w:r>
          </w:p>
        </w:tc>
      </w:tr>
      <w:tr w:rsidR="005D4492" w:rsidRPr="005D4492" w14:paraId="1FCD6DC8" w14:textId="77777777" w:rsidTr="005D4492">
        <w:tc>
          <w:tcPr>
            <w:tcW w:w="4406" w:type="dxa"/>
          </w:tcPr>
          <w:p w14:paraId="2E5A49C8" w14:textId="77777777" w:rsidR="005D4492" w:rsidRPr="005D4492" w:rsidRDefault="005D4492" w:rsidP="005D4492">
            <w:pPr>
              <w:spacing w:line="278" w:lineRule="auto"/>
              <w:rPr>
                <w:sz w:val="18"/>
                <w:szCs w:val="18"/>
                <w:lang w:val="es-ES"/>
              </w:rPr>
            </w:pPr>
            <w:proofErr w:type="spellStart"/>
            <w:r w:rsidRPr="005D4492">
              <w:rPr>
                <w:sz w:val="18"/>
                <w:szCs w:val="18"/>
                <w:lang w:val="es-ES"/>
              </w:rPr>
              <w:t>Achieved</w:t>
            </w:r>
            <w:proofErr w:type="spellEnd"/>
          </w:p>
        </w:tc>
        <w:tc>
          <w:tcPr>
            <w:tcW w:w="4771" w:type="dxa"/>
          </w:tcPr>
          <w:p w14:paraId="7080FF42" w14:textId="77777777" w:rsidR="005D4492" w:rsidRPr="005D4492" w:rsidRDefault="005D4492" w:rsidP="005D4492">
            <w:pPr>
              <w:spacing w:line="278" w:lineRule="auto"/>
              <w:rPr>
                <w:sz w:val="18"/>
                <w:szCs w:val="18"/>
                <w:lang w:val="es-ES"/>
              </w:rPr>
            </w:pPr>
            <w:r w:rsidRPr="005D4492">
              <w:rPr>
                <w:sz w:val="18"/>
                <w:szCs w:val="18"/>
                <w:lang w:val="es-ES"/>
              </w:rPr>
              <w:t>Alcanzada</w:t>
            </w:r>
          </w:p>
        </w:tc>
      </w:tr>
      <w:tr w:rsidR="005D4492" w:rsidRPr="005D4492" w14:paraId="71C17965" w14:textId="77777777" w:rsidTr="005D4492">
        <w:tc>
          <w:tcPr>
            <w:tcW w:w="4406" w:type="dxa"/>
          </w:tcPr>
          <w:p w14:paraId="26F94D3A" w14:textId="77777777" w:rsidR="005D4492" w:rsidRPr="005D4492" w:rsidRDefault="005D4492" w:rsidP="005D4492">
            <w:pPr>
              <w:spacing w:line="278" w:lineRule="auto"/>
              <w:rPr>
                <w:sz w:val="18"/>
                <w:szCs w:val="18"/>
                <w:lang w:val="en-US"/>
              </w:rPr>
            </w:pPr>
            <w:r w:rsidRPr="005D4492">
              <w:rPr>
                <w:sz w:val="18"/>
                <w:szCs w:val="18"/>
                <w:lang w:val="en-US"/>
              </w:rPr>
              <w:t>On track to achieve target</w:t>
            </w:r>
          </w:p>
        </w:tc>
        <w:tc>
          <w:tcPr>
            <w:tcW w:w="4771" w:type="dxa"/>
          </w:tcPr>
          <w:p w14:paraId="2B262761" w14:textId="77777777" w:rsidR="005D4492" w:rsidRPr="005D4492" w:rsidRDefault="005D4492" w:rsidP="005D4492">
            <w:pPr>
              <w:spacing w:line="278" w:lineRule="auto"/>
              <w:rPr>
                <w:sz w:val="18"/>
                <w:szCs w:val="18"/>
                <w:lang w:val="es-ES"/>
              </w:rPr>
            </w:pPr>
            <w:r w:rsidRPr="005D4492">
              <w:rPr>
                <w:sz w:val="18"/>
                <w:szCs w:val="18"/>
                <w:lang w:val="es-ES"/>
              </w:rPr>
              <w:t>En vías de alcanzar la meta</w:t>
            </w:r>
          </w:p>
        </w:tc>
      </w:tr>
      <w:tr w:rsidR="005D4492" w:rsidRPr="005D4492" w14:paraId="4B8F1828" w14:textId="77777777" w:rsidTr="005D4492">
        <w:tc>
          <w:tcPr>
            <w:tcW w:w="4406" w:type="dxa"/>
          </w:tcPr>
          <w:p w14:paraId="265B0AA2" w14:textId="77777777" w:rsidR="005D4492" w:rsidRPr="005D4492" w:rsidRDefault="005D4492" w:rsidP="005D4492">
            <w:pPr>
              <w:spacing w:line="278" w:lineRule="auto"/>
              <w:rPr>
                <w:sz w:val="18"/>
                <w:szCs w:val="18"/>
                <w:lang w:val="en-US"/>
              </w:rPr>
            </w:pPr>
            <w:r w:rsidRPr="005D4492">
              <w:rPr>
                <w:sz w:val="18"/>
                <w:szCs w:val="18"/>
                <w:lang w:val="en-US"/>
              </w:rPr>
              <w:lastRenderedPageBreak/>
              <w:t>Progress towards target but at an insufficient rate</w:t>
            </w:r>
          </w:p>
        </w:tc>
        <w:tc>
          <w:tcPr>
            <w:tcW w:w="4771" w:type="dxa"/>
          </w:tcPr>
          <w:p w14:paraId="2670AC4F" w14:textId="77777777" w:rsidR="005D4492" w:rsidRPr="005D4492" w:rsidRDefault="005D4492" w:rsidP="005D4492">
            <w:pPr>
              <w:spacing w:line="278" w:lineRule="auto"/>
              <w:rPr>
                <w:sz w:val="18"/>
                <w:szCs w:val="18"/>
                <w:lang w:val="es-ES"/>
              </w:rPr>
            </w:pPr>
            <w:r w:rsidRPr="005D4492">
              <w:rPr>
                <w:sz w:val="18"/>
                <w:szCs w:val="18"/>
                <w:lang w:val="es-ES"/>
              </w:rPr>
              <w:t xml:space="preserve">Se ha progresado hacia la </w:t>
            </w:r>
            <w:proofErr w:type="gramStart"/>
            <w:r w:rsidRPr="005D4492">
              <w:rPr>
                <w:sz w:val="18"/>
                <w:szCs w:val="18"/>
                <w:lang w:val="es-ES"/>
              </w:rPr>
              <w:t>meta</w:t>
            </w:r>
            <w:proofErr w:type="gramEnd"/>
            <w:r w:rsidRPr="005D4492">
              <w:rPr>
                <w:sz w:val="18"/>
                <w:szCs w:val="18"/>
                <w:lang w:val="es-ES"/>
              </w:rPr>
              <w:t xml:space="preserve"> pero a un ritmo insuficiente</w:t>
            </w:r>
          </w:p>
        </w:tc>
      </w:tr>
      <w:tr w:rsidR="005D4492" w:rsidRPr="005D4492" w14:paraId="59C5AFA4" w14:textId="77777777" w:rsidTr="005D4492">
        <w:tc>
          <w:tcPr>
            <w:tcW w:w="4406" w:type="dxa"/>
          </w:tcPr>
          <w:p w14:paraId="4B9E9EFB" w14:textId="77777777" w:rsidR="005D4492" w:rsidRPr="005D4492" w:rsidRDefault="005D4492" w:rsidP="005D4492">
            <w:pPr>
              <w:spacing w:line="278" w:lineRule="auto"/>
              <w:rPr>
                <w:sz w:val="18"/>
                <w:szCs w:val="18"/>
                <w:lang w:val="es-ES"/>
              </w:rPr>
            </w:pPr>
            <w:r w:rsidRPr="005D4492">
              <w:rPr>
                <w:sz w:val="18"/>
                <w:szCs w:val="18"/>
                <w:lang w:val="es-ES"/>
              </w:rPr>
              <w:t xml:space="preserve">No </w:t>
            </w:r>
            <w:proofErr w:type="spellStart"/>
            <w:r w:rsidRPr="005D4492">
              <w:rPr>
                <w:sz w:val="18"/>
                <w:szCs w:val="18"/>
                <w:lang w:val="es-ES"/>
              </w:rPr>
              <w:t>significant</w:t>
            </w:r>
            <w:proofErr w:type="spellEnd"/>
            <w:r w:rsidRPr="005D4492">
              <w:rPr>
                <w:sz w:val="18"/>
                <w:szCs w:val="18"/>
                <w:lang w:val="es-ES"/>
              </w:rPr>
              <w:t xml:space="preserve"> </w:t>
            </w:r>
            <w:proofErr w:type="spellStart"/>
            <w:r w:rsidRPr="005D4492">
              <w:rPr>
                <w:sz w:val="18"/>
                <w:szCs w:val="18"/>
                <w:lang w:val="es-ES"/>
              </w:rPr>
              <w:t>change</w:t>
            </w:r>
            <w:proofErr w:type="spellEnd"/>
          </w:p>
        </w:tc>
        <w:tc>
          <w:tcPr>
            <w:tcW w:w="4771" w:type="dxa"/>
          </w:tcPr>
          <w:p w14:paraId="36A457B6" w14:textId="77777777" w:rsidR="005D4492" w:rsidRPr="005D4492" w:rsidRDefault="005D4492" w:rsidP="005D4492">
            <w:pPr>
              <w:spacing w:line="278" w:lineRule="auto"/>
              <w:rPr>
                <w:sz w:val="18"/>
                <w:szCs w:val="18"/>
                <w:lang w:val="es-ES"/>
              </w:rPr>
            </w:pPr>
            <w:r w:rsidRPr="005D4492">
              <w:rPr>
                <w:sz w:val="18"/>
                <w:szCs w:val="18"/>
                <w:lang w:val="es-ES"/>
              </w:rPr>
              <w:t>No hay cambios significativos</w:t>
            </w:r>
          </w:p>
        </w:tc>
      </w:tr>
      <w:tr w:rsidR="005D4492" w:rsidRPr="005D4492" w14:paraId="2D1B1F1E" w14:textId="77777777" w:rsidTr="005D4492">
        <w:tc>
          <w:tcPr>
            <w:tcW w:w="4406" w:type="dxa"/>
          </w:tcPr>
          <w:p w14:paraId="0FF00E35" w14:textId="77777777" w:rsidR="005D4492" w:rsidRPr="005D4492" w:rsidRDefault="005D4492" w:rsidP="005D4492">
            <w:pPr>
              <w:spacing w:line="278" w:lineRule="auto"/>
              <w:rPr>
                <w:sz w:val="18"/>
                <w:szCs w:val="18"/>
                <w:lang w:val="es-ES"/>
              </w:rPr>
            </w:pPr>
            <w:r w:rsidRPr="005D4492">
              <w:rPr>
                <w:sz w:val="18"/>
                <w:szCs w:val="18"/>
                <w:lang w:val="es-ES"/>
              </w:rPr>
              <w:t>Unknown</w:t>
            </w:r>
          </w:p>
        </w:tc>
        <w:tc>
          <w:tcPr>
            <w:tcW w:w="4771" w:type="dxa"/>
          </w:tcPr>
          <w:p w14:paraId="5C1502D9" w14:textId="77777777" w:rsidR="005D4492" w:rsidRPr="005D4492" w:rsidRDefault="005D4492" w:rsidP="005D4492">
            <w:pPr>
              <w:spacing w:line="278" w:lineRule="auto"/>
              <w:rPr>
                <w:sz w:val="18"/>
                <w:szCs w:val="18"/>
                <w:lang w:val="es-ES"/>
              </w:rPr>
            </w:pPr>
            <w:r w:rsidRPr="005D4492">
              <w:rPr>
                <w:sz w:val="18"/>
                <w:szCs w:val="18"/>
                <w:lang w:val="es-ES"/>
              </w:rPr>
              <w:t>Se desconoce</w:t>
            </w:r>
          </w:p>
        </w:tc>
      </w:tr>
      <w:tr w:rsidR="005D4492" w:rsidRPr="005D4492" w14:paraId="030A5EE8" w14:textId="77777777" w:rsidTr="005D4492">
        <w:tc>
          <w:tcPr>
            <w:tcW w:w="4406" w:type="dxa"/>
          </w:tcPr>
          <w:p w14:paraId="0485850A" w14:textId="77777777" w:rsidR="005D4492" w:rsidRPr="005D4492" w:rsidRDefault="005D4492" w:rsidP="005D4492">
            <w:pPr>
              <w:spacing w:line="278" w:lineRule="auto"/>
              <w:rPr>
                <w:sz w:val="18"/>
                <w:szCs w:val="18"/>
                <w:lang w:val="es-ES"/>
              </w:rPr>
            </w:pPr>
            <w:r w:rsidRPr="005D4492">
              <w:rPr>
                <w:sz w:val="18"/>
                <w:szCs w:val="18"/>
                <w:lang w:val="es-ES"/>
              </w:rPr>
              <w:t xml:space="preserve">Party </w:t>
            </w:r>
            <w:proofErr w:type="spellStart"/>
            <w:r w:rsidRPr="005D4492">
              <w:rPr>
                <w:sz w:val="18"/>
                <w:szCs w:val="18"/>
                <w:lang w:val="es-ES"/>
              </w:rPr>
              <w:t>count</w:t>
            </w:r>
            <w:proofErr w:type="spellEnd"/>
            <w:r w:rsidRPr="005D4492">
              <w:rPr>
                <w:sz w:val="18"/>
                <w:szCs w:val="18"/>
                <w:lang w:val="es-ES"/>
              </w:rPr>
              <w:t>: 91</w:t>
            </w:r>
          </w:p>
        </w:tc>
        <w:tc>
          <w:tcPr>
            <w:tcW w:w="4771" w:type="dxa"/>
          </w:tcPr>
          <w:p w14:paraId="51D8BE53" w14:textId="77777777" w:rsidR="005D4492" w:rsidRPr="005D4492" w:rsidRDefault="005D4492" w:rsidP="005D4492">
            <w:pPr>
              <w:spacing w:line="278" w:lineRule="auto"/>
              <w:rPr>
                <w:sz w:val="18"/>
                <w:szCs w:val="18"/>
                <w:lang w:val="es-ES"/>
              </w:rPr>
            </w:pPr>
            <w:r w:rsidRPr="005D4492">
              <w:rPr>
                <w:sz w:val="18"/>
                <w:szCs w:val="18"/>
                <w:lang w:val="es-ES"/>
              </w:rPr>
              <w:t>Número de Partes: 91</w:t>
            </w:r>
          </w:p>
        </w:tc>
      </w:tr>
      <w:tr w:rsidR="005D4492" w:rsidRPr="005D4492" w14:paraId="4189D139" w14:textId="77777777" w:rsidTr="005D4492">
        <w:tc>
          <w:tcPr>
            <w:tcW w:w="4406" w:type="dxa"/>
          </w:tcPr>
          <w:p w14:paraId="3FE79B36" w14:textId="77777777" w:rsidR="005D4492" w:rsidRPr="005D4492" w:rsidRDefault="005D4492" w:rsidP="005D4492">
            <w:pPr>
              <w:spacing w:line="278" w:lineRule="auto"/>
              <w:rPr>
                <w:sz w:val="18"/>
                <w:szCs w:val="18"/>
                <w:lang w:val="es-ES"/>
              </w:rPr>
            </w:pPr>
            <w:proofErr w:type="spellStart"/>
            <w:r w:rsidRPr="005D4492">
              <w:rPr>
                <w:sz w:val="18"/>
                <w:szCs w:val="18"/>
                <w:lang w:val="es-ES"/>
              </w:rPr>
              <w:t>Region</w:t>
            </w:r>
            <w:proofErr w:type="spellEnd"/>
          </w:p>
        </w:tc>
        <w:tc>
          <w:tcPr>
            <w:tcW w:w="4771" w:type="dxa"/>
          </w:tcPr>
          <w:p w14:paraId="716EC509" w14:textId="77777777" w:rsidR="005D4492" w:rsidRPr="005D4492" w:rsidRDefault="005D4492" w:rsidP="005D4492">
            <w:pPr>
              <w:spacing w:line="278" w:lineRule="auto"/>
              <w:rPr>
                <w:sz w:val="18"/>
                <w:szCs w:val="18"/>
                <w:lang w:val="es-ES"/>
              </w:rPr>
            </w:pPr>
            <w:r w:rsidRPr="005D4492">
              <w:rPr>
                <w:sz w:val="18"/>
                <w:szCs w:val="18"/>
                <w:lang w:val="es-ES"/>
              </w:rPr>
              <w:t>Región</w:t>
            </w:r>
          </w:p>
        </w:tc>
      </w:tr>
      <w:tr w:rsidR="005D4492" w:rsidRPr="005D4492" w14:paraId="0DA29D8F" w14:textId="77777777" w:rsidTr="005D4492">
        <w:tc>
          <w:tcPr>
            <w:tcW w:w="4406" w:type="dxa"/>
          </w:tcPr>
          <w:p w14:paraId="5F2C415C" w14:textId="77777777" w:rsidR="005D4492" w:rsidRPr="005D4492" w:rsidRDefault="005D4492" w:rsidP="005D4492">
            <w:pPr>
              <w:spacing w:line="278" w:lineRule="auto"/>
              <w:rPr>
                <w:sz w:val="18"/>
                <w:szCs w:val="18"/>
                <w:lang w:val="es-ES"/>
              </w:rPr>
            </w:pPr>
            <w:r w:rsidRPr="005D4492">
              <w:rPr>
                <w:sz w:val="18"/>
                <w:szCs w:val="18"/>
                <w:lang w:val="es-ES"/>
              </w:rPr>
              <w:t>African States</w:t>
            </w:r>
          </w:p>
        </w:tc>
        <w:tc>
          <w:tcPr>
            <w:tcW w:w="4771" w:type="dxa"/>
          </w:tcPr>
          <w:p w14:paraId="6825CFD2" w14:textId="77777777" w:rsidR="005D4492" w:rsidRPr="005D4492" w:rsidRDefault="005D4492" w:rsidP="005D4492">
            <w:pPr>
              <w:spacing w:line="278" w:lineRule="auto"/>
              <w:rPr>
                <w:sz w:val="18"/>
                <w:szCs w:val="18"/>
                <w:lang w:val="es-ES"/>
              </w:rPr>
            </w:pPr>
            <w:r w:rsidRPr="005D4492">
              <w:rPr>
                <w:sz w:val="18"/>
                <w:szCs w:val="18"/>
                <w:lang w:val="es-ES"/>
              </w:rPr>
              <w:t>Estados de África</w:t>
            </w:r>
          </w:p>
        </w:tc>
      </w:tr>
      <w:tr w:rsidR="005D4492" w:rsidRPr="005D4492" w14:paraId="15691D74" w14:textId="77777777" w:rsidTr="005D4492">
        <w:tc>
          <w:tcPr>
            <w:tcW w:w="4406" w:type="dxa"/>
          </w:tcPr>
          <w:p w14:paraId="32832A80" w14:textId="77777777" w:rsidR="005D4492" w:rsidRPr="005D4492" w:rsidRDefault="005D4492" w:rsidP="005D4492">
            <w:pPr>
              <w:spacing w:line="278" w:lineRule="auto"/>
              <w:rPr>
                <w:sz w:val="18"/>
                <w:szCs w:val="18"/>
                <w:lang w:val="es-ES"/>
              </w:rPr>
            </w:pPr>
            <w:r w:rsidRPr="005D4492">
              <w:rPr>
                <w:sz w:val="18"/>
                <w:szCs w:val="18"/>
                <w:lang w:val="es-ES"/>
              </w:rPr>
              <w:t>Asia-Pacific States</w:t>
            </w:r>
          </w:p>
        </w:tc>
        <w:tc>
          <w:tcPr>
            <w:tcW w:w="4771" w:type="dxa"/>
          </w:tcPr>
          <w:p w14:paraId="1BFB5E9B" w14:textId="77777777" w:rsidR="005D4492" w:rsidRPr="005D4492" w:rsidRDefault="005D4492" w:rsidP="005D4492">
            <w:pPr>
              <w:spacing w:line="278" w:lineRule="auto"/>
              <w:rPr>
                <w:sz w:val="18"/>
                <w:szCs w:val="18"/>
                <w:lang w:val="es-ES"/>
              </w:rPr>
            </w:pPr>
            <w:r w:rsidRPr="005D4492">
              <w:rPr>
                <w:sz w:val="18"/>
                <w:szCs w:val="18"/>
                <w:lang w:val="es-ES"/>
              </w:rPr>
              <w:t>Estados de Asia y el Pacífico</w:t>
            </w:r>
          </w:p>
        </w:tc>
      </w:tr>
      <w:tr w:rsidR="005D4492" w:rsidRPr="005D4492" w14:paraId="01A3B5A9" w14:textId="77777777" w:rsidTr="005D4492">
        <w:tc>
          <w:tcPr>
            <w:tcW w:w="4406" w:type="dxa"/>
          </w:tcPr>
          <w:p w14:paraId="7C9BA701" w14:textId="77777777" w:rsidR="005D4492" w:rsidRPr="005D4492" w:rsidRDefault="005D4492" w:rsidP="005D4492">
            <w:pPr>
              <w:spacing w:line="278" w:lineRule="auto"/>
              <w:rPr>
                <w:sz w:val="18"/>
                <w:szCs w:val="18"/>
                <w:lang w:val="en-US"/>
              </w:rPr>
            </w:pPr>
            <w:r w:rsidRPr="005D4492">
              <w:rPr>
                <w:sz w:val="18"/>
                <w:szCs w:val="18"/>
                <w:lang w:val="en-US"/>
              </w:rPr>
              <w:t>Latin American and Caribbean States</w:t>
            </w:r>
          </w:p>
        </w:tc>
        <w:tc>
          <w:tcPr>
            <w:tcW w:w="4771" w:type="dxa"/>
          </w:tcPr>
          <w:p w14:paraId="10EA2540" w14:textId="77777777" w:rsidR="005D4492" w:rsidRPr="005D4492" w:rsidRDefault="005D4492" w:rsidP="005D4492">
            <w:pPr>
              <w:spacing w:line="278" w:lineRule="auto"/>
              <w:rPr>
                <w:sz w:val="18"/>
                <w:szCs w:val="18"/>
                <w:lang w:val="es-ES"/>
              </w:rPr>
            </w:pPr>
            <w:r w:rsidRPr="005D4492">
              <w:rPr>
                <w:sz w:val="18"/>
                <w:szCs w:val="18"/>
                <w:lang w:val="es-ES"/>
              </w:rPr>
              <w:t>Estados de América Latina y el Caribe</w:t>
            </w:r>
          </w:p>
        </w:tc>
      </w:tr>
      <w:tr w:rsidR="005D4492" w:rsidRPr="005D4492" w14:paraId="30EA5FE3" w14:textId="77777777" w:rsidTr="005D4492">
        <w:tc>
          <w:tcPr>
            <w:tcW w:w="4406" w:type="dxa"/>
          </w:tcPr>
          <w:p w14:paraId="007CCAB9" w14:textId="77777777" w:rsidR="005D4492" w:rsidRPr="005D4492" w:rsidRDefault="005D4492" w:rsidP="005D4492">
            <w:pPr>
              <w:spacing w:line="278" w:lineRule="auto"/>
              <w:rPr>
                <w:sz w:val="18"/>
                <w:szCs w:val="18"/>
                <w:lang w:val="es-ES"/>
              </w:rPr>
            </w:pPr>
            <w:r w:rsidRPr="005D4492">
              <w:rPr>
                <w:sz w:val="18"/>
                <w:szCs w:val="18"/>
                <w:lang w:val="es-ES"/>
              </w:rPr>
              <w:t xml:space="preserve"> Eastern European States</w:t>
            </w:r>
          </w:p>
        </w:tc>
        <w:tc>
          <w:tcPr>
            <w:tcW w:w="4771" w:type="dxa"/>
          </w:tcPr>
          <w:p w14:paraId="5E5D0089" w14:textId="77777777" w:rsidR="005D4492" w:rsidRPr="005D4492" w:rsidRDefault="005D4492" w:rsidP="005D4492">
            <w:pPr>
              <w:spacing w:line="278" w:lineRule="auto"/>
              <w:rPr>
                <w:sz w:val="18"/>
                <w:szCs w:val="18"/>
                <w:lang w:val="es-ES"/>
              </w:rPr>
            </w:pPr>
            <w:r w:rsidRPr="005D4492">
              <w:rPr>
                <w:sz w:val="18"/>
                <w:szCs w:val="18"/>
                <w:lang w:val="es-ES"/>
              </w:rPr>
              <w:t>Estados de Europa Oriental</w:t>
            </w:r>
          </w:p>
        </w:tc>
      </w:tr>
      <w:tr w:rsidR="005D4492" w:rsidRPr="005D4492" w14:paraId="3CE0C9F9" w14:textId="77777777" w:rsidTr="005D4492">
        <w:tc>
          <w:tcPr>
            <w:tcW w:w="4406" w:type="dxa"/>
          </w:tcPr>
          <w:p w14:paraId="2A6D5252" w14:textId="77777777" w:rsidR="005D4492" w:rsidRPr="005D4492" w:rsidRDefault="005D4492" w:rsidP="005D4492">
            <w:pPr>
              <w:spacing w:line="278" w:lineRule="auto"/>
              <w:rPr>
                <w:sz w:val="18"/>
                <w:szCs w:val="18"/>
                <w:lang w:val="en-US"/>
              </w:rPr>
            </w:pPr>
            <w:r w:rsidRPr="005D4492">
              <w:rPr>
                <w:sz w:val="18"/>
                <w:szCs w:val="18"/>
                <w:lang w:val="en-US"/>
              </w:rPr>
              <w:t>Western European and other States</w:t>
            </w:r>
          </w:p>
        </w:tc>
        <w:tc>
          <w:tcPr>
            <w:tcW w:w="4771" w:type="dxa"/>
          </w:tcPr>
          <w:p w14:paraId="59340CED" w14:textId="77777777" w:rsidR="005D4492" w:rsidRPr="005D4492" w:rsidRDefault="005D4492" w:rsidP="005D4492">
            <w:pPr>
              <w:spacing w:line="278" w:lineRule="auto"/>
              <w:rPr>
                <w:sz w:val="18"/>
                <w:szCs w:val="18"/>
                <w:lang w:val="es-ES"/>
              </w:rPr>
            </w:pPr>
            <w:r w:rsidRPr="005D4492">
              <w:rPr>
                <w:sz w:val="18"/>
                <w:szCs w:val="18"/>
                <w:lang w:val="es-ES"/>
              </w:rPr>
              <w:t>Estados de Europa Occidental y otros Estados</w:t>
            </w:r>
          </w:p>
        </w:tc>
      </w:tr>
    </w:tbl>
    <w:p w14:paraId="6B600FFF" w14:textId="77777777" w:rsidR="005D4492" w:rsidRPr="005E3D50" w:rsidRDefault="005D4492" w:rsidP="009713BF">
      <w:pPr>
        <w:spacing w:after="200" w:line="240" w:lineRule="auto"/>
        <w:rPr>
          <w:rFonts w:eastAsiaTheme="minorEastAsia"/>
          <w:color w:val="0E2841" w:themeColor="text2"/>
          <w:kern w:val="0"/>
          <w:sz w:val="18"/>
          <w:szCs w:val="18"/>
          <w:lang w:val="es-ES" w:eastAsia="ja-JP"/>
          <w14:ligatures w14:val="none"/>
        </w:rPr>
      </w:pPr>
    </w:p>
    <w:p w14:paraId="2F93C82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53717D6B"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84" w:name="_Toc235821285"/>
      <w:r w:rsidRPr="005E3D50">
        <w:rPr>
          <w:rFonts w:eastAsiaTheme="majorEastAsia" w:cstheme="majorBidi"/>
          <w:color w:val="0F4761" w:themeColor="accent1" w:themeShade="BF"/>
          <w:lang w:val="es-ES"/>
        </w:rPr>
        <w:t>Medidas, logros y dificultades</w:t>
      </w:r>
      <w:bookmarkEnd w:id="484"/>
      <w:r w:rsidRPr="005E3D50">
        <w:rPr>
          <w:rFonts w:eastAsiaTheme="majorEastAsia" w:cstheme="majorBidi"/>
          <w:color w:val="0F4761" w:themeColor="accent1" w:themeShade="BF"/>
          <w:lang w:val="es-ES"/>
        </w:rPr>
        <w:t xml:space="preserve"> en la implementación</w:t>
      </w:r>
    </w:p>
    <w:p w14:paraId="43E54D22"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85" w:name="_Toc235821286"/>
    </w:p>
    <w:p w14:paraId="4ECCF45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19</w:t>
      </w:r>
      <w:bookmarkEnd w:id="485"/>
      <w:r w:rsidRPr="005E3D50">
        <w:rPr>
          <w:rFonts w:eastAsiaTheme="majorEastAsia" w:cstheme="majorBidi"/>
          <w:i/>
          <w:iCs/>
          <w:color w:val="595959" w:themeColor="text1" w:themeTint="A6"/>
          <w:lang w:val="es-ES"/>
        </w:rPr>
        <w:t xml:space="preserve"> del Marco</w:t>
      </w:r>
    </w:p>
    <w:p w14:paraId="27C638B2" w14:textId="77777777" w:rsidR="009713BF" w:rsidRPr="005E3D50" w:rsidRDefault="009713BF" w:rsidP="009713BF">
      <w:pPr>
        <w:rPr>
          <w:lang w:val="es-ES"/>
        </w:rPr>
      </w:pPr>
    </w:p>
    <w:p w14:paraId="7A79DA01" w14:textId="77777777" w:rsidR="009713BF" w:rsidRPr="005E3D50" w:rsidRDefault="009713BF" w:rsidP="009713BF">
      <w:pPr>
        <w:rPr>
          <w:lang w:val="es-ES"/>
        </w:rPr>
      </w:pPr>
      <w:r w:rsidRPr="005E3D50">
        <w:rPr>
          <w:lang w:val="es-ES"/>
        </w:rPr>
        <w:t>El enfoque comunicado predominantemente por las Partes para la consecución de la meta 19 es el trabajo de diagnóstico y planificación de la financiación para la biodiversidad, para lo cual la metodología de BIOFIN es el marco más ampliamente adoptado. La mayoría de las Partes han puesto en marcha o bien están implementando un plan nacional de financiación de la biodiversidad, una revisión de los gastos en diversidad biológica o una evaluación de las necesidades de financiación. Las medidas concretas más comunicadas después de la planificación son: movilización de financiación pública internacional, por ejemplo, a través del FMAM, el Fondo Verde para el Clima, la asistencia oficial para el desarrollo o canjes de deuda por proyectos de protección de la naturaleza; elaboración de taxonomías verdes y marcos de financiación sostenible; emisión de bonos verdes o vinculados a la sostenibilidad; y reforma de mecanismos fiscales nacionales (véanse los recuadros 45 y 46). Con menos frecuencia se informa de movilización de financiación privada, reforma de subsidios y acceso a financiación por parte de pueblos indígenas y comunidades locales, y en los casos en que se informa, estos están aún en etapa de habilitación o intención.</w:t>
      </w:r>
    </w:p>
    <w:p w14:paraId="2FAD544C" w14:textId="77777777" w:rsidR="009713BF" w:rsidRPr="005E3D50" w:rsidRDefault="009713BF" w:rsidP="009713BF">
      <w:pPr>
        <w:rPr>
          <w:lang w:val="es-ES"/>
        </w:rPr>
      </w:pPr>
    </w:p>
    <w:p w14:paraId="2787ABD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86" w:name="_Toc235821287"/>
      <w:r w:rsidRPr="005E3D50">
        <w:rPr>
          <w:rFonts w:eastAsiaTheme="majorEastAsia" w:cstheme="majorBidi"/>
          <w:i/>
          <w:iCs/>
          <w:color w:val="595959" w:themeColor="text1" w:themeTint="A6"/>
          <w:lang w:val="es-ES"/>
        </w:rPr>
        <w:t>Ejemplos de logros y progresos en la implementación</w:t>
      </w:r>
      <w:bookmarkEnd w:id="486"/>
    </w:p>
    <w:p w14:paraId="1AD94FB3" w14:textId="77777777" w:rsidR="009713BF" w:rsidRPr="005E3D50" w:rsidRDefault="009713BF" w:rsidP="009713BF">
      <w:pPr>
        <w:rPr>
          <w:lang w:val="es-ES"/>
        </w:rPr>
      </w:pPr>
    </w:p>
    <w:tbl>
      <w:tblPr>
        <w:tblStyle w:val="TableGrid"/>
        <w:tblW w:w="0" w:type="auto"/>
        <w:tblLook w:val="04A0" w:firstRow="1" w:lastRow="0" w:firstColumn="1" w:lastColumn="0" w:noHBand="0" w:noVBand="1"/>
      </w:tblPr>
      <w:tblGrid>
        <w:gridCol w:w="9016"/>
      </w:tblGrid>
      <w:tr w:rsidR="009713BF" w:rsidRPr="005E3D50" w14:paraId="54623A17" w14:textId="77777777" w:rsidTr="006E6831">
        <w:tc>
          <w:tcPr>
            <w:tcW w:w="9016" w:type="dxa"/>
            <w:shd w:val="clear" w:color="auto" w:fill="D1D1D1" w:themeFill="background2" w:themeFillShade="E6"/>
          </w:tcPr>
          <w:p w14:paraId="1DD336A9" w14:textId="77777777" w:rsidR="009713BF" w:rsidRPr="005E3D50" w:rsidRDefault="009713BF" w:rsidP="009713BF">
            <w:pPr>
              <w:rPr>
                <w:sz w:val="20"/>
                <w:szCs w:val="20"/>
                <w:lang w:val="es-ES"/>
              </w:rPr>
            </w:pPr>
            <w:r w:rsidRPr="005E3D50">
              <w:rPr>
                <w:sz w:val="20"/>
                <w:lang w:val="es-ES"/>
              </w:rPr>
              <w:t>Recuadro 45</w:t>
            </w:r>
          </w:p>
          <w:p w14:paraId="4AE4A073" w14:textId="77777777" w:rsidR="009713BF" w:rsidRPr="005E3D50" w:rsidRDefault="009713BF" w:rsidP="009713BF">
            <w:pPr>
              <w:rPr>
                <w:b/>
                <w:bCs/>
                <w:sz w:val="20"/>
                <w:szCs w:val="20"/>
                <w:lang w:val="es-ES"/>
              </w:rPr>
            </w:pPr>
            <w:r w:rsidRPr="005E3D50">
              <w:rPr>
                <w:b/>
                <w:sz w:val="20"/>
                <w:lang w:val="es-ES"/>
              </w:rPr>
              <w:t>Chile emite bonos soberanos vinculados a la sostenibilidad, con indicadores de desempeño clave para la biodiversidad, una iniciativa que es la primera de ese tipo en todo el mundo</w:t>
            </w:r>
          </w:p>
          <w:p w14:paraId="3FEC3850" w14:textId="77777777" w:rsidR="009713BF" w:rsidRPr="005E3D50" w:rsidRDefault="009713BF" w:rsidP="009713BF">
            <w:pPr>
              <w:rPr>
                <w:rFonts w:ascii="Aptos" w:eastAsia="Aptos" w:hAnsi="Aptos" w:cs="Aptos"/>
                <w:color w:val="000000" w:themeColor="text1"/>
                <w:lang w:val="es-ES"/>
              </w:rPr>
            </w:pPr>
          </w:p>
          <w:p w14:paraId="64393B6A" w14:textId="77777777" w:rsidR="009713BF" w:rsidRPr="005E3D50" w:rsidRDefault="009713BF" w:rsidP="009713BF">
            <w:pPr>
              <w:spacing w:after="160" w:line="278" w:lineRule="auto"/>
              <w:rPr>
                <w:sz w:val="20"/>
                <w:szCs w:val="20"/>
                <w:lang w:val="es-ES"/>
              </w:rPr>
            </w:pPr>
            <w:r w:rsidRPr="005E3D50">
              <w:rPr>
                <w:sz w:val="20"/>
                <w:lang w:val="es-ES"/>
              </w:rPr>
              <w:t>En 2022, Chile innovó a nivel mundial con la emisión de los primeros bonos soberanos vinculados a la sostenibilidad, incorporando dos indicadores de desempeño clave (la reducción de emisiones de gases de efecto invernadero y la expansión de la generación no convencional de energía renovable, incluida energía eólica, energía hidroeléctrica fluvial a pequeña escala, biomasa, biogás, energía geotérmica, solar y oceánica e hidrógeno verde). En 2023, el marco se amplió con la adición de un indicador de desempeño clave relacionado con la igualdad de género (aumentar la representación de las mujeres en los directorios empresariales).</w:t>
            </w:r>
          </w:p>
          <w:p w14:paraId="02A92FFF" w14:textId="77777777" w:rsidR="009713BF" w:rsidRPr="005E3D50" w:rsidRDefault="009713BF" w:rsidP="009713BF">
            <w:pPr>
              <w:spacing w:after="160" w:line="278" w:lineRule="auto"/>
              <w:rPr>
                <w:spacing w:val="-2"/>
                <w:sz w:val="20"/>
                <w:szCs w:val="20"/>
                <w:lang w:val="es-ES"/>
              </w:rPr>
            </w:pPr>
            <w:r w:rsidRPr="005E3D50">
              <w:rPr>
                <w:spacing w:val="-2"/>
                <w:sz w:val="20"/>
                <w:lang w:val="es-ES"/>
              </w:rPr>
              <w:t>En 2025, una versión actualizada del marco de bonos vinculados a la sostenibilidad incorporó un nuevo indicador de desempeño vinculado a la diversidad biológica, con dos componentes principales: aumentar el porcentaje de áreas protegidas u otras medidas de conservación eficaces basadas en áreas en ecosistemas terrestres (incluidas aguas continentales); y aumentar el porcentaje de ecosistemas terrestres nacionales (incluidas aguas continentales) en áreas protegidas que cumplen todas las métricas de eficacia importantes de gobernanza, planificación, personal y seguimiento. Este nuevo indicador de desempeño clave está dirigido a aumentar la cobertura terrestre de áreas protegidas hasta alcanzar el 30 % del territorio nacional en 2030 (actualmente se ubica en 21 %) y garantizar la gestión eficaz de la menos el 10 % del territorio nacional.</w:t>
            </w:r>
          </w:p>
          <w:p w14:paraId="2FA2FEFD" w14:textId="77777777" w:rsidR="009713BF" w:rsidRPr="005E3D50" w:rsidRDefault="009713BF" w:rsidP="009713BF">
            <w:pPr>
              <w:spacing w:after="160" w:line="278" w:lineRule="auto"/>
              <w:rPr>
                <w:sz w:val="20"/>
                <w:szCs w:val="20"/>
                <w:lang w:val="es-ES"/>
              </w:rPr>
            </w:pPr>
            <w:r w:rsidRPr="005E3D50">
              <w:rPr>
                <w:sz w:val="20"/>
                <w:lang w:val="es-ES"/>
              </w:rPr>
              <w:t xml:space="preserve">La implementación de esta iniciativa cuenta con el apoyo del recientemente creado Servicio de Áreas Protegidas y Biodiversidad de Chile, así como del Ministerio de Medio Ambiente, la Oficina de Deuda Pública del Ministerio de Finanzas e inversores del mercado bursátil internacional. </w:t>
            </w:r>
          </w:p>
          <w:p w14:paraId="1B1CEFFB" w14:textId="77777777" w:rsidR="009713BF" w:rsidRPr="005E3D50" w:rsidRDefault="009713BF" w:rsidP="009713BF">
            <w:pPr>
              <w:spacing w:after="160" w:line="278" w:lineRule="auto"/>
              <w:rPr>
                <w:sz w:val="20"/>
                <w:szCs w:val="20"/>
                <w:lang w:val="es-ES"/>
              </w:rPr>
            </w:pPr>
            <w:r w:rsidRPr="005E3D50">
              <w:rPr>
                <w:sz w:val="20"/>
                <w:lang w:val="es-ES"/>
              </w:rPr>
              <w:t>El marco brinda incentivos financieros para que el Gobierno de Chile pueda alcanzar sus objetivos, ya que baja las tasas de interés para las que califica el país al alcanzar la meta reflejada en los indicadores de desempeño clave. A finales de 2023, los bonos representaban un valor total de más de 8.000 millones de dólares. Según el Gobierno de Chile, estos son los primeros bonos soberanos internacionales estructurados en torno a objetivos específicos de protección y gestión eficaz de la diversidad biológica.</w:t>
            </w:r>
          </w:p>
          <w:p w14:paraId="402F1FEA"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Metas pertinentes: </w:t>
            </w:r>
            <w:r w:rsidRPr="005E3D50">
              <w:rPr>
                <w:rFonts w:ascii="Aptos" w:hAnsi="Aptos"/>
                <w:color w:val="000000" w:themeColor="text1"/>
                <w:sz w:val="20"/>
                <w:lang w:val="es-ES"/>
              </w:rPr>
              <w:t>1, 3, 8, 11, 14, 15, 18, 19, 22 y 23.</w:t>
            </w:r>
          </w:p>
          <w:p w14:paraId="6AE82288" w14:textId="77777777" w:rsidR="009713BF" w:rsidRPr="005E3D50" w:rsidRDefault="009713BF" w:rsidP="009713BF">
            <w:pPr>
              <w:rPr>
                <w:rFonts w:ascii="Aptos" w:eastAsia="Aptos" w:hAnsi="Aptos" w:cs="Aptos"/>
                <w:i/>
                <w:iCs/>
                <w:color w:val="000000" w:themeColor="text1"/>
                <w:lang w:val="es-ES"/>
              </w:rPr>
            </w:pPr>
          </w:p>
          <w:p w14:paraId="6681A308"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Fuentes: </w:t>
            </w:r>
            <w:r w:rsidRPr="005E3D50">
              <w:rPr>
                <w:rFonts w:ascii="Aptos" w:hAnsi="Aptos"/>
                <w:color w:val="000000" w:themeColor="text1"/>
                <w:sz w:val="20"/>
                <w:lang w:val="es-ES"/>
              </w:rPr>
              <w:t>Chile, séptimo informe nacional presentado al Convenio; Ministerio de Finanzas, Gobierno de Chile, 2025.</w:t>
            </w:r>
          </w:p>
          <w:p w14:paraId="16584BD7" w14:textId="77777777" w:rsidR="009713BF" w:rsidRPr="005E3D50" w:rsidRDefault="009713BF" w:rsidP="009713BF">
            <w:pPr>
              <w:rPr>
                <w:sz w:val="20"/>
                <w:szCs w:val="20"/>
                <w:lang w:val="es-ES"/>
              </w:rPr>
            </w:pPr>
          </w:p>
        </w:tc>
      </w:tr>
    </w:tbl>
    <w:p w14:paraId="575B6D0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69729C3A"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108"/>
      </w:tblGrid>
      <w:tr w:rsidR="009713BF" w:rsidRPr="00942359" w14:paraId="3F1EE188" w14:textId="77777777" w:rsidTr="006E6831">
        <w:trPr>
          <w:trHeight w:val="280"/>
        </w:trPr>
        <w:tc>
          <w:tcPr>
            <w:tcW w:w="9108" w:type="dxa"/>
            <w:shd w:val="clear" w:color="auto" w:fill="D1D1D1" w:themeFill="background2" w:themeFillShade="E6"/>
          </w:tcPr>
          <w:p w14:paraId="6CE0527B" w14:textId="77777777" w:rsidR="009713BF" w:rsidRPr="005E3D50" w:rsidRDefault="009713BF" w:rsidP="009713BF">
            <w:pPr>
              <w:rPr>
                <w:sz w:val="20"/>
                <w:szCs w:val="20"/>
                <w:lang w:val="es-ES"/>
              </w:rPr>
            </w:pPr>
            <w:r w:rsidRPr="005E3D50">
              <w:rPr>
                <w:sz w:val="20"/>
                <w:lang w:val="es-ES"/>
              </w:rPr>
              <w:t>Recuadro 46</w:t>
            </w:r>
          </w:p>
          <w:p w14:paraId="74C92AB9" w14:textId="77777777" w:rsidR="009713BF" w:rsidRPr="005E3D50" w:rsidRDefault="009713BF" w:rsidP="009713BF">
            <w:pPr>
              <w:spacing w:after="160" w:line="278" w:lineRule="auto"/>
              <w:rPr>
                <w:b/>
                <w:bCs/>
                <w:sz w:val="20"/>
                <w:szCs w:val="20"/>
                <w:lang w:val="es-ES"/>
              </w:rPr>
            </w:pPr>
            <w:r w:rsidRPr="005E3D50">
              <w:rPr>
                <w:b/>
                <w:sz w:val="20"/>
                <w:lang w:val="es-ES"/>
              </w:rPr>
              <w:t>Financiación innovadora para biodiversidad en situación de fragilidad en Yemen, a través de sistemas tradicionales y sinergias entre el clima y la diversidad biológica</w:t>
            </w:r>
          </w:p>
          <w:p w14:paraId="6478E6BA" w14:textId="77777777" w:rsidR="009713BF" w:rsidRPr="005E3D50" w:rsidRDefault="009713BF" w:rsidP="009713BF">
            <w:pPr>
              <w:rPr>
                <w:lang w:val="es-ES"/>
              </w:rPr>
            </w:pPr>
          </w:p>
          <w:p w14:paraId="0D386097" w14:textId="77777777" w:rsidR="009713BF" w:rsidRPr="005E3D50" w:rsidRDefault="009713BF" w:rsidP="009713BF">
            <w:pPr>
              <w:spacing w:after="160" w:line="278" w:lineRule="auto"/>
              <w:rPr>
                <w:sz w:val="20"/>
                <w:szCs w:val="20"/>
                <w:lang w:val="es-ES"/>
              </w:rPr>
            </w:pPr>
            <w:r w:rsidRPr="005E3D50">
              <w:rPr>
                <w:sz w:val="20"/>
                <w:lang w:val="es-ES"/>
              </w:rPr>
              <w:t xml:space="preserve">Yemen está movilizando recursos financieros de todas las fuentes de financiación con el objetivo de reducir la brecha de financiación para la diversidad biológica en un 20 % para 2030 y en un 80 % para 2050. Debido a diversos desafíos que enfrenta el país, entre ellos la priorización de necesidades humanitarias y de seguridad, el gasto público nacional en materia de diversidad biológica sigue ubicándose en niveles mínimos. Por otra parte, actualmente la inversión formal del sector privado en </w:t>
            </w:r>
            <w:r w:rsidRPr="005E3D50">
              <w:rPr>
                <w:sz w:val="20"/>
                <w:lang w:val="es-ES"/>
              </w:rPr>
              <w:lastRenderedPageBreak/>
              <w:t>diversidad biológica es muy escasa. Por consiguiente, con el fin de movilizar recursos se está adoptando una combinación de enfoques.</w:t>
            </w:r>
          </w:p>
          <w:p w14:paraId="46DE2D5D" w14:textId="77777777" w:rsidR="009713BF" w:rsidRPr="005E3D50" w:rsidRDefault="009713BF" w:rsidP="009713BF">
            <w:pPr>
              <w:spacing w:after="160" w:line="278" w:lineRule="auto"/>
              <w:rPr>
                <w:sz w:val="20"/>
                <w:szCs w:val="20"/>
                <w:lang w:val="es-ES"/>
              </w:rPr>
            </w:pPr>
            <w:r w:rsidRPr="005E3D50">
              <w:rPr>
                <w:sz w:val="20"/>
                <w:lang w:val="es-ES"/>
              </w:rPr>
              <w:t xml:space="preserve">Por ejemplo, el país está aprovechando activos no monetarios a través de sistemas tradicionales. A falta de un presupuesto nacional, las tribus locales de las montañas de Haraz e Ibb han revitalizado el sistema tradicional </w:t>
            </w:r>
            <w:proofErr w:type="spellStart"/>
            <w:r w:rsidRPr="005E3D50">
              <w:rPr>
                <w:i/>
                <w:iCs/>
                <w:sz w:val="20"/>
                <w:lang w:val="es-ES"/>
              </w:rPr>
              <w:t>hima</w:t>
            </w:r>
            <w:proofErr w:type="spellEnd"/>
            <w:r w:rsidRPr="005E3D50">
              <w:rPr>
                <w:sz w:val="20"/>
                <w:lang w:val="es-ES"/>
              </w:rPr>
              <w:t xml:space="preserve"> de gestión comunitaria de la tierra,</w:t>
            </w:r>
            <w:r w:rsidRPr="005E3D50">
              <w:rPr>
                <w:sz w:val="20"/>
                <w:vertAlign w:val="superscript"/>
                <w:lang w:val="es-ES"/>
              </w:rPr>
              <w:t xml:space="preserve"> </w:t>
            </w:r>
            <w:r w:rsidRPr="005E3D50">
              <w:rPr>
                <w:sz w:val="20"/>
                <w:lang w:val="es-ES"/>
              </w:rPr>
              <w:t xml:space="preserve">practicado desde hace más de 1.400 años en la Península Arábiga. </w:t>
            </w:r>
            <w:r w:rsidRPr="005E3D50">
              <w:rPr>
                <w:i/>
                <w:sz w:val="20"/>
                <w:lang w:val="es-ES"/>
              </w:rPr>
              <w:t>Al-</w:t>
            </w:r>
            <w:proofErr w:type="spellStart"/>
            <w:r w:rsidRPr="005E3D50">
              <w:rPr>
                <w:i/>
                <w:sz w:val="20"/>
                <w:lang w:val="es-ES"/>
              </w:rPr>
              <w:t>hima</w:t>
            </w:r>
            <w:proofErr w:type="spellEnd"/>
            <w:r w:rsidRPr="005E3D50">
              <w:rPr>
                <w:sz w:val="20"/>
                <w:lang w:val="es-ES"/>
              </w:rPr>
              <w:t xml:space="preserve"> (que significa “lugar protegido”) consiste en un terreno, que puede ser un bosque, tierras de pastoreo o reservas de flores con fines de apicultura, que la comunidad deja de lado cíclicamente para que pueda regenerarse. Las comunidades emplean este sistema para designar una zona o zonas </w:t>
            </w:r>
            <w:proofErr w:type="spellStart"/>
            <w:r w:rsidRPr="005E3D50">
              <w:rPr>
                <w:i/>
                <w:iCs/>
                <w:sz w:val="20"/>
                <w:lang w:val="es-ES"/>
              </w:rPr>
              <w:t>hima</w:t>
            </w:r>
            <w:proofErr w:type="spellEnd"/>
            <w:r w:rsidRPr="005E3D50">
              <w:rPr>
                <w:sz w:val="20"/>
                <w:lang w:val="es-ES"/>
              </w:rPr>
              <w:t xml:space="preserve"> específicas y destinarlas a la restauración de bosques de montaña. Luego prohíben colectivamente el pastoreo y la tala de árboles en esa zona por un período de tres a cinco años de manera de permitir que el ecosistema se recupere. En 2025, en estas áreas gestionadas por la comunidad se registró un aumento del 15 % de la cubierta de vegetación autóctona en comparación con las tierras gestionadas por el Estado que carecen de supervisión.</w:t>
            </w:r>
          </w:p>
          <w:p w14:paraId="547F1E94" w14:textId="77777777" w:rsidR="009713BF" w:rsidRPr="005E3D50" w:rsidRDefault="009713BF" w:rsidP="009713BF">
            <w:pPr>
              <w:spacing w:after="160" w:line="278" w:lineRule="auto"/>
              <w:rPr>
                <w:sz w:val="20"/>
                <w:szCs w:val="20"/>
                <w:lang w:val="es-ES"/>
              </w:rPr>
            </w:pPr>
            <w:r w:rsidRPr="005E3D50">
              <w:rPr>
                <w:sz w:val="20"/>
                <w:lang w:val="es-ES"/>
              </w:rPr>
              <w:t xml:space="preserve">En consonancia con la metodología mundial de BIOFIN, Yemen ha identificado soluciones de financiación específicas para movilizar recursos. En 2025, Yemen se valió del mecanismo de financiación para la adaptación climática del Fondo Verde para el Clima para ejecutar proyectos de restauración de la diversidad biológica (como la restauración de terrazas en el Delta de </w:t>
            </w:r>
            <w:proofErr w:type="spellStart"/>
            <w:proofErr w:type="gramStart"/>
            <w:r w:rsidRPr="005E3D50">
              <w:rPr>
                <w:sz w:val="20"/>
                <w:lang w:val="es-ES"/>
              </w:rPr>
              <w:t>Tuban</w:t>
            </w:r>
            <w:proofErr w:type="spellEnd"/>
            <w:r w:rsidRPr="005E3D50">
              <w:rPr>
                <w:sz w:val="20"/>
                <w:lang w:val="es-ES"/>
              </w:rPr>
              <w:t>)</w:t>
            </w:r>
            <w:r w:rsidRPr="005E3D50">
              <w:rPr>
                <w:sz w:val="20"/>
                <w:vertAlign w:val="superscript"/>
                <w:lang w:val="es-ES"/>
              </w:rPr>
              <w:t>a</w:t>
            </w:r>
            <w:r w:rsidRPr="005E3D50">
              <w:rPr>
                <w:sz w:val="20"/>
                <w:lang w:val="es-ES"/>
              </w:rPr>
              <w:t>.</w:t>
            </w:r>
            <w:proofErr w:type="gramEnd"/>
            <w:r w:rsidRPr="005E3D50">
              <w:rPr>
                <w:sz w:val="20"/>
                <w:lang w:val="es-ES"/>
              </w:rPr>
              <w:t xml:space="preserve"> De esta manera se movilizaron 9,9 millones de dólares, un monto que se computa para el cumplimiento de la meta del 20 % de la reducción de la brecha de financiación para la diversidad biológica.</w:t>
            </w:r>
          </w:p>
          <w:p w14:paraId="2BC4ECC8" w14:textId="77777777" w:rsidR="009713BF" w:rsidRPr="005E3D50" w:rsidRDefault="009713BF" w:rsidP="009713BF">
            <w:pPr>
              <w:spacing w:after="160" w:line="278" w:lineRule="auto"/>
              <w:rPr>
                <w:lang w:val="es-ES"/>
              </w:rPr>
            </w:pPr>
          </w:p>
          <w:p w14:paraId="3CBC8667" w14:textId="77777777" w:rsidR="009713BF" w:rsidRPr="005E3D50" w:rsidRDefault="009713BF" w:rsidP="009713BF">
            <w:pPr>
              <w:rPr>
                <w:rFonts w:ascii="Aptos" w:eastAsia="Aptos" w:hAnsi="Aptos" w:cs="Aptos"/>
                <w:color w:val="000000" w:themeColor="text1"/>
                <w:sz w:val="20"/>
                <w:szCs w:val="20"/>
                <w:lang w:val="es-ES"/>
              </w:rPr>
            </w:pPr>
            <w:r w:rsidRPr="005E3D50">
              <w:rPr>
                <w:i/>
                <w:sz w:val="20"/>
                <w:lang w:val="es-ES"/>
              </w:rPr>
              <w:t xml:space="preserve">Metas pertinentes: </w:t>
            </w:r>
            <w:r w:rsidRPr="005E3D50">
              <w:rPr>
                <w:rFonts w:ascii="Aptos" w:hAnsi="Aptos"/>
                <w:color w:val="000000" w:themeColor="text1"/>
                <w:sz w:val="20"/>
                <w:lang w:val="es-ES"/>
              </w:rPr>
              <w:t>1, 2, 3, 5, 8, 9, 11, 19 y 22.</w:t>
            </w:r>
          </w:p>
          <w:p w14:paraId="277CFDC7"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Fuentes: </w:t>
            </w:r>
            <w:r w:rsidRPr="005E3D50">
              <w:rPr>
                <w:rFonts w:ascii="Aptos" w:hAnsi="Aptos"/>
                <w:color w:val="000000" w:themeColor="text1"/>
                <w:sz w:val="20"/>
                <w:lang w:val="es-ES"/>
              </w:rPr>
              <w:t>Yemen, séptimo informe nacional presentado al Convenio; e información presentada a la UNESCO por la Delegación Permanente del Reino de Arabia Saudita, 2023.</w:t>
            </w:r>
          </w:p>
          <w:p w14:paraId="01208567" w14:textId="77777777" w:rsidR="009713BF" w:rsidRPr="005E3D50" w:rsidRDefault="009713BF" w:rsidP="009713BF">
            <w:pPr>
              <w:rPr>
                <w:sz w:val="20"/>
                <w:szCs w:val="20"/>
                <w:lang w:val="es-ES"/>
              </w:rPr>
            </w:pPr>
          </w:p>
          <w:p w14:paraId="57AA662E" w14:textId="77777777" w:rsidR="009713BF" w:rsidRPr="0059394F" w:rsidRDefault="009713BF" w:rsidP="009713BF">
            <w:pPr>
              <w:rPr>
                <w:sz w:val="18"/>
                <w:szCs w:val="18"/>
                <w:lang w:val="pt-BR"/>
              </w:rPr>
            </w:pPr>
            <w:r w:rsidRPr="0059394F">
              <w:rPr>
                <w:sz w:val="18"/>
                <w:szCs w:val="18"/>
                <w:vertAlign w:val="superscript"/>
                <w:lang w:val="pt-BR"/>
              </w:rPr>
              <w:t>a</w:t>
            </w:r>
            <w:r w:rsidRPr="0059394F">
              <w:rPr>
                <w:sz w:val="18"/>
                <w:szCs w:val="18"/>
                <w:lang w:val="pt-BR"/>
              </w:rPr>
              <w:t> </w:t>
            </w:r>
            <w:proofErr w:type="spellStart"/>
            <w:r w:rsidRPr="00B42F3C">
              <w:rPr>
                <w:sz w:val="18"/>
                <w:szCs w:val="18"/>
                <w:lang w:val="pt-BR"/>
              </w:rPr>
              <w:t>Véase</w:t>
            </w:r>
            <w:proofErr w:type="spellEnd"/>
            <w:r w:rsidRPr="0059394F">
              <w:rPr>
                <w:sz w:val="20"/>
                <w:lang w:val="pt-BR"/>
              </w:rPr>
              <w:t xml:space="preserve"> </w:t>
            </w:r>
            <w:r>
              <w:fldChar w:fldCharType="begin"/>
            </w:r>
            <w:r w:rsidRPr="00942359">
              <w:rPr>
                <w:lang w:val="fr-FR"/>
              </w:rPr>
              <w:instrText>HYPERLINK "http://www.greenclimate.fund/countries/yemen."</w:instrText>
            </w:r>
            <w:r>
              <w:fldChar w:fldCharType="separate"/>
            </w:r>
            <w:r w:rsidRPr="0059394F">
              <w:rPr>
                <w:color w:val="000000" w:themeColor="text1"/>
                <w:sz w:val="18"/>
                <w:lang w:val="pt-BR"/>
              </w:rPr>
              <w:t>www.greenclimate.fund/countries/yemen.</w:t>
            </w:r>
            <w:r>
              <w:fldChar w:fldCharType="end"/>
            </w:r>
            <w:r w:rsidRPr="0059394F">
              <w:rPr>
                <w:sz w:val="18"/>
                <w:lang w:val="pt-BR"/>
              </w:rPr>
              <w:t xml:space="preserve"> </w:t>
            </w:r>
          </w:p>
        </w:tc>
      </w:tr>
    </w:tbl>
    <w:p w14:paraId="1EBEF626" w14:textId="77777777" w:rsidR="009713BF" w:rsidRPr="0059394F" w:rsidRDefault="009713BF" w:rsidP="009713BF">
      <w:pPr>
        <w:rPr>
          <w:lang w:val="pt-BR"/>
        </w:rPr>
      </w:pPr>
    </w:p>
    <w:p w14:paraId="1EF5DE2F"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87" w:name="_Toc235821288"/>
      <w:r w:rsidRPr="005E3D50">
        <w:rPr>
          <w:rFonts w:eastAsiaTheme="majorEastAsia" w:cstheme="majorBidi"/>
          <w:i/>
          <w:iCs/>
          <w:color w:val="595959" w:themeColor="text1" w:themeTint="A6"/>
          <w:lang w:val="es-ES"/>
        </w:rPr>
        <w:t>Dificultades</w:t>
      </w:r>
      <w:bookmarkEnd w:id="487"/>
    </w:p>
    <w:p w14:paraId="59596466" w14:textId="77777777" w:rsidR="009713BF" w:rsidRPr="005E3D50" w:rsidRDefault="009713BF" w:rsidP="009713BF">
      <w:pPr>
        <w:rPr>
          <w:rFonts w:ascii="Aptos" w:eastAsia="Aptos" w:hAnsi="Aptos" w:cs="Aptos"/>
          <w:lang w:val="es-ES"/>
        </w:rPr>
      </w:pPr>
    </w:p>
    <w:p w14:paraId="556D8727" w14:textId="77777777" w:rsidR="009713BF" w:rsidRPr="005E3D50" w:rsidRDefault="009713BF" w:rsidP="009713BF">
      <w:pPr>
        <w:rPr>
          <w:lang w:val="es-ES"/>
        </w:rPr>
      </w:pPr>
      <w:r w:rsidRPr="005E3D50">
        <w:rPr>
          <w:lang w:val="es-ES"/>
        </w:rPr>
        <w:t xml:space="preserve">Muchas Partes informan que las asignaciones presupuestarias nacionales para la diversidad biológica son demasiado bajas. El gasto en materia ambiental suele ser una pequeña parte del gasto público total y la diversidad biológica queda muchas veces relegada frente a otras prioridades de desarrollo que se centran más directamente en, por ejemplo, defensa, seguridad alimentaria e infraestructura. Las Partes que son países en desarrollo comunican carencias en el acceso a financiación internacional. Aun cuando dicha financiación está disponible, las Partes pueden no tener la capacidad institucional necesaria para diseñar propuestas financiables o para cumplir los requisitos de los donantes. Una dificultad transversal recurrente es la brecha que existe entre planificación y ejecución: muchas Partes informan que han diseñado planes de financiación y exámenes de gastos pero que aún no se han puesto en marcha los instrumentos identificados en los planes. La participación del sector privado se menciona ampliamente </w:t>
      </w:r>
      <w:r w:rsidRPr="005E3D50">
        <w:rPr>
          <w:lang w:val="es-ES"/>
        </w:rPr>
        <w:lastRenderedPageBreak/>
        <w:t>como una prioridad, pero rara vez se informa de esa participación con resultados cuantificados. Otra dificultad tiene que ver con los datos y el seguimiento: muchas Partes carecen de sistemas de asignación presupuestaria específica para la biodiversidad, datos consolidados de financiación del sector privado o marcos de seguimiento capaces de distinguir entre financiación de la biodiversidad y financiación para el clima. Algunas Partes informan que no disponen de un sistema centralizado, por lo que los datos de financiación de la biodiversidad se encuentran dispersos en distintos ministerios, proyectos y asociados. Si bien la financiación de la biodiversidad abarca diversos ministerios, raramente se cuenta con mecanismos formales de coordinación. Esto puede llevar a la superposición de mandatos, demoras en la adopción de decisiones, intervenciones fragmentadas y empleo ineficiente de los recursos.</w:t>
      </w:r>
    </w:p>
    <w:p w14:paraId="65E6C4C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6118B9F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88" w:name="_Toc235821289"/>
      <w:r w:rsidRPr="005E3D50">
        <w:rPr>
          <w:rFonts w:eastAsiaTheme="majorEastAsia" w:cstheme="majorBidi"/>
          <w:color w:val="0F4761" w:themeColor="accent1" w:themeShade="BF"/>
          <w:lang w:val="es-ES"/>
        </w:rPr>
        <w:t>Contribuciones de actores distintos de los Gobiernos nacionales</w:t>
      </w:r>
      <w:bookmarkEnd w:id="488"/>
    </w:p>
    <w:p w14:paraId="0CA27214" w14:textId="77777777" w:rsidR="009713BF" w:rsidRPr="005E3D50" w:rsidRDefault="009713BF" w:rsidP="009713BF">
      <w:pPr>
        <w:rPr>
          <w:lang w:val="es-ES"/>
        </w:rPr>
      </w:pPr>
    </w:p>
    <w:p w14:paraId="4EFF11B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489" w:name="_Toc235821290"/>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489"/>
    </w:p>
    <w:p w14:paraId="2A57E9B5" w14:textId="77777777" w:rsidR="009713BF" w:rsidRPr="005E3D50" w:rsidRDefault="009713BF" w:rsidP="009713BF">
      <w:pPr>
        <w:rPr>
          <w:lang w:val="es-ES"/>
        </w:rPr>
      </w:pPr>
    </w:p>
    <w:p w14:paraId="09AD9621" w14:textId="77777777" w:rsidR="009713BF" w:rsidRPr="005E3D50" w:rsidRDefault="009713BF" w:rsidP="009713BF">
      <w:pPr>
        <w:rPr>
          <w:lang w:val="es-ES"/>
        </w:rPr>
      </w:pPr>
      <w:r w:rsidRPr="005E3D50">
        <w:rPr>
          <w:lang w:val="es-ES"/>
        </w:rPr>
        <w:t>De los 180 compromisos sustantivos presentados por actores que no son Gobiernos nacionales, solo 4 tienen que ver principalmente con la meta 19. Dos de los compromisos son de ONG, uno es de una institución financiera y el cuarto es de una institución de investigación. Todos los compromisos abordan la movilización de recursos y la financiación, con una cobertura geográfica que abarca Europa, África, América del Sur y Asia. En concreto, los compromisos incluyen un mecanismo de financiación e incentivos para modalidades de producción que no tengan impactos negativos en los bosques, la asignación de financiación pública de la biodiversidad en apoyo a objetivos de biodiversidad empleando un enfoque basado en los derechos humanos y movilización de financiación privada para soluciones basadas en la naturaleza (véase el recuadro 47).</w:t>
      </w:r>
    </w:p>
    <w:p w14:paraId="63652D81"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4BE252DD" w14:textId="77777777" w:rsidTr="006E6831">
        <w:tc>
          <w:tcPr>
            <w:tcW w:w="9016" w:type="dxa"/>
            <w:shd w:val="clear" w:color="auto" w:fill="E8E8E8" w:themeFill="background2"/>
          </w:tcPr>
          <w:p w14:paraId="3B8F8C93" w14:textId="77777777" w:rsidR="009713BF" w:rsidRPr="005E3D50" w:rsidRDefault="009713BF" w:rsidP="009713BF">
            <w:pPr>
              <w:rPr>
                <w:i/>
                <w:iCs/>
                <w:lang w:val="es-ES"/>
              </w:rPr>
            </w:pPr>
          </w:p>
          <w:p w14:paraId="0D10ADA9" w14:textId="77777777" w:rsidR="009713BF" w:rsidRPr="005E3D50" w:rsidRDefault="009713BF" w:rsidP="009713BF">
            <w:pPr>
              <w:rPr>
                <w:sz w:val="20"/>
                <w:szCs w:val="20"/>
                <w:lang w:val="es-ES"/>
              </w:rPr>
            </w:pPr>
            <w:bookmarkStart w:id="490" w:name="_Ref230882260"/>
            <w:r w:rsidRPr="005E3D50">
              <w:rPr>
                <w:sz w:val="20"/>
                <w:lang w:val="es-ES"/>
              </w:rPr>
              <w:t>Recuadro 47</w:t>
            </w:r>
            <w:bookmarkEnd w:id="490"/>
          </w:p>
          <w:p w14:paraId="53E2E018" w14:textId="77777777" w:rsidR="009713BF" w:rsidRPr="005E3D50" w:rsidRDefault="009713BF" w:rsidP="009713BF">
            <w:pPr>
              <w:spacing w:after="160" w:line="278" w:lineRule="auto"/>
              <w:rPr>
                <w:b/>
                <w:bCs/>
                <w:sz w:val="20"/>
                <w:szCs w:val="20"/>
                <w:lang w:val="es-ES"/>
              </w:rPr>
            </w:pPr>
            <w:r w:rsidRPr="005E3D50">
              <w:rPr>
                <w:b/>
                <w:sz w:val="20"/>
                <w:lang w:val="es-ES"/>
              </w:rPr>
              <w:t>Triodos Bank: movilización de financiación privada para soluciones basadas en la naturaleza</w:t>
            </w:r>
          </w:p>
          <w:p w14:paraId="41BBDF4C" w14:textId="77777777" w:rsidR="009713BF" w:rsidRPr="005E3D50" w:rsidRDefault="009713BF" w:rsidP="009713BF">
            <w:pPr>
              <w:spacing w:after="160" w:line="278" w:lineRule="auto"/>
              <w:rPr>
                <w:sz w:val="20"/>
                <w:szCs w:val="20"/>
                <w:lang w:val="es-ES"/>
              </w:rPr>
            </w:pPr>
            <w:r w:rsidRPr="005E3D50">
              <w:rPr>
                <w:sz w:val="20"/>
                <w:lang w:val="es-ES"/>
              </w:rPr>
              <w:t xml:space="preserve">Triodos Bank, una institución financiera con sede en el Reino de los Países Bajos que opera en Alemania, Bélgica, España, los Países Bajos y el Reino Unido, implementó una estrategia sobre naturaleza y clima con un período de ejecución que comenzó en enero de 2020 y se extiende hasta diciembre de 2030. Por primera vez, Triodos Bank y Triodos </w:t>
            </w:r>
            <w:proofErr w:type="spellStart"/>
            <w:r w:rsidRPr="005E3D50">
              <w:rPr>
                <w:sz w:val="20"/>
                <w:lang w:val="es-ES"/>
              </w:rPr>
              <w:t>Investment</w:t>
            </w:r>
            <w:proofErr w:type="spellEnd"/>
            <w:r w:rsidRPr="005E3D50">
              <w:rPr>
                <w:sz w:val="20"/>
                <w:lang w:val="es-ES"/>
              </w:rPr>
              <w:t xml:space="preserve"> Management combinaron sus objetivos en materia de clima y diversidad biológica en una única estrategia. Además de financiar </w:t>
            </w:r>
            <w:r w:rsidRPr="005E3D50">
              <w:rPr>
                <w:sz w:val="20"/>
                <w:lang w:val="es-ES"/>
              </w:rPr>
              <w:lastRenderedPageBreak/>
              <w:t xml:space="preserve">275 proyectos de energía renovable y reducir las emisiones absolutas de gases de efecto invernadero en un 42 % para 2030, Triodos Bank tiene como objetivo proporcionar 500 millones de euros en inversiones, préstamos y contribuciones para el sector de soluciones basadas en la naturaleza para 2030, apalancando la capacidad combinada de Triodos Bank, Triodos </w:t>
            </w:r>
            <w:proofErr w:type="spellStart"/>
            <w:r w:rsidRPr="005E3D50">
              <w:rPr>
                <w:sz w:val="20"/>
                <w:lang w:val="es-ES"/>
              </w:rPr>
              <w:t>Investment</w:t>
            </w:r>
            <w:proofErr w:type="spellEnd"/>
            <w:r w:rsidRPr="005E3D50">
              <w:rPr>
                <w:sz w:val="20"/>
                <w:lang w:val="es-ES"/>
              </w:rPr>
              <w:t xml:space="preserve"> Management y Triodos Regenerative Money Centre. Por lo tanto, como parte de las metas de diversidad biológica del grupo, Triodos Bank también busca informar, a partir del año fiscal 2026, sobre el efecto que tienen en la diversidad biológica las soluciones basadas en la naturaleza. La estrategia también incluye colaboración activa con empresas que cotizan en bolsa que tienen dependencias relacionadas con la deforestación, así como con empresas químicas que plantean riesgos para la diversidad biológica por contaminación, junto con un compromiso de fijar indicadores de desempeño clave para impactos en la diversidad biológica relacionados con la agricultura y de adoptar medidas sobre la base de esos indicadores. Triodos Bank aboga además por la adopción de reglamentación eficaz dirigida a armonizar la financiación con los objetivos relacionados con el clima y con la naturaleza. </w:t>
            </w:r>
          </w:p>
          <w:p w14:paraId="5F7233A2" w14:textId="77777777" w:rsidR="009713BF" w:rsidRPr="005E3D50" w:rsidRDefault="009713BF" w:rsidP="009713BF">
            <w:pPr>
              <w:rPr>
                <w:sz w:val="20"/>
                <w:szCs w:val="20"/>
                <w:lang w:val="es-ES"/>
              </w:rPr>
            </w:pPr>
            <w:r w:rsidRPr="005E3D50">
              <w:rPr>
                <w:i/>
                <w:sz w:val="20"/>
                <w:lang w:val="es-ES"/>
              </w:rPr>
              <w:t xml:space="preserve">Metas pertinentes: </w:t>
            </w:r>
            <w:r w:rsidRPr="005E3D50">
              <w:rPr>
                <w:sz w:val="20"/>
                <w:lang w:val="es-ES"/>
              </w:rPr>
              <w:t>7, 8, 10 14,15 y 19.</w:t>
            </w:r>
          </w:p>
          <w:p w14:paraId="3B33C391" w14:textId="77777777" w:rsidR="009713BF" w:rsidRPr="005E3D50" w:rsidRDefault="009713BF" w:rsidP="009713BF">
            <w:pPr>
              <w:spacing w:after="160"/>
              <w:rPr>
                <w:sz w:val="20"/>
                <w:szCs w:val="20"/>
                <w:lang w:val="es-ES"/>
              </w:rPr>
            </w:pPr>
            <w:r w:rsidRPr="005E3D50">
              <w:rPr>
                <w:i/>
                <w:sz w:val="20"/>
                <w:lang w:val="es-ES"/>
              </w:rPr>
              <w:t xml:space="preserve">Fuente: </w:t>
            </w:r>
            <w:r w:rsidRPr="005E3D50">
              <w:rPr>
                <w:sz w:val="20"/>
                <w:lang w:val="es-ES"/>
              </w:rPr>
              <w:t xml:space="preserve">Triodos, compromiso de interesados (véase </w:t>
            </w:r>
            <w:hyperlink r:id="rId191" w:history="1">
              <w:r w:rsidRPr="005E3D50">
                <w:rPr>
                  <w:color w:val="000000" w:themeColor="text1"/>
                  <w:sz w:val="20"/>
                  <w:lang w:val="es-ES"/>
                </w:rPr>
                <w:t>https://ort.cbd.int/database/284131</w:t>
              </w:r>
            </w:hyperlink>
            <w:r w:rsidRPr="005E3D50">
              <w:rPr>
                <w:sz w:val="20"/>
                <w:lang w:val="es-ES"/>
              </w:rPr>
              <w:t>).</w:t>
            </w:r>
          </w:p>
        </w:tc>
      </w:tr>
    </w:tbl>
    <w:p w14:paraId="4491C32C" w14:textId="77777777" w:rsidR="009713BF" w:rsidRPr="005E3D50" w:rsidRDefault="009713BF" w:rsidP="009713BF">
      <w:pPr>
        <w:rPr>
          <w:lang w:val="es-ES"/>
        </w:rPr>
      </w:pPr>
    </w:p>
    <w:p w14:paraId="26F9557D" w14:textId="77777777" w:rsidR="009713BF" w:rsidRPr="005E3D50" w:rsidRDefault="009713BF" w:rsidP="009713BF">
      <w:pPr>
        <w:rPr>
          <w:i/>
          <w:iCs/>
          <w:lang w:val="es-ES"/>
        </w:rPr>
      </w:pPr>
      <w:r w:rsidRPr="005E3D50">
        <w:rPr>
          <w:i/>
          <w:lang w:val="es-ES"/>
        </w:rPr>
        <w:t>Contribuciones integradas en los informes nacionales</w:t>
      </w:r>
    </w:p>
    <w:p w14:paraId="46516278" w14:textId="77777777" w:rsidR="009713BF" w:rsidRPr="005E3D50" w:rsidRDefault="009713BF" w:rsidP="009713BF">
      <w:pPr>
        <w:rPr>
          <w:lang w:val="es-ES"/>
        </w:rPr>
      </w:pPr>
      <w:r w:rsidRPr="005E3D50">
        <w:rPr>
          <w:spacing w:val="-2"/>
          <w:lang w:val="es-ES"/>
        </w:rPr>
        <w:t>La movilización de recursos es el objetivo central de la meta 19 y los actores que se citan como principales financiadores externos son las organizaciones intergubernamentales,</w:t>
      </w:r>
      <w:r w:rsidRPr="005E3D50">
        <w:rPr>
          <w:lang w:val="es-ES"/>
        </w:rPr>
        <w:t xml:space="preserve"> como el FMAM y el Fondo Verde para el Clima, que otorgan subvenciones y préstamos en condiciones favorables, mientras que la función que se informa que cumple la comunidad empresarial y financiera es la de emisora de bonos verdes y proveedora de créditos para la diversidad biológica. Las ONG se destacan en las funciones de implementación y de gestión de proyectos, programas de subvenciones y fondos fiduciarios, mientras que los representantes de sectores relacionados con la diversidad biológica o dependientes de ella contribuyen con esquemas de certificación y pagos por los servicios de los ecosistemas. En las funciones de </w:t>
      </w:r>
      <w:proofErr w:type="spellStart"/>
      <w:r w:rsidRPr="005E3D50">
        <w:rPr>
          <w:lang w:val="es-ES"/>
        </w:rPr>
        <w:t>cogobernanza</w:t>
      </w:r>
      <w:proofErr w:type="spellEnd"/>
      <w:r w:rsidRPr="005E3D50">
        <w:rPr>
          <w:lang w:val="es-ES"/>
        </w:rPr>
        <w:t xml:space="preserve"> y cogestión participan varios actores: los pueblos indígenas y las comunidades locales contribuyen con el diseño conjunto de instrumentos de financiación; los gobiernos federales y subnacionales, las ciudades y otras autoridades locales gestionan transferencias fiscales ecológicas; y las ONG ocupan cargos directivos en fondos nacionales de biodiversidad. Según la información proporcionada, la provisión de conocimientos está principalmente a cargo de organizaciones de investigación y organizaciones intergubernamentales. Las funciones predominantes que cumplen los ciudadanos, las mujeres y la juventud tienen que ver con sensibilización y consultas. </w:t>
      </w:r>
    </w:p>
    <w:p w14:paraId="3B3B6911"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713A71F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 xml:space="preserve">Ejemplos de vínculos con otros acuerdos, procesos y organizaciones </w:t>
      </w:r>
    </w:p>
    <w:p w14:paraId="6A33D551" w14:textId="77777777" w:rsidR="009713BF" w:rsidRPr="005E3D50" w:rsidRDefault="009713BF" w:rsidP="009713BF">
      <w:pPr>
        <w:rPr>
          <w:lang w:val="es-ES"/>
        </w:rPr>
      </w:pPr>
    </w:p>
    <w:p w14:paraId="618B7F88" w14:textId="77777777" w:rsidR="009713BF" w:rsidRPr="005E3D50" w:rsidRDefault="009713BF" w:rsidP="009713BF">
      <w:pPr>
        <w:rPr>
          <w:spacing w:val="-2"/>
          <w:lang w:val="es-ES"/>
        </w:rPr>
      </w:pPr>
      <w:r w:rsidRPr="005E3D50">
        <w:rPr>
          <w:spacing w:val="-2"/>
          <w:lang w:val="es-ES"/>
        </w:rPr>
        <w:lastRenderedPageBreak/>
        <w:t>La iniciativa BIOFIN, gestionada por el PNUD y el FMAM y ejecutada en asociación con la Comisión Europea y una serie de donantes bilaterales, es citada por mucha Partes por el papel de apoyo que cumple en la consecución de la meta 19. La metodología de BIOFIN, que se introdujo en 2012, comprende un examen institucional y de políticas, un examen de gastos en diversidad biológica, una evaluación de necesidades financieras y un plan nacional de financiación de la biodiversidad que prioriza soluciones de financiación para la implementación</w:t>
      </w:r>
      <w:r w:rsidRPr="005E3D50">
        <w:rPr>
          <w:spacing w:val="-2"/>
          <w:vertAlign w:val="superscript"/>
          <w:lang w:val="es-ES"/>
        </w:rPr>
        <w:footnoteReference w:id="38"/>
      </w:r>
      <w:r w:rsidRPr="005E3D50">
        <w:rPr>
          <w:spacing w:val="-2"/>
          <w:lang w:val="es-ES"/>
        </w:rPr>
        <w:t>. Tras la aplicación inicial de la metodología en 41 países, el FMAM se comprometió a apoyar el diseño y la implementación de planes de financiación de la biodiversidad en más de 90 países adicionales, y actualmente la metodología se aplica en más de 130 países. En noviembre de 2025, BIOFIN informó haber apoyado a Gobiernos asociados en la liberación de más de 2.700 millones de dólares en financiación para la naturaleza a nivel mundial, comparado con los 1.700 millones de dólares de 2024</w:t>
      </w:r>
      <w:r w:rsidRPr="005E3D50">
        <w:rPr>
          <w:spacing w:val="-2"/>
          <w:vertAlign w:val="superscript"/>
          <w:lang w:val="es-ES"/>
        </w:rPr>
        <w:footnoteReference w:id="39"/>
      </w:r>
      <w:r w:rsidRPr="005E3D50">
        <w:rPr>
          <w:spacing w:val="-2"/>
          <w:lang w:val="es-ES"/>
        </w:rPr>
        <w:t>. La iniciativa BIOFIN constituye un paso significativo en el fortalecimiento de la base empírica para la financiación de la diversidad biológica, brindando a muchas Partes sus primeros valores de referencia cuantificados de gastos relacionados con la diversidad biológica, un cálculo estimado de las necesidades financieras y un conjunto prioritario de soluciones financieras como insumo para la toma de decisiones de planificación y presupuestación nacional.</w:t>
      </w:r>
    </w:p>
    <w:p w14:paraId="3FA86EF4" w14:textId="77777777" w:rsidR="009713BF" w:rsidRPr="005E3D50" w:rsidRDefault="009713BF" w:rsidP="009713BF">
      <w:pPr>
        <w:rPr>
          <w:lang w:val="es-ES"/>
        </w:rPr>
      </w:pPr>
    </w:p>
    <w:p w14:paraId="3BB56BB8"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491" w:name="_Toc235821291"/>
      <w:bookmarkStart w:id="492" w:name="_Toc239069216"/>
      <w:bookmarkStart w:id="493" w:name="_Toc1233324841"/>
      <w:bookmarkStart w:id="494" w:name="_Toc242882994"/>
      <w:r w:rsidRPr="005E3D50">
        <w:rPr>
          <w:rFonts w:eastAsiaTheme="majorEastAsia" w:cstheme="majorBidi"/>
          <w:b/>
          <w:iCs/>
          <w:color w:val="0F4761" w:themeColor="accent1" w:themeShade="BF"/>
          <w:lang w:val="es-ES"/>
        </w:rPr>
        <w:t>Meta 20.</w:t>
      </w:r>
      <w:r w:rsidRPr="005E3D50">
        <w:rPr>
          <w:rFonts w:eastAsiaTheme="majorEastAsia" w:cstheme="majorBidi"/>
          <w:iCs/>
          <w:color w:val="0F4761" w:themeColor="accent1" w:themeShade="BF"/>
          <w:lang w:val="es-ES"/>
        </w:rPr>
        <w:t xml:space="preserve"> Fortalecer la creación de capacidad, la transferencia de tecnología y la cooperación científica y técnica para la diversidad biológica</w:t>
      </w:r>
      <w:bookmarkEnd w:id="491"/>
      <w:bookmarkEnd w:id="492"/>
      <w:bookmarkEnd w:id="493"/>
      <w:bookmarkEnd w:id="494"/>
    </w:p>
    <w:p w14:paraId="39F24CF5" w14:textId="77777777" w:rsidR="009713BF" w:rsidRPr="005E3D50" w:rsidRDefault="009713BF" w:rsidP="009713BF">
      <w:pPr>
        <w:rPr>
          <w:lang w:val="es-ES"/>
        </w:rPr>
      </w:pPr>
    </w:p>
    <w:p w14:paraId="1F7F280D" w14:textId="77777777" w:rsidR="009713BF" w:rsidRPr="005E3D50" w:rsidRDefault="009713BF" w:rsidP="009713BF">
      <w:pPr>
        <w:rPr>
          <w:sz w:val="22"/>
          <w:szCs w:val="22"/>
          <w:lang w:val="es-ES"/>
        </w:rPr>
      </w:pPr>
      <w:r w:rsidRPr="005E3D50">
        <w:rPr>
          <w:b/>
          <w:sz w:val="22"/>
          <w:lang w:val="es-ES"/>
        </w:rPr>
        <w:t>Texto de la meta.</w:t>
      </w:r>
      <w:r w:rsidRPr="005E3D50">
        <w:rPr>
          <w:i/>
          <w:sz w:val="22"/>
          <w:lang w:val="es-ES"/>
        </w:rPr>
        <w:t xml:space="preserve"> 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r w:rsidRPr="005E3D50">
        <w:rPr>
          <w:sz w:val="22"/>
          <w:lang w:val="es-ES"/>
        </w:rPr>
        <w:t>.</w:t>
      </w:r>
    </w:p>
    <w:p w14:paraId="6C30346A" w14:textId="77777777" w:rsidR="009713BF" w:rsidRPr="005E3D50" w:rsidRDefault="009713BF" w:rsidP="009713BF">
      <w:pPr>
        <w:rPr>
          <w:lang w:val="es-ES"/>
        </w:rPr>
      </w:pPr>
    </w:p>
    <w:p w14:paraId="1057C17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128CC8DB" w14:textId="77777777" w:rsidTr="006E6831">
        <w:tc>
          <w:tcPr>
            <w:tcW w:w="9016" w:type="dxa"/>
            <w:shd w:val="clear" w:color="auto" w:fill="D1D1D1" w:themeFill="background2" w:themeFillShade="E6"/>
          </w:tcPr>
          <w:p w14:paraId="11A5CEEB" w14:textId="77777777" w:rsidR="009713BF" w:rsidRPr="005E3D50" w:rsidRDefault="009713BF" w:rsidP="009713BF">
            <w:pPr>
              <w:rPr>
                <w:rFonts w:ascii="Aptos" w:eastAsia="Times New Roman" w:hAnsi="Aptos" w:cs="Calibri"/>
                <w:color w:val="000000"/>
                <w:lang w:val="es-ES"/>
              </w:rPr>
            </w:pPr>
          </w:p>
          <w:p w14:paraId="20FFDB4C" w14:textId="77777777" w:rsidR="009713BF" w:rsidRPr="005E3D50" w:rsidRDefault="009713BF" w:rsidP="009713BF">
            <w:pPr>
              <w:spacing w:after="160" w:line="278" w:lineRule="auto"/>
              <w:rPr>
                <w:lang w:val="es-ES"/>
              </w:rPr>
            </w:pPr>
            <w:r w:rsidRPr="005E3D50">
              <w:rPr>
                <w:lang w:val="es-ES"/>
              </w:rPr>
              <w:lastRenderedPageBreak/>
              <w:t>Se están logrando progresos en materia de creación de capacidad y cooperación técnica, pero algunos aspectos de la meta 20 siguen sin estar lo suficientemente desarrollados. Las Partes han abordado los elementos de la meta 20 de manera despareja, centrándose en la creación y el desarrollo de capacidad y en el acceso a la innovación más que en otros aspectos. Las tendencias en los indicadores comunicados por 24 Partes muestran mayormente una mejoría y con respecto al indicador binario las Partes informan que han logrado un nivel satisfactorio de progresos, especialmente en el establecimiento de medidas para abordar las necesidades de creación y desarrollo de capacidad; no obstante, es necesario seguir trabajando para llevar a cabo autoevaluaciones de la capacidad nacional. Las autoevaluaciones de metas nacionales relacionadas también indican que muchas Partes están logrando progresos (46 %), aunque persisten deficiencias. Entre los principales desafíos figuran la escasa cobertura en materia de cooperación científica y técnica y las dificultades para realizar un seguimiento de los resultados en materia de creación de capacidad.</w:t>
            </w:r>
          </w:p>
        </w:tc>
      </w:tr>
    </w:tbl>
    <w:p w14:paraId="3E022FA8" w14:textId="77777777" w:rsidR="009713BF" w:rsidRPr="005E3D50" w:rsidRDefault="009713BF" w:rsidP="009713BF">
      <w:pPr>
        <w:rPr>
          <w:lang w:val="es-ES"/>
        </w:rPr>
      </w:pPr>
    </w:p>
    <w:p w14:paraId="74EB1F6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95" w:name="_Ref230787631"/>
      <w:r w:rsidRPr="005E3D50">
        <w:rPr>
          <w:rFonts w:eastAsiaTheme="majorEastAsia" w:cstheme="majorBidi"/>
          <w:color w:val="0F4761" w:themeColor="accent1" w:themeShade="BF"/>
          <w:lang w:val="es-ES"/>
        </w:rPr>
        <w:t>Grado en que las Partes cubren el alcance de la meta 20 del Marco en sus metas nacionales</w:t>
      </w:r>
    </w:p>
    <w:p w14:paraId="7B21081C" w14:textId="77777777" w:rsidR="009713BF" w:rsidRPr="005E3D50" w:rsidRDefault="009713BF" w:rsidP="009713BF">
      <w:pPr>
        <w:rPr>
          <w:lang w:val="es-ES"/>
        </w:rPr>
      </w:pPr>
    </w:p>
    <w:p w14:paraId="3D411BE0"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bookmarkStart w:id="496" w:name="_Ref238800817"/>
      <w:bookmarkEnd w:id="495"/>
      <w:r w:rsidRPr="005E3D50">
        <w:rPr>
          <w:rFonts w:eastAsiaTheme="minorEastAsia"/>
          <w:iCs/>
          <w:color w:val="0E2841" w:themeColor="text2"/>
          <w:kern w:val="0"/>
          <w:sz w:val="20"/>
          <w:szCs w:val="18"/>
          <w:lang w:val="es-ES" w:eastAsia="ja-JP"/>
          <w14:ligatures w14:val="none"/>
        </w:rPr>
        <w:t>Cuadro 43</w:t>
      </w:r>
      <w:bookmarkEnd w:id="496"/>
      <w:r w:rsidRPr="005E3D50">
        <w:rPr>
          <w:rFonts w:eastAsiaTheme="minorEastAsia"/>
          <w:i/>
          <w:iCs/>
          <w:color w:val="0E2841" w:themeColor="text2"/>
          <w:kern w:val="0"/>
          <w:sz w:val="18"/>
          <w:szCs w:val="18"/>
          <w:lang w:val="es-ES" w:eastAsia="ja-JP"/>
          <w14:ligatures w14:val="none"/>
        </w:rPr>
        <w:t xml:space="preserve"> </w:t>
      </w:r>
    </w:p>
    <w:p w14:paraId="05D7240A" w14:textId="77777777" w:rsidR="009713BF" w:rsidRPr="005E3D50" w:rsidRDefault="009713BF" w:rsidP="009713BF">
      <w:pPr>
        <w:keepNext/>
        <w:spacing w:after="200" w:line="240" w:lineRule="auto"/>
        <w:rPr>
          <w:rFonts w:eastAsiaTheme="minorEastAsia"/>
          <w:color w:val="0E2841" w:themeColor="text2"/>
          <w:kern w:val="0"/>
          <w:sz w:val="20"/>
          <w:szCs w:val="20"/>
          <w:vertAlign w:val="superscript"/>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20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0" w:type="auto"/>
        <w:tblLook w:val="04A0" w:firstRow="1" w:lastRow="0" w:firstColumn="1" w:lastColumn="0" w:noHBand="0" w:noVBand="1"/>
      </w:tblPr>
      <w:tblGrid>
        <w:gridCol w:w="8359"/>
        <w:gridCol w:w="657"/>
      </w:tblGrid>
      <w:tr w:rsidR="009713BF" w:rsidRPr="005E3D50" w14:paraId="57F49AA8" w14:textId="77777777" w:rsidTr="006E6831">
        <w:tc>
          <w:tcPr>
            <w:tcW w:w="8359" w:type="dxa"/>
            <w:tcMar>
              <w:top w:w="29" w:type="dxa"/>
              <w:left w:w="115" w:type="dxa"/>
              <w:bottom w:w="29" w:type="dxa"/>
              <w:right w:w="115" w:type="dxa"/>
            </w:tcMar>
          </w:tcPr>
          <w:p w14:paraId="298E47EF"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Fortalecer la creación y el desarrollo de capacidad, para satisfacer las necesidades de una implementación eficaz</w:t>
            </w:r>
          </w:p>
        </w:tc>
        <w:tc>
          <w:tcPr>
            <w:tcW w:w="657" w:type="dxa"/>
            <w:shd w:val="clear" w:color="auto" w:fill="92D050"/>
            <w:tcMar>
              <w:top w:w="29" w:type="dxa"/>
              <w:left w:w="115" w:type="dxa"/>
              <w:bottom w:w="29" w:type="dxa"/>
              <w:right w:w="115" w:type="dxa"/>
            </w:tcMar>
          </w:tcPr>
          <w:p w14:paraId="526A6D6C" w14:textId="77777777" w:rsidR="009713BF" w:rsidRPr="005E3D50" w:rsidRDefault="009713BF" w:rsidP="009713BF">
            <w:pPr>
              <w:rPr>
                <w:lang w:val="es-ES"/>
              </w:rPr>
            </w:pPr>
            <w:r w:rsidRPr="005E3D50">
              <w:rPr>
                <w:lang w:val="es-ES"/>
              </w:rPr>
              <w:t>63</w:t>
            </w:r>
          </w:p>
        </w:tc>
      </w:tr>
      <w:tr w:rsidR="009713BF" w:rsidRPr="005E3D50" w14:paraId="5FB939E5" w14:textId="77777777" w:rsidTr="006E6831">
        <w:tc>
          <w:tcPr>
            <w:tcW w:w="8359" w:type="dxa"/>
            <w:tcMar>
              <w:top w:w="29" w:type="dxa"/>
              <w:left w:w="115" w:type="dxa"/>
              <w:bottom w:w="29" w:type="dxa"/>
              <w:right w:w="115" w:type="dxa"/>
            </w:tcMar>
          </w:tcPr>
          <w:p w14:paraId="5DDDF160"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Fortalecer el acceso a tecnología y la transferencia de tecnología para satisfacer las necesidades de una implementación eficaz</w:t>
            </w:r>
          </w:p>
        </w:tc>
        <w:tc>
          <w:tcPr>
            <w:tcW w:w="657" w:type="dxa"/>
            <w:shd w:val="clear" w:color="auto" w:fill="FFC000"/>
            <w:tcMar>
              <w:top w:w="29" w:type="dxa"/>
              <w:left w:w="115" w:type="dxa"/>
              <w:bottom w:w="29" w:type="dxa"/>
              <w:right w:w="115" w:type="dxa"/>
            </w:tcMar>
          </w:tcPr>
          <w:p w14:paraId="2681E19E" w14:textId="77777777" w:rsidR="009713BF" w:rsidRPr="005E3D50" w:rsidRDefault="009713BF" w:rsidP="009713BF">
            <w:pPr>
              <w:rPr>
                <w:lang w:val="es-ES"/>
              </w:rPr>
            </w:pPr>
            <w:r w:rsidRPr="005E3D50">
              <w:rPr>
                <w:lang w:val="es-ES"/>
              </w:rPr>
              <w:t>33</w:t>
            </w:r>
          </w:p>
        </w:tc>
      </w:tr>
      <w:tr w:rsidR="009713BF" w:rsidRPr="005E3D50" w14:paraId="453EFCCF" w14:textId="77777777" w:rsidTr="006E6831">
        <w:tc>
          <w:tcPr>
            <w:tcW w:w="8359" w:type="dxa"/>
            <w:tcMar>
              <w:top w:w="29" w:type="dxa"/>
              <w:left w:w="115" w:type="dxa"/>
              <w:bottom w:w="29" w:type="dxa"/>
              <w:right w:w="115" w:type="dxa"/>
            </w:tcMar>
          </w:tcPr>
          <w:p w14:paraId="5FEEFBAD"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Promover el desarrollo y el acceso a la innovación para satisfacer las necesidades de una implementación eficaz</w:t>
            </w:r>
          </w:p>
        </w:tc>
        <w:tc>
          <w:tcPr>
            <w:tcW w:w="657" w:type="dxa"/>
            <w:shd w:val="clear" w:color="auto" w:fill="FFFF00"/>
            <w:tcMar>
              <w:top w:w="29" w:type="dxa"/>
              <w:left w:w="115" w:type="dxa"/>
              <w:bottom w:w="29" w:type="dxa"/>
              <w:right w:w="115" w:type="dxa"/>
            </w:tcMar>
          </w:tcPr>
          <w:p w14:paraId="6E3A14DB" w14:textId="77777777" w:rsidR="009713BF" w:rsidRPr="005E3D50" w:rsidRDefault="009713BF" w:rsidP="009713BF">
            <w:pPr>
              <w:rPr>
                <w:lang w:val="es-ES"/>
              </w:rPr>
            </w:pPr>
            <w:r w:rsidRPr="005E3D50">
              <w:rPr>
                <w:lang w:val="es-ES"/>
              </w:rPr>
              <w:t>56</w:t>
            </w:r>
          </w:p>
        </w:tc>
      </w:tr>
      <w:tr w:rsidR="009713BF" w:rsidRPr="005E3D50" w14:paraId="1F6A80AC" w14:textId="77777777" w:rsidTr="006E6831">
        <w:tc>
          <w:tcPr>
            <w:tcW w:w="8359" w:type="dxa"/>
            <w:tcMar>
              <w:top w:w="29" w:type="dxa"/>
              <w:left w:w="115" w:type="dxa"/>
              <w:bottom w:w="29" w:type="dxa"/>
              <w:right w:w="115" w:type="dxa"/>
            </w:tcMar>
          </w:tcPr>
          <w:p w14:paraId="1C7576BB"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Promover la cooperación científica y técnica, incluido a través de la cooperación Sur-Sur, Norte-Sur y triangular, para satisfacer las necesidades de una implementación eficaz</w:t>
            </w:r>
          </w:p>
        </w:tc>
        <w:tc>
          <w:tcPr>
            <w:tcW w:w="657" w:type="dxa"/>
            <w:shd w:val="clear" w:color="auto" w:fill="EE0000"/>
            <w:tcMar>
              <w:top w:w="29" w:type="dxa"/>
              <w:left w:w="115" w:type="dxa"/>
              <w:bottom w:w="29" w:type="dxa"/>
              <w:right w:w="115" w:type="dxa"/>
            </w:tcMar>
          </w:tcPr>
          <w:p w14:paraId="61589C21" w14:textId="77777777" w:rsidR="009713BF" w:rsidRPr="005E3D50" w:rsidRDefault="009713BF" w:rsidP="009713BF">
            <w:pPr>
              <w:rPr>
                <w:lang w:val="es-ES"/>
              </w:rPr>
            </w:pPr>
            <w:r w:rsidRPr="005E3D50">
              <w:rPr>
                <w:lang w:val="es-ES"/>
              </w:rPr>
              <w:t>18</w:t>
            </w:r>
          </w:p>
        </w:tc>
      </w:tr>
      <w:tr w:rsidR="009713BF" w:rsidRPr="005E3D50" w14:paraId="59C82AAA" w14:textId="77777777" w:rsidTr="006E6831">
        <w:tc>
          <w:tcPr>
            <w:tcW w:w="8359" w:type="dxa"/>
            <w:tcMar>
              <w:top w:w="29" w:type="dxa"/>
              <w:left w:w="115" w:type="dxa"/>
              <w:bottom w:w="29" w:type="dxa"/>
              <w:right w:w="115" w:type="dxa"/>
            </w:tcMar>
          </w:tcPr>
          <w:p w14:paraId="53D7026D"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Promover el desarrollo conjunto de tecnología para la conservación y la utilización sostenible de la diversidad biológica</w:t>
            </w:r>
          </w:p>
        </w:tc>
        <w:tc>
          <w:tcPr>
            <w:tcW w:w="657" w:type="dxa"/>
            <w:shd w:val="clear" w:color="auto" w:fill="FFC000"/>
            <w:tcMar>
              <w:top w:w="29" w:type="dxa"/>
              <w:left w:w="115" w:type="dxa"/>
              <w:bottom w:w="29" w:type="dxa"/>
              <w:right w:w="115" w:type="dxa"/>
            </w:tcMar>
          </w:tcPr>
          <w:p w14:paraId="7A84F56C" w14:textId="77777777" w:rsidR="009713BF" w:rsidRPr="005E3D50" w:rsidRDefault="009713BF" w:rsidP="009713BF">
            <w:pPr>
              <w:rPr>
                <w:lang w:val="es-ES"/>
              </w:rPr>
            </w:pPr>
            <w:r w:rsidRPr="005E3D50">
              <w:rPr>
                <w:lang w:val="es-ES"/>
              </w:rPr>
              <w:t>36</w:t>
            </w:r>
          </w:p>
        </w:tc>
      </w:tr>
      <w:tr w:rsidR="009713BF" w:rsidRPr="005E3D50" w14:paraId="07D6621C" w14:textId="77777777" w:rsidTr="006E6831">
        <w:tc>
          <w:tcPr>
            <w:tcW w:w="8359" w:type="dxa"/>
            <w:tcMar>
              <w:top w:w="29" w:type="dxa"/>
              <w:left w:w="115" w:type="dxa"/>
              <w:bottom w:w="29" w:type="dxa"/>
              <w:right w:w="115" w:type="dxa"/>
            </w:tcMar>
          </w:tcPr>
          <w:p w14:paraId="6F19B477"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Promover programas conjuntos de investigación científica para la conservación y la utilización sostenible de la diversidad biológica</w:t>
            </w:r>
          </w:p>
        </w:tc>
        <w:tc>
          <w:tcPr>
            <w:tcW w:w="657" w:type="dxa"/>
            <w:shd w:val="clear" w:color="auto" w:fill="FFC000"/>
            <w:tcMar>
              <w:top w:w="29" w:type="dxa"/>
              <w:left w:w="115" w:type="dxa"/>
              <w:bottom w:w="29" w:type="dxa"/>
              <w:right w:w="115" w:type="dxa"/>
            </w:tcMar>
          </w:tcPr>
          <w:p w14:paraId="482D2AF9" w14:textId="77777777" w:rsidR="009713BF" w:rsidRPr="005E3D50" w:rsidRDefault="009713BF" w:rsidP="009713BF">
            <w:pPr>
              <w:rPr>
                <w:lang w:val="es-ES"/>
              </w:rPr>
            </w:pPr>
            <w:r w:rsidRPr="005E3D50">
              <w:rPr>
                <w:lang w:val="es-ES"/>
              </w:rPr>
              <w:t>38</w:t>
            </w:r>
          </w:p>
        </w:tc>
      </w:tr>
      <w:tr w:rsidR="009713BF" w:rsidRPr="005E3D50" w14:paraId="14121D83" w14:textId="77777777" w:rsidTr="006E6831">
        <w:tc>
          <w:tcPr>
            <w:tcW w:w="8359" w:type="dxa"/>
            <w:tcMar>
              <w:top w:w="29" w:type="dxa"/>
              <w:left w:w="115" w:type="dxa"/>
              <w:bottom w:w="29" w:type="dxa"/>
              <w:right w:w="115" w:type="dxa"/>
            </w:tcMar>
          </w:tcPr>
          <w:p w14:paraId="467E82DF" w14:textId="77777777" w:rsidR="009713BF" w:rsidRPr="005E3D50" w:rsidRDefault="009713BF" w:rsidP="009713BF">
            <w:pPr>
              <w:autoSpaceDE w:val="0"/>
              <w:autoSpaceDN w:val="0"/>
              <w:adjustRightInd w:val="0"/>
              <w:rPr>
                <w:rFonts w:cs="Times New Roman"/>
                <w:kern w:val="0"/>
                <w:sz w:val="22"/>
                <w:szCs w:val="22"/>
                <w:lang w:val="es-ES"/>
              </w:rPr>
            </w:pPr>
            <w:r w:rsidRPr="005E3D50">
              <w:rPr>
                <w:sz w:val="22"/>
                <w:lang w:val="es-ES"/>
              </w:rPr>
              <w:t>Fortalecer las capacidades de investigación científica y de seguimiento, en forma acorde con el nivel de ambición de los objetivos y las metas del Marco</w:t>
            </w:r>
          </w:p>
        </w:tc>
        <w:tc>
          <w:tcPr>
            <w:tcW w:w="657" w:type="dxa"/>
            <w:shd w:val="clear" w:color="auto" w:fill="FFC000"/>
            <w:tcMar>
              <w:top w:w="29" w:type="dxa"/>
              <w:left w:w="115" w:type="dxa"/>
              <w:bottom w:w="29" w:type="dxa"/>
              <w:right w:w="115" w:type="dxa"/>
            </w:tcMar>
          </w:tcPr>
          <w:p w14:paraId="7E6F6F69" w14:textId="77777777" w:rsidR="009713BF" w:rsidRPr="005E3D50" w:rsidRDefault="009713BF" w:rsidP="009713BF">
            <w:pPr>
              <w:rPr>
                <w:lang w:val="es-ES"/>
              </w:rPr>
            </w:pPr>
            <w:r w:rsidRPr="005E3D50">
              <w:rPr>
                <w:lang w:val="es-ES"/>
              </w:rPr>
              <w:t>38</w:t>
            </w:r>
          </w:p>
        </w:tc>
      </w:tr>
      <w:tr w:rsidR="009713BF" w:rsidRPr="005E3D50" w14:paraId="1B9EA61A" w14:textId="77777777" w:rsidTr="006E6831">
        <w:tc>
          <w:tcPr>
            <w:tcW w:w="9016" w:type="dxa"/>
            <w:gridSpan w:val="2"/>
          </w:tcPr>
          <w:p w14:paraId="1602E290"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07BA7C18"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42 % de estos elementos en sus metas nacionales</w:t>
            </w:r>
          </w:p>
          <w:p w14:paraId="183746AA" w14:textId="77777777" w:rsidR="009713BF" w:rsidRPr="005E3D50" w:rsidRDefault="009713BF" w:rsidP="009713BF">
            <w:pPr>
              <w:rPr>
                <w:b/>
                <w:bCs/>
                <w:lang w:val="es-ES"/>
              </w:rPr>
            </w:pPr>
          </w:p>
        </w:tc>
      </w:tr>
    </w:tbl>
    <w:p w14:paraId="3056EBB8" w14:textId="77777777" w:rsidR="009713BF" w:rsidRPr="005E3D50" w:rsidRDefault="009713BF" w:rsidP="009713BF">
      <w:pPr>
        <w:rPr>
          <w:lang w:val="es-ES"/>
        </w:rPr>
      </w:pPr>
    </w:p>
    <w:p w14:paraId="119DB522" w14:textId="77777777" w:rsidR="009713BF" w:rsidRPr="005E3D50" w:rsidRDefault="009713BF" w:rsidP="009713BF">
      <w:pPr>
        <w:rPr>
          <w:lang w:val="es-ES"/>
        </w:rPr>
      </w:pPr>
      <w:r w:rsidRPr="005E3D50">
        <w:rPr>
          <w:lang w:val="es-ES"/>
        </w:rPr>
        <w:t>Se registra un alto grado de variación en el número de Partes que abordan los diversos elementos de la meta 20 en sus metas nacionales (véase el cuadro 43). Cerca de dos tercios de las Partes (63 %) tienen metas nacionales que en cierta medida abordan el elemento de fortalecimiento de la creación y el desarrollo de capacidad para satisfacer las necesidades de una implementación eficaz. Más de la mitad de las Partes (56 %) abordan la promoción del desarrollo y el acceso a la innovación. Una proporción mucho menor de Partes aborda el fortalecimiento del acceso a tecnología y la transferencia de tecnología, la promoción del desarrollo conjunto de tecnología y programas conjuntos de investigación científica o el fortalecimiento de las capacidades de investigación científica y de seguimiento. Menos de un quinto de las Partes (18 %) tienen metas nacionales que abordan el elemento de promoción de la cooperación científica y técnica, incluido a través de la cooperación Sur-Sur, Norte-Sur y triangular, para satisfacer las necesidades de una implementación eficaz.</w:t>
      </w:r>
    </w:p>
    <w:p w14:paraId="6A3A912C" w14:textId="77777777" w:rsidR="009713BF" w:rsidRPr="005E3D50" w:rsidRDefault="009713BF" w:rsidP="009713BF">
      <w:pPr>
        <w:rPr>
          <w:lang w:val="es-ES"/>
        </w:rPr>
      </w:pPr>
    </w:p>
    <w:p w14:paraId="63E02B2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97" w:name="_Toc235821294"/>
      <w:r w:rsidRPr="005E3D50">
        <w:rPr>
          <w:rFonts w:eastAsiaTheme="majorEastAsia" w:cstheme="majorBidi"/>
          <w:color w:val="0F4761" w:themeColor="accent1" w:themeShade="BF"/>
          <w:lang w:val="es-ES"/>
        </w:rPr>
        <w:t>Indicadores de progresos</w:t>
      </w:r>
      <w:bookmarkEnd w:id="497"/>
    </w:p>
    <w:p w14:paraId="29E5A0FD" w14:textId="77777777" w:rsidR="009713BF" w:rsidRPr="005E3D50" w:rsidRDefault="009713BF" w:rsidP="009713BF">
      <w:pPr>
        <w:spacing w:after="200" w:line="240" w:lineRule="auto"/>
        <w:rPr>
          <w:rFonts w:eastAsiaTheme="minorEastAsia"/>
          <w:color w:val="0E2841" w:themeColor="text2"/>
          <w:kern w:val="0"/>
          <w:sz w:val="20"/>
          <w:szCs w:val="20"/>
          <w:lang w:val="es-ES" w:eastAsia="ja-JP"/>
          <w14:ligatures w14:val="none"/>
        </w:rPr>
      </w:pPr>
    </w:p>
    <w:p w14:paraId="695DC780"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44 </w:t>
      </w:r>
    </w:p>
    <w:p w14:paraId="4DBB5F2D"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20 del Marco</w:t>
      </w:r>
    </w:p>
    <w:p w14:paraId="283F2DD8" w14:textId="77777777" w:rsidR="009713BF" w:rsidRPr="005E3D50" w:rsidRDefault="009713BF" w:rsidP="009713BF">
      <w:pPr>
        <w:rPr>
          <w:lang w:val="es-ES" w:eastAsia="ja-JP"/>
        </w:rPr>
      </w:pPr>
    </w:p>
    <w:tbl>
      <w:tblPr>
        <w:tblW w:w="9265" w:type="dxa"/>
        <w:tblLook w:val="04A0" w:firstRow="1" w:lastRow="0" w:firstColumn="1" w:lastColumn="0" w:noHBand="0" w:noVBand="1"/>
      </w:tblPr>
      <w:tblGrid>
        <w:gridCol w:w="4390"/>
        <w:gridCol w:w="1417"/>
        <w:gridCol w:w="709"/>
        <w:gridCol w:w="2119"/>
        <w:gridCol w:w="622"/>
        <w:gridCol w:w="8"/>
      </w:tblGrid>
      <w:tr w:rsidR="009713BF" w:rsidRPr="005E3D50" w14:paraId="503B4BC4" w14:textId="77777777" w:rsidTr="006E6831">
        <w:trPr>
          <w:gridAfter w:val="1"/>
          <w:wAfter w:w="8" w:type="dxa"/>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1ACE91E9"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eastAsia="en-CA"/>
                <w14:ligatures w14:val="none"/>
              </w:rPr>
            </w:pPr>
          </w:p>
        </w:tc>
        <w:tc>
          <w:tcPr>
            <w:tcW w:w="2126" w:type="dxa"/>
            <w:gridSpan w:val="2"/>
            <w:tcBorders>
              <w:top w:val="single" w:sz="4" w:space="0" w:color="auto"/>
              <w:left w:val="nil"/>
              <w:bottom w:val="single" w:sz="4" w:space="0" w:color="auto"/>
              <w:right w:val="single" w:sz="4" w:space="0" w:color="auto"/>
            </w:tcBorders>
            <w:vAlign w:val="center"/>
          </w:tcPr>
          <w:p w14:paraId="01C05457"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2741" w:type="dxa"/>
            <w:gridSpan w:val="2"/>
            <w:tcBorders>
              <w:top w:val="single" w:sz="4" w:space="0" w:color="auto"/>
              <w:left w:val="nil"/>
              <w:bottom w:val="single" w:sz="4" w:space="0" w:color="auto"/>
              <w:right w:val="single" w:sz="4" w:space="0" w:color="auto"/>
            </w:tcBorders>
            <w:vAlign w:val="center"/>
          </w:tcPr>
          <w:p w14:paraId="4A704607"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2D67D055" w14:textId="77777777" w:rsidTr="006E6831">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68B27"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binario 20.b: número de países que han adoptado medidas significativas para fortalecer la creación y el desarrollo de capacidad, el acceso a tecnología y la transferencia de tecnología y para promover el desarrollo de innovación, el acceso a innovación y la cooperación científica y técnica</w:t>
            </w:r>
          </w:p>
        </w:tc>
        <w:tc>
          <w:tcPr>
            <w:tcW w:w="1417" w:type="dxa"/>
            <w:tcBorders>
              <w:top w:val="single" w:sz="4" w:space="0" w:color="auto"/>
              <w:left w:val="nil"/>
              <w:bottom w:val="single" w:sz="4" w:space="0" w:color="auto"/>
              <w:right w:val="single" w:sz="4" w:space="0" w:color="auto"/>
            </w:tcBorders>
            <w:vAlign w:val="center"/>
            <w:hideMark/>
          </w:tcPr>
          <w:p w14:paraId="7AA50EB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709" w:type="dxa"/>
            <w:tcBorders>
              <w:top w:val="single" w:sz="4" w:space="0" w:color="auto"/>
              <w:left w:val="nil"/>
              <w:bottom w:val="single" w:sz="4" w:space="0" w:color="auto"/>
              <w:right w:val="single" w:sz="4" w:space="0" w:color="auto"/>
            </w:tcBorders>
            <w:vAlign w:val="center"/>
            <w:hideMark/>
          </w:tcPr>
          <w:p w14:paraId="293166A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 xml:space="preserve">n. </w:t>
            </w:r>
            <w:proofErr w:type="spellStart"/>
            <w:proofErr w:type="gramStart"/>
            <w:r w:rsidRPr="005E3D50">
              <w:rPr>
                <w:sz w:val="20"/>
                <w:lang w:val="es-ES"/>
              </w:rPr>
              <w:t>a.</w:t>
            </w:r>
            <w:r w:rsidRPr="005E3D50">
              <w:rPr>
                <w:sz w:val="20"/>
                <w:vertAlign w:val="superscript"/>
                <w:lang w:val="es-ES"/>
              </w:rPr>
              <w:t>a</w:t>
            </w:r>
            <w:proofErr w:type="spellEnd"/>
            <w:proofErr w:type="gramEnd"/>
          </w:p>
        </w:tc>
        <w:tc>
          <w:tcPr>
            <w:tcW w:w="2119" w:type="dxa"/>
            <w:tcBorders>
              <w:top w:val="single" w:sz="4" w:space="0" w:color="auto"/>
              <w:left w:val="nil"/>
              <w:bottom w:val="single" w:sz="4" w:space="0" w:color="auto"/>
              <w:right w:val="single" w:sz="4" w:space="0" w:color="auto"/>
            </w:tcBorders>
            <w:vAlign w:val="center"/>
            <w:hideMark/>
          </w:tcPr>
          <w:p w14:paraId="673B0F85"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El 36 % de las Partes tuvieron una puntuación alta (puntuación de 4 o 5)</w:t>
            </w:r>
          </w:p>
        </w:tc>
        <w:tc>
          <w:tcPr>
            <w:tcW w:w="630" w:type="dxa"/>
            <w:gridSpan w:val="2"/>
            <w:tcBorders>
              <w:top w:val="single" w:sz="4" w:space="0" w:color="auto"/>
              <w:left w:val="nil"/>
              <w:bottom w:val="single" w:sz="4" w:space="0" w:color="auto"/>
              <w:right w:val="single" w:sz="4" w:space="0" w:color="auto"/>
            </w:tcBorders>
            <w:shd w:val="clear" w:color="000000" w:fill="FFC000"/>
            <w:vAlign w:val="bottom"/>
            <w:hideMark/>
          </w:tcPr>
          <w:p w14:paraId="5FCF43C5"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tc>
      </w:tr>
      <w:tr w:rsidR="009713BF" w:rsidRPr="005E3D50" w14:paraId="58702194" w14:textId="77777777" w:rsidTr="006E6831">
        <w:trPr>
          <w:trHeight w:val="1050"/>
        </w:trPr>
        <w:tc>
          <w:tcPr>
            <w:tcW w:w="4390" w:type="dxa"/>
            <w:tcBorders>
              <w:top w:val="nil"/>
              <w:left w:val="single" w:sz="4" w:space="0" w:color="auto"/>
              <w:bottom w:val="single" w:sz="4" w:space="0" w:color="auto"/>
              <w:right w:val="single" w:sz="4" w:space="0" w:color="auto"/>
            </w:tcBorders>
            <w:shd w:val="clear" w:color="000000" w:fill="FFFFFF"/>
            <w:vAlign w:val="center"/>
            <w:hideMark/>
          </w:tcPr>
          <w:p w14:paraId="02B018B6"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1417" w:type="dxa"/>
            <w:tcBorders>
              <w:top w:val="nil"/>
              <w:left w:val="nil"/>
              <w:bottom w:val="single" w:sz="4" w:space="0" w:color="auto"/>
              <w:right w:val="single" w:sz="4" w:space="0" w:color="auto"/>
            </w:tcBorders>
            <w:vAlign w:val="center"/>
            <w:hideMark/>
          </w:tcPr>
          <w:p w14:paraId="38B0AAB3"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24 </w:t>
            </w:r>
            <w:proofErr w:type="gramStart"/>
            <w:r w:rsidRPr="005E3D50">
              <w:rPr>
                <w:sz w:val="20"/>
                <w:lang w:val="es-ES"/>
              </w:rPr>
              <w:t>Partes</w:t>
            </w:r>
            <w:proofErr w:type="gramEnd"/>
            <w:r w:rsidRPr="005E3D50">
              <w:rPr>
                <w:sz w:val="20"/>
                <w:lang w:val="es-ES"/>
              </w:rPr>
              <w:t>, 19 %</w:t>
            </w:r>
          </w:p>
        </w:tc>
        <w:tc>
          <w:tcPr>
            <w:tcW w:w="709" w:type="dxa"/>
            <w:tcBorders>
              <w:top w:val="nil"/>
              <w:left w:val="nil"/>
              <w:bottom w:val="single" w:sz="4" w:space="0" w:color="auto"/>
              <w:right w:val="single" w:sz="4" w:space="0" w:color="auto"/>
            </w:tcBorders>
            <w:shd w:val="clear" w:color="000000" w:fill="C00000"/>
            <w:vAlign w:val="center"/>
            <w:hideMark/>
          </w:tcPr>
          <w:p w14:paraId="6C9171C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p>
        </w:tc>
        <w:tc>
          <w:tcPr>
            <w:tcW w:w="2119" w:type="dxa"/>
            <w:tcBorders>
              <w:top w:val="nil"/>
              <w:left w:val="nil"/>
              <w:bottom w:val="single" w:sz="4" w:space="0" w:color="auto"/>
              <w:right w:val="single" w:sz="4" w:space="0" w:color="auto"/>
            </w:tcBorders>
            <w:vAlign w:val="center"/>
            <w:hideMark/>
          </w:tcPr>
          <w:p w14:paraId="22C73E48" w14:textId="77777777" w:rsidR="009713BF" w:rsidRPr="005E3D50" w:rsidRDefault="009713BF" w:rsidP="009713BF">
            <w:pPr>
              <w:jc w:val="center"/>
              <w:rPr>
                <w:sz w:val="20"/>
                <w:szCs w:val="20"/>
                <w:lang w:val="es-ES"/>
              </w:rPr>
            </w:pPr>
            <w:r w:rsidRPr="005E3D50">
              <w:rPr>
                <w:sz w:val="20"/>
                <w:lang w:val="es-ES"/>
              </w:rPr>
              <w:t>45 % registran tendencias positivas</w:t>
            </w:r>
          </w:p>
          <w:p w14:paraId="50AD193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13 % registran tendencias negativas</w:t>
            </w:r>
          </w:p>
        </w:tc>
        <w:tc>
          <w:tcPr>
            <w:tcW w:w="630" w:type="dxa"/>
            <w:gridSpan w:val="2"/>
            <w:tcBorders>
              <w:top w:val="single" w:sz="4" w:space="0" w:color="auto"/>
              <w:left w:val="nil"/>
              <w:bottom w:val="single" w:sz="4" w:space="0" w:color="auto"/>
              <w:right w:val="single" w:sz="4" w:space="0" w:color="auto"/>
            </w:tcBorders>
            <w:shd w:val="clear" w:color="auto" w:fill="92D050"/>
            <w:vAlign w:val="bottom"/>
            <w:hideMark/>
          </w:tcPr>
          <w:p w14:paraId="1BAD0A48"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tc>
      </w:tr>
    </w:tbl>
    <w:p w14:paraId="60C51829" w14:textId="77777777" w:rsidR="009713BF" w:rsidRPr="005E3D50" w:rsidRDefault="009713BF" w:rsidP="009713BF">
      <w:pPr>
        <w:rPr>
          <w:rFonts w:ascii="Aptos" w:hAnsi="Aptos" w:cs="Segoe UI"/>
          <w:lang w:val="es-ES"/>
        </w:rPr>
      </w:pPr>
    </w:p>
    <w:p w14:paraId="043CBE3B"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295A8F0A"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16"/>
          <w:szCs w:val="16"/>
          <w:lang w:val="es-ES" w:eastAsia="ja-JP"/>
          <w14:ligatures w14:val="none"/>
        </w:rPr>
        <w:t>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122E2F8D" w14:textId="77777777" w:rsidR="009713BF" w:rsidRPr="005E3D50" w:rsidRDefault="009713BF" w:rsidP="009713BF">
      <w:pPr>
        <w:rPr>
          <w:rFonts w:ascii="Aptos" w:hAnsi="Aptos"/>
          <w:strike/>
          <w:lang w:val="es-ES"/>
        </w:rPr>
      </w:pPr>
    </w:p>
    <w:p w14:paraId="10E3018D" w14:textId="77777777" w:rsidR="009713BF" w:rsidRPr="005E3D50" w:rsidRDefault="009713BF" w:rsidP="009713BF">
      <w:pPr>
        <w:rPr>
          <w:rFonts w:ascii="Aptos" w:hAnsi="Aptos" w:cs="Segoe UI"/>
          <w:lang w:val="es-ES"/>
        </w:rPr>
      </w:pPr>
    </w:p>
    <w:p w14:paraId="6FBF4314" w14:textId="77777777" w:rsidR="009713BF" w:rsidRPr="005E3D50" w:rsidRDefault="009713BF" w:rsidP="009713BF">
      <w:pPr>
        <w:rPr>
          <w:lang w:val="es-ES"/>
        </w:rPr>
      </w:pPr>
      <w:r w:rsidRPr="005E3D50">
        <w:rPr>
          <w:lang w:val="es-ES"/>
        </w:rPr>
        <w:t>Es difícil establecer una forma normalizada para hacer un seguimiento de la creación y el desarrollo de capacidad en distintos países, dado que cada país tiene estructuras institucionales diferentes, prioridades diferentes y capacidades existentes diferentes. Algunas Partes, no obstante, presentaron información cuantitativa sobre esfuerzos de creación de capacidad (véanse el cuadro 44 y la figura 83). Las tendencias que se registran en los indicadores presentados son mayoritariamente estables o de mejora. Dado que muchos de esos indicadores miden esfuerzos de implementación, esto estaría indicando progresos sostenidos en la adopción de medidas de creación de capacidad. Alrededor de dos quintos de los indicadores adicionales comunicados por las Partes están armonizados directamente con la meta 20 y la mayoría se centran en el fortalecimiento de la creación y el desarrollo de capacidad para satisfacer las necesidades de una implementación eficaz, la capacidad de investigación científica y de seguimiento y la cooperación científica y técnica. Algunos indicadores abordan también la innovación y el acceso a tecnología, mientras que todos los demás elementos de la meta están escasamente cubiertos.</w:t>
      </w:r>
    </w:p>
    <w:p w14:paraId="177D53B3" w14:textId="77777777" w:rsidR="009713BF" w:rsidRPr="005E3D50" w:rsidRDefault="009713BF" w:rsidP="009713BF">
      <w:pPr>
        <w:rPr>
          <w:lang w:val="es-ES"/>
        </w:rPr>
      </w:pPr>
      <w:r w:rsidRPr="005E3D50">
        <w:rPr>
          <w:lang w:val="es-ES"/>
        </w:rPr>
        <w:t xml:space="preserve">Hay mucha disparidad en los progresos comunicados por las Partes según lo medido por el indicador binario sobre medidas para fortalecer la creación y el desarrollo de capacidad, el acceso a tecnología y la transferencia de tecnología y para promover el desarrollo de la innovación, el acceso a la innovación y la cooperación científica y técnica (véase la figura 82). La mayoría de las Partes informaron que habían logrado un nivel intermedio o alto de progresos. Esto estaría indicando progresos sostenidos en el fortalecimiento de la creación de capacidad y de hecho ya se registran ciertos logros tempranos. Las Partes informan que los mayores progresos se han dado en el establecimiento de medidas para abordar las necesidades de creación y desarrollo de capacidad, seguido de la formación de asociaciones para fomentar el desarrollo de tecnología, la investigación y el </w:t>
      </w:r>
      <w:r w:rsidRPr="005E3D50">
        <w:rPr>
          <w:lang w:val="es-ES"/>
        </w:rPr>
        <w:lastRenderedPageBreak/>
        <w:t xml:space="preserve">seguimiento, y que el elemento en el que ha habido menos progresos es en la realización de autoevaluaciones de la capacidad nacional. </w:t>
      </w:r>
    </w:p>
    <w:p w14:paraId="3E00B033" w14:textId="77777777" w:rsidR="009713BF" w:rsidRPr="005E3D50" w:rsidRDefault="009713BF" w:rsidP="009713BF">
      <w:pPr>
        <w:rPr>
          <w:rFonts w:ascii="Aptos" w:hAnsi="Aptos" w:cs="Segoe UI"/>
          <w:sz w:val="20"/>
          <w:szCs w:val="20"/>
          <w:lang w:val="es-ES"/>
        </w:rPr>
      </w:pPr>
      <w:r w:rsidRPr="005E3D50">
        <w:rPr>
          <w:rFonts w:ascii="Aptos" w:hAnsi="Aptos"/>
          <w:lang w:val="es-ES"/>
        </w:rPr>
        <w:t>En general, las Partes cuentan con medidas para la inclusión de las mujeres, la juventud, los pueblos indígenas y las comunidades locales y las personas con discapacidad en las actividades de creación de capacidad.</w:t>
      </w:r>
      <w:r w:rsidRPr="005E3D50">
        <w:rPr>
          <w:rFonts w:ascii="Aptos" w:hAnsi="Aptos"/>
          <w:sz w:val="20"/>
          <w:lang w:val="es-ES"/>
        </w:rPr>
        <w:t xml:space="preserve"> </w:t>
      </w:r>
    </w:p>
    <w:p w14:paraId="3B747AE1" w14:textId="77777777" w:rsidR="009713BF" w:rsidRPr="005E3D50" w:rsidRDefault="009713BF" w:rsidP="009713BF">
      <w:pPr>
        <w:rPr>
          <w:rFonts w:ascii="Aptos" w:hAnsi="Aptos" w:cs="Segoe UI"/>
          <w:sz w:val="20"/>
          <w:szCs w:val="20"/>
          <w:lang w:val="es-ES"/>
        </w:rPr>
      </w:pPr>
    </w:p>
    <w:p w14:paraId="7E9AE838" w14:textId="77777777" w:rsidR="009713BF" w:rsidRPr="005E3D50" w:rsidRDefault="009713BF" w:rsidP="009713BF">
      <w:pPr>
        <w:rPr>
          <w:sz w:val="20"/>
          <w:szCs w:val="20"/>
          <w:lang w:val="es-ES"/>
        </w:rPr>
      </w:pPr>
      <w:bookmarkStart w:id="498" w:name="_Ref238801326"/>
      <w:r w:rsidRPr="005E3D50">
        <w:rPr>
          <w:sz w:val="20"/>
          <w:lang w:val="es-ES"/>
        </w:rPr>
        <w:t>Figura 82</w:t>
      </w:r>
      <w:bookmarkEnd w:id="498"/>
    </w:p>
    <w:p w14:paraId="17CBAE6C" w14:textId="77777777" w:rsidR="009713BF" w:rsidRPr="005E3D50" w:rsidRDefault="009713BF" w:rsidP="009713BF">
      <w:pPr>
        <w:rPr>
          <w:sz w:val="20"/>
          <w:szCs w:val="20"/>
          <w:lang w:val="es-ES"/>
        </w:rPr>
      </w:pPr>
      <w:r w:rsidRPr="005E3D50">
        <w:rPr>
          <w:b/>
          <w:sz w:val="20"/>
          <w:lang w:val="es-ES"/>
        </w:rPr>
        <w:t>Indicador binario 20.b: número de países que han adoptado medidas significativas para fortalecer la creación y el desarrollo de capacidad, el acceso a tecnología y la transferencia de tecnología y para promover el desarrollo de innovación, el acceso a innovación y la cooperación científica y técnica</w:t>
      </w:r>
    </w:p>
    <w:p w14:paraId="7BEF254B" w14:textId="77777777" w:rsidR="009713BF" w:rsidRPr="005E3D50" w:rsidRDefault="009713BF" w:rsidP="009713BF">
      <w:pPr>
        <w:rPr>
          <w:rFonts w:ascii="Aptos" w:hAnsi="Aptos" w:cs="Segoe UI"/>
          <w:lang w:val="es-ES"/>
        </w:rPr>
      </w:pPr>
    </w:p>
    <w:p w14:paraId="2076BA11"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69D62CB9" wp14:editId="587E9A36">
            <wp:extent cx="5943600" cy="2264410"/>
            <wp:effectExtent l="0" t="0" r="0" b="0"/>
            <wp:docPr id="1315082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82010" name="Picture 1315082010"/>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05CCCF8F"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1D4348F7" w14:textId="77777777" w:rsidR="009713BF" w:rsidRDefault="009713BF" w:rsidP="009713BF">
      <w:pPr>
        <w:spacing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Cs/>
          <w:color w:val="0E2841" w:themeColor="text2"/>
          <w:kern w:val="0"/>
          <w:sz w:val="18"/>
          <w:szCs w:val="18"/>
          <w:vertAlign w:val="superscript"/>
          <w:lang w:val="es-ES" w:eastAsia="ja-JP"/>
          <w14:ligatures w14:val="none"/>
        </w:rPr>
        <w:t>a</w:t>
      </w:r>
      <w:r w:rsidRPr="005E3D50">
        <w:rPr>
          <w:rFonts w:ascii="Aptos" w:eastAsiaTheme="minorEastAsia" w:hAnsi="Aptos"/>
          <w:iCs/>
          <w:color w:val="0E2841" w:themeColor="text2"/>
          <w:kern w:val="0"/>
          <w:sz w:val="18"/>
          <w:szCs w:val="18"/>
          <w:lang w:val="es-ES" w:eastAsia="ja-JP"/>
          <w14:ligatures w14:val="none"/>
        </w:rPr>
        <w:t xml:space="preserve"> La metodología empleada para calcular los niveles de puntuación para cada indicador binario, así como las preguntas incluidas para cada indicador, figuran en el documento </w:t>
      </w:r>
      <w:hyperlink r:id="rId193" w:history="1">
        <w:r w:rsidRPr="005E3D50">
          <w:rPr>
            <w:rFonts w:ascii="Aptos" w:eastAsiaTheme="minorEastAsia" w:hAnsi="Aptos"/>
            <w:iCs/>
            <w:color w:val="0E2841" w:themeColor="text2"/>
            <w:kern w:val="0"/>
            <w:sz w:val="18"/>
            <w:szCs w:val="18"/>
            <w:lang w:val="es-ES" w:eastAsia="ja-JP"/>
            <w14:ligatures w14:val="none"/>
          </w:rPr>
          <w:t>CBD/COP/16/INF/3/Rev.1</w:t>
        </w:r>
      </w:hyperlink>
      <w:r w:rsidRPr="005E3D50">
        <w:rPr>
          <w:rFonts w:ascii="Aptos" w:eastAsiaTheme="minorEastAsia" w:hAnsi="Aptos"/>
          <w:iCs/>
          <w:color w:val="0E2841" w:themeColor="text2"/>
          <w:kern w:val="0"/>
          <w:sz w:val="18"/>
          <w:szCs w:val="18"/>
          <w:lang w:val="es-ES" w:eastAsia="ja-JP"/>
          <w14:ligatures w14:val="none"/>
        </w:rPr>
        <w:t>.</w:t>
      </w:r>
    </w:p>
    <w:tbl>
      <w:tblPr>
        <w:tblStyle w:val="TableGrid"/>
        <w:tblW w:w="9387" w:type="dxa"/>
        <w:tblLook w:val="04A0" w:firstRow="1" w:lastRow="0" w:firstColumn="1" w:lastColumn="0" w:noHBand="0" w:noVBand="1"/>
      </w:tblPr>
      <w:tblGrid>
        <w:gridCol w:w="4840"/>
        <w:gridCol w:w="4547"/>
      </w:tblGrid>
      <w:tr w:rsidR="00A432F7" w:rsidRPr="00A432F7" w14:paraId="61DEC0EE" w14:textId="77777777" w:rsidTr="00A432F7">
        <w:tc>
          <w:tcPr>
            <w:tcW w:w="4840" w:type="dxa"/>
          </w:tcPr>
          <w:p w14:paraId="0B8109CB" w14:textId="3E9CCC06" w:rsidR="00A432F7" w:rsidRPr="00A432F7" w:rsidRDefault="00A432F7" w:rsidP="00A432F7">
            <w:pPr>
              <w:rPr>
                <w:sz w:val="18"/>
                <w:szCs w:val="18"/>
                <w:lang w:val="es-ES"/>
              </w:rPr>
            </w:pPr>
            <w:r w:rsidRPr="00A432F7">
              <w:rPr>
                <w:sz w:val="18"/>
                <w:szCs w:val="18"/>
                <w:lang w:val="es-ES"/>
              </w:rPr>
              <w:t>Figura 82</w:t>
            </w:r>
          </w:p>
        </w:tc>
        <w:tc>
          <w:tcPr>
            <w:tcW w:w="4547" w:type="dxa"/>
          </w:tcPr>
          <w:p w14:paraId="70615AA1" w14:textId="77777777" w:rsidR="00A432F7" w:rsidRPr="00A432F7" w:rsidRDefault="00A432F7" w:rsidP="00A432F7">
            <w:pPr>
              <w:rPr>
                <w:sz w:val="18"/>
                <w:szCs w:val="18"/>
                <w:lang w:val="es-ES"/>
              </w:rPr>
            </w:pPr>
          </w:p>
        </w:tc>
      </w:tr>
      <w:tr w:rsidR="00A432F7" w:rsidRPr="00A432F7" w14:paraId="3B54D39F" w14:textId="77777777" w:rsidTr="00A432F7">
        <w:tc>
          <w:tcPr>
            <w:tcW w:w="4840" w:type="dxa"/>
          </w:tcPr>
          <w:p w14:paraId="0E36CF41" w14:textId="008620E5" w:rsidR="00A432F7" w:rsidRPr="00A432F7" w:rsidRDefault="00A432F7" w:rsidP="00A432F7">
            <w:pPr>
              <w:spacing w:line="278" w:lineRule="auto"/>
              <w:rPr>
                <w:sz w:val="18"/>
                <w:szCs w:val="18"/>
                <w:lang w:val="es-ES"/>
              </w:rPr>
            </w:pPr>
            <w:r w:rsidRPr="00A432F7">
              <w:rPr>
                <w:sz w:val="18"/>
                <w:szCs w:val="18"/>
                <w:lang w:val="es-ES"/>
              </w:rPr>
              <w:t xml:space="preserve">English </w:t>
            </w:r>
          </w:p>
        </w:tc>
        <w:tc>
          <w:tcPr>
            <w:tcW w:w="4547" w:type="dxa"/>
          </w:tcPr>
          <w:p w14:paraId="01B296EE" w14:textId="65454DCA" w:rsidR="00A432F7" w:rsidRPr="00A432F7" w:rsidRDefault="00A432F7" w:rsidP="00A432F7">
            <w:pPr>
              <w:spacing w:line="278" w:lineRule="auto"/>
              <w:rPr>
                <w:sz w:val="18"/>
                <w:szCs w:val="18"/>
                <w:lang w:val="es-ES"/>
              </w:rPr>
            </w:pPr>
            <w:r w:rsidRPr="00A432F7">
              <w:rPr>
                <w:sz w:val="18"/>
                <w:szCs w:val="18"/>
                <w:lang w:val="es-ES"/>
              </w:rPr>
              <w:t>Español</w:t>
            </w:r>
          </w:p>
        </w:tc>
      </w:tr>
      <w:tr w:rsidR="00A432F7" w:rsidRPr="00A432F7" w14:paraId="45C020B2" w14:textId="77777777" w:rsidTr="00A432F7">
        <w:tc>
          <w:tcPr>
            <w:tcW w:w="4840" w:type="dxa"/>
          </w:tcPr>
          <w:p w14:paraId="68066239" w14:textId="77777777" w:rsidR="00A432F7" w:rsidRPr="00A432F7" w:rsidRDefault="00A432F7" w:rsidP="00A432F7">
            <w:pPr>
              <w:spacing w:line="278" w:lineRule="auto"/>
              <w:rPr>
                <w:sz w:val="18"/>
                <w:szCs w:val="18"/>
                <w:lang w:val="es-ES"/>
              </w:rPr>
            </w:pPr>
            <w:proofErr w:type="spellStart"/>
            <w:r w:rsidRPr="00A432F7">
              <w:rPr>
                <w:sz w:val="18"/>
                <w:szCs w:val="18"/>
                <w:lang w:val="es-ES"/>
              </w:rPr>
              <w:t>Answers</w:t>
            </w:r>
            <w:proofErr w:type="spellEnd"/>
            <w:r w:rsidRPr="00A432F7">
              <w:rPr>
                <w:sz w:val="18"/>
                <w:szCs w:val="18"/>
                <w:lang w:val="es-ES"/>
              </w:rPr>
              <w:t xml:space="preserve"> (</w:t>
            </w:r>
            <w:proofErr w:type="spellStart"/>
            <w:r w:rsidRPr="00A432F7">
              <w:rPr>
                <w:sz w:val="18"/>
                <w:szCs w:val="18"/>
                <w:lang w:val="es-ES"/>
              </w:rPr>
              <w:t>percentage</w:t>
            </w:r>
            <w:proofErr w:type="spellEnd"/>
            <w:r w:rsidRPr="00A432F7">
              <w:rPr>
                <w:sz w:val="18"/>
                <w:szCs w:val="18"/>
                <w:lang w:val="es-ES"/>
              </w:rPr>
              <w:t>)</w:t>
            </w:r>
          </w:p>
        </w:tc>
        <w:tc>
          <w:tcPr>
            <w:tcW w:w="4547" w:type="dxa"/>
          </w:tcPr>
          <w:p w14:paraId="2839A01C" w14:textId="77777777" w:rsidR="00A432F7" w:rsidRPr="00A432F7" w:rsidRDefault="00A432F7" w:rsidP="00A432F7">
            <w:pPr>
              <w:spacing w:line="278" w:lineRule="auto"/>
              <w:rPr>
                <w:sz w:val="18"/>
                <w:szCs w:val="18"/>
                <w:lang w:val="es-ES"/>
              </w:rPr>
            </w:pPr>
            <w:r w:rsidRPr="00A432F7">
              <w:rPr>
                <w:sz w:val="18"/>
                <w:szCs w:val="18"/>
                <w:lang w:val="es-ES"/>
              </w:rPr>
              <w:t>Respuestas (porcentaje)</w:t>
            </w:r>
          </w:p>
        </w:tc>
      </w:tr>
      <w:tr w:rsidR="00A432F7" w:rsidRPr="00A432F7" w14:paraId="23CB6601" w14:textId="77777777" w:rsidTr="00A432F7">
        <w:tc>
          <w:tcPr>
            <w:tcW w:w="4840" w:type="dxa"/>
          </w:tcPr>
          <w:p w14:paraId="76B33449" w14:textId="77777777" w:rsidR="00A432F7" w:rsidRPr="00A432F7" w:rsidRDefault="00A432F7" w:rsidP="00A432F7">
            <w:pPr>
              <w:spacing w:line="278" w:lineRule="auto"/>
              <w:rPr>
                <w:sz w:val="18"/>
                <w:szCs w:val="18"/>
                <w:lang w:val="es-ES"/>
              </w:rPr>
            </w:pPr>
            <w:r w:rsidRPr="00A432F7">
              <w:rPr>
                <w:sz w:val="18"/>
                <w:szCs w:val="18"/>
                <w:lang w:val="es-ES"/>
              </w:rPr>
              <w:t>Score Level</w:t>
            </w:r>
          </w:p>
        </w:tc>
        <w:tc>
          <w:tcPr>
            <w:tcW w:w="4547" w:type="dxa"/>
          </w:tcPr>
          <w:p w14:paraId="4E440D9F" w14:textId="77777777" w:rsidR="00A432F7" w:rsidRPr="00A432F7" w:rsidRDefault="00A432F7" w:rsidP="00A432F7">
            <w:pPr>
              <w:spacing w:line="278" w:lineRule="auto"/>
              <w:rPr>
                <w:sz w:val="18"/>
                <w:szCs w:val="18"/>
                <w:lang w:val="es-ES"/>
              </w:rPr>
            </w:pPr>
            <w:r w:rsidRPr="00A432F7">
              <w:rPr>
                <w:sz w:val="18"/>
                <w:szCs w:val="18"/>
                <w:lang w:val="es-ES"/>
              </w:rPr>
              <w:t>Nivel de puntuación</w:t>
            </w:r>
          </w:p>
        </w:tc>
      </w:tr>
      <w:tr w:rsidR="00A432F7" w:rsidRPr="00A432F7" w14:paraId="2CCBB6BB" w14:textId="77777777" w:rsidTr="00A432F7">
        <w:tc>
          <w:tcPr>
            <w:tcW w:w="4840" w:type="dxa"/>
          </w:tcPr>
          <w:p w14:paraId="4D14F4A7" w14:textId="77777777" w:rsidR="00A432F7" w:rsidRPr="00A432F7" w:rsidRDefault="00A432F7" w:rsidP="00A432F7">
            <w:pPr>
              <w:spacing w:line="278" w:lineRule="auto"/>
              <w:rPr>
                <w:sz w:val="18"/>
                <w:szCs w:val="18"/>
                <w:lang w:val="es-ES"/>
              </w:rPr>
            </w:pPr>
            <w:r w:rsidRPr="00A432F7">
              <w:rPr>
                <w:sz w:val="18"/>
                <w:szCs w:val="18"/>
                <w:lang w:val="es-ES"/>
              </w:rPr>
              <w:t xml:space="preserve">Party </w:t>
            </w:r>
            <w:proofErr w:type="spellStart"/>
            <w:r w:rsidRPr="00A432F7">
              <w:rPr>
                <w:sz w:val="18"/>
                <w:szCs w:val="18"/>
                <w:lang w:val="es-ES"/>
              </w:rPr>
              <w:t>count</w:t>
            </w:r>
            <w:proofErr w:type="spellEnd"/>
            <w:r w:rsidRPr="00A432F7">
              <w:rPr>
                <w:sz w:val="18"/>
                <w:szCs w:val="18"/>
                <w:lang w:val="es-ES"/>
              </w:rPr>
              <w:t>: 127</w:t>
            </w:r>
          </w:p>
        </w:tc>
        <w:tc>
          <w:tcPr>
            <w:tcW w:w="4547" w:type="dxa"/>
          </w:tcPr>
          <w:p w14:paraId="1B692C0D" w14:textId="77777777" w:rsidR="00A432F7" w:rsidRPr="00A432F7" w:rsidRDefault="00A432F7" w:rsidP="00A432F7">
            <w:pPr>
              <w:spacing w:line="278" w:lineRule="auto"/>
              <w:rPr>
                <w:sz w:val="18"/>
                <w:szCs w:val="18"/>
                <w:lang w:val="es-ES"/>
              </w:rPr>
            </w:pPr>
            <w:r w:rsidRPr="00A432F7">
              <w:rPr>
                <w:sz w:val="18"/>
                <w:szCs w:val="18"/>
                <w:lang w:val="es-ES"/>
              </w:rPr>
              <w:t>Número de Partes: 127</w:t>
            </w:r>
          </w:p>
        </w:tc>
      </w:tr>
      <w:tr w:rsidR="00A432F7" w:rsidRPr="00A432F7" w14:paraId="78F94D84" w14:textId="77777777" w:rsidTr="00A432F7">
        <w:tc>
          <w:tcPr>
            <w:tcW w:w="4840" w:type="dxa"/>
          </w:tcPr>
          <w:p w14:paraId="1E2DECC4" w14:textId="77777777" w:rsidR="00A432F7" w:rsidRPr="00A432F7" w:rsidRDefault="00A432F7" w:rsidP="00A432F7">
            <w:pPr>
              <w:spacing w:line="278" w:lineRule="auto"/>
              <w:rPr>
                <w:sz w:val="18"/>
                <w:szCs w:val="18"/>
                <w:lang w:val="es-ES"/>
              </w:rPr>
            </w:pPr>
            <w:proofErr w:type="spellStart"/>
            <w:r w:rsidRPr="00A432F7">
              <w:rPr>
                <w:sz w:val="18"/>
                <w:szCs w:val="18"/>
                <w:lang w:val="es-ES"/>
              </w:rPr>
              <w:t>Region</w:t>
            </w:r>
            <w:proofErr w:type="spellEnd"/>
          </w:p>
        </w:tc>
        <w:tc>
          <w:tcPr>
            <w:tcW w:w="4547" w:type="dxa"/>
          </w:tcPr>
          <w:p w14:paraId="2433F98D" w14:textId="77777777" w:rsidR="00A432F7" w:rsidRPr="00A432F7" w:rsidRDefault="00A432F7" w:rsidP="00A432F7">
            <w:pPr>
              <w:spacing w:line="278" w:lineRule="auto"/>
              <w:rPr>
                <w:sz w:val="18"/>
                <w:szCs w:val="18"/>
                <w:lang w:val="es-ES"/>
              </w:rPr>
            </w:pPr>
            <w:r w:rsidRPr="00A432F7">
              <w:rPr>
                <w:sz w:val="18"/>
                <w:szCs w:val="18"/>
                <w:lang w:val="es-ES"/>
              </w:rPr>
              <w:t>Región</w:t>
            </w:r>
          </w:p>
        </w:tc>
      </w:tr>
      <w:tr w:rsidR="00A432F7" w:rsidRPr="00A432F7" w14:paraId="75272C12" w14:textId="77777777" w:rsidTr="00A432F7">
        <w:tc>
          <w:tcPr>
            <w:tcW w:w="4840" w:type="dxa"/>
          </w:tcPr>
          <w:p w14:paraId="0F1FC31B" w14:textId="77777777" w:rsidR="00A432F7" w:rsidRPr="00A432F7" w:rsidRDefault="00A432F7" w:rsidP="00A432F7">
            <w:pPr>
              <w:spacing w:line="278" w:lineRule="auto"/>
              <w:rPr>
                <w:sz w:val="18"/>
                <w:szCs w:val="18"/>
                <w:lang w:val="es-ES"/>
              </w:rPr>
            </w:pPr>
            <w:r w:rsidRPr="00A432F7">
              <w:rPr>
                <w:sz w:val="18"/>
                <w:szCs w:val="18"/>
                <w:lang w:val="es-ES"/>
              </w:rPr>
              <w:t>African States</w:t>
            </w:r>
          </w:p>
        </w:tc>
        <w:tc>
          <w:tcPr>
            <w:tcW w:w="4547" w:type="dxa"/>
          </w:tcPr>
          <w:p w14:paraId="01CEC9FA" w14:textId="77777777" w:rsidR="00A432F7" w:rsidRPr="00A432F7" w:rsidRDefault="00A432F7" w:rsidP="00A432F7">
            <w:pPr>
              <w:spacing w:line="278" w:lineRule="auto"/>
              <w:rPr>
                <w:sz w:val="18"/>
                <w:szCs w:val="18"/>
                <w:lang w:val="es-ES"/>
              </w:rPr>
            </w:pPr>
            <w:r w:rsidRPr="00A432F7">
              <w:rPr>
                <w:sz w:val="18"/>
                <w:szCs w:val="18"/>
                <w:lang w:val="es-ES"/>
              </w:rPr>
              <w:t>Estados de África</w:t>
            </w:r>
          </w:p>
        </w:tc>
      </w:tr>
      <w:tr w:rsidR="00A432F7" w:rsidRPr="00A432F7" w14:paraId="20ACDACC" w14:textId="77777777" w:rsidTr="00A432F7">
        <w:tc>
          <w:tcPr>
            <w:tcW w:w="4840" w:type="dxa"/>
          </w:tcPr>
          <w:p w14:paraId="7AD2ADD7" w14:textId="77777777" w:rsidR="00A432F7" w:rsidRPr="00A432F7" w:rsidRDefault="00A432F7" w:rsidP="00A432F7">
            <w:pPr>
              <w:spacing w:line="278" w:lineRule="auto"/>
              <w:rPr>
                <w:sz w:val="18"/>
                <w:szCs w:val="18"/>
                <w:lang w:val="es-ES"/>
              </w:rPr>
            </w:pPr>
            <w:r w:rsidRPr="00A432F7">
              <w:rPr>
                <w:sz w:val="18"/>
                <w:szCs w:val="18"/>
                <w:lang w:val="es-ES"/>
              </w:rPr>
              <w:t>Asia –Pacific States</w:t>
            </w:r>
          </w:p>
        </w:tc>
        <w:tc>
          <w:tcPr>
            <w:tcW w:w="4547" w:type="dxa"/>
          </w:tcPr>
          <w:p w14:paraId="4D892066" w14:textId="77777777" w:rsidR="00A432F7" w:rsidRPr="00A432F7" w:rsidRDefault="00A432F7" w:rsidP="00A432F7">
            <w:pPr>
              <w:spacing w:line="278" w:lineRule="auto"/>
              <w:rPr>
                <w:sz w:val="18"/>
                <w:szCs w:val="18"/>
                <w:lang w:val="es-ES"/>
              </w:rPr>
            </w:pPr>
            <w:r w:rsidRPr="00A432F7">
              <w:rPr>
                <w:sz w:val="18"/>
                <w:szCs w:val="18"/>
                <w:lang w:val="es-ES"/>
              </w:rPr>
              <w:t>Estados de Asia y el Pacífico</w:t>
            </w:r>
          </w:p>
        </w:tc>
      </w:tr>
      <w:tr w:rsidR="00A432F7" w:rsidRPr="00A432F7" w14:paraId="5CD62371" w14:textId="77777777" w:rsidTr="00A432F7">
        <w:tc>
          <w:tcPr>
            <w:tcW w:w="4840" w:type="dxa"/>
          </w:tcPr>
          <w:p w14:paraId="2252939C" w14:textId="77777777" w:rsidR="00A432F7" w:rsidRPr="00A432F7" w:rsidRDefault="00A432F7" w:rsidP="00A432F7">
            <w:pPr>
              <w:spacing w:line="278" w:lineRule="auto"/>
              <w:rPr>
                <w:sz w:val="18"/>
                <w:szCs w:val="18"/>
                <w:lang w:val="en-US"/>
              </w:rPr>
            </w:pPr>
            <w:r w:rsidRPr="00A432F7">
              <w:rPr>
                <w:sz w:val="18"/>
                <w:szCs w:val="18"/>
                <w:lang w:val="en-US"/>
              </w:rPr>
              <w:t>Latin American and Caribbean States</w:t>
            </w:r>
          </w:p>
        </w:tc>
        <w:tc>
          <w:tcPr>
            <w:tcW w:w="4547" w:type="dxa"/>
          </w:tcPr>
          <w:p w14:paraId="56E6519F" w14:textId="77777777" w:rsidR="00A432F7" w:rsidRPr="00A432F7" w:rsidRDefault="00A432F7" w:rsidP="00A432F7">
            <w:pPr>
              <w:spacing w:line="278" w:lineRule="auto"/>
              <w:rPr>
                <w:sz w:val="18"/>
                <w:szCs w:val="18"/>
                <w:lang w:val="es-ES"/>
              </w:rPr>
            </w:pPr>
            <w:r w:rsidRPr="00A432F7">
              <w:rPr>
                <w:sz w:val="18"/>
                <w:szCs w:val="18"/>
                <w:lang w:val="es-ES"/>
              </w:rPr>
              <w:t>Estados de América Latina y el Caribe</w:t>
            </w:r>
          </w:p>
        </w:tc>
      </w:tr>
      <w:tr w:rsidR="00A432F7" w:rsidRPr="00A432F7" w14:paraId="2088375F" w14:textId="77777777" w:rsidTr="00A432F7">
        <w:tc>
          <w:tcPr>
            <w:tcW w:w="4840" w:type="dxa"/>
          </w:tcPr>
          <w:p w14:paraId="1E1A885C" w14:textId="77777777" w:rsidR="00A432F7" w:rsidRPr="00A432F7" w:rsidRDefault="00A432F7" w:rsidP="00A432F7">
            <w:pPr>
              <w:spacing w:line="278" w:lineRule="auto"/>
              <w:rPr>
                <w:sz w:val="18"/>
                <w:szCs w:val="18"/>
                <w:lang w:val="es-ES"/>
              </w:rPr>
            </w:pPr>
            <w:r w:rsidRPr="00A432F7">
              <w:rPr>
                <w:sz w:val="18"/>
                <w:szCs w:val="18"/>
                <w:lang w:val="es-ES"/>
              </w:rPr>
              <w:t xml:space="preserve"> Eastern European States</w:t>
            </w:r>
          </w:p>
        </w:tc>
        <w:tc>
          <w:tcPr>
            <w:tcW w:w="4547" w:type="dxa"/>
          </w:tcPr>
          <w:p w14:paraId="5478274A" w14:textId="77777777" w:rsidR="00A432F7" w:rsidRPr="00A432F7" w:rsidRDefault="00A432F7" w:rsidP="00A432F7">
            <w:pPr>
              <w:spacing w:line="278" w:lineRule="auto"/>
              <w:rPr>
                <w:sz w:val="18"/>
                <w:szCs w:val="18"/>
                <w:lang w:val="es-ES"/>
              </w:rPr>
            </w:pPr>
            <w:r w:rsidRPr="00A432F7">
              <w:rPr>
                <w:sz w:val="18"/>
                <w:szCs w:val="18"/>
                <w:lang w:val="es-ES"/>
              </w:rPr>
              <w:t>Estados de Europa Oriental</w:t>
            </w:r>
          </w:p>
        </w:tc>
      </w:tr>
      <w:tr w:rsidR="00A432F7" w:rsidRPr="00A432F7" w14:paraId="34C0CB35" w14:textId="77777777" w:rsidTr="00A432F7">
        <w:tc>
          <w:tcPr>
            <w:tcW w:w="4840" w:type="dxa"/>
          </w:tcPr>
          <w:p w14:paraId="24C10A29" w14:textId="77777777" w:rsidR="00A432F7" w:rsidRPr="00A432F7" w:rsidRDefault="00A432F7" w:rsidP="00A432F7">
            <w:pPr>
              <w:spacing w:line="278" w:lineRule="auto"/>
              <w:rPr>
                <w:sz w:val="18"/>
                <w:szCs w:val="18"/>
                <w:lang w:val="en-US"/>
              </w:rPr>
            </w:pPr>
            <w:r w:rsidRPr="00A432F7">
              <w:rPr>
                <w:sz w:val="18"/>
                <w:szCs w:val="18"/>
                <w:lang w:val="en-US"/>
              </w:rPr>
              <w:lastRenderedPageBreak/>
              <w:t>Western European and other States</w:t>
            </w:r>
          </w:p>
        </w:tc>
        <w:tc>
          <w:tcPr>
            <w:tcW w:w="4547" w:type="dxa"/>
          </w:tcPr>
          <w:p w14:paraId="2BAA064F" w14:textId="77777777" w:rsidR="00A432F7" w:rsidRPr="00A432F7" w:rsidRDefault="00A432F7" w:rsidP="00A432F7">
            <w:pPr>
              <w:spacing w:line="278" w:lineRule="auto"/>
              <w:rPr>
                <w:sz w:val="18"/>
                <w:szCs w:val="18"/>
                <w:lang w:val="es-ES"/>
              </w:rPr>
            </w:pPr>
            <w:r w:rsidRPr="00A432F7">
              <w:rPr>
                <w:sz w:val="18"/>
                <w:szCs w:val="18"/>
                <w:lang w:val="es-ES"/>
              </w:rPr>
              <w:t>Estados de Europa Occidental y otros Estados</w:t>
            </w:r>
          </w:p>
        </w:tc>
      </w:tr>
    </w:tbl>
    <w:p w14:paraId="5BA53DC0" w14:textId="77777777" w:rsidR="00A432F7" w:rsidRPr="005E3D50" w:rsidRDefault="00A432F7" w:rsidP="009713BF">
      <w:pPr>
        <w:spacing w:line="240" w:lineRule="auto"/>
        <w:rPr>
          <w:rFonts w:ascii="Aptos" w:eastAsiaTheme="minorEastAsia" w:hAnsi="Aptos"/>
          <w:iCs/>
          <w:color w:val="0E2841" w:themeColor="text2"/>
          <w:kern w:val="0"/>
          <w:sz w:val="18"/>
          <w:szCs w:val="18"/>
          <w:lang w:val="es-ES" w:eastAsia="ja-JP"/>
          <w14:ligatures w14:val="none"/>
        </w:rPr>
      </w:pPr>
    </w:p>
    <w:p w14:paraId="3952DF0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83</w:t>
      </w:r>
    </w:p>
    <w:p w14:paraId="3B44062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20 del Marco que sugieren tendencias de mejora, estables y negativas, respectivamente </w:t>
      </w:r>
    </w:p>
    <w:p w14:paraId="3BAE1AB5" w14:textId="77777777" w:rsidR="009713BF" w:rsidRPr="005E3D50" w:rsidRDefault="009713BF" w:rsidP="009713BF">
      <w:pPr>
        <w:rPr>
          <w:lang w:val="es-ES" w:eastAsia="ja-JP"/>
        </w:rPr>
      </w:pPr>
    </w:p>
    <w:p w14:paraId="21435F3B"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0BEEDDC4" wp14:editId="65BE5B01">
            <wp:extent cx="5731510" cy="2456180"/>
            <wp:effectExtent l="0" t="0" r="0" b="0"/>
            <wp:docPr id="18181247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24764" name="Picture 1818124764"/>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A92D3B" w14:textId="77777777" w:rsidR="009713BF" w:rsidRPr="005E3D50" w:rsidRDefault="009713BF" w:rsidP="009713BF">
      <w:pPr>
        <w:spacing w:after="200" w:line="240" w:lineRule="auto"/>
        <w:rPr>
          <w:rFonts w:eastAsiaTheme="minorEastAsia"/>
          <w:color w:val="0E2841" w:themeColor="text2"/>
          <w:kern w:val="0"/>
          <w:sz w:val="16"/>
          <w:szCs w:val="16"/>
          <w:lang w:val="es-ES" w:eastAsia="ja-JP"/>
          <w14:ligatures w14:val="none"/>
        </w:rPr>
      </w:pPr>
      <w:r w:rsidRPr="005E3D50">
        <w:rPr>
          <w:rFonts w:eastAsiaTheme="minorEastAsia"/>
          <w:i/>
          <w:iCs/>
          <w:color w:val="0E2841" w:themeColor="text2"/>
          <w:kern w:val="0"/>
          <w:sz w:val="16"/>
          <w:szCs w:val="18"/>
          <w:lang w:val="es-ES" w:eastAsia="ja-JP"/>
          <w14:ligatures w14:val="none"/>
        </w:rPr>
        <w:t>Nota:</w:t>
      </w:r>
      <w:r w:rsidRPr="005E3D50">
        <w:rPr>
          <w:rFonts w:eastAsiaTheme="minorEastAsia"/>
          <w:iCs/>
          <w:color w:val="0E2841" w:themeColor="text2"/>
          <w:kern w:val="0"/>
          <w:sz w:val="16"/>
          <w:szCs w:val="18"/>
          <w:lang w:val="es-ES" w:eastAsia="ja-JP"/>
          <w14:ligatures w14:val="none"/>
        </w:rPr>
        <w:t xml:space="preserve"> Las proporciones están ponderadas por Parte. </w:t>
      </w:r>
      <w:r w:rsidRPr="005E3D50">
        <w:rPr>
          <w:rFonts w:ascii="Arial" w:eastAsiaTheme="minorEastAsia" w:hAnsi="Arial"/>
          <w:iCs/>
          <w:color w:val="0E2841" w:themeColor="text2"/>
          <w:kern w:val="0"/>
          <w:sz w:val="16"/>
          <w:szCs w:val="18"/>
          <w:lang w:val="es-ES" w:eastAsia="ja-JP"/>
          <w14:ligatures w14:val="none"/>
        </w:rPr>
        <w:t>Las tendencias incluyen datos</w:t>
      </w:r>
      <w:r w:rsidRPr="005E3D50">
        <w:rPr>
          <w:rFonts w:eastAsiaTheme="minorEastAsia"/>
          <w:iCs/>
          <w:color w:val="0E2841" w:themeColor="text2"/>
          <w:kern w:val="0"/>
          <w:sz w:val="16"/>
          <w:szCs w:val="18"/>
          <w:lang w:val="es-ES" w:eastAsia="ja-JP"/>
          <w14:ligatures w14:val="none"/>
        </w:rPr>
        <w:t xml:space="preserve"> de 1 indicador de componente, 2 indicadores complementarios y 67 indicadores nacionales de un total de 24 Partes. El gráfico circular muestra la distribución de las Partes que presentaron indicadores para la meta 20,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97" w:type="dxa"/>
        <w:tblLook w:val="04A0" w:firstRow="1" w:lastRow="0" w:firstColumn="1" w:lastColumn="0" w:noHBand="0" w:noVBand="1"/>
      </w:tblPr>
      <w:tblGrid>
        <w:gridCol w:w="4954"/>
        <w:gridCol w:w="4443"/>
      </w:tblGrid>
      <w:tr w:rsidR="004B4526" w:rsidRPr="006B747E" w14:paraId="0E9B4B50" w14:textId="77777777" w:rsidTr="006B747E">
        <w:trPr>
          <w:trHeight w:val="312"/>
        </w:trPr>
        <w:tc>
          <w:tcPr>
            <w:tcW w:w="9397" w:type="dxa"/>
            <w:gridSpan w:val="2"/>
          </w:tcPr>
          <w:p w14:paraId="6FAB02E7" w14:textId="43F14A3F" w:rsidR="004B4526" w:rsidRPr="006B747E" w:rsidRDefault="006B747E" w:rsidP="006B747E">
            <w:pPr>
              <w:rPr>
                <w:sz w:val="18"/>
                <w:szCs w:val="18"/>
                <w:lang w:val="es-ES"/>
              </w:rPr>
            </w:pPr>
            <w:r w:rsidRPr="006B747E">
              <w:rPr>
                <w:sz w:val="18"/>
                <w:szCs w:val="18"/>
                <w:lang w:val="es-ES"/>
              </w:rPr>
              <w:t>Figura 83</w:t>
            </w:r>
          </w:p>
        </w:tc>
      </w:tr>
      <w:tr w:rsidR="004B4526" w:rsidRPr="006B747E" w14:paraId="694E5CD1" w14:textId="77777777" w:rsidTr="006B747E">
        <w:trPr>
          <w:trHeight w:val="312"/>
        </w:trPr>
        <w:tc>
          <w:tcPr>
            <w:tcW w:w="4954" w:type="dxa"/>
          </w:tcPr>
          <w:p w14:paraId="1A1E6231" w14:textId="77777777" w:rsidR="004B4526" w:rsidRPr="006B747E" w:rsidRDefault="004B4526" w:rsidP="006B747E">
            <w:pPr>
              <w:spacing w:line="278" w:lineRule="auto"/>
              <w:rPr>
                <w:sz w:val="18"/>
                <w:szCs w:val="18"/>
                <w:lang w:val="es-ES"/>
              </w:rPr>
            </w:pPr>
            <w:r w:rsidRPr="006B747E">
              <w:rPr>
                <w:sz w:val="18"/>
                <w:szCs w:val="18"/>
                <w:lang w:val="es-ES"/>
              </w:rPr>
              <w:t xml:space="preserve">English </w:t>
            </w:r>
          </w:p>
        </w:tc>
        <w:tc>
          <w:tcPr>
            <w:tcW w:w="4442" w:type="dxa"/>
          </w:tcPr>
          <w:p w14:paraId="618FEB9A" w14:textId="48F1AC04" w:rsidR="004B4526" w:rsidRPr="006B747E" w:rsidRDefault="004B4526" w:rsidP="006B747E">
            <w:pPr>
              <w:spacing w:line="278" w:lineRule="auto"/>
              <w:rPr>
                <w:sz w:val="18"/>
                <w:szCs w:val="18"/>
                <w:lang w:val="es-ES"/>
              </w:rPr>
            </w:pPr>
            <w:r w:rsidRPr="006B747E">
              <w:rPr>
                <w:sz w:val="18"/>
                <w:szCs w:val="18"/>
                <w:lang w:val="es-ES"/>
              </w:rPr>
              <w:t>Español</w:t>
            </w:r>
          </w:p>
        </w:tc>
      </w:tr>
      <w:tr w:rsidR="004B4526" w:rsidRPr="006B747E" w14:paraId="53D40958" w14:textId="77777777" w:rsidTr="006B747E">
        <w:trPr>
          <w:trHeight w:val="312"/>
        </w:trPr>
        <w:tc>
          <w:tcPr>
            <w:tcW w:w="4954" w:type="dxa"/>
          </w:tcPr>
          <w:p w14:paraId="56486C5E" w14:textId="77777777" w:rsidR="004B4526" w:rsidRPr="006B747E" w:rsidRDefault="004B4526" w:rsidP="006B747E">
            <w:pPr>
              <w:spacing w:line="278" w:lineRule="auto"/>
              <w:rPr>
                <w:sz w:val="18"/>
                <w:szCs w:val="18"/>
                <w:lang w:val="es-ES"/>
              </w:rPr>
            </w:pPr>
            <w:proofErr w:type="spellStart"/>
            <w:r w:rsidRPr="006B747E">
              <w:rPr>
                <w:sz w:val="18"/>
                <w:szCs w:val="18"/>
                <w:lang w:val="es-ES"/>
              </w:rPr>
              <w:t>Proportion</w:t>
            </w:r>
            <w:proofErr w:type="spellEnd"/>
          </w:p>
        </w:tc>
        <w:tc>
          <w:tcPr>
            <w:tcW w:w="4442" w:type="dxa"/>
          </w:tcPr>
          <w:p w14:paraId="2B1EB35F" w14:textId="77777777" w:rsidR="004B4526" w:rsidRPr="006B747E" w:rsidRDefault="004B4526" w:rsidP="006B747E">
            <w:pPr>
              <w:spacing w:line="278" w:lineRule="auto"/>
              <w:rPr>
                <w:sz w:val="18"/>
                <w:szCs w:val="18"/>
                <w:lang w:val="es-ES"/>
              </w:rPr>
            </w:pPr>
            <w:r w:rsidRPr="006B747E">
              <w:rPr>
                <w:sz w:val="18"/>
                <w:szCs w:val="18"/>
                <w:lang w:val="es-ES"/>
              </w:rPr>
              <w:t>Proporción</w:t>
            </w:r>
          </w:p>
        </w:tc>
      </w:tr>
      <w:tr w:rsidR="004B4526" w:rsidRPr="006B747E" w14:paraId="7D0C0151" w14:textId="77777777" w:rsidTr="006B747E">
        <w:trPr>
          <w:trHeight w:val="312"/>
        </w:trPr>
        <w:tc>
          <w:tcPr>
            <w:tcW w:w="4954" w:type="dxa"/>
          </w:tcPr>
          <w:p w14:paraId="087759E7" w14:textId="77777777" w:rsidR="004B4526" w:rsidRPr="006B747E" w:rsidRDefault="004B4526" w:rsidP="006B747E">
            <w:pPr>
              <w:spacing w:line="278" w:lineRule="auto"/>
              <w:rPr>
                <w:sz w:val="18"/>
                <w:szCs w:val="18"/>
                <w:lang w:val="es-ES"/>
              </w:rPr>
            </w:pPr>
            <w:r w:rsidRPr="006B747E">
              <w:rPr>
                <w:sz w:val="18"/>
                <w:szCs w:val="18"/>
                <w:lang w:val="es-ES"/>
              </w:rPr>
              <w:t xml:space="preserve">Current </w:t>
            </w:r>
            <w:proofErr w:type="gramStart"/>
            <w:r w:rsidRPr="006B747E">
              <w:rPr>
                <w:sz w:val="18"/>
                <w:szCs w:val="18"/>
                <w:lang w:val="es-ES"/>
              </w:rPr>
              <w:t>Status</w:t>
            </w:r>
            <w:proofErr w:type="gramEnd"/>
          </w:p>
        </w:tc>
        <w:tc>
          <w:tcPr>
            <w:tcW w:w="4442" w:type="dxa"/>
          </w:tcPr>
          <w:p w14:paraId="4C809CCB" w14:textId="77777777" w:rsidR="004B4526" w:rsidRPr="006B747E" w:rsidRDefault="004B4526" w:rsidP="006B747E">
            <w:pPr>
              <w:spacing w:line="278" w:lineRule="auto"/>
              <w:rPr>
                <w:sz w:val="18"/>
                <w:szCs w:val="18"/>
                <w:lang w:val="es-ES"/>
              </w:rPr>
            </w:pPr>
            <w:r w:rsidRPr="006B747E">
              <w:rPr>
                <w:sz w:val="18"/>
                <w:szCs w:val="18"/>
                <w:lang w:val="es-ES"/>
              </w:rPr>
              <w:t>Estado actual</w:t>
            </w:r>
          </w:p>
        </w:tc>
      </w:tr>
      <w:tr w:rsidR="004B4526" w:rsidRPr="006B747E" w14:paraId="243343DD" w14:textId="77777777" w:rsidTr="006B747E">
        <w:trPr>
          <w:trHeight w:val="312"/>
        </w:trPr>
        <w:tc>
          <w:tcPr>
            <w:tcW w:w="4954" w:type="dxa"/>
          </w:tcPr>
          <w:p w14:paraId="509B7E01" w14:textId="77777777" w:rsidR="004B4526" w:rsidRPr="006B747E" w:rsidRDefault="004B4526" w:rsidP="006B747E">
            <w:pPr>
              <w:spacing w:line="278" w:lineRule="auto"/>
              <w:rPr>
                <w:sz w:val="18"/>
                <w:szCs w:val="18"/>
                <w:lang w:val="es-ES"/>
              </w:rPr>
            </w:pPr>
            <w:proofErr w:type="spellStart"/>
            <w:r w:rsidRPr="006B747E">
              <w:rPr>
                <w:sz w:val="18"/>
                <w:szCs w:val="18"/>
                <w:lang w:val="es-ES"/>
              </w:rPr>
              <w:t>improving</w:t>
            </w:r>
            <w:proofErr w:type="spellEnd"/>
          </w:p>
        </w:tc>
        <w:tc>
          <w:tcPr>
            <w:tcW w:w="4442" w:type="dxa"/>
          </w:tcPr>
          <w:p w14:paraId="74CAD3FB" w14:textId="77777777" w:rsidR="004B4526" w:rsidRPr="006B747E" w:rsidRDefault="004B4526" w:rsidP="006B747E">
            <w:pPr>
              <w:spacing w:line="278" w:lineRule="auto"/>
              <w:rPr>
                <w:sz w:val="18"/>
                <w:szCs w:val="18"/>
                <w:lang w:val="es-ES"/>
              </w:rPr>
            </w:pPr>
            <w:r w:rsidRPr="006B747E">
              <w:rPr>
                <w:sz w:val="18"/>
                <w:szCs w:val="18"/>
                <w:lang w:val="es-ES"/>
              </w:rPr>
              <w:t>mejorando</w:t>
            </w:r>
          </w:p>
        </w:tc>
      </w:tr>
      <w:tr w:rsidR="004B4526" w:rsidRPr="006B747E" w14:paraId="26C4145D" w14:textId="77777777" w:rsidTr="006B747E">
        <w:trPr>
          <w:trHeight w:val="312"/>
        </w:trPr>
        <w:tc>
          <w:tcPr>
            <w:tcW w:w="4954" w:type="dxa"/>
          </w:tcPr>
          <w:p w14:paraId="5DBF3C8A" w14:textId="77777777" w:rsidR="004B4526" w:rsidRPr="006B747E" w:rsidRDefault="004B4526" w:rsidP="006B747E">
            <w:pPr>
              <w:spacing w:line="278" w:lineRule="auto"/>
              <w:rPr>
                <w:sz w:val="18"/>
                <w:szCs w:val="18"/>
                <w:lang w:val="es-ES"/>
              </w:rPr>
            </w:pPr>
            <w:proofErr w:type="spellStart"/>
            <w:r w:rsidRPr="006B747E">
              <w:rPr>
                <w:sz w:val="18"/>
                <w:szCs w:val="18"/>
                <w:lang w:val="es-ES"/>
              </w:rPr>
              <w:t>stable</w:t>
            </w:r>
            <w:proofErr w:type="spellEnd"/>
          </w:p>
        </w:tc>
        <w:tc>
          <w:tcPr>
            <w:tcW w:w="4442" w:type="dxa"/>
          </w:tcPr>
          <w:p w14:paraId="6A42FBD5" w14:textId="77777777" w:rsidR="004B4526" w:rsidRPr="006B747E" w:rsidRDefault="004B4526" w:rsidP="006B747E">
            <w:pPr>
              <w:spacing w:line="278" w:lineRule="auto"/>
              <w:rPr>
                <w:sz w:val="18"/>
                <w:szCs w:val="18"/>
                <w:lang w:val="es-ES"/>
              </w:rPr>
            </w:pPr>
            <w:r w:rsidRPr="006B747E">
              <w:rPr>
                <w:sz w:val="18"/>
                <w:szCs w:val="18"/>
                <w:lang w:val="es-ES"/>
              </w:rPr>
              <w:t>estable</w:t>
            </w:r>
          </w:p>
        </w:tc>
      </w:tr>
      <w:tr w:rsidR="004B4526" w:rsidRPr="006B747E" w14:paraId="5DA54602" w14:textId="77777777" w:rsidTr="006B747E">
        <w:trPr>
          <w:trHeight w:val="312"/>
        </w:trPr>
        <w:tc>
          <w:tcPr>
            <w:tcW w:w="4954" w:type="dxa"/>
          </w:tcPr>
          <w:p w14:paraId="4B4E0289" w14:textId="77777777" w:rsidR="004B4526" w:rsidRPr="006B747E" w:rsidRDefault="004B4526" w:rsidP="006B747E">
            <w:pPr>
              <w:spacing w:line="278" w:lineRule="auto"/>
              <w:rPr>
                <w:sz w:val="18"/>
                <w:szCs w:val="18"/>
                <w:lang w:val="es-ES"/>
              </w:rPr>
            </w:pPr>
            <w:proofErr w:type="spellStart"/>
            <w:r w:rsidRPr="006B747E">
              <w:rPr>
                <w:sz w:val="18"/>
                <w:szCs w:val="18"/>
                <w:lang w:val="es-ES"/>
              </w:rPr>
              <w:t>moving</w:t>
            </w:r>
            <w:proofErr w:type="spellEnd"/>
            <w:r w:rsidRPr="006B747E">
              <w:rPr>
                <w:sz w:val="18"/>
                <w:szCs w:val="18"/>
                <w:lang w:val="es-ES"/>
              </w:rPr>
              <w:t xml:space="preserve"> </w:t>
            </w:r>
            <w:proofErr w:type="spellStart"/>
            <w:r w:rsidRPr="006B747E">
              <w:rPr>
                <w:sz w:val="18"/>
                <w:szCs w:val="18"/>
                <w:lang w:val="es-ES"/>
              </w:rPr>
              <w:t>away</w:t>
            </w:r>
            <w:proofErr w:type="spellEnd"/>
          </w:p>
        </w:tc>
        <w:tc>
          <w:tcPr>
            <w:tcW w:w="4442" w:type="dxa"/>
          </w:tcPr>
          <w:p w14:paraId="6E4163F9" w14:textId="77777777" w:rsidR="004B4526" w:rsidRPr="006B747E" w:rsidRDefault="004B4526" w:rsidP="006B747E">
            <w:pPr>
              <w:spacing w:line="278" w:lineRule="auto"/>
              <w:rPr>
                <w:sz w:val="18"/>
                <w:szCs w:val="18"/>
                <w:lang w:val="es-ES"/>
              </w:rPr>
            </w:pPr>
            <w:r w:rsidRPr="006B747E">
              <w:rPr>
                <w:sz w:val="18"/>
                <w:szCs w:val="18"/>
                <w:lang w:val="es-ES"/>
              </w:rPr>
              <w:t>alejándose</w:t>
            </w:r>
          </w:p>
        </w:tc>
      </w:tr>
      <w:tr w:rsidR="004B4526" w:rsidRPr="006B747E" w14:paraId="5364ECE5" w14:textId="77777777" w:rsidTr="006B747E">
        <w:trPr>
          <w:trHeight w:val="312"/>
        </w:trPr>
        <w:tc>
          <w:tcPr>
            <w:tcW w:w="4954" w:type="dxa"/>
          </w:tcPr>
          <w:p w14:paraId="287BB2FD" w14:textId="77777777" w:rsidR="004B4526" w:rsidRPr="006B747E" w:rsidRDefault="004B4526" w:rsidP="006B747E">
            <w:pPr>
              <w:spacing w:line="278" w:lineRule="auto"/>
              <w:rPr>
                <w:sz w:val="18"/>
                <w:szCs w:val="18"/>
                <w:lang w:val="es-ES"/>
              </w:rPr>
            </w:pPr>
            <w:r w:rsidRPr="006B747E">
              <w:rPr>
                <w:sz w:val="18"/>
                <w:szCs w:val="18"/>
                <w:lang w:val="es-ES"/>
              </w:rPr>
              <w:t xml:space="preserve">Party </w:t>
            </w:r>
            <w:proofErr w:type="spellStart"/>
            <w:r w:rsidRPr="006B747E">
              <w:rPr>
                <w:sz w:val="18"/>
                <w:szCs w:val="18"/>
                <w:lang w:val="es-ES"/>
              </w:rPr>
              <w:t>count</w:t>
            </w:r>
            <w:proofErr w:type="spellEnd"/>
            <w:r w:rsidRPr="006B747E">
              <w:rPr>
                <w:sz w:val="18"/>
                <w:szCs w:val="18"/>
                <w:lang w:val="es-ES"/>
              </w:rPr>
              <w:t>: 24</w:t>
            </w:r>
          </w:p>
        </w:tc>
        <w:tc>
          <w:tcPr>
            <w:tcW w:w="4442" w:type="dxa"/>
          </w:tcPr>
          <w:p w14:paraId="36A0D700" w14:textId="77777777" w:rsidR="004B4526" w:rsidRPr="006B747E" w:rsidRDefault="004B4526" w:rsidP="006B747E">
            <w:pPr>
              <w:spacing w:line="278" w:lineRule="auto"/>
              <w:rPr>
                <w:sz w:val="18"/>
                <w:szCs w:val="18"/>
                <w:lang w:val="es-ES"/>
              </w:rPr>
            </w:pPr>
            <w:r w:rsidRPr="006B747E">
              <w:rPr>
                <w:sz w:val="18"/>
                <w:szCs w:val="18"/>
                <w:lang w:val="es-ES"/>
              </w:rPr>
              <w:t>Número de Partes: 24</w:t>
            </w:r>
          </w:p>
        </w:tc>
      </w:tr>
      <w:tr w:rsidR="004B4526" w:rsidRPr="006B747E" w14:paraId="1EC90232" w14:textId="77777777" w:rsidTr="006B747E">
        <w:trPr>
          <w:trHeight w:val="312"/>
        </w:trPr>
        <w:tc>
          <w:tcPr>
            <w:tcW w:w="4954" w:type="dxa"/>
          </w:tcPr>
          <w:p w14:paraId="61E0FB7C" w14:textId="77777777" w:rsidR="004B4526" w:rsidRPr="006B747E" w:rsidRDefault="004B4526" w:rsidP="006B747E">
            <w:pPr>
              <w:spacing w:line="278" w:lineRule="auto"/>
              <w:rPr>
                <w:sz w:val="18"/>
                <w:szCs w:val="18"/>
                <w:lang w:val="es-ES"/>
              </w:rPr>
            </w:pPr>
            <w:proofErr w:type="spellStart"/>
            <w:r w:rsidRPr="006B747E">
              <w:rPr>
                <w:sz w:val="18"/>
                <w:szCs w:val="18"/>
                <w:lang w:val="es-ES"/>
              </w:rPr>
              <w:t>Region</w:t>
            </w:r>
            <w:proofErr w:type="spellEnd"/>
          </w:p>
        </w:tc>
        <w:tc>
          <w:tcPr>
            <w:tcW w:w="4442" w:type="dxa"/>
          </w:tcPr>
          <w:p w14:paraId="68B910DE" w14:textId="77777777" w:rsidR="004B4526" w:rsidRPr="006B747E" w:rsidRDefault="004B4526" w:rsidP="006B747E">
            <w:pPr>
              <w:spacing w:line="278" w:lineRule="auto"/>
              <w:rPr>
                <w:sz w:val="18"/>
                <w:szCs w:val="18"/>
                <w:lang w:val="es-ES"/>
              </w:rPr>
            </w:pPr>
            <w:r w:rsidRPr="006B747E">
              <w:rPr>
                <w:sz w:val="18"/>
                <w:szCs w:val="18"/>
                <w:lang w:val="es-ES"/>
              </w:rPr>
              <w:t>Región</w:t>
            </w:r>
          </w:p>
        </w:tc>
      </w:tr>
      <w:tr w:rsidR="004B4526" w:rsidRPr="006B747E" w14:paraId="429EF770" w14:textId="77777777" w:rsidTr="006B747E">
        <w:trPr>
          <w:trHeight w:val="312"/>
        </w:trPr>
        <w:tc>
          <w:tcPr>
            <w:tcW w:w="4954" w:type="dxa"/>
          </w:tcPr>
          <w:p w14:paraId="20660112" w14:textId="77777777" w:rsidR="004B4526" w:rsidRPr="006B747E" w:rsidRDefault="004B4526" w:rsidP="006B747E">
            <w:pPr>
              <w:spacing w:line="278" w:lineRule="auto"/>
              <w:rPr>
                <w:sz w:val="18"/>
                <w:szCs w:val="18"/>
                <w:lang w:val="es-ES"/>
              </w:rPr>
            </w:pPr>
            <w:r w:rsidRPr="006B747E">
              <w:rPr>
                <w:sz w:val="18"/>
                <w:szCs w:val="18"/>
                <w:lang w:val="es-ES"/>
              </w:rPr>
              <w:t>African States</w:t>
            </w:r>
          </w:p>
        </w:tc>
        <w:tc>
          <w:tcPr>
            <w:tcW w:w="4442" w:type="dxa"/>
          </w:tcPr>
          <w:p w14:paraId="647A4B13" w14:textId="77777777" w:rsidR="004B4526" w:rsidRPr="006B747E" w:rsidRDefault="004B4526" w:rsidP="006B747E">
            <w:pPr>
              <w:spacing w:line="278" w:lineRule="auto"/>
              <w:rPr>
                <w:sz w:val="18"/>
                <w:szCs w:val="18"/>
                <w:lang w:val="es-ES"/>
              </w:rPr>
            </w:pPr>
            <w:r w:rsidRPr="006B747E">
              <w:rPr>
                <w:sz w:val="18"/>
                <w:szCs w:val="18"/>
                <w:lang w:val="es-ES"/>
              </w:rPr>
              <w:t>Estados de África</w:t>
            </w:r>
          </w:p>
        </w:tc>
      </w:tr>
      <w:tr w:rsidR="004B4526" w:rsidRPr="006B747E" w14:paraId="61816409" w14:textId="77777777" w:rsidTr="006B747E">
        <w:trPr>
          <w:trHeight w:val="312"/>
        </w:trPr>
        <w:tc>
          <w:tcPr>
            <w:tcW w:w="4954" w:type="dxa"/>
          </w:tcPr>
          <w:p w14:paraId="67874DDD" w14:textId="77777777" w:rsidR="004B4526" w:rsidRPr="006B747E" w:rsidRDefault="004B4526" w:rsidP="006B747E">
            <w:pPr>
              <w:spacing w:line="278" w:lineRule="auto"/>
              <w:rPr>
                <w:sz w:val="18"/>
                <w:szCs w:val="18"/>
                <w:lang w:val="es-ES"/>
              </w:rPr>
            </w:pPr>
            <w:r w:rsidRPr="006B747E">
              <w:rPr>
                <w:sz w:val="18"/>
                <w:szCs w:val="18"/>
                <w:lang w:val="es-ES"/>
              </w:rPr>
              <w:t>Asia –Pacific States</w:t>
            </w:r>
          </w:p>
        </w:tc>
        <w:tc>
          <w:tcPr>
            <w:tcW w:w="4442" w:type="dxa"/>
          </w:tcPr>
          <w:p w14:paraId="5BA4EF69" w14:textId="77777777" w:rsidR="004B4526" w:rsidRPr="006B747E" w:rsidRDefault="004B4526" w:rsidP="006B747E">
            <w:pPr>
              <w:spacing w:line="278" w:lineRule="auto"/>
              <w:rPr>
                <w:sz w:val="18"/>
                <w:szCs w:val="18"/>
                <w:lang w:val="es-ES"/>
              </w:rPr>
            </w:pPr>
            <w:r w:rsidRPr="006B747E">
              <w:rPr>
                <w:sz w:val="18"/>
                <w:szCs w:val="18"/>
                <w:lang w:val="es-ES"/>
              </w:rPr>
              <w:t>Estados de Asia y el Pacífico</w:t>
            </w:r>
          </w:p>
        </w:tc>
      </w:tr>
      <w:tr w:rsidR="004B4526" w:rsidRPr="006B747E" w14:paraId="48E8F927" w14:textId="77777777" w:rsidTr="006B747E">
        <w:trPr>
          <w:trHeight w:val="312"/>
        </w:trPr>
        <w:tc>
          <w:tcPr>
            <w:tcW w:w="4954" w:type="dxa"/>
          </w:tcPr>
          <w:p w14:paraId="3BE7A5C1" w14:textId="77777777" w:rsidR="004B4526" w:rsidRPr="006B747E" w:rsidRDefault="004B4526" w:rsidP="006B747E">
            <w:pPr>
              <w:spacing w:line="278" w:lineRule="auto"/>
              <w:rPr>
                <w:sz w:val="18"/>
                <w:szCs w:val="18"/>
                <w:lang w:val="en-US"/>
              </w:rPr>
            </w:pPr>
            <w:r w:rsidRPr="006B747E">
              <w:rPr>
                <w:sz w:val="18"/>
                <w:szCs w:val="18"/>
                <w:lang w:val="en-US"/>
              </w:rPr>
              <w:t>Latin American and Caribbean States</w:t>
            </w:r>
          </w:p>
        </w:tc>
        <w:tc>
          <w:tcPr>
            <w:tcW w:w="4442" w:type="dxa"/>
          </w:tcPr>
          <w:p w14:paraId="76557EA8" w14:textId="77777777" w:rsidR="004B4526" w:rsidRPr="006B747E" w:rsidRDefault="004B4526" w:rsidP="006B747E">
            <w:pPr>
              <w:spacing w:line="278" w:lineRule="auto"/>
              <w:rPr>
                <w:sz w:val="18"/>
                <w:szCs w:val="18"/>
                <w:lang w:val="es-ES"/>
              </w:rPr>
            </w:pPr>
            <w:r w:rsidRPr="006B747E">
              <w:rPr>
                <w:sz w:val="18"/>
                <w:szCs w:val="18"/>
                <w:lang w:val="es-ES"/>
              </w:rPr>
              <w:t>Estados de América Latina y el Caribe</w:t>
            </w:r>
          </w:p>
        </w:tc>
      </w:tr>
      <w:tr w:rsidR="004B4526" w:rsidRPr="006B747E" w14:paraId="121B8291" w14:textId="77777777" w:rsidTr="006B747E">
        <w:trPr>
          <w:trHeight w:val="312"/>
        </w:trPr>
        <w:tc>
          <w:tcPr>
            <w:tcW w:w="4954" w:type="dxa"/>
          </w:tcPr>
          <w:p w14:paraId="2CAB2C67" w14:textId="77777777" w:rsidR="004B4526" w:rsidRPr="006B747E" w:rsidRDefault="004B4526" w:rsidP="006B747E">
            <w:pPr>
              <w:spacing w:line="278" w:lineRule="auto"/>
              <w:rPr>
                <w:sz w:val="18"/>
                <w:szCs w:val="18"/>
                <w:lang w:val="es-ES"/>
              </w:rPr>
            </w:pPr>
            <w:r w:rsidRPr="006B747E">
              <w:rPr>
                <w:sz w:val="18"/>
                <w:szCs w:val="18"/>
                <w:lang w:val="es-ES"/>
              </w:rPr>
              <w:t xml:space="preserve"> Eastern European States</w:t>
            </w:r>
          </w:p>
        </w:tc>
        <w:tc>
          <w:tcPr>
            <w:tcW w:w="4442" w:type="dxa"/>
          </w:tcPr>
          <w:p w14:paraId="4A935B1F" w14:textId="77777777" w:rsidR="004B4526" w:rsidRPr="006B747E" w:rsidRDefault="004B4526" w:rsidP="006B747E">
            <w:pPr>
              <w:spacing w:line="278" w:lineRule="auto"/>
              <w:rPr>
                <w:sz w:val="18"/>
                <w:szCs w:val="18"/>
                <w:lang w:val="es-ES"/>
              </w:rPr>
            </w:pPr>
            <w:r w:rsidRPr="006B747E">
              <w:rPr>
                <w:sz w:val="18"/>
                <w:szCs w:val="18"/>
                <w:lang w:val="es-ES"/>
              </w:rPr>
              <w:t xml:space="preserve"> Estados de Europa Oriental</w:t>
            </w:r>
          </w:p>
        </w:tc>
      </w:tr>
      <w:tr w:rsidR="004B4526" w:rsidRPr="006B747E" w14:paraId="669ED574" w14:textId="77777777" w:rsidTr="006B747E">
        <w:trPr>
          <w:trHeight w:val="312"/>
        </w:trPr>
        <w:tc>
          <w:tcPr>
            <w:tcW w:w="4954" w:type="dxa"/>
          </w:tcPr>
          <w:p w14:paraId="446CA109" w14:textId="77777777" w:rsidR="004B4526" w:rsidRPr="006B747E" w:rsidRDefault="004B4526" w:rsidP="006B747E">
            <w:pPr>
              <w:spacing w:line="278" w:lineRule="auto"/>
              <w:rPr>
                <w:sz w:val="18"/>
                <w:szCs w:val="18"/>
                <w:lang w:val="en-US"/>
              </w:rPr>
            </w:pPr>
            <w:r w:rsidRPr="006B747E">
              <w:rPr>
                <w:sz w:val="18"/>
                <w:szCs w:val="18"/>
                <w:lang w:val="en-US"/>
              </w:rPr>
              <w:t>Western European and other States</w:t>
            </w:r>
          </w:p>
        </w:tc>
        <w:tc>
          <w:tcPr>
            <w:tcW w:w="4442" w:type="dxa"/>
          </w:tcPr>
          <w:p w14:paraId="54FF70FF" w14:textId="77777777" w:rsidR="004B4526" w:rsidRPr="006B747E" w:rsidRDefault="004B4526" w:rsidP="006B747E">
            <w:pPr>
              <w:spacing w:line="278" w:lineRule="auto"/>
              <w:rPr>
                <w:sz w:val="18"/>
                <w:szCs w:val="18"/>
                <w:lang w:val="es-ES"/>
              </w:rPr>
            </w:pPr>
            <w:r w:rsidRPr="006B747E">
              <w:rPr>
                <w:sz w:val="18"/>
                <w:szCs w:val="18"/>
                <w:lang w:val="es-ES"/>
              </w:rPr>
              <w:t>Estados de Europa Occidental y otros Estados</w:t>
            </w:r>
          </w:p>
        </w:tc>
      </w:tr>
    </w:tbl>
    <w:p w14:paraId="6538FF42"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56A5641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499" w:name="_Toc235821295"/>
      <w:r w:rsidRPr="005E3D50">
        <w:rPr>
          <w:rFonts w:eastAsiaTheme="majorEastAsia" w:cstheme="majorBidi"/>
          <w:color w:val="0F4761" w:themeColor="accent1" w:themeShade="BF"/>
          <w:lang w:val="es-ES"/>
        </w:rPr>
        <w:lastRenderedPageBreak/>
        <w:t>Autoevaluación de progresos</w:t>
      </w:r>
      <w:bookmarkEnd w:id="499"/>
    </w:p>
    <w:p w14:paraId="21FE7DE9" w14:textId="77777777" w:rsidR="009713BF" w:rsidRPr="005E3D50" w:rsidRDefault="009713BF" w:rsidP="009713BF">
      <w:pPr>
        <w:rPr>
          <w:rFonts w:ascii="Aptos" w:hAnsi="Aptos"/>
          <w:lang w:val="es-ES"/>
        </w:rPr>
      </w:pPr>
      <w:r w:rsidRPr="005E3D50">
        <w:rPr>
          <w:lang w:val="es-ES"/>
        </w:rPr>
        <w:t>Según las autoevaluaciones realizadas por las Partes en sus informes nacionales, cerca de la mitad (44 %) de las metas nacionales presentadas como estrechamente armonizadas con la meta 20 están en vías de alcanzarse, frente a un poco más de la mitad (51 %) que no muestran cambios significativos o bien muestran progresos insuficientes, y solo se informa de tres metas nacionales (2 %) que se alcanzaron (véase la figura 84).</w:t>
      </w:r>
    </w:p>
    <w:p w14:paraId="3B311129" w14:textId="77777777" w:rsidR="009713BF" w:rsidRPr="005E3D50" w:rsidRDefault="009713BF" w:rsidP="009713BF">
      <w:pPr>
        <w:rPr>
          <w:rFonts w:ascii="Aptos" w:hAnsi="Aptos"/>
          <w:lang w:val="es-ES"/>
        </w:rPr>
      </w:pPr>
    </w:p>
    <w:p w14:paraId="646C309A" w14:textId="77777777" w:rsidR="009713BF" w:rsidRPr="005E3D50" w:rsidRDefault="009713BF" w:rsidP="009713BF">
      <w:pPr>
        <w:rPr>
          <w:sz w:val="20"/>
          <w:szCs w:val="20"/>
          <w:lang w:val="es-ES"/>
        </w:rPr>
      </w:pPr>
      <w:r w:rsidRPr="005E3D50">
        <w:rPr>
          <w:sz w:val="20"/>
          <w:lang w:val="es-ES"/>
        </w:rPr>
        <w:t>Figura 84</w:t>
      </w:r>
    </w:p>
    <w:p w14:paraId="25917491"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Progresos indicados por las autoevaluaciones para todas las metas nacionales presentadas como estrechamente armonizadas con la meta 20 del Marco</w:t>
      </w:r>
    </w:p>
    <w:p w14:paraId="58319260" w14:textId="77777777" w:rsidR="009713BF" w:rsidRPr="005E3D50" w:rsidRDefault="009713BF" w:rsidP="009713BF">
      <w:pPr>
        <w:rPr>
          <w:rFonts w:ascii="Aptos" w:hAnsi="Aptos"/>
          <w:sz w:val="20"/>
          <w:szCs w:val="20"/>
          <w:lang w:val="es-ES"/>
        </w:rPr>
      </w:pPr>
    </w:p>
    <w:p w14:paraId="00C95375" w14:textId="77777777" w:rsidR="009713BF" w:rsidRPr="005E3D50" w:rsidRDefault="009713BF" w:rsidP="009713BF">
      <w:pPr>
        <w:rPr>
          <w:rFonts w:ascii="Aptos" w:hAnsi="Aptos"/>
          <w:lang w:val="es-ES"/>
        </w:rPr>
      </w:pPr>
      <w:r w:rsidRPr="005E3D50">
        <w:rPr>
          <w:rFonts w:ascii="Aptos" w:hAnsi="Aptos"/>
          <w:lang w:val="es-ES"/>
        </w:rPr>
        <w:t> </w:t>
      </w:r>
      <w:r w:rsidRPr="005E3D50">
        <w:rPr>
          <w:noProof/>
          <w:lang w:val="en-US"/>
        </w:rPr>
        <w:drawing>
          <wp:inline distT="0" distB="0" distL="0" distR="0" wp14:anchorId="52B6150C" wp14:editId="2E52457A">
            <wp:extent cx="5731510" cy="2292350"/>
            <wp:effectExtent l="0" t="0" r="0" b="6350"/>
            <wp:docPr id="150497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74542" name="Picture 1504974542"/>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693562B"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627" w:type="dxa"/>
        <w:tblLook w:val="04A0" w:firstRow="1" w:lastRow="0" w:firstColumn="1" w:lastColumn="0" w:noHBand="0" w:noVBand="1"/>
      </w:tblPr>
      <w:tblGrid>
        <w:gridCol w:w="4621"/>
        <w:gridCol w:w="5006"/>
      </w:tblGrid>
      <w:tr w:rsidR="00286A25" w:rsidRPr="00E944B1" w14:paraId="0E34E180" w14:textId="77777777" w:rsidTr="00286A25">
        <w:tc>
          <w:tcPr>
            <w:tcW w:w="9627" w:type="dxa"/>
            <w:gridSpan w:val="2"/>
          </w:tcPr>
          <w:p w14:paraId="2FF968C4" w14:textId="306E54C1" w:rsidR="00286A25" w:rsidRPr="00286A25" w:rsidRDefault="00286A25" w:rsidP="00286A25">
            <w:pPr>
              <w:rPr>
                <w:sz w:val="18"/>
                <w:szCs w:val="18"/>
                <w:lang w:val="es-ES"/>
              </w:rPr>
            </w:pPr>
            <w:r w:rsidRPr="00286A25">
              <w:rPr>
                <w:sz w:val="18"/>
                <w:szCs w:val="18"/>
                <w:lang w:val="es-ES"/>
              </w:rPr>
              <w:t>Figura 84</w:t>
            </w:r>
          </w:p>
        </w:tc>
      </w:tr>
      <w:tr w:rsidR="00286A25" w:rsidRPr="00E944B1" w14:paraId="2507E809" w14:textId="77777777" w:rsidTr="00286A25">
        <w:tc>
          <w:tcPr>
            <w:tcW w:w="4621" w:type="dxa"/>
          </w:tcPr>
          <w:p w14:paraId="17682464" w14:textId="77777777" w:rsidR="00286A25" w:rsidRPr="00286A25" w:rsidRDefault="00286A25" w:rsidP="00286A25">
            <w:pPr>
              <w:spacing w:line="278" w:lineRule="auto"/>
              <w:rPr>
                <w:sz w:val="18"/>
                <w:szCs w:val="18"/>
                <w:lang w:val="es-ES"/>
              </w:rPr>
            </w:pPr>
            <w:r w:rsidRPr="00286A25">
              <w:rPr>
                <w:sz w:val="18"/>
                <w:szCs w:val="18"/>
                <w:lang w:val="es-ES"/>
              </w:rPr>
              <w:t xml:space="preserve">English </w:t>
            </w:r>
          </w:p>
        </w:tc>
        <w:tc>
          <w:tcPr>
            <w:tcW w:w="5005" w:type="dxa"/>
          </w:tcPr>
          <w:p w14:paraId="19030C9F" w14:textId="2D0F7AAC" w:rsidR="00286A25" w:rsidRPr="00286A25" w:rsidRDefault="00286A25" w:rsidP="00286A25">
            <w:pPr>
              <w:spacing w:line="278" w:lineRule="auto"/>
              <w:rPr>
                <w:sz w:val="18"/>
                <w:szCs w:val="18"/>
                <w:lang w:val="es-ES"/>
              </w:rPr>
            </w:pPr>
            <w:r w:rsidRPr="00286A25">
              <w:rPr>
                <w:sz w:val="18"/>
                <w:szCs w:val="18"/>
                <w:lang w:val="es-ES"/>
              </w:rPr>
              <w:t>Español</w:t>
            </w:r>
          </w:p>
        </w:tc>
      </w:tr>
      <w:tr w:rsidR="00286A25" w:rsidRPr="00E944B1" w14:paraId="02752FD5" w14:textId="77777777" w:rsidTr="00286A25">
        <w:tc>
          <w:tcPr>
            <w:tcW w:w="4621" w:type="dxa"/>
          </w:tcPr>
          <w:p w14:paraId="36BA4C80" w14:textId="77777777" w:rsidR="00286A25" w:rsidRPr="00286A25" w:rsidRDefault="00286A25" w:rsidP="00286A25">
            <w:pPr>
              <w:spacing w:line="278" w:lineRule="auto"/>
              <w:rPr>
                <w:sz w:val="18"/>
                <w:szCs w:val="18"/>
                <w:lang w:val="es-ES"/>
              </w:rPr>
            </w:pPr>
            <w:proofErr w:type="spellStart"/>
            <w:r w:rsidRPr="00286A25">
              <w:rPr>
                <w:sz w:val="18"/>
                <w:szCs w:val="18"/>
                <w:lang w:val="es-ES"/>
              </w:rPr>
              <w:t>Percentage</w:t>
            </w:r>
            <w:proofErr w:type="spellEnd"/>
            <w:r w:rsidRPr="00286A25">
              <w:rPr>
                <w:sz w:val="18"/>
                <w:szCs w:val="18"/>
                <w:lang w:val="es-ES"/>
              </w:rPr>
              <w:t xml:space="preserve"> of </w:t>
            </w:r>
            <w:proofErr w:type="spellStart"/>
            <w:r w:rsidRPr="00286A25">
              <w:rPr>
                <w:sz w:val="18"/>
                <w:szCs w:val="18"/>
                <w:lang w:val="es-ES"/>
              </w:rPr>
              <w:t>national</w:t>
            </w:r>
            <w:proofErr w:type="spellEnd"/>
            <w:r w:rsidRPr="00286A25">
              <w:rPr>
                <w:sz w:val="18"/>
                <w:szCs w:val="18"/>
                <w:lang w:val="es-ES"/>
              </w:rPr>
              <w:t xml:space="preserve"> targets</w:t>
            </w:r>
          </w:p>
        </w:tc>
        <w:tc>
          <w:tcPr>
            <w:tcW w:w="5005" w:type="dxa"/>
          </w:tcPr>
          <w:p w14:paraId="3BC4A831" w14:textId="77777777" w:rsidR="00286A25" w:rsidRPr="00286A25" w:rsidRDefault="00286A25" w:rsidP="00286A25">
            <w:pPr>
              <w:spacing w:line="278" w:lineRule="auto"/>
              <w:rPr>
                <w:sz w:val="18"/>
                <w:szCs w:val="18"/>
                <w:lang w:val="es-ES"/>
              </w:rPr>
            </w:pPr>
            <w:r w:rsidRPr="00286A25">
              <w:rPr>
                <w:sz w:val="18"/>
                <w:szCs w:val="18"/>
                <w:lang w:val="es-ES"/>
              </w:rPr>
              <w:t>Porcentaje de metas nacionales</w:t>
            </w:r>
          </w:p>
        </w:tc>
      </w:tr>
      <w:tr w:rsidR="00286A25" w:rsidRPr="00E944B1" w14:paraId="7416BCA1" w14:textId="77777777" w:rsidTr="00286A25">
        <w:tc>
          <w:tcPr>
            <w:tcW w:w="4621" w:type="dxa"/>
          </w:tcPr>
          <w:p w14:paraId="64B8A231" w14:textId="77777777" w:rsidR="00286A25" w:rsidRPr="00286A25" w:rsidRDefault="00286A25" w:rsidP="00286A25">
            <w:pPr>
              <w:spacing w:line="278" w:lineRule="auto"/>
              <w:rPr>
                <w:sz w:val="18"/>
                <w:szCs w:val="18"/>
                <w:lang w:val="es-ES"/>
              </w:rPr>
            </w:pPr>
            <w:proofErr w:type="spellStart"/>
            <w:r w:rsidRPr="00286A25">
              <w:rPr>
                <w:sz w:val="18"/>
                <w:szCs w:val="18"/>
                <w:lang w:val="es-ES"/>
              </w:rPr>
              <w:t>Progress</w:t>
            </w:r>
            <w:proofErr w:type="spellEnd"/>
            <w:r w:rsidRPr="00286A25">
              <w:rPr>
                <w:sz w:val="18"/>
                <w:szCs w:val="18"/>
                <w:lang w:val="es-ES"/>
              </w:rPr>
              <w:t xml:space="preserve"> </w:t>
            </w:r>
            <w:proofErr w:type="spellStart"/>
            <w:r w:rsidRPr="00286A25">
              <w:rPr>
                <w:sz w:val="18"/>
                <w:szCs w:val="18"/>
                <w:lang w:val="es-ES"/>
              </w:rPr>
              <w:t>level</w:t>
            </w:r>
            <w:proofErr w:type="spellEnd"/>
          </w:p>
        </w:tc>
        <w:tc>
          <w:tcPr>
            <w:tcW w:w="5005" w:type="dxa"/>
          </w:tcPr>
          <w:p w14:paraId="15D6FF8F" w14:textId="77777777" w:rsidR="00286A25" w:rsidRPr="00286A25" w:rsidRDefault="00286A25" w:rsidP="00286A25">
            <w:pPr>
              <w:spacing w:line="278" w:lineRule="auto"/>
              <w:rPr>
                <w:sz w:val="18"/>
                <w:szCs w:val="18"/>
                <w:lang w:val="es-ES"/>
              </w:rPr>
            </w:pPr>
            <w:r w:rsidRPr="00286A25">
              <w:rPr>
                <w:sz w:val="18"/>
                <w:szCs w:val="18"/>
                <w:lang w:val="es-ES"/>
              </w:rPr>
              <w:t>Nivel de progreso</w:t>
            </w:r>
          </w:p>
        </w:tc>
      </w:tr>
      <w:tr w:rsidR="00286A25" w:rsidRPr="00E944B1" w14:paraId="245A3329" w14:textId="77777777" w:rsidTr="00286A25">
        <w:tc>
          <w:tcPr>
            <w:tcW w:w="4621" w:type="dxa"/>
          </w:tcPr>
          <w:p w14:paraId="274F68B9" w14:textId="77777777" w:rsidR="00286A25" w:rsidRPr="00286A25" w:rsidRDefault="00286A25" w:rsidP="00286A25">
            <w:pPr>
              <w:spacing w:line="278" w:lineRule="auto"/>
              <w:rPr>
                <w:sz w:val="18"/>
                <w:szCs w:val="18"/>
                <w:lang w:val="es-ES"/>
              </w:rPr>
            </w:pPr>
            <w:proofErr w:type="spellStart"/>
            <w:r w:rsidRPr="00286A25">
              <w:rPr>
                <w:sz w:val="18"/>
                <w:szCs w:val="18"/>
                <w:lang w:val="es-ES"/>
              </w:rPr>
              <w:t>Achieved</w:t>
            </w:r>
            <w:proofErr w:type="spellEnd"/>
          </w:p>
        </w:tc>
        <w:tc>
          <w:tcPr>
            <w:tcW w:w="5005" w:type="dxa"/>
          </w:tcPr>
          <w:p w14:paraId="77196590" w14:textId="77777777" w:rsidR="00286A25" w:rsidRPr="00286A25" w:rsidRDefault="00286A25" w:rsidP="00286A25">
            <w:pPr>
              <w:spacing w:line="278" w:lineRule="auto"/>
              <w:rPr>
                <w:sz w:val="18"/>
                <w:szCs w:val="18"/>
                <w:lang w:val="es-ES"/>
              </w:rPr>
            </w:pPr>
            <w:r w:rsidRPr="00286A25">
              <w:rPr>
                <w:sz w:val="18"/>
                <w:szCs w:val="18"/>
                <w:lang w:val="es-ES"/>
              </w:rPr>
              <w:t>Alcanzada</w:t>
            </w:r>
          </w:p>
        </w:tc>
      </w:tr>
      <w:tr w:rsidR="00286A25" w:rsidRPr="00E944B1" w14:paraId="3A40EF96" w14:textId="77777777" w:rsidTr="00286A25">
        <w:tc>
          <w:tcPr>
            <w:tcW w:w="4621" w:type="dxa"/>
          </w:tcPr>
          <w:p w14:paraId="33696A76" w14:textId="77777777" w:rsidR="00286A25" w:rsidRPr="00286A25" w:rsidRDefault="00286A25" w:rsidP="00286A25">
            <w:pPr>
              <w:spacing w:line="278" w:lineRule="auto"/>
              <w:rPr>
                <w:sz w:val="18"/>
                <w:szCs w:val="18"/>
                <w:lang w:val="en-US"/>
              </w:rPr>
            </w:pPr>
            <w:r w:rsidRPr="00286A25">
              <w:rPr>
                <w:sz w:val="18"/>
                <w:szCs w:val="18"/>
                <w:lang w:val="en-US"/>
              </w:rPr>
              <w:t>On track to achieve target</w:t>
            </w:r>
          </w:p>
        </w:tc>
        <w:tc>
          <w:tcPr>
            <w:tcW w:w="5005" w:type="dxa"/>
          </w:tcPr>
          <w:p w14:paraId="12EA1C00" w14:textId="77777777" w:rsidR="00286A25" w:rsidRPr="00286A25" w:rsidRDefault="00286A25" w:rsidP="00286A25">
            <w:pPr>
              <w:spacing w:line="278" w:lineRule="auto"/>
              <w:rPr>
                <w:sz w:val="18"/>
                <w:szCs w:val="18"/>
                <w:lang w:val="es-ES"/>
              </w:rPr>
            </w:pPr>
            <w:r w:rsidRPr="00286A25">
              <w:rPr>
                <w:sz w:val="18"/>
                <w:szCs w:val="18"/>
                <w:lang w:val="es-ES"/>
              </w:rPr>
              <w:t>En vías de alcanzar la meta</w:t>
            </w:r>
          </w:p>
        </w:tc>
      </w:tr>
      <w:tr w:rsidR="00286A25" w:rsidRPr="00E944B1" w14:paraId="776642C0" w14:textId="77777777" w:rsidTr="00286A25">
        <w:tc>
          <w:tcPr>
            <w:tcW w:w="4621" w:type="dxa"/>
          </w:tcPr>
          <w:p w14:paraId="6834212F" w14:textId="77777777" w:rsidR="00286A25" w:rsidRPr="00286A25" w:rsidRDefault="00286A25" w:rsidP="00286A25">
            <w:pPr>
              <w:spacing w:line="278" w:lineRule="auto"/>
              <w:rPr>
                <w:sz w:val="18"/>
                <w:szCs w:val="18"/>
                <w:lang w:val="en-US"/>
              </w:rPr>
            </w:pPr>
            <w:r w:rsidRPr="00286A25">
              <w:rPr>
                <w:sz w:val="18"/>
                <w:szCs w:val="18"/>
                <w:lang w:val="en-US"/>
              </w:rPr>
              <w:t>Progress towards target but at an insufficient rate</w:t>
            </w:r>
          </w:p>
        </w:tc>
        <w:tc>
          <w:tcPr>
            <w:tcW w:w="5005" w:type="dxa"/>
          </w:tcPr>
          <w:p w14:paraId="428B5C71" w14:textId="77777777" w:rsidR="00286A25" w:rsidRPr="00286A25" w:rsidRDefault="00286A25" w:rsidP="00286A25">
            <w:pPr>
              <w:spacing w:line="278" w:lineRule="auto"/>
              <w:rPr>
                <w:sz w:val="18"/>
                <w:szCs w:val="18"/>
                <w:lang w:val="es-ES"/>
              </w:rPr>
            </w:pPr>
            <w:r w:rsidRPr="00286A25">
              <w:rPr>
                <w:sz w:val="18"/>
                <w:szCs w:val="18"/>
                <w:lang w:val="es-ES"/>
              </w:rPr>
              <w:t xml:space="preserve">Se ha progresado hacia la </w:t>
            </w:r>
            <w:proofErr w:type="gramStart"/>
            <w:r w:rsidRPr="00286A25">
              <w:rPr>
                <w:sz w:val="18"/>
                <w:szCs w:val="18"/>
                <w:lang w:val="es-ES"/>
              </w:rPr>
              <w:t>meta</w:t>
            </w:r>
            <w:proofErr w:type="gramEnd"/>
            <w:r w:rsidRPr="00286A25">
              <w:rPr>
                <w:sz w:val="18"/>
                <w:szCs w:val="18"/>
                <w:lang w:val="es-ES"/>
              </w:rPr>
              <w:t xml:space="preserve"> pero a un ritmo insuficiente</w:t>
            </w:r>
          </w:p>
        </w:tc>
      </w:tr>
      <w:tr w:rsidR="00286A25" w:rsidRPr="00E944B1" w14:paraId="2C5F19CB" w14:textId="77777777" w:rsidTr="00286A25">
        <w:tc>
          <w:tcPr>
            <w:tcW w:w="4621" w:type="dxa"/>
          </w:tcPr>
          <w:p w14:paraId="291BA894" w14:textId="77777777" w:rsidR="00286A25" w:rsidRPr="00286A25" w:rsidRDefault="00286A25" w:rsidP="00286A25">
            <w:pPr>
              <w:spacing w:line="278" w:lineRule="auto"/>
              <w:rPr>
                <w:sz w:val="18"/>
                <w:szCs w:val="18"/>
                <w:lang w:val="es-ES"/>
              </w:rPr>
            </w:pPr>
            <w:r w:rsidRPr="00286A25">
              <w:rPr>
                <w:sz w:val="18"/>
                <w:szCs w:val="18"/>
                <w:lang w:val="es-ES"/>
              </w:rPr>
              <w:t xml:space="preserve">No </w:t>
            </w:r>
            <w:proofErr w:type="spellStart"/>
            <w:r w:rsidRPr="00286A25">
              <w:rPr>
                <w:sz w:val="18"/>
                <w:szCs w:val="18"/>
                <w:lang w:val="es-ES"/>
              </w:rPr>
              <w:t>significant</w:t>
            </w:r>
            <w:proofErr w:type="spellEnd"/>
            <w:r w:rsidRPr="00286A25">
              <w:rPr>
                <w:sz w:val="18"/>
                <w:szCs w:val="18"/>
                <w:lang w:val="es-ES"/>
              </w:rPr>
              <w:t xml:space="preserve"> </w:t>
            </w:r>
            <w:proofErr w:type="spellStart"/>
            <w:r w:rsidRPr="00286A25">
              <w:rPr>
                <w:sz w:val="18"/>
                <w:szCs w:val="18"/>
                <w:lang w:val="es-ES"/>
              </w:rPr>
              <w:t>change</w:t>
            </w:r>
            <w:proofErr w:type="spellEnd"/>
          </w:p>
        </w:tc>
        <w:tc>
          <w:tcPr>
            <w:tcW w:w="5005" w:type="dxa"/>
          </w:tcPr>
          <w:p w14:paraId="02DB2675" w14:textId="77777777" w:rsidR="00286A25" w:rsidRPr="00286A25" w:rsidRDefault="00286A25" w:rsidP="00286A25">
            <w:pPr>
              <w:spacing w:line="278" w:lineRule="auto"/>
              <w:rPr>
                <w:sz w:val="18"/>
                <w:szCs w:val="18"/>
                <w:lang w:val="es-ES"/>
              </w:rPr>
            </w:pPr>
            <w:r w:rsidRPr="00286A25">
              <w:rPr>
                <w:sz w:val="18"/>
                <w:szCs w:val="18"/>
                <w:lang w:val="es-ES"/>
              </w:rPr>
              <w:t>No hay cambios significativos</w:t>
            </w:r>
          </w:p>
        </w:tc>
      </w:tr>
      <w:tr w:rsidR="00286A25" w:rsidRPr="00E944B1" w14:paraId="32DE370D" w14:textId="77777777" w:rsidTr="00286A25">
        <w:tc>
          <w:tcPr>
            <w:tcW w:w="4621" w:type="dxa"/>
          </w:tcPr>
          <w:p w14:paraId="576D3892" w14:textId="77777777" w:rsidR="00286A25" w:rsidRPr="00286A25" w:rsidRDefault="00286A25" w:rsidP="00286A25">
            <w:pPr>
              <w:spacing w:line="278" w:lineRule="auto"/>
              <w:rPr>
                <w:sz w:val="18"/>
                <w:szCs w:val="18"/>
                <w:lang w:val="es-ES"/>
              </w:rPr>
            </w:pPr>
            <w:r w:rsidRPr="00286A25">
              <w:rPr>
                <w:sz w:val="18"/>
                <w:szCs w:val="18"/>
                <w:lang w:val="es-ES"/>
              </w:rPr>
              <w:t>Unknown</w:t>
            </w:r>
          </w:p>
        </w:tc>
        <w:tc>
          <w:tcPr>
            <w:tcW w:w="5005" w:type="dxa"/>
          </w:tcPr>
          <w:p w14:paraId="519A98A1" w14:textId="77777777" w:rsidR="00286A25" w:rsidRPr="00286A25" w:rsidRDefault="00286A25" w:rsidP="00286A25">
            <w:pPr>
              <w:spacing w:line="278" w:lineRule="auto"/>
              <w:rPr>
                <w:sz w:val="18"/>
                <w:szCs w:val="18"/>
                <w:lang w:val="es-ES"/>
              </w:rPr>
            </w:pPr>
            <w:r w:rsidRPr="00286A25">
              <w:rPr>
                <w:sz w:val="18"/>
                <w:szCs w:val="18"/>
                <w:lang w:val="es-ES"/>
              </w:rPr>
              <w:t>Se desconoce</w:t>
            </w:r>
          </w:p>
        </w:tc>
      </w:tr>
      <w:tr w:rsidR="00286A25" w:rsidRPr="00E944B1" w14:paraId="2E8DC874" w14:textId="77777777" w:rsidTr="00286A25">
        <w:tc>
          <w:tcPr>
            <w:tcW w:w="4621" w:type="dxa"/>
          </w:tcPr>
          <w:p w14:paraId="11F2AA0B" w14:textId="77777777" w:rsidR="00286A25" w:rsidRPr="00286A25" w:rsidRDefault="00286A25" w:rsidP="00286A25">
            <w:pPr>
              <w:spacing w:line="278" w:lineRule="auto"/>
              <w:rPr>
                <w:sz w:val="18"/>
                <w:szCs w:val="18"/>
                <w:lang w:val="es-ES"/>
              </w:rPr>
            </w:pPr>
            <w:r w:rsidRPr="00286A25">
              <w:rPr>
                <w:sz w:val="18"/>
                <w:szCs w:val="18"/>
                <w:lang w:val="es-ES"/>
              </w:rPr>
              <w:t xml:space="preserve">Party </w:t>
            </w:r>
            <w:proofErr w:type="spellStart"/>
            <w:r w:rsidRPr="00286A25">
              <w:rPr>
                <w:sz w:val="18"/>
                <w:szCs w:val="18"/>
                <w:lang w:val="es-ES"/>
              </w:rPr>
              <w:t>count</w:t>
            </w:r>
            <w:proofErr w:type="spellEnd"/>
            <w:r w:rsidRPr="00286A25">
              <w:rPr>
                <w:sz w:val="18"/>
                <w:szCs w:val="18"/>
                <w:lang w:val="es-ES"/>
              </w:rPr>
              <w:t>: 96</w:t>
            </w:r>
          </w:p>
        </w:tc>
        <w:tc>
          <w:tcPr>
            <w:tcW w:w="5005" w:type="dxa"/>
          </w:tcPr>
          <w:p w14:paraId="0C297C2F" w14:textId="77777777" w:rsidR="00286A25" w:rsidRPr="00286A25" w:rsidRDefault="00286A25" w:rsidP="00286A25">
            <w:pPr>
              <w:spacing w:line="278" w:lineRule="auto"/>
              <w:rPr>
                <w:sz w:val="18"/>
                <w:szCs w:val="18"/>
                <w:lang w:val="es-ES"/>
              </w:rPr>
            </w:pPr>
            <w:r w:rsidRPr="00286A25">
              <w:rPr>
                <w:sz w:val="18"/>
                <w:szCs w:val="18"/>
                <w:lang w:val="es-ES"/>
              </w:rPr>
              <w:t>Número de Partes: 96</w:t>
            </w:r>
          </w:p>
        </w:tc>
      </w:tr>
      <w:tr w:rsidR="00286A25" w:rsidRPr="00E944B1" w14:paraId="12DC6421" w14:textId="77777777" w:rsidTr="00286A25">
        <w:tc>
          <w:tcPr>
            <w:tcW w:w="4621" w:type="dxa"/>
          </w:tcPr>
          <w:p w14:paraId="104FD885" w14:textId="77777777" w:rsidR="00286A25" w:rsidRPr="00286A25" w:rsidRDefault="00286A25" w:rsidP="00286A25">
            <w:pPr>
              <w:spacing w:line="278" w:lineRule="auto"/>
              <w:rPr>
                <w:sz w:val="18"/>
                <w:szCs w:val="18"/>
                <w:lang w:val="es-ES"/>
              </w:rPr>
            </w:pPr>
            <w:proofErr w:type="spellStart"/>
            <w:r w:rsidRPr="00286A25">
              <w:rPr>
                <w:sz w:val="18"/>
                <w:szCs w:val="18"/>
                <w:lang w:val="es-ES"/>
              </w:rPr>
              <w:t>Region</w:t>
            </w:r>
            <w:proofErr w:type="spellEnd"/>
          </w:p>
        </w:tc>
        <w:tc>
          <w:tcPr>
            <w:tcW w:w="5005" w:type="dxa"/>
          </w:tcPr>
          <w:p w14:paraId="0D3A5BB2" w14:textId="77777777" w:rsidR="00286A25" w:rsidRPr="00286A25" w:rsidRDefault="00286A25" w:rsidP="00286A25">
            <w:pPr>
              <w:spacing w:line="278" w:lineRule="auto"/>
              <w:rPr>
                <w:sz w:val="18"/>
                <w:szCs w:val="18"/>
                <w:lang w:val="es-ES"/>
              </w:rPr>
            </w:pPr>
            <w:r w:rsidRPr="00286A25">
              <w:rPr>
                <w:sz w:val="18"/>
                <w:szCs w:val="18"/>
                <w:lang w:val="es-ES"/>
              </w:rPr>
              <w:t>Región</w:t>
            </w:r>
          </w:p>
        </w:tc>
      </w:tr>
      <w:tr w:rsidR="00286A25" w:rsidRPr="00E944B1" w14:paraId="28511BAA" w14:textId="77777777" w:rsidTr="00286A25">
        <w:tc>
          <w:tcPr>
            <w:tcW w:w="4621" w:type="dxa"/>
          </w:tcPr>
          <w:p w14:paraId="2BF9FCC3" w14:textId="77777777" w:rsidR="00286A25" w:rsidRPr="00286A25" w:rsidRDefault="00286A25" w:rsidP="00286A25">
            <w:pPr>
              <w:spacing w:line="278" w:lineRule="auto"/>
              <w:rPr>
                <w:sz w:val="18"/>
                <w:szCs w:val="18"/>
                <w:lang w:val="es-ES"/>
              </w:rPr>
            </w:pPr>
            <w:r w:rsidRPr="00286A25">
              <w:rPr>
                <w:sz w:val="18"/>
                <w:szCs w:val="18"/>
                <w:lang w:val="es-ES"/>
              </w:rPr>
              <w:lastRenderedPageBreak/>
              <w:t>African States</w:t>
            </w:r>
          </w:p>
        </w:tc>
        <w:tc>
          <w:tcPr>
            <w:tcW w:w="5005" w:type="dxa"/>
          </w:tcPr>
          <w:p w14:paraId="5E70CC0E" w14:textId="77777777" w:rsidR="00286A25" w:rsidRPr="00286A25" w:rsidRDefault="00286A25" w:rsidP="00286A25">
            <w:pPr>
              <w:spacing w:line="278" w:lineRule="auto"/>
              <w:rPr>
                <w:sz w:val="18"/>
                <w:szCs w:val="18"/>
                <w:lang w:val="es-ES"/>
              </w:rPr>
            </w:pPr>
            <w:r w:rsidRPr="00286A25">
              <w:rPr>
                <w:sz w:val="18"/>
                <w:szCs w:val="18"/>
                <w:lang w:val="es-ES"/>
              </w:rPr>
              <w:t>Estados de África</w:t>
            </w:r>
          </w:p>
        </w:tc>
      </w:tr>
      <w:tr w:rsidR="00286A25" w:rsidRPr="00E944B1" w14:paraId="701A5EC6" w14:textId="77777777" w:rsidTr="00286A25">
        <w:tc>
          <w:tcPr>
            <w:tcW w:w="4621" w:type="dxa"/>
          </w:tcPr>
          <w:p w14:paraId="4A9F15C9" w14:textId="77777777" w:rsidR="00286A25" w:rsidRPr="00286A25" w:rsidRDefault="00286A25" w:rsidP="00286A25">
            <w:pPr>
              <w:spacing w:line="278" w:lineRule="auto"/>
              <w:rPr>
                <w:sz w:val="18"/>
                <w:szCs w:val="18"/>
                <w:lang w:val="es-ES"/>
              </w:rPr>
            </w:pPr>
            <w:r w:rsidRPr="00286A25">
              <w:rPr>
                <w:sz w:val="18"/>
                <w:szCs w:val="18"/>
                <w:lang w:val="es-ES"/>
              </w:rPr>
              <w:t>Asia-Pacific States</w:t>
            </w:r>
          </w:p>
        </w:tc>
        <w:tc>
          <w:tcPr>
            <w:tcW w:w="5005" w:type="dxa"/>
          </w:tcPr>
          <w:p w14:paraId="50C6A7A6" w14:textId="77777777" w:rsidR="00286A25" w:rsidRPr="00286A25" w:rsidRDefault="00286A25" w:rsidP="00286A25">
            <w:pPr>
              <w:spacing w:line="278" w:lineRule="auto"/>
              <w:rPr>
                <w:sz w:val="18"/>
                <w:szCs w:val="18"/>
                <w:lang w:val="es-ES"/>
              </w:rPr>
            </w:pPr>
            <w:r w:rsidRPr="00286A25">
              <w:rPr>
                <w:sz w:val="18"/>
                <w:szCs w:val="18"/>
                <w:lang w:val="es-ES"/>
              </w:rPr>
              <w:t>Estados de Asia y el Pacífico</w:t>
            </w:r>
          </w:p>
        </w:tc>
      </w:tr>
      <w:tr w:rsidR="00286A25" w:rsidRPr="00E944B1" w14:paraId="0D02BCE3" w14:textId="77777777" w:rsidTr="00286A25">
        <w:tc>
          <w:tcPr>
            <w:tcW w:w="4621" w:type="dxa"/>
          </w:tcPr>
          <w:p w14:paraId="3EB2B91B" w14:textId="77777777" w:rsidR="00286A25" w:rsidRPr="00286A25" w:rsidRDefault="00286A25" w:rsidP="00286A25">
            <w:pPr>
              <w:spacing w:line="278" w:lineRule="auto"/>
              <w:rPr>
                <w:sz w:val="18"/>
                <w:szCs w:val="18"/>
                <w:lang w:val="en-US"/>
              </w:rPr>
            </w:pPr>
            <w:r w:rsidRPr="00286A25">
              <w:rPr>
                <w:sz w:val="18"/>
                <w:szCs w:val="18"/>
                <w:lang w:val="en-US"/>
              </w:rPr>
              <w:t>Latin American and Caribbean States</w:t>
            </w:r>
          </w:p>
        </w:tc>
        <w:tc>
          <w:tcPr>
            <w:tcW w:w="5005" w:type="dxa"/>
          </w:tcPr>
          <w:p w14:paraId="418B0319" w14:textId="77777777" w:rsidR="00286A25" w:rsidRPr="00286A25" w:rsidRDefault="00286A25" w:rsidP="00286A25">
            <w:pPr>
              <w:spacing w:line="278" w:lineRule="auto"/>
              <w:rPr>
                <w:sz w:val="18"/>
                <w:szCs w:val="18"/>
                <w:lang w:val="es-ES"/>
              </w:rPr>
            </w:pPr>
            <w:r w:rsidRPr="00286A25">
              <w:rPr>
                <w:sz w:val="18"/>
                <w:szCs w:val="18"/>
                <w:lang w:val="es-ES"/>
              </w:rPr>
              <w:t>Estados de América Latina y el Caribe</w:t>
            </w:r>
          </w:p>
        </w:tc>
      </w:tr>
      <w:tr w:rsidR="00286A25" w:rsidRPr="00E944B1" w14:paraId="2C9D058F" w14:textId="77777777" w:rsidTr="00286A25">
        <w:tc>
          <w:tcPr>
            <w:tcW w:w="4621" w:type="dxa"/>
          </w:tcPr>
          <w:p w14:paraId="3D150C09" w14:textId="77777777" w:rsidR="00286A25" w:rsidRPr="00286A25" w:rsidRDefault="00286A25" w:rsidP="00286A25">
            <w:pPr>
              <w:spacing w:line="278" w:lineRule="auto"/>
              <w:rPr>
                <w:sz w:val="18"/>
                <w:szCs w:val="18"/>
                <w:lang w:val="es-ES"/>
              </w:rPr>
            </w:pPr>
            <w:r w:rsidRPr="00286A25">
              <w:rPr>
                <w:sz w:val="18"/>
                <w:szCs w:val="18"/>
                <w:lang w:val="es-ES"/>
              </w:rPr>
              <w:t xml:space="preserve"> Eastern European States</w:t>
            </w:r>
          </w:p>
        </w:tc>
        <w:tc>
          <w:tcPr>
            <w:tcW w:w="5005" w:type="dxa"/>
          </w:tcPr>
          <w:p w14:paraId="30F11AC7" w14:textId="77777777" w:rsidR="00286A25" w:rsidRPr="00286A25" w:rsidRDefault="00286A25" w:rsidP="00286A25">
            <w:pPr>
              <w:spacing w:line="278" w:lineRule="auto"/>
              <w:rPr>
                <w:sz w:val="18"/>
                <w:szCs w:val="18"/>
                <w:lang w:val="es-ES"/>
              </w:rPr>
            </w:pPr>
            <w:r w:rsidRPr="00286A25">
              <w:rPr>
                <w:sz w:val="18"/>
                <w:szCs w:val="18"/>
                <w:lang w:val="es-ES"/>
              </w:rPr>
              <w:t>Estados de Europa Oriental</w:t>
            </w:r>
          </w:p>
        </w:tc>
      </w:tr>
      <w:tr w:rsidR="00286A25" w:rsidRPr="00E944B1" w14:paraId="560A956A" w14:textId="77777777" w:rsidTr="00286A25">
        <w:tc>
          <w:tcPr>
            <w:tcW w:w="4621" w:type="dxa"/>
          </w:tcPr>
          <w:p w14:paraId="1EEAFA72" w14:textId="77777777" w:rsidR="00286A25" w:rsidRPr="00286A25" w:rsidRDefault="00286A25" w:rsidP="00286A25">
            <w:pPr>
              <w:spacing w:line="278" w:lineRule="auto"/>
              <w:rPr>
                <w:sz w:val="18"/>
                <w:szCs w:val="18"/>
                <w:lang w:val="en-US"/>
              </w:rPr>
            </w:pPr>
            <w:r w:rsidRPr="00286A25">
              <w:rPr>
                <w:sz w:val="18"/>
                <w:szCs w:val="18"/>
                <w:lang w:val="en-US"/>
              </w:rPr>
              <w:t>Western European and other States</w:t>
            </w:r>
          </w:p>
        </w:tc>
        <w:tc>
          <w:tcPr>
            <w:tcW w:w="5005" w:type="dxa"/>
          </w:tcPr>
          <w:p w14:paraId="3CBA66E8" w14:textId="77777777" w:rsidR="00286A25" w:rsidRPr="00286A25" w:rsidRDefault="00286A25" w:rsidP="00286A25">
            <w:pPr>
              <w:spacing w:line="278" w:lineRule="auto"/>
              <w:rPr>
                <w:sz w:val="18"/>
                <w:szCs w:val="18"/>
                <w:lang w:val="es-ES"/>
              </w:rPr>
            </w:pPr>
            <w:r w:rsidRPr="00286A25">
              <w:rPr>
                <w:sz w:val="18"/>
                <w:szCs w:val="18"/>
                <w:lang w:val="es-ES"/>
              </w:rPr>
              <w:t>Estados de Europa Occidental y otros Estados</w:t>
            </w:r>
          </w:p>
        </w:tc>
      </w:tr>
    </w:tbl>
    <w:p w14:paraId="7FE22120" w14:textId="77777777" w:rsidR="00286A25" w:rsidRPr="005E3D50" w:rsidRDefault="00286A25" w:rsidP="009713BF">
      <w:pPr>
        <w:spacing w:after="200" w:line="240" w:lineRule="auto"/>
        <w:rPr>
          <w:rFonts w:eastAsiaTheme="minorEastAsia"/>
          <w:color w:val="0E2841" w:themeColor="text2"/>
          <w:kern w:val="0"/>
          <w:sz w:val="18"/>
          <w:szCs w:val="18"/>
          <w:lang w:val="es-ES" w:eastAsia="ja-JP"/>
          <w14:ligatures w14:val="none"/>
        </w:rPr>
      </w:pPr>
    </w:p>
    <w:p w14:paraId="1D5D7EF9" w14:textId="77777777" w:rsidR="009713BF" w:rsidRPr="005E3D50" w:rsidRDefault="009713BF" w:rsidP="009713BF">
      <w:pPr>
        <w:rPr>
          <w:i/>
          <w:iCs/>
          <w:color w:val="0E2841" w:themeColor="text2"/>
          <w:sz w:val="18"/>
          <w:szCs w:val="18"/>
          <w:lang w:val="es-ES"/>
        </w:rPr>
      </w:pPr>
    </w:p>
    <w:p w14:paraId="26DCE31C" w14:textId="77777777" w:rsidR="009713BF" w:rsidRPr="005E3D50" w:rsidRDefault="009713BF" w:rsidP="009713BF">
      <w:pPr>
        <w:spacing w:after="0" w:line="240" w:lineRule="auto"/>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w:t>
      </w:r>
    </w:p>
    <w:p w14:paraId="03017C0C"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00" w:name="_Toc235821296"/>
      <w:r w:rsidRPr="005E3D50">
        <w:rPr>
          <w:rFonts w:eastAsiaTheme="majorEastAsia" w:cstheme="majorBidi"/>
          <w:color w:val="0F4761" w:themeColor="accent1" w:themeShade="BF"/>
          <w:lang w:val="es-ES"/>
        </w:rPr>
        <w:t>Medidas, logros y dificultades</w:t>
      </w:r>
      <w:bookmarkEnd w:id="500"/>
      <w:r w:rsidRPr="005E3D50">
        <w:rPr>
          <w:rFonts w:eastAsiaTheme="majorEastAsia" w:cstheme="majorBidi"/>
          <w:color w:val="0F4761" w:themeColor="accent1" w:themeShade="BF"/>
          <w:lang w:val="es-ES"/>
        </w:rPr>
        <w:t xml:space="preserve"> en la implementación</w:t>
      </w:r>
    </w:p>
    <w:p w14:paraId="6B0087C9" w14:textId="77777777" w:rsidR="009713BF" w:rsidRPr="005E3D50" w:rsidRDefault="009713BF" w:rsidP="009713BF">
      <w:pPr>
        <w:rPr>
          <w:lang w:val="es-ES" w:eastAsia="en-CA"/>
        </w:rPr>
      </w:pPr>
    </w:p>
    <w:p w14:paraId="0E662967"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01" w:name="_Toc235821297"/>
      <w:r w:rsidRPr="005E3D50">
        <w:rPr>
          <w:rFonts w:eastAsiaTheme="majorEastAsia" w:cstheme="majorBidi"/>
          <w:i/>
          <w:iCs/>
          <w:color w:val="595959" w:themeColor="text1" w:themeTint="A6"/>
          <w:lang w:val="es-ES"/>
        </w:rPr>
        <w:t>Resumen de medidas en apoyo a la meta 20</w:t>
      </w:r>
      <w:bookmarkEnd w:id="501"/>
      <w:r w:rsidRPr="005E3D50">
        <w:rPr>
          <w:rFonts w:eastAsiaTheme="majorEastAsia" w:cstheme="majorBidi"/>
          <w:i/>
          <w:iCs/>
          <w:color w:val="595959" w:themeColor="text1" w:themeTint="A6"/>
          <w:lang w:val="es-ES"/>
        </w:rPr>
        <w:t xml:space="preserve"> del Marco</w:t>
      </w:r>
    </w:p>
    <w:p w14:paraId="004F16E2" w14:textId="77777777" w:rsidR="009713BF" w:rsidRPr="005E3D50" w:rsidRDefault="009713BF" w:rsidP="009713BF">
      <w:pPr>
        <w:rPr>
          <w:lang w:val="es-ES" w:eastAsia="en-CA"/>
        </w:rPr>
      </w:pPr>
    </w:p>
    <w:p w14:paraId="752D93FF" w14:textId="77777777" w:rsidR="009713BF" w:rsidRPr="005E3D50" w:rsidRDefault="009713BF" w:rsidP="009713BF">
      <w:pPr>
        <w:rPr>
          <w:lang w:val="es-ES"/>
        </w:rPr>
      </w:pPr>
      <w:r w:rsidRPr="005E3D50">
        <w:rPr>
          <w:lang w:val="es-ES"/>
        </w:rPr>
        <w:t>El desarrollo de infraestructura de investigación y datos es por lejos la medida más predominante que se comunica en apoyo a la consecución de la meta 20, lo que demuestra su fuerte superposición con la meta 21. Las Partes informan que han adoptado medidas para establecer o fortalecer sistemas nacionales de información sobre diversidad biológica, contribuir registros de presencia de especies al Sistema Global de Información sobre Biodiversidad (GBIF) e implementar tecnologías de seguimiento novedosas, entre ellas ADN ambiental (</w:t>
      </w:r>
      <w:proofErr w:type="spellStart"/>
      <w:r w:rsidRPr="005E3D50">
        <w:rPr>
          <w:lang w:val="es-ES"/>
        </w:rPr>
        <w:t>eDNA</w:t>
      </w:r>
      <w:proofErr w:type="spellEnd"/>
      <w:r w:rsidRPr="005E3D50">
        <w:rPr>
          <w:lang w:val="es-ES"/>
        </w:rPr>
        <w:t xml:space="preserve">), drones, cámaras trampa activadas por inteligencia artificial, sensores acústicos e imágenes satelitales. En todas las regiones se informa de medidas de cooperación internacional en apoyo a la meta 20, que abarcan desde acuerdos bilaterales de transferencia de tecnología hasta plataformas multilaterales e intercambios Sur-Sur (véase el recuadro 48). Casi todas las Partes informan que han adoptado medidas de formación y creación de capacidad que van desde programas nacionales a gran escala hasta formación específica para especialistas, por ejemplo, sobre taxonomía, técnicas de códigos de barras de ADN y tecnologías de seguimiento. Como medidas vinculadas a la consecución de la meta 20 también se citan marcos legislativos de acceso y participación en los beneficios con arreglo al Protocolo de Nagoya y relacionados con la seguridad de la biotecnología con arreglo al Protocolo de Cartagena. </w:t>
      </w:r>
    </w:p>
    <w:p w14:paraId="70938ACE"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eastAsia="en-CA"/>
        </w:rPr>
      </w:pPr>
    </w:p>
    <w:p w14:paraId="6741021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02" w:name="_Toc235821298"/>
      <w:r w:rsidRPr="005E3D50">
        <w:rPr>
          <w:rFonts w:eastAsiaTheme="majorEastAsia" w:cstheme="majorBidi"/>
          <w:i/>
          <w:iCs/>
          <w:color w:val="595959" w:themeColor="text1" w:themeTint="A6"/>
          <w:lang w:val="es-ES"/>
        </w:rPr>
        <w:t>Ejemplos de logros y progresos en la implementación</w:t>
      </w:r>
      <w:bookmarkEnd w:id="502"/>
    </w:p>
    <w:p w14:paraId="43F9EC92"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942359" w14:paraId="71455993" w14:textId="77777777" w:rsidTr="006E6831">
        <w:tc>
          <w:tcPr>
            <w:tcW w:w="9016" w:type="dxa"/>
            <w:shd w:val="clear" w:color="auto" w:fill="D1D1D1" w:themeFill="background2" w:themeFillShade="E6"/>
          </w:tcPr>
          <w:p w14:paraId="65F56A10" w14:textId="77777777" w:rsidR="009713BF" w:rsidRPr="005E3D50" w:rsidRDefault="009713BF" w:rsidP="009713BF">
            <w:pPr>
              <w:rPr>
                <w:sz w:val="20"/>
                <w:szCs w:val="20"/>
                <w:lang w:val="es-ES"/>
              </w:rPr>
            </w:pPr>
            <w:r w:rsidRPr="005E3D50">
              <w:rPr>
                <w:sz w:val="20"/>
                <w:lang w:val="es-ES"/>
              </w:rPr>
              <w:t>Recuadro 48</w:t>
            </w:r>
          </w:p>
          <w:p w14:paraId="12F2DD87" w14:textId="77777777" w:rsidR="009713BF" w:rsidRPr="005E3D50" w:rsidRDefault="009713BF" w:rsidP="009713BF">
            <w:pPr>
              <w:spacing w:after="160" w:line="278" w:lineRule="auto"/>
              <w:rPr>
                <w:b/>
                <w:bCs/>
                <w:sz w:val="20"/>
                <w:szCs w:val="20"/>
                <w:lang w:val="es-ES"/>
              </w:rPr>
            </w:pPr>
            <w:r w:rsidRPr="005E3D50">
              <w:rPr>
                <w:b/>
                <w:sz w:val="20"/>
                <w:lang w:val="es-ES"/>
              </w:rPr>
              <w:t xml:space="preserve">Cooperación subregional en apoyo a la implementación del Marco en África meridional </w:t>
            </w:r>
          </w:p>
          <w:p w14:paraId="0A29453C" w14:textId="77777777" w:rsidR="009713BF" w:rsidRPr="005E3D50" w:rsidRDefault="009713BF" w:rsidP="009713BF">
            <w:pPr>
              <w:spacing w:after="160" w:line="278" w:lineRule="auto"/>
              <w:rPr>
                <w:sz w:val="20"/>
                <w:szCs w:val="20"/>
                <w:lang w:val="es-ES"/>
              </w:rPr>
            </w:pPr>
            <w:r w:rsidRPr="005E3D50">
              <w:rPr>
                <w:sz w:val="20"/>
                <w:lang w:val="es-ES"/>
              </w:rPr>
              <w:t xml:space="preserve">En 2025, Sudáfrica inauguró oficialmente el Centro de Apoyo a la Cooperación Científica y Técnica, de alcance subregional, alojado en el Instituto de Biodiversidad Nacional de Sudáfrica (SANBI), con el objetivo de satisfacer las necesidades de implementación de nueve países asociados de África </w:t>
            </w:r>
            <w:proofErr w:type="spellStart"/>
            <w:r w:rsidRPr="005E3D50">
              <w:rPr>
                <w:sz w:val="20"/>
                <w:lang w:val="es-ES"/>
              </w:rPr>
              <w:lastRenderedPageBreak/>
              <w:t>meridional</w:t>
            </w:r>
            <w:r w:rsidRPr="005E3D50">
              <w:rPr>
                <w:sz w:val="20"/>
                <w:vertAlign w:val="superscript"/>
                <w:lang w:val="es-ES"/>
              </w:rPr>
              <w:t>a</w:t>
            </w:r>
            <w:proofErr w:type="spellEnd"/>
            <w:r w:rsidRPr="005E3D50">
              <w:rPr>
                <w:sz w:val="20"/>
                <w:lang w:val="es-ES"/>
              </w:rPr>
              <w:t>. Las actividades previstas para el Centro, que forma parte del mecanismo de cooperación científica y técnica establecido por la Conferencia de las Partes (</w:t>
            </w:r>
            <w:proofErr w:type="spellStart"/>
            <w:r w:rsidRPr="005E3D50">
              <w:rPr>
                <w:sz w:val="20"/>
                <w:lang w:val="es-ES"/>
              </w:rPr>
              <w:t>dec</w:t>
            </w:r>
            <w:proofErr w:type="spellEnd"/>
            <w:r w:rsidRPr="005E3D50">
              <w:rPr>
                <w:sz w:val="20"/>
                <w:lang w:val="es-ES"/>
              </w:rPr>
              <w:t xml:space="preserve">. 15/8 en CDB, 2023; y </w:t>
            </w:r>
            <w:proofErr w:type="spellStart"/>
            <w:r w:rsidRPr="005E3D50">
              <w:rPr>
                <w:sz w:val="20"/>
                <w:lang w:val="es-ES"/>
              </w:rPr>
              <w:t>dec</w:t>
            </w:r>
            <w:proofErr w:type="spellEnd"/>
            <w:r w:rsidRPr="005E3D50">
              <w:rPr>
                <w:sz w:val="20"/>
                <w:lang w:val="es-ES"/>
              </w:rPr>
              <w:t xml:space="preserve">. 16/3 en CDB, 2026), incluyen la provisión de un servicio de asistencia técnica sobre herramientas y datos científicos, la realización de evaluaciones de necesidades de capacidad para aportar insumos al programa de trabajo hasta 2030, la organización de talleres o intercambios educativos a nivel regional, la facilitación de conexiones entre expertos para llevar a cabo investigaciones conjuntas y la creación de asociaciones estratégicas para movilizar recursos. El Centro también se dedica a fortalecer la colaboración entre los nueve países participantes, a saber: Angola, </w:t>
            </w:r>
            <w:proofErr w:type="spellStart"/>
            <w:r w:rsidRPr="005E3D50">
              <w:rPr>
                <w:sz w:val="20"/>
                <w:lang w:val="es-ES"/>
              </w:rPr>
              <w:t>Botswana</w:t>
            </w:r>
            <w:proofErr w:type="spellEnd"/>
            <w:r w:rsidRPr="005E3D50">
              <w:rPr>
                <w:sz w:val="20"/>
                <w:lang w:val="es-ES"/>
              </w:rPr>
              <w:t xml:space="preserve">, </w:t>
            </w:r>
            <w:proofErr w:type="spellStart"/>
            <w:r w:rsidRPr="005E3D50">
              <w:rPr>
                <w:sz w:val="20"/>
                <w:lang w:val="es-ES"/>
              </w:rPr>
              <w:t>Lesotho</w:t>
            </w:r>
            <w:proofErr w:type="spellEnd"/>
            <w:r w:rsidRPr="005E3D50">
              <w:rPr>
                <w:sz w:val="20"/>
                <w:lang w:val="es-ES"/>
              </w:rPr>
              <w:t>, Malawi, Mozambique, Namibia, Seychelles, Sudáfrica y Zimbabwe.</w:t>
            </w:r>
          </w:p>
          <w:p w14:paraId="6C51C352" w14:textId="77777777" w:rsidR="009713BF" w:rsidRPr="005E3D50" w:rsidRDefault="009713BF" w:rsidP="009713BF">
            <w:pPr>
              <w:spacing w:after="160" w:line="278" w:lineRule="auto"/>
              <w:rPr>
                <w:sz w:val="20"/>
                <w:szCs w:val="20"/>
                <w:lang w:val="es-ES"/>
              </w:rPr>
            </w:pPr>
            <w:r w:rsidRPr="005E3D50">
              <w:rPr>
                <w:sz w:val="20"/>
                <w:lang w:val="es-ES"/>
              </w:rPr>
              <w:t>Ante las dificultades enfrentadas en la obtención de recursos para poner en funcionamiento el Centro, el Instituto emitió una convocatoria de expresiones de interés para asociaciones. Además de aprovechar asociaciones ya existentes, este proceso también abrió oportunidades para apoyar la consecución de la meta 20. El Centro está fuertemente articulado con proyectos e iniciativas regionales que contribuyen a la implementación de la meta 20.</w:t>
            </w:r>
          </w:p>
          <w:p w14:paraId="17BF074B" w14:textId="77777777" w:rsidR="009713BF" w:rsidRPr="005E3D50" w:rsidRDefault="009713BF" w:rsidP="009713BF">
            <w:pPr>
              <w:spacing w:after="160" w:line="276" w:lineRule="auto"/>
              <w:rPr>
                <w:rFonts w:eastAsiaTheme="minorEastAsia"/>
                <w:kern w:val="0"/>
                <w:sz w:val="20"/>
                <w:szCs w:val="20"/>
                <w:lang w:val="es-ES" w:eastAsia="ja-JP"/>
                <w14:ligatures w14:val="none"/>
              </w:rPr>
            </w:pPr>
            <w:r w:rsidRPr="005E3D50">
              <w:rPr>
                <w:rFonts w:eastAsiaTheme="minorEastAsia"/>
                <w:kern w:val="0"/>
                <w:sz w:val="20"/>
                <w:szCs w:val="20"/>
                <w:lang w:val="es-ES" w:eastAsia="ja-JP"/>
                <w14:ligatures w14:val="none"/>
              </w:rPr>
              <w:t xml:space="preserve">Una de las actividades regionales que encabeza Sudáfrica es un proyecto regional sobre evaluación, priorización y planificación de biodiversidad espacial, ejecutado junto con Malawi, Mozambique y </w:t>
            </w:r>
            <w:proofErr w:type="spellStart"/>
            <w:r w:rsidRPr="005E3D50">
              <w:rPr>
                <w:rFonts w:eastAsiaTheme="minorEastAsia"/>
                <w:kern w:val="0"/>
                <w:sz w:val="20"/>
                <w:szCs w:val="20"/>
                <w:lang w:val="es-ES" w:eastAsia="ja-JP"/>
                <w14:ligatures w14:val="none"/>
              </w:rPr>
              <w:t>Namibia</w:t>
            </w:r>
            <w:r w:rsidRPr="005E3D50">
              <w:rPr>
                <w:rFonts w:eastAsiaTheme="minorEastAsia"/>
                <w:kern w:val="0"/>
                <w:sz w:val="20"/>
                <w:szCs w:val="20"/>
                <w:vertAlign w:val="superscript"/>
                <w:lang w:val="es-ES" w:eastAsia="ja-JP"/>
                <w14:ligatures w14:val="none"/>
              </w:rPr>
              <w:t>b</w:t>
            </w:r>
            <w:proofErr w:type="spellEnd"/>
            <w:r w:rsidRPr="005E3D50">
              <w:rPr>
                <w:rFonts w:eastAsiaTheme="minorEastAsia"/>
                <w:kern w:val="0"/>
                <w:sz w:val="20"/>
                <w:szCs w:val="20"/>
                <w:lang w:val="es-ES" w:eastAsia="ja-JP"/>
                <w14:ligatures w14:val="none"/>
              </w:rPr>
              <w:t xml:space="preserve">. Este proyecto de cinco años de duración (2022-2027) sobre desarrollo de conocimientos de biodiversidad para la acción en África meridional es dirigido por el SANBI y financiado por la </w:t>
            </w:r>
            <w:proofErr w:type="spellStart"/>
            <w:r w:rsidRPr="005E3D50">
              <w:rPr>
                <w:rFonts w:eastAsiaTheme="minorEastAsia"/>
                <w:kern w:val="0"/>
                <w:sz w:val="20"/>
                <w:szCs w:val="20"/>
                <w:lang w:val="es-ES" w:eastAsia="ja-JP"/>
                <w14:ligatures w14:val="none"/>
              </w:rPr>
              <w:t>Agence</w:t>
            </w:r>
            <w:proofErr w:type="spellEnd"/>
            <w:r w:rsidRPr="005E3D50">
              <w:rPr>
                <w:rFonts w:eastAsiaTheme="minorEastAsia"/>
                <w:kern w:val="0"/>
                <w:sz w:val="20"/>
                <w:szCs w:val="20"/>
                <w:lang w:val="es-ES" w:eastAsia="ja-JP"/>
                <w14:ligatures w14:val="none"/>
              </w:rPr>
              <w:t xml:space="preserve"> </w:t>
            </w:r>
            <w:proofErr w:type="spellStart"/>
            <w:r w:rsidRPr="005E3D50">
              <w:rPr>
                <w:rFonts w:eastAsiaTheme="minorEastAsia"/>
                <w:kern w:val="0"/>
                <w:sz w:val="20"/>
                <w:szCs w:val="20"/>
                <w:lang w:val="es-ES" w:eastAsia="ja-JP"/>
                <w14:ligatures w14:val="none"/>
              </w:rPr>
              <w:t>Française</w:t>
            </w:r>
            <w:proofErr w:type="spellEnd"/>
            <w:r w:rsidRPr="005E3D50">
              <w:rPr>
                <w:rFonts w:eastAsiaTheme="minorEastAsia"/>
                <w:kern w:val="0"/>
                <w:sz w:val="20"/>
                <w:szCs w:val="20"/>
                <w:lang w:val="es-ES" w:eastAsia="ja-JP"/>
                <w14:ligatures w14:val="none"/>
              </w:rPr>
              <w:t xml:space="preserve"> de </w:t>
            </w:r>
            <w:proofErr w:type="spellStart"/>
            <w:r w:rsidRPr="005E3D50">
              <w:rPr>
                <w:rFonts w:eastAsiaTheme="minorEastAsia"/>
                <w:kern w:val="0"/>
                <w:sz w:val="20"/>
                <w:szCs w:val="20"/>
                <w:lang w:val="es-ES" w:eastAsia="ja-JP"/>
                <w14:ligatures w14:val="none"/>
              </w:rPr>
              <w:t>Développement</w:t>
            </w:r>
            <w:proofErr w:type="spellEnd"/>
            <w:r w:rsidRPr="005E3D50">
              <w:rPr>
                <w:rFonts w:eastAsiaTheme="minorEastAsia"/>
                <w:kern w:val="0"/>
                <w:sz w:val="20"/>
                <w:szCs w:val="20"/>
                <w:lang w:val="es-ES" w:eastAsia="ja-JP"/>
                <w14:ligatures w14:val="none"/>
              </w:rPr>
              <w:t xml:space="preserve"> y el Fondo Francés para el Medio Ambiente Mundial. En el marco del proyecto, los cuatro países participantes están dedicados al desarrollo y la mejora de evaluaciones y procesos y productos de priorización y planificación en materia de biodiversidad espacial. El proyecto comprende cooperación científica y técnica para llevar a cabo un relevamiento de tipos de ecosistemas, con el objetivo de recopilar y elaborar datos espaciales sobre condiciones ecológicas terrestres a nivel tanto nacional como regional, profundizar las evaluaciones de la Lista Roja tanto para especies como para ecosistemas e identificar áreas clave para la biodiversidad (UICN, 2016), utilizando estos productos para los procesos de priorización a través de la planificación espacial integrada y la integración de estas prioridades en procesos de toma de decisiones clave. El proyecto profundiza los conocimientos nacionales sobre biodiversidad para garantizar que la planificación, la formulación de políticas y la toma de decisiones en materia de uso de la tierra tengan una base científica, a la vez que se proporcionan valores de referencia para un futuro seguimiento de la diversidad biológica y se apoya la capacidad de cada Gobierno de cumplir los compromisos asumidos en virtud del Marco.</w:t>
            </w:r>
          </w:p>
          <w:p w14:paraId="16878E4F" w14:textId="77777777" w:rsidR="009713BF" w:rsidRPr="005E3D50" w:rsidRDefault="009713BF" w:rsidP="009713BF">
            <w:pPr>
              <w:spacing w:after="160" w:line="278" w:lineRule="auto"/>
              <w:rPr>
                <w:sz w:val="20"/>
                <w:szCs w:val="20"/>
                <w:lang w:val="es-ES"/>
              </w:rPr>
            </w:pPr>
            <w:r w:rsidRPr="005E3D50">
              <w:rPr>
                <w:sz w:val="20"/>
                <w:lang w:val="es-ES"/>
              </w:rPr>
              <w:t xml:space="preserve">Uno de los resultados del proyecto regional fue la actualización en 2024 de la publicación </w:t>
            </w:r>
            <w:proofErr w:type="spellStart"/>
            <w:r w:rsidRPr="005E3D50">
              <w:rPr>
                <w:i/>
                <w:sz w:val="20"/>
                <w:lang w:val="es-ES"/>
              </w:rPr>
              <w:t>Mapping</w:t>
            </w:r>
            <w:proofErr w:type="spellEnd"/>
            <w:r w:rsidRPr="005E3D50">
              <w:rPr>
                <w:i/>
                <w:sz w:val="20"/>
                <w:lang w:val="es-ES"/>
              </w:rPr>
              <w:t xml:space="preserve"> Biodiversity </w:t>
            </w:r>
            <w:proofErr w:type="spellStart"/>
            <w:r w:rsidRPr="005E3D50">
              <w:rPr>
                <w:i/>
                <w:sz w:val="20"/>
                <w:lang w:val="es-ES"/>
              </w:rPr>
              <w:t>Priorities</w:t>
            </w:r>
            <w:proofErr w:type="spellEnd"/>
            <w:r w:rsidRPr="005E3D50">
              <w:rPr>
                <w:sz w:val="20"/>
                <w:lang w:val="es-ES"/>
              </w:rPr>
              <w:t xml:space="preserve"> (SANBI y CMVC-PNUMA, 2024), un documento de orientación que brinda un enfoque científico práctico para la evaluación y priorización de la diversidad biológica, aplicable a nivel nacional en cualquier país. En la plataforma de IUCN </w:t>
            </w:r>
            <w:proofErr w:type="spellStart"/>
            <w:r w:rsidRPr="005E3D50">
              <w:rPr>
                <w:sz w:val="20"/>
                <w:lang w:val="es-ES"/>
              </w:rPr>
              <w:t>Academy</w:t>
            </w:r>
            <w:proofErr w:type="spellEnd"/>
            <w:r w:rsidRPr="005E3D50">
              <w:rPr>
                <w:sz w:val="20"/>
                <w:lang w:val="es-ES"/>
              </w:rPr>
              <w:t xml:space="preserve"> está disponible un curso introductorio de aprendizaje en línea basado en esta guía. Asimismo, se dictan talleres técnicos presenciales a nivel regional y en los países y se organizan sesiones virtuales de intercambio de información que son mecanismos esenciales de creación de capacidad utilizados en todo el proyecto. Todas las sesiones virtuales se graban y quedan disponibles para otros usuarios a través de las páginas web del Centro y del proyecto. </w:t>
            </w:r>
          </w:p>
          <w:p w14:paraId="696B19CE" w14:textId="77777777" w:rsidR="009713BF" w:rsidRPr="005E3D50" w:rsidRDefault="009713BF" w:rsidP="009713BF">
            <w:pPr>
              <w:rPr>
                <w:lang w:val="es-ES" w:eastAsia="en-CA"/>
              </w:rPr>
            </w:pPr>
          </w:p>
          <w:p w14:paraId="4CC9DB03" w14:textId="77777777" w:rsidR="009713BF" w:rsidRPr="005E3D50" w:rsidRDefault="009713BF" w:rsidP="009713BF">
            <w:pPr>
              <w:rPr>
                <w:i/>
                <w:iCs/>
                <w:sz w:val="20"/>
                <w:szCs w:val="20"/>
                <w:lang w:val="es-ES"/>
              </w:rPr>
            </w:pPr>
            <w:r w:rsidRPr="005E3D50">
              <w:rPr>
                <w:i/>
                <w:sz w:val="20"/>
                <w:lang w:val="es-ES"/>
              </w:rPr>
              <w:t xml:space="preserve">Metas pertinentes: </w:t>
            </w:r>
            <w:r w:rsidRPr="005E3D50">
              <w:rPr>
                <w:sz w:val="20"/>
                <w:lang w:val="es-ES"/>
              </w:rPr>
              <w:t>1, 2, 3, 4, 5, 6, 9, 10, 14, 20 y 21.</w:t>
            </w:r>
          </w:p>
          <w:p w14:paraId="76E3E07F" w14:textId="77777777" w:rsidR="009713BF" w:rsidRPr="005E3D50" w:rsidRDefault="009713BF" w:rsidP="009713BF">
            <w:pPr>
              <w:rPr>
                <w:sz w:val="20"/>
                <w:szCs w:val="20"/>
                <w:lang w:val="es-ES"/>
              </w:rPr>
            </w:pPr>
            <w:r w:rsidRPr="005E3D50">
              <w:rPr>
                <w:i/>
                <w:sz w:val="20"/>
                <w:lang w:val="es-ES"/>
              </w:rPr>
              <w:lastRenderedPageBreak/>
              <w:t xml:space="preserve">Fuente: </w:t>
            </w:r>
            <w:r w:rsidRPr="005E3D50">
              <w:rPr>
                <w:sz w:val="20"/>
                <w:lang w:val="es-ES"/>
              </w:rPr>
              <w:t>Sudáfrica, séptimo informe nacional presentado al Convenio.</w:t>
            </w:r>
          </w:p>
          <w:p w14:paraId="1F28633F" w14:textId="77777777" w:rsidR="009713BF" w:rsidRPr="005E3D50" w:rsidRDefault="009713BF" w:rsidP="009713BF">
            <w:pPr>
              <w:rPr>
                <w:i/>
                <w:iCs/>
                <w:sz w:val="20"/>
                <w:szCs w:val="20"/>
                <w:lang w:val="es-ES" w:eastAsia="en-CA"/>
              </w:rPr>
            </w:pPr>
          </w:p>
          <w:p w14:paraId="6B742C25" w14:textId="77777777" w:rsidR="009713BF" w:rsidRPr="0059394F" w:rsidRDefault="009713BF" w:rsidP="009713BF">
            <w:pPr>
              <w:rPr>
                <w:rFonts w:eastAsiaTheme="minorEastAsia"/>
                <w:kern w:val="0"/>
                <w:sz w:val="18"/>
                <w:szCs w:val="18"/>
                <w:lang w:val="pt-BR" w:eastAsia="ja-JP"/>
                <w14:ligatures w14:val="none"/>
              </w:rPr>
            </w:pPr>
            <w:r w:rsidRPr="0059394F">
              <w:rPr>
                <w:i/>
                <w:sz w:val="18"/>
                <w:vertAlign w:val="superscript"/>
                <w:lang w:val="pt-BR"/>
              </w:rPr>
              <w:t>a</w:t>
            </w:r>
            <w:r w:rsidRPr="0059394F">
              <w:rPr>
                <w:sz w:val="18"/>
                <w:lang w:val="pt-BR"/>
              </w:rPr>
              <w:t> </w:t>
            </w:r>
            <w:proofErr w:type="spellStart"/>
            <w:r w:rsidRPr="0059394F">
              <w:rPr>
                <w:sz w:val="18"/>
                <w:lang w:val="pt-BR"/>
              </w:rPr>
              <w:t>Véase</w:t>
            </w:r>
            <w:proofErr w:type="spellEnd"/>
            <w:r w:rsidRPr="0059394F">
              <w:rPr>
                <w:sz w:val="18"/>
                <w:lang w:val="pt-BR"/>
              </w:rPr>
              <w:t xml:space="preserve"> www.sanbi.org/biodiversity/science-into-policy-action/subregional-technical-support-centre-for-southern-africa/</w:t>
            </w:r>
            <w:r w:rsidRPr="0059394F">
              <w:rPr>
                <w:rFonts w:eastAsiaTheme="minorEastAsia"/>
                <w:kern w:val="0"/>
                <w:sz w:val="18"/>
                <w:szCs w:val="20"/>
                <w:lang w:val="pt-BR" w:eastAsia="ja-JP"/>
                <w14:ligatures w14:val="none"/>
              </w:rPr>
              <w:t>.</w:t>
            </w:r>
          </w:p>
          <w:p w14:paraId="62CE737C" w14:textId="77777777" w:rsidR="009713BF" w:rsidRPr="00673184" w:rsidRDefault="009713BF" w:rsidP="009713BF">
            <w:pPr>
              <w:rPr>
                <w:i/>
                <w:iCs/>
                <w:sz w:val="18"/>
                <w:szCs w:val="18"/>
                <w:lang w:val="fr-FR"/>
              </w:rPr>
            </w:pPr>
            <w:proofErr w:type="gramStart"/>
            <w:r w:rsidRPr="00673184">
              <w:rPr>
                <w:i/>
                <w:sz w:val="18"/>
                <w:vertAlign w:val="superscript"/>
                <w:lang w:val="fr-FR"/>
              </w:rPr>
              <w:t>b</w:t>
            </w:r>
            <w:proofErr w:type="gramEnd"/>
            <w:r w:rsidRPr="00673184">
              <w:rPr>
                <w:sz w:val="18"/>
                <w:szCs w:val="18"/>
                <w:lang w:val="fr-FR"/>
              </w:rPr>
              <w:t> </w:t>
            </w:r>
            <w:proofErr w:type="spellStart"/>
            <w:r w:rsidRPr="00673184">
              <w:rPr>
                <w:sz w:val="18"/>
                <w:lang w:val="fr-FR"/>
              </w:rPr>
              <w:t>Véase</w:t>
            </w:r>
            <w:proofErr w:type="spellEnd"/>
            <w:r w:rsidRPr="00673184">
              <w:rPr>
                <w:sz w:val="18"/>
                <w:lang w:val="fr-FR"/>
              </w:rPr>
              <w:t xml:space="preserve"> www.sanbi.org/biodiversity/building-knowledge/biodiversity-monitoring-assessment/the-sbapp-regional-project/.</w:t>
            </w:r>
          </w:p>
          <w:p w14:paraId="2531598E" w14:textId="77777777" w:rsidR="009713BF" w:rsidRPr="00673184" w:rsidRDefault="009713BF" w:rsidP="009713BF">
            <w:pPr>
              <w:rPr>
                <w:lang w:val="fr-FR" w:eastAsia="en-CA"/>
              </w:rPr>
            </w:pPr>
          </w:p>
        </w:tc>
      </w:tr>
    </w:tbl>
    <w:p w14:paraId="0C8A5710" w14:textId="77777777" w:rsidR="009713BF" w:rsidRPr="00673184" w:rsidRDefault="009713BF" w:rsidP="009713BF">
      <w:pPr>
        <w:keepNext/>
        <w:keepLines/>
        <w:spacing w:before="40" w:after="0"/>
        <w:outlineLvl w:val="5"/>
        <w:rPr>
          <w:rFonts w:eastAsiaTheme="majorEastAsia" w:cstheme="majorBidi"/>
          <w:i/>
          <w:iCs/>
          <w:color w:val="595959" w:themeColor="text1" w:themeTint="A6"/>
          <w:lang w:val="fr-FR" w:eastAsia="en-CA"/>
        </w:rPr>
      </w:pPr>
    </w:p>
    <w:p w14:paraId="323AC1A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03" w:name="_Toc235821299"/>
      <w:r w:rsidRPr="005E3D50">
        <w:rPr>
          <w:rFonts w:eastAsiaTheme="majorEastAsia" w:cstheme="majorBidi"/>
          <w:i/>
          <w:iCs/>
          <w:color w:val="595959" w:themeColor="text1" w:themeTint="A6"/>
          <w:lang w:val="es-ES"/>
        </w:rPr>
        <w:t>Dificultades</w:t>
      </w:r>
      <w:bookmarkEnd w:id="503"/>
    </w:p>
    <w:p w14:paraId="1322F58A" w14:textId="77777777" w:rsidR="009713BF" w:rsidRPr="005E3D50" w:rsidRDefault="009713BF" w:rsidP="009713BF">
      <w:pPr>
        <w:rPr>
          <w:lang w:val="es-ES" w:eastAsia="en-CA"/>
        </w:rPr>
      </w:pPr>
    </w:p>
    <w:p w14:paraId="3F325D84" w14:textId="77777777" w:rsidR="009713BF" w:rsidRPr="005E3D50" w:rsidRDefault="009713BF" w:rsidP="009713BF">
      <w:pPr>
        <w:rPr>
          <w:lang w:val="es-ES"/>
        </w:rPr>
      </w:pPr>
      <w:r w:rsidRPr="005E3D50">
        <w:rPr>
          <w:lang w:val="es-ES"/>
        </w:rPr>
        <w:t xml:space="preserve">Debido a su alcance transversal, la meta 20 concentra y refleja las dificultades sistémicas que atraviesan todo el Marco. Las Partes informan que la financiación para la creación de capacidad en materia de diversidad biológica es abrumadoramente de corto plazo o vinculada a proyectos y muchas veces de procedencia externa, lo que significa que cuando se termina un proyecto suelen discontinuarse programas de formación, sistemas de seguimiento e iniciativas de investigación. Las asignaciones de los presupuestos nacionales para investigación y tecnología relacionadas con la diversidad biológica siguen siendo insuficientes en la mayoría de las Partes que presentaron información, y la falta de mecanismos de financiación sostenible genera un ciclo de dependencia de donantes internacionales. Sumado a esto, la coordinación institucional es débil y hay una fragmentación de mandatos en múltiples órganos gubernamentales, organismos e instituciones académicas, lo que lleva a duplicación de esfuerzos, superposición de responsabilidades y dificultades para consolidar un programa nacional coherente de objetivos de investigación e implementación. Las Partes informan de manera sistemática que existen importantes carencias en materia de conocimientos técnicos especializados, en particular con respecto a cuestiones como taxonomía, modelización ecológica, sistemas de información geográfica y gestión de datos, además de acceso limitado a infraestructura de laboratorio y tecnologías de seguimiento modernas. La información sobre diversidad biológica suele estar compartimentada en distintas instituciones sin normas comunes ni interoperabilidad, lo que afecta la capacidad de medir los progresos y aportar insumos para la formulación de políticas. La alta rotación de personal contribuye a erosionar la memoria institucional, lo que redunda en que capacidades adquiridas en la formación difícilmente queden ancladas en sistemas nacionales duraderos. </w:t>
      </w:r>
    </w:p>
    <w:p w14:paraId="0A3A5524" w14:textId="77777777" w:rsidR="009713BF" w:rsidRPr="005E3D50" w:rsidRDefault="009713BF" w:rsidP="009713BF">
      <w:pPr>
        <w:spacing w:after="0" w:line="240" w:lineRule="auto"/>
        <w:rPr>
          <w:rFonts w:ascii="Aptos" w:eastAsia="Times New Roman" w:hAnsi="Aptos" w:cs="Times New Roman"/>
          <w:color w:val="000000"/>
          <w:kern w:val="0"/>
          <w:lang w:val="es-ES" w:eastAsia="en-CA"/>
          <w14:ligatures w14:val="none"/>
        </w:rPr>
      </w:pPr>
    </w:p>
    <w:p w14:paraId="7AE104C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lastRenderedPageBreak/>
        <w:t>Contribuciones de actores distintos de los Gobiernos nacionales</w:t>
      </w:r>
    </w:p>
    <w:p w14:paraId="2581BADC"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04" w:name="_Toc235821301"/>
    </w:p>
    <w:p w14:paraId="7CEA5EF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504"/>
    </w:p>
    <w:p w14:paraId="464A09CA" w14:textId="77777777" w:rsidR="009713BF" w:rsidRPr="005E3D50" w:rsidRDefault="009713BF" w:rsidP="009713BF">
      <w:pPr>
        <w:rPr>
          <w:lang w:val="es-ES" w:eastAsia="en-CA"/>
        </w:rPr>
      </w:pPr>
    </w:p>
    <w:p w14:paraId="21665F21" w14:textId="77777777" w:rsidR="009713BF" w:rsidRPr="005E3D50" w:rsidRDefault="009713BF" w:rsidP="009713BF">
      <w:pPr>
        <w:rPr>
          <w:lang w:val="es-ES"/>
        </w:rPr>
      </w:pPr>
      <w:r w:rsidRPr="005E3D50">
        <w:rPr>
          <w:lang w:val="es-ES"/>
        </w:rPr>
        <w:t xml:space="preserve">De los 180 compromisos presentados por actores que no son Gobiernos nacionales, solo 3 tienen que ver principalmente con la meta 20. Estos fueron presentados por dos ONG y una institución de investigación internacional. Uno de los compromisos fue presentado por la red internacional de investigación agrícola CGIAR, que presentó compromisos en varias metas, entre ellos el diseño y la implementación de módulos de capacitación de agricultores, investigadores y profesionales para apoyar la planificación de ecosistemas agrícolas. Los otros compromisos relacionados con la meta 20 fueron presentados por ONG europeas y se centran en la cooperación Norte-Sur a través de asociaciones y apoyo en materia de capacidad para grupos de la sociedad civil en países en desarrollo. </w:t>
      </w:r>
    </w:p>
    <w:p w14:paraId="6F5C392C" w14:textId="77777777" w:rsidR="009713BF" w:rsidRPr="005E3D50" w:rsidRDefault="009713BF" w:rsidP="009713BF">
      <w:pPr>
        <w:rPr>
          <w:i/>
          <w:iCs/>
          <w:lang w:val="es-ES"/>
        </w:rPr>
      </w:pPr>
    </w:p>
    <w:p w14:paraId="400A321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05" w:name="_Toc235821302"/>
      <w:r w:rsidRPr="005E3D50">
        <w:rPr>
          <w:rFonts w:eastAsiaTheme="majorEastAsia" w:cstheme="majorBidi"/>
          <w:i/>
          <w:iCs/>
          <w:color w:val="595959" w:themeColor="text1" w:themeTint="A6"/>
          <w:lang w:val="es-ES"/>
        </w:rPr>
        <w:t>Contribuciones integradas en los informes nacionales</w:t>
      </w:r>
      <w:bookmarkEnd w:id="505"/>
    </w:p>
    <w:p w14:paraId="622F6B00" w14:textId="77777777" w:rsidR="009713BF" w:rsidRPr="005E3D50" w:rsidRDefault="009713BF" w:rsidP="009713BF">
      <w:pPr>
        <w:rPr>
          <w:lang w:val="es-ES"/>
        </w:rPr>
      </w:pPr>
    </w:p>
    <w:p w14:paraId="5028BB03" w14:textId="77777777" w:rsidR="009713BF" w:rsidRPr="005E3D50" w:rsidRDefault="009713BF" w:rsidP="009713BF">
      <w:pPr>
        <w:rPr>
          <w:lang w:val="es-ES"/>
        </w:rPr>
      </w:pPr>
      <w:r w:rsidRPr="005E3D50">
        <w:rPr>
          <w:lang w:val="es-ES"/>
        </w:rPr>
        <w:t xml:space="preserve">Las organizaciones intergubernamentales son las que cumplen más frecuentemente las funciones de financiación y </w:t>
      </w:r>
      <w:proofErr w:type="spellStart"/>
      <w:r w:rsidRPr="005E3D50">
        <w:rPr>
          <w:lang w:val="es-ES"/>
        </w:rPr>
        <w:t>coejecución</w:t>
      </w:r>
      <w:proofErr w:type="spellEnd"/>
      <w:r w:rsidRPr="005E3D50">
        <w:rPr>
          <w:lang w:val="es-ES"/>
        </w:rPr>
        <w:t xml:space="preserve"> de programas de creación de capacidad, acuerdos de transferencia de tecnología e infraestructura de seguimiento. Las organizaciones de investigación son los principales actores que participan en producción de conocimientos e infraestructura de datos de biodiversidad. Estas organizaciones operan plataformas de datos, brindan capacitación y prestan asesoría en materia de políticas científicas. Las ONG cumplen funciones de implementación directa, administración conjunta de áreas protegidas y ejecución de proyectos con financiación internacional en calidad de asociadas. Los gobiernos subnacionales, las ciudades y otras autoridades locales cumplen papeles de ejecución y gobernanza conjunta. También tienen necesidades de creación de capacidad específicas que difieren en función de sus capacidades técnicas y financieras. Los ciudadanos contribuyen a través de la ciencia ciudadana y los pueblos indígenas y las comunidades locales cumplen funciones de coproductores de conocimientos y coadministradores. La juventud y las mujeres participan más frecuentemente en calidad de receptoras de programas de creación de capacidad y formación. También participan como poseedoras de conocimientos, organizadoras y diseñadoras de tales programas.</w:t>
      </w:r>
    </w:p>
    <w:p w14:paraId="459B3E07" w14:textId="77777777" w:rsidR="009713BF" w:rsidRPr="005E3D50" w:rsidRDefault="009713BF" w:rsidP="009713BF">
      <w:pPr>
        <w:rPr>
          <w:lang w:val="es-ES"/>
        </w:rPr>
      </w:pPr>
    </w:p>
    <w:p w14:paraId="6FA7678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06" w:name="_Toc235821303"/>
      <w:r w:rsidRPr="005E3D50">
        <w:rPr>
          <w:rFonts w:eastAsiaTheme="majorEastAsia" w:cstheme="majorBidi"/>
          <w:color w:val="0F4761" w:themeColor="accent1" w:themeShade="BF"/>
          <w:lang w:val="es-ES"/>
        </w:rPr>
        <w:lastRenderedPageBreak/>
        <w:t>Ejemplos de vínculos con otros acuerdos, procesos y organizaciones</w:t>
      </w:r>
      <w:bookmarkEnd w:id="506"/>
      <w:r w:rsidRPr="005E3D50">
        <w:rPr>
          <w:rFonts w:eastAsiaTheme="majorEastAsia" w:cstheme="majorBidi"/>
          <w:color w:val="0F4761" w:themeColor="accent1" w:themeShade="BF"/>
          <w:lang w:val="es-ES"/>
        </w:rPr>
        <w:br/>
      </w:r>
    </w:p>
    <w:p w14:paraId="043AE5AF" w14:textId="77777777" w:rsidR="009713BF" w:rsidRPr="005E3D50" w:rsidRDefault="009713BF" w:rsidP="009713BF">
      <w:pPr>
        <w:rPr>
          <w:lang w:val="es-ES"/>
        </w:rPr>
      </w:pPr>
      <w:r w:rsidRPr="005E3D50">
        <w:rPr>
          <w:lang w:val="es-ES"/>
        </w:rPr>
        <w:t>La Asociación Aceleradora de las EPANB contribuye a los esfuerzos de creación de capacidad y cooperación científica y técnica realizados por los países participantes a través de su Mecanismo de Emparejamiento, Programa de Facilitadores y actividades de conocimiento y aprendizaje</w:t>
      </w:r>
      <w:r w:rsidRPr="005E3D50">
        <w:rPr>
          <w:vertAlign w:val="superscript"/>
          <w:lang w:val="es-ES"/>
        </w:rPr>
        <w:footnoteReference w:id="40"/>
      </w:r>
      <w:r w:rsidRPr="005E3D50">
        <w:rPr>
          <w:lang w:val="es-ES"/>
        </w:rPr>
        <w:t>. La Asociación es una iniciativa dirigida a nivel de país, que actualmente cuenta con la participación de 69 países, 16 instituciones y 45 actores que no son Gobiernos nacionales, y tiene una unidad de coordinación mundial cuya dotación de personal se realiza a través de la Secretaría del Convenio, el PNUMA y el PNUD. La Asociación conecta a países con expertos técnicos, asociados para la ejecución y oportunidades de aprendizaje entre pares, promoviendo a la vez la cooperación Norte-Sur, Sur-Sur y triangular para acelerar la implementación del Marco.</w:t>
      </w:r>
    </w:p>
    <w:p w14:paraId="628A1D00" w14:textId="77777777" w:rsidR="009713BF" w:rsidRPr="005E3D50" w:rsidRDefault="009713BF" w:rsidP="009713BF">
      <w:pPr>
        <w:rPr>
          <w:lang w:val="es-ES" w:eastAsia="en-CA"/>
        </w:rPr>
      </w:pPr>
    </w:p>
    <w:p w14:paraId="67876C34"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507" w:name="_Toc235821304"/>
      <w:bookmarkStart w:id="508" w:name="_Ref236214881"/>
      <w:bookmarkStart w:id="509" w:name="_Toc239069217"/>
      <w:bookmarkStart w:id="510" w:name="_Toc1064102833"/>
      <w:bookmarkStart w:id="511" w:name="_Toc242882995"/>
      <w:r w:rsidRPr="005E3D50">
        <w:rPr>
          <w:rFonts w:eastAsiaTheme="majorEastAsia" w:cstheme="majorBidi"/>
          <w:b/>
          <w:iCs/>
          <w:color w:val="0F4761" w:themeColor="accent1" w:themeShade="BF"/>
          <w:lang w:val="es-ES"/>
        </w:rPr>
        <w:t>Meta 21.</w:t>
      </w:r>
      <w:r w:rsidRPr="005E3D50">
        <w:rPr>
          <w:rFonts w:eastAsiaTheme="majorEastAsia" w:cstheme="majorBidi"/>
          <w:iCs/>
          <w:color w:val="0F4761" w:themeColor="accent1" w:themeShade="BF"/>
          <w:lang w:val="es-ES"/>
        </w:rPr>
        <w:t xml:space="preserve"> Garantizar la disponibilidad y accesibilidad de conocimientos para orientar las acciones en materia de biodiversidad</w:t>
      </w:r>
      <w:bookmarkEnd w:id="507"/>
      <w:bookmarkEnd w:id="508"/>
      <w:bookmarkEnd w:id="509"/>
      <w:bookmarkEnd w:id="510"/>
      <w:bookmarkEnd w:id="511"/>
    </w:p>
    <w:p w14:paraId="514EF39C" w14:textId="77777777" w:rsidR="009713BF" w:rsidRPr="005E3D50" w:rsidRDefault="009713BF" w:rsidP="009713BF">
      <w:pPr>
        <w:rPr>
          <w:b/>
          <w:bCs/>
          <w:i/>
          <w:iCs/>
          <w:sz w:val="22"/>
          <w:szCs w:val="22"/>
          <w:lang w:val="es-ES"/>
        </w:rPr>
      </w:pPr>
    </w:p>
    <w:p w14:paraId="5CE49704" w14:textId="77777777" w:rsidR="009713BF" w:rsidRPr="005E3D50" w:rsidRDefault="009713BF" w:rsidP="009713BF">
      <w:pPr>
        <w:rPr>
          <w:sz w:val="22"/>
          <w:szCs w:val="22"/>
          <w:lang w:val="es-ES"/>
        </w:rPr>
      </w:pPr>
      <w:r w:rsidRPr="005E3D50">
        <w:rPr>
          <w:b/>
          <w:sz w:val="22"/>
          <w:lang w:val="es-ES"/>
        </w:rPr>
        <w:t>Texto de la meta.</w:t>
      </w:r>
      <w:r w:rsidRPr="005E3D50">
        <w:rPr>
          <w:i/>
          <w:color w:val="000000" w:themeColor="text1"/>
          <w:sz w:val="22"/>
          <w:lang w:val="es-ES"/>
        </w:rPr>
        <w:t xml:space="preserve"> </w:t>
      </w:r>
      <w:r w:rsidRPr="005E3D50">
        <w:rPr>
          <w:rFonts w:ascii="Aptos" w:hAnsi="Aptos"/>
          <w:i/>
          <w:color w:val="000000" w:themeColor="text1"/>
          <w:sz w:val="22"/>
          <w:shd w:val="clear" w:color="auto" w:fill="FFFFFF"/>
          <w:lang w:val="es-ES"/>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p w14:paraId="48824B25" w14:textId="77777777" w:rsidR="009713BF" w:rsidRPr="005E3D50" w:rsidRDefault="009713BF" w:rsidP="009713BF">
      <w:pPr>
        <w:rPr>
          <w:lang w:val="es-ES"/>
        </w:rPr>
      </w:pPr>
    </w:p>
    <w:p w14:paraId="4989AA5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20B3116F" w14:textId="77777777" w:rsidTr="006E6831">
        <w:tc>
          <w:tcPr>
            <w:tcW w:w="9016" w:type="dxa"/>
            <w:shd w:val="clear" w:color="auto" w:fill="D1D1D1" w:themeFill="background2" w:themeFillShade="E6"/>
          </w:tcPr>
          <w:p w14:paraId="4159055A" w14:textId="77777777" w:rsidR="009713BF" w:rsidRPr="005E3D50" w:rsidRDefault="009713BF" w:rsidP="009713BF">
            <w:pPr>
              <w:rPr>
                <w:rFonts w:ascii="Aptos" w:eastAsia="Times New Roman" w:hAnsi="Aptos" w:cs="Calibri"/>
                <w:color w:val="000000"/>
                <w:lang w:val="es-ES"/>
              </w:rPr>
            </w:pPr>
            <w:bookmarkStart w:id="512" w:name="_Toc230654842"/>
          </w:p>
          <w:bookmarkEnd w:id="512"/>
          <w:p w14:paraId="0F2F328D" w14:textId="77777777" w:rsidR="009713BF" w:rsidRPr="005E3D50" w:rsidRDefault="009713BF" w:rsidP="009713BF">
            <w:pPr>
              <w:spacing w:after="160" w:line="278" w:lineRule="auto"/>
              <w:rPr>
                <w:lang w:val="es-ES"/>
              </w:rPr>
            </w:pPr>
            <w:r w:rsidRPr="005E3D50">
              <w:rPr>
                <w:lang w:val="es-ES"/>
              </w:rPr>
              <w:t xml:space="preserve">Las Partes están realizando importantes esfuerzos para mejorar el acceso a datos sobre biodiversidad y su disponibilidad, aunque persisten considerables carencias. La mayoría de las Partes abordan el acceso a los datos, la información y los conocimientos sobre la biodiversidad en sus metas nacionales, aunque el acceso a los conocimientos tradicionales con consentimiento libre, previo e informado no se refleja de forma tan sistemática. Con respecto al indicador de cabecera 21.1, en la actualidad son relativamente pocas las Partes que disponen de los datos nacionales </w:t>
            </w:r>
            <w:r w:rsidRPr="005E3D50">
              <w:rPr>
                <w:lang w:val="es-ES"/>
              </w:rPr>
              <w:lastRenderedPageBreak/>
              <w:t xml:space="preserve">necesarios para implementar el marco de seguimiento. No obstante, se comunicaron muchas mejoras en cuanto al acceso a datos y conocimientos y su disponibilidad. Las autoevaluaciones indican progresos positivos en el 43 % de las metas nacionales relacionadas. Entre las principales dificultades figuran la </w:t>
            </w:r>
            <w:r w:rsidRPr="005E3D50">
              <w:rPr>
                <w:spacing w:val="-2"/>
                <w:lang w:val="es-ES"/>
              </w:rPr>
              <w:t>necesidad de subsanar carencias en materia de datos y fortalecer la comunicación,</w:t>
            </w:r>
            <w:r w:rsidRPr="005E3D50">
              <w:rPr>
                <w:lang w:val="es-ES"/>
              </w:rPr>
              <w:t xml:space="preserve"> </w:t>
            </w:r>
            <w:r w:rsidRPr="005E3D50">
              <w:rPr>
                <w:spacing w:val="-2"/>
                <w:lang w:val="es-ES"/>
              </w:rPr>
              <w:t>incluidas las deficiencias relacionadas con el acceso a conocimientos tradicionales</w:t>
            </w:r>
            <w:r w:rsidRPr="005E3D50">
              <w:rPr>
                <w:lang w:val="es-ES"/>
              </w:rPr>
              <w:t xml:space="preserve"> con consentimiento libre, previo e informado. Dado que la implementación de todo el Marco depende de la disponibilidad y accesibilidad de datos, información y conocimientos, las dificultades relacionadas con la meta 21 tienen repercusiones transversales.</w:t>
            </w:r>
          </w:p>
        </w:tc>
      </w:tr>
    </w:tbl>
    <w:p w14:paraId="10B08A5F" w14:textId="77777777" w:rsidR="009713BF" w:rsidRPr="005E3D50" w:rsidRDefault="009713BF" w:rsidP="009713BF">
      <w:pPr>
        <w:rPr>
          <w:lang w:val="es-ES"/>
        </w:rPr>
      </w:pPr>
    </w:p>
    <w:p w14:paraId="5FB91715"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21 del Marco en sus metas nacionales</w:t>
      </w:r>
    </w:p>
    <w:p w14:paraId="5AB75FC9"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47E29615" w14:textId="77777777" w:rsidR="009713BF" w:rsidRPr="005E3D50" w:rsidRDefault="009713BF" w:rsidP="009713BF">
      <w:pPr>
        <w:rPr>
          <w:sz w:val="20"/>
          <w:szCs w:val="20"/>
          <w:lang w:val="es-ES"/>
        </w:rPr>
      </w:pPr>
      <w:bookmarkStart w:id="513" w:name="_Ref231250615"/>
      <w:r w:rsidRPr="005E3D50">
        <w:rPr>
          <w:sz w:val="20"/>
          <w:lang w:val="es-ES"/>
        </w:rPr>
        <w:t>Cuadro 45</w:t>
      </w:r>
      <w:bookmarkEnd w:id="513"/>
    </w:p>
    <w:p w14:paraId="5AA48B54" w14:textId="77777777" w:rsidR="009713BF" w:rsidRPr="005E3D50" w:rsidRDefault="009713BF" w:rsidP="009713BF">
      <w:pPr>
        <w:rPr>
          <w:sz w:val="20"/>
          <w:szCs w:val="20"/>
          <w:lang w:val="es-ES"/>
        </w:rPr>
      </w:pPr>
      <w:r w:rsidRPr="005E3D50">
        <w:rPr>
          <w:b/>
          <w:sz w:val="20"/>
          <w:lang w:val="es-ES"/>
        </w:rPr>
        <w:t xml:space="preserve">Elementos de la meta 21 del Marco y cómo se abordan en las metas </w:t>
      </w:r>
      <w:proofErr w:type="spellStart"/>
      <w:r w:rsidRPr="005E3D50">
        <w:rPr>
          <w:b/>
          <w:sz w:val="20"/>
          <w:lang w:val="es-ES"/>
        </w:rPr>
        <w:t>nacionales</w:t>
      </w:r>
      <w:r w:rsidRPr="005E3D50">
        <w:rPr>
          <w:sz w:val="20"/>
          <w:vertAlign w:val="superscript"/>
          <w:lang w:val="es-ES"/>
        </w:rPr>
        <w:t>a</w:t>
      </w:r>
      <w:proofErr w:type="spellEnd"/>
    </w:p>
    <w:tbl>
      <w:tblPr>
        <w:tblStyle w:val="TableGrid"/>
        <w:tblW w:w="9000" w:type="dxa"/>
        <w:tblInd w:w="-5" w:type="dxa"/>
        <w:tblLayout w:type="fixed"/>
        <w:tblLook w:val="04A0" w:firstRow="1" w:lastRow="0" w:firstColumn="1" w:lastColumn="0" w:noHBand="0" w:noVBand="1"/>
      </w:tblPr>
      <w:tblGrid>
        <w:gridCol w:w="8190"/>
        <w:gridCol w:w="810"/>
      </w:tblGrid>
      <w:tr w:rsidR="009713BF" w:rsidRPr="005E3D50" w14:paraId="445B68AC" w14:textId="77777777" w:rsidTr="006E6831">
        <w:tc>
          <w:tcPr>
            <w:tcW w:w="8190" w:type="dxa"/>
          </w:tcPr>
          <w:p w14:paraId="17072DDE" w14:textId="735517C8"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que los encargados de la toma de decisiones, los profesionales y el público tengan acceso a los mejores datos disponibles</w:t>
            </w:r>
          </w:p>
        </w:tc>
        <w:tc>
          <w:tcPr>
            <w:tcW w:w="810" w:type="dxa"/>
            <w:shd w:val="clear" w:color="auto" w:fill="92D050"/>
          </w:tcPr>
          <w:p w14:paraId="0977649C" w14:textId="77777777" w:rsidR="009713BF" w:rsidRPr="005E3D50" w:rsidRDefault="009713BF" w:rsidP="009713BF">
            <w:pPr>
              <w:jc w:val="center"/>
              <w:rPr>
                <w:sz w:val="22"/>
                <w:szCs w:val="22"/>
                <w:lang w:val="es-ES"/>
              </w:rPr>
            </w:pPr>
            <w:r w:rsidRPr="005E3D50">
              <w:rPr>
                <w:sz w:val="22"/>
                <w:lang w:val="es-ES"/>
              </w:rPr>
              <w:t>72</w:t>
            </w:r>
          </w:p>
        </w:tc>
      </w:tr>
      <w:tr w:rsidR="009713BF" w:rsidRPr="005E3D50" w14:paraId="0C019A50" w14:textId="77777777" w:rsidTr="006E6831">
        <w:tc>
          <w:tcPr>
            <w:tcW w:w="8190" w:type="dxa"/>
          </w:tcPr>
          <w:p w14:paraId="73C445F1" w14:textId="08C73D97" w:rsidR="009713BF" w:rsidRPr="00434492" w:rsidRDefault="009713BF" w:rsidP="00434492">
            <w:pPr>
              <w:autoSpaceDE w:val="0"/>
              <w:autoSpaceDN w:val="0"/>
              <w:adjustRightInd w:val="0"/>
              <w:rPr>
                <w:rFonts w:cs="Times New Roman"/>
                <w:kern w:val="0"/>
                <w:sz w:val="21"/>
                <w:szCs w:val="21"/>
                <w:lang w:val="es-ES"/>
              </w:rPr>
            </w:pPr>
            <w:r w:rsidRPr="005E3D50">
              <w:rPr>
                <w:sz w:val="21"/>
                <w:lang w:val="es-ES"/>
              </w:rPr>
              <w:t>Garantizar que los encargados de la toma de decisiones, los profesionales y el público tengan acceso a los mejores conocimientos e información disponibles</w:t>
            </w:r>
          </w:p>
        </w:tc>
        <w:tc>
          <w:tcPr>
            <w:tcW w:w="810" w:type="dxa"/>
            <w:shd w:val="clear" w:color="auto" w:fill="92D050"/>
          </w:tcPr>
          <w:p w14:paraId="4BBC25C3" w14:textId="77777777" w:rsidR="009713BF" w:rsidRPr="005E3D50" w:rsidRDefault="009713BF" w:rsidP="009713BF">
            <w:pPr>
              <w:jc w:val="center"/>
              <w:rPr>
                <w:sz w:val="22"/>
                <w:szCs w:val="22"/>
                <w:lang w:val="es-ES"/>
              </w:rPr>
            </w:pPr>
            <w:r w:rsidRPr="005E3D50">
              <w:rPr>
                <w:sz w:val="22"/>
                <w:lang w:val="es-ES"/>
              </w:rPr>
              <w:t>71</w:t>
            </w:r>
          </w:p>
        </w:tc>
      </w:tr>
      <w:tr w:rsidR="009713BF" w:rsidRPr="005E3D50" w14:paraId="7809E330" w14:textId="77777777" w:rsidTr="006E6831">
        <w:tc>
          <w:tcPr>
            <w:tcW w:w="8190" w:type="dxa"/>
          </w:tcPr>
          <w:p w14:paraId="348994D4" w14:textId="77777777" w:rsidR="009713BF" w:rsidRPr="005E3D50" w:rsidRDefault="009713BF" w:rsidP="009713BF">
            <w:pPr>
              <w:rPr>
                <w:rFonts w:cs="Times New Roman"/>
                <w:kern w:val="0"/>
                <w:sz w:val="21"/>
                <w:szCs w:val="21"/>
                <w:lang w:val="es-ES"/>
              </w:rPr>
            </w:pPr>
            <w:r w:rsidRPr="005E3D50">
              <w:rPr>
                <w:sz w:val="21"/>
                <w:lang w:val="es-ES"/>
              </w:rPr>
              <w:t>Fortalecer la comunicación, la sensibilización y la educación</w:t>
            </w:r>
          </w:p>
          <w:p w14:paraId="1D1F5179" w14:textId="77777777" w:rsidR="009713BF" w:rsidRPr="005E3D50" w:rsidRDefault="009713BF" w:rsidP="009713BF">
            <w:pPr>
              <w:rPr>
                <w:sz w:val="21"/>
                <w:szCs w:val="21"/>
                <w:lang w:val="es-ES"/>
              </w:rPr>
            </w:pPr>
          </w:p>
        </w:tc>
        <w:tc>
          <w:tcPr>
            <w:tcW w:w="810" w:type="dxa"/>
            <w:shd w:val="clear" w:color="auto" w:fill="92D050"/>
          </w:tcPr>
          <w:p w14:paraId="55855B3C" w14:textId="77777777" w:rsidR="009713BF" w:rsidRPr="005E3D50" w:rsidRDefault="009713BF" w:rsidP="009713BF">
            <w:pPr>
              <w:jc w:val="center"/>
              <w:rPr>
                <w:sz w:val="22"/>
                <w:szCs w:val="22"/>
                <w:lang w:val="es-ES"/>
              </w:rPr>
            </w:pPr>
            <w:r w:rsidRPr="005E3D50">
              <w:rPr>
                <w:sz w:val="22"/>
                <w:lang w:val="es-ES"/>
              </w:rPr>
              <w:t>70</w:t>
            </w:r>
          </w:p>
        </w:tc>
      </w:tr>
      <w:tr w:rsidR="009713BF" w:rsidRPr="005E3D50" w14:paraId="592E7BCC" w14:textId="77777777" w:rsidTr="006E6831">
        <w:tc>
          <w:tcPr>
            <w:tcW w:w="8190" w:type="dxa"/>
          </w:tcPr>
          <w:p w14:paraId="2E5D92D6" w14:textId="77777777" w:rsidR="009713BF" w:rsidRPr="005E3D50" w:rsidRDefault="009713BF" w:rsidP="009713BF">
            <w:pPr>
              <w:rPr>
                <w:rFonts w:cs="Times New Roman"/>
                <w:kern w:val="0"/>
                <w:sz w:val="21"/>
                <w:szCs w:val="21"/>
                <w:lang w:val="es-ES"/>
              </w:rPr>
            </w:pPr>
            <w:r w:rsidRPr="005E3D50">
              <w:rPr>
                <w:sz w:val="21"/>
                <w:lang w:val="es-ES"/>
              </w:rPr>
              <w:t>Fortalecer el seguimiento</w:t>
            </w:r>
          </w:p>
          <w:p w14:paraId="56D6F2E2" w14:textId="77777777" w:rsidR="009713BF" w:rsidRPr="005E3D50" w:rsidRDefault="009713BF" w:rsidP="009713BF">
            <w:pPr>
              <w:rPr>
                <w:sz w:val="21"/>
                <w:szCs w:val="21"/>
                <w:lang w:val="es-ES"/>
              </w:rPr>
            </w:pPr>
          </w:p>
        </w:tc>
        <w:tc>
          <w:tcPr>
            <w:tcW w:w="810" w:type="dxa"/>
            <w:shd w:val="clear" w:color="auto" w:fill="FFFF00"/>
          </w:tcPr>
          <w:p w14:paraId="0F30AB76" w14:textId="77777777" w:rsidR="009713BF" w:rsidRPr="005E3D50" w:rsidRDefault="009713BF" w:rsidP="009713BF">
            <w:pPr>
              <w:jc w:val="center"/>
              <w:rPr>
                <w:sz w:val="22"/>
                <w:szCs w:val="22"/>
                <w:lang w:val="es-ES"/>
              </w:rPr>
            </w:pPr>
            <w:r w:rsidRPr="005E3D50">
              <w:rPr>
                <w:sz w:val="22"/>
                <w:lang w:val="es-ES"/>
              </w:rPr>
              <w:t>46</w:t>
            </w:r>
          </w:p>
        </w:tc>
      </w:tr>
      <w:tr w:rsidR="009713BF" w:rsidRPr="005E3D50" w14:paraId="51D80E3C" w14:textId="77777777" w:rsidTr="006E6831">
        <w:tc>
          <w:tcPr>
            <w:tcW w:w="8190" w:type="dxa"/>
          </w:tcPr>
          <w:p w14:paraId="67502835" w14:textId="77777777" w:rsidR="009713BF" w:rsidRPr="005E3D50" w:rsidRDefault="009713BF" w:rsidP="009713BF">
            <w:pPr>
              <w:rPr>
                <w:rFonts w:cs="Times New Roman"/>
                <w:kern w:val="0"/>
                <w:sz w:val="21"/>
                <w:szCs w:val="21"/>
                <w:lang w:val="es-ES"/>
              </w:rPr>
            </w:pPr>
            <w:r w:rsidRPr="005E3D50">
              <w:rPr>
                <w:sz w:val="21"/>
                <w:lang w:val="es-ES"/>
              </w:rPr>
              <w:t>Fortalecer la investigación</w:t>
            </w:r>
          </w:p>
          <w:p w14:paraId="09237710" w14:textId="77777777" w:rsidR="009713BF" w:rsidRPr="005E3D50" w:rsidRDefault="009713BF" w:rsidP="009713BF">
            <w:pPr>
              <w:rPr>
                <w:sz w:val="21"/>
                <w:szCs w:val="21"/>
                <w:lang w:val="es-ES"/>
              </w:rPr>
            </w:pPr>
          </w:p>
        </w:tc>
        <w:tc>
          <w:tcPr>
            <w:tcW w:w="810" w:type="dxa"/>
            <w:shd w:val="clear" w:color="auto" w:fill="FFC000"/>
          </w:tcPr>
          <w:p w14:paraId="309B5351" w14:textId="77777777" w:rsidR="009713BF" w:rsidRPr="005E3D50" w:rsidRDefault="009713BF" w:rsidP="009713BF">
            <w:pPr>
              <w:jc w:val="center"/>
              <w:rPr>
                <w:sz w:val="22"/>
                <w:szCs w:val="22"/>
                <w:lang w:val="es-ES"/>
              </w:rPr>
            </w:pPr>
            <w:r w:rsidRPr="005E3D50">
              <w:rPr>
                <w:sz w:val="22"/>
                <w:lang w:val="es-ES"/>
              </w:rPr>
              <w:t>39</w:t>
            </w:r>
          </w:p>
        </w:tc>
      </w:tr>
      <w:tr w:rsidR="009713BF" w:rsidRPr="005E3D50" w14:paraId="5629EFBA" w14:textId="77777777" w:rsidTr="006E6831">
        <w:tc>
          <w:tcPr>
            <w:tcW w:w="8190" w:type="dxa"/>
          </w:tcPr>
          <w:p w14:paraId="68A6FC65" w14:textId="77777777" w:rsidR="009713BF" w:rsidRPr="005E3D50" w:rsidRDefault="009713BF" w:rsidP="009713BF">
            <w:pPr>
              <w:rPr>
                <w:rFonts w:cs="Times New Roman"/>
                <w:kern w:val="0"/>
                <w:sz w:val="21"/>
                <w:szCs w:val="21"/>
                <w:lang w:val="es-ES"/>
              </w:rPr>
            </w:pPr>
            <w:r w:rsidRPr="005E3D50">
              <w:rPr>
                <w:sz w:val="21"/>
                <w:lang w:val="es-ES"/>
              </w:rPr>
              <w:t>Fortalecer la gestión de los conocimientos</w:t>
            </w:r>
          </w:p>
          <w:p w14:paraId="692D9E68" w14:textId="77777777" w:rsidR="009713BF" w:rsidRPr="005E3D50" w:rsidRDefault="009713BF" w:rsidP="009713BF">
            <w:pPr>
              <w:rPr>
                <w:sz w:val="21"/>
                <w:szCs w:val="21"/>
                <w:lang w:val="es-ES"/>
              </w:rPr>
            </w:pPr>
          </w:p>
        </w:tc>
        <w:tc>
          <w:tcPr>
            <w:tcW w:w="810" w:type="dxa"/>
            <w:shd w:val="clear" w:color="auto" w:fill="FFFF00"/>
          </w:tcPr>
          <w:p w14:paraId="1622F551" w14:textId="77777777" w:rsidR="009713BF" w:rsidRPr="005E3D50" w:rsidRDefault="009713BF" w:rsidP="009713BF">
            <w:pPr>
              <w:jc w:val="center"/>
              <w:rPr>
                <w:sz w:val="22"/>
                <w:szCs w:val="22"/>
                <w:lang w:val="es-ES"/>
              </w:rPr>
            </w:pPr>
            <w:r w:rsidRPr="005E3D50">
              <w:rPr>
                <w:sz w:val="22"/>
                <w:lang w:val="es-ES"/>
              </w:rPr>
              <w:t>43</w:t>
            </w:r>
          </w:p>
        </w:tc>
      </w:tr>
      <w:tr w:rsidR="009713BF" w:rsidRPr="005E3D50" w14:paraId="15DB8B98" w14:textId="77777777" w:rsidTr="006E6831">
        <w:tc>
          <w:tcPr>
            <w:tcW w:w="8190" w:type="dxa"/>
          </w:tcPr>
          <w:p w14:paraId="21DEA177" w14:textId="77777777" w:rsidR="009713BF" w:rsidRPr="005E3D50" w:rsidRDefault="009713BF" w:rsidP="009713BF">
            <w:pPr>
              <w:autoSpaceDE w:val="0"/>
              <w:autoSpaceDN w:val="0"/>
              <w:adjustRightInd w:val="0"/>
              <w:rPr>
                <w:sz w:val="21"/>
                <w:szCs w:val="21"/>
                <w:lang w:val="es-ES"/>
              </w:rPr>
            </w:pPr>
            <w:r w:rsidRPr="005E3D50">
              <w:rPr>
                <w:sz w:val="21"/>
                <w:lang w:val="es-ES"/>
              </w:rPr>
              <w:t xml:space="preserve">Garantizar que se acceda a los conocimientos tradicionales, innovaciones, prácticas y tecnologías de los pueblos indígenas y las comunidades locales únicamente con su consentimiento libre, previo e informado </w:t>
            </w:r>
          </w:p>
        </w:tc>
        <w:tc>
          <w:tcPr>
            <w:tcW w:w="810" w:type="dxa"/>
            <w:shd w:val="clear" w:color="auto" w:fill="FFC000"/>
          </w:tcPr>
          <w:p w14:paraId="74E52579" w14:textId="77777777" w:rsidR="009713BF" w:rsidRPr="005E3D50" w:rsidRDefault="009713BF" w:rsidP="009713BF">
            <w:pPr>
              <w:jc w:val="center"/>
              <w:rPr>
                <w:sz w:val="22"/>
                <w:szCs w:val="22"/>
                <w:lang w:val="es-ES"/>
              </w:rPr>
            </w:pPr>
            <w:r w:rsidRPr="005E3D50">
              <w:rPr>
                <w:sz w:val="22"/>
                <w:lang w:val="es-ES"/>
              </w:rPr>
              <w:t>36</w:t>
            </w:r>
          </w:p>
        </w:tc>
      </w:tr>
      <w:tr w:rsidR="009713BF" w:rsidRPr="005E3D50" w14:paraId="0B909A50" w14:textId="77777777" w:rsidTr="006E6831">
        <w:tc>
          <w:tcPr>
            <w:tcW w:w="9000" w:type="dxa"/>
            <w:gridSpan w:val="2"/>
          </w:tcPr>
          <w:p w14:paraId="22870AC8"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31B555DA"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54 % de estos elementos en sus metas nacionales</w:t>
            </w:r>
          </w:p>
          <w:p w14:paraId="14AB52B5" w14:textId="77777777" w:rsidR="009713BF" w:rsidRPr="005E3D50" w:rsidRDefault="009713BF" w:rsidP="009713BF">
            <w:pPr>
              <w:rPr>
                <w:sz w:val="22"/>
                <w:szCs w:val="22"/>
                <w:lang w:val="es-ES"/>
              </w:rPr>
            </w:pPr>
          </w:p>
        </w:tc>
      </w:tr>
    </w:tbl>
    <w:p w14:paraId="457C9726" w14:textId="77777777" w:rsidR="009713BF" w:rsidRPr="005E3D50" w:rsidRDefault="009713BF" w:rsidP="009713BF">
      <w:pPr>
        <w:spacing w:before="120"/>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57BF6D76"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196"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197"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65D72DD8" w14:textId="77777777" w:rsidR="009713BF" w:rsidRPr="005E3D50" w:rsidRDefault="009713BF" w:rsidP="009713BF">
      <w:pPr>
        <w:rPr>
          <w:lang w:val="es-ES"/>
        </w:rPr>
      </w:pPr>
      <w:r w:rsidRPr="005E3D50">
        <w:rPr>
          <w:lang w:val="es-ES"/>
        </w:rPr>
        <w:t xml:space="preserve">Una amplia mayoría de las Partes tienen metas nacionales que abordan al menos en cierta medida los elementos de la meta 21 referidos a garantizar que los encargados de la toma </w:t>
      </w:r>
      <w:r w:rsidRPr="005E3D50">
        <w:rPr>
          <w:lang w:val="es-ES"/>
        </w:rPr>
        <w:lastRenderedPageBreak/>
        <w:t xml:space="preserve">de decisiones, los profesionales y el público accedan a los mejores datos disponibles (72 %) y los mejores conocimientos e información disponibles (71 %) (véase el cuadro 45). Una amplia mayoría de Partes (70 %) también tienen metas nacionales relacionadas con el fortalecimiento de la comunicación, la sensibilización y la educación. Menos de la mitad de las Partes abordan los elementos específicos de la meta 21 referidos al fortalecimiento del seguimiento (46 %), la investigación (39 %) y la gestión de los conocimientos (43 %) en sus metas nacionales. El elemento de la meta 21 que menos abordan las Partes (36 %) es el que tiene que ver con garantizar que se acceda a los conocimientos tradicionales, innovaciones, prácticas y tecnologías de los pueblos indígenas y las comunidades locales únicamente con su consentimiento libre, previo e informado. </w:t>
      </w:r>
    </w:p>
    <w:p w14:paraId="0B06997A" w14:textId="77777777" w:rsidR="009713BF" w:rsidRPr="005E3D50" w:rsidRDefault="009713BF" w:rsidP="009713BF">
      <w:pPr>
        <w:rPr>
          <w:lang w:val="es-ES"/>
        </w:rPr>
      </w:pPr>
    </w:p>
    <w:p w14:paraId="173AA747"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14" w:name="_Toc235821307"/>
      <w:r w:rsidRPr="005E3D50">
        <w:rPr>
          <w:rFonts w:eastAsiaTheme="majorEastAsia" w:cstheme="majorBidi"/>
          <w:color w:val="0F4761" w:themeColor="accent1" w:themeShade="BF"/>
          <w:lang w:val="es-ES"/>
        </w:rPr>
        <w:t>Indicadores de progresos</w:t>
      </w:r>
      <w:bookmarkEnd w:id="514"/>
    </w:p>
    <w:p w14:paraId="40300CFC"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bookmarkStart w:id="515" w:name="_Ref238993655"/>
      <w:r w:rsidRPr="005E3D50">
        <w:rPr>
          <w:rFonts w:eastAsiaTheme="minorEastAsia"/>
          <w:iCs/>
          <w:color w:val="0E2841" w:themeColor="text2"/>
          <w:kern w:val="0"/>
          <w:sz w:val="20"/>
          <w:szCs w:val="18"/>
          <w:lang w:val="es-ES" w:eastAsia="ja-JP"/>
          <w14:ligatures w14:val="none"/>
        </w:rPr>
        <w:t>Cuadro 46</w:t>
      </w:r>
      <w:bookmarkEnd w:id="515"/>
      <w:r w:rsidRPr="005E3D50">
        <w:rPr>
          <w:rFonts w:eastAsiaTheme="minorEastAsia"/>
          <w:iCs/>
          <w:color w:val="0E2841" w:themeColor="text2"/>
          <w:kern w:val="0"/>
          <w:sz w:val="20"/>
          <w:szCs w:val="18"/>
          <w:lang w:val="es-ES" w:eastAsia="ja-JP"/>
          <w14:ligatures w14:val="none"/>
        </w:rPr>
        <w:t xml:space="preserve"> </w:t>
      </w:r>
    </w:p>
    <w:p w14:paraId="0E6EF03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21 del Marco</w:t>
      </w:r>
    </w:p>
    <w:p w14:paraId="51036C6A" w14:textId="77777777" w:rsidR="009713BF" w:rsidRPr="005E3D50" w:rsidRDefault="009713BF" w:rsidP="009713BF">
      <w:pPr>
        <w:rPr>
          <w:lang w:val="es-ES" w:eastAsia="ja-JP"/>
        </w:rPr>
      </w:pPr>
    </w:p>
    <w:tbl>
      <w:tblPr>
        <w:tblW w:w="9129" w:type="dxa"/>
        <w:tblLook w:val="04A0" w:firstRow="1" w:lastRow="0" w:firstColumn="1" w:lastColumn="0" w:noHBand="0" w:noVBand="1"/>
      </w:tblPr>
      <w:tblGrid>
        <w:gridCol w:w="4390"/>
        <w:gridCol w:w="1842"/>
        <w:gridCol w:w="426"/>
        <w:gridCol w:w="2094"/>
        <w:gridCol w:w="377"/>
      </w:tblGrid>
      <w:tr w:rsidR="009713BF" w:rsidRPr="005E3D50" w14:paraId="5CCBA725" w14:textId="77777777" w:rsidTr="006E6831">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0B62FBF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268" w:type="dxa"/>
            <w:gridSpan w:val="2"/>
            <w:tcBorders>
              <w:top w:val="single" w:sz="4" w:space="0" w:color="auto"/>
              <w:left w:val="nil"/>
              <w:bottom w:val="single" w:sz="4" w:space="0" w:color="auto"/>
              <w:right w:val="single" w:sz="4" w:space="0" w:color="auto"/>
            </w:tcBorders>
            <w:vAlign w:val="center"/>
          </w:tcPr>
          <w:p w14:paraId="6F6839CB"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2471" w:type="dxa"/>
            <w:gridSpan w:val="2"/>
            <w:tcBorders>
              <w:top w:val="single" w:sz="4" w:space="0" w:color="auto"/>
              <w:left w:val="nil"/>
              <w:bottom w:val="single" w:sz="4" w:space="0" w:color="auto"/>
              <w:right w:val="single" w:sz="4" w:space="0" w:color="auto"/>
            </w:tcBorders>
            <w:vAlign w:val="center"/>
          </w:tcPr>
          <w:p w14:paraId="0C7E1A8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51515AE3" w14:textId="77777777" w:rsidTr="006E6831">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D81FF2"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21.1: indicador sobre información de diversidad biológica para el seguimiento del Marco Mundial de Biodiversidad de Kunming-Montreal</w:t>
            </w:r>
          </w:p>
        </w:tc>
        <w:tc>
          <w:tcPr>
            <w:tcW w:w="1842" w:type="dxa"/>
            <w:tcBorders>
              <w:top w:val="single" w:sz="4" w:space="0" w:color="auto"/>
              <w:left w:val="nil"/>
              <w:bottom w:val="single" w:sz="4" w:space="0" w:color="auto"/>
              <w:right w:val="single" w:sz="4" w:space="0" w:color="auto"/>
            </w:tcBorders>
            <w:vAlign w:val="center"/>
            <w:hideMark/>
          </w:tcPr>
          <w:p w14:paraId="7D4E30CC"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20 % de las Partes</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3BB2F08E"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5AC34788"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Promedio: 51 % (intervalo: 7% a 96 %)</w:t>
            </w:r>
          </w:p>
        </w:tc>
        <w:tc>
          <w:tcPr>
            <w:tcW w:w="377" w:type="dxa"/>
            <w:tcBorders>
              <w:top w:val="single" w:sz="4" w:space="0" w:color="auto"/>
              <w:left w:val="nil"/>
              <w:bottom w:val="single" w:sz="4" w:space="0" w:color="auto"/>
              <w:right w:val="single" w:sz="4" w:space="0" w:color="auto"/>
            </w:tcBorders>
            <w:shd w:val="clear" w:color="000000" w:fill="FFC000"/>
            <w:vAlign w:val="center"/>
            <w:hideMark/>
          </w:tcPr>
          <w:p w14:paraId="109C255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69445DB3" w14:textId="77777777" w:rsidTr="006E6831">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189FF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1842" w:type="dxa"/>
            <w:tcBorders>
              <w:top w:val="single" w:sz="4" w:space="0" w:color="auto"/>
              <w:left w:val="nil"/>
              <w:bottom w:val="single" w:sz="4" w:space="0" w:color="auto"/>
              <w:right w:val="single" w:sz="4" w:space="0" w:color="auto"/>
            </w:tcBorders>
            <w:vAlign w:val="center"/>
            <w:hideMark/>
          </w:tcPr>
          <w:p w14:paraId="00BD96FC"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31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24 %</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0455E345"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6DFC7780" w14:textId="77777777" w:rsidR="009713BF" w:rsidRPr="005E3D50" w:rsidRDefault="009713BF" w:rsidP="009713BF">
            <w:pPr>
              <w:jc w:val="center"/>
              <w:rPr>
                <w:sz w:val="20"/>
                <w:szCs w:val="20"/>
                <w:lang w:val="es-ES"/>
              </w:rPr>
            </w:pPr>
            <w:r w:rsidRPr="005E3D50">
              <w:rPr>
                <w:sz w:val="20"/>
                <w:lang w:val="es-ES"/>
              </w:rPr>
              <w:t>46 % registran tendencias positivas</w:t>
            </w:r>
          </w:p>
          <w:p w14:paraId="09816000"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 xml:space="preserve">12 % registran </w:t>
            </w:r>
            <w:r w:rsidRPr="005E3D50">
              <w:rPr>
                <w:spacing w:val="-2"/>
                <w:sz w:val="20"/>
                <w:lang w:val="es-ES"/>
              </w:rPr>
              <w:t>tendencias negativas</w:t>
            </w:r>
          </w:p>
        </w:tc>
        <w:tc>
          <w:tcPr>
            <w:tcW w:w="377" w:type="dxa"/>
            <w:tcBorders>
              <w:top w:val="single" w:sz="4" w:space="0" w:color="auto"/>
              <w:left w:val="nil"/>
              <w:bottom w:val="single" w:sz="4" w:space="0" w:color="auto"/>
              <w:right w:val="single" w:sz="4" w:space="0" w:color="auto"/>
            </w:tcBorders>
            <w:shd w:val="clear" w:color="auto" w:fill="92D050"/>
            <w:vAlign w:val="center"/>
            <w:hideMark/>
          </w:tcPr>
          <w:p w14:paraId="434C82D7"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7ECB95EF"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6343DFF8" w14:textId="77777777" w:rsidR="009713BF" w:rsidRPr="005E3D50" w:rsidRDefault="009713BF" w:rsidP="009713BF">
      <w:pPr>
        <w:rPr>
          <w:rFonts w:ascii="Aptos" w:hAnsi="Aptos"/>
          <w:sz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3DF40788" w14:textId="77777777" w:rsidR="009713BF" w:rsidRPr="005E3D50" w:rsidRDefault="009713BF" w:rsidP="009713BF">
      <w:pPr>
        <w:rPr>
          <w:lang w:val="es-ES"/>
        </w:rPr>
      </w:pPr>
    </w:p>
    <w:p w14:paraId="55D1CF76" w14:textId="77777777" w:rsidR="009713BF" w:rsidRPr="005E3D50" w:rsidRDefault="009713BF" w:rsidP="009713BF">
      <w:pPr>
        <w:rPr>
          <w:lang w:val="es-ES"/>
        </w:rPr>
      </w:pPr>
      <w:r w:rsidRPr="005E3D50">
        <w:rPr>
          <w:lang w:val="es-ES"/>
        </w:rPr>
        <w:lastRenderedPageBreak/>
        <w:t>Solo unas pocas Partes aportaron datos comparables que podían ser usados para compilar resultados para el indicador de cabecera 21.1 (</w:t>
      </w:r>
      <w:r w:rsidRPr="005E3D50">
        <w:rPr>
          <w:rFonts w:ascii="Aptos" w:hAnsi="Aptos"/>
          <w:color w:val="000000"/>
          <w:lang w:val="es-ES"/>
        </w:rPr>
        <w:t>indicador sobre información de biodiversidad para el seguimiento del Marco Mundial de Biodiversidad de Kunming-Montreal)</w:t>
      </w:r>
      <w:r w:rsidRPr="005E3D50">
        <w:rPr>
          <w:lang w:val="es-ES"/>
        </w:rPr>
        <w:t xml:space="preserve"> y algunas Partes señalaron cuestiones metodológicas relacionadas con el indicador o carencias de datos (véase el cuadro 46). Muchas Partes resaltaron que se dedican esfuerzos nacionales a la compilación y disponibilidad de información y destacaron la función de apoyo a sistemas nacionales de información sobre biodiversidad que cumplen instituciones de investigación nacionales y otros asociados. Incluso en aquellos casos en que no se comunicaron datos para el indicador de cabecera en sí, muchas Partes destacaron que se disponía de información sobre biodiversidad y que esta había sido usada en sus informes nacionales. Muchas también señalaron, no obstante, que los sistemas nacionales de seguimiento siguen estando en etapas iniciales de desarrollo y que requieren mayor fortalecimiento institucional, inversión y creación de capacidad.</w:t>
      </w:r>
    </w:p>
    <w:p w14:paraId="6D10C0A6" w14:textId="77777777" w:rsidR="009713BF" w:rsidRPr="005E3D50" w:rsidRDefault="009713BF" w:rsidP="009713BF">
      <w:pPr>
        <w:rPr>
          <w:lang w:val="es-ES"/>
        </w:rPr>
      </w:pPr>
      <w:r w:rsidRPr="005E3D50">
        <w:rPr>
          <w:lang w:val="es-ES"/>
        </w:rPr>
        <w:t>Dado que este es un indicador de cabecera nuevo, solo se dispone de datos para un año del ciclo de presentación de informes cubierto en el presente informe. Según las comunicaciones, parecería que el número de Partes que actualmente tiene los datos nacionales necesarios para compilar resultados para una proporción importante de los indicadores de cabecera es relativamente bajo, y que hay otras carencias en cuanto al elemento referido a garantizar que los conocimientos tradicionales estén disponibles para la toma de decisiones con el consentimiento libre, previo e informado, (véase la figura 85).</w:t>
      </w:r>
    </w:p>
    <w:p w14:paraId="36BB97E4" w14:textId="77777777" w:rsidR="009713BF" w:rsidRPr="005E3D50" w:rsidRDefault="009713BF" w:rsidP="009713BF">
      <w:pPr>
        <w:rPr>
          <w:lang w:val="es-ES"/>
        </w:rPr>
      </w:pPr>
      <w:r w:rsidRPr="005E3D50">
        <w:rPr>
          <w:lang w:val="es-ES"/>
        </w:rPr>
        <w:t xml:space="preserve">Un análisis de tendencias de indicadores adicionales pertinentes para la meta 21, presentados por cerca de un cuarto de las Partes, arroja una alta proporción de tendencias positivas, lo que estaría indicando mejoras en la disponibilidad y accesibilidad de datos y conocimientos </w:t>
      </w:r>
      <w:r w:rsidRPr="005E3D50">
        <w:rPr>
          <w:color w:val="0D0D0D" w:themeColor="text1" w:themeTint="F2"/>
          <w:lang w:val="es-ES"/>
        </w:rPr>
        <w:t xml:space="preserve">(véase </w:t>
      </w:r>
      <w:r w:rsidRPr="005E3D50">
        <w:rPr>
          <w:lang w:val="es-ES"/>
        </w:rPr>
        <w:t>la figura 86</w:t>
      </w:r>
      <w:r w:rsidRPr="005E3D50">
        <w:rPr>
          <w:color w:val="0D0D0D" w:themeColor="text1" w:themeTint="F2"/>
          <w:lang w:val="es-ES"/>
        </w:rPr>
        <w:t>).</w:t>
      </w:r>
    </w:p>
    <w:p w14:paraId="55BEDBC5" w14:textId="77777777" w:rsidR="009713BF" w:rsidRPr="005E3D50" w:rsidRDefault="009713BF" w:rsidP="009713BF">
      <w:pPr>
        <w:shd w:val="clear" w:color="auto" w:fill="FFFFFF" w:themeFill="background1"/>
        <w:spacing w:before="100" w:beforeAutospacing="1" w:after="100" w:afterAutospacing="1" w:line="240" w:lineRule="auto"/>
        <w:rPr>
          <w:rFonts w:eastAsia="Times New Roman" w:cs="Times New Roman"/>
          <w:kern w:val="0"/>
          <w:sz w:val="20"/>
          <w:szCs w:val="20"/>
          <w:lang w:val="es-ES"/>
          <w14:ligatures w14:val="none"/>
        </w:rPr>
      </w:pPr>
      <w:bookmarkStart w:id="516" w:name="_Ref238805276"/>
      <w:r w:rsidRPr="005E3D50">
        <w:rPr>
          <w:rFonts w:eastAsia="Times New Roman" w:cs="Times New Roman"/>
          <w:kern w:val="0"/>
          <w:sz w:val="20"/>
          <w:lang w:val="es-ES"/>
          <w14:ligatures w14:val="none"/>
        </w:rPr>
        <w:t>Figura 85</w:t>
      </w:r>
      <w:bookmarkEnd w:id="516"/>
    </w:p>
    <w:p w14:paraId="1601FB85" w14:textId="77777777" w:rsidR="009713BF" w:rsidRPr="005E3D50" w:rsidRDefault="009713BF" w:rsidP="009713BF">
      <w:pPr>
        <w:shd w:val="clear" w:color="auto" w:fill="FFFFFF" w:themeFill="background1"/>
        <w:spacing w:before="100" w:beforeAutospacing="1" w:after="100" w:afterAutospacing="1" w:line="240" w:lineRule="auto"/>
        <w:rPr>
          <w:rFonts w:eastAsia="Times New Roman" w:cs="Segoe UI"/>
          <w:color w:val="0D0D0D" w:themeColor="text1" w:themeTint="F2"/>
          <w:kern w:val="0"/>
          <w:sz w:val="20"/>
          <w:szCs w:val="20"/>
          <w:lang w:val="es-ES"/>
          <w14:ligatures w14:val="none"/>
        </w:rPr>
      </w:pPr>
      <w:r w:rsidRPr="005E3D50">
        <w:rPr>
          <w:rFonts w:eastAsia="Times New Roman" w:cs="Times New Roman"/>
          <w:b/>
          <w:kern w:val="0"/>
          <w:sz w:val="20"/>
          <w:lang w:val="es-ES"/>
          <w14:ligatures w14:val="none"/>
        </w:rPr>
        <w:t>Indicador de cabecera 21.1: indicador sobre información de diversidad biológica para el seguimiento del Marco Mundial de Biodiversidad de Kunming-Montreal</w:t>
      </w:r>
    </w:p>
    <w:p w14:paraId="651AE6D2"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5415E765"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lang w:val="en-US"/>
          <w14:ligatures w14:val="none"/>
        </w:rPr>
        <w:lastRenderedPageBreak/>
        <w:drawing>
          <wp:inline distT="0" distB="0" distL="0" distR="0" wp14:anchorId="2540242D" wp14:editId="28B8976F">
            <wp:extent cx="4828374" cy="2715894"/>
            <wp:effectExtent l="0" t="0" r="0" b="2540"/>
            <wp:docPr id="353589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89538" name="Picture 353589538"/>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4837438" cy="2720992"/>
                    </a:xfrm>
                    <a:prstGeom prst="rect">
                      <a:avLst/>
                    </a:prstGeom>
                  </pic:spPr>
                </pic:pic>
              </a:graphicData>
            </a:graphic>
          </wp:inline>
        </w:drawing>
      </w:r>
    </w:p>
    <w:p w14:paraId="675AF71D" w14:textId="77777777" w:rsidR="009713BF" w:rsidRPr="005E3D50" w:rsidRDefault="009713BF" w:rsidP="009713BF">
      <w:pPr>
        <w:rPr>
          <w:i/>
          <w:iCs/>
          <w:sz w:val="20"/>
          <w:szCs w:val="20"/>
          <w:lang w:val="es-ES"/>
        </w:rPr>
      </w:pPr>
      <w:r w:rsidRPr="005E3D50">
        <w:rPr>
          <w:i/>
          <w:sz w:val="20"/>
          <w:lang w:val="es-ES"/>
        </w:rPr>
        <w:t>Nota</w:t>
      </w:r>
      <w:r w:rsidRPr="005E3D50">
        <w:rPr>
          <w:sz w:val="20"/>
          <w:lang w:val="es-ES"/>
        </w:rPr>
        <w:t>: Solo se incluyen datos para el año 2026 debido a que es un indicador muy nuevo. La figura muestra el promedio y el intervalo en el porcentaje de indicadores de cabecera compilados por las Partes sobre la base de sus datos nacionales. La parte superior muestra datos solo de aquellas Partes que presentaron resultados para el indicador de cabecera; la parte inferior muestra datos recalculados conforme a los metadatos del indicador de cabecera 21.1 para todas las Partes que presentaron resultados para al menos un indicador de cabecera. El gráfico de barras muestra la distribución de las Partes que presentan datos,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62" w:type="dxa"/>
        <w:tblLook w:val="04A0" w:firstRow="1" w:lastRow="0" w:firstColumn="1" w:lastColumn="0" w:noHBand="0" w:noVBand="1"/>
      </w:tblPr>
      <w:tblGrid>
        <w:gridCol w:w="4081"/>
        <w:gridCol w:w="5281"/>
      </w:tblGrid>
      <w:tr w:rsidR="001B2C22" w:rsidRPr="001B2C22" w14:paraId="5E8F941C" w14:textId="77777777" w:rsidTr="001B2C22">
        <w:tc>
          <w:tcPr>
            <w:tcW w:w="4081" w:type="dxa"/>
          </w:tcPr>
          <w:p w14:paraId="3DE1511E" w14:textId="2EFDECC4" w:rsidR="001B2C22" w:rsidRPr="001B2C22" w:rsidRDefault="001B2C22" w:rsidP="001B2C22">
            <w:pPr>
              <w:rPr>
                <w:sz w:val="18"/>
                <w:szCs w:val="18"/>
                <w:lang w:val="es-ES"/>
              </w:rPr>
            </w:pPr>
            <w:r w:rsidRPr="001B2C22">
              <w:rPr>
                <w:sz w:val="18"/>
                <w:szCs w:val="18"/>
                <w:lang w:val="es-ES"/>
              </w:rPr>
              <w:t>Figura 85</w:t>
            </w:r>
          </w:p>
        </w:tc>
        <w:tc>
          <w:tcPr>
            <w:tcW w:w="5281" w:type="dxa"/>
          </w:tcPr>
          <w:p w14:paraId="07F1B3E9" w14:textId="77777777" w:rsidR="001B2C22" w:rsidRPr="001B2C22" w:rsidRDefault="001B2C22" w:rsidP="001B2C22">
            <w:pPr>
              <w:rPr>
                <w:b/>
                <w:bCs/>
                <w:sz w:val="18"/>
                <w:szCs w:val="18"/>
                <w:lang w:val="es-ES"/>
              </w:rPr>
            </w:pPr>
          </w:p>
        </w:tc>
      </w:tr>
      <w:tr w:rsidR="001B2C22" w:rsidRPr="001B2C22" w14:paraId="6E7F8BB9" w14:textId="77777777" w:rsidTr="001B2C22">
        <w:tc>
          <w:tcPr>
            <w:tcW w:w="4081" w:type="dxa"/>
          </w:tcPr>
          <w:p w14:paraId="449A4E78" w14:textId="77777777" w:rsidR="001B2C22" w:rsidRPr="001B2C22" w:rsidRDefault="001B2C22" w:rsidP="001B2C22">
            <w:pPr>
              <w:spacing w:line="278" w:lineRule="auto"/>
              <w:rPr>
                <w:sz w:val="18"/>
                <w:szCs w:val="18"/>
                <w:lang w:val="es-ES"/>
              </w:rPr>
            </w:pPr>
            <w:r w:rsidRPr="001B2C22">
              <w:rPr>
                <w:sz w:val="18"/>
                <w:szCs w:val="18"/>
                <w:lang w:val="es-ES"/>
              </w:rPr>
              <w:t xml:space="preserve">English </w:t>
            </w:r>
          </w:p>
        </w:tc>
        <w:tc>
          <w:tcPr>
            <w:tcW w:w="5281" w:type="dxa"/>
          </w:tcPr>
          <w:p w14:paraId="33340A65" w14:textId="7059BD0F" w:rsidR="001B2C22" w:rsidRPr="001B2C22" w:rsidRDefault="001B2C22" w:rsidP="001B2C22">
            <w:pPr>
              <w:spacing w:line="278" w:lineRule="auto"/>
              <w:rPr>
                <w:sz w:val="18"/>
                <w:szCs w:val="18"/>
                <w:lang w:val="es-ES"/>
              </w:rPr>
            </w:pPr>
            <w:r w:rsidRPr="001B2C22">
              <w:rPr>
                <w:sz w:val="18"/>
                <w:szCs w:val="18"/>
                <w:lang w:val="es-ES"/>
              </w:rPr>
              <w:t>Español</w:t>
            </w:r>
          </w:p>
        </w:tc>
      </w:tr>
      <w:tr w:rsidR="001B2C22" w:rsidRPr="001B2C22" w14:paraId="0A1689DB" w14:textId="77777777" w:rsidTr="001B2C22">
        <w:tc>
          <w:tcPr>
            <w:tcW w:w="4081" w:type="dxa"/>
          </w:tcPr>
          <w:p w14:paraId="2E20198A" w14:textId="77777777" w:rsidR="001B2C22" w:rsidRPr="001B2C22" w:rsidRDefault="001B2C22" w:rsidP="001B2C22">
            <w:pPr>
              <w:spacing w:line="278" w:lineRule="auto"/>
              <w:rPr>
                <w:sz w:val="18"/>
                <w:szCs w:val="18"/>
                <w:lang w:val="es-ES"/>
              </w:rPr>
            </w:pPr>
            <w:r w:rsidRPr="001B2C22">
              <w:rPr>
                <w:sz w:val="18"/>
                <w:szCs w:val="18"/>
                <w:lang w:val="es-ES"/>
              </w:rPr>
              <w:t xml:space="preserve">National </w:t>
            </w:r>
            <w:proofErr w:type="spellStart"/>
            <w:r w:rsidRPr="001B2C22">
              <w:rPr>
                <w:sz w:val="18"/>
                <w:szCs w:val="18"/>
                <w:lang w:val="es-ES"/>
              </w:rPr>
              <w:t>submissions</w:t>
            </w:r>
            <w:proofErr w:type="spellEnd"/>
          </w:p>
        </w:tc>
        <w:tc>
          <w:tcPr>
            <w:tcW w:w="5281" w:type="dxa"/>
          </w:tcPr>
          <w:p w14:paraId="3D087FAB" w14:textId="77777777" w:rsidR="001B2C22" w:rsidRPr="001B2C22" w:rsidRDefault="001B2C22" w:rsidP="001B2C22">
            <w:pPr>
              <w:spacing w:line="278" w:lineRule="auto"/>
              <w:rPr>
                <w:sz w:val="18"/>
                <w:szCs w:val="18"/>
                <w:lang w:val="es-ES"/>
              </w:rPr>
            </w:pPr>
            <w:r w:rsidRPr="001B2C22">
              <w:rPr>
                <w:sz w:val="18"/>
                <w:szCs w:val="18"/>
                <w:lang w:val="es-ES"/>
              </w:rPr>
              <w:t>Comunicaciones nacionales</w:t>
            </w:r>
          </w:p>
        </w:tc>
      </w:tr>
      <w:tr w:rsidR="001B2C22" w:rsidRPr="001B2C22" w14:paraId="449DB832" w14:textId="77777777" w:rsidTr="001B2C22">
        <w:tc>
          <w:tcPr>
            <w:tcW w:w="4081" w:type="dxa"/>
          </w:tcPr>
          <w:p w14:paraId="1DB35C05" w14:textId="77777777" w:rsidR="001B2C22" w:rsidRPr="001B2C22" w:rsidRDefault="001B2C22" w:rsidP="001B2C22">
            <w:pPr>
              <w:spacing w:line="278" w:lineRule="auto"/>
              <w:rPr>
                <w:sz w:val="18"/>
                <w:szCs w:val="18"/>
                <w:lang w:val="es-ES"/>
              </w:rPr>
            </w:pPr>
            <w:r w:rsidRPr="001B2C22">
              <w:rPr>
                <w:sz w:val="18"/>
                <w:szCs w:val="18"/>
                <w:lang w:val="es-ES"/>
              </w:rPr>
              <w:t xml:space="preserve">Party </w:t>
            </w:r>
            <w:proofErr w:type="spellStart"/>
            <w:r w:rsidRPr="001B2C22">
              <w:rPr>
                <w:sz w:val="18"/>
                <w:szCs w:val="18"/>
                <w:lang w:val="es-ES"/>
              </w:rPr>
              <w:t>count</w:t>
            </w:r>
            <w:proofErr w:type="spellEnd"/>
            <w:r w:rsidRPr="001B2C22">
              <w:rPr>
                <w:sz w:val="18"/>
                <w:szCs w:val="18"/>
                <w:lang w:val="es-ES"/>
              </w:rPr>
              <w:t>: 14</w:t>
            </w:r>
          </w:p>
        </w:tc>
        <w:tc>
          <w:tcPr>
            <w:tcW w:w="5281" w:type="dxa"/>
          </w:tcPr>
          <w:p w14:paraId="01B2D4E3" w14:textId="77777777" w:rsidR="001B2C22" w:rsidRPr="001B2C22" w:rsidRDefault="001B2C22" w:rsidP="001B2C22">
            <w:pPr>
              <w:spacing w:line="278" w:lineRule="auto"/>
              <w:rPr>
                <w:sz w:val="18"/>
                <w:szCs w:val="18"/>
                <w:lang w:val="es-ES"/>
              </w:rPr>
            </w:pPr>
            <w:r w:rsidRPr="001B2C22">
              <w:rPr>
                <w:sz w:val="18"/>
                <w:szCs w:val="18"/>
                <w:lang w:val="es-ES"/>
              </w:rPr>
              <w:t>Número de Partes: 14</w:t>
            </w:r>
          </w:p>
        </w:tc>
      </w:tr>
      <w:tr w:rsidR="001B2C22" w:rsidRPr="001B2C22" w14:paraId="4CC0EFD1" w14:textId="77777777" w:rsidTr="001B2C22">
        <w:tc>
          <w:tcPr>
            <w:tcW w:w="4081" w:type="dxa"/>
          </w:tcPr>
          <w:p w14:paraId="71B024B0" w14:textId="77777777" w:rsidR="001B2C22" w:rsidRPr="001B2C22" w:rsidRDefault="001B2C22" w:rsidP="001B2C22">
            <w:pPr>
              <w:spacing w:line="278" w:lineRule="auto"/>
              <w:rPr>
                <w:sz w:val="18"/>
                <w:szCs w:val="18"/>
                <w:lang w:val="es-ES"/>
              </w:rPr>
            </w:pPr>
            <w:r w:rsidRPr="001B2C22">
              <w:rPr>
                <w:sz w:val="18"/>
                <w:szCs w:val="18"/>
                <w:lang w:val="es-ES"/>
              </w:rPr>
              <w:t xml:space="preserve">Party </w:t>
            </w:r>
            <w:proofErr w:type="spellStart"/>
            <w:r w:rsidRPr="001B2C22">
              <w:rPr>
                <w:sz w:val="18"/>
                <w:szCs w:val="18"/>
                <w:lang w:val="es-ES"/>
              </w:rPr>
              <w:t>count</w:t>
            </w:r>
            <w:proofErr w:type="spellEnd"/>
            <w:r w:rsidRPr="001B2C22">
              <w:rPr>
                <w:sz w:val="18"/>
                <w:szCs w:val="18"/>
                <w:lang w:val="es-ES"/>
              </w:rPr>
              <w:t xml:space="preserve"> </w:t>
            </w:r>
            <w:proofErr w:type="spellStart"/>
            <w:r w:rsidRPr="001B2C22">
              <w:rPr>
                <w:sz w:val="18"/>
                <w:szCs w:val="18"/>
                <w:lang w:val="es-ES"/>
              </w:rPr>
              <w:t>by</w:t>
            </w:r>
            <w:proofErr w:type="spellEnd"/>
            <w:r w:rsidRPr="001B2C22">
              <w:rPr>
                <w:sz w:val="18"/>
                <w:szCs w:val="18"/>
                <w:lang w:val="es-ES"/>
              </w:rPr>
              <w:t xml:space="preserve"> </w:t>
            </w:r>
            <w:proofErr w:type="spellStart"/>
            <w:r w:rsidRPr="001B2C22">
              <w:rPr>
                <w:sz w:val="18"/>
                <w:szCs w:val="18"/>
                <w:lang w:val="es-ES"/>
              </w:rPr>
              <w:t>region</w:t>
            </w:r>
            <w:proofErr w:type="spellEnd"/>
          </w:p>
        </w:tc>
        <w:tc>
          <w:tcPr>
            <w:tcW w:w="5281" w:type="dxa"/>
          </w:tcPr>
          <w:p w14:paraId="2796517D" w14:textId="77777777" w:rsidR="001B2C22" w:rsidRPr="001B2C22" w:rsidRDefault="001B2C22" w:rsidP="001B2C22">
            <w:pPr>
              <w:spacing w:line="278" w:lineRule="auto"/>
              <w:rPr>
                <w:sz w:val="18"/>
                <w:szCs w:val="18"/>
                <w:lang w:val="es-ES"/>
              </w:rPr>
            </w:pPr>
            <w:r w:rsidRPr="001B2C22">
              <w:rPr>
                <w:sz w:val="18"/>
                <w:szCs w:val="18"/>
                <w:lang w:val="es-ES"/>
              </w:rPr>
              <w:t>Número de Partes por región</w:t>
            </w:r>
          </w:p>
        </w:tc>
      </w:tr>
      <w:tr w:rsidR="001B2C22" w:rsidRPr="001B2C22" w14:paraId="7466F192" w14:textId="77777777" w:rsidTr="001B2C22">
        <w:tc>
          <w:tcPr>
            <w:tcW w:w="4081" w:type="dxa"/>
          </w:tcPr>
          <w:p w14:paraId="20BD02BD" w14:textId="77777777" w:rsidR="001B2C22" w:rsidRPr="001B2C22" w:rsidRDefault="001B2C22" w:rsidP="001B2C22">
            <w:pPr>
              <w:spacing w:line="278" w:lineRule="auto"/>
              <w:rPr>
                <w:sz w:val="18"/>
                <w:szCs w:val="18"/>
                <w:lang w:val="es-ES"/>
              </w:rPr>
            </w:pPr>
            <w:proofErr w:type="spellStart"/>
            <w:r w:rsidRPr="001B2C22">
              <w:rPr>
                <w:sz w:val="18"/>
                <w:szCs w:val="18"/>
                <w:lang w:val="es-ES"/>
              </w:rPr>
              <w:t>Calculation</w:t>
            </w:r>
            <w:proofErr w:type="spellEnd"/>
            <w:r w:rsidRPr="001B2C22">
              <w:rPr>
                <w:sz w:val="18"/>
                <w:szCs w:val="18"/>
                <w:lang w:val="es-ES"/>
              </w:rPr>
              <w:t xml:space="preserve"> </w:t>
            </w:r>
            <w:proofErr w:type="spellStart"/>
            <w:r w:rsidRPr="001B2C22">
              <w:rPr>
                <w:sz w:val="18"/>
                <w:szCs w:val="18"/>
                <w:lang w:val="es-ES"/>
              </w:rPr>
              <w:t>from</w:t>
            </w:r>
            <w:proofErr w:type="spellEnd"/>
            <w:r w:rsidRPr="001B2C22">
              <w:rPr>
                <w:sz w:val="18"/>
                <w:szCs w:val="18"/>
                <w:lang w:val="es-ES"/>
              </w:rPr>
              <w:t xml:space="preserve"> 7NRs</w:t>
            </w:r>
          </w:p>
        </w:tc>
        <w:tc>
          <w:tcPr>
            <w:tcW w:w="5281" w:type="dxa"/>
          </w:tcPr>
          <w:p w14:paraId="61CF9A7F" w14:textId="77777777" w:rsidR="001B2C22" w:rsidRPr="001B2C22" w:rsidRDefault="001B2C22" w:rsidP="001B2C22">
            <w:pPr>
              <w:spacing w:line="278" w:lineRule="auto"/>
              <w:rPr>
                <w:sz w:val="18"/>
                <w:szCs w:val="18"/>
                <w:lang w:val="es-ES"/>
              </w:rPr>
            </w:pPr>
            <w:r w:rsidRPr="001B2C22">
              <w:rPr>
                <w:sz w:val="18"/>
                <w:szCs w:val="18"/>
                <w:lang w:val="es-ES"/>
              </w:rPr>
              <w:t>Cálculo a partir de los 7IN</w:t>
            </w:r>
          </w:p>
        </w:tc>
      </w:tr>
      <w:tr w:rsidR="001B2C22" w:rsidRPr="001B2C22" w14:paraId="30A6347D" w14:textId="77777777" w:rsidTr="001B2C22">
        <w:tc>
          <w:tcPr>
            <w:tcW w:w="4081" w:type="dxa"/>
          </w:tcPr>
          <w:p w14:paraId="2C4E5C69" w14:textId="77777777" w:rsidR="001B2C22" w:rsidRPr="001B2C22" w:rsidRDefault="001B2C22" w:rsidP="001B2C22">
            <w:pPr>
              <w:spacing w:line="278" w:lineRule="auto"/>
              <w:rPr>
                <w:sz w:val="18"/>
                <w:szCs w:val="18"/>
                <w:lang w:val="es-ES"/>
              </w:rPr>
            </w:pPr>
            <w:r w:rsidRPr="001B2C22">
              <w:rPr>
                <w:sz w:val="18"/>
                <w:szCs w:val="18"/>
                <w:lang w:val="es-ES"/>
              </w:rPr>
              <w:t xml:space="preserve">Party </w:t>
            </w:r>
            <w:proofErr w:type="spellStart"/>
            <w:r w:rsidRPr="001B2C22">
              <w:rPr>
                <w:sz w:val="18"/>
                <w:szCs w:val="18"/>
                <w:lang w:val="es-ES"/>
              </w:rPr>
              <w:t>count</w:t>
            </w:r>
            <w:proofErr w:type="spellEnd"/>
            <w:r w:rsidRPr="001B2C22">
              <w:rPr>
                <w:sz w:val="18"/>
                <w:szCs w:val="18"/>
                <w:lang w:val="es-ES"/>
              </w:rPr>
              <w:t>: 101</w:t>
            </w:r>
          </w:p>
        </w:tc>
        <w:tc>
          <w:tcPr>
            <w:tcW w:w="5281" w:type="dxa"/>
          </w:tcPr>
          <w:p w14:paraId="5EA30FE9" w14:textId="77777777" w:rsidR="001B2C22" w:rsidRPr="001B2C22" w:rsidRDefault="001B2C22" w:rsidP="001B2C22">
            <w:pPr>
              <w:spacing w:line="278" w:lineRule="auto"/>
              <w:rPr>
                <w:sz w:val="18"/>
                <w:szCs w:val="18"/>
                <w:lang w:val="es-ES"/>
              </w:rPr>
            </w:pPr>
            <w:r w:rsidRPr="001B2C22">
              <w:rPr>
                <w:sz w:val="18"/>
                <w:szCs w:val="18"/>
                <w:lang w:val="es-ES"/>
              </w:rPr>
              <w:t>Número de Partes: 101</w:t>
            </w:r>
          </w:p>
        </w:tc>
      </w:tr>
      <w:tr w:rsidR="001B2C22" w:rsidRPr="001B2C22" w14:paraId="08E2B0E6" w14:textId="77777777" w:rsidTr="001B2C22">
        <w:tc>
          <w:tcPr>
            <w:tcW w:w="4081" w:type="dxa"/>
          </w:tcPr>
          <w:p w14:paraId="733866E4" w14:textId="77777777" w:rsidR="001B2C22" w:rsidRPr="001B2C22" w:rsidRDefault="001B2C22" w:rsidP="001B2C22">
            <w:pPr>
              <w:spacing w:line="278" w:lineRule="auto"/>
              <w:rPr>
                <w:sz w:val="18"/>
                <w:szCs w:val="18"/>
                <w:lang w:val="es-ES"/>
              </w:rPr>
            </w:pPr>
            <w:r w:rsidRPr="001B2C22">
              <w:rPr>
                <w:sz w:val="18"/>
                <w:szCs w:val="18"/>
                <w:lang w:val="es-ES"/>
              </w:rPr>
              <w:t xml:space="preserve">Party </w:t>
            </w:r>
            <w:proofErr w:type="spellStart"/>
            <w:r w:rsidRPr="001B2C22">
              <w:rPr>
                <w:sz w:val="18"/>
                <w:szCs w:val="18"/>
                <w:lang w:val="es-ES"/>
              </w:rPr>
              <w:t>count</w:t>
            </w:r>
            <w:proofErr w:type="spellEnd"/>
            <w:r w:rsidRPr="001B2C22">
              <w:rPr>
                <w:sz w:val="18"/>
                <w:szCs w:val="18"/>
                <w:lang w:val="es-ES"/>
              </w:rPr>
              <w:t xml:space="preserve"> </w:t>
            </w:r>
            <w:proofErr w:type="spellStart"/>
            <w:r w:rsidRPr="001B2C22">
              <w:rPr>
                <w:sz w:val="18"/>
                <w:szCs w:val="18"/>
                <w:lang w:val="es-ES"/>
              </w:rPr>
              <w:t>by</w:t>
            </w:r>
            <w:proofErr w:type="spellEnd"/>
            <w:r w:rsidRPr="001B2C22">
              <w:rPr>
                <w:sz w:val="18"/>
                <w:szCs w:val="18"/>
                <w:lang w:val="es-ES"/>
              </w:rPr>
              <w:t xml:space="preserve"> </w:t>
            </w:r>
            <w:proofErr w:type="spellStart"/>
            <w:r w:rsidRPr="001B2C22">
              <w:rPr>
                <w:sz w:val="18"/>
                <w:szCs w:val="18"/>
                <w:lang w:val="es-ES"/>
              </w:rPr>
              <w:t>region</w:t>
            </w:r>
            <w:proofErr w:type="spellEnd"/>
          </w:p>
        </w:tc>
        <w:tc>
          <w:tcPr>
            <w:tcW w:w="5281" w:type="dxa"/>
          </w:tcPr>
          <w:p w14:paraId="649D7D74" w14:textId="77777777" w:rsidR="001B2C22" w:rsidRPr="001B2C22" w:rsidRDefault="001B2C22" w:rsidP="001B2C22">
            <w:pPr>
              <w:spacing w:line="278" w:lineRule="auto"/>
              <w:rPr>
                <w:sz w:val="18"/>
                <w:szCs w:val="18"/>
                <w:lang w:val="es-ES"/>
              </w:rPr>
            </w:pPr>
            <w:r w:rsidRPr="001B2C22">
              <w:rPr>
                <w:sz w:val="18"/>
                <w:szCs w:val="18"/>
                <w:lang w:val="es-ES"/>
              </w:rPr>
              <w:t>Número de Partes por región</w:t>
            </w:r>
          </w:p>
        </w:tc>
      </w:tr>
      <w:tr w:rsidR="001B2C22" w:rsidRPr="001B2C22" w14:paraId="54AD91C5" w14:textId="77777777" w:rsidTr="001B2C22">
        <w:tc>
          <w:tcPr>
            <w:tcW w:w="4081" w:type="dxa"/>
          </w:tcPr>
          <w:p w14:paraId="7BA90E4A" w14:textId="77777777" w:rsidR="001B2C22" w:rsidRPr="001B2C22" w:rsidRDefault="001B2C22" w:rsidP="001B2C22">
            <w:pPr>
              <w:spacing w:line="278" w:lineRule="auto"/>
              <w:rPr>
                <w:sz w:val="18"/>
                <w:szCs w:val="18"/>
                <w:lang w:val="es-ES"/>
              </w:rPr>
            </w:pPr>
            <w:proofErr w:type="spellStart"/>
            <w:r w:rsidRPr="001B2C22">
              <w:rPr>
                <w:sz w:val="18"/>
                <w:szCs w:val="18"/>
                <w:lang w:val="es-ES"/>
              </w:rPr>
              <w:t>Region</w:t>
            </w:r>
            <w:proofErr w:type="spellEnd"/>
          </w:p>
        </w:tc>
        <w:tc>
          <w:tcPr>
            <w:tcW w:w="5281" w:type="dxa"/>
          </w:tcPr>
          <w:p w14:paraId="5C4B6D51" w14:textId="77777777" w:rsidR="001B2C22" w:rsidRPr="001B2C22" w:rsidRDefault="001B2C22" w:rsidP="001B2C22">
            <w:pPr>
              <w:spacing w:line="278" w:lineRule="auto"/>
              <w:rPr>
                <w:sz w:val="18"/>
                <w:szCs w:val="18"/>
                <w:lang w:val="es-ES"/>
              </w:rPr>
            </w:pPr>
            <w:r w:rsidRPr="001B2C22">
              <w:rPr>
                <w:sz w:val="18"/>
                <w:szCs w:val="18"/>
                <w:lang w:val="es-ES"/>
              </w:rPr>
              <w:t>Región</w:t>
            </w:r>
          </w:p>
        </w:tc>
      </w:tr>
      <w:tr w:rsidR="001B2C22" w:rsidRPr="001B2C22" w14:paraId="4BDFF599" w14:textId="77777777" w:rsidTr="001B2C22">
        <w:tc>
          <w:tcPr>
            <w:tcW w:w="4081" w:type="dxa"/>
          </w:tcPr>
          <w:p w14:paraId="21BE0823" w14:textId="77777777" w:rsidR="001B2C22" w:rsidRPr="001B2C22" w:rsidRDefault="001B2C22" w:rsidP="001B2C22">
            <w:pPr>
              <w:spacing w:line="278" w:lineRule="auto"/>
              <w:rPr>
                <w:sz w:val="18"/>
                <w:szCs w:val="18"/>
                <w:lang w:val="es-ES"/>
              </w:rPr>
            </w:pPr>
            <w:r w:rsidRPr="001B2C22">
              <w:rPr>
                <w:sz w:val="18"/>
                <w:szCs w:val="18"/>
                <w:lang w:val="es-ES"/>
              </w:rPr>
              <w:t>African States</w:t>
            </w:r>
          </w:p>
        </w:tc>
        <w:tc>
          <w:tcPr>
            <w:tcW w:w="5281" w:type="dxa"/>
          </w:tcPr>
          <w:p w14:paraId="6354EB9E" w14:textId="77777777" w:rsidR="001B2C22" w:rsidRPr="001B2C22" w:rsidRDefault="001B2C22" w:rsidP="001B2C22">
            <w:pPr>
              <w:spacing w:line="278" w:lineRule="auto"/>
              <w:rPr>
                <w:sz w:val="18"/>
                <w:szCs w:val="18"/>
                <w:lang w:val="es-ES"/>
              </w:rPr>
            </w:pPr>
            <w:r w:rsidRPr="001B2C22">
              <w:rPr>
                <w:sz w:val="18"/>
                <w:szCs w:val="18"/>
                <w:lang w:val="es-ES"/>
              </w:rPr>
              <w:t>Estados de África</w:t>
            </w:r>
          </w:p>
        </w:tc>
      </w:tr>
      <w:tr w:rsidR="001B2C22" w:rsidRPr="001B2C22" w14:paraId="3127254C" w14:textId="77777777" w:rsidTr="001B2C22">
        <w:tc>
          <w:tcPr>
            <w:tcW w:w="4081" w:type="dxa"/>
          </w:tcPr>
          <w:p w14:paraId="69DDC951" w14:textId="77777777" w:rsidR="001B2C22" w:rsidRPr="001B2C22" w:rsidRDefault="001B2C22" w:rsidP="001B2C22">
            <w:pPr>
              <w:spacing w:line="278" w:lineRule="auto"/>
              <w:rPr>
                <w:sz w:val="18"/>
                <w:szCs w:val="18"/>
                <w:lang w:val="es-ES"/>
              </w:rPr>
            </w:pPr>
            <w:r w:rsidRPr="001B2C22">
              <w:rPr>
                <w:sz w:val="18"/>
                <w:szCs w:val="18"/>
                <w:lang w:val="es-ES"/>
              </w:rPr>
              <w:t>Asia-Pacific States</w:t>
            </w:r>
          </w:p>
        </w:tc>
        <w:tc>
          <w:tcPr>
            <w:tcW w:w="5281" w:type="dxa"/>
          </w:tcPr>
          <w:p w14:paraId="375774C3" w14:textId="77777777" w:rsidR="001B2C22" w:rsidRPr="001B2C22" w:rsidRDefault="001B2C22" w:rsidP="001B2C22">
            <w:pPr>
              <w:spacing w:line="278" w:lineRule="auto"/>
              <w:rPr>
                <w:sz w:val="18"/>
                <w:szCs w:val="18"/>
                <w:lang w:val="es-ES"/>
              </w:rPr>
            </w:pPr>
            <w:r w:rsidRPr="001B2C22">
              <w:rPr>
                <w:sz w:val="18"/>
                <w:szCs w:val="18"/>
                <w:lang w:val="es-ES"/>
              </w:rPr>
              <w:t>Estados de Asia y el Pacífico</w:t>
            </w:r>
          </w:p>
        </w:tc>
      </w:tr>
      <w:tr w:rsidR="001B2C22" w:rsidRPr="001B2C22" w14:paraId="2AD2BC86" w14:textId="77777777" w:rsidTr="001B2C22">
        <w:tc>
          <w:tcPr>
            <w:tcW w:w="4081" w:type="dxa"/>
          </w:tcPr>
          <w:p w14:paraId="45CEA0E3" w14:textId="77777777" w:rsidR="001B2C22" w:rsidRPr="001B2C22" w:rsidRDefault="001B2C22" w:rsidP="001B2C22">
            <w:pPr>
              <w:spacing w:line="278" w:lineRule="auto"/>
              <w:rPr>
                <w:sz w:val="18"/>
                <w:szCs w:val="18"/>
                <w:lang w:val="en-US"/>
              </w:rPr>
            </w:pPr>
            <w:r w:rsidRPr="001B2C22">
              <w:rPr>
                <w:sz w:val="18"/>
                <w:szCs w:val="18"/>
                <w:lang w:val="en-US"/>
              </w:rPr>
              <w:t>Latin American and Caribbean States</w:t>
            </w:r>
          </w:p>
        </w:tc>
        <w:tc>
          <w:tcPr>
            <w:tcW w:w="5281" w:type="dxa"/>
          </w:tcPr>
          <w:p w14:paraId="5AAC9B68" w14:textId="77777777" w:rsidR="001B2C22" w:rsidRPr="001B2C22" w:rsidRDefault="001B2C22" w:rsidP="001B2C22">
            <w:pPr>
              <w:spacing w:line="278" w:lineRule="auto"/>
              <w:rPr>
                <w:sz w:val="18"/>
                <w:szCs w:val="18"/>
                <w:lang w:val="es-ES"/>
              </w:rPr>
            </w:pPr>
            <w:r w:rsidRPr="001B2C22">
              <w:rPr>
                <w:sz w:val="18"/>
                <w:szCs w:val="18"/>
                <w:lang w:val="es-ES"/>
              </w:rPr>
              <w:t>Estados de América Latina y el Caribe</w:t>
            </w:r>
          </w:p>
        </w:tc>
      </w:tr>
      <w:tr w:rsidR="001B2C22" w:rsidRPr="001B2C22" w14:paraId="7D76CEF8" w14:textId="77777777" w:rsidTr="001B2C22">
        <w:tc>
          <w:tcPr>
            <w:tcW w:w="4081" w:type="dxa"/>
          </w:tcPr>
          <w:p w14:paraId="71972F0D" w14:textId="77777777" w:rsidR="001B2C22" w:rsidRPr="001B2C22" w:rsidRDefault="001B2C22" w:rsidP="001B2C22">
            <w:pPr>
              <w:spacing w:line="278" w:lineRule="auto"/>
              <w:rPr>
                <w:sz w:val="18"/>
                <w:szCs w:val="18"/>
                <w:lang w:val="es-ES"/>
              </w:rPr>
            </w:pPr>
            <w:r w:rsidRPr="001B2C22">
              <w:rPr>
                <w:sz w:val="18"/>
                <w:szCs w:val="18"/>
                <w:lang w:val="es-ES"/>
              </w:rPr>
              <w:t>Eastern European States</w:t>
            </w:r>
          </w:p>
        </w:tc>
        <w:tc>
          <w:tcPr>
            <w:tcW w:w="5281" w:type="dxa"/>
          </w:tcPr>
          <w:p w14:paraId="5EEB21A6" w14:textId="77777777" w:rsidR="001B2C22" w:rsidRPr="001B2C22" w:rsidRDefault="001B2C22" w:rsidP="001B2C22">
            <w:pPr>
              <w:spacing w:line="278" w:lineRule="auto"/>
              <w:rPr>
                <w:sz w:val="18"/>
                <w:szCs w:val="18"/>
                <w:lang w:val="es-ES"/>
              </w:rPr>
            </w:pPr>
            <w:r w:rsidRPr="001B2C22">
              <w:rPr>
                <w:sz w:val="18"/>
                <w:szCs w:val="18"/>
                <w:lang w:val="es-ES"/>
              </w:rPr>
              <w:t>Estados de Europa Oriental</w:t>
            </w:r>
          </w:p>
        </w:tc>
      </w:tr>
      <w:tr w:rsidR="001B2C22" w:rsidRPr="001B2C22" w14:paraId="042A6BFF" w14:textId="77777777" w:rsidTr="001B2C22">
        <w:tc>
          <w:tcPr>
            <w:tcW w:w="4081" w:type="dxa"/>
          </w:tcPr>
          <w:p w14:paraId="51EEEEFD" w14:textId="77777777" w:rsidR="001B2C22" w:rsidRPr="001B2C22" w:rsidRDefault="001B2C22" w:rsidP="001B2C22">
            <w:pPr>
              <w:spacing w:line="278" w:lineRule="auto"/>
              <w:rPr>
                <w:sz w:val="18"/>
                <w:szCs w:val="18"/>
                <w:lang w:val="en-US"/>
              </w:rPr>
            </w:pPr>
            <w:r w:rsidRPr="001B2C22">
              <w:rPr>
                <w:sz w:val="18"/>
                <w:szCs w:val="18"/>
                <w:lang w:val="en-US"/>
              </w:rPr>
              <w:t>Western European and other States</w:t>
            </w:r>
          </w:p>
        </w:tc>
        <w:tc>
          <w:tcPr>
            <w:tcW w:w="5281" w:type="dxa"/>
          </w:tcPr>
          <w:p w14:paraId="6738ABF9" w14:textId="77777777" w:rsidR="001B2C22" w:rsidRPr="001B2C22" w:rsidRDefault="001B2C22" w:rsidP="001B2C22">
            <w:pPr>
              <w:spacing w:line="278" w:lineRule="auto"/>
              <w:rPr>
                <w:sz w:val="18"/>
                <w:szCs w:val="18"/>
                <w:lang w:val="es-ES"/>
              </w:rPr>
            </w:pPr>
            <w:r w:rsidRPr="001B2C22">
              <w:rPr>
                <w:sz w:val="18"/>
                <w:szCs w:val="18"/>
                <w:lang w:val="es-ES"/>
              </w:rPr>
              <w:t>Estados de Europa Occidental y otros Estados</w:t>
            </w:r>
          </w:p>
        </w:tc>
      </w:tr>
    </w:tbl>
    <w:p w14:paraId="27C7032E" w14:textId="77777777" w:rsidR="009713BF" w:rsidRPr="005E3D50" w:rsidRDefault="009713BF" w:rsidP="009713BF">
      <w:pPr>
        <w:spacing w:after="0" w:line="240" w:lineRule="auto"/>
        <w:textAlignment w:val="baseline"/>
        <w:rPr>
          <w:rFonts w:eastAsia="Times New Roman" w:cs="Times New Roman"/>
          <w:kern w:val="0"/>
          <w:sz w:val="20"/>
          <w:szCs w:val="20"/>
          <w:lang w:val="es-ES"/>
          <w14:ligatures w14:val="none"/>
        </w:rPr>
      </w:pPr>
    </w:p>
    <w:p w14:paraId="18D1C7EA" w14:textId="77777777" w:rsidR="009713BF" w:rsidRPr="005E3D50" w:rsidRDefault="009713BF" w:rsidP="009713BF">
      <w:pPr>
        <w:spacing w:after="0" w:line="240" w:lineRule="auto"/>
        <w:textAlignment w:val="baseline"/>
        <w:rPr>
          <w:rFonts w:eastAsia="Times New Roman" w:cs="Segoe UI"/>
          <w:kern w:val="0"/>
          <w:sz w:val="20"/>
          <w:szCs w:val="20"/>
          <w:lang w:val="es-ES"/>
          <w14:ligatures w14:val="none"/>
        </w:rPr>
      </w:pPr>
      <w:r w:rsidRPr="005E3D50">
        <w:rPr>
          <w:rFonts w:eastAsia="Times New Roman" w:cs="Times New Roman"/>
          <w:kern w:val="0"/>
          <w:sz w:val="20"/>
          <w:lang w:val="es-ES"/>
          <w14:ligatures w14:val="none"/>
        </w:rPr>
        <w:t>Figura 86</w:t>
      </w:r>
    </w:p>
    <w:p w14:paraId="42EF2B6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21 del Marco que sugieren tendencias de mejora, estables y negativas, respectivamente </w:t>
      </w:r>
    </w:p>
    <w:p w14:paraId="6C62097A"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08128A74"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bookmarkStart w:id="517" w:name="_Ref231251221"/>
      <w:r w:rsidRPr="005E3D50">
        <w:rPr>
          <w:rFonts w:eastAsiaTheme="minorEastAsia"/>
          <w:i/>
          <w:iCs/>
          <w:noProof/>
          <w:color w:val="0E2841" w:themeColor="text2"/>
          <w:kern w:val="0"/>
          <w:sz w:val="18"/>
          <w:szCs w:val="18"/>
          <w:lang w:val="en-US"/>
          <w14:ligatures w14:val="none"/>
        </w:rPr>
        <w:lastRenderedPageBreak/>
        <w:drawing>
          <wp:inline distT="0" distB="0" distL="0" distR="0" wp14:anchorId="4C9642EF" wp14:editId="3B929AD9">
            <wp:extent cx="5731510" cy="2456180"/>
            <wp:effectExtent l="0" t="0" r="0" b="0"/>
            <wp:docPr id="20787989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98987" name="Picture 2078798987"/>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517"/>
    <w:p w14:paraId="4A5644CE"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xml:space="preserve">: Las proporciones están ponderadas por Parte. Las tendencias incluyen datos para 1 indicador de cabecera de 15 Partes y 2 indicadores de componentes, 2 indicadores complementarios y 51 indicadores nacionales de 19 Partes. </w:t>
      </w:r>
      <w:r w:rsidRPr="005E3D50">
        <w:rPr>
          <w:rFonts w:ascii="Aptos" w:eastAsiaTheme="minorEastAsia" w:hAnsi="Aptos"/>
          <w:iCs/>
          <w:color w:val="0E2841" w:themeColor="text2"/>
          <w:kern w:val="0"/>
          <w:sz w:val="18"/>
          <w:szCs w:val="18"/>
          <w:lang w:val="es-ES" w:eastAsia="ja-JP"/>
          <w14:ligatures w14:val="none"/>
        </w:rPr>
        <w:t>El gráfico circular muestra la distribución de las Partes que presentan indicadores para la meta 21,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6A9A634F"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18" w:name="_Toc235821308"/>
    </w:p>
    <w:p w14:paraId="3FE0AAB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Autoevaluación de progresos</w:t>
      </w:r>
      <w:bookmarkEnd w:id="518"/>
    </w:p>
    <w:p w14:paraId="2900E560" w14:textId="77777777" w:rsidR="009713BF" w:rsidRPr="005E3D50" w:rsidRDefault="009713BF" w:rsidP="009713BF">
      <w:pPr>
        <w:rPr>
          <w:color w:val="000000" w:themeColor="text1"/>
          <w:lang w:val="es-ES"/>
        </w:rPr>
      </w:pPr>
      <w:r w:rsidRPr="005E3D50">
        <w:rPr>
          <w:lang w:val="es-ES"/>
        </w:rPr>
        <w:t>Según las autoevaluaciones realizadas por las Partes en sus informes nacionales, el 43 % de las metas nacionales presentadas como estrechamente armonizadas con la meta 21 están en vías de alcanzarse, frente a un número significativamente mayor (53 %) que no muestran cambios significativos o bien muestran progresos insuficientes (véase la figura 87).</w:t>
      </w:r>
    </w:p>
    <w:tbl>
      <w:tblPr>
        <w:tblStyle w:val="TableGrid"/>
        <w:tblW w:w="9366" w:type="dxa"/>
        <w:tblLook w:val="04A0" w:firstRow="1" w:lastRow="0" w:firstColumn="1" w:lastColumn="0" w:noHBand="0" w:noVBand="1"/>
      </w:tblPr>
      <w:tblGrid>
        <w:gridCol w:w="4938"/>
        <w:gridCol w:w="4428"/>
      </w:tblGrid>
      <w:tr w:rsidR="00B74E58" w:rsidRPr="00B74E58" w14:paraId="317FE6A7" w14:textId="77777777" w:rsidTr="00B74E58">
        <w:tc>
          <w:tcPr>
            <w:tcW w:w="4938" w:type="dxa"/>
          </w:tcPr>
          <w:p w14:paraId="3992E81B" w14:textId="31624529" w:rsidR="00B74E58" w:rsidRPr="00B74E58" w:rsidRDefault="00B74E58" w:rsidP="00B74E58">
            <w:pPr>
              <w:rPr>
                <w:sz w:val="18"/>
                <w:szCs w:val="18"/>
                <w:lang w:val="es-ES"/>
              </w:rPr>
            </w:pPr>
            <w:r w:rsidRPr="00B74E58">
              <w:rPr>
                <w:sz w:val="18"/>
                <w:szCs w:val="18"/>
                <w:lang w:val="es-ES"/>
              </w:rPr>
              <w:t>Figura 86</w:t>
            </w:r>
          </w:p>
        </w:tc>
        <w:tc>
          <w:tcPr>
            <w:tcW w:w="4428" w:type="dxa"/>
          </w:tcPr>
          <w:p w14:paraId="53DF1D9D" w14:textId="77777777" w:rsidR="00B74E58" w:rsidRPr="00B74E58" w:rsidRDefault="00B74E58" w:rsidP="00B74E58">
            <w:pPr>
              <w:rPr>
                <w:b/>
                <w:bCs/>
                <w:sz w:val="18"/>
                <w:szCs w:val="18"/>
                <w:lang w:val="es-ES"/>
              </w:rPr>
            </w:pPr>
          </w:p>
        </w:tc>
      </w:tr>
      <w:tr w:rsidR="00B74E58" w:rsidRPr="00B74E58" w14:paraId="5013BE02" w14:textId="77777777" w:rsidTr="00B74E58">
        <w:tc>
          <w:tcPr>
            <w:tcW w:w="4938" w:type="dxa"/>
          </w:tcPr>
          <w:p w14:paraId="3A258507" w14:textId="77777777" w:rsidR="00B74E58" w:rsidRPr="00B74E58" w:rsidRDefault="00B74E58" w:rsidP="00B74E58">
            <w:pPr>
              <w:spacing w:line="278" w:lineRule="auto"/>
              <w:rPr>
                <w:sz w:val="18"/>
                <w:szCs w:val="18"/>
                <w:lang w:val="es-ES"/>
              </w:rPr>
            </w:pPr>
            <w:r w:rsidRPr="00B74E58">
              <w:rPr>
                <w:sz w:val="18"/>
                <w:szCs w:val="18"/>
                <w:lang w:val="es-ES"/>
              </w:rPr>
              <w:t xml:space="preserve">English </w:t>
            </w:r>
          </w:p>
        </w:tc>
        <w:tc>
          <w:tcPr>
            <w:tcW w:w="4428" w:type="dxa"/>
          </w:tcPr>
          <w:p w14:paraId="49795DE4" w14:textId="0B280636" w:rsidR="00B74E58" w:rsidRPr="00B74E58" w:rsidRDefault="00B74E58" w:rsidP="00B74E58">
            <w:pPr>
              <w:spacing w:line="278" w:lineRule="auto"/>
              <w:rPr>
                <w:sz w:val="18"/>
                <w:szCs w:val="18"/>
                <w:lang w:val="es-ES"/>
              </w:rPr>
            </w:pPr>
            <w:r w:rsidRPr="00B74E58">
              <w:rPr>
                <w:sz w:val="18"/>
                <w:szCs w:val="18"/>
                <w:lang w:val="es-ES"/>
              </w:rPr>
              <w:t>Español</w:t>
            </w:r>
          </w:p>
        </w:tc>
      </w:tr>
      <w:tr w:rsidR="00B74E58" w:rsidRPr="00B74E58" w14:paraId="65E67F38" w14:textId="77777777" w:rsidTr="00B74E58">
        <w:tc>
          <w:tcPr>
            <w:tcW w:w="4938" w:type="dxa"/>
          </w:tcPr>
          <w:p w14:paraId="51A2C938" w14:textId="77777777" w:rsidR="00B74E58" w:rsidRPr="00B74E58" w:rsidRDefault="00B74E58" w:rsidP="00B74E58">
            <w:pPr>
              <w:spacing w:line="278" w:lineRule="auto"/>
              <w:rPr>
                <w:sz w:val="18"/>
                <w:szCs w:val="18"/>
                <w:lang w:val="es-ES"/>
              </w:rPr>
            </w:pPr>
            <w:proofErr w:type="spellStart"/>
            <w:r w:rsidRPr="00B74E58">
              <w:rPr>
                <w:sz w:val="18"/>
                <w:szCs w:val="18"/>
                <w:lang w:val="es-ES"/>
              </w:rPr>
              <w:t>Proportion</w:t>
            </w:r>
            <w:proofErr w:type="spellEnd"/>
          </w:p>
        </w:tc>
        <w:tc>
          <w:tcPr>
            <w:tcW w:w="4428" w:type="dxa"/>
          </w:tcPr>
          <w:p w14:paraId="06EDA52E" w14:textId="77777777" w:rsidR="00B74E58" w:rsidRPr="00B74E58" w:rsidRDefault="00B74E58" w:rsidP="00B74E58">
            <w:pPr>
              <w:spacing w:line="278" w:lineRule="auto"/>
              <w:rPr>
                <w:sz w:val="18"/>
                <w:szCs w:val="18"/>
                <w:lang w:val="es-ES"/>
              </w:rPr>
            </w:pPr>
            <w:r w:rsidRPr="00B74E58">
              <w:rPr>
                <w:sz w:val="18"/>
                <w:szCs w:val="18"/>
                <w:lang w:val="es-ES"/>
              </w:rPr>
              <w:t>Proporción</w:t>
            </w:r>
          </w:p>
        </w:tc>
      </w:tr>
      <w:tr w:rsidR="00B74E58" w:rsidRPr="00B74E58" w14:paraId="230A6793" w14:textId="77777777" w:rsidTr="00B74E58">
        <w:tc>
          <w:tcPr>
            <w:tcW w:w="4938" w:type="dxa"/>
          </w:tcPr>
          <w:p w14:paraId="56AB794F" w14:textId="77777777" w:rsidR="00B74E58" w:rsidRPr="00B74E58" w:rsidRDefault="00B74E58" w:rsidP="00B74E58">
            <w:pPr>
              <w:spacing w:line="278" w:lineRule="auto"/>
              <w:rPr>
                <w:sz w:val="18"/>
                <w:szCs w:val="18"/>
                <w:lang w:val="es-ES"/>
              </w:rPr>
            </w:pPr>
            <w:r w:rsidRPr="00B74E58">
              <w:rPr>
                <w:sz w:val="18"/>
                <w:szCs w:val="18"/>
                <w:lang w:val="es-ES"/>
              </w:rPr>
              <w:t xml:space="preserve">Current </w:t>
            </w:r>
            <w:proofErr w:type="gramStart"/>
            <w:r w:rsidRPr="00B74E58">
              <w:rPr>
                <w:sz w:val="18"/>
                <w:szCs w:val="18"/>
                <w:lang w:val="es-ES"/>
              </w:rPr>
              <w:t>Status</w:t>
            </w:r>
            <w:proofErr w:type="gramEnd"/>
          </w:p>
        </w:tc>
        <w:tc>
          <w:tcPr>
            <w:tcW w:w="4428" w:type="dxa"/>
          </w:tcPr>
          <w:p w14:paraId="02F59965" w14:textId="77777777" w:rsidR="00B74E58" w:rsidRPr="00B74E58" w:rsidRDefault="00B74E58" w:rsidP="00B74E58">
            <w:pPr>
              <w:spacing w:line="278" w:lineRule="auto"/>
              <w:rPr>
                <w:sz w:val="18"/>
                <w:szCs w:val="18"/>
                <w:lang w:val="es-ES"/>
              </w:rPr>
            </w:pPr>
            <w:r w:rsidRPr="00B74E58">
              <w:rPr>
                <w:sz w:val="18"/>
                <w:szCs w:val="18"/>
                <w:lang w:val="es-ES"/>
              </w:rPr>
              <w:t>Estado actual</w:t>
            </w:r>
          </w:p>
        </w:tc>
      </w:tr>
      <w:tr w:rsidR="00B74E58" w:rsidRPr="00B74E58" w14:paraId="2911ECC6" w14:textId="77777777" w:rsidTr="00B74E58">
        <w:tc>
          <w:tcPr>
            <w:tcW w:w="4938" w:type="dxa"/>
          </w:tcPr>
          <w:p w14:paraId="61342880" w14:textId="77777777" w:rsidR="00B74E58" w:rsidRPr="00B74E58" w:rsidRDefault="00B74E58" w:rsidP="00B74E58">
            <w:pPr>
              <w:spacing w:line="278" w:lineRule="auto"/>
              <w:rPr>
                <w:sz w:val="18"/>
                <w:szCs w:val="18"/>
                <w:lang w:val="es-ES"/>
              </w:rPr>
            </w:pPr>
            <w:proofErr w:type="spellStart"/>
            <w:r w:rsidRPr="00B74E58">
              <w:rPr>
                <w:sz w:val="18"/>
                <w:szCs w:val="18"/>
                <w:lang w:val="es-ES"/>
              </w:rPr>
              <w:t>improving</w:t>
            </w:r>
            <w:proofErr w:type="spellEnd"/>
          </w:p>
        </w:tc>
        <w:tc>
          <w:tcPr>
            <w:tcW w:w="4428" w:type="dxa"/>
          </w:tcPr>
          <w:p w14:paraId="5F3FAE63" w14:textId="77777777" w:rsidR="00B74E58" w:rsidRPr="00B74E58" w:rsidRDefault="00B74E58" w:rsidP="00B74E58">
            <w:pPr>
              <w:spacing w:line="278" w:lineRule="auto"/>
              <w:rPr>
                <w:sz w:val="18"/>
                <w:szCs w:val="18"/>
                <w:lang w:val="es-ES"/>
              </w:rPr>
            </w:pPr>
            <w:r w:rsidRPr="00B74E58">
              <w:rPr>
                <w:sz w:val="18"/>
                <w:szCs w:val="18"/>
                <w:lang w:val="es-ES"/>
              </w:rPr>
              <w:t>mejorando</w:t>
            </w:r>
          </w:p>
        </w:tc>
      </w:tr>
      <w:tr w:rsidR="00B74E58" w:rsidRPr="00B74E58" w14:paraId="68046B27" w14:textId="77777777" w:rsidTr="00B74E58">
        <w:tc>
          <w:tcPr>
            <w:tcW w:w="4938" w:type="dxa"/>
          </w:tcPr>
          <w:p w14:paraId="2FB5357B" w14:textId="77777777" w:rsidR="00B74E58" w:rsidRPr="00B74E58" w:rsidRDefault="00B74E58" w:rsidP="00B74E58">
            <w:pPr>
              <w:spacing w:line="278" w:lineRule="auto"/>
              <w:rPr>
                <w:sz w:val="18"/>
                <w:szCs w:val="18"/>
                <w:lang w:val="es-ES"/>
              </w:rPr>
            </w:pPr>
            <w:proofErr w:type="spellStart"/>
            <w:r w:rsidRPr="00B74E58">
              <w:rPr>
                <w:sz w:val="18"/>
                <w:szCs w:val="18"/>
                <w:lang w:val="es-ES"/>
              </w:rPr>
              <w:t>stable</w:t>
            </w:r>
            <w:proofErr w:type="spellEnd"/>
          </w:p>
        </w:tc>
        <w:tc>
          <w:tcPr>
            <w:tcW w:w="4428" w:type="dxa"/>
          </w:tcPr>
          <w:p w14:paraId="7BD9A7B9" w14:textId="77777777" w:rsidR="00B74E58" w:rsidRPr="00B74E58" w:rsidRDefault="00B74E58" w:rsidP="00B74E58">
            <w:pPr>
              <w:spacing w:line="278" w:lineRule="auto"/>
              <w:rPr>
                <w:sz w:val="18"/>
                <w:szCs w:val="18"/>
                <w:lang w:val="es-ES"/>
              </w:rPr>
            </w:pPr>
            <w:r w:rsidRPr="00B74E58">
              <w:rPr>
                <w:sz w:val="18"/>
                <w:szCs w:val="18"/>
                <w:lang w:val="es-ES"/>
              </w:rPr>
              <w:t>estable</w:t>
            </w:r>
          </w:p>
        </w:tc>
      </w:tr>
      <w:tr w:rsidR="00B74E58" w:rsidRPr="00B74E58" w14:paraId="24ACAC75" w14:textId="77777777" w:rsidTr="00B74E58">
        <w:tc>
          <w:tcPr>
            <w:tcW w:w="4938" w:type="dxa"/>
          </w:tcPr>
          <w:p w14:paraId="0C8F9641" w14:textId="77777777" w:rsidR="00B74E58" w:rsidRPr="00B74E58" w:rsidRDefault="00B74E58" w:rsidP="00B74E58">
            <w:pPr>
              <w:spacing w:line="278" w:lineRule="auto"/>
              <w:rPr>
                <w:sz w:val="18"/>
                <w:szCs w:val="18"/>
                <w:lang w:val="es-ES"/>
              </w:rPr>
            </w:pPr>
            <w:proofErr w:type="spellStart"/>
            <w:r w:rsidRPr="00B74E58">
              <w:rPr>
                <w:sz w:val="18"/>
                <w:szCs w:val="18"/>
                <w:lang w:val="es-ES"/>
              </w:rPr>
              <w:t>moving</w:t>
            </w:r>
            <w:proofErr w:type="spellEnd"/>
            <w:r w:rsidRPr="00B74E58">
              <w:rPr>
                <w:sz w:val="18"/>
                <w:szCs w:val="18"/>
                <w:lang w:val="es-ES"/>
              </w:rPr>
              <w:t xml:space="preserve"> </w:t>
            </w:r>
            <w:proofErr w:type="spellStart"/>
            <w:r w:rsidRPr="00B74E58">
              <w:rPr>
                <w:sz w:val="18"/>
                <w:szCs w:val="18"/>
                <w:lang w:val="es-ES"/>
              </w:rPr>
              <w:t>away</w:t>
            </w:r>
            <w:proofErr w:type="spellEnd"/>
          </w:p>
        </w:tc>
        <w:tc>
          <w:tcPr>
            <w:tcW w:w="4428" w:type="dxa"/>
          </w:tcPr>
          <w:p w14:paraId="385B6133" w14:textId="77777777" w:rsidR="00B74E58" w:rsidRPr="00B74E58" w:rsidRDefault="00B74E58" w:rsidP="00B74E58">
            <w:pPr>
              <w:spacing w:line="278" w:lineRule="auto"/>
              <w:rPr>
                <w:sz w:val="18"/>
                <w:szCs w:val="18"/>
                <w:lang w:val="es-ES"/>
              </w:rPr>
            </w:pPr>
            <w:r w:rsidRPr="00B74E58">
              <w:rPr>
                <w:sz w:val="18"/>
                <w:szCs w:val="18"/>
                <w:lang w:val="es-ES"/>
              </w:rPr>
              <w:t>alejándose</w:t>
            </w:r>
          </w:p>
        </w:tc>
      </w:tr>
      <w:tr w:rsidR="00B74E58" w:rsidRPr="00B74E58" w14:paraId="0DBE226C" w14:textId="77777777" w:rsidTr="00B74E58">
        <w:tc>
          <w:tcPr>
            <w:tcW w:w="4938" w:type="dxa"/>
          </w:tcPr>
          <w:p w14:paraId="0F60D08F" w14:textId="77777777" w:rsidR="00B74E58" w:rsidRPr="00B74E58" w:rsidRDefault="00B74E58" w:rsidP="00B74E58">
            <w:pPr>
              <w:spacing w:line="278" w:lineRule="auto"/>
              <w:rPr>
                <w:sz w:val="18"/>
                <w:szCs w:val="18"/>
                <w:lang w:val="es-ES"/>
              </w:rPr>
            </w:pPr>
            <w:r w:rsidRPr="00B74E58">
              <w:rPr>
                <w:sz w:val="18"/>
                <w:szCs w:val="18"/>
                <w:lang w:val="es-ES"/>
              </w:rPr>
              <w:t xml:space="preserve">Party </w:t>
            </w:r>
            <w:proofErr w:type="spellStart"/>
            <w:r w:rsidRPr="00B74E58">
              <w:rPr>
                <w:sz w:val="18"/>
                <w:szCs w:val="18"/>
                <w:lang w:val="es-ES"/>
              </w:rPr>
              <w:t>count</w:t>
            </w:r>
            <w:proofErr w:type="spellEnd"/>
            <w:r w:rsidRPr="00B74E58">
              <w:rPr>
                <w:sz w:val="18"/>
                <w:szCs w:val="18"/>
                <w:lang w:val="es-ES"/>
              </w:rPr>
              <w:t>: 31</w:t>
            </w:r>
          </w:p>
        </w:tc>
        <w:tc>
          <w:tcPr>
            <w:tcW w:w="4428" w:type="dxa"/>
          </w:tcPr>
          <w:p w14:paraId="2BA255B1" w14:textId="77777777" w:rsidR="00B74E58" w:rsidRPr="00B74E58" w:rsidRDefault="00B74E58" w:rsidP="00B74E58">
            <w:pPr>
              <w:spacing w:line="278" w:lineRule="auto"/>
              <w:rPr>
                <w:sz w:val="18"/>
                <w:szCs w:val="18"/>
                <w:lang w:val="es-ES"/>
              </w:rPr>
            </w:pPr>
            <w:r w:rsidRPr="00B74E58">
              <w:rPr>
                <w:sz w:val="18"/>
                <w:szCs w:val="18"/>
                <w:lang w:val="es-ES"/>
              </w:rPr>
              <w:t>Número de Partes: 31</w:t>
            </w:r>
          </w:p>
        </w:tc>
      </w:tr>
      <w:tr w:rsidR="00B74E58" w:rsidRPr="00B74E58" w14:paraId="4F8AAEE3" w14:textId="77777777" w:rsidTr="00B74E58">
        <w:tc>
          <w:tcPr>
            <w:tcW w:w="4938" w:type="dxa"/>
          </w:tcPr>
          <w:p w14:paraId="523B48C6" w14:textId="77777777" w:rsidR="00B74E58" w:rsidRPr="00B74E58" w:rsidRDefault="00B74E58" w:rsidP="00B74E58">
            <w:pPr>
              <w:spacing w:line="278" w:lineRule="auto"/>
              <w:rPr>
                <w:sz w:val="18"/>
                <w:szCs w:val="18"/>
                <w:lang w:val="es-ES"/>
              </w:rPr>
            </w:pPr>
            <w:proofErr w:type="spellStart"/>
            <w:r w:rsidRPr="00B74E58">
              <w:rPr>
                <w:sz w:val="18"/>
                <w:szCs w:val="18"/>
                <w:lang w:val="es-ES"/>
              </w:rPr>
              <w:t>Region</w:t>
            </w:r>
            <w:proofErr w:type="spellEnd"/>
          </w:p>
        </w:tc>
        <w:tc>
          <w:tcPr>
            <w:tcW w:w="4428" w:type="dxa"/>
          </w:tcPr>
          <w:p w14:paraId="00CCE570" w14:textId="77777777" w:rsidR="00B74E58" w:rsidRPr="00B74E58" w:rsidRDefault="00B74E58" w:rsidP="00B74E58">
            <w:pPr>
              <w:spacing w:line="278" w:lineRule="auto"/>
              <w:rPr>
                <w:sz w:val="18"/>
                <w:szCs w:val="18"/>
                <w:lang w:val="es-ES"/>
              </w:rPr>
            </w:pPr>
            <w:r w:rsidRPr="00B74E58">
              <w:rPr>
                <w:sz w:val="18"/>
                <w:szCs w:val="18"/>
                <w:lang w:val="es-ES"/>
              </w:rPr>
              <w:t>Región</w:t>
            </w:r>
          </w:p>
        </w:tc>
      </w:tr>
      <w:tr w:rsidR="00B74E58" w:rsidRPr="00B74E58" w14:paraId="7E46DDC4" w14:textId="77777777" w:rsidTr="00B74E58">
        <w:tc>
          <w:tcPr>
            <w:tcW w:w="4938" w:type="dxa"/>
          </w:tcPr>
          <w:p w14:paraId="166412F6" w14:textId="77777777" w:rsidR="00B74E58" w:rsidRPr="00B74E58" w:rsidRDefault="00B74E58" w:rsidP="00B74E58">
            <w:pPr>
              <w:spacing w:line="278" w:lineRule="auto"/>
              <w:rPr>
                <w:sz w:val="18"/>
                <w:szCs w:val="18"/>
                <w:lang w:val="es-ES"/>
              </w:rPr>
            </w:pPr>
            <w:r w:rsidRPr="00B74E58">
              <w:rPr>
                <w:sz w:val="18"/>
                <w:szCs w:val="18"/>
                <w:lang w:val="es-ES"/>
              </w:rPr>
              <w:t>African States</w:t>
            </w:r>
          </w:p>
        </w:tc>
        <w:tc>
          <w:tcPr>
            <w:tcW w:w="4428" w:type="dxa"/>
          </w:tcPr>
          <w:p w14:paraId="10E00C5C" w14:textId="77777777" w:rsidR="00B74E58" w:rsidRPr="00B74E58" w:rsidRDefault="00B74E58" w:rsidP="00B74E58">
            <w:pPr>
              <w:spacing w:line="278" w:lineRule="auto"/>
              <w:rPr>
                <w:sz w:val="18"/>
                <w:szCs w:val="18"/>
                <w:lang w:val="es-ES"/>
              </w:rPr>
            </w:pPr>
            <w:r w:rsidRPr="00B74E58">
              <w:rPr>
                <w:sz w:val="18"/>
                <w:szCs w:val="18"/>
                <w:lang w:val="es-ES"/>
              </w:rPr>
              <w:t>Estados de África</w:t>
            </w:r>
          </w:p>
        </w:tc>
      </w:tr>
      <w:tr w:rsidR="00B74E58" w:rsidRPr="00B74E58" w14:paraId="39B3D47F" w14:textId="77777777" w:rsidTr="00B74E58">
        <w:tc>
          <w:tcPr>
            <w:tcW w:w="4938" w:type="dxa"/>
          </w:tcPr>
          <w:p w14:paraId="7FB698D1" w14:textId="77777777" w:rsidR="00B74E58" w:rsidRPr="00B74E58" w:rsidRDefault="00B74E58" w:rsidP="00B74E58">
            <w:pPr>
              <w:spacing w:line="278" w:lineRule="auto"/>
              <w:rPr>
                <w:sz w:val="18"/>
                <w:szCs w:val="18"/>
                <w:lang w:val="es-ES"/>
              </w:rPr>
            </w:pPr>
            <w:r w:rsidRPr="00B74E58">
              <w:rPr>
                <w:sz w:val="18"/>
                <w:szCs w:val="18"/>
                <w:lang w:val="es-ES"/>
              </w:rPr>
              <w:t>Asia-Pacific States</w:t>
            </w:r>
          </w:p>
        </w:tc>
        <w:tc>
          <w:tcPr>
            <w:tcW w:w="4428" w:type="dxa"/>
          </w:tcPr>
          <w:p w14:paraId="52A90864" w14:textId="77777777" w:rsidR="00B74E58" w:rsidRPr="00B74E58" w:rsidRDefault="00B74E58" w:rsidP="00B74E58">
            <w:pPr>
              <w:spacing w:line="278" w:lineRule="auto"/>
              <w:rPr>
                <w:sz w:val="18"/>
                <w:szCs w:val="18"/>
                <w:lang w:val="es-ES"/>
              </w:rPr>
            </w:pPr>
            <w:r w:rsidRPr="00B74E58">
              <w:rPr>
                <w:sz w:val="18"/>
                <w:szCs w:val="18"/>
                <w:lang w:val="es-ES"/>
              </w:rPr>
              <w:t>Estados de Asia y el Pacífico</w:t>
            </w:r>
          </w:p>
        </w:tc>
      </w:tr>
      <w:tr w:rsidR="00B74E58" w:rsidRPr="00B74E58" w14:paraId="5AFC6150" w14:textId="77777777" w:rsidTr="00B74E58">
        <w:tc>
          <w:tcPr>
            <w:tcW w:w="4938" w:type="dxa"/>
          </w:tcPr>
          <w:p w14:paraId="42EBE2C1" w14:textId="77777777" w:rsidR="00B74E58" w:rsidRPr="00B74E58" w:rsidRDefault="00B74E58" w:rsidP="00B74E58">
            <w:pPr>
              <w:spacing w:line="278" w:lineRule="auto"/>
              <w:rPr>
                <w:sz w:val="18"/>
                <w:szCs w:val="18"/>
                <w:lang w:val="en-US"/>
              </w:rPr>
            </w:pPr>
            <w:r w:rsidRPr="00B74E58">
              <w:rPr>
                <w:sz w:val="18"/>
                <w:szCs w:val="18"/>
                <w:lang w:val="en-US"/>
              </w:rPr>
              <w:t>Latin American and Caribbean States</w:t>
            </w:r>
          </w:p>
        </w:tc>
        <w:tc>
          <w:tcPr>
            <w:tcW w:w="4428" w:type="dxa"/>
          </w:tcPr>
          <w:p w14:paraId="0BF1EC21" w14:textId="77777777" w:rsidR="00B74E58" w:rsidRPr="00B74E58" w:rsidRDefault="00B74E58" w:rsidP="00B74E58">
            <w:pPr>
              <w:spacing w:line="278" w:lineRule="auto"/>
              <w:rPr>
                <w:sz w:val="18"/>
                <w:szCs w:val="18"/>
                <w:lang w:val="es-ES"/>
              </w:rPr>
            </w:pPr>
            <w:r w:rsidRPr="00B74E58">
              <w:rPr>
                <w:sz w:val="18"/>
                <w:szCs w:val="18"/>
                <w:lang w:val="es-ES"/>
              </w:rPr>
              <w:t>Estados de América Latina y el Caribe</w:t>
            </w:r>
          </w:p>
        </w:tc>
      </w:tr>
      <w:tr w:rsidR="00B74E58" w:rsidRPr="00B74E58" w14:paraId="67188B52" w14:textId="77777777" w:rsidTr="00B74E58">
        <w:tc>
          <w:tcPr>
            <w:tcW w:w="4938" w:type="dxa"/>
          </w:tcPr>
          <w:p w14:paraId="1F2E242A" w14:textId="77777777" w:rsidR="00B74E58" w:rsidRPr="00B74E58" w:rsidRDefault="00B74E58" w:rsidP="00B74E58">
            <w:pPr>
              <w:spacing w:line="278" w:lineRule="auto"/>
              <w:rPr>
                <w:sz w:val="18"/>
                <w:szCs w:val="18"/>
                <w:lang w:val="es-ES"/>
              </w:rPr>
            </w:pPr>
            <w:r w:rsidRPr="00B74E58">
              <w:rPr>
                <w:sz w:val="18"/>
                <w:szCs w:val="18"/>
                <w:lang w:val="es-ES"/>
              </w:rPr>
              <w:t xml:space="preserve"> Eastern European States</w:t>
            </w:r>
          </w:p>
        </w:tc>
        <w:tc>
          <w:tcPr>
            <w:tcW w:w="4428" w:type="dxa"/>
          </w:tcPr>
          <w:p w14:paraId="1E52BC8F" w14:textId="77777777" w:rsidR="00B74E58" w:rsidRPr="00B74E58" w:rsidRDefault="00B74E58" w:rsidP="00B74E58">
            <w:pPr>
              <w:spacing w:line="278" w:lineRule="auto"/>
              <w:rPr>
                <w:sz w:val="18"/>
                <w:szCs w:val="18"/>
                <w:lang w:val="es-ES"/>
              </w:rPr>
            </w:pPr>
            <w:r w:rsidRPr="00B74E58">
              <w:rPr>
                <w:sz w:val="18"/>
                <w:szCs w:val="18"/>
                <w:lang w:val="es-ES"/>
              </w:rPr>
              <w:t xml:space="preserve"> Estados de Europa Oriental</w:t>
            </w:r>
          </w:p>
        </w:tc>
      </w:tr>
      <w:tr w:rsidR="00B74E58" w:rsidRPr="00B74E58" w14:paraId="04F09EDF" w14:textId="77777777" w:rsidTr="00B74E58">
        <w:tc>
          <w:tcPr>
            <w:tcW w:w="4938" w:type="dxa"/>
          </w:tcPr>
          <w:p w14:paraId="33A5ACAB" w14:textId="77777777" w:rsidR="00B74E58" w:rsidRPr="00B74E58" w:rsidRDefault="00B74E58" w:rsidP="00B74E58">
            <w:pPr>
              <w:spacing w:line="278" w:lineRule="auto"/>
              <w:rPr>
                <w:sz w:val="18"/>
                <w:szCs w:val="18"/>
                <w:lang w:val="en-US"/>
              </w:rPr>
            </w:pPr>
            <w:r w:rsidRPr="00B74E58">
              <w:rPr>
                <w:sz w:val="18"/>
                <w:szCs w:val="18"/>
                <w:lang w:val="en-US"/>
              </w:rPr>
              <w:t>Western European and other States</w:t>
            </w:r>
          </w:p>
        </w:tc>
        <w:tc>
          <w:tcPr>
            <w:tcW w:w="4428" w:type="dxa"/>
          </w:tcPr>
          <w:p w14:paraId="0F5D2F6A" w14:textId="77777777" w:rsidR="00B74E58" w:rsidRPr="00B74E58" w:rsidRDefault="00B74E58" w:rsidP="00B74E58">
            <w:pPr>
              <w:spacing w:line="278" w:lineRule="auto"/>
              <w:rPr>
                <w:sz w:val="18"/>
                <w:szCs w:val="18"/>
                <w:lang w:val="es-ES"/>
              </w:rPr>
            </w:pPr>
            <w:r w:rsidRPr="00B74E58">
              <w:rPr>
                <w:sz w:val="18"/>
                <w:szCs w:val="18"/>
                <w:lang w:val="es-ES"/>
              </w:rPr>
              <w:t>Estados de Europa Occidental y otros Estados</w:t>
            </w:r>
          </w:p>
        </w:tc>
      </w:tr>
    </w:tbl>
    <w:p w14:paraId="226C59A3" w14:textId="77777777" w:rsidR="009713BF" w:rsidRPr="005E3D50" w:rsidRDefault="009713BF" w:rsidP="009713BF">
      <w:pPr>
        <w:rPr>
          <w:color w:val="000000" w:themeColor="text1"/>
          <w:lang w:val="es-ES"/>
        </w:rPr>
      </w:pPr>
    </w:p>
    <w:p w14:paraId="31B779D0" w14:textId="77777777" w:rsidR="009713BF" w:rsidRPr="005E3D50" w:rsidRDefault="009713BF" w:rsidP="009713BF">
      <w:pPr>
        <w:rPr>
          <w:sz w:val="20"/>
          <w:szCs w:val="20"/>
          <w:lang w:val="es-ES"/>
        </w:rPr>
      </w:pPr>
      <w:r w:rsidRPr="005E3D50">
        <w:rPr>
          <w:sz w:val="20"/>
          <w:lang w:val="es-ES"/>
        </w:rPr>
        <w:t>Figura 87</w:t>
      </w:r>
    </w:p>
    <w:p w14:paraId="66C8F1DC"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lastRenderedPageBreak/>
        <w:t xml:space="preserve">Progresos indicados por las autoevaluaciones para todas las metas nacionales presentadas como estrechamente armonizadas con la meta 21 del Marco </w:t>
      </w:r>
    </w:p>
    <w:p w14:paraId="45F361D5" w14:textId="77777777" w:rsidR="009713BF" w:rsidRPr="005E3D50" w:rsidRDefault="009713BF" w:rsidP="009713BF">
      <w:pPr>
        <w:rPr>
          <w:sz w:val="20"/>
          <w:szCs w:val="20"/>
          <w:lang w:val="es-ES"/>
        </w:rPr>
      </w:pPr>
    </w:p>
    <w:p w14:paraId="24FD0B36" w14:textId="77777777" w:rsidR="009713BF" w:rsidRPr="005E3D50" w:rsidRDefault="009713BF" w:rsidP="009713BF">
      <w:pPr>
        <w:rPr>
          <w:i/>
          <w:iCs/>
          <w:color w:val="0E2841" w:themeColor="text2"/>
          <w:sz w:val="18"/>
          <w:szCs w:val="18"/>
          <w:lang w:val="es-ES"/>
        </w:rPr>
      </w:pPr>
      <w:bookmarkStart w:id="519" w:name="_Ref231251352"/>
      <w:r w:rsidRPr="005E3D50">
        <w:rPr>
          <w:noProof/>
          <w:lang w:val="en-US"/>
        </w:rPr>
        <w:drawing>
          <wp:inline distT="0" distB="0" distL="0" distR="0" wp14:anchorId="024B5060" wp14:editId="1E5728AD">
            <wp:extent cx="5731510" cy="2292350"/>
            <wp:effectExtent l="0" t="0" r="0" b="6350"/>
            <wp:docPr id="128185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51107" name="Picture 1281851107"/>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AA3E080"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bookmarkEnd w:id="519"/>
    <w:p w14:paraId="1BE845BA" w14:textId="77777777" w:rsidR="009713BF" w:rsidRPr="005E3D50" w:rsidRDefault="009713BF" w:rsidP="009713BF">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327" w:type="dxa"/>
        <w:tblLook w:val="04A0" w:firstRow="1" w:lastRow="0" w:firstColumn="1" w:lastColumn="0" w:noHBand="0" w:noVBand="1"/>
      </w:tblPr>
      <w:tblGrid>
        <w:gridCol w:w="4478"/>
        <w:gridCol w:w="4849"/>
      </w:tblGrid>
      <w:tr w:rsidR="008F7413" w:rsidRPr="008F7413" w14:paraId="3F101016" w14:textId="77777777" w:rsidTr="008F7413">
        <w:tc>
          <w:tcPr>
            <w:tcW w:w="9327" w:type="dxa"/>
            <w:gridSpan w:val="2"/>
          </w:tcPr>
          <w:p w14:paraId="6AE3C52C" w14:textId="2900DC2C" w:rsidR="008F7413" w:rsidRPr="008F7413" w:rsidRDefault="008F7413" w:rsidP="008F7413">
            <w:pPr>
              <w:rPr>
                <w:sz w:val="18"/>
                <w:szCs w:val="18"/>
                <w:lang w:val="es-ES"/>
              </w:rPr>
            </w:pPr>
            <w:r w:rsidRPr="008F7413">
              <w:rPr>
                <w:sz w:val="18"/>
                <w:szCs w:val="18"/>
                <w:lang w:val="es-ES"/>
              </w:rPr>
              <w:t>Figura 87</w:t>
            </w:r>
          </w:p>
        </w:tc>
      </w:tr>
      <w:tr w:rsidR="00D84D85" w:rsidRPr="008F7413" w14:paraId="65CACFC3" w14:textId="77777777" w:rsidTr="008F7413">
        <w:tc>
          <w:tcPr>
            <w:tcW w:w="4478" w:type="dxa"/>
          </w:tcPr>
          <w:p w14:paraId="16D7BBDD" w14:textId="77777777" w:rsidR="00D84D85" w:rsidRPr="008F7413" w:rsidRDefault="00D84D85" w:rsidP="008F7413">
            <w:pPr>
              <w:spacing w:line="278" w:lineRule="auto"/>
              <w:rPr>
                <w:sz w:val="18"/>
                <w:szCs w:val="18"/>
                <w:lang w:val="es-ES"/>
              </w:rPr>
            </w:pPr>
            <w:r w:rsidRPr="008F7413">
              <w:rPr>
                <w:sz w:val="18"/>
                <w:szCs w:val="18"/>
                <w:lang w:val="es-ES"/>
              </w:rPr>
              <w:t xml:space="preserve">English </w:t>
            </w:r>
          </w:p>
        </w:tc>
        <w:tc>
          <w:tcPr>
            <w:tcW w:w="4849" w:type="dxa"/>
          </w:tcPr>
          <w:p w14:paraId="01AD05F9" w14:textId="2FC47C0B" w:rsidR="00D84D85" w:rsidRPr="008F7413" w:rsidRDefault="008F7413" w:rsidP="008F7413">
            <w:pPr>
              <w:spacing w:line="278" w:lineRule="auto"/>
              <w:rPr>
                <w:sz w:val="18"/>
                <w:szCs w:val="18"/>
                <w:lang w:val="es-ES"/>
              </w:rPr>
            </w:pPr>
            <w:r w:rsidRPr="008F7413">
              <w:rPr>
                <w:sz w:val="18"/>
                <w:szCs w:val="18"/>
                <w:lang w:val="es-ES"/>
              </w:rPr>
              <w:t>Español</w:t>
            </w:r>
          </w:p>
        </w:tc>
      </w:tr>
      <w:tr w:rsidR="00D84D85" w:rsidRPr="008F7413" w14:paraId="4087FF3B" w14:textId="77777777" w:rsidTr="008F7413">
        <w:tc>
          <w:tcPr>
            <w:tcW w:w="4478" w:type="dxa"/>
          </w:tcPr>
          <w:p w14:paraId="1733D61B" w14:textId="77777777" w:rsidR="00D84D85" w:rsidRPr="008F7413" w:rsidRDefault="00D84D85" w:rsidP="008F7413">
            <w:pPr>
              <w:spacing w:line="278" w:lineRule="auto"/>
              <w:rPr>
                <w:sz w:val="18"/>
                <w:szCs w:val="18"/>
                <w:lang w:val="es-ES"/>
              </w:rPr>
            </w:pPr>
            <w:proofErr w:type="spellStart"/>
            <w:r w:rsidRPr="008F7413">
              <w:rPr>
                <w:sz w:val="18"/>
                <w:szCs w:val="18"/>
                <w:lang w:val="es-ES"/>
              </w:rPr>
              <w:t>Percentage</w:t>
            </w:r>
            <w:proofErr w:type="spellEnd"/>
            <w:r w:rsidRPr="008F7413">
              <w:rPr>
                <w:sz w:val="18"/>
                <w:szCs w:val="18"/>
                <w:lang w:val="es-ES"/>
              </w:rPr>
              <w:t xml:space="preserve"> of </w:t>
            </w:r>
            <w:proofErr w:type="spellStart"/>
            <w:r w:rsidRPr="008F7413">
              <w:rPr>
                <w:sz w:val="18"/>
                <w:szCs w:val="18"/>
                <w:lang w:val="es-ES"/>
              </w:rPr>
              <w:t>national</w:t>
            </w:r>
            <w:proofErr w:type="spellEnd"/>
            <w:r w:rsidRPr="008F7413">
              <w:rPr>
                <w:sz w:val="18"/>
                <w:szCs w:val="18"/>
                <w:lang w:val="es-ES"/>
              </w:rPr>
              <w:t xml:space="preserve"> targets</w:t>
            </w:r>
          </w:p>
        </w:tc>
        <w:tc>
          <w:tcPr>
            <w:tcW w:w="4849" w:type="dxa"/>
          </w:tcPr>
          <w:p w14:paraId="05203B1A" w14:textId="77777777" w:rsidR="00D84D85" w:rsidRPr="008F7413" w:rsidRDefault="00D84D85" w:rsidP="008F7413">
            <w:pPr>
              <w:spacing w:line="278" w:lineRule="auto"/>
              <w:rPr>
                <w:sz w:val="18"/>
                <w:szCs w:val="18"/>
                <w:lang w:val="es-ES"/>
              </w:rPr>
            </w:pPr>
            <w:r w:rsidRPr="008F7413">
              <w:rPr>
                <w:sz w:val="18"/>
                <w:szCs w:val="18"/>
                <w:lang w:val="es-ES"/>
              </w:rPr>
              <w:t>Porcentaje de metas nacionales</w:t>
            </w:r>
          </w:p>
        </w:tc>
      </w:tr>
      <w:tr w:rsidR="00D84D85" w:rsidRPr="008F7413" w14:paraId="4CB6B694" w14:textId="77777777" w:rsidTr="008F7413">
        <w:tc>
          <w:tcPr>
            <w:tcW w:w="4478" w:type="dxa"/>
          </w:tcPr>
          <w:p w14:paraId="3C574969" w14:textId="77777777" w:rsidR="00D84D85" w:rsidRPr="008F7413" w:rsidRDefault="00D84D85" w:rsidP="008F7413">
            <w:pPr>
              <w:spacing w:line="278" w:lineRule="auto"/>
              <w:rPr>
                <w:sz w:val="18"/>
                <w:szCs w:val="18"/>
                <w:lang w:val="es-ES"/>
              </w:rPr>
            </w:pPr>
            <w:proofErr w:type="spellStart"/>
            <w:r w:rsidRPr="008F7413">
              <w:rPr>
                <w:sz w:val="18"/>
                <w:szCs w:val="18"/>
                <w:lang w:val="es-ES"/>
              </w:rPr>
              <w:t>Progress</w:t>
            </w:r>
            <w:proofErr w:type="spellEnd"/>
            <w:r w:rsidRPr="008F7413">
              <w:rPr>
                <w:sz w:val="18"/>
                <w:szCs w:val="18"/>
                <w:lang w:val="es-ES"/>
              </w:rPr>
              <w:t xml:space="preserve"> </w:t>
            </w:r>
            <w:proofErr w:type="spellStart"/>
            <w:r w:rsidRPr="008F7413">
              <w:rPr>
                <w:sz w:val="18"/>
                <w:szCs w:val="18"/>
                <w:lang w:val="es-ES"/>
              </w:rPr>
              <w:t>level</w:t>
            </w:r>
            <w:proofErr w:type="spellEnd"/>
          </w:p>
        </w:tc>
        <w:tc>
          <w:tcPr>
            <w:tcW w:w="4849" w:type="dxa"/>
          </w:tcPr>
          <w:p w14:paraId="67C35C3E" w14:textId="77777777" w:rsidR="00D84D85" w:rsidRPr="008F7413" w:rsidRDefault="00D84D85" w:rsidP="008F7413">
            <w:pPr>
              <w:spacing w:line="278" w:lineRule="auto"/>
              <w:rPr>
                <w:sz w:val="18"/>
                <w:szCs w:val="18"/>
                <w:lang w:val="es-ES"/>
              </w:rPr>
            </w:pPr>
            <w:r w:rsidRPr="008F7413">
              <w:rPr>
                <w:sz w:val="18"/>
                <w:szCs w:val="18"/>
                <w:lang w:val="es-ES"/>
              </w:rPr>
              <w:t>Nivel de progreso</w:t>
            </w:r>
          </w:p>
        </w:tc>
      </w:tr>
      <w:tr w:rsidR="00D84D85" w:rsidRPr="008F7413" w14:paraId="27980E74" w14:textId="77777777" w:rsidTr="008F7413">
        <w:tc>
          <w:tcPr>
            <w:tcW w:w="4478" w:type="dxa"/>
          </w:tcPr>
          <w:p w14:paraId="18871AF8" w14:textId="77777777" w:rsidR="00D84D85" w:rsidRPr="008F7413" w:rsidRDefault="00D84D85" w:rsidP="008F7413">
            <w:pPr>
              <w:spacing w:line="278" w:lineRule="auto"/>
              <w:rPr>
                <w:sz w:val="18"/>
                <w:szCs w:val="18"/>
                <w:lang w:val="es-ES"/>
              </w:rPr>
            </w:pPr>
            <w:proofErr w:type="spellStart"/>
            <w:r w:rsidRPr="008F7413">
              <w:rPr>
                <w:sz w:val="18"/>
                <w:szCs w:val="18"/>
                <w:lang w:val="es-ES"/>
              </w:rPr>
              <w:t>Achieved</w:t>
            </w:r>
            <w:proofErr w:type="spellEnd"/>
          </w:p>
        </w:tc>
        <w:tc>
          <w:tcPr>
            <w:tcW w:w="4849" w:type="dxa"/>
          </w:tcPr>
          <w:p w14:paraId="13B87CCA" w14:textId="77777777" w:rsidR="00D84D85" w:rsidRPr="008F7413" w:rsidRDefault="00D84D85" w:rsidP="008F7413">
            <w:pPr>
              <w:spacing w:line="278" w:lineRule="auto"/>
              <w:rPr>
                <w:sz w:val="18"/>
                <w:szCs w:val="18"/>
                <w:lang w:val="es-ES"/>
              </w:rPr>
            </w:pPr>
            <w:r w:rsidRPr="008F7413">
              <w:rPr>
                <w:sz w:val="18"/>
                <w:szCs w:val="18"/>
                <w:lang w:val="es-ES"/>
              </w:rPr>
              <w:t>Alcanzada</w:t>
            </w:r>
          </w:p>
        </w:tc>
      </w:tr>
      <w:tr w:rsidR="00D84D85" w:rsidRPr="008F7413" w14:paraId="34BEED9C" w14:textId="77777777" w:rsidTr="008F7413">
        <w:tc>
          <w:tcPr>
            <w:tcW w:w="4478" w:type="dxa"/>
          </w:tcPr>
          <w:p w14:paraId="0F6F2D0B" w14:textId="77777777" w:rsidR="00D84D85" w:rsidRPr="008F7413" w:rsidRDefault="00D84D85" w:rsidP="008F7413">
            <w:pPr>
              <w:spacing w:line="278" w:lineRule="auto"/>
              <w:rPr>
                <w:sz w:val="18"/>
                <w:szCs w:val="18"/>
                <w:lang w:val="en-US"/>
              </w:rPr>
            </w:pPr>
            <w:r w:rsidRPr="008F7413">
              <w:rPr>
                <w:sz w:val="18"/>
                <w:szCs w:val="18"/>
                <w:lang w:val="en-US"/>
              </w:rPr>
              <w:t>On track to achieve target</w:t>
            </w:r>
          </w:p>
        </w:tc>
        <w:tc>
          <w:tcPr>
            <w:tcW w:w="4849" w:type="dxa"/>
          </w:tcPr>
          <w:p w14:paraId="6E4A557F" w14:textId="77777777" w:rsidR="00D84D85" w:rsidRPr="008F7413" w:rsidRDefault="00D84D85" w:rsidP="008F7413">
            <w:pPr>
              <w:spacing w:line="278" w:lineRule="auto"/>
              <w:rPr>
                <w:sz w:val="18"/>
                <w:szCs w:val="18"/>
                <w:lang w:val="es-ES"/>
              </w:rPr>
            </w:pPr>
            <w:r w:rsidRPr="008F7413">
              <w:rPr>
                <w:sz w:val="18"/>
                <w:szCs w:val="18"/>
                <w:lang w:val="es-ES"/>
              </w:rPr>
              <w:t>En vías de alcanzar la meta</w:t>
            </w:r>
          </w:p>
        </w:tc>
      </w:tr>
      <w:tr w:rsidR="00D84D85" w:rsidRPr="008F7413" w14:paraId="689B8B07" w14:textId="77777777" w:rsidTr="008F7413">
        <w:tc>
          <w:tcPr>
            <w:tcW w:w="4478" w:type="dxa"/>
          </w:tcPr>
          <w:p w14:paraId="1BAE58E9" w14:textId="77777777" w:rsidR="00D84D85" w:rsidRPr="008F7413" w:rsidRDefault="00D84D85" w:rsidP="008F7413">
            <w:pPr>
              <w:spacing w:line="278" w:lineRule="auto"/>
              <w:rPr>
                <w:sz w:val="18"/>
                <w:szCs w:val="18"/>
                <w:lang w:val="en-US"/>
              </w:rPr>
            </w:pPr>
            <w:r w:rsidRPr="008F7413">
              <w:rPr>
                <w:sz w:val="18"/>
                <w:szCs w:val="18"/>
                <w:lang w:val="en-US"/>
              </w:rPr>
              <w:t>Progress towards target but at an insufficient rate</w:t>
            </w:r>
          </w:p>
        </w:tc>
        <w:tc>
          <w:tcPr>
            <w:tcW w:w="4849" w:type="dxa"/>
          </w:tcPr>
          <w:p w14:paraId="65E04A9E" w14:textId="77777777" w:rsidR="00D84D85" w:rsidRPr="008F7413" w:rsidRDefault="00D84D85" w:rsidP="008F7413">
            <w:pPr>
              <w:spacing w:line="278" w:lineRule="auto"/>
              <w:rPr>
                <w:sz w:val="18"/>
                <w:szCs w:val="18"/>
                <w:lang w:val="es-ES"/>
              </w:rPr>
            </w:pPr>
            <w:r w:rsidRPr="008F7413">
              <w:rPr>
                <w:sz w:val="18"/>
                <w:szCs w:val="18"/>
                <w:lang w:val="es-ES"/>
              </w:rPr>
              <w:t xml:space="preserve">Se ha progresado hacia la </w:t>
            </w:r>
            <w:proofErr w:type="gramStart"/>
            <w:r w:rsidRPr="008F7413">
              <w:rPr>
                <w:sz w:val="18"/>
                <w:szCs w:val="18"/>
                <w:lang w:val="es-ES"/>
              </w:rPr>
              <w:t>meta</w:t>
            </w:r>
            <w:proofErr w:type="gramEnd"/>
            <w:r w:rsidRPr="008F7413">
              <w:rPr>
                <w:sz w:val="18"/>
                <w:szCs w:val="18"/>
                <w:lang w:val="es-ES"/>
              </w:rPr>
              <w:t xml:space="preserve"> pero a un ritmo insuficiente</w:t>
            </w:r>
          </w:p>
        </w:tc>
      </w:tr>
      <w:tr w:rsidR="00D84D85" w:rsidRPr="008F7413" w14:paraId="044746BC" w14:textId="77777777" w:rsidTr="008F7413">
        <w:tc>
          <w:tcPr>
            <w:tcW w:w="4478" w:type="dxa"/>
          </w:tcPr>
          <w:p w14:paraId="32318082" w14:textId="77777777" w:rsidR="00D84D85" w:rsidRPr="008F7413" w:rsidRDefault="00D84D85" w:rsidP="008F7413">
            <w:pPr>
              <w:spacing w:line="278" w:lineRule="auto"/>
              <w:rPr>
                <w:sz w:val="18"/>
                <w:szCs w:val="18"/>
                <w:lang w:val="es-ES"/>
              </w:rPr>
            </w:pPr>
            <w:r w:rsidRPr="008F7413">
              <w:rPr>
                <w:sz w:val="18"/>
                <w:szCs w:val="18"/>
                <w:lang w:val="es-ES"/>
              </w:rPr>
              <w:t xml:space="preserve">No </w:t>
            </w:r>
            <w:proofErr w:type="spellStart"/>
            <w:r w:rsidRPr="008F7413">
              <w:rPr>
                <w:sz w:val="18"/>
                <w:szCs w:val="18"/>
                <w:lang w:val="es-ES"/>
              </w:rPr>
              <w:t>significant</w:t>
            </w:r>
            <w:proofErr w:type="spellEnd"/>
            <w:r w:rsidRPr="008F7413">
              <w:rPr>
                <w:sz w:val="18"/>
                <w:szCs w:val="18"/>
                <w:lang w:val="es-ES"/>
              </w:rPr>
              <w:t xml:space="preserve"> </w:t>
            </w:r>
            <w:proofErr w:type="spellStart"/>
            <w:r w:rsidRPr="008F7413">
              <w:rPr>
                <w:sz w:val="18"/>
                <w:szCs w:val="18"/>
                <w:lang w:val="es-ES"/>
              </w:rPr>
              <w:t>change</w:t>
            </w:r>
            <w:proofErr w:type="spellEnd"/>
          </w:p>
        </w:tc>
        <w:tc>
          <w:tcPr>
            <w:tcW w:w="4849" w:type="dxa"/>
          </w:tcPr>
          <w:p w14:paraId="46C164DD" w14:textId="77777777" w:rsidR="00D84D85" w:rsidRPr="008F7413" w:rsidRDefault="00D84D85" w:rsidP="008F7413">
            <w:pPr>
              <w:spacing w:line="278" w:lineRule="auto"/>
              <w:rPr>
                <w:sz w:val="18"/>
                <w:szCs w:val="18"/>
                <w:lang w:val="es-ES"/>
              </w:rPr>
            </w:pPr>
            <w:r w:rsidRPr="008F7413">
              <w:rPr>
                <w:sz w:val="18"/>
                <w:szCs w:val="18"/>
                <w:lang w:val="es-ES"/>
              </w:rPr>
              <w:t>No hay cambios significativos</w:t>
            </w:r>
          </w:p>
        </w:tc>
      </w:tr>
      <w:tr w:rsidR="00D84D85" w:rsidRPr="008F7413" w14:paraId="36251376" w14:textId="77777777" w:rsidTr="008F7413">
        <w:tc>
          <w:tcPr>
            <w:tcW w:w="4478" w:type="dxa"/>
          </w:tcPr>
          <w:p w14:paraId="3D71429C" w14:textId="77777777" w:rsidR="00D84D85" w:rsidRPr="008F7413" w:rsidRDefault="00D84D85" w:rsidP="008F7413">
            <w:pPr>
              <w:spacing w:line="278" w:lineRule="auto"/>
              <w:rPr>
                <w:sz w:val="18"/>
                <w:szCs w:val="18"/>
                <w:lang w:val="es-ES"/>
              </w:rPr>
            </w:pPr>
            <w:r w:rsidRPr="008F7413">
              <w:rPr>
                <w:sz w:val="18"/>
                <w:szCs w:val="18"/>
                <w:lang w:val="es-ES"/>
              </w:rPr>
              <w:t>Unknown</w:t>
            </w:r>
          </w:p>
        </w:tc>
        <w:tc>
          <w:tcPr>
            <w:tcW w:w="4849" w:type="dxa"/>
          </w:tcPr>
          <w:p w14:paraId="73704C1E" w14:textId="77777777" w:rsidR="00D84D85" w:rsidRPr="008F7413" w:rsidRDefault="00D84D85" w:rsidP="008F7413">
            <w:pPr>
              <w:spacing w:line="278" w:lineRule="auto"/>
              <w:rPr>
                <w:sz w:val="18"/>
                <w:szCs w:val="18"/>
                <w:lang w:val="es-ES"/>
              </w:rPr>
            </w:pPr>
            <w:r w:rsidRPr="008F7413">
              <w:rPr>
                <w:sz w:val="18"/>
                <w:szCs w:val="18"/>
                <w:lang w:val="es-ES"/>
              </w:rPr>
              <w:t>Se desconoce</w:t>
            </w:r>
          </w:p>
        </w:tc>
      </w:tr>
      <w:tr w:rsidR="00D84D85" w:rsidRPr="008F7413" w14:paraId="082E5D9E" w14:textId="77777777" w:rsidTr="008F7413">
        <w:tc>
          <w:tcPr>
            <w:tcW w:w="4478" w:type="dxa"/>
          </w:tcPr>
          <w:p w14:paraId="47685362" w14:textId="77777777" w:rsidR="00D84D85" w:rsidRPr="008F7413" w:rsidRDefault="00D84D85" w:rsidP="008F7413">
            <w:pPr>
              <w:spacing w:line="278" w:lineRule="auto"/>
              <w:rPr>
                <w:sz w:val="18"/>
                <w:szCs w:val="18"/>
                <w:lang w:val="es-ES"/>
              </w:rPr>
            </w:pPr>
            <w:r w:rsidRPr="008F7413">
              <w:rPr>
                <w:sz w:val="18"/>
                <w:szCs w:val="18"/>
                <w:lang w:val="es-ES"/>
              </w:rPr>
              <w:t xml:space="preserve">Party </w:t>
            </w:r>
            <w:proofErr w:type="spellStart"/>
            <w:r w:rsidRPr="008F7413">
              <w:rPr>
                <w:sz w:val="18"/>
                <w:szCs w:val="18"/>
                <w:lang w:val="es-ES"/>
              </w:rPr>
              <w:t>count</w:t>
            </w:r>
            <w:proofErr w:type="spellEnd"/>
            <w:r w:rsidRPr="008F7413">
              <w:rPr>
                <w:sz w:val="18"/>
                <w:szCs w:val="18"/>
                <w:lang w:val="es-ES"/>
              </w:rPr>
              <w:t>: 97</w:t>
            </w:r>
          </w:p>
        </w:tc>
        <w:tc>
          <w:tcPr>
            <w:tcW w:w="4849" w:type="dxa"/>
          </w:tcPr>
          <w:p w14:paraId="261B80F1" w14:textId="77777777" w:rsidR="00D84D85" w:rsidRPr="008F7413" w:rsidRDefault="00D84D85" w:rsidP="008F7413">
            <w:pPr>
              <w:spacing w:line="278" w:lineRule="auto"/>
              <w:rPr>
                <w:sz w:val="18"/>
                <w:szCs w:val="18"/>
                <w:lang w:val="es-ES"/>
              </w:rPr>
            </w:pPr>
            <w:r w:rsidRPr="008F7413">
              <w:rPr>
                <w:sz w:val="18"/>
                <w:szCs w:val="18"/>
                <w:lang w:val="es-ES"/>
              </w:rPr>
              <w:t>Número de Partes: 97</w:t>
            </w:r>
          </w:p>
        </w:tc>
      </w:tr>
      <w:tr w:rsidR="00D84D85" w:rsidRPr="008F7413" w14:paraId="3C284E6E" w14:textId="77777777" w:rsidTr="008F7413">
        <w:tc>
          <w:tcPr>
            <w:tcW w:w="4478" w:type="dxa"/>
          </w:tcPr>
          <w:p w14:paraId="75CA357C" w14:textId="77777777" w:rsidR="00D84D85" w:rsidRPr="008F7413" w:rsidRDefault="00D84D85" w:rsidP="008F7413">
            <w:pPr>
              <w:spacing w:line="278" w:lineRule="auto"/>
              <w:rPr>
                <w:sz w:val="18"/>
                <w:szCs w:val="18"/>
                <w:lang w:val="es-ES"/>
              </w:rPr>
            </w:pPr>
            <w:proofErr w:type="spellStart"/>
            <w:r w:rsidRPr="008F7413">
              <w:rPr>
                <w:sz w:val="18"/>
                <w:szCs w:val="18"/>
                <w:lang w:val="es-ES"/>
              </w:rPr>
              <w:t>Region</w:t>
            </w:r>
            <w:proofErr w:type="spellEnd"/>
          </w:p>
        </w:tc>
        <w:tc>
          <w:tcPr>
            <w:tcW w:w="4849" w:type="dxa"/>
          </w:tcPr>
          <w:p w14:paraId="0FBC0C16" w14:textId="77777777" w:rsidR="00D84D85" w:rsidRPr="008F7413" w:rsidRDefault="00D84D85" w:rsidP="008F7413">
            <w:pPr>
              <w:spacing w:line="278" w:lineRule="auto"/>
              <w:rPr>
                <w:sz w:val="18"/>
                <w:szCs w:val="18"/>
                <w:lang w:val="es-ES"/>
              </w:rPr>
            </w:pPr>
            <w:r w:rsidRPr="008F7413">
              <w:rPr>
                <w:sz w:val="18"/>
                <w:szCs w:val="18"/>
                <w:lang w:val="es-ES"/>
              </w:rPr>
              <w:t>Región</w:t>
            </w:r>
          </w:p>
        </w:tc>
      </w:tr>
      <w:tr w:rsidR="00D84D85" w:rsidRPr="008F7413" w14:paraId="36BF5534" w14:textId="77777777" w:rsidTr="008F7413">
        <w:tc>
          <w:tcPr>
            <w:tcW w:w="4478" w:type="dxa"/>
          </w:tcPr>
          <w:p w14:paraId="7155B2C4" w14:textId="77777777" w:rsidR="00D84D85" w:rsidRPr="008F7413" w:rsidRDefault="00D84D85" w:rsidP="008F7413">
            <w:pPr>
              <w:spacing w:line="278" w:lineRule="auto"/>
              <w:rPr>
                <w:sz w:val="18"/>
                <w:szCs w:val="18"/>
                <w:lang w:val="es-ES"/>
              </w:rPr>
            </w:pPr>
            <w:r w:rsidRPr="008F7413">
              <w:rPr>
                <w:sz w:val="18"/>
                <w:szCs w:val="18"/>
                <w:lang w:val="es-ES"/>
              </w:rPr>
              <w:t>African States</w:t>
            </w:r>
          </w:p>
        </w:tc>
        <w:tc>
          <w:tcPr>
            <w:tcW w:w="4849" w:type="dxa"/>
          </w:tcPr>
          <w:p w14:paraId="44E5962F" w14:textId="77777777" w:rsidR="00D84D85" w:rsidRPr="008F7413" w:rsidRDefault="00D84D85" w:rsidP="008F7413">
            <w:pPr>
              <w:spacing w:line="278" w:lineRule="auto"/>
              <w:rPr>
                <w:sz w:val="18"/>
                <w:szCs w:val="18"/>
                <w:lang w:val="es-ES"/>
              </w:rPr>
            </w:pPr>
            <w:r w:rsidRPr="008F7413">
              <w:rPr>
                <w:sz w:val="18"/>
                <w:szCs w:val="18"/>
                <w:lang w:val="es-ES"/>
              </w:rPr>
              <w:t>Estados de África</w:t>
            </w:r>
          </w:p>
        </w:tc>
      </w:tr>
      <w:tr w:rsidR="00D84D85" w:rsidRPr="008F7413" w14:paraId="2DF4E3D3" w14:textId="77777777" w:rsidTr="008F7413">
        <w:tc>
          <w:tcPr>
            <w:tcW w:w="4478" w:type="dxa"/>
          </w:tcPr>
          <w:p w14:paraId="65347458" w14:textId="77777777" w:rsidR="00D84D85" w:rsidRPr="008F7413" w:rsidRDefault="00D84D85" w:rsidP="008F7413">
            <w:pPr>
              <w:spacing w:line="278" w:lineRule="auto"/>
              <w:rPr>
                <w:sz w:val="18"/>
                <w:szCs w:val="18"/>
                <w:lang w:val="es-ES"/>
              </w:rPr>
            </w:pPr>
            <w:r w:rsidRPr="008F7413">
              <w:rPr>
                <w:sz w:val="18"/>
                <w:szCs w:val="18"/>
                <w:lang w:val="es-ES"/>
              </w:rPr>
              <w:t>Asia-Pacific States</w:t>
            </w:r>
          </w:p>
        </w:tc>
        <w:tc>
          <w:tcPr>
            <w:tcW w:w="4849" w:type="dxa"/>
          </w:tcPr>
          <w:p w14:paraId="649E74D4" w14:textId="77777777" w:rsidR="00D84D85" w:rsidRPr="008F7413" w:rsidRDefault="00D84D85" w:rsidP="008F7413">
            <w:pPr>
              <w:spacing w:line="278" w:lineRule="auto"/>
              <w:rPr>
                <w:sz w:val="18"/>
                <w:szCs w:val="18"/>
                <w:lang w:val="es-ES"/>
              </w:rPr>
            </w:pPr>
            <w:r w:rsidRPr="008F7413">
              <w:rPr>
                <w:sz w:val="18"/>
                <w:szCs w:val="18"/>
                <w:lang w:val="es-ES"/>
              </w:rPr>
              <w:t>Estados de Asia y el Pacífico</w:t>
            </w:r>
          </w:p>
        </w:tc>
      </w:tr>
      <w:tr w:rsidR="00D84D85" w:rsidRPr="008F7413" w14:paraId="18DD5E6E" w14:textId="77777777" w:rsidTr="008F7413">
        <w:tc>
          <w:tcPr>
            <w:tcW w:w="4478" w:type="dxa"/>
          </w:tcPr>
          <w:p w14:paraId="26D4E454" w14:textId="77777777" w:rsidR="00D84D85" w:rsidRPr="008F7413" w:rsidRDefault="00D84D85" w:rsidP="008F7413">
            <w:pPr>
              <w:spacing w:line="278" w:lineRule="auto"/>
              <w:rPr>
                <w:sz w:val="18"/>
                <w:szCs w:val="18"/>
                <w:lang w:val="en-US"/>
              </w:rPr>
            </w:pPr>
            <w:r w:rsidRPr="008F7413">
              <w:rPr>
                <w:sz w:val="18"/>
                <w:szCs w:val="18"/>
                <w:lang w:val="en-US"/>
              </w:rPr>
              <w:t>Latin American and Caribbean States</w:t>
            </w:r>
          </w:p>
        </w:tc>
        <w:tc>
          <w:tcPr>
            <w:tcW w:w="4849" w:type="dxa"/>
          </w:tcPr>
          <w:p w14:paraId="52802377" w14:textId="77777777" w:rsidR="00D84D85" w:rsidRPr="008F7413" w:rsidRDefault="00D84D85" w:rsidP="008F7413">
            <w:pPr>
              <w:spacing w:line="278" w:lineRule="auto"/>
              <w:rPr>
                <w:sz w:val="18"/>
                <w:szCs w:val="18"/>
                <w:lang w:val="es-ES"/>
              </w:rPr>
            </w:pPr>
            <w:r w:rsidRPr="008F7413">
              <w:rPr>
                <w:sz w:val="18"/>
                <w:szCs w:val="18"/>
                <w:lang w:val="es-ES"/>
              </w:rPr>
              <w:t>Estados de América Latina y el Caribe</w:t>
            </w:r>
          </w:p>
        </w:tc>
      </w:tr>
      <w:tr w:rsidR="00D84D85" w:rsidRPr="008F7413" w14:paraId="1C87DFE1" w14:textId="77777777" w:rsidTr="008F7413">
        <w:tc>
          <w:tcPr>
            <w:tcW w:w="4478" w:type="dxa"/>
          </w:tcPr>
          <w:p w14:paraId="7F7C5F66" w14:textId="77777777" w:rsidR="00D84D85" w:rsidRPr="008F7413" w:rsidRDefault="00D84D85" w:rsidP="008F7413">
            <w:pPr>
              <w:spacing w:line="278" w:lineRule="auto"/>
              <w:rPr>
                <w:sz w:val="18"/>
                <w:szCs w:val="18"/>
                <w:lang w:val="es-ES"/>
              </w:rPr>
            </w:pPr>
            <w:r w:rsidRPr="008F7413">
              <w:rPr>
                <w:sz w:val="18"/>
                <w:szCs w:val="18"/>
                <w:lang w:val="es-ES"/>
              </w:rPr>
              <w:t xml:space="preserve"> Eastern European States</w:t>
            </w:r>
          </w:p>
        </w:tc>
        <w:tc>
          <w:tcPr>
            <w:tcW w:w="4849" w:type="dxa"/>
          </w:tcPr>
          <w:p w14:paraId="54C82031" w14:textId="77777777" w:rsidR="00D84D85" w:rsidRPr="008F7413" w:rsidRDefault="00D84D85" w:rsidP="008F7413">
            <w:pPr>
              <w:spacing w:line="278" w:lineRule="auto"/>
              <w:rPr>
                <w:sz w:val="18"/>
                <w:szCs w:val="18"/>
                <w:lang w:val="es-ES"/>
              </w:rPr>
            </w:pPr>
            <w:r w:rsidRPr="008F7413">
              <w:rPr>
                <w:sz w:val="18"/>
                <w:szCs w:val="18"/>
                <w:lang w:val="es-ES"/>
              </w:rPr>
              <w:t>Estados de Europa Oriental</w:t>
            </w:r>
          </w:p>
        </w:tc>
      </w:tr>
      <w:tr w:rsidR="00D84D85" w:rsidRPr="008F7413" w14:paraId="791B7B15" w14:textId="77777777" w:rsidTr="008F7413">
        <w:tc>
          <w:tcPr>
            <w:tcW w:w="4478" w:type="dxa"/>
          </w:tcPr>
          <w:p w14:paraId="23A48525" w14:textId="77777777" w:rsidR="00D84D85" w:rsidRPr="008F7413" w:rsidRDefault="00D84D85" w:rsidP="008F7413">
            <w:pPr>
              <w:spacing w:line="278" w:lineRule="auto"/>
              <w:rPr>
                <w:sz w:val="18"/>
                <w:szCs w:val="18"/>
                <w:lang w:val="en-US"/>
              </w:rPr>
            </w:pPr>
            <w:r w:rsidRPr="008F7413">
              <w:rPr>
                <w:sz w:val="18"/>
                <w:szCs w:val="18"/>
                <w:lang w:val="en-US"/>
              </w:rPr>
              <w:t>Western European and other States</w:t>
            </w:r>
          </w:p>
        </w:tc>
        <w:tc>
          <w:tcPr>
            <w:tcW w:w="4849" w:type="dxa"/>
          </w:tcPr>
          <w:p w14:paraId="766AC52E" w14:textId="77777777" w:rsidR="00D84D85" w:rsidRPr="008F7413" w:rsidRDefault="00D84D85" w:rsidP="008F7413">
            <w:pPr>
              <w:spacing w:line="278" w:lineRule="auto"/>
              <w:rPr>
                <w:sz w:val="18"/>
                <w:szCs w:val="18"/>
                <w:lang w:val="es-ES"/>
              </w:rPr>
            </w:pPr>
            <w:r w:rsidRPr="008F7413">
              <w:rPr>
                <w:sz w:val="18"/>
                <w:szCs w:val="18"/>
                <w:lang w:val="es-ES"/>
              </w:rPr>
              <w:t>Estados de Europa Occidental y otros Estados</w:t>
            </w:r>
          </w:p>
        </w:tc>
      </w:tr>
    </w:tbl>
    <w:p w14:paraId="38C79F07"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5D2C9AB2" w14:textId="77777777" w:rsidR="009713BF" w:rsidRPr="005E3D50" w:rsidRDefault="009713BF" w:rsidP="009713BF">
      <w:pPr>
        <w:rPr>
          <w:lang w:val="es-ES"/>
        </w:rPr>
      </w:pPr>
    </w:p>
    <w:p w14:paraId="13377FA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20" w:name="_Toc235821309"/>
      <w:r w:rsidRPr="005E3D50">
        <w:rPr>
          <w:rFonts w:eastAsiaTheme="majorEastAsia" w:cstheme="majorBidi"/>
          <w:color w:val="0F4761" w:themeColor="accent1" w:themeShade="BF"/>
          <w:lang w:val="es-ES"/>
        </w:rPr>
        <w:t>Medidas, logros y dificultades</w:t>
      </w:r>
      <w:bookmarkEnd w:id="520"/>
      <w:r w:rsidRPr="005E3D50">
        <w:rPr>
          <w:rFonts w:eastAsiaTheme="majorEastAsia" w:cstheme="majorBidi"/>
          <w:color w:val="0F4761" w:themeColor="accent1" w:themeShade="BF"/>
          <w:lang w:val="es-ES"/>
        </w:rPr>
        <w:t xml:space="preserve"> en la implementación</w:t>
      </w:r>
    </w:p>
    <w:p w14:paraId="5327D240" w14:textId="77777777" w:rsidR="009713BF" w:rsidRPr="005E3D50" w:rsidRDefault="009713BF" w:rsidP="009713BF">
      <w:pPr>
        <w:rPr>
          <w:lang w:val="es-ES"/>
        </w:rPr>
      </w:pPr>
    </w:p>
    <w:p w14:paraId="39B9B2C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21" w:name="_Toc235821310"/>
      <w:r w:rsidRPr="005E3D50">
        <w:rPr>
          <w:rFonts w:eastAsiaTheme="majorEastAsia" w:cstheme="majorBidi"/>
          <w:i/>
          <w:iCs/>
          <w:color w:val="595959" w:themeColor="text1" w:themeTint="A6"/>
          <w:lang w:val="es-ES"/>
        </w:rPr>
        <w:lastRenderedPageBreak/>
        <w:t>Resumen de medidas en apoyo a la meta 21</w:t>
      </w:r>
      <w:bookmarkEnd w:id="521"/>
      <w:r w:rsidRPr="005E3D50">
        <w:rPr>
          <w:rFonts w:eastAsiaTheme="majorEastAsia" w:cstheme="majorBidi"/>
          <w:i/>
          <w:iCs/>
          <w:color w:val="595959" w:themeColor="text1" w:themeTint="A6"/>
          <w:lang w:val="es-ES"/>
        </w:rPr>
        <w:t xml:space="preserve"> del Marco</w:t>
      </w:r>
    </w:p>
    <w:p w14:paraId="240C2162" w14:textId="77777777" w:rsidR="009713BF" w:rsidRPr="005E3D50" w:rsidRDefault="009713BF" w:rsidP="009713BF">
      <w:pPr>
        <w:rPr>
          <w:lang w:val="es-ES"/>
        </w:rPr>
      </w:pPr>
    </w:p>
    <w:p w14:paraId="00698313" w14:textId="77777777" w:rsidR="009713BF" w:rsidRPr="005E3D50" w:rsidRDefault="009713BF" w:rsidP="009713BF">
      <w:pPr>
        <w:rPr>
          <w:lang w:val="es-ES"/>
        </w:rPr>
      </w:pPr>
      <w:r w:rsidRPr="005E3D50">
        <w:rPr>
          <w:lang w:val="es-ES"/>
        </w:rPr>
        <w:t xml:space="preserve">El enfoque que más se informa que se adoptó para la consecución de la meta 21 es el establecimiento, fortalecimiento o puesta en marcha de infraestructura nacional de datos de biodiversidad. Esto incluye medidas relacionadas con mecanismos de facilitación nacionales, sistemas nacionales de información de biodiversidad y portales de acceso abierto que suelen estar vinculados a nodos nacionales o regionales del Sistema Global de Información sobre Biodiversidad (GBIF) (véase el recuadro 49). Esto es comunicado en informes de todas las regiones y todos los grupos de ingresos. Muchas Partes informan además sobre la participación de plataformas de ciencia ciudadana y la recolección comunitaria de datos en plataformas nacionales. </w:t>
      </w:r>
      <w:proofErr w:type="gramStart"/>
      <w:r w:rsidRPr="005E3D50">
        <w:rPr>
          <w:lang w:val="es-ES"/>
        </w:rPr>
        <w:t>Un subconjunto significativo de Partes también comunican</w:t>
      </w:r>
      <w:proofErr w:type="gramEnd"/>
      <w:r w:rsidRPr="005E3D50">
        <w:rPr>
          <w:lang w:val="es-ES"/>
        </w:rPr>
        <w:t xml:space="preserve"> que adoptaron medidas para documentar, registrar o proporcionar modelos de gobernanza para conocimientos tradicionales (véase el recuadro 50). Algunos informes nacionales contienen descripciones de marcos jurídicos y normativos pertinentes para la meta 21, que incluyen legislación de acceso y participación de los beneficios, mandatos sobre acceso a datos, leyes sobre datos abiertos y protección jurídica de conocimientos indígenas. Muchas Partes informan que llevan a cabo campañas de sensibilización y educación ambiental, iniciativas de alfabetización en biodiversidad y diálogos de múltiples interesados en relación con la meta 21. </w:t>
      </w:r>
    </w:p>
    <w:p w14:paraId="6AD6148A" w14:textId="77777777" w:rsidR="009713BF" w:rsidRPr="005E3D50" w:rsidRDefault="009713BF" w:rsidP="009713BF">
      <w:pPr>
        <w:rPr>
          <w:lang w:val="es-ES"/>
        </w:rPr>
      </w:pPr>
    </w:p>
    <w:p w14:paraId="31DEEB85"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22" w:name="_Toc235821311"/>
      <w:r w:rsidRPr="005E3D50">
        <w:rPr>
          <w:rFonts w:eastAsiaTheme="majorEastAsia" w:cstheme="majorBidi"/>
          <w:i/>
          <w:iCs/>
          <w:color w:val="595959" w:themeColor="text1" w:themeTint="A6"/>
          <w:lang w:val="es-ES"/>
        </w:rPr>
        <w:t>Ejemplos de logros y progresos en la implementación</w:t>
      </w:r>
      <w:bookmarkEnd w:id="522"/>
    </w:p>
    <w:p w14:paraId="4FFE1911"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4E551361" w14:textId="77777777" w:rsidTr="006E6831">
        <w:tc>
          <w:tcPr>
            <w:tcW w:w="9016" w:type="dxa"/>
            <w:shd w:val="clear" w:color="auto" w:fill="D1D1D1" w:themeFill="background2" w:themeFillShade="E6"/>
          </w:tcPr>
          <w:p w14:paraId="62149384" w14:textId="77777777" w:rsidR="009713BF" w:rsidRPr="005E3D50" w:rsidRDefault="009713BF" w:rsidP="009713BF">
            <w:pPr>
              <w:spacing w:before="120" w:after="120"/>
              <w:jc w:val="both"/>
              <w:rPr>
                <w:rFonts w:eastAsia="Times New Roman" w:cs="Times New Roman"/>
                <w:kern w:val="0"/>
                <w:sz w:val="20"/>
                <w:szCs w:val="20"/>
                <w:lang w:val="es-ES"/>
                <w14:ligatures w14:val="none"/>
              </w:rPr>
            </w:pPr>
            <w:r w:rsidRPr="005E3D50">
              <w:rPr>
                <w:rFonts w:eastAsia="Times New Roman" w:cs="Times New Roman"/>
                <w:kern w:val="0"/>
                <w:sz w:val="20"/>
                <w:lang w:val="es-ES"/>
                <w14:ligatures w14:val="none"/>
              </w:rPr>
              <w:t>Recuadro 49</w:t>
            </w:r>
          </w:p>
          <w:p w14:paraId="4A6C0FD6" w14:textId="77777777" w:rsidR="009713BF" w:rsidRPr="005E3D50" w:rsidRDefault="009713BF" w:rsidP="009713BF">
            <w:pPr>
              <w:spacing w:after="160" w:line="278" w:lineRule="auto"/>
              <w:rPr>
                <w:sz w:val="20"/>
                <w:szCs w:val="20"/>
                <w:lang w:val="es-ES"/>
              </w:rPr>
            </w:pPr>
            <w:r w:rsidRPr="005E3D50">
              <w:rPr>
                <w:b/>
                <w:sz w:val="20"/>
                <w:lang w:val="es-ES"/>
              </w:rPr>
              <w:t>Fortalecimiento de los conocimientos ambientales y gobernanza inclusiva a través de sistemas nacionales de información en México</w:t>
            </w:r>
          </w:p>
          <w:p w14:paraId="2EA85943" w14:textId="77777777" w:rsidR="009713BF" w:rsidRPr="005E3D50" w:rsidRDefault="009713BF" w:rsidP="009713BF">
            <w:pPr>
              <w:spacing w:before="120" w:after="120" w:line="278" w:lineRule="auto"/>
              <w:rPr>
                <w:rFonts w:ascii="Aptos" w:eastAsia="Times New Roman" w:hAnsi="Aptos" w:cs="Calibri Light"/>
                <w:color w:val="000000" w:themeColor="text1"/>
                <w:kern w:val="0"/>
                <w:sz w:val="20"/>
                <w:szCs w:val="20"/>
                <w:lang w:val="es-ES"/>
                <w14:ligatures w14:val="none"/>
              </w:rPr>
            </w:pPr>
            <w:r w:rsidRPr="005E3D50">
              <w:rPr>
                <w:rFonts w:eastAsia="Times New Roman" w:cs="Times New Roman"/>
                <w:kern w:val="0"/>
                <w:sz w:val="20"/>
                <w:szCs w:val="20"/>
                <w:lang w:val="es-ES"/>
                <w14:ligatures w14:val="none"/>
              </w:rPr>
              <w:t>Conforme al Acuerdo Regional sobre el Acceso a la Información, la Participación Pública y el Acceso a la Justicia en Asuntos Ambientales en América Latina y el Caribe, o Acuerdo de Escazú</w:t>
            </w:r>
            <w:r w:rsidRPr="005E3D50">
              <w:rPr>
                <w:rFonts w:ascii="Aptos" w:eastAsia="Times New Roman" w:hAnsi="Aptos" w:cs="Times New Roman"/>
                <w:color w:val="000000" w:themeColor="text1"/>
                <w:kern w:val="0"/>
                <w:sz w:val="20"/>
                <w:szCs w:val="20"/>
                <w:lang w:val="es-ES"/>
                <w14:ligatures w14:val="none"/>
              </w:rPr>
              <w:t xml:space="preserve"> (Comisión Económica para América Latina y el Caribe (CEPAL), 2018), </w:t>
            </w:r>
            <w:r w:rsidRPr="005E3D50">
              <w:rPr>
                <w:rFonts w:eastAsia="Times New Roman" w:cs="Times New Roman"/>
                <w:kern w:val="0"/>
                <w:sz w:val="20"/>
                <w:szCs w:val="20"/>
                <w:lang w:val="es-ES"/>
                <w14:ligatures w14:val="none"/>
              </w:rPr>
              <w:t xml:space="preserve">México se comprometió a reformar su Sistema Nacional de Información sobre </w:t>
            </w:r>
            <w:proofErr w:type="spellStart"/>
            <w:r w:rsidRPr="005E3D50">
              <w:rPr>
                <w:rFonts w:eastAsia="Times New Roman" w:cs="Times New Roman"/>
                <w:kern w:val="0"/>
                <w:sz w:val="20"/>
                <w:szCs w:val="20"/>
                <w:lang w:val="es-ES"/>
                <w14:ligatures w14:val="none"/>
              </w:rPr>
              <w:t>Biodiversidad</w:t>
            </w:r>
            <w:r w:rsidRPr="005E3D50">
              <w:rPr>
                <w:rFonts w:eastAsia="Times New Roman" w:cs="Times New Roman"/>
                <w:kern w:val="0"/>
                <w:sz w:val="20"/>
                <w:szCs w:val="20"/>
                <w:vertAlign w:val="superscript"/>
                <w:lang w:val="es-ES"/>
                <w14:ligatures w14:val="none"/>
              </w:rPr>
              <w:t>a</w:t>
            </w:r>
            <w:proofErr w:type="spellEnd"/>
            <w:r w:rsidRPr="005E3D50">
              <w:rPr>
                <w:rFonts w:eastAsia="Times New Roman" w:cs="Times New Roman"/>
                <w:kern w:val="0"/>
                <w:sz w:val="20"/>
                <w:szCs w:val="20"/>
                <w:lang w:val="es-ES"/>
                <w14:ligatures w14:val="none"/>
              </w:rPr>
              <w:t xml:space="preserve"> con miras a convertirlo en un repositorio público, accesible, actualizado y confiable, teniendo en cuenta los principios FAIR (Fáciles de encontrar, Accesibles, Interoperables y Reutilizables) y CARE (beneficio Colectivo, Autoridad para controlar, Responsabilidad y Ética) en materia de datos</w:t>
            </w:r>
            <w:r w:rsidRPr="005E3D50">
              <w:rPr>
                <w:rFonts w:ascii="Times New Roman" w:eastAsia="Times New Roman" w:hAnsi="Times New Roman" w:cs="Times New Roman"/>
                <w:kern w:val="0"/>
                <w:sz w:val="20"/>
                <w:szCs w:val="20"/>
                <w:lang w:val="es-ES"/>
                <w14:ligatures w14:val="none"/>
              </w:rPr>
              <w:t xml:space="preserve"> </w:t>
            </w:r>
            <w:r w:rsidRPr="005E3D50">
              <w:rPr>
                <w:rFonts w:ascii="Aptos" w:eastAsia="Times New Roman" w:hAnsi="Aptos" w:cs="Times New Roman"/>
                <w:color w:val="000000" w:themeColor="text1"/>
                <w:kern w:val="0"/>
                <w:sz w:val="20"/>
                <w:szCs w:val="20"/>
                <w:lang w:val="es-ES"/>
                <w14:ligatures w14:val="none"/>
              </w:rPr>
              <w:t>(Carroll y otros, 2020; Wilkinson y otros, 2016).</w:t>
            </w:r>
          </w:p>
          <w:p w14:paraId="0B7534FD" w14:textId="77777777" w:rsidR="009713BF" w:rsidRPr="005E3D50" w:rsidRDefault="009713BF" w:rsidP="009713BF">
            <w:pPr>
              <w:spacing w:after="160" w:line="278" w:lineRule="auto"/>
              <w:rPr>
                <w:sz w:val="20"/>
                <w:szCs w:val="20"/>
                <w:lang w:val="es-ES"/>
              </w:rPr>
            </w:pPr>
            <w:r w:rsidRPr="005E3D50">
              <w:rPr>
                <w:sz w:val="20"/>
                <w:lang w:val="es-ES"/>
              </w:rPr>
              <w:t>El sistema, que es operado por la Comisión Nacional para el Conocimiento y Uso de la Biodiversidad (CONABIO)</w:t>
            </w:r>
            <w:r w:rsidRPr="005E3D50">
              <w:rPr>
                <w:sz w:val="20"/>
                <w:vertAlign w:val="superscript"/>
                <w:lang w:val="es-ES"/>
              </w:rPr>
              <w:t>b</w:t>
            </w:r>
            <w:r w:rsidRPr="005E3D50">
              <w:rPr>
                <w:sz w:val="20"/>
                <w:lang w:val="es-ES"/>
              </w:rPr>
              <w:t xml:space="preserve">, recopila, genera, organiza, actualiza y difunde información sobre la biodiversidad del país, abarcando flora, fauna, ecosistemas, especies en peligro, especies invasoras, archivos </w:t>
            </w:r>
            <w:r w:rsidRPr="005E3D50">
              <w:rPr>
                <w:sz w:val="20"/>
                <w:lang w:val="es-ES"/>
              </w:rPr>
              <w:lastRenderedPageBreak/>
              <w:t>fotográficos y datos geoespaciales, para apoyar la investigación, conservación y utilización sostenible de los recursos naturales. </w:t>
            </w:r>
          </w:p>
          <w:p w14:paraId="2A7E72A0" w14:textId="77777777" w:rsidR="009713BF" w:rsidRPr="005E3D50" w:rsidRDefault="009713BF" w:rsidP="009713BF">
            <w:pPr>
              <w:spacing w:after="160" w:line="278" w:lineRule="auto"/>
              <w:rPr>
                <w:sz w:val="20"/>
                <w:szCs w:val="20"/>
                <w:lang w:val="es-ES"/>
              </w:rPr>
            </w:pPr>
            <w:r w:rsidRPr="005E3D50">
              <w:rPr>
                <w:sz w:val="20"/>
                <w:lang w:val="es-ES"/>
              </w:rPr>
              <w:t>El sistema reúne datos de más de 1.000 proyectos y más de 1.200 bases de datos e incluye varias herramientas, como, por ejemplo, el sistema nacional de restauración ambiental, el sistema de información de biodiversidad agrícola, sitios permanentes de monitoreo de biodiversidad y el sistema de análisis e información marina costera. Instalaciones de monitoreo específicas, como el sistema de monitoreo de manglares y el sistema de alerta temprana de incendios forestales, facilitan el acceso a información, así como la toma de decisiones participativa, y promueven una cultura de conservación y utilización sostenible de la diversidad biológica en México. La CONABIO también oficia de nodo nacional del GBIF, apoyando la colaboración regional y mundial en el intercambio de datos y conocimientos en materia de biodiversidad. </w:t>
            </w:r>
          </w:p>
          <w:p w14:paraId="50003E1D" w14:textId="77777777" w:rsidR="009713BF" w:rsidRPr="005E3D50" w:rsidRDefault="009713BF" w:rsidP="009713BF">
            <w:pPr>
              <w:spacing w:after="160" w:line="278" w:lineRule="auto"/>
              <w:rPr>
                <w:sz w:val="20"/>
                <w:szCs w:val="20"/>
                <w:lang w:val="es-ES"/>
              </w:rPr>
            </w:pPr>
            <w:r w:rsidRPr="005E3D50">
              <w:rPr>
                <w:sz w:val="20"/>
                <w:lang w:val="es-ES"/>
              </w:rPr>
              <w:t xml:space="preserve">Paralelamente, en 2024 el Instituto Nacional de Pueblos Indígenas de México diseñó e inauguró un Catálogo Nacional de Pueblos y Comunidades Indígenas y </w:t>
            </w:r>
            <w:proofErr w:type="spellStart"/>
            <w:r w:rsidRPr="005E3D50">
              <w:rPr>
                <w:sz w:val="20"/>
                <w:lang w:val="es-ES"/>
              </w:rPr>
              <w:t>Afromexicanas</w:t>
            </w:r>
            <w:r w:rsidRPr="005E3D50">
              <w:rPr>
                <w:sz w:val="20"/>
                <w:vertAlign w:val="superscript"/>
                <w:lang w:val="es-ES"/>
              </w:rPr>
              <w:t>c</w:t>
            </w:r>
            <w:proofErr w:type="spellEnd"/>
            <w:r w:rsidRPr="005E3D50">
              <w:rPr>
                <w:sz w:val="20"/>
                <w:lang w:val="es-ES"/>
              </w:rPr>
              <w:t>. Este es el primer instrumento de políticas públicas que integra información comunitaria sobre territorio, cultura, identidad, órganos de toma de decisiones colectivas y sistemas normativos, así como su contexto económico y social. El catálogo funciona como una herramienta central para la identificación de entidades jurídicas colectivas y para la planificación y toma de decisiones sobre procesos de consulta, ejecución de proyectos y formulación de políticas públicas culturalmente pertinentes, a fin de garantizar el ejercicio de la autodeterminación y la autonomía.</w:t>
            </w:r>
          </w:p>
          <w:p w14:paraId="345BBE25" w14:textId="77777777" w:rsidR="009713BF" w:rsidRPr="005E3D50" w:rsidRDefault="009713BF" w:rsidP="009713BF">
            <w:pPr>
              <w:rPr>
                <w:rFonts w:ascii="Aptos" w:eastAsia="Aptos" w:hAnsi="Aptos" w:cs="Aptos"/>
                <w:color w:val="000000" w:themeColor="text1"/>
                <w:sz w:val="20"/>
                <w:szCs w:val="20"/>
                <w:lang w:val="es-ES"/>
              </w:rPr>
            </w:pPr>
            <w:r w:rsidRPr="005E3D50">
              <w:rPr>
                <w:i/>
                <w:color w:val="000000" w:themeColor="text1"/>
                <w:sz w:val="20"/>
                <w:lang w:val="es-ES"/>
              </w:rPr>
              <w:t>Metas pertinentes:</w:t>
            </w:r>
            <w:r w:rsidRPr="005E3D50">
              <w:rPr>
                <w:rFonts w:ascii="Aptos" w:hAnsi="Aptos"/>
                <w:color w:val="000000" w:themeColor="text1"/>
                <w:sz w:val="20"/>
                <w:lang w:val="es-ES"/>
              </w:rPr>
              <w:t xml:space="preserve"> 3, 4, 20, 21 y 22.</w:t>
            </w:r>
          </w:p>
          <w:p w14:paraId="3E9A6297" w14:textId="77777777" w:rsidR="009713BF" w:rsidRPr="005E3D50" w:rsidRDefault="009713BF" w:rsidP="009713BF">
            <w:pPr>
              <w:rPr>
                <w:color w:val="000000" w:themeColor="text1"/>
                <w:sz w:val="20"/>
                <w:szCs w:val="20"/>
                <w:lang w:val="es-ES"/>
              </w:rPr>
            </w:pPr>
            <w:r w:rsidRPr="005E3D50">
              <w:rPr>
                <w:i/>
                <w:color w:val="000000" w:themeColor="text1"/>
                <w:sz w:val="20"/>
                <w:lang w:val="es-ES"/>
              </w:rPr>
              <w:t>Fuente:</w:t>
            </w:r>
            <w:r w:rsidRPr="005E3D50">
              <w:rPr>
                <w:color w:val="000000" w:themeColor="text1"/>
                <w:sz w:val="20"/>
                <w:lang w:val="es-ES"/>
              </w:rPr>
              <w:t xml:space="preserve"> México, séptimo informe nacional presentado al Convenio.</w:t>
            </w:r>
          </w:p>
          <w:p w14:paraId="43C509D4" w14:textId="77777777" w:rsidR="009713BF" w:rsidRPr="005E3D50" w:rsidRDefault="009713BF" w:rsidP="009713BF">
            <w:pPr>
              <w:rPr>
                <w:color w:val="000000" w:themeColor="text1"/>
                <w:lang w:val="es-ES"/>
              </w:rPr>
            </w:pPr>
          </w:p>
          <w:p w14:paraId="7916F516" w14:textId="77777777" w:rsidR="009713BF" w:rsidRPr="0059394F" w:rsidRDefault="009713BF" w:rsidP="009713BF">
            <w:pPr>
              <w:rPr>
                <w:color w:val="000000" w:themeColor="text1"/>
                <w:sz w:val="18"/>
                <w:szCs w:val="18"/>
                <w:lang w:val="pt-BR"/>
              </w:rPr>
            </w:pPr>
            <w:r w:rsidRPr="0059394F">
              <w:rPr>
                <w:color w:val="000000" w:themeColor="text1"/>
                <w:sz w:val="18"/>
                <w:vertAlign w:val="superscript"/>
                <w:lang w:val="pt-BR"/>
              </w:rPr>
              <w:t>a</w:t>
            </w:r>
            <w:r w:rsidRPr="0059394F">
              <w:rPr>
                <w:sz w:val="18"/>
                <w:lang w:val="pt-BR"/>
              </w:rPr>
              <w:t> </w:t>
            </w:r>
            <w:proofErr w:type="spellStart"/>
            <w:r w:rsidRPr="0059394F">
              <w:rPr>
                <w:sz w:val="18"/>
                <w:lang w:val="pt-BR"/>
              </w:rPr>
              <w:t>Véase</w:t>
            </w:r>
            <w:proofErr w:type="spellEnd"/>
            <w:r w:rsidRPr="0059394F">
              <w:rPr>
                <w:sz w:val="18"/>
                <w:lang w:val="pt-BR"/>
              </w:rPr>
              <w:t xml:space="preserve"> </w:t>
            </w:r>
            <w:r>
              <w:fldChar w:fldCharType="begin"/>
            </w:r>
            <w:r w:rsidRPr="00942359">
              <w:rPr>
                <w:lang w:val="fr-FR"/>
              </w:rPr>
              <w:instrText>HYPERLINK "http://www.snib.mx/"</w:instrText>
            </w:r>
            <w:r>
              <w:fldChar w:fldCharType="separate"/>
            </w:r>
            <w:r w:rsidRPr="0059394F">
              <w:rPr>
                <w:color w:val="000000" w:themeColor="text1"/>
                <w:sz w:val="18"/>
                <w:lang w:val="pt-BR"/>
              </w:rPr>
              <w:t>www.snib.mx/</w:t>
            </w:r>
            <w:r>
              <w:fldChar w:fldCharType="end"/>
            </w:r>
            <w:r w:rsidRPr="0059394F">
              <w:rPr>
                <w:sz w:val="18"/>
                <w:lang w:val="pt-BR"/>
              </w:rPr>
              <w:t>.</w:t>
            </w:r>
          </w:p>
          <w:p w14:paraId="00C53C7D" w14:textId="77777777" w:rsidR="009713BF" w:rsidRPr="00673184" w:rsidRDefault="009713BF" w:rsidP="009713BF">
            <w:pPr>
              <w:rPr>
                <w:sz w:val="18"/>
                <w:szCs w:val="18"/>
                <w:lang w:val="fr-FR"/>
              </w:rPr>
            </w:pPr>
            <w:proofErr w:type="gramStart"/>
            <w:r w:rsidRPr="00673184">
              <w:rPr>
                <w:color w:val="000000" w:themeColor="text1"/>
                <w:sz w:val="18"/>
                <w:vertAlign w:val="superscript"/>
                <w:lang w:val="fr-FR"/>
              </w:rPr>
              <w:t>b</w:t>
            </w:r>
            <w:proofErr w:type="gramEnd"/>
            <w:r w:rsidRPr="00673184">
              <w:rPr>
                <w:color w:val="000000" w:themeColor="text1"/>
                <w:sz w:val="18"/>
                <w:lang w:val="fr-FR"/>
              </w:rPr>
              <w:t> </w:t>
            </w:r>
            <w:proofErr w:type="spellStart"/>
            <w:r w:rsidRPr="00673184">
              <w:rPr>
                <w:color w:val="000000" w:themeColor="text1"/>
                <w:sz w:val="18"/>
                <w:lang w:val="fr-FR"/>
              </w:rPr>
              <w:t>Véase</w:t>
            </w:r>
            <w:proofErr w:type="spellEnd"/>
            <w:r w:rsidRPr="00673184">
              <w:rPr>
                <w:color w:val="000000" w:themeColor="text1"/>
                <w:sz w:val="18"/>
                <w:lang w:val="fr-FR"/>
              </w:rPr>
              <w:t xml:space="preserve"> </w:t>
            </w:r>
            <w:hyperlink r:id="rId201" w:history="1">
              <w:r w:rsidRPr="00673184">
                <w:rPr>
                  <w:color w:val="000000" w:themeColor="text1"/>
                  <w:sz w:val="18"/>
                  <w:lang w:val="fr-FR"/>
                </w:rPr>
                <w:t>www.gob.mx/conabio</w:t>
              </w:r>
            </w:hyperlink>
            <w:r w:rsidRPr="00673184">
              <w:rPr>
                <w:sz w:val="18"/>
                <w:lang w:val="fr-FR"/>
              </w:rPr>
              <w:t>.</w:t>
            </w:r>
          </w:p>
          <w:p w14:paraId="29AE45AD" w14:textId="77777777" w:rsidR="009713BF" w:rsidRPr="005E3D50" w:rsidRDefault="009713BF" w:rsidP="009713BF">
            <w:pPr>
              <w:spacing w:after="160" w:line="278" w:lineRule="auto"/>
              <w:rPr>
                <w:sz w:val="18"/>
                <w:szCs w:val="18"/>
                <w:lang w:val="es-ES"/>
              </w:rPr>
            </w:pPr>
            <w:r w:rsidRPr="005E3D50">
              <w:rPr>
                <w:color w:val="000000" w:themeColor="text1"/>
                <w:sz w:val="18"/>
                <w:vertAlign w:val="superscript"/>
                <w:lang w:val="es-ES"/>
              </w:rPr>
              <w:t>c</w:t>
            </w:r>
            <w:r w:rsidRPr="005E3D50">
              <w:rPr>
                <w:sz w:val="18"/>
                <w:lang w:val="es-ES"/>
              </w:rPr>
              <w:t xml:space="preserve"> Disponible en </w:t>
            </w:r>
            <w:hyperlink r:id="rId202" w:history="1">
              <w:r w:rsidRPr="005E3D50">
                <w:rPr>
                  <w:color w:val="000000" w:themeColor="text1"/>
                  <w:sz w:val="18"/>
                  <w:lang w:val="es-ES"/>
                </w:rPr>
                <w:t>https://catalogo.inpi.gob.mx/</w:t>
              </w:r>
            </w:hyperlink>
            <w:r w:rsidRPr="005E3D50">
              <w:rPr>
                <w:sz w:val="18"/>
                <w:lang w:val="es-ES"/>
              </w:rPr>
              <w:t>.</w:t>
            </w:r>
          </w:p>
          <w:p w14:paraId="1DB3D584" w14:textId="77777777" w:rsidR="009713BF" w:rsidRPr="005E3D50" w:rsidRDefault="009713BF" w:rsidP="009713BF">
            <w:pPr>
              <w:rPr>
                <w:color w:val="000000" w:themeColor="text1"/>
                <w:sz w:val="18"/>
                <w:szCs w:val="18"/>
                <w:lang w:val="es-ES"/>
              </w:rPr>
            </w:pPr>
          </w:p>
          <w:p w14:paraId="1712FBDD" w14:textId="77777777" w:rsidR="009713BF" w:rsidRPr="005E3D50" w:rsidRDefault="009713BF" w:rsidP="009713BF">
            <w:pPr>
              <w:rPr>
                <w:lang w:val="es-ES"/>
              </w:rPr>
            </w:pPr>
          </w:p>
        </w:tc>
      </w:tr>
    </w:tbl>
    <w:p w14:paraId="30D55A6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tbl>
      <w:tblPr>
        <w:tblStyle w:val="TableGrid"/>
        <w:tblW w:w="0" w:type="auto"/>
        <w:tblLook w:val="04A0" w:firstRow="1" w:lastRow="0" w:firstColumn="1" w:lastColumn="0" w:noHBand="0" w:noVBand="1"/>
      </w:tblPr>
      <w:tblGrid>
        <w:gridCol w:w="9209"/>
      </w:tblGrid>
      <w:tr w:rsidR="009713BF" w:rsidRPr="005E3D50" w14:paraId="1F880CBF" w14:textId="77777777" w:rsidTr="006E6831">
        <w:tc>
          <w:tcPr>
            <w:tcW w:w="9209" w:type="dxa"/>
            <w:shd w:val="clear" w:color="auto" w:fill="D1D1D1" w:themeFill="background2" w:themeFillShade="E6"/>
          </w:tcPr>
          <w:p w14:paraId="03F8E6DA" w14:textId="77777777" w:rsidR="009713BF" w:rsidRPr="005E3D50" w:rsidRDefault="009713BF" w:rsidP="009713BF">
            <w:pPr>
              <w:spacing w:after="240"/>
              <w:rPr>
                <w:sz w:val="20"/>
                <w:szCs w:val="20"/>
                <w:lang w:val="es-ES"/>
              </w:rPr>
            </w:pPr>
            <w:r w:rsidRPr="005E3D50">
              <w:rPr>
                <w:sz w:val="20"/>
                <w:lang w:val="es-ES"/>
              </w:rPr>
              <w:t>Recuadro 50</w:t>
            </w:r>
          </w:p>
          <w:p w14:paraId="7EBCE1BA" w14:textId="77777777" w:rsidR="009713BF" w:rsidRPr="005E3D50" w:rsidRDefault="009713BF" w:rsidP="009713BF">
            <w:pPr>
              <w:spacing w:after="160" w:line="278" w:lineRule="auto"/>
              <w:rPr>
                <w:b/>
                <w:bCs/>
                <w:sz w:val="20"/>
                <w:szCs w:val="20"/>
                <w:lang w:val="es-ES"/>
              </w:rPr>
            </w:pPr>
            <w:r w:rsidRPr="005E3D50">
              <w:rPr>
                <w:b/>
                <w:sz w:val="20"/>
                <w:lang w:val="es-ES"/>
              </w:rPr>
              <w:t>Documentación de los conocimientos indígenas sobre la cría de renos en Suecia</w:t>
            </w:r>
          </w:p>
          <w:p w14:paraId="2F2CA70A" w14:textId="77777777" w:rsidR="009713BF" w:rsidRPr="005E3D50" w:rsidRDefault="009713BF" w:rsidP="009713BF">
            <w:pPr>
              <w:spacing w:after="160" w:line="278" w:lineRule="auto"/>
              <w:rPr>
                <w:sz w:val="20"/>
                <w:szCs w:val="20"/>
                <w:lang w:val="es-ES"/>
              </w:rPr>
            </w:pPr>
            <w:r w:rsidRPr="005E3D50">
              <w:rPr>
                <w:sz w:val="20"/>
                <w:lang w:val="es-ES"/>
              </w:rPr>
              <w:t>Las comunidades sami de pastoreo de renos en Suecia han establecido un repositorio formalizado de conocimientos indígenas que establece como mandato que los conocimientos de biodiversidad sean abiertos y utilizables. Desarrollados y gestionados con la coordinación técnica del Parlamento Sami, los planes de cría de reno organizan generaciones de conocimientos ecológicos consuetudinarios en materiales normalizados de planificación espacial para ecosistemas de montañas boreales en Laponia (el territorio tradicional del pueblo sami). Estos materiales son de acceso público y los principales interesados incluyen aldeas pastoriles sami, investigadores locales, el Gobierno de Suecia, organismos forestales y empresas mineras. La iniciativa se actualiza periódicamente y se aplica en procedimientos continuos de gestión de la tierra.</w:t>
            </w:r>
          </w:p>
          <w:p w14:paraId="5F10F7E2" w14:textId="77777777" w:rsidR="009713BF" w:rsidRPr="005E3D50" w:rsidRDefault="009713BF" w:rsidP="009713BF">
            <w:pPr>
              <w:spacing w:after="160" w:line="278" w:lineRule="auto"/>
              <w:rPr>
                <w:sz w:val="20"/>
                <w:szCs w:val="20"/>
                <w:lang w:val="es-ES"/>
              </w:rPr>
            </w:pPr>
            <w:r w:rsidRPr="005E3D50">
              <w:rPr>
                <w:sz w:val="20"/>
                <w:lang w:val="es-ES"/>
              </w:rPr>
              <w:t xml:space="preserve">Durante siglos, los conocimientos ecológicos tradicionales sami sobre renos y sus hábitats locales existían solo como tradición oral y en algunos registros locales dispersos. Estos conocimientos fragmentados raramente eran accesibles para planificadores estatales, operadores industriales o </w:t>
            </w:r>
            <w:r w:rsidRPr="005E3D50">
              <w:rPr>
                <w:sz w:val="20"/>
                <w:lang w:val="es-ES"/>
              </w:rPr>
              <w:lastRenderedPageBreak/>
              <w:t>profesionales externos en materia de conservación y esa falta de acceso generaba carencias críticas de información que obstaculizaban la toma equilibrada de decisiones sobre diversidad biológica y uso de la tierra. El marco de planes de cría de renos fue creado para describir el uso de la tierra por las comunidades samis y para sistematizar los conocimientos indígenas especializados en documentos georreferenciados consultables, de manera de generar una mayor comprensión de las necesidades de la cría de reno entre los actores que utilizan la tierra.</w:t>
            </w:r>
          </w:p>
          <w:p w14:paraId="29027D5B" w14:textId="77777777" w:rsidR="009713BF" w:rsidRPr="005E3D50" w:rsidRDefault="009713BF" w:rsidP="009713BF">
            <w:pPr>
              <w:spacing w:after="160" w:line="278" w:lineRule="auto"/>
              <w:rPr>
                <w:sz w:val="20"/>
                <w:szCs w:val="20"/>
                <w:lang w:val="es-ES"/>
              </w:rPr>
            </w:pPr>
            <w:r w:rsidRPr="005E3D50">
              <w:rPr>
                <w:sz w:val="20"/>
                <w:lang w:val="es-ES"/>
              </w:rPr>
              <w:t>Una de las actividades centrales es el trazado comunitario de mapas, en el cual los pastores determinan la división de las tierras de pastoreo y realizan inventarios sobre el terreno. Conocimientos sobre, por ejemplo, zonas de pastoreo estacional, distribuciones de flora y sitios culturalmente vitales son documentados y administrados por las mismas comunidades samis. Para apoyar estas actividades se desarrolló una herramienta web. Todas las observaciones indígenas son reunidas en archivos unificados mantenidos por el Parlamento Sami. Estos documentos se ponen a disposición de órganos gubernamentales, desarrolladores y el público en general durante procedimientos tales como planificación espacial, diseño de áreas protegidas y evaluación del impacto, y constituyen una fuente oficial reconocida de datos de biodiversidad local.</w:t>
            </w:r>
          </w:p>
          <w:p w14:paraId="5F8FE73F" w14:textId="77777777" w:rsidR="009713BF" w:rsidRPr="005E3D50" w:rsidRDefault="009713BF" w:rsidP="009713BF">
            <w:pPr>
              <w:spacing w:after="160" w:line="278" w:lineRule="auto"/>
              <w:rPr>
                <w:sz w:val="20"/>
                <w:szCs w:val="20"/>
                <w:lang w:val="es-ES"/>
              </w:rPr>
            </w:pPr>
            <w:r w:rsidRPr="005E3D50">
              <w:rPr>
                <w:sz w:val="20"/>
                <w:lang w:val="es-ES"/>
              </w:rPr>
              <w:t>El resultado tangible es que el conocimiento indígena intergeneracional sobre diversidad biológica se convirtió en información estructurada y de fácil acceso. Los planificadores ahora integran datos ecológicos samis en planes nacionales y regionales de acción y seguimiento de la diversidad biológica, subsanando carencias de datos para la gestión de ecosistemas boreales. El modelo demuestra que con repositorios organizados de conocimientos indígenas se puede contribuir al acceso transparente e inclusivo a información sobre diversidad biológica que sirve para diseñar intervenciones prácticas de conservación y uso de la tierra.</w:t>
            </w:r>
          </w:p>
          <w:p w14:paraId="2EA737E6" w14:textId="77777777" w:rsidR="009713BF" w:rsidRPr="005E3D50" w:rsidRDefault="009713BF" w:rsidP="009713BF">
            <w:pPr>
              <w:rPr>
                <w:rFonts w:ascii="Aptos" w:eastAsia="Aptos" w:hAnsi="Aptos" w:cs="Aptos"/>
                <w:color w:val="000000" w:themeColor="text1"/>
                <w:sz w:val="20"/>
                <w:szCs w:val="20"/>
                <w:lang w:val="es-ES"/>
              </w:rPr>
            </w:pPr>
            <w:r w:rsidRPr="005E3D50">
              <w:rPr>
                <w:rFonts w:ascii="Aptos" w:hAnsi="Aptos"/>
                <w:i/>
                <w:color w:val="000000" w:themeColor="text1"/>
                <w:sz w:val="20"/>
                <w:lang w:val="es-ES"/>
              </w:rPr>
              <w:t xml:space="preserve">Metas pertinentes: </w:t>
            </w:r>
            <w:r w:rsidRPr="005E3D50">
              <w:rPr>
                <w:rFonts w:ascii="Aptos" w:hAnsi="Aptos"/>
                <w:color w:val="000000" w:themeColor="text1"/>
                <w:sz w:val="20"/>
                <w:lang w:val="es-ES"/>
              </w:rPr>
              <w:t>1, 10, 11, 14, 21 y 22.</w:t>
            </w:r>
          </w:p>
          <w:p w14:paraId="60184E7D" w14:textId="77777777" w:rsidR="009713BF" w:rsidRPr="005E3D50" w:rsidRDefault="009713BF" w:rsidP="009713BF">
            <w:pPr>
              <w:spacing w:after="240"/>
              <w:rPr>
                <w:sz w:val="22"/>
                <w:szCs w:val="22"/>
                <w:lang w:val="es-ES"/>
              </w:rPr>
            </w:pPr>
            <w:r w:rsidRPr="005E3D50">
              <w:rPr>
                <w:i/>
                <w:sz w:val="20"/>
                <w:lang w:val="es-ES"/>
              </w:rPr>
              <w:t xml:space="preserve">Fuente: </w:t>
            </w:r>
            <w:r w:rsidRPr="005E3D50">
              <w:rPr>
                <w:sz w:val="20"/>
                <w:lang w:val="es-ES"/>
              </w:rPr>
              <w:t>Ministerio de Clima y Empresas, Oficinas Gubernamentales de Suecia, 2025.</w:t>
            </w:r>
          </w:p>
        </w:tc>
      </w:tr>
    </w:tbl>
    <w:p w14:paraId="415DAE1D" w14:textId="77777777" w:rsidR="009713BF" w:rsidRPr="005E3D50" w:rsidRDefault="009713BF" w:rsidP="009713BF">
      <w:pPr>
        <w:rPr>
          <w:lang w:val="es-ES"/>
        </w:rPr>
      </w:pPr>
    </w:p>
    <w:p w14:paraId="41ED674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23" w:name="_Toc235821312"/>
      <w:r w:rsidRPr="005E3D50">
        <w:rPr>
          <w:rFonts w:eastAsiaTheme="majorEastAsia" w:cstheme="majorBidi"/>
          <w:i/>
          <w:iCs/>
          <w:color w:val="595959" w:themeColor="text1" w:themeTint="A6"/>
          <w:lang w:val="es-ES"/>
        </w:rPr>
        <w:t>Dificultades</w:t>
      </w:r>
      <w:bookmarkEnd w:id="523"/>
    </w:p>
    <w:p w14:paraId="4B9EDE7D" w14:textId="77777777" w:rsidR="009713BF" w:rsidRPr="005E3D50" w:rsidRDefault="009713BF" w:rsidP="009713BF">
      <w:pPr>
        <w:rPr>
          <w:lang w:val="es-ES"/>
        </w:rPr>
      </w:pPr>
      <w:r w:rsidRPr="005E3D50">
        <w:rPr>
          <w:lang w:val="es-ES"/>
        </w:rPr>
        <w:t xml:space="preserve">La fragmentación de datos, que también se describe como la persistencia de “datos compartimentados”, es una dificultad ampliamente citada en relación con la consecución de la meta 21. Muchas Partes de todas las regiones y de todos los grupos de ingresos informan que los datos sobre diversidad biológica se encuentran dispersos en distintas instituciones, plataformas y sectores que utilizan normas incompatibles. La falta de </w:t>
      </w:r>
      <w:r w:rsidRPr="005E3D50">
        <w:rPr>
          <w:rFonts w:ascii="Aptos" w:hAnsi="Aptos"/>
          <w:lang w:val="es-ES"/>
        </w:rPr>
        <w:t>interoperabilidad entre sistemas se señala como una barrera que impide el uso oportuno y sistemático de información en la toma de decisiones. También se señala como dificultad la financiación insuficiente. Partes de todas las regiones informan que hay una ausencia de inversión sostenida para apoyar sistemas de datos, creación de capacidad y programas de seguimiento a largo plazo.</w:t>
      </w:r>
      <w:r w:rsidRPr="005E3D50">
        <w:rPr>
          <w:lang w:val="es-ES"/>
        </w:rPr>
        <w:t xml:space="preserve"> Otra barrera que se menciona ampliamente es la escasa capacidad humana y técnica para gestión de datos, aplicaciones de inteligencia artificial y desarrollo de indicadores. La ausencia de marcos para el consentimiento libre, previo e informado, o la falta de una aplicación coherente de tales marcos, supone un importante </w:t>
      </w:r>
      <w:r w:rsidRPr="005E3D50">
        <w:rPr>
          <w:lang w:val="es-ES"/>
        </w:rPr>
        <w:lastRenderedPageBreak/>
        <w:t xml:space="preserve">obstáculo para la implementación en países con poblaciones significativas de pueblos indígenas y comunidades locales. Varias Partes informan que hay un desfase entre la conciencia pública respecto de la pérdida de diversidad biológica y las evaluaciones científicas, y un número reducido de Partes informa que a raíz de conflictos o crisis se han alterado seriamente la recolección de datos y la gestión de conocimientos. </w:t>
      </w:r>
      <w:r w:rsidRPr="005E3D50">
        <w:rPr>
          <w:rFonts w:ascii="Aptos" w:hAnsi="Aptos"/>
          <w:lang w:val="es-ES"/>
        </w:rPr>
        <w:t>Las Partes también resaltan las dificultades que plantean la ausencia de plataformas digitales centralizadas y el escaso desarrollo de herramientas de inteligencia artificial, factores que impiden que los datos sobre diversidad biológica sean accesibles y utilizables para la toma de decisiones.</w:t>
      </w:r>
    </w:p>
    <w:p w14:paraId="28CA2BE4" w14:textId="77777777" w:rsidR="009713BF" w:rsidRPr="005E3D50" w:rsidRDefault="009713BF" w:rsidP="009713BF">
      <w:pPr>
        <w:rPr>
          <w:lang w:val="es-ES"/>
        </w:rPr>
      </w:pPr>
    </w:p>
    <w:p w14:paraId="6F02926E"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Contribuciones de actores distintos de los Gobiernos nacionales</w:t>
      </w:r>
    </w:p>
    <w:p w14:paraId="50B8868A"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24" w:name="_Toc235821314"/>
    </w:p>
    <w:p w14:paraId="520E2A48"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524"/>
    </w:p>
    <w:p w14:paraId="0478F74F" w14:textId="77777777" w:rsidR="009713BF" w:rsidRPr="005E3D50" w:rsidRDefault="009713BF" w:rsidP="009713BF">
      <w:pPr>
        <w:rPr>
          <w:lang w:val="es-ES"/>
        </w:rPr>
      </w:pPr>
    </w:p>
    <w:p w14:paraId="2FB43B70" w14:textId="77777777" w:rsidR="009713BF" w:rsidRPr="005E3D50" w:rsidRDefault="009713BF" w:rsidP="009713BF">
      <w:pPr>
        <w:rPr>
          <w:lang w:val="es-ES"/>
        </w:rPr>
      </w:pPr>
      <w:r w:rsidRPr="005E3D50">
        <w:rPr>
          <w:lang w:val="es-ES"/>
        </w:rPr>
        <w:t>De los 180 compromisos sustantivos presentados por actores que no son Gobiernos nacionales, solo 10 tienen que ver principalmente con la meta 21. Siete de esos compromisos fueron presentados por organizaciones no gubernamentales, dos por organizaciones de la juventud y uno por una institución de investigación. Todos se refieren a datos y conocimientos y varios tienen que ver con la participación de la juventud para promover la sensibilización y los conocimientos sobre la diversidad biológica. La cobertura geográfica abarca Europa, África, el Sudeste Asiático y Oriente Medio y los compromisos incluyen apoyo para seguimiento comunitario y su incorporación en procesos nacionales de presentación de informes.</w:t>
      </w:r>
    </w:p>
    <w:p w14:paraId="3058F1D5" w14:textId="77777777" w:rsidR="009713BF" w:rsidRPr="005E3D50" w:rsidRDefault="009713BF" w:rsidP="009713BF">
      <w:pPr>
        <w:rPr>
          <w:lang w:val="es-ES"/>
        </w:rPr>
      </w:pPr>
    </w:p>
    <w:p w14:paraId="5F42506B"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25" w:name="_Toc235821315"/>
      <w:r w:rsidRPr="005E3D50">
        <w:rPr>
          <w:rFonts w:eastAsiaTheme="majorEastAsia" w:cstheme="majorBidi"/>
          <w:i/>
          <w:iCs/>
          <w:color w:val="595959" w:themeColor="text1" w:themeTint="A6"/>
          <w:lang w:val="es-ES"/>
        </w:rPr>
        <w:t>Contribuciones integradas en los informes nacionales</w:t>
      </w:r>
      <w:bookmarkEnd w:id="525"/>
    </w:p>
    <w:p w14:paraId="0E14031F" w14:textId="77777777" w:rsidR="009713BF" w:rsidRPr="005E3D50" w:rsidRDefault="009713BF" w:rsidP="009713BF">
      <w:pPr>
        <w:rPr>
          <w:lang w:val="es-ES"/>
        </w:rPr>
      </w:pPr>
    </w:p>
    <w:p w14:paraId="30C88578" w14:textId="77777777" w:rsidR="009713BF" w:rsidRPr="005E3D50" w:rsidRDefault="009713BF" w:rsidP="009713BF">
      <w:pPr>
        <w:rPr>
          <w:lang w:val="es-ES"/>
        </w:rPr>
      </w:pPr>
      <w:r w:rsidRPr="005E3D50">
        <w:rPr>
          <w:lang w:val="es-ES"/>
        </w:rPr>
        <w:t xml:space="preserve">Las funciones de producción de conocimientos y provisión de datos son citadas sistemáticamente como funciones que cumplen actores que no son Gobiernos nacionales, entre ellos las organizaciones de investigación que generan registros de presencias, realizan estudios y publican conjuntos de datos que alimentan los mecanismos de facilitación nacionales y los nodos del GBIF. Las organizaciones no gubernamentales y las redes de ciencia ciudadana contribuyen grandes volúmenes de datos de observación de especies, mientras que los pueblos indígenas y las comunidades locales cumplen la función de poseedores de conocimientos, teniendo potestad sobre sus </w:t>
      </w:r>
      <w:r w:rsidRPr="005E3D50">
        <w:rPr>
          <w:lang w:val="es-ES"/>
        </w:rPr>
        <w:lastRenderedPageBreak/>
        <w:t>conocimientos y datos asociados y, en los casos en que ellos lo determinan, contribuyen sus conocimientos tradicionales a los sistemas nacionales de conformidad con el consentimiento libre, previo e informado. Las organizaciones no gubernamentales también cogestionan áreas protegidas y sistemas de información sobre la diversidad biológica, muchas veces en calidad de asociados institucionales de largo plazo, y junto con la juventud y los ciudadanos cumplen un papel esencial de sensibilización y educación. Los pueblos indígenas y las comunidades locales también cogestionan áreas protegidas, ejercen funciones de gobernanza a través de sistemas tradicionales y participan en marcos de acceso y participación de los beneficios. Los gobiernos subnacionales, las ciudades y otras autoridades locales operan sitios de seguimiento y administran datos sobre especies dentro de sus jurisdicciones. La financiación es principalmente intergubernamental.</w:t>
      </w:r>
    </w:p>
    <w:p w14:paraId="17B511D5" w14:textId="77777777" w:rsidR="009713BF" w:rsidRPr="005E3D50" w:rsidRDefault="009713BF" w:rsidP="009713BF">
      <w:pPr>
        <w:rPr>
          <w:lang w:val="es-ES"/>
        </w:rPr>
      </w:pPr>
    </w:p>
    <w:p w14:paraId="1879C590"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26" w:name="_Toc235821316"/>
      <w:r w:rsidRPr="005E3D50">
        <w:rPr>
          <w:rFonts w:eastAsiaTheme="majorEastAsia" w:cstheme="majorBidi"/>
          <w:color w:val="0F4761" w:themeColor="accent1" w:themeShade="BF"/>
          <w:lang w:val="es-ES"/>
        </w:rPr>
        <w:t>Ejemplos de vínculos con otros acuerdos, procesos y organizaciones</w:t>
      </w:r>
      <w:bookmarkEnd w:id="526"/>
    </w:p>
    <w:p w14:paraId="129CED19" w14:textId="77777777" w:rsidR="009713BF" w:rsidRPr="005E3D50" w:rsidRDefault="009713BF" w:rsidP="009713BF">
      <w:pPr>
        <w:rPr>
          <w:lang w:val="es-ES"/>
        </w:rPr>
      </w:pPr>
    </w:p>
    <w:p w14:paraId="29408C02" w14:textId="77777777" w:rsidR="009713BF" w:rsidRPr="005E3D50" w:rsidRDefault="009713BF" w:rsidP="009713BF">
      <w:pPr>
        <w:rPr>
          <w:lang w:val="es-ES"/>
        </w:rPr>
      </w:pPr>
      <w:r w:rsidRPr="005E3D50">
        <w:rPr>
          <w:lang w:val="es-ES"/>
        </w:rPr>
        <w:t>Como se observó anteriormente, las Partes han destacado al Sistema Global de Información sobre Biodiversidad (GBIF) como infraestructura mundial que apoya la consecución de la meta 21 a través de la movilización de datos primarios sobre presencias de especies y el acceso a esos datos, para su empleo en investigaciones y políticas y como fuente de datos para una variedad de indicadores dentro del marco de seguimiento. El GBIF es una instancia de colaboración intergubernamental que actualmente reúne a 70 Gobiernos nacionales y 42 organizaciones internacionales con arreglo a un memorando de entendimiento de carácter voluntario, brindando acceso libre y abierto a aproximadamente 3.800 millones de registros de presencia de especies compartidos por más de 2.700 instituciones de todo el mundo</w:t>
      </w:r>
      <w:r w:rsidRPr="005E3D50">
        <w:rPr>
          <w:vertAlign w:val="superscript"/>
          <w:lang w:val="es-ES"/>
        </w:rPr>
        <w:footnoteReference w:id="41"/>
      </w:r>
      <w:r w:rsidRPr="005E3D50">
        <w:rPr>
          <w:lang w:val="es-ES"/>
        </w:rPr>
        <w:t xml:space="preserve">. El Sistema de Información sobre la Biodiversidad del Océano (OBIS), cuya función es suministrar datos especializados a las comunidades de investigación y de políticas marinas, opera en el marco del programa de Intercambio Internacional de Datos e Información Oceanográficos de la Comisión Oceanográfica Intergubernamental de la UNESCO. Uno de los objetivos estratégicos del OBIS es apoyar políticas de biodiversidad del océano basadas en datos empíricos, incluido mediante la armonización de datos y productos y servicios de información con necesidades relacionadas con el Marco Mundial de Biodiversidad de Kunming-Montreal y el Acuerdo en el marco de la Convención de las Naciones Unidas sobre el Derecho del Mar relativo a la Conservación y el Uso Sostenible de la Diversidad Biológica Marina de las </w:t>
      </w:r>
      <w:r w:rsidRPr="005E3D50">
        <w:rPr>
          <w:lang w:val="es-ES"/>
        </w:rPr>
        <w:lastRenderedPageBreak/>
        <w:t>Zonas Situadas Fuera de la Jurisdicción Nacional</w:t>
      </w:r>
      <w:r w:rsidRPr="005E3D50">
        <w:rPr>
          <w:vertAlign w:val="superscript"/>
          <w:lang w:val="es-ES"/>
        </w:rPr>
        <w:footnoteReference w:id="42"/>
      </w:r>
      <w:r w:rsidRPr="005E3D50">
        <w:rPr>
          <w:lang w:val="es-ES"/>
        </w:rPr>
        <w:t>. Actualmente, el OBIS brinda acceso a más de 220 millones de observaciones de especies que abarcan 207.000 especies marinas de 99 países.</w:t>
      </w:r>
    </w:p>
    <w:p w14:paraId="2C47FDD9" w14:textId="77777777" w:rsidR="009713BF" w:rsidRPr="005E3D50" w:rsidRDefault="009713BF" w:rsidP="009713BF">
      <w:pPr>
        <w:rPr>
          <w:lang w:val="es-ES"/>
        </w:rPr>
      </w:pPr>
      <w:r w:rsidRPr="005E3D50">
        <w:rPr>
          <w:lang w:val="es-ES"/>
        </w:rPr>
        <w:t xml:space="preserve">Uno de los principales objetivos de la evaluación metodológica que está llevando a cabo actualmente la IPBES sobre la vigilancia de la diversidad biológica y las contribuciones de la naturaleza a las personas (IPBES, 2023c) es apoyar los esfuerzos nacionales y mundiales de seguimiento de los progresos en la consecución de los objetivos y las metas del Marco Mundial de Biodiversidad de Kunming-Montreal para contribuir a una aplicación equilibrada y reforzada del Convenio. En ese sentido, una vez que se publique en 2027, el informe de evaluación brindará un recurso adicional a las Partes para la consecución de la meta 21 y por lo tanto ayudará a abordar las dificultades más amplias en materia de datos y conocimientos que se identifican en el presente informe mundial. </w:t>
      </w:r>
    </w:p>
    <w:p w14:paraId="60E22E7E" w14:textId="77777777" w:rsidR="009713BF" w:rsidRPr="005E3D50" w:rsidRDefault="009713BF" w:rsidP="009713BF">
      <w:pPr>
        <w:rPr>
          <w:lang w:val="es-ES"/>
        </w:rPr>
      </w:pPr>
    </w:p>
    <w:p w14:paraId="601E8E9C" w14:textId="77777777" w:rsidR="009713BF" w:rsidRPr="005E3D50" w:rsidRDefault="009713BF" w:rsidP="009713BF">
      <w:pPr>
        <w:keepNext/>
        <w:keepLines/>
        <w:spacing w:before="80" w:after="40"/>
        <w:outlineLvl w:val="3"/>
        <w:rPr>
          <w:rFonts w:eastAsiaTheme="majorEastAsia" w:cstheme="majorBidi"/>
          <w:color w:val="0F4761" w:themeColor="accent1" w:themeShade="BF"/>
          <w:lang w:val="es-ES"/>
        </w:rPr>
      </w:pPr>
      <w:bookmarkStart w:id="527" w:name="_Toc235821317"/>
      <w:bookmarkStart w:id="528" w:name="_Toc239069218"/>
      <w:bookmarkStart w:id="529" w:name="_Toc1064094380"/>
      <w:bookmarkStart w:id="530" w:name="_Toc242882996"/>
      <w:r w:rsidRPr="005E3D50">
        <w:rPr>
          <w:rFonts w:eastAsiaTheme="majorEastAsia" w:cstheme="majorBidi"/>
          <w:b/>
          <w:iCs/>
          <w:color w:val="0F4761" w:themeColor="accent1" w:themeShade="BF"/>
          <w:lang w:val="es-ES"/>
        </w:rPr>
        <w:t>Meta 22.</w:t>
      </w:r>
      <w:r w:rsidRPr="005E3D50">
        <w:rPr>
          <w:rFonts w:eastAsiaTheme="majorEastAsia" w:cstheme="majorBidi"/>
          <w:iCs/>
          <w:color w:val="0F4761" w:themeColor="accent1" w:themeShade="BF"/>
          <w:lang w:val="es-ES"/>
        </w:rPr>
        <w:t xml:space="preserve"> Garantizar la participación de todos en la toma de decisiones y su acceso a la justicia y a información relacionada con la biodiversidad</w:t>
      </w:r>
      <w:bookmarkEnd w:id="527"/>
      <w:bookmarkEnd w:id="528"/>
      <w:bookmarkEnd w:id="529"/>
      <w:bookmarkEnd w:id="530"/>
    </w:p>
    <w:p w14:paraId="0F51D3A9" w14:textId="77777777" w:rsidR="009713BF" w:rsidRPr="005E3D50" w:rsidRDefault="009713BF" w:rsidP="009713BF">
      <w:pPr>
        <w:rPr>
          <w:lang w:val="es-ES"/>
        </w:rPr>
      </w:pPr>
    </w:p>
    <w:p w14:paraId="5131BDD4" w14:textId="77777777" w:rsidR="009713BF" w:rsidRPr="005E3D50" w:rsidRDefault="009713BF" w:rsidP="009713BF">
      <w:pPr>
        <w:rPr>
          <w:i/>
          <w:iCs/>
          <w:sz w:val="22"/>
          <w:szCs w:val="22"/>
          <w:lang w:val="es-ES"/>
        </w:rPr>
      </w:pPr>
      <w:r w:rsidRPr="005E3D50">
        <w:rPr>
          <w:b/>
          <w:sz w:val="22"/>
          <w:lang w:val="es-ES"/>
        </w:rPr>
        <w:t xml:space="preserve">Texto de la meta. </w:t>
      </w:r>
      <w:r w:rsidRPr="005E3D50">
        <w:rPr>
          <w:i/>
          <w:sz w:val="22"/>
          <w:lang w:val="es-ES"/>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7C4C5A2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31" w:name="_Toc235821318"/>
    </w:p>
    <w:bookmarkEnd w:id="531"/>
    <w:p w14:paraId="182ACEA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
        <w:tblW w:w="0" w:type="auto"/>
        <w:tblLook w:val="04A0" w:firstRow="1" w:lastRow="0" w:firstColumn="1" w:lastColumn="0" w:noHBand="0" w:noVBand="1"/>
      </w:tblPr>
      <w:tblGrid>
        <w:gridCol w:w="9016"/>
      </w:tblGrid>
      <w:tr w:rsidR="009713BF" w:rsidRPr="005E3D50" w14:paraId="6A3E2F4E" w14:textId="77777777" w:rsidTr="006E6831">
        <w:tc>
          <w:tcPr>
            <w:tcW w:w="9016" w:type="dxa"/>
            <w:shd w:val="clear" w:color="auto" w:fill="D1D1D1" w:themeFill="background2" w:themeFillShade="E6"/>
          </w:tcPr>
          <w:p w14:paraId="3D47944C" w14:textId="77777777" w:rsidR="009713BF" w:rsidRPr="005E3D50" w:rsidRDefault="009713BF" w:rsidP="009713BF">
            <w:pPr>
              <w:rPr>
                <w:rFonts w:ascii="Aptos" w:eastAsia="Times New Roman" w:hAnsi="Aptos" w:cs="Calibri"/>
                <w:color w:val="000000"/>
                <w:lang w:val="es-ES"/>
              </w:rPr>
            </w:pPr>
          </w:p>
          <w:p w14:paraId="7E10EC17" w14:textId="77777777" w:rsidR="009713BF" w:rsidRPr="005E3D50" w:rsidRDefault="009713BF" w:rsidP="009713BF">
            <w:pPr>
              <w:spacing w:after="160" w:line="278" w:lineRule="auto"/>
              <w:rPr>
                <w:lang w:val="es-ES"/>
              </w:rPr>
            </w:pPr>
            <w:r w:rsidRPr="005E3D50">
              <w:rPr>
                <w:lang w:val="es-ES"/>
              </w:rPr>
              <w:t xml:space="preserve">La mayoría de las Partes han abordado algunos elementos de la meta 22, pero el alcance de las metas nacionales no está bien armonizado y los datos para evaluar los progresos siguen siendo escasos. Se están logrando progresos en el fortalecimiento de la participación, la inclusión y los enfoques basados en los derechos, pero los sistemas de seguimiento siguen sin estar lo suficientemente desarrollados. Los datos aportados no fueron suficientes para medir tendencias, y las Partes señalaron dificultades metodológicas, de definición y de datos. Algunas Partes informaron que han logrado progresos en la generación de condiciones </w:t>
            </w:r>
            <w:r w:rsidRPr="005E3D50">
              <w:rPr>
                <w:lang w:val="es-ES"/>
              </w:rPr>
              <w:lastRenderedPageBreak/>
              <w:t xml:space="preserve">propicias para la inclusión y la participación basada en los derechos y </w:t>
            </w:r>
            <w:proofErr w:type="gramStart"/>
            <w:r w:rsidRPr="005E3D50">
              <w:rPr>
                <w:lang w:val="es-ES"/>
              </w:rPr>
              <w:t>realizado esfuerzos</w:t>
            </w:r>
            <w:proofErr w:type="gramEnd"/>
            <w:r w:rsidRPr="005E3D50">
              <w:rPr>
                <w:lang w:val="es-ES"/>
              </w:rPr>
              <w:t xml:space="preserve"> para garantizar la representación de los pueblos indígenas y las comunidades locales, las mujeres, la juventud y las personas con discapacidad, además de establecer políticas relacionadas con el acceso a la justicia. Muy pocas Partes fijaron metas que incluyen la protección de </w:t>
            </w:r>
            <w:proofErr w:type="gramStart"/>
            <w:r w:rsidRPr="005E3D50">
              <w:rPr>
                <w:lang w:val="es-ES"/>
              </w:rPr>
              <w:t>los defensores y las defensoras</w:t>
            </w:r>
            <w:proofErr w:type="gramEnd"/>
            <w:r w:rsidRPr="005E3D50">
              <w:rPr>
                <w:lang w:val="es-ES"/>
              </w:rPr>
              <w:t xml:space="preserve"> de los derechos humanos relacionados con el medio ambiente. Según las autoevaluaciones, se habrían logrado progresos moderados. Entre las principales dificultades mencionadas figuran limitaciones metodológicas e insuficientes sistemas de seguimiento para medir los resultados.</w:t>
            </w:r>
          </w:p>
        </w:tc>
      </w:tr>
    </w:tbl>
    <w:p w14:paraId="6EA9B466" w14:textId="77777777" w:rsidR="009713BF" w:rsidRPr="005E3D50" w:rsidRDefault="009713BF" w:rsidP="009713BF">
      <w:pPr>
        <w:rPr>
          <w:lang w:val="es-ES"/>
        </w:rPr>
      </w:pPr>
    </w:p>
    <w:p w14:paraId="7F7AB0ED"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22 del Marco en sus metas nacionales</w:t>
      </w:r>
    </w:p>
    <w:p w14:paraId="20E26850"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28C8946A" w14:textId="77777777" w:rsidR="009713BF" w:rsidRPr="005E3D50" w:rsidRDefault="009713BF" w:rsidP="009713BF">
      <w:pPr>
        <w:keepNext/>
        <w:spacing w:after="200" w:line="240" w:lineRule="auto"/>
        <w:rPr>
          <w:rFonts w:eastAsiaTheme="minorEastAsia"/>
          <w:b/>
          <w:color w:val="0E2841" w:themeColor="text2"/>
          <w:kern w:val="0"/>
          <w:sz w:val="20"/>
          <w:szCs w:val="20"/>
          <w:lang w:val="es-ES" w:eastAsia="ja-JP"/>
          <w14:ligatures w14:val="none"/>
        </w:rPr>
      </w:pPr>
      <w:bookmarkStart w:id="532" w:name="_Ref230789893"/>
      <w:r w:rsidRPr="005E3D50">
        <w:rPr>
          <w:rFonts w:eastAsiaTheme="minorEastAsia"/>
          <w:iCs/>
          <w:color w:val="0E2841" w:themeColor="text2"/>
          <w:kern w:val="0"/>
          <w:sz w:val="20"/>
          <w:szCs w:val="18"/>
          <w:lang w:val="es-ES" w:eastAsia="ja-JP"/>
          <w14:ligatures w14:val="none"/>
        </w:rPr>
        <w:t>Cuadro 47</w:t>
      </w:r>
      <w:bookmarkEnd w:id="532"/>
    </w:p>
    <w:p w14:paraId="31F267B2" w14:textId="77777777" w:rsidR="009713BF" w:rsidRPr="005E3D50" w:rsidRDefault="009713BF" w:rsidP="009713BF">
      <w:pPr>
        <w:keepNext/>
        <w:spacing w:after="200" w:line="240" w:lineRule="auto"/>
        <w:rPr>
          <w:rFonts w:eastAsiaTheme="minorEastAsia"/>
          <w:b/>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Elementos de la meta 22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
        <w:tblW w:w="8910" w:type="dxa"/>
        <w:tblInd w:w="-5" w:type="dxa"/>
        <w:tblLook w:val="04A0" w:firstRow="1" w:lastRow="0" w:firstColumn="1" w:lastColumn="0" w:noHBand="0" w:noVBand="1"/>
      </w:tblPr>
      <w:tblGrid>
        <w:gridCol w:w="8010"/>
        <w:gridCol w:w="900"/>
      </w:tblGrid>
      <w:tr w:rsidR="009713BF" w:rsidRPr="005E3D50" w14:paraId="7C7732A0" w14:textId="77777777" w:rsidTr="006E6831">
        <w:tc>
          <w:tcPr>
            <w:tcW w:w="8010" w:type="dxa"/>
            <w:vAlign w:val="center"/>
          </w:tcPr>
          <w:p w14:paraId="3B80F28D"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la participación y representación plena, equitativa, inclusiva, efectiva y con perspectiva de género de los pueblos indígenas y las comunidades locales en la toma de decisiones en materia de biodiversidad</w:t>
            </w:r>
          </w:p>
        </w:tc>
        <w:tc>
          <w:tcPr>
            <w:tcW w:w="900" w:type="dxa"/>
            <w:shd w:val="clear" w:color="auto" w:fill="92D050"/>
            <w:vAlign w:val="center"/>
          </w:tcPr>
          <w:p w14:paraId="5CE5F1B9" w14:textId="77777777" w:rsidR="009713BF" w:rsidRPr="005E3D50" w:rsidRDefault="009713BF" w:rsidP="009713BF">
            <w:pPr>
              <w:jc w:val="center"/>
              <w:rPr>
                <w:lang w:val="es-ES"/>
              </w:rPr>
            </w:pPr>
            <w:r w:rsidRPr="005E3D50">
              <w:rPr>
                <w:lang w:val="es-ES"/>
              </w:rPr>
              <w:t>69</w:t>
            </w:r>
          </w:p>
        </w:tc>
      </w:tr>
      <w:tr w:rsidR="009713BF" w:rsidRPr="005E3D50" w14:paraId="1B57C3F0" w14:textId="77777777" w:rsidTr="006E6831">
        <w:tc>
          <w:tcPr>
            <w:tcW w:w="8010" w:type="dxa"/>
            <w:vAlign w:val="center"/>
          </w:tcPr>
          <w:p w14:paraId="03DE1DF6"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el acceso de los pueblos indígenas y las comunidades locales a la justicia en materia de biodiversidad</w:t>
            </w:r>
          </w:p>
          <w:p w14:paraId="7B302754" w14:textId="77777777" w:rsidR="009713BF" w:rsidRPr="005E3D50" w:rsidRDefault="009713BF" w:rsidP="009713BF">
            <w:pPr>
              <w:tabs>
                <w:tab w:val="left" w:pos="2173"/>
              </w:tabs>
              <w:rPr>
                <w:sz w:val="21"/>
                <w:szCs w:val="21"/>
                <w:lang w:val="es-ES"/>
              </w:rPr>
            </w:pPr>
          </w:p>
        </w:tc>
        <w:tc>
          <w:tcPr>
            <w:tcW w:w="900" w:type="dxa"/>
            <w:shd w:val="clear" w:color="auto" w:fill="FFC000"/>
            <w:vAlign w:val="center"/>
          </w:tcPr>
          <w:p w14:paraId="0161ADDE" w14:textId="77777777" w:rsidR="009713BF" w:rsidRPr="005E3D50" w:rsidRDefault="009713BF" w:rsidP="009713BF">
            <w:pPr>
              <w:jc w:val="center"/>
              <w:rPr>
                <w:lang w:val="es-ES"/>
              </w:rPr>
            </w:pPr>
            <w:r w:rsidRPr="005E3D50">
              <w:rPr>
                <w:lang w:val="es-ES"/>
              </w:rPr>
              <w:t>29</w:t>
            </w:r>
          </w:p>
        </w:tc>
      </w:tr>
      <w:tr w:rsidR="009713BF" w:rsidRPr="005E3D50" w14:paraId="0CCE5723" w14:textId="77777777" w:rsidTr="006E6831">
        <w:tc>
          <w:tcPr>
            <w:tcW w:w="8010" w:type="dxa"/>
            <w:vAlign w:val="center"/>
          </w:tcPr>
          <w:p w14:paraId="1104A110"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el acceso de los pueblos indígenas y las comunidades locales a información en materia de biodiversidad</w:t>
            </w:r>
          </w:p>
          <w:p w14:paraId="79A39DBE" w14:textId="77777777" w:rsidR="009713BF" w:rsidRPr="005E3D50" w:rsidRDefault="009713BF" w:rsidP="009713BF">
            <w:pPr>
              <w:rPr>
                <w:sz w:val="21"/>
                <w:szCs w:val="21"/>
                <w:lang w:val="es-ES"/>
              </w:rPr>
            </w:pPr>
          </w:p>
        </w:tc>
        <w:tc>
          <w:tcPr>
            <w:tcW w:w="900" w:type="dxa"/>
            <w:shd w:val="clear" w:color="auto" w:fill="FFFF00"/>
            <w:vAlign w:val="center"/>
          </w:tcPr>
          <w:p w14:paraId="14E769B1" w14:textId="77777777" w:rsidR="009713BF" w:rsidRPr="005E3D50" w:rsidRDefault="009713BF" w:rsidP="009713BF">
            <w:pPr>
              <w:jc w:val="center"/>
              <w:rPr>
                <w:lang w:val="es-ES"/>
              </w:rPr>
            </w:pPr>
            <w:r w:rsidRPr="005E3D50">
              <w:rPr>
                <w:lang w:val="es-ES"/>
              </w:rPr>
              <w:t>41</w:t>
            </w:r>
          </w:p>
        </w:tc>
      </w:tr>
      <w:tr w:rsidR="009713BF" w:rsidRPr="005E3D50" w14:paraId="71DD98CD" w14:textId="77777777" w:rsidTr="006E6831">
        <w:tc>
          <w:tcPr>
            <w:tcW w:w="8010" w:type="dxa"/>
            <w:vAlign w:val="center"/>
          </w:tcPr>
          <w:p w14:paraId="62F19727"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la participación y representación plena, equitativa, inclusiva, efectiva y con perspectiva de género de las mujeres y las niñas en la toma de decisiones en materia de biodiversidad</w:t>
            </w:r>
          </w:p>
        </w:tc>
        <w:tc>
          <w:tcPr>
            <w:tcW w:w="900" w:type="dxa"/>
            <w:shd w:val="clear" w:color="auto" w:fill="92D050"/>
            <w:vAlign w:val="center"/>
          </w:tcPr>
          <w:p w14:paraId="6940B145" w14:textId="77777777" w:rsidR="009713BF" w:rsidRPr="005E3D50" w:rsidRDefault="009713BF" w:rsidP="009713BF">
            <w:pPr>
              <w:jc w:val="center"/>
              <w:rPr>
                <w:lang w:val="es-ES"/>
              </w:rPr>
            </w:pPr>
            <w:r w:rsidRPr="005E3D50">
              <w:rPr>
                <w:lang w:val="es-ES"/>
              </w:rPr>
              <w:t>63</w:t>
            </w:r>
          </w:p>
        </w:tc>
      </w:tr>
      <w:tr w:rsidR="009713BF" w:rsidRPr="005E3D50" w14:paraId="5EA4E076" w14:textId="77777777" w:rsidTr="006E6831">
        <w:tc>
          <w:tcPr>
            <w:tcW w:w="8010" w:type="dxa"/>
            <w:vAlign w:val="center"/>
          </w:tcPr>
          <w:p w14:paraId="5D3BF086" w14:textId="77777777" w:rsidR="009713BF" w:rsidRPr="005E3D50" w:rsidRDefault="009713BF" w:rsidP="009713BF">
            <w:pPr>
              <w:rPr>
                <w:rFonts w:cs="Times New Roman"/>
                <w:kern w:val="0"/>
                <w:sz w:val="21"/>
                <w:szCs w:val="21"/>
                <w:lang w:val="es-ES"/>
              </w:rPr>
            </w:pPr>
            <w:r w:rsidRPr="005E3D50">
              <w:rPr>
                <w:sz w:val="21"/>
                <w:lang w:val="es-ES"/>
              </w:rPr>
              <w:t>Garantizar el acceso de las mujeres y las niñas a la justicia en materia de biodiversidad</w:t>
            </w:r>
          </w:p>
          <w:p w14:paraId="5F872EDA" w14:textId="77777777" w:rsidR="009713BF" w:rsidRPr="005E3D50" w:rsidRDefault="009713BF" w:rsidP="009713BF">
            <w:pPr>
              <w:rPr>
                <w:sz w:val="21"/>
                <w:szCs w:val="21"/>
                <w:lang w:val="es-ES"/>
              </w:rPr>
            </w:pPr>
          </w:p>
        </w:tc>
        <w:tc>
          <w:tcPr>
            <w:tcW w:w="900" w:type="dxa"/>
            <w:shd w:val="clear" w:color="auto" w:fill="FFC000"/>
            <w:vAlign w:val="center"/>
          </w:tcPr>
          <w:p w14:paraId="601D49CB" w14:textId="77777777" w:rsidR="009713BF" w:rsidRPr="005E3D50" w:rsidRDefault="009713BF" w:rsidP="009713BF">
            <w:pPr>
              <w:jc w:val="center"/>
              <w:rPr>
                <w:lang w:val="es-ES"/>
              </w:rPr>
            </w:pPr>
            <w:r w:rsidRPr="005E3D50">
              <w:rPr>
                <w:lang w:val="es-ES"/>
              </w:rPr>
              <w:t>26</w:t>
            </w:r>
          </w:p>
        </w:tc>
      </w:tr>
      <w:tr w:rsidR="009713BF" w:rsidRPr="005E3D50" w14:paraId="6F9894C6" w14:textId="77777777" w:rsidTr="006E6831">
        <w:tc>
          <w:tcPr>
            <w:tcW w:w="8010" w:type="dxa"/>
            <w:vAlign w:val="center"/>
          </w:tcPr>
          <w:p w14:paraId="76440866" w14:textId="77777777" w:rsidR="009713BF" w:rsidRPr="005E3D50" w:rsidRDefault="009713BF" w:rsidP="009713BF">
            <w:pPr>
              <w:rPr>
                <w:rFonts w:cs="Times New Roman"/>
                <w:kern w:val="0"/>
                <w:sz w:val="21"/>
                <w:szCs w:val="21"/>
                <w:lang w:val="es-ES"/>
              </w:rPr>
            </w:pPr>
            <w:r w:rsidRPr="005E3D50">
              <w:rPr>
                <w:sz w:val="21"/>
                <w:lang w:val="es-ES"/>
              </w:rPr>
              <w:t>Garantizar el acceso de las mujeres y las niñas a información en materia de biodiversidad</w:t>
            </w:r>
          </w:p>
          <w:p w14:paraId="2B0322B9" w14:textId="77777777" w:rsidR="009713BF" w:rsidRPr="005E3D50" w:rsidRDefault="009713BF" w:rsidP="009713BF">
            <w:pPr>
              <w:rPr>
                <w:sz w:val="21"/>
                <w:szCs w:val="21"/>
                <w:lang w:val="es-ES"/>
              </w:rPr>
            </w:pPr>
          </w:p>
        </w:tc>
        <w:tc>
          <w:tcPr>
            <w:tcW w:w="900" w:type="dxa"/>
            <w:shd w:val="clear" w:color="auto" w:fill="FFC000"/>
            <w:vAlign w:val="center"/>
          </w:tcPr>
          <w:p w14:paraId="3257DBD0" w14:textId="77777777" w:rsidR="009713BF" w:rsidRPr="005E3D50" w:rsidRDefault="009713BF" w:rsidP="009713BF">
            <w:pPr>
              <w:jc w:val="center"/>
              <w:rPr>
                <w:lang w:val="es-ES"/>
              </w:rPr>
            </w:pPr>
            <w:r w:rsidRPr="005E3D50">
              <w:rPr>
                <w:lang w:val="es-ES"/>
              </w:rPr>
              <w:t>37</w:t>
            </w:r>
          </w:p>
        </w:tc>
      </w:tr>
      <w:tr w:rsidR="009713BF" w:rsidRPr="005E3D50" w14:paraId="6D7E0A7E" w14:textId="77777777" w:rsidTr="006E6831">
        <w:tc>
          <w:tcPr>
            <w:tcW w:w="8010" w:type="dxa"/>
            <w:vAlign w:val="center"/>
          </w:tcPr>
          <w:p w14:paraId="4B906471"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la participación y representación plena, equitativa, inclusiva, efectiva y con perspectiva de género de la infancia y la juventud en la toma de decisiones en materia de biodiversidad</w:t>
            </w:r>
          </w:p>
        </w:tc>
        <w:tc>
          <w:tcPr>
            <w:tcW w:w="900" w:type="dxa"/>
            <w:shd w:val="clear" w:color="auto" w:fill="FFFF00"/>
            <w:vAlign w:val="center"/>
          </w:tcPr>
          <w:p w14:paraId="7D6A2E45" w14:textId="77777777" w:rsidR="009713BF" w:rsidRPr="005E3D50" w:rsidRDefault="009713BF" w:rsidP="009713BF">
            <w:pPr>
              <w:jc w:val="center"/>
              <w:rPr>
                <w:lang w:val="es-ES"/>
              </w:rPr>
            </w:pPr>
            <w:r w:rsidRPr="005E3D50">
              <w:rPr>
                <w:lang w:val="es-ES"/>
              </w:rPr>
              <w:t>59</w:t>
            </w:r>
          </w:p>
        </w:tc>
      </w:tr>
      <w:tr w:rsidR="009713BF" w:rsidRPr="005E3D50" w14:paraId="7E53D0AB" w14:textId="77777777" w:rsidTr="006E6831">
        <w:tc>
          <w:tcPr>
            <w:tcW w:w="8010" w:type="dxa"/>
            <w:vAlign w:val="center"/>
          </w:tcPr>
          <w:p w14:paraId="176586AD" w14:textId="77777777" w:rsidR="009713BF" w:rsidRPr="005E3D50" w:rsidRDefault="009713BF" w:rsidP="009713BF">
            <w:pPr>
              <w:rPr>
                <w:rFonts w:cs="Times New Roman"/>
                <w:kern w:val="0"/>
                <w:sz w:val="21"/>
                <w:szCs w:val="21"/>
                <w:lang w:val="es-ES"/>
              </w:rPr>
            </w:pPr>
            <w:r w:rsidRPr="005E3D50">
              <w:rPr>
                <w:sz w:val="21"/>
                <w:lang w:val="es-ES"/>
              </w:rPr>
              <w:t>Garantizar el acceso de la infancia y la juventud a la justicia en materia de biodiversidad</w:t>
            </w:r>
          </w:p>
          <w:p w14:paraId="2CEC5AEA" w14:textId="77777777" w:rsidR="009713BF" w:rsidRPr="005E3D50" w:rsidRDefault="009713BF" w:rsidP="009713BF">
            <w:pPr>
              <w:rPr>
                <w:sz w:val="21"/>
                <w:szCs w:val="21"/>
                <w:lang w:val="es-ES"/>
              </w:rPr>
            </w:pPr>
          </w:p>
        </w:tc>
        <w:tc>
          <w:tcPr>
            <w:tcW w:w="900" w:type="dxa"/>
            <w:shd w:val="clear" w:color="auto" w:fill="FFC000"/>
            <w:vAlign w:val="center"/>
          </w:tcPr>
          <w:p w14:paraId="0268821A" w14:textId="77777777" w:rsidR="009713BF" w:rsidRPr="005E3D50" w:rsidRDefault="009713BF" w:rsidP="009713BF">
            <w:pPr>
              <w:jc w:val="center"/>
              <w:rPr>
                <w:lang w:val="es-ES"/>
              </w:rPr>
            </w:pPr>
            <w:r w:rsidRPr="005E3D50">
              <w:rPr>
                <w:lang w:val="es-ES"/>
              </w:rPr>
              <w:t>26</w:t>
            </w:r>
          </w:p>
        </w:tc>
      </w:tr>
      <w:tr w:rsidR="009713BF" w:rsidRPr="005E3D50" w14:paraId="56017E92" w14:textId="77777777" w:rsidTr="006E6831">
        <w:tc>
          <w:tcPr>
            <w:tcW w:w="8010" w:type="dxa"/>
            <w:vAlign w:val="center"/>
          </w:tcPr>
          <w:p w14:paraId="70793D49" w14:textId="77777777" w:rsidR="009713BF" w:rsidRPr="005E3D50" w:rsidRDefault="009713BF" w:rsidP="009713BF">
            <w:pPr>
              <w:rPr>
                <w:rFonts w:cs="Times New Roman"/>
                <w:kern w:val="0"/>
                <w:sz w:val="21"/>
                <w:szCs w:val="21"/>
                <w:lang w:val="es-ES"/>
              </w:rPr>
            </w:pPr>
            <w:r w:rsidRPr="005E3D50">
              <w:rPr>
                <w:sz w:val="21"/>
                <w:lang w:val="es-ES"/>
              </w:rPr>
              <w:t>Garantizar el acceso de la infancia y la juventud a información en materia de biodiversidad</w:t>
            </w:r>
          </w:p>
          <w:p w14:paraId="76311287" w14:textId="77777777" w:rsidR="009713BF" w:rsidRPr="005E3D50" w:rsidRDefault="009713BF" w:rsidP="009713BF">
            <w:pPr>
              <w:rPr>
                <w:rFonts w:cs="Times New Roman"/>
                <w:kern w:val="0"/>
                <w:sz w:val="21"/>
                <w:szCs w:val="21"/>
                <w:lang w:val="es-ES"/>
              </w:rPr>
            </w:pPr>
          </w:p>
        </w:tc>
        <w:tc>
          <w:tcPr>
            <w:tcW w:w="900" w:type="dxa"/>
            <w:shd w:val="clear" w:color="auto" w:fill="FFC000"/>
            <w:vAlign w:val="center"/>
          </w:tcPr>
          <w:p w14:paraId="53A0AC5E" w14:textId="77777777" w:rsidR="009713BF" w:rsidRPr="005E3D50" w:rsidRDefault="009713BF" w:rsidP="009713BF">
            <w:pPr>
              <w:jc w:val="center"/>
              <w:rPr>
                <w:lang w:val="es-ES"/>
              </w:rPr>
            </w:pPr>
            <w:r w:rsidRPr="005E3D50">
              <w:rPr>
                <w:lang w:val="es-ES"/>
              </w:rPr>
              <w:t>38</w:t>
            </w:r>
          </w:p>
        </w:tc>
      </w:tr>
      <w:tr w:rsidR="009713BF" w:rsidRPr="005E3D50" w14:paraId="3006B1D4" w14:textId="77777777" w:rsidTr="006E6831">
        <w:tc>
          <w:tcPr>
            <w:tcW w:w="8010" w:type="dxa"/>
            <w:vAlign w:val="center"/>
          </w:tcPr>
          <w:p w14:paraId="12617A83"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lastRenderedPageBreak/>
              <w:t>Garantizar la participación y representación plena, equitativa, inclusiva, efectiva y con perspectiva de género de las personas con discapacidad en la toma de decisiones en materia de biodiversidad</w:t>
            </w:r>
          </w:p>
        </w:tc>
        <w:tc>
          <w:tcPr>
            <w:tcW w:w="900" w:type="dxa"/>
            <w:shd w:val="clear" w:color="auto" w:fill="FFFF00"/>
            <w:vAlign w:val="center"/>
          </w:tcPr>
          <w:p w14:paraId="40A5B467" w14:textId="77777777" w:rsidR="009713BF" w:rsidRPr="005E3D50" w:rsidRDefault="009713BF" w:rsidP="009713BF">
            <w:pPr>
              <w:jc w:val="center"/>
              <w:rPr>
                <w:lang w:val="es-ES"/>
              </w:rPr>
            </w:pPr>
            <w:r w:rsidRPr="005E3D50">
              <w:rPr>
                <w:lang w:val="es-ES"/>
              </w:rPr>
              <w:t>50</w:t>
            </w:r>
          </w:p>
        </w:tc>
      </w:tr>
      <w:tr w:rsidR="009713BF" w:rsidRPr="005E3D50" w14:paraId="1310A118" w14:textId="77777777" w:rsidTr="006E6831">
        <w:tc>
          <w:tcPr>
            <w:tcW w:w="8010" w:type="dxa"/>
            <w:vAlign w:val="center"/>
          </w:tcPr>
          <w:p w14:paraId="0BE0E6C3" w14:textId="77777777" w:rsidR="009713BF" w:rsidRPr="005E3D50" w:rsidRDefault="009713BF" w:rsidP="009713BF">
            <w:pPr>
              <w:rPr>
                <w:rFonts w:cs="Times New Roman"/>
                <w:kern w:val="0"/>
                <w:sz w:val="21"/>
                <w:szCs w:val="21"/>
                <w:lang w:val="es-ES"/>
              </w:rPr>
            </w:pPr>
            <w:r w:rsidRPr="005E3D50">
              <w:rPr>
                <w:sz w:val="21"/>
                <w:lang w:val="es-ES"/>
              </w:rPr>
              <w:t>Garantizar el acceso de las personas con discapacidad a la justicia en materia de biodiversidad</w:t>
            </w:r>
          </w:p>
          <w:p w14:paraId="4E018B06" w14:textId="77777777" w:rsidR="009713BF" w:rsidRPr="005E3D50" w:rsidRDefault="009713BF" w:rsidP="009713BF">
            <w:pPr>
              <w:rPr>
                <w:rFonts w:cs="Times New Roman"/>
                <w:kern w:val="0"/>
                <w:sz w:val="21"/>
                <w:szCs w:val="21"/>
                <w:lang w:val="es-ES"/>
              </w:rPr>
            </w:pPr>
          </w:p>
        </w:tc>
        <w:tc>
          <w:tcPr>
            <w:tcW w:w="900" w:type="dxa"/>
            <w:shd w:val="clear" w:color="auto" w:fill="FFC000"/>
            <w:vAlign w:val="center"/>
          </w:tcPr>
          <w:p w14:paraId="2C3F4A42" w14:textId="77777777" w:rsidR="009713BF" w:rsidRPr="005E3D50" w:rsidRDefault="009713BF" w:rsidP="009713BF">
            <w:pPr>
              <w:jc w:val="center"/>
              <w:rPr>
                <w:lang w:val="es-ES"/>
              </w:rPr>
            </w:pPr>
            <w:r w:rsidRPr="005E3D50">
              <w:rPr>
                <w:lang w:val="es-ES"/>
              </w:rPr>
              <w:t>24</w:t>
            </w:r>
          </w:p>
        </w:tc>
      </w:tr>
      <w:tr w:rsidR="009713BF" w:rsidRPr="005E3D50" w14:paraId="4C823A63" w14:textId="77777777" w:rsidTr="006E6831">
        <w:tc>
          <w:tcPr>
            <w:tcW w:w="8010" w:type="dxa"/>
            <w:vAlign w:val="center"/>
          </w:tcPr>
          <w:p w14:paraId="0000C467"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Garantizar el acceso de las personas con discapacidad a información en materia de biodiversidad</w:t>
            </w:r>
          </w:p>
          <w:p w14:paraId="387B5D1D" w14:textId="77777777" w:rsidR="009713BF" w:rsidRPr="005E3D50" w:rsidRDefault="009713BF" w:rsidP="009713BF">
            <w:pPr>
              <w:rPr>
                <w:rFonts w:cs="Times New Roman"/>
                <w:kern w:val="0"/>
                <w:sz w:val="21"/>
                <w:szCs w:val="21"/>
                <w:lang w:val="es-ES"/>
              </w:rPr>
            </w:pPr>
          </w:p>
        </w:tc>
        <w:tc>
          <w:tcPr>
            <w:tcW w:w="900" w:type="dxa"/>
            <w:shd w:val="clear" w:color="auto" w:fill="FFC000"/>
            <w:vAlign w:val="center"/>
          </w:tcPr>
          <w:p w14:paraId="6FAFF621" w14:textId="77777777" w:rsidR="009713BF" w:rsidRPr="005E3D50" w:rsidRDefault="009713BF" w:rsidP="009713BF">
            <w:pPr>
              <w:jc w:val="center"/>
              <w:rPr>
                <w:lang w:val="es-ES"/>
              </w:rPr>
            </w:pPr>
            <w:r w:rsidRPr="005E3D50">
              <w:rPr>
                <w:lang w:val="es-ES"/>
              </w:rPr>
              <w:t>36</w:t>
            </w:r>
          </w:p>
        </w:tc>
      </w:tr>
      <w:tr w:rsidR="009713BF" w:rsidRPr="005E3D50" w14:paraId="32C6AD53" w14:textId="77777777" w:rsidTr="006E6831">
        <w:tc>
          <w:tcPr>
            <w:tcW w:w="8010" w:type="dxa"/>
            <w:vAlign w:val="center"/>
          </w:tcPr>
          <w:p w14:paraId="3B06BF1B" w14:textId="77777777" w:rsidR="009713BF" w:rsidRPr="005E3D50" w:rsidRDefault="009713BF" w:rsidP="009713BF">
            <w:pPr>
              <w:rPr>
                <w:rFonts w:cs="Times New Roman"/>
                <w:kern w:val="0"/>
                <w:sz w:val="21"/>
                <w:szCs w:val="21"/>
                <w:lang w:val="es-ES"/>
              </w:rPr>
            </w:pPr>
            <w:r w:rsidRPr="005E3D50">
              <w:rPr>
                <w:sz w:val="21"/>
                <w:lang w:val="es-ES"/>
              </w:rPr>
              <w:t xml:space="preserve">Garantizar la protección plena de </w:t>
            </w:r>
            <w:proofErr w:type="gramStart"/>
            <w:r w:rsidRPr="005E3D50">
              <w:rPr>
                <w:sz w:val="21"/>
                <w:lang w:val="es-ES"/>
              </w:rPr>
              <w:t>los defensores y las defensoras</w:t>
            </w:r>
            <w:proofErr w:type="gramEnd"/>
            <w:r w:rsidRPr="005E3D50">
              <w:rPr>
                <w:sz w:val="21"/>
                <w:lang w:val="es-ES"/>
              </w:rPr>
              <w:t xml:space="preserve"> de los derechos humanos relacionados con el medio ambiente</w:t>
            </w:r>
          </w:p>
          <w:p w14:paraId="0CDE522B" w14:textId="77777777" w:rsidR="009713BF" w:rsidRPr="005E3D50" w:rsidRDefault="009713BF" w:rsidP="009713BF">
            <w:pPr>
              <w:rPr>
                <w:rFonts w:cs="Times New Roman"/>
                <w:kern w:val="0"/>
                <w:sz w:val="21"/>
                <w:szCs w:val="21"/>
                <w:lang w:val="es-ES"/>
              </w:rPr>
            </w:pPr>
          </w:p>
        </w:tc>
        <w:tc>
          <w:tcPr>
            <w:tcW w:w="900" w:type="dxa"/>
            <w:shd w:val="clear" w:color="auto" w:fill="EE0000"/>
            <w:vAlign w:val="center"/>
          </w:tcPr>
          <w:p w14:paraId="4802E98D" w14:textId="77777777" w:rsidR="009713BF" w:rsidRPr="005E3D50" w:rsidRDefault="009713BF" w:rsidP="009713BF">
            <w:pPr>
              <w:jc w:val="center"/>
              <w:rPr>
                <w:lang w:val="es-ES"/>
              </w:rPr>
            </w:pPr>
            <w:r w:rsidRPr="005E3D50">
              <w:rPr>
                <w:lang w:val="es-ES"/>
              </w:rPr>
              <w:t>14</w:t>
            </w:r>
          </w:p>
        </w:tc>
      </w:tr>
      <w:tr w:rsidR="009713BF" w:rsidRPr="005E3D50" w14:paraId="760E4FCD" w14:textId="77777777" w:rsidTr="006E6831">
        <w:tc>
          <w:tcPr>
            <w:tcW w:w="8010" w:type="dxa"/>
            <w:vAlign w:val="center"/>
          </w:tcPr>
          <w:p w14:paraId="0AF42099" w14:textId="77777777" w:rsidR="009713BF" w:rsidRPr="005E3D50" w:rsidRDefault="009713BF" w:rsidP="009713BF">
            <w:pPr>
              <w:autoSpaceDE w:val="0"/>
              <w:autoSpaceDN w:val="0"/>
              <w:adjustRightInd w:val="0"/>
              <w:rPr>
                <w:rFonts w:cs="Times New Roman"/>
                <w:kern w:val="0"/>
                <w:sz w:val="21"/>
                <w:szCs w:val="21"/>
                <w:lang w:val="es-ES"/>
              </w:rPr>
            </w:pPr>
            <w:r w:rsidRPr="005E3D50">
              <w:rPr>
                <w:sz w:val="21"/>
                <w:lang w:val="es-ES"/>
              </w:rPr>
              <w:t>Respetar las culturas de los pueblos indígenas y las comunidades locales y sus derechos sobre las tierras, los territorios, los recursos y los conocimientos tradicionales</w:t>
            </w:r>
          </w:p>
        </w:tc>
        <w:tc>
          <w:tcPr>
            <w:tcW w:w="900" w:type="dxa"/>
            <w:shd w:val="clear" w:color="auto" w:fill="FFC000"/>
            <w:vAlign w:val="center"/>
          </w:tcPr>
          <w:p w14:paraId="52934015" w14:textId="77777777" w:rsidR="009713BF" w:rsidRPr="005E3D50" w:rsidRDefault="009713BF" w:rsidP="009713BF">
            <w:pPr>
              <w:jc w:val="center"/>
              <w:rPr>
                <w:lang w:val="es-ES"/>
              </w:rPr>
            </w:pPr>
            <w:r w:rsidRPr="005E3D50">
              <w:rPr>
                <w:lang w:val="es-ES"/>
              </w:rPr>
              <w:t>25</w:t>
            </w:r>
          </w:p>
        </w:tc>
      </w:tr>
      <w:tr w:rsidR="009713BF" w:rsidRPr="005E3D50" w14:paraId="4D76CE1B" w14:textId="77777777" w:rsidTr="006E6831">
        <w:trPr>
          <w:trHeight w:val="596"/>
        </w:trPr>
        <w:tc>
          <w:tcPr>
            <w:tcW w:w="8910" w:type="dxa"/>
            <w:gridSpan w:val="2"/>
          </w:tcPr>
          <w:p w14:paraId="1E185413"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p>
          <w:p w14:paraId="265E2642" w14:textId="77777777" w:rsidR="009713BF" w:rsidRPr="005E3D50" w:rsidRDefault="009713BF" w:rsidP="009713BF">
            <w:pPr>
              <w:keepNext/>
              <w:rPr>
                <w:rFonts w:eastAsia="Times New Roman" w:cs="Times New Roman"/>
                <w:b/>
                <w:bCs/>
                <w:color w:val="000000"/>
                <w:kern w:val="0"/>
                <w:sz w:val="22"/>
                <w:szCs w:val="22"/>
                <w:lang w:val="es-ES" w:eastAsia="en-GB"/>
                <w14:ligatures w14:val="none"/>
              </w:rPr>
            </w:pPr>
            <w:r w:rsidRPr="005E3D50">
              <w:rPr>
                <w:rFonts w:eastAsia="Times New Roman" w:cs="Times New Roman"/>
                <w:b/>
                <w:color w:val="000000"/>
                <w:kern w:val="0"/>
                <w:sz w:val="22"/>
                <w:szCs w:val="17"/>
                <w:lang w:val="es-ES" w:eastAsia="en-GB"/>
                <w14:ligatures w14:val="none"/>
              </w:rPr>
              <w:t>En promedio, las Partes han abordado, al menos en cierta medida, el 38 % de estos elementos en sus metas nacionales</w:t>
            </w:r>
          </w:p>
          <w:p w14:paraId="04EE8527" w14:textId="77777777" w:rsidR="009713BF" w:rsidRPr="005E3D50" w:rsidRDefault="009713BF" w:rsidP="009713BF">
            <w:pPr>
              <w:rPr>
                <w:lang w:val="es-ES"/>
              </w:rPr>
            </w:pPr>
          </w:p>
        </w:tc>
      </w:tr>
    </w:tbl>
    <w:p w14:paraId="61CDD0B3" w14:textId="77777777" w:rsidR="009713BF" w:rsidRPr="005E3D50" w:rsidRDefault="009713BF" w:rsidP="009713BF">
      <w:pPr>
        <w:spacing w:before="120"/>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2FCC5CA3" w14:textId="77777777" w:rsidR="009713BF" w:rsidRPr="005E3D50" w:rsidRDefault="009713BF" w:rsidP="009713BF">
      <w:pPr>
        <w:spacing w:after="0" w:line="240" w:lineRule="auto"/>
        <w:textAlignment w:val="baseline"/>
        <w:rPr>
          <w:rFonts w:ascii="Segoe UI" w:eastAsia="Times New Roman" w:hAnsi="Segoe UI" w:cs="Segoe UI"/>
          <w:kern w:val="0"/>
          <w:sz w:val="16"/>
          <w:szCs w:val="16"/>
          <w:lang w:val="es-ES"/>
          <w14:ligatures w14:val="none"/>
        </w:rPr>
      </w:pPr>
      <w:r w:rsidRPr="005E3D50">
        <w:rPr>
          <w:rFonts w:eastAsia="Times New Roman" w:cs="Times New Roman"/>
          <w:kern w:val="0"/>
          <w:sz w:val="16"/>
          <w:vertAlign w:val="superscript"/>
          <w:lang w:val="es-ES"/>
          <w14:ligatures w14:val="none"/>
        </w:rPr>
        <w:t>a</w:t>
      </w:r>
      <w:r w:rsidRPr="005E3D50">
        <w:rPr>
          <w:rFonts w:eastAsia="Times New Roman" w:cs="Times New Roman"/>
          <w:kern w:val="0"/>
          <w:sz w:val="16"/>
          <w:lang w:val="es-ES"/>
          <w14:ligatures w14:val="none"/>
        </w:rPr>
        <w:t> </w:t>
      </w:r>
      <w:r w:rsidRPr="005E3D50">
        <w:rPr>
          <w:rFonts w:ascii="Aptos" w:eastAsia="Times New Roman" w:hAnsi="Aptos" w:cs="Times New Roman"/>
          <w:kern w:val="0"/>
          <w:sz w:val="16"/>
          <w:lang w:val="es-ES"/>
          <w14:ligatures w14:val="none"/>
        </w:rPr>
        <w:t xml:space="preserve">Los elementos de cada meta fueron definidos por el Grupo Especial de Expertos Técnicos sobre los Indicadores para el Marco Mundial de Biodiversidad de Kunming-Montreal (véanse el anexo I del documento </w:t>
      </w:r>
      <w:hyperlink r:id="rId203"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xml:space="preserve"> y Affinito y otros, 2025). En el documento </w:t>
      </w:r>
      <w:hyperlink r:id="rId204"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4E0AAB7C" w14:textId="77777777" w:rsidR="009713BF" w:rsidRPr="005E3D50" w:rsidRDefault="009713BF" w:rsidP="009713BF">
      <w:pPr>
        <w:rPr>
          <w:lang w:val="es-ES"/>
        </w:rPr>
      </w:pPr>
    </w:p>
    <w:p w14:paraId="0A619ED3" w14:textId="77777777" w:rsidR="009713BF" w:rsidRPr="005E3D50" w:rsidRDefault="009713BF" w:rsidP="009713BF">
      <w:pPr>
        <w:rPr>
          <w:lang w:val="es-ES"/>
        </w:rPr>
      </w:pPr>
      <w:r w:rsidRPr="005E3D50">
        <w:rPr>
          <w:lang w:val="es-ES"/>
        </w:rPr>
        <w:t xml:space="preserve">Hay una variación importante en el número de Partes con metas nacionales que abordan los cuatro grupos a los que se refiere específicamente la meta 22 y el grado en el que se le asegura a cada uno de esos grupos la representación en la toma de decisiones en materia de biodiversidad, el acceso a la justicia y el acceso a información, respectivamente (véase el cuadro 47). </w:t>
      </w:r>
      <w:bookmarkStart w:id="533" w:name="_Toc235821320"/>
      <w:r w:rsidRPr="005E3D50">
        <w:rPr>
          <w:lang w:val="es-ES"/>
        </w:rPr>
        <w:t xml:space="preserve">La mayoría de las Partes tiende a abordar en sus metas nacionales la representación y participación de los pueblos indígenas y las comunidades locales, seguido de las mujeres y las niñas, luego la infancia y la juventud y por último las personas con discapacidad, que es el grupo que recibe menos atención en las metas nacionales. Dentro de cada uno de los cuatro grupos, la mayor proporción de Partes abordan la representación en la toma de decisiones en materia de biodiversidad, menos Partes abordan el acceso a información, y el acceso a la justicia es abordado por la proporción más baja. Alrededor de un cuarto de las Partes abordan el elemento de respeto de las culturas de los pueblos indígenas y las comunidades locales y sus derechos sobre las tierras, los territorios, los recursos y los conocimientos tradicionales. El elemento que se refiere a garantizar la protección plena de </w:t>
      </w:r>
      <w:proofErr w:type="gramStart"/>
      <w:r w:rsidRPr="005E3D50">
        <w:rPr>
          <w:lang w:val="es-ES"/>
        </w:rPr>
        <w:t>los defensores y las defensoras</w:t>
      </w:r>
      <w:proofErr w:type="gramEnd"/>
      <w:r w:rsidRPr="005E3D50">
        <w:rPr>
          <w:lang w:val="es-ES"/>
        </w:rPr>
        <w:t xml:space="preserve"> de los derechos humanos relacionados con el medio ambiente es el elemento de la meta que menos Partes (14 %) abordan en sus metas nacionales.</w:t>
      </w:r>
    </w:p>
    <w:p w14:paraId="5E16B1E8" w14:textId="77777777" w:rsidR="009713BF" w:rsidRPr="005E3D50" w:rsidRDefault="009713BF" w:rsidP="009713BF">
      <w:pPr>
        <w:rPr>
          <w:lang w:val="es-ES"/>
        </w:rPr>
      </w:pPr>
    </w:p>
    <w:p w14:paraId="27B40665" w14:textId="77777777" w:rsidR="009713BF" w:rsidRPr="005E3D50" w:rsidRDefault="009713BF" w:rsidP="009713BF">
      <w:pPr>
        <w:rPr>
          <w:lang w:val="es-ES"/>
        </w:rPr>
      </w:pPr>
      <w:r w:rsidRPr="005E3D50">
        <w:rPr>
          <w:lang w:val="es-ES"/>
        </w:rPr>
        <w:t>Indicadores de progresos</w:t>
      </w:r>
      <w:bookmarkEnd w:id="533"/>
    </w:p>
    <w:p w14:paraId="406626DC" w14:textId="77777777" w:rsidR="009713BF" w:rsidRPr="005E3D50" w:rsidRDefault="009713BF" w:rsidP="009713BF">
      <w:pPr>
        <w:spacing w:after="200" w:line="240" w:lineRule="auto"/>
        <w:rPr>
          <w:rFonts w:eastAsiaTheme="minorEastAsia"/>
          <w:iCs/>
          <w:color w:val="0E2841" w:themeColor="text2"/>
          <w:kern w:val="0"/>
          <w:sz w:val="20"/>
          <w:szCs w:val="20"/>
          <w:lang w:val="es-ES" w:eastAsia="ja-JP"/>
          <w14:ligatures w14:val="none"/>
        </w:rPr>
      </w:pPr>
    </w:p>
    <w:p w14:paraId="29ED9B6B" w14:textId="77777777" w:rsidR="009713BF" w:rsidRPr="005E3D50" w:rsidRDefault="009713BF" w:rsidP="009713BF">
      <w:pPr>
        <w:keepNext/>
        <w:keepLines/>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48 </w:t>
      </w:r>
    </w:p>
    <w:p w14:paraId="1B701504" w14:textId="77777777" w:rsidR="009713BF" w:rsidRPr="005E3D50" w:rsidRDefault="009713BF" w:rsidP="009713BF">
      <w:pPr>
        <w:keepNext/>
        <w:keepLines/>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22 del Marco</w:t>
      </w:r>
    </w:p>
    <w:p w14:paraId="35E2F652" w14:textId="77777777" w:rsidR="009713BF" w:rsidRPr="005E3D50" w:rsidRDefault="009713BF" w:rsidP="009713BF">
      <w:pPr>
        <w:keepNext/>
        <w:keepLines/>
        <w:rPr>
          <w:lang w:val="es-ES" w:eastAsia="ja-JP"/>
        </w:rPr>
      </w:pPr>
    </w:p>
    <w:tbl>
      <w:tblPr>
        <w:tblW w:w="9129" w:type="dxa"/>
        <w:tblLook w:val="04A0" w:firstRow="1" w:lastRow="0" w:firstColumn="1" w:lastColumn="0" w:noHBand="0" w:noVBand="1"/>
      </w:tblPr>
      <w:tblGrid>
        <w:gridCol w:w="4225"/>
        <w:gridCol w:w="1350"/>
        <w:gridCol w:w="900"/>
        <w:gridCol w:w="1800"/>
        <w:gridCol w:w="854"/>
      </w:tblGrid>
      <w:tr w:rsidR="009713BF" w:rsidRPr="005E3D50" w14:paraId="57718954" w14:textId="77777777" w:rsidTr="006E6831">
        <w:trPr>
          <w:trHeight w:val="1050"/>
        </w:trPr>
        <w:tc>
          <w:tcPr>
            <w:tcW w:w="4225" w:type="dxa"/>
            <w:tcBorders>
              <w:top w:val="single" w:sz="4" w:space="0" w:color="auto"/>
              <w:left w:val="single" w:sz="4" w:space="0" w:color="auto"/>
              <w:bottom w:val="single" w:sz="4" w:space="0" w:color="auto"/>
              <w:right w:val="single" w:sz="4" w:space="0" w:color="auto"/>
            </w:tcBorders>
            <w:shd w:val="clear" w:color="000000" w:fill="FFFFFF"/>
            <w:vAlign w:val="center"/>
          </w:tcPr>
          <w:p w14:paraId="5F1086A6"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eastAsia="en-CA"/>
                <w14:ligatures w14:val="none"/>
              </w:rPr>
            </w:pPr>
          </w:p>
        </w:tc>
        <w:tc>
          <w:tcPr>
            <w:tcW w:w="2250" w:type="dxa"/>
            <w:gridSpan w:val="2"/>
            <w:tcBorders>
              <w:top w:val="single" w:sz="4" w:space="0" w:color="auto"/>
              <w:left w:val="nil"/>
              <w:bottom w:val="single" w:sz="4" w:space="0" w:color="auto"/>
              <w:right w:val="single" w:sz="4" w:space="0" w:color="auto"/>
            </w:tcBorders>
            <w:vAlign w:val="center"/>
          </w:tcPr>
          <w:p w14:paraId="180A6680"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2654" w:type="dxa"/>
            <w:gridSpan w:val="2"/>
            <w:tcBorders>
              <w:top w:val="single" w:sz="4" w:space="0" w:color="auto"/>
              <w:left w:val="nil"/>
              <w:bottom w:val="single" w:sz="4" w:space="0" w:color="auto"/>
              <w:right w:val="single" w:sz="4" w:space="0" w:color="auto"/>
            </w:tcBorders>
            <w:vAlign w:val="center"/>
          </w:tcPr>
          <w:p w14:paraId="620AE7F5"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9713BF" w:rsidRPr="005E3D50" w14:paraId="6C56BC4A" w14:textId="77777777" w:rsidTr="006E6831">
        <w:trPr>
          <w:trHeight w:val="1050"/>
        </w:trPr>
        <w:tc>
          <w:tcPr>
            <w:tcW w:w="42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AE47DD"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Indicador de cabecera 22.1: cambio en el uso de la tierra y la tenencia de la tierra en los territorios tradicionales de los pueblos indígenas y las comunidades locales</w:t>
            </w:r>
          </w:p>
        </w:tc>
        <w:tc>
          <w:tcPr>
            <w:tcW w:w="1350" w:type="dxa"/>
            <w:tcBorders>
              <w:top w:val="single" w:sz="4" w:space="0" w:color="auto"/>
              <w:left w:val="nil"/>
              <w:bottom w:val="single" w:sz="4" w:space="0" w:color="auto"/>
              <w:right w:val="single" w:sz="4" w:space="0" w:color="auto"/>
            </w:tcBorders>
            <w:vAlign w:val="center"/>
            <w:hideMark/>
          </w:tcPr>
          <w:p w14:paraId="6E07B5C9"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7 % de las Partes</w:t>
            </w:r>
          </w:p>
        </w:tc>
        <w:tc>
          <w:tcPr>
            <w:tcW w:w="900" w:type="dxa"/>
            <w:tcBorders>
              <w:top w:val="single" w:sz="4" w:space="0" w:color="auto"/>
              <w:left w:val="nil"/>
              <w:bottom w:val="single" w:sz="4" w:space="0" w:color="auto"/>
              <w:right w:val="single" w:sz="4" w:space="0" w:color="auto"/>
            </w:tcBorders>
            <w:shd w:val="clear" w:color="000000" w:fill="C00000"/>
            <w:vAlign w:val="center"/>
            <w:hideMark/>
          </w:tcPr>
          <w:p w14:paraId="38D5CB51" w14:textId="77777777" w:rsidR="009713BF" w:rsidRPr="005E3D50" w:rsidRDefault="009713BF" w:rsidP="009713BF">
            <w:pPr>
              <w:keepNext/>
              <w:keepLines/>
              <w:spacing w:after="0" w:line="240" w:lineRule="auto"/>
              <w:jc w:val="center"/>
              <w:rPr>
                <w:rFonts w:ascii="Aptos" w:eastAsia="Times New Roman" w:hAnsi="Aptos" w:cs="Times New Roman"/>
                <w:color w:val="000000"/>
                <w:kern w:val="0"/>
                <w:sz w:val="20"/>
                <w:szCs w:val="20"/>
                <w:lang w:val="es-ES" w:eastAsia="en-CA"/>
                <w14:ligatures w14:val="none"/>
              </w:rPr>
            </w:pPr>
          </w:p>
        </w:tc>
        <w:tc>
          <w:tcPr>
            <w:tcW w:w="1800" w:type="dxa"/>
            <w:tcBorders>
              <w:top w:val="single" w:sz="4" w:space="0" w:color="auto"/>
              <w:left w:val="nil"/>
              <w:bottom w:val="single" w:sz="4" w:space="0" w:color="auto"/>
              <w:right w:val="single" w:sz="4" w:space="0" w:color="auto"/>
            </w:tcBorders>
            <w:vAlign w:val="center"/>
            <w:hideMark/>
          </w:tcPr>
          <w:p w14:paraId="7CE5C075"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Sin resultados: solo una Parte presentó el indicador completo conforme a lo descrito en los metadatos</w:t>
            </w:r>
          </w:p>
        </w:tc>
        <w:tc>
          <w:tcPr>
            <w:tcW w:w="854" w:type="dxa"/>
            <w:tcBorders>
              <w:top w:val="single" w:sz="4" w:space="0" w:color="auto"/>
              <w:left w:val="nil"/>
              <w:bottom w:val="single" w:sz="4" w:space="0" w:color="auto"/>
              <w:right w:val="single" w:sz="4" w:space="0" w:color="auto"/>
            </w:tcBorders>
            <w:shd w:val="clear" w:color="000000" w:fill="AEAAAA"/>
            <w:vAlign w:val="center"/>
            <w:hideMark/>
          </w:tcPr>
          <w:p w14:paraId="15154723" w14:textId="77777777" w:rsidR="009713BF" w:rsidRPr="005E3D50" w:rsidRDefault="009713BF" w:rsidP="009713BF">
            <w:pPr>
              <w:keepNext/>
              <w:keepLines/>
              <w:spacing w:after="0" w:line="240" w:lineRule="auto"/>
              <w:jc w:val="center"/>
              <w:rPr>
                <w:rFonts w:ascii="Aptos" w:eastAsia="Times New Roman" w:hAnsi="Aptos" w:cs="Calibri"/>
                <w:color w:val="000000"/>
                <w:kern w:val="0"/>
                <w:sz w:val="20"/>
                <w:szCs w:val="20"/>
                <w:lang w:val="es-ES" w:eastAsia="en-CA"/>
                <w14:ligatures w14:val="none"/>
              </w:rPr>
            </w:pPr>
          </w:p>
        </w:tc>
      </w:tr>
      <w:tr w:rsidR="009713BF" w:rsidRPr="005E3D50" w14:paraId="58C0FEEA" w14:textId="77777777" w:rsidTr="006E6831">
        <w:trPr>
          <w:trHeight w:val="1050"/>
        </w:trPr>
        <w:tc>
          <w:tcPr>
            <w:tcW w:w="4225" w:type="dxa"/>
            <w:tcBorders>
              <w:top w:val="nil"/>
              <w:left w:val="single" w:sz="4" w:space="0" w:color="auto"/>
              <w:bottom w:val="single" w:sz="4" w:space="0" w:color="auto"/>
              <w:right w:val="single" w:sz="4" w:space="0" w:color="auto"/>
            </w:tcBorders>
            <w:shd w:val="clear" w:color="000000" w:fill="FFFFFF"/>
            <w:vAlign w:val="center"/>
            <w:hideMark/>
          </w:tcPr>
          <w:p w14:paraId="5682540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c>
          <w:tcPr>
            <w:tcW w:w="1350" w:type="dxa"/>
            <w:tcBorders>
              <w:top w:val="nil"/>
              <w:left w:val="nil"/>
              <w:bottom w:val="single" w:sz="4" w:space="0" w:color="auto"/>
              <w:right w:val="single" w:sz="4" w:space="0" w:color="auto"/>
            </w:tcBorders>
            <w:vAlign w:val="center"/>
            <w:hideMark/>
          </w:tcPr>
          <w:p w14:paraId="60DE4ECF"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900" w:type="dxa"/>
            <w:tcBorders>
              <w:top w:val="nil"/>
              <w:left w:val="nil"/>
              <w:bottom w:val="single" w:sz="4" w:space="0" w:color="auto"/>
              <w:right w:val="single" w:sz="4" w:space="0" w:color="auto"/>
            </w:tcBorders>
            <w:vAlign w:val="center"/>
            <w:hideMark/>
          </w:tcPr>
          <w:p w14:paraId="4B8232DD" w14:textId="77777777" w:rsidR="009713BF" w:rsidRPr="005E3D50" w:rsidRDefault="009713BF" w:rsidP="009713BF">
            <w:pPr>
              <w:spacing w:after="0" w:line="240" w:lineRule="auto"/>
              <w:jc w:val="center"/>
              <w:rPr>
                <w:rFonts w:eastAsia="Times New Roman" w:cs="Times New Roman"/>
                <w:color w:val="000000"/>
                <w:kern w:val="0"/>
                <w:sz w:val="20"/>
                <w:szCs w:val="20"/>
                <w:lang w:val="es-ES"/>
                <w14:ligatures w14:val="none"/>
              </w:rPr>
            </w:pPr>
            <w:r w:rsidRPr="005E3D50">
              <w:rPr>
                <w:sz w:val="20"/>
                <w:szCs w:val="20"/>
                <w:lang w:val="es-ES"/>
              </w:rPr>
              <w:t xml:space="preserve">n. </w:t>
            </w:r>
            <w:proofErr w:type="spellStart"/>
            <w:proofErr w:type="gramStart"/>
            <w:r w:rsidRPr="005E3D50">
              <w:rPr>
                <w:sz w:val="20"/>
                <w:szCs w:val="20"/>
                <w:lang w:val="es-ES"/>
              </w:rPr>
              <w:t>a.</w:t>
            </w:r>
            <w:r w:rsidRPr="005E3D50">
              <w:rPr>
                <w:sz w:val="20"/>
                <w:szCs w:val="20"/>
                <w:vertAlign w:val="superscript"/>
                <w:lang w:val="es-ES"/>
              </w:rPr>
              <w:t>a</w:t>
            </w:r>
            <w:proofErr w:type="spellEnd"/>
            <w:proofErr w:type="gramEnd"/>
          </w:p>
        </w:tc>
        <w:tc>
          <w:tcPr>
            <w:tcW w:w="1800" w:type="dxa"/>
            <w:tcBorders>
              <w:top w:val="nil"/>
              <w:left w:val="nil"/>
              <w:bottom w:val="single" w:sz="4" w:space="0" w:color="auto"/>
              <w:right w:val="single" w:sz="4" w:space="0" w:color="auto"/>
            </w:tcBorders>
            <w:vAlign w:val="center"/>
            <w:hideMark/>
          </w:tcPr>
          <w:p w14:paraId="5CE6360E"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El 62 % de las Partes tuvieron una puntuación alta (puntuación de 4 o 5)</w:t>
            </w:r>
          </w:p>
        </w:tc>
        <w:tc>
          <w:tcPr>
            <w:tcW w:w="854" w:type="dxa"/>
            <w:tcBorders>
              <w:top w:val="nil"/>
              <w:left w:val="nil"/>
              <w:bottom w:val="single" w:sz="4" w:space="0" w:color="auto"/>
              <w:right w:val="single" w:sz="4" w:space="0" w:color="auto"/>
            </w:tcBorders>
            <w:shd w:val="clear" w:color="000000" w:fill="92D050"/>
            <w:vAlign w:val="center"/>
            <w:hideMark/>
          </w:tcPr>
          <w:p w14:paraId="06B494E6"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9713BF" w:rsidRPr="005E3D50" w14:paraId="27234C21" w14:textId="77777777" w:rsidTr="006E6831">
        <w:trPr>
          <w:trHeight w:val="1050"/>
        </w:trPr>
        <w:tc>
          <w:tcPr>
            <w:tcW w:w="4225" w:type="dxa"/>
            <w:tcBorders>
              <w:top w:val="nil"/>
              <w:left w:val="single" w:sz="4" w:space="0" w:color="auto"/>
              <w:bottom w:val="single" w:sz="4" w:space="0" w:color="auto"/>
              <w:right w:val="single" w:sz="4" w:space="0" w:color="auto"/>
            </w:tcBorders>
            <w:shd w:val="clear" w:color="000000" w:fill="FFFFFF"/>
            <w:vAlign w:val="center"/>
            <w:hideMark/>
          </w:tcPr>
          <w:p w14:paraId="7F003C2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Todos los</w:t>
            </w:r>
            <w:r w:rsidRPr="005E3D50">
              <w:rPr>
                <w:color w:val="000000"/>
                <w:sz w:val="20"/>
                <w:lang w:val="es-ES"/>
              </w:rPr>
              <w:t xml:space="preserve"> </w:t>
            </w:r>
            <w:r w:rsidRPr="005E3D50">
              <w:rPr>
                <w:rFonts w:ascii="Aptos" w:hAnsi="Aptos"/>
                <w:color w:val="000000"/>
                <w:sz w:val="20"/>
                <w:lang w:val="es-ES"/>
              </w:rPr>
              <w:t>indicadores cuantitativos combinados</w:t>
            </w:r>
          </w:p>
        </w:tc>
        <w:tc>
          <w:tcPr>
            <w:tcW w:w="1350" w:type="dxa"/>
            <w:tcBorders>
              <w:top w:val="nil"/>
              <w:left w:val="nil"/>
              <w:bottom w:val="single" w:sz="4" w:space="0" w:color="auto"/>
              <w:right w:val="single" w:sz="4" w:space="0" w:color="auto"/>
            </w:tcBorders>
            <w:vAlign w:val="center"/>
            <w:hideMark/>
          </w:tcPr>
          <w:p w14:paraId="4710D2FA" w14:textId="77777777" w:rsidR="009713BF" w:rsidRPr="005E3D50" w:rsidRDefault="009713BF" w:rsidP="009713BF">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 xml:space="preserve">19 </w:t>
            </w:r>
            <w:proofErr w:type="gramStart"/>
            <w:r w:rsidRPr="005E3D50">
              <w:rPr>
                <w:sz w:val="20"/>
                <w:lang w:val="es-ES"/>
              </w:rPr>
              <w:t>Partes</w:t>
            </w:r>
            <w:proofErr w:type="gramEnd"/>
            <w:r w:rsidRPr="005E3D50">
              <w:rPr>
                <w:sz w:val="20"/>
                <w:lang w:val="es-ES"/>
              </w:rPr>
              <w:t>, 15 %</w:t>
            </w:r>
          </w:p>
        </w:tc>
        <w:tc>
          <w:tcPr>
            <w:tcW w:w="900" w:type="dxa"/>
            <w:tcBorders>
              <w:top w:val="nil"/>
              <w:left w:val="nil"/>
              <w:bottom w:val="single" w:sz="4" w:space="0" w:color="auto"/>
              <w:right w:val="single" w:sz="4" w:space="0" w:color="auto"/>
            </w:tcBorders>
            <w:shd w:val="clear" w:color="000000" w:fill="C00000"/>
            <w:vAlign w:val="center"/>
            <w:hideMark/>
          </w:tcPr>
          <w:p w14:paraId="6B7A91D1"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1800" w:type="dxa"/>
            <w:tcBorders>
              <w:top w:val="nil"/>
              <w:left w:val="nil"/>
              <w:bottom w:val="single" w:sz="4" w:space="0" w:color="auto"/>
              <w:right w:val="single" w:sz="4" w:space="0" w:color="auto"/>
            </w:tcBorders>
            <w:vAlign w:val="center"/>
            <w:hideMark/>
          </w:tcPr>
          <w:p w14:paraId="5838E653" w14:textId="77777777" w:rsidR="009713BF" w:rsidRPr="005E3D50" w:rsidRDefault="009713BF" w:rsidP="009713BF">
            <w:pPr>
              <w:jc w:val="center"/>
              <w:rPr>
                <w:sz w:val="20"/>
                <w:szCs w:val="20"/>
                <w:lang w:val="es-ES"/>
              </w:rPr>
            </w:pPr>
            <w:r w:rsidRPr="005E3D50">
              <w:rPr>
                <w:sz w:val="20"/>
                <w:lang w:val="es-ES"/>
              </w:rPr>
              <w:t>18 % registran tendencias positivas</w:t>
            </w:r>
          </w:p>
          <w:p w14:paraId="19E8F178"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14:ligatures w14:val="none"/>
              </w:rPr>
            </w:pPr>
            <w:r w:rsidRPr="005E3D50">
              <w:rPr>
                <w:sz w:val="20"/>
                <w:lang w:val="es-ES"/>
              </w:rPr>
              <w:t>19 % registran tendencias negativas</w:t>
            </w:r>
          </w:p>
        </w:tc>
        <w:tc>
          <w:tcPr>
            <w:tcW w:w="854" w:type="dxa"/>
            <w:tcBorders>
              <w:top w:val="nil"/>
              <w:left w:val="nil"/>
              <w:bottom w:val="single" w:sz="4" w:space="0" w:color="auto"/>
              <w:right w:val="single" w:sz="4" w:space="0" w:color="auto"/>
            </w:tcBorders>
            <w:shd w:val="clear" w:color="000000" w:fill="C00000"/>
            <w:vAlign w:val="center"/>
            <w:hideMark/>
          </w:tcPr>
          <w:p w14:paraId="188450FA" w14:textId="77777777" w:rsidR="009713BF" w:rsidRPr="005E3D50" w:rsidRDefault="009713BF" w:rsidP="009713BF">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102C6881" w14:textId="77777777" w:rsidR="009713BF" w:rsidRPr="005E3D50" w:rsidRDefault="009713BF" w:rsidP="009713BF">
      <w:pPr>
        <w:spacing w:after="0" w:line="240" w:lineRule="auto"/>
        <w:rPr>
          <w:rFonts w:ascii="Aptos" w:eastAsia="Times New Roman" w:hAnsi="Aptos" w:cs="Times New Roman"/>
          <w:color w:val="000000"/>
          <w:kern w:val="0"/>
          <w:lang w:val="es-ES" w:eastAsia="en-GB"/>
          <w14:ligatures w14:val="none"/>
        </w:rPr>
      </w:pPr>
    </w:p>
    <w:p w14:paraId="12B1E087" w14:textId="77777777" w:rsidR="009713BF" w:rsidRPr="005E3D50" w:rsidRDefault="009713BF" w:rsidP="009713BF">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w:t>
      </w:r>
      <w:r w:rsidRPr="005E3D50">
        <w:rPr>
          <w:sz w:val="16"/>
          <w:lang w:val="es-ES"/>
        </w:rPr>
        <w:t>cuadro 3</w:t>
      </w:r>
      <w:r w:rsidRPr="005E3D50">
        <w:rPr>
          <w:rFonts w:ascii="Aptos" w:hAnsi="Aptos"/>
          <w:sz w:val="16"/>
          <w:lang w:val="es-ES"/>
        </w:rPr>
        <w:t xml:space="preserve">).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w:t>
      </w:r>
      <w:r w:rsidRPr="005E3D50">
        <w:rPr>
          <w:rFonts w:ascii="Aptos" w:hAnsi="Aptos"/>
          <w:sz w:val="16"/>
          <w:lang w:val="es-ES"/>
        </w:rPr>
        <w:lastRenderedPageBreak/>
        <w:t>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4CFF4F58" w14:textId="77777777" w:rsidR="009713BF" w:rsidRPr="005E3D50" w:rsidRDefault="009713BF" w:rsidP="009713BF">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20"/>
          <w:szCs w:val="20"/>
          <w:lang w:val="es-ES" w:eastAsia="ja-JP"/>
          <w14:ligatures w14:val="none"/>
        </w:rPr>
        <w:t> </w:t>
      </w:r>
      <w:r w:rsidRPr="005E3D50">
        <w:rPr>
          <w:rFonts w:eastAsiaTheme="minorEastAsia"/>
          <w:kern w:val="0"/>
          <w:sz w:val="16"/>
          <w:szCs w:val="16"/>
          <w:lang w:val="es-ES" w:eastAsia="ja-JP"/>
          <w14:ligatures w14:val="none"/>
        </w:rPr>
        <w:t>Dado</w:t>
      </w:r>
      <w:r w:rsidRPr="005E3D50">
        <w:rPr>
          <w:rFonts w:eastAsiaTheme="minorEastAsia"/>
          <w:kern w:val="0"/>
          <w:sz w:val="16"/>
          <w:szCs w:val="20"/>
          <w:lang w:val="es-ES" w:eastAsia="ja-JP"/>
          <w14:ligatures w14:val="none"/>
        </w:rPr>
        <w:t xml:space="preserve">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7993B490" w14:textId="77777777" w:rsidR="009713BF" w:rsidRPr="005E3D50" w:rsidRDefault="009713BF" w:rsidP="009713BF">
      <w:pPr>
        <w:rPr>
          <w:rFonts w:ascii="Aptos" w:hAnsi="Aptos"/>
          <w:strike/>
          <w:lang w:val="es-ES"/>
        </w:rPr>
      </w:pPr>
    </w:p>
    <w:p w14:paraId="3282F119" w14:textId="77777777" w:rsidR="009713BF" w:rsidRPr="005E3D50" w:rsidRDefault="009713BF" w:rsidP="009713BF">
      <w:pPr>
        <w:rPr>
          <w:lang w:val="es-ES"/>
        </w:rPr>
      </w:pPr>
    </w:p>
    <w:p w14:paraId="64681E6D" w14:textId="77777777" w:rsidR="009713BF" w:rsidRPr="005E3D50" w:rsidRDefault="009713BF" w:rsidP="009713BF">
      <w:pPr>
        <w:rPr>
          <w:lang w:val="es-ES"/>
        </w:rPr>
      </w:pPr>
      <w:r w:rsidRPr="005E3D50">
        <w:rPr>
          <w:lang w:val="es-ES"/>
        </w:rPr>
        <w:t>Solo una de las Partes informó sobre el indicador de cabecera 22.1 (</w:t>
      </w:r>
      <w:r w:rsidRPr="005E3D50">
        <w:rPr>
          <w:rFonts w:ascii="Aptos" w:hAnsi="Aptos"/>
          <w:color w:val="000000"/>
          <w:lang w:val="es-ES"/>
        </w:rPr>
        <w:t>cambio en el uso de la tierra y la tenencia de la tierra en los territorios tradicionales de los pueblos indígenas y las comunidades locales)</w:t>
      </w:r>
      <w:r w:rsidRPr="005E3D50">
        <w:rPr>
          <w:lang w:val="es-ES"/>
        </w:rPr>
        <w:t xml:space="preserve"> y solo un pequeño porcentaje de Partes (15 %) informaron sobre indicadores cuantitativos para la meta 22 (véase el cuadro 48). Los indicadores adicionales presentados por las Partes </w:t>
      </w:r>
      <w:proofErr w:type="gramStart"/>
      <w:r w:rsidRPr="005E3D50">
        <w:rPr>
          <w:lang w:val="es-ES"/>
        </w:rPr>
        <w:t>se centraron principalmente en</w:t>
      </w:r>
      <w:proofErr w:type="gramEnd"/>
      <w:r w:rsidRPr="005E3D50">
        <w:rPr>
          <w:lang w:val="es-ES"/>
        </w:rPr>
        <w:t xml:space="preserve"> la participación, y no se proporcionó información sobre elementos importantes, tales como el acceso a información, la inclusión de personas con discapacidad, la protección de </w:t>
      </w:r>
      <w:proofErr w:type="gramStart"/>
      <w:r w:rsidRPr="005E3D50">
        <w:rPr>
          <w:lang w:val="es-ES"/>
        </w:rPr>
        <w:t>los defensores y las defensoras</w:t>
      </w:r>
      <w:proofErr w:type="gramEnd"/>
      <w:r w:rsidRPr="005E3D50">
        <w:rPr>
          <w:lang w:val="es-ES"/>
        </w:rPr>
        <w:t xml:space="preserve"> de los derechos humanos relacionados con el medio ambiente y los derechos culturales de los pueblos indígenas y las comunidades locales. El análisis de tendencias de los indicadores cuantitativos presentados no arroja tendencias positivas ni negativas generales y no puede considerarse representativo de todas las Partes ni de todos los elementos de la meta (véase la figura 90). Entre otras limitaciones las Partes mencionaron dificultades metodológicas, sistemas de recolección de datos insuficientemente desarrollados, información fragmentada sobre tenencia de la tierra y dificultades jurídicas en la definición de territorios tradicionales. </w:t>
      </w:r>
    </w:p>
    <w:p w14:paraId="09642D58" w14:textId="77777777" w:rsidR="009713BF" w:rsidRPr="005E3D50" w:rsidRDefault="009713BF" w:rsidP="009713BF">
      <w:pPr>
        <w:rPr>
          <w:lang w:val="es-ES"/>
        </w:rPr>
      </w:pPr>
      <w:r w:rsidRPr="005E3D50">
        <w:rPr>
          <w:lang w:val="es-ES"/>
        </w:rPr>
        <w:t xml:space="preserve">Los datos recopilados por el Instituto de Recursos Mundiales para la plataforma LandMark muestran, sobre la base de datos de 2024, que un poco más de la mitad de los territorios bajo tenencia de pueblos indígenas y comunidades locales o utilizados por estos cuentan con reconocimiento jurídico (cálculo correspondiente a los 102 países en la base de datos), que cerca de tres cuartos de los pueblos indígenas y las comunidades locales perciben que su tenencia está asegurada (cálculo correspondiente a los 108 países en la base de datos) y que el 95 % de la tierra en estos territorios sigue estando en condiciones naturales (cálculo correspondiente a los 82 países en la base de datos) (véase la figura 88) (LandMark, 2024 y 2025). </w:t>
      </w:r>
    </w:p>
    <w:p w14:paraId="632C321A" w14:textId="77777777" w:rsidR="009713BF" w:rsidRPr="005E3D50" w:rsidRDefault="009713BF" w:rsidP="009713BF">
      <w:pPr>
        <w:rPr>
          <w:lang w:val="es-ES"/>
        </w:rPr>
      </w:pPr>
      <w:r w:rsidRPr="005E3D50">
        <w:rPr>
          <w:lang w:val="es-ES"/>
        </w:rPr>
        <w:t xml:space="preserve">Con respecto al indicador binario de la meta 22, muchas Partes comunicaron progresos en la creación de condiciones propicias para la inclusión y la participación basada en los </w:t>
      </w:r>
      <w:r w:rsidRPr="005E3D50">
        <w:rPr>
          <w:lang w:val="es-ES"/>
        </w:rPr>
        <w:lastRenderedPageBreak/>
        <w:t xml:space="preserve">derechos, esfuerzos tendientes a garantizar la representación de los pueblos indígenas y las comunidades locales, las mujeres, la juventud y las personas con discapacidad y políticas relacionadas con el acceso a la justicia y la protección de </w:t>
      </w:r>
      <w:proofErr w:type="gramStart"/>
      <w:r w:rsidRPr="005E3D50">
        <w:rPr>
          <w:lang w:val="es-ES"/>
        </w:rPr>
        <w:t>los defensores y las defensoras</w:t>
      </w:r>
      <w:proofErr w:type="gramEnd"/>
      <w:r w:rsidRPr="005E3D50">
        <w:rPr>
          <w:lang w:val="es-ES"/>
        </w:rPr>
        <w:t xml:space="preserve"> de los derechos humanos. Muy pocas Partes, sin embargo, comunicaron progresos en la totalidad de estas áreas (véase la figura 89). </w:t>
      </w:r>
    </w:p>
    <w:p w14:paraId="318B04EF" w14:textId="77777777" w:rsidR="009713BF" w:rsidRPr="005E3D50" w:rsidRDefault="009713BF" w:rsidP="009713BF">
      <w:pPr>
        <w:rPr>
          <w:sz w:val="20"/>
          <w:szCs w:val="20"/>
          <w:lang w:val="es-ES"/>
        </w:rPr>
      </w:pPr>
      <w:bookmarkStart w:id="534" w:name="_Ref238811794"/>
    </w:p>
    <w:bookmarkEnd w:id="534"/>
    <w:p w14:paraId="3D491778" w14:textId="77777777" w:rsidR="009713BF" w:rsidRPr="005E3D50" w:rsidRDefault="009713BF" w:rsidP="009713BF">
      <w:pPr>
        <w:rPr>
          <w:sz w:val="20"/>
          <w:szCs w:val="20"/>
          <w:lang w:val="es-ES"/>
        </w:rPr>
      </w:pPr>
      <w:r w:rsidRPr="005E3D50">
        <w:rPr>
          <w:sz w:val="20"/>
          <w:lang w:val="es-ES"/>
        </w:rPr>
        <w:t>Figura 88</w:t>
      </w:r>
    </w:p>
    <w:p w14:paraId="38163DD9" w14:textId="77777777" w:rsidR="009713BF" w:rsidRPr="005E3D50" w:rsidRDefault="009713BF" w:rsidP="009713BF">
      <w:pPr>
        <w:rPr>
          <w:b/>
          <w:bCs/>
          <w:sz w:val="20"/>
          <w:szCs w:val="20"/>
          <w:lang w:val="es-ES"/>
        </w:rPr>
      </w:pPr>
      <w:r w:rsidRPr="005E3D50">
        <w:rPr>
          <w:b/>
          <w:sz w:val="20"/>
          <w:lang w:val="es-ES"/>
        </w:rPr>
        <w:t>Indicador de cabecera 22.1: cambio en el uso de la tierra y la tenencia de la tierra en los territorios tradicionales de los pueblos indígenas y las comunidades locales</w:t>
      </w:r>
    </w:p>
    <w:p w14:paraId="484F6CD9" w14:textId="77777777" w:rsidR="009713BF" w:rsidRPr="005E3D50" w:rsidRDefault="009713BF" w:rsidP="009713BF">
      <w:pPr>
        <w:rPr>
          <w:lang w:val="es-ES"/>
        </w:rPr>
      </w:pPr>
    </w:p>
    <w:p w14:paraId="2A0F9175"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p>
    <w:p w14:paraId="324BFA11"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kern w:val="0"/>
          <w:lang w:val="es-ES"/>
          <w14:ligatures w14:val="none"/>
        </w:rPr>
        <w:t xml:space="preserve"> </w:t>
      </w:r>
      <w:r w:rsidRPr="005E3D50">
        <w:rPr>
          <w:rFonts w:ascii="Times New Roman" w:eastAsia="Times New Roman" w:hAnsi="Times New Roman" w:cs="Times New Roman"/>
          <w:noProof/>
          <w:kern w:val="0"/>
          <w:sz w:val="18"/>
          <w:lang w:val="en-US"/>
          <w14:ligatures w14:val="none"/>
        </w:rPr>
        <w:drawing>
          <wp:inline distT="0" distB="0" distL="0" distR="0" wp14:anchorId="10C0385D" wp14:editId="393F0527">
            <wp:extent cx="5731510" cy="3223895"/>
            <wp:effectExtent l="0" t="0" r="0" b="1905"/>
            <wp:docPr id="1422404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04778" name="Picture 1422404778"/>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7C5195F" w14:textId="77777777" w:rsidR="009713BF" w:rsidRDefault="009713BF" w:rsidP="009713BF">
      <w:pPr>
        <w:rPr>
          <w:sz w:val="20"/>
          <w:lang w:val="es-ES"/>
        </w:rPr>
      </w:pPr>
      <w:r w:rsidRPr="005E3D50">
        <w:rPr>
          <w:i/>
          <w:sz w:val="20"/>
          <w:lang w:val="es-ES"/>
        </w:rPr>
        <w:t>Nota:</w:t>
      </w:r>
      <w:r w:rsidRPr="005E3D50">
        <w:rPr>
          <w:sz w:val="20"/>
          <w:lang w:val="es-ES"/>
        </w:rPr>
        <w:t xml:space="preserve"> Elaboración basada en datos de la plataforma LandMark del Instituto de Recursos Mundiales</w:t>
      </w:r>
      <w:r w:rsidRPr="005E3D50">
        <w:rPr>
          <w:rFonts w:ascii="Aptos" w:hAnsi="Aptos"/>
          <w:sz w:val="20"/>
          <w:lang w:val="es-ES"/>
        </w:rPr>
        <w:t xml:space="preserve"> (LandMark, 2024, 2025; Potapov y otros, 2024; </w:t>
      </w:r>
      <w:proofErr w:type="spellStart"/>
      <w:r w:rsidRPr="005E3D50">
        <w:rPr>
          <w:rFonts w:ascii="Aptos" w:hAnsi="Aptos"/>
          <w:sz w:val="20"/>
          <w:lang w:val="es-ES"/>
        </w:rPr>
        <w:t>Prindex</w:t>
      </w:r>
      <w:proofErr w:type="spellEnd"/>
      <w:r w:rsidRPr="005E3D50">
        <w:rPr>
          <w:rFonts w:ascii="Aptos" w:hAnsi="Aptos"/>
          <w:sz w:val="20"/>
          <w:lang w:val="es-ES"/>
        </w:rPr>
        <w:t>, 2024)</w:t>
      </w:r>
      <w:r w:rsidRPr="005E3D50">
        <w:rPr>
          <w:rFonts w:ascii="Aptos" w:hAnsi="Aptos"/>
          <w:i/>
          <w:sz w:val="20"/>
          <w:lang w:val="es-ES"/>
        </w:rPr>
        <w:t>.</w:t>
      </w:r>
      <w:r w:rsidRPr="005E3D50">
        <w:rPr>
          <w:rFonts w:ascii="Aptos" w:hAnsi="Aptos"/>
          <w:lang w:val="es-ES"/>
        </w:rPr>
        <w:t xml:space="preserve"> </w:t>
      </w:r>
      <w:r w:rsidRPr="005E3D50">
        <w:rPr>
          <w:sz w:val="20"/>
          <w:lang w:val="es-ES"/>
        </w:rPr>
        <w:t>Cada valor representa una dimensión diferente de la relación de los pueblos indígenas y las comunidades locales con sus territorios tradicionales. Cabe señalar que no todas las dimensiones representan la misma cantidad de Partes, debido a la disponibilidad de datos, de manera que no se puede hacer una comparación directa. Cada dimensión se muestra como un promedio de todas las Partes. El gráfico de barras muestra la distribución de las Partes para las cuales se dispone de información, por región.</w:t>
      </w:r>
      <w:r w:rsidRPr="005E3D50">
        <w:rPr>
          <w:rFonts w:ascii="Arial" w:hAnsi="Arial"/>
          <w:sz w:val="20"/>
          <w:lang w:val="es-ES"/>
        </w:rPr>
        <w:t> </w:t>
      </w:r>
      <w:r w:rsidRPr="005E3D50">
        <w:rPr>
          <w:sz w:val="20"/>
          <w:lang w:val="es-ES"/>
        </w:rPr>
        <w:t>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77" w:type="dxa"/>
        <w:tblLook w:val="04A0" w:firstRow="1" w:lastRow="0" w:firstColumn="1" w:lastColumn="0" w:noHBand="0" w:noVBand="1"/>
      </w:tblPr>
      <w:tblGrid>
        <w:gridCol w:w="4029"/>
        <w:gridCol w:w="5448"/>
      </w:tblGrid>
      <w:tr w:rsidR="00550016" w:rsidRPr="00E944B1" w14:paraId="62D77BEE" w14:textId="77777777" w:rsidTr="00550016">
        <w:tc>
          <w:tcPr>
            <w:tcW w:w="9477" w:type="dxa"/>
            <w:gridSpan w:val="2"/>
          </w:tcPr>
          <w:p w14:paraId="1662AEC5" w14:textId="54BE1726" w:rsidR="00550016" w:rsidRPr="00550016" w:rsidRDefault="00550016" w:rsidP="00550016">
            <w:pPr>
              <w:rPr>
                <w:sz w:val="18"/>
                <w:szCs w:val="18"/>
                <w:lang w:val="es-ES"/>
              </w:rPr>
            </w:pPr>
            <w:r w:rsidRPr="00550016">
              <w:rPr>
                <w:sz w:val="18"/>
                <w:szCs w:val="18"/>
                <w:lang w:val="es-ES"/>
              </w:rPr>
              <w:t>Figura 88</w:t>
            </w:r>
          </w:p>
        </w:tc>
      </w:tr>
      <w:tr w:rsidR="00550016" w:rsidRPr="00E944B1" w14:paraId="0AC32FA7" w14:textId="77777777" w:rsidTr="00550016">
        <w:tc>
          <w:tcPr>
            <w:tcW w:w="4029" w:type="dxa"/>
          </w:tcPr>
          <w:p w14:paraId="377BDA06" w14:textId="77777777" w:rsidR="00550016" w:rsidRPr="00550016" w:rsidRDefault="00550016" w:rsidP="00550016">
            <w:pPr>
              <w:spacing w:line="278" w:lineRule="auto"/>
              <w:rPr>
                <w:sz w:val="18"/>
                <w:szCs w:val="18"/>
                <w:lang w:val="es-ES"/>
              </w:rPr>
            </w:pPr>
            <w:r w:rsidRPr="00550016">
              <w:rPr>
                <w:sz w:val="18"/>
                <w:szCs w:val="18"/>
                <w:lang w:val="es-ES"/>
              </w:rPr>
              <w:t xml:space="preserve">English </w:t>
            </w:r>
          </w:p>
        </w:tc>
        <w:tc>
          <w:tcPr>
            <w:tcW w:w="5448" w:type="dxa"/>
          </w:tcPr>
          <w:p w14:paraId="4B22A28F" w14:textId="258D945E" w:rsidR="00550016" w:rsidRPr="00550016" w:rsidRDefault="00550016" w:rsidP="00550016">
            <w:pPr>
              <w:spacing w:line="278" w:lineRule="auto"/>
              <w:rPr>
                <w:sz w:val="18"/>
                <w:szCs w:val="18"/>
                <w:lang w:val="es-ES"/>
              </w:rPr>
            </w:pPr>
            <w:r w:rsidRPr="00550016">
              <w:rPr>
                <w:sz w:val="18"/>
                <w:szCs w:val="18"/>
                <w:lang w:val="es-ES"/>
              </w:rPr>
              <w:t>Español</w:t>
            </w:r>
          </w:p>
        </w:tc>
      </w:tr>
      <w:tr w:rsidR="00550016" w:rsidRPr="00E944B1" w14:paraId="7DF4EE7C" w14:textId="77777777" w:rsidTr="00550016">
        <w:tc>
          <w:tcPr>
            <w:tcW w:w="4029" w:type="dxa"/>
          </w:tcPr>
          <w:p w14:paraId="7D07DC20" w14:textId="77777777" w:rsidR="00550016" w:rsidRPr="00550016" w:rsidRDefault="00550016" w:rsidP="00550016">
            <w:pPr>
              <w:spacing w:line="278" w:lineRule="auto"/>
              <w:rPr>
                <w:sz w:val="18"/>
                <w:szCs w:val="18"/>
                <w:lang w:val="es-ES"/>
              </w:rPr>
            </w:pPr>
            <w:r w:rsidRPr="00550016">
              <w:rPr>
                <w:sz w:val="18"/>
                <w:szCs w:val="18"/>
                <w:lang w:val="es-ES"/>
              </w:rPr>
              <w:lastRenderedPageBreak/>
              <w:t xml:space="preserve">(a) Legal </w:t>
            </w:r>
            <w:proofErr w:type="spellStart"/>
            <w:r w:rsidRPr="00550016">
              <w:rPr>
                <w:sz w:val="18"/>
                <w:szCs w:val="18"/>
                <w:lang w:val="es-ES"/>
              </w:rPr>
              <w:t>recognition</w:t>
            </w:r>
            <w:proofErr w:type="spellEnd"/>
          </w:p>
        </w:tc>
        <w:tc>
          <w:tcPr>
            <w:tcW w:w="5448" w:type="dxa"/>
          </w:tcPr>
          <w:p w14:paraId="42DEF1F4" w14:textId="77777777" w:rsidR="00550016" w:rsidRPr="00550016" w:rsidRDefault="00550016" w:rsidP="00550016">
            <w:pPr>
              <w:spacing w:line="278" w:lineRule="auto"/>
              <w:rPr>
                <w:sz w:val="18"/>
                <w:szCs w:val="18"/>
                <w:lang w:val="es-ES"/>
              </w:rPr>
            </w:pPr>
            <w:r w:rsidRPr="00550016">
              <w:rPr>
                <w:sz w:val="18"/>
                <w:szCs w:val="18"/>
                <w:lang w:val="es-ES"/>
              </w:rPr>
              <w:t>a) Reconocimiento jurídico</w:t>
            </w:r>
          </w:p>
        </w:tc>
      </w:tr>
      <w:tr w:rsidR="00550016" w:rsidRPr="00E944B1" w14:paraId="1FF946AF" w14:textId="77777777" w:rsidTr="00550016">
        <w:tc>
          <w:tcPr>
            <w:tcW w:w="4029" w:type="dxa"/>
          </w:tcPr>
          <w:p w14:paraId="386E0AE0" w14:textId="77777777" w:rsidR="00550016" w:rsidRPr="00550016" w:rsidRDefault="00550016" w:rsidP="00550016">
            <w:pPr>
              <w:spacing w:line="278" w:lineRule="auto"/>
              <w:rPr>
                <w:sz w:val="18"/>
                <w:szCs w:val="18"/>
                <w:lang w:val="es-ES"/>
              </w:rPr>
            </w:pPr>
            <w:r w:rsidRPr="00550016">
              <w:rPr>
                <w:sz w:val="18"/>
                <w:szCs w:val="18"/>
                <w:lang w:val="es-ES"/>
              </w:rPr>
              <w:t xml:space="preserve">(b) </w:t>
            </w:r>
            <w:proofErr w:type="spellStart"/>
            <w:r w:rsidRPr="00550016">
              <w:rPr>
                <w:sz w:val="18"/>
                <w:szCs w:val="18"/>
                <w:lang w:val="es-ES"/>
              </w:rPr>
              <w:t>Perception</w:t>
            </w:r>
            <w:proofErr w:type="spellEnd"/>
          </w:p>
        </w:tc>
        <w:tc>
          <w:tcPr>
            <w:tcW w:w="5448" w:type="dxa"/>
          </w:tcPr>
          <w:p w14:paraId="50CE9364" w14:textId="77777777" w:rsidR="00550016" w:rsidRPr="00550016" w:rsidRDefault="00550016" w:rsidP="00550016">
            <w:pPr>
              <w:spacing w:line="278" w:lineRule="auto"/>
              <w:rPr>
                <w:sz w:val="18"/>
                <w:szCs w:val="18"/>
                <w:lang w:val="es-ES"/>
              </w:rPr>
            </w:pPr>
            <w:r w:rsidRPr="00550016">
              <w:rPr>
                <w:sz w:val="18"/>
                <w:szCs w:val="18"/>
                <w:lang w:val="es-ES"/>
              </w:rPr>
              <w:t>b) Percepción</w:t>
            </w:r>
          </w:p>
        </w:tc>
      </w:tr>
      <w:tr w:rsidR="00550016" w:rsidRPr="00E944B1" w14:paraId="1889402C" w14:textId="77777777" w:rsidTr="00550016">
        <w:tc>
          <w:tcPr>
            <w:tcW w:w="4029" w:type="dxa"/>
          </w:tcPr>
          <w:p w14:paraId="39197BDF" w14:textId="77777777" w:rsidR="00550016" w:rsidRPr="00550016" w:rsidRDefault="00550016" w:rsidP="00550016">
            <w:pPr>
              <w:spacing w:line="278" w:lineRule="auto"/>
              <w:rPr>
                <w:sz w:val="18"/>
                <w:szCs w:val="18"/>
                <w:lang w:val="es-ES"/>
              </w:rPr>
            </w:pPr>
            <w:r w:rsidRPr="00550016">
              <w:rPr>
                <w:sz w:val="18"/>
                <w:szCs w:val="18"/>
                <w:lang w:val="es-ES"/>
              </w:rPr>
              <w:t xml:space="preserve">(c) Natural </w:t>
            </w:r>
            <w:proofErr w:type="spellStart"/>
            <w:r w:rsidRPr="00550016">
              <w:rPr>
                <w:sz w:val="18"/>
                <w:szCs w:val="18"/>
                <w:lang w:val="es-ES"/>
              </w:rPr>
              <w:t>land</w:t>
            </w:r>
            <w:proofErr w:type="spellEnd"/>
          </w:p>
        </w:tc>
        <w:tc>
          <w:tcPr>
            <w:tcW w:w="5448" w:type="dxa"/>
          </w:tcPr>
          <w:p w14:paraId="677F450F" w14:textId="77777777" w:rsidR="00550016" w:rsidRPr="00550016" w:rsidRDefault="00550016" w:rsidP="00550016">
            <w:pPr>
              <w:spacing w:line="278" w:lineRule="auto"/>
              <w:rPr>
                <w:sz w:val="18"/>
                <w:szCs w:val="18"/>
                <w:lang w:val="es-ES"/>
              </w:rPr>
            </w:pPr>
            <w:r w:rsidRPr="00550016">
              <w:rPr>
                <w:sz w:val="18"/>
                <w:szCs w:val="18"/>
                <w:lang w:val="es-ES"/>
              </w:rPr>
              <w:t>c) Tierras naturales</w:t>
            </w:r>
          </w:p>
        </w:tc>
      </w:tr>
      <w:tr w:rsidR="00550016" w:rsidRPr="00E944B1" w14:paraId="4812FBF2" w14:textId="77777777" w:rsidTr="00550016">
        <w:tc>
          <w:tcPr>
            <w:tcW w:w="4029" w:type="dxa"/>
          </w:tcPr>
          <w:p w14:paraId="0BAFC9CE" w14:textId="77777777" w:rsidR="00550016" w:rsidRPr="00550016" w:rsidRDefault="00550016" w:rsidP="00550016">
            <w:pPr>
              <w:spacing w:line="278" w:lineRule="auto"/>
              <w:rPr>
                <w:sz w:val="18"/>
                <w:szCs w:val="18"/>
                <w:lang w:val="es-ES"/>
              </w:rPr>
            </w:pPr>
            <w:r w:rsidRPr="00550016">
              <w:rPr>
                <w:sz w:val="18"/>
                <w:szCs w:val="18"/>
                <w:lang w:val="es-ES"/>
              </w:rPr>
              <w:t xml:space="preserve">Party </w:t>
            </w:r>
            <w:proofErr w:type="spellStart"/>
            <w:r w:rsidRPr="00550016">
              <w:rPr>
                <w:sz w:val="18"/>
                <w:szCs w:val="18"/>
                <w:lang w:val="es-ES"/>
              </w:rPr>
              <w:t>count</w:t>
            </w:r>
            <w:proofErr w:type="spellEnd"/>
            <w:r w:rsidRPr="00550016">
              <w:rPr>
                <w:sz w:val="18"/>
                <w:szCs w:val="18"/>
                <w:lang w:val="es-ES"/>
              </w:rPr>
              <w:t>: 94</w:t>
            </w:r>
          </w:p>
        </w:tc>
        <w:tc>
          <w:tcPr>
            <w:tcW w:w="5448" w:type="dxa"/>
          </w:tcPr>
          <w:p w14:paraId="7B535C90" w14:textId="77777777" w:rsidR="00550016" w:rsidRPr="00550016" w:rsidRDefault="00550016" w:rsidP="00550016">
            <w:pPr>
              <w:spacing w:line="278" w:lineRule="auto"/>
              <w:rPr>
                <w:sz w:val="18"/>
                <w:szCs w:val="18"/>
                <w:lang w:val="es-ES"/>
              </w:rPr>
            </w:pPr>
            <w:r w:rsidRPr="00550016">
              <w:rPr>
                <w:sz w:val="18"/>
                <w:szCs w:val="18"/>
                <w:lang w:val="es-ES"/>
              </w:rPr>
              <w:t>Número de Partes: 94</w:t>
            </w:r>
          </w:p>
        </w:tc>
      </w:tr>
      <w:tr w:rsidR="00550016" w:rsidRPr="00E944B1" w14:paraId="3CAA76A3" w14:textId="77777777" w:rsidTr="00550016">
        <w:tc>
          <w:tcPr>
            <w:tcW w:w="4029" w:type="dxa"/>
          </w:tcPr>
          <w:p w14:paraId="3C4E0F9E" w14:textId="77777777" w:rsidR="00550016" w:rsidRPr="00550016" w:rsidRDefault="00550016" w:rsidP="00550016">
            <w:pPr>
              <w:spacing w:line="278" w:lineRule="auto"/>
              <w:rPr>
                <w:sz w:val="18"/>
                <w:szCs w:val="18"/>
                <w:lang w:val="es-ES"/>
              </w:rPr>
            </w:pPr>
            <w:r w:rsidRPr="00550016">
              <w:rPr>
                <w:sz w:val="18"/>
                <w:szCs w:val="18"/>
                <w:lang w:val="es-ES"/>
              </w:rPr>
              <w:t xml:space="preserve">Party </w:t>
            </w:r>
            <w:proofErr w:type="spellStart"/>
            <w:r w:rsidRPr="00550016">
              <w:rPr>
                <w:sz w:val="18"/>
                <w:szCs w:val="18"/>
                <w:lang w:val="es-ES"/>
              </w:rPr>
              <w:t>count</w:t>
            </w:r>
            <w:proofErr w:type="spellEnd"/>
            <w:r w:rsidRPr="00550016">
              <w:rPr>
                <w:sz w:val="18"/>
                <w:szCs w:val="18"/>
                <w:lang w:val="es-ES"/>
              </w:rPr>
              <w:t>: 101</w:t>
            </w:r>
          </w:p>
        </w:tc>
        <w:tc>
          <w:tcPr>
            <w:tcW w:w="5448" w:type="dxa"/>
          </w:tcPr>
          <w:p w14:paraId="3C0F93EB" w14:textId="77777777" w:rsidR="00550016" w:rsidRPr="00550016" w:rsidRDefault="00550016" w:rsidP="00550016">
            <w:pPr>
              <w:spacing w:line="278" w:lineRule="auto"/>
              <w:rPr>
                <w:sz w:val="18"/>
                <w:szCs w:val="18"/>
                <w:lang w:val="es-ES"/>
              </w:rPr>
            </w:pPr>
            <w:r w:rsidRPr="00550016">
              <w:rPr>
                <w:sz w:val="18"/>
                <w:szCs w:val="18"/>
                <w:lang w:val="es-ES"/>
              </w:rPr>
              <w:t>Número de Partes: 101</w:t>
            </w:r>
          </w:p>
        </w:tc>
      </w:tr>
      <w:tr w:rsidR="00550016" w:rsidRPr="00E944B1" w14:paraId="11D2BFBE" w14:textId="77777777" w:rsidTr="00550016">
        <w:tc>
          <w:tcPr>
            <w:tcW w:w="4029" w:type="dxa"/>
          </w:tcPr>
          <w:p w14:paraId="3FD514B5" w14:textId="77777777" w:rsidR="00550016" w:rsidRPr="00550016" w:rsidRDefault="00550016" w:rsidP="00550016">
            <w:pPr>
              <w:spacing w:line="278" w:lineRule="auto"/>
              <w:rPr>
                <w:sz w:val="18"/>
                <w:szCs w:val="18"/>
                <w:lang w:val="es-ES"/>
              </w:rPr>
            </w:pPr>
            <w:r w:rsidRPr="00550016">
              <w:rPr>
                <w:sz w:val="18"/>
                <w:szCs w:val="18"/>
                <w:lang w:val="es-ES"/>
              </w:rPr>
              <w:t xml:space="preserve">Party </w:t>
            </w:r>
            <w:proofErr w:type="spellStart"/>
            <w:r w:rsidRPr="00550016">
              <w:rPr>
                <w:sz w:val="18"/>
                <w:szCs w:val="18"/>
                <w:lang w:val="es-ES"/>
              </w:rPr>
              <w:t>count</w:t>
            </w:r>
            <w:proofErr w:type="spellEnd"/>
            <w:r w:rsidRPr="00550016">
              <w:rPr>
                <w:sz w:val="18"/>
                <w:szCs w:val="18"/>
                <w:lang w:val="es-ES"/>
              </w:rPr>
              <w:t>: 75</w:t>
            </w:r>
          </w:p>
        </w:tc>
        <w:tc>
          <w:tcPr>
            <w:tcW w:w="5448" w:type="dxa"/>
          </w:tcPr>
          <w:p w14:paraId="596EFC52" w14:textId="77777777" w:rsidR="00550016" w:rsidRPr="00550016" w:rsidRDefault="00550016" w:rsidP="00550016">
            <w:pPr>
              <w:spacing w:line="278" w:lineRule="auto"/>
              <w:rPr>
                <w:sz w:val="18"/>
                <w:szCs w:val="18"/>
                <w:lang w:val="es-ES"/>
              </w:rPr>
            </w:pPr>
            <w:r w:rsidRPr="00550016">
              <w:rPr>
                <w:sz w:val="18"/>
                <w:szCs w:val="18"/>
                <w:lang w:val="es-ES"/>
              </w:rPr>
              <w:t>Número de Partes: 75</w:t>
            </w:r>
          </w:p>
        </w:tc>
      </w:tr>
      <w:tr w:rsidR="00550016" w:rsidRPr="00E944B1" w14:paraId="78157F14" w14:textId="77777777" w:rsidTr="00550016">
        <w:tc>
          <w:tcPr>
            <w:tcW w:w="4029" w:type="dxa"/>
          </w:tcPr>
          <w:p w14:paraId="5D12895B" w14:textId="77777777" w:rsidR="00550016" w:rsidRPr="00550016" w:rsidRDefault="00550016" w:rsidP="00550016">
            <w:pPr>
              <w:spacing w:line="278" w:lineRule="auto"/>
              <w:rPr>
                <w:sz w:val="18"/>
                <w:szCs w:val="18"/>
                <w:lang w:val="es-ES"/>
              </w:rPr>
            </w:pPr>
            <w:r w:rsidRPr="00550016">
              <w:rPr>
                <w:sz w:val="18"/>
                <w:szCs w:val="18"/>
                <w:lang w:val="es-ES"/>
              </w:rPr>
              <w:t xml:space="preserve">Part </w:t>
            </w:r>
            <w:proofErr w:type="spellStart"/>
            <w:r w:rsidRPr="00550016">
              <w:rPr>
                <w:sz w:val="18"/>
                <w:szCs w:val="18"/>
                <w:lang w:val="es-ES"/>
              </w:rPr>
              <w:t>count</w:t>
            </w:r>
            <w:proofErr w:type="spellEnd"/>
            <w:r w:rsidRPr="00550016">
              <w:rPr>
                <w:sz w:val="18"/>
                <w:szCs w:val="18"/>
                <w:lang w:val="es-ES"/>
              </w:rPr>
              <w:t xml:space="preserve"> </w:t>
            </w:r>
            <w:proofErr w:type="spellStart"/>
            <w:r w:rsidRPr="00550016">
              <w:rPr>
                <w:sz w:val="18"/>
                <w:szCs w:val="18"/>
                <w:lang w:val="es-ES"/>
              </w:rPr>
              <w:t>by</w:t>
            </w:r>
            <w:proofErr w:type="spellEnd"/>
            <w:r w:rsidRPr="00550016">
              <w:rPr>
                <w:sz w:val="18"/>
                <w:szCs w:val="18"/>
                <w:lang w:val="es-ES"/>
              </w:rPr>
              <w:t xml:space="preserve"> </w:t>
            </w:r>
            <w:proofErr w:type="spellStart"/>
            <w:r w:rsidRPr="00550016">
              <w:rPr>
                <w:sz w:val="18"/>
                <w:szCs w:val="18"/>
                <w:lang w:val="es-ES"/>
              </w:rPr>
              <w:t>region</w:t>
            </w:r>
            <w:proofErr w:type="spellEnd"/>
          </w:p>
        </w:tc>
        <w:tc>
          <w:tcPr>
            <w:tcW w:w="5448" w:type="dxa"/>
          </w:tcPr>
          <w:p w14:paraId="012B602E" w14:textId="77777777" w:rsidR="00550016" w:rsidRPr="00550016" w:rsidRDefault="00550016" w:rsidP="00550016">
            <w:pPr>
              <w:spacing w:line="278" w:lineRule="auto"/>
              <w:rPr>
                <w:sz w:val="18"/>
                <w:szCs w:val="18"/>
                <w:lang w:val="es-ES"/>
              </w:rPr>
            </w:pPr>
            <w:r w:rsidRPr="00550016">
              <w:rPr>
                <w:sz w:val="18"/>
                <w:szCs w:val="18"/>
                <w:lang w:val="es-ES"/>
              </w:rPr>
              <w:t>Número de Partes por región</w:t>
            </w:r>
          </w:p>
        </w:tc>
      </w:tr>
      <w:tr w:rsidR="00550016" w:rsidRPr="00E944B1" w14:paraId="061DE904" w14:textId="77777777" w:rsidTr="00550016">
        <w:tc>
          <w:tcPr>
            <w:tcW w:w="4029" w:type="dxa"/>
          </w:tcPr>
          <w:p w14:paraId="6BB90F36" w14:textId="77777777" w:rsidR="00550016" w:rsidRPr="00550016" w:rsidRDefault="00550016" w:rsidP="00550016">
            <w:pPr>
              <w:spacing w:line="278" w:lineRule="auto"/>
              <w:rPr>
                <w:sz w:val="18"/>
                <w:szCs w:val="18"/>
                <w:lang w:val="es-ES"/>
              </w:rPr>
            </w:pPr>
            <w:proofErr w:type="spellStart"/>
            <w:r w:rsidRPr="00550016">
              <w:rPr>
                <w:sz w:val="18"/>
                <w:szCs w:val="18"/>
                <w:lang w:val="es-ES"/>
              </w:rPr>
              <w:t>Region</w:t>
            </w:r>
            <w:proofErr w:type="spellEnd"/>
          </w:p>
        </w:tc>
        <w:tc>
          <w:tcPr>
            <w:tcW w:w="5448" w:type="dxa"/>
          </w:tcPr>
          <w:p w14:paraId="440B71EA" w14:textId="77777777" w:rsidR="00550016" w:rsidRPr="00550016" w:rsidRDefault="00550016" w:rsidP="00550016">
            <w:pPr>
              <w:spacing w:line="278" w:lineRule="auto"/>
              <w:rPr>
                <w:sz w:val="18"/>
                <w:szCs w:val="18"/>
                <w:lang w:val="es-ES"/>
              </w:rPr>
            </w:pPr>
            <w:r w:rsidRPr="00550016">
              <w:rPr>
                <w:sz w:val="18"/>
                <w:szCs w:val="18"/>
                <w:lang w:val="es-ES"/>
              </w:rPr>
              <w:t>Región</w:t>
            </w:r>
          </w:p>
        </w:tc>
      </w:tr>
      <w:tr w:rsidR="00550016" w:rsidRPr="00E944B1" w14:paraId="3941BA6F" w14:textId="77777777" w:rsidTr="00550016">
        <w:tc>
          <w:tcPr>
            <w:tcW w:w="4029" w:type="dxa"/>
          </w:tcPr>
          <w:p w14:paraId="4480EB1C" w14:textId="77777777" w:rsidR="00550016" w:rsidRPr="00550016" w:rsidRDefault="00550016" w:rsidP="00550016">
            <w:pPr>
              <w:spacing w:line="278" w:lineRule="auto"/>
              <w:rPr>
                <w:sz w:val="18"/>
                <w:szCs w:val="18"/>
                <w:lang w:val="es-ES"/>
              </w:rPr>
            </w:pPr>
            <w:r w:rsidRPr="00550016">
              <w:rPr>
                <w:sz w:val="18"/>
                <w:szCs w:val="18"/>
                <w:lang w:val="es-ES"/>
              </w:rPr>
              <w:t>African States</w:t>
            </w:r>
          </w:p>
        </w:tc>
        <w:tc>
          <w:tcPr>
            <w:tcW w:w="5448" w:type="dxa"/>
          </w:tcPr>
          <w:p w14:paraId="1BD0EDDB" w14:textId="77777777" w:rsidR="00550016" w:rsidRPr="00550016" w:rsidRDefault="00550016" w:rsidP="00550016">
            <w:pPr>
              <w:spacing w:line="278" w:lineRule="auto"/>
              <w:rPr>
                <w:sz w:val="18"/>
                <w:szCs w:val="18"/>
                <w:lang w:val="es-ES"/>
              </w:rPr>
            </w:pPr>
            <w:r w:rsidRPr="00550016">
              <w:rPr>
                <w:sz w:val="18"/>
                <w:szCs w:val="18"/>
                <w:lang w:val="es-ES"/>
              </w:rPr>
              <w:t>Estados de África</w:t>
            </w:r>
          </w:p>
        </w:tc>
      </w:tr>
      <w:tr w:rsidR="00550016" w:rsidRPr="00E944B1" w14:paraId="61CBED00" w14:textId="77777777" w:rsidTr="00550016">
        <w:tc>
          <w:tcPr>
            <w:tcW w:w="4029" w:type="dxa"/>
          </w:tcPr>
          <w:p w14:paraId="2999FFEE" w14:textId="77777777" w:rsidR="00550016" w:rsidRPr="00550016" w:rsidRDefault="00550016" w:rsidP="00550016">
            <w:pPr>
              <w:spacing w:line="278" w:lineRule="auto"/>
              <w:rPr>
                <w:sz w:val="18"/>
                <w:szCs w:val="18"/>
                <w:lang w:val="es-ES"/>
              </w:rPr>
            </w:pPr>
            <w:r w:rsidRPr="00550016">
              <w:rPr>
                <w:sz w:val="18"/>
                <w:szCs w:val="18"/>
                <w:lang w:val="es-ES"/>
              </w:rPr>
              <w:t>Asia-Pacific States</w:t>
            </w:r>
          </w:p>
        </w:tc>
        <w:tc>
          <w:tcPr>
            <w:tcW w:w="5448" w:type="dxa"/>
          </w:tcPr>
          <w:p w14:paraId="120841AB" w14:textId="77777777" w:rsidR="00550016" w:rsidRPr="00550016" w:rsidRDefault="00550016" w:rsidP="00550016">
            <w:pPr>
              <w:spacing w:line="278" w:lineRule="auto"/>
              <w:rPr>
                <w:sz w:val="18"/>
                <w:szCs w:val="18"/>
                <w:lang w:val="es-ES"/>
              </w:rPr>
            </w:pPr>
            <w:r w:rsidRPr="00550016">
              <w:rPr>
                <w:sz w:val="18"/>
                <w:szCs w:val="18"/>
                <w:lang w:val="es-ES"/>
              </w:rPr>
              <w:t>Estados de Asia y el Pacífico</w:t>
            </w:r>
          </w:p>
        </w:tc>
      </w:tr>
      <w:tr w:rsidR="00550016" w:rsidRPr="00E944B1" w14:paraId="4E1EB1A5" w14:textId="77777777" w:rsidTr="00550016">
        <w:tc>
          <w:tcPr>
            <w:tcW w:w="4029" w:type="dxa"/>
          </w:tcPr>
          <w:p w14:paraId="674FF576" w14:textId="77777777" w:rsidR="00550016" w:rsidRPr="00550016" w:rsidRDefault="00550016" w:rsidP="00550016">
            <w:pPr>
              <w:spacing w:line="278" w:lineRule="auto"/>
              <w:rPr>
                <w:sz w:val="18"/>
                <w:szCs w:val="18"/>
                <w:lang w:val="en-US"/>
              </w:rPr>
            </w:pPr>
            <w:r w:rsidRPr="00550016">
              <w:rPr>
                <w:sz w:val="18"/>
                <w:szCs w:val="18"/>
                <w:lang w:val="en-US"/>
              </w:rPr>
              <w:t>Latin American and Caribbean States</w:t>
            </w:r>
          </w:p>
        </w:tc>
        <w:tc>
          <w:tcPr>
            <w:tcW w:w="5448" w:type="dxa"/>
          </w:tcPr>
          <w:p w14:paraId="45905BCD" w14:textId="77777777" w:rsidR="00550016" w:rsidRPr="00550016" w:rsidRDefault="00550016" w:rsidP="00550016">
            <w:pPr>
              <w:spacing w:line="278" w:lineRule="auto"/>
              <w:rPr>
                <w:sz w:val="18"/>
                <w:szCs w:val="18"/>
                <w:lang w:val="es-ES"/>
              </w:rPr>
            </w:pPr>
            <w:r w:rsidRPr="00550016">
              <w:rPr>
                <w:sz w:val="18"/>
                <w:szCs w:val="18"/>
                <w:lang w:val="es-ES"/>
              </w:rPr>
              <w:t>Estados de América Latina y el Caribe</w:t>
            </w:r>
          </w:p>
        </w:tc>
      </w:tr>
      <w:tr w:rsidR="00550016" w:rsidRPr="00E944B1" w14:paraId="19945A35" w14:textId="77777777" w:rsidTr="00550016">
        <w:tc>
          <w:tcPr>
            <w:tcW w:w="4029" w:type="dxa"/>
          </w:tcPr>
          <w:p w14:paraId="0A91EF8B" w14:textId="77777777" w:rsidR="00550016" w:rsidRPr="00550016" w:rsidRDefault="00550016" w:rsidP="00550016">
            <w:pPr>
              <w:spacing w:line="278" w:lineRule="auto"/>
              <w:rPr>
                <w:sz w:val="18"/>
                <w:szCs w:val="18"/>
                <w:lang w:val="es-ES"/>
              </w:rPr>
            </w:pPr>
            <w:r w:rsidRPr="00550016">
              <w:rPr>
                <w:sz w:val="18"/>
                <w:szCs w:val="18"/>
                <w:lang w:val="es-ES"/>
              </w:rPr>
              <w:t xml:space="preserve"> Eastern European States</w:t>
            </w:r>
          </w:p>
        </w:tc>
        <w:tc>
          <w:tcPr>
            <w:tcW w:w="5448" w:type="dxa"/>
          </w:tcPr>
          <w:p w14:paraId="0E1D6ABC" w14:textId="77777777" w:rsidR="00550016" w:rsidRPr="00550016" w:rsidRDefault="00550016" w:rsidP="00550016">
            <w:pPr>
              <w:spacing w:line="278" w:lineRule="auto"/>
              <w:rPr>
                <w:sz w:val="18"/>
                <w:szCs w:val="18"/>
                <w:lang w:val="es-ES"/>
              </w:rPr>
            </w:pPr>
            <w:r w:rsidRPr="00550016">
              <w:rPr>
                <w:sz w:val="18"/>
                <w:szCs w:val="18"/>
                <w:lang w:val="es-ES"/>
              </w:rPr>
              <w:t>Estados de Europa Oriental</w:t>
            </w:r>
          </w:p>
        </w:tc>
      </w:tr>
      <w:tr w:rsidR="00550016" w:rsidRPr="00E944B1" w14:paraId="3919136A" w14:textId="77777777" w:rsidTr="00550016">
        <w:tc>
          <w:tcPr>
            <w:tcW w:w="4029" w:type="dxa"/>
          </w:tcPr>
          <w:p w14:paraId="6B5567A9" w14:textId="77777777" w:rsidR="00550016" w:rsidRPr="00550016" w:rsidRDefault="00550016" w:rsidP="00550016">
            <w:pPr>
              <w:spacing w:line="278" w:lineRule="auto"/>
              <w:rPr>
                <w:sz w:val="18"/>
                <w:szCs w:val="18"/>
                <w:lang w:val="en-US"/>
              </w:rPr>
            </w:pPr>
            <w:r w:rsidRPr="00550016">
              <w:rPr>
                <w:sz w:val="18"/>
                <w:szCs w:val="18"/>
                <w:lang w:val="en-US"/>
              </w:rPr>
              <w:t>Western European and other States</w:t>
            </w:r>
          </w:p>
        </w:tc>
        <w:tc>
          <w:tcPr>
            <w:tcW w:w="5448" w:type="dxa"/>
          </w:tcPr>
          <w:p w14:paraId="3F6FA4FB" w14:textId="77777777" w:rsidR="00550016" w:rsidRPr="00550016" w:rsidRDefault="00550016" w:rsidP="00550016">
            <w:pPr>
              <w:spacing w:line="278" w:lineRule="auto"/>
              <w:rPr>
                <w:sz w:val="18"/>
                <w:szCs w:val="18"/>
                <w:lang w:val="es-ES"/>
              </w:rPr>
            </w:pPr>
            <w:r w:rsidRPr="00550016">
              <w:rPr>
                <w:sz w:val="18"/>
                <w:szCs w:val="18"/>
                <w:lang w:val="es-ES"/>
              </w:rPr>
              <w:t>Estados de Europa Occidental y otros Estados</w:t>
            </w:r>
          </w:p>
        </w:tc>
      </w:tr>
    </w:tbl>
    <w:p w14:paraId="7FE1C57F" w14:textId="77777777" w:rsidR="00550016" w:rsidRPr="005E3D50" w:rsidRDefault="00550016" w:rsidP="009713BF">
      <w:pPr>
        <w:rPr>
          <w:sz w:val="20"/>
          <w:szCs w:val="20"/>
          <w:lang w:val="es-ES"/>
        </w:rPr>
      </w:pPr>
    </w:p>
    <w:p w14:paraId="4F6B1805" w14:textId="77777777" w:rsidR="009713BF" w:rsidRPr="005E3D50" w:rsidRDefault="009713BF" w:rsidP="009713BF">
      <w:pPr>
        <w:spacing w:after="200" w:line="240" w:lineRule="auto"/>
        <w:rPr>
          <w:rFonts w:ascii="Aptos" w:eastAsiaTheme="minorEastAsia" w:hAnsi="Aptos" w:cs="Segoe UI"/>
          <w:color w:val="0E2841" w:themeColor="text2"/>
          <w:kern w:val="0"/>
          <w:sz w:val="18"/>
          <w:szCs w:val="18"/>
          <w:lang w:val="es-ES" w:eastAsia="ja-JP"/>
          <w14:ligatures w14:val="none"/>
        </w:rPr>
      </w:pPr>
    </w:p>
    <w:p w14:paraId="5A854EBB" w14:textId="77777777" w:rsidR="009713BF" w:rsidRPr="005E3D50" w:rsidRDefault="009713BF" w:rsidP="009713BF">
      <w:pPr>
        <w:rPr>
          <w:sz w:val="20"/>
          <w:szCs w:val="20"/>
          <w:lang w:val="es-ES"/>
        </w:rPr>
      </w:pPr>
      <w:bookmarkStart w:id="535" w:name="_Ref238811887"/>
      <w:r w:rsidRPr="005E3D50">
        <w:rPr>
          <w:sz w:val="20"/>
          <w:lang w:val="es-ES"/>
        </w:rPr>
        <w:t>Figura 89</w:t>
      </w:r>
      <w:bookmarkEnd w:id="535"/>
    </w:p>
    <w:p w14:paraId="472A50BF" w14:textId="77777777" w:rsidR="009713BF" w:rsidRPr="005E3D50" w:rsidRDefault="009713BF" w:rsidP="009713BF">
      <w:pPr>
        <w:rPr>
          <w:b/>
          <w:bCs/>
          <w:sz w:val="20"/>
          <w:szCs w:val="20"/>
          <w:lang w:val="es-ES"/>
        </w:rPr>
      </w:pPr>
      <w:r w:rsidRPr="005E3D50">
        <w:rPr>
          <w:b/>
          <w:sz w:val="20"/>
          <w:lang w:val="es-ES"/>
        </w:rPr>
        <w:t>Indicador de cabecera 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p w14:paraId="3D68900B" w14:textId="77777777" w:rsidR="009713BF" w:rsidRPr="005E3D50" w:rsidRDefault="009713BF" w:rsidP="009713BF">
      <w:pPr>
        <w:rPr>
          <w:sz w:val="20"/>
          <w:szCs w:val="20"/>
          <w:lang w:val="es-ES" w:eastAsia="ja-JP"/>
        </w:rPr>
      </w:pPr>
    </w:p>
    <w:p w14:paraId="6F6ADBF9" w14:textId="77777777" w:rsidR="009713BF" w:rsidRPr="005E3D50" w:rsidRDefault="009713BF" w:rsidP="009713BF">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color w:val="000000"/>
          <w:kern w:val="0"/>
          <w:lang w:val="es-ES"/>
          <w14:ligatures w14:val="none"/>
        </w:rPr>
        <w:t> </w:t>
      </w:r>
    </w:p>
    <w:p w14:paraId="7185C176"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41B579F1" wp14:editId="6A13E50B">
            <wp:extent cx="5943600" cy="2264410"/>
            <wp:effectExtent l="0" t="0" r="0" b="0"/>
            <wp:docPr id="1488334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34141" name="Picture 1488334141"/>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35BBC30" w14:textId="77777777" w:rsidR="009713BF" w:rsidRPr="005E3D50" w:rsidRDefault="009713BF" w:rsidP="009713BF">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cuanto más alta la puntuación, mayor es el nivel de </w:t>
      </w:r>
      <w:proofErr w:type="spellStart"/>
      <w:r w:rsidRPr="005E3D50">
        <w:rPr>
          <w:rFonts w:ascii="Aptos" w:eastAsiaTheme="minorEastAsia" w:hAnsi="Aptos"/>
          <w:iCs/>
          <w:color w:val="0E2841" w:themeColor="text2"/>
          <w:kern w:val="0"/>
          <w:sz w:val="18"/>
          <w:szCs w:val="18"/>
          <w:lang w:val="es-ES" w:eastAsia="ja-JP"/>
          <w14:ligatures w14:val="none"/>
        </w:rPr>
        <w:t>progresos</w:t>
      </w:r>
      <w:r w:rsidRPr="005E3D50">
        <w:rPr>
          <w:rFonts w:ascii="Aptos" w:eastAsiaTheme="minorEastAsia" w:hAnsi="Aptos"/>
          <w:iCs/>
          <w:color w:val="0E2841" w:themeColor="text2"/>
          <w:kern w:val="0"/>
          <w:sz w:val="18"/>
          <w:szCs w:val="18"/>
          <w:vertAlign w:val="superscript"/>
          <w:lang w:val="es-ES" w:eastAsia="ja-JP"/>
          <w14:ligatures w14:val="none"/>
        </w:rPr>
        <w:t>a</w:t>
      </w:r>
      <w:proofErr w:type="spellEnd"/>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614F3BB4" w14:textId="77777777" w:rsidR="009713BF" w:rsidRPr="005E3D50" w:rsidRDefault="009713BF" w:rsidP="009713BF">
      <w:pPr>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Cs/>
          <w:color w:val="0E2841" w:themeColor="text2"/>
          <w:kern w:val="0"/>
          <w:sz w:val="18"/>
          <w:szCs w:val="18"/>
          <w:vertAlign w:val="superscript"/>
          <w:lang w:val="es-ES" w:eastAsia="ja-JP"/>
          <w14:ligatures w14:val="none"/>
        </w:rPr>
        <w:lastRenderedPageBreak/>
        <w:t>a</w:t>
      </w:r>
      <w:r w:rsidRPr="005E3D50">
        <w:rPr>
          <w:rFonts w:ascii="Aptos" w:eastAsiaTheme="minorEastAsia" w:hAnsi="Aptos"/>
          <w:iCs/>
          <w:color w:val="0E2841" w:themeColor="text2"/>
          <w:kern w:val="0"/>
          <w:sz w:val="18"/>
          <w:szCs w:val="18"/>
          <w:lang w:val="es-ES" w:eastAsia="ja-JP"/>
          <w14:ligatures w14:val="none"/>
        </w:rPr>
        <w:t xml:space="preserve"> La metodología empleada para calcular los niveles de puntuación para cada indicador binario, así como las preguntas incluidas para cada indicador, figuran en el documento </w:t>
      </w:r>
      <w:hyperlink r:id="rId207" w:history="1">
        <w:r w:rsidRPr="005E3D50">
          <w:rPr>
            <w:rFonts w:ascii="Aptos" w:eastAsiaTheme="minorEastAsia" w:hAnsi="Aptos"/>
            <w:iCs/>
            <w:color w:val="0E2841" w:themeColor="text2"/>
            <w:kern w:val="0"/>
            <w:sz w:val="18"/>
            <w:szCs w:val="18"/>
            <w:lang w:val="es-ES" w:eastAsia="ja-JP"/>
            <w14:ligatures w14:val="none"/>
          </w:rPr>
          <w:t>CBD/COP/16/INF/3/Rev.1</w:t>
        </w:r>
      </w:hyperlink>
      <w:r w:rsidRPr="005E3D50">
        <w:rPr>
          <w:rFonts w:ascii="Aptos" w:eastAsiaTheme="minorEastAsia" w:hAnsi="Aptos"/>
          <w:iCs/>
          <w:color w:val="0E2841" w:themeColor="text2"/>
          <w:kern w:val="0"/>
          <w:sz w:val="18"/>
          <w:szCs w:val="18"/>
          <w:lang w:val="es-ES" w:eastAsia="ja-JP"/>
          <w14:ligatures w14:val="none"/>
        </w:rPr>
        <w:t>.</w:t>
      </w:r>
    </w:p>
    <w:tbl>
      <w:tblPr>
        <w:tblStyle w:val="TableGrid"/>
        <w:tblW w:w="9286" w:type="dxa"/>
        <w:tblLook w:val="04A0" w:firstRow="1" w:lastRow="0" w:firstColumn="1" w:lastColumn="0" w:noHBand="0" w:noVBand="1"/>
      </w:tblPr>
      <w:tblGrid>
        <w:gridCol w:w="4788"/>
        <w:gridCol w:w="4498"/>
      </w:tblGrid>
      <w:tr w:rsidR="00737922" w:rsidRPr="00737922" w14:paraId="7E599133" w14:textId="77777777" w:rsidTr="00737922">
        <w:trPr>
          <w:trHeight w:val="318"/>
        </w:trPr>
        <w:tc>
          <w:tcPr>
            <w:tcW w:w="4788" w:type="dxa"/>
          </w:tcPr>
          <w:p w14:paraId="232B1B73" w14:textId="011F0737" w:rsidR="00737922" w:rsidRPr="00737922" w:rsidRDefault="00737922" w:rsidP="00737922">
            <w:pPr>
              <w:rPr>
                <w:sz w:val="18"/>
                <w:szCs w:val="18"/>
                <w:lang w:val="es-ES"/>
              </w:rPr>
            </w:pPr>
            <w:r w:rsidRPr="00737922">
              <w:rPr>
                <w:sz w:val="18"/>
                <w:szCs w:val="18"/>
                <w:lang w:val="es-ES"/>
              </w:rPr>
              <w:t>Figura 89</w:t>
            </w:r>
          </w:p>
        </w:tc>
        <w:tc>
          <w:tcPr>
            <w:tcW w:w="4498" w:type="dxa"/>
          </w:tcPr>
          <w:p w14:paraId="47C8D328" w14:textId="77777777" w:rsidR="00737922" w:rsidRPr="00737922" w:rsidRDefault="00737922" w:rsidP="00737922">
            <w:pPr>
              <w:rPr>
                <w:b/>
                <w:bCs/>
                <w:sz w:val="18"/>
                <w:szCs w:val="18"/>
                <w:lang w:val="es-ES"/>
              </w:rPr>
            </w:pPr>
          </w:p>
        </w:tc>
      </w:tr>
      <w:tr w:rsidR="00737922" w:rsidRPr="00737922" w14:paraId="6054E6A4" w14:textId="77777777" w:rsidTr="00737922">
        <w:trPr>
          <w:trHeight w:val="318"/>
        </w:trPr>
        <w:tc>
          <w:tcPr>
            <w:tcW w:w="4788" w:type="dxa"/>
          </w:tcPr>
          <w:p w14:paraId="56BD1CE7" w14:textId="77777777" w:rsidR="00737922" w:rsidRPr="00737922" w:rsidRDefault="00737922" w:rsidP="00737922">
            <w:pPr>
              <w:spacing w:line="278" w:lineRule="auto"/>
              <w:rPr>
                <w:sz w:val="18"/>
                <w:szCs w:val="18"/>
                <w:lang w:val="es-ES"/>
              </w:rPr>
            </w:pPr>
            <w:r w:rsidRPr="00737922">
              <w:rPr>
                <w:sz w:val="18"/>
                <w:szCs w:val="18"/>
                <w:lang w:val="es-ES"/>
              </w:rPr>
              <w:t xml:space="preserve">English </w:t>
            </w:r>
          </w:p>
        </w:tc>
        <w:tc>
          <w:tcPr>
            <w:tcW w:w="4498" w:type="dxa"/>
          </w:tcPr>
          <w:p w14:paraId="10387108" w14:textId="4B1AF0A8" w:rsidR="00737922" w:rsidRPr="00737922" w:rsidRDefault="00737922" w:rsidP="00737922">
            <w:pPr>
              <w:spacing w:line="278" w:lineRule="auto"/>
              <w:rPr>
                <w:sz w:val="18"/>
                <w:szCs w:val="18"/>
                <w:lang w:val="es-ES"/>
              </w:rPr>
            </w:pPr>
            <w:r w:rsidRPr="00737922">
              <w:rPr>
                <w:sz w:val="18"/>
                <w:szCs w:val="18"/>
                <w:lang w:val="es-ES"/>
              </w:rPr>
              <w:t>Español</w:t>
            </w:r>
          </w:p>
        </w:tc>
      </w:tr>
      <w:tr w:rsidR="00737922" w:rsidRPr="00737922" w14:paraId="1C3DE67C" w14:textId="77777777" w:rsidTr="00737922">
        <w:trPr>
          <w:trHeight w:val="318"/>
        </w:trPr>
        <w:tc>
          <w:tcPr>
            <w:tcW w:w="4788" w:type="dxa"/>
          </w:tcPr>
          <w:p w14:paraId="0B759A2B" w14:textId="77777777" w:rsidR="00737922" w:rsidRPr="00737922" w:rsidRDefault="00737922" w:rsidP="00737922">
            <w:pPr>
              <w:spacing w:line="278" w:lineRule="auto"/>
              <w:rPr>
                <w:sz w:val="18"/>
                <w:szCs w:val="18"/>
                <w:lang w:val="es-ES"/>
              </w:rPr>
            </w:pPr>
            <w:proofErr w:type="spellStart"/>
            <w:r w:rsidRPr="00737922">
              <w:rPr>
                <w:sz w:val="18"/>
                <w:szCs w:val="18"/>
                <w:lang w:val="es-ES"/>
              </w:rPr>
              <w:t>Answers</w:t>
            </w:r>
            <w:proofErr w:type="spellEnd"/>
            <w:r w:rsidRPr="00737922">
              <w:rPr>
                <w:sz w:val="18"/>
                <w:szCs w:val="18"/>
                <w:lang w:val="es-ES"/>
              </w:rPr>
              <w:t xml:space="preserve"> (</w:t>
            </w:r>
            <w:proofErr w:type="spellStart"/>
            <w:r w:rsidRPr="00737922">
              <w:rPr>
                <w:sz w:val="18"/>
                <w:szCs w:val="18"/>
                <w:lang w:val="es-ES"/>
              </w:rPr>
              <w:t>percentage</w:t>
            </w:r>
            <w:proofErr w:type="spellEnd"/>
            <w:r w:rsidRPr="00737922">
              <w:rPr>
                <w:sz w:val="18"/>
                <w:szCs w:val="18"/>
                <w:lang w:val="es-ES"/>
              </w:rPr>
              <w:t>)</w:t>
            </w:r>
          </w:p>
        </w:tc>
        <w:tc>
          <w:tcPr>
            <w:tcW w:w="4498" w:type="dxa"/>
          </w:tcPr>
          <w:p w14:paraId="196A40A0" w14:textId="77777777" w:rsidR="00737922" w:rsidRPr="00737922" w:rsidRDefault="00737922" w:rsidP="00737922">
            <w:pPr>
              <w:spacing w:line="278" w:lineRule="auto"/>
              <w:rPr>
                <w:sz w:val="18"/>
                <w:szCs w:val="18"/>
                <w:lang w:val="es-ES"/>
              </w:rPr>
            </w:pPr>
            <w:r w:rsidRPr="00737922">
              <w:rPr>
                <w:sz w:val="18"/>
                <w:szCs w:val="18"/>
                <w:lang w:val="es-ES"/>
              </w:rPr>
              <w:t>Respuestas (porcentaje)</w:t>
            </w:r>
          </w:p>
        </w:tc>
      </w:tr>
      <w:tr w:rsidR="00737922" w:rsidRPr="00737922" w14:paraId="63860558" w14:textId="77777777" w:rsidTr="00737922">
        <w:trPr>
          <w:trHeight w:val="318"/>
        </w:trPr>
        <w:tc>
          <w:tcPr>
            <w:tcW w:w="4788" w:type="dxa"/>
          </w:tcPr>
          <w:p w14:paraId="0DBFEAE8" w14:textId="77777777" w:rsidR="00737922" w:rsidRPr="00737922" w:rsidRDefault="00737922" w:rsidP="00737922">
            <w:pPr>
              <w:spacing w:line="278" w:lineRule="auto"/>
              <w:rPr>
                <w:sz w:val="18"/>
                <w:szCs w:val="18"/>
                <w:lang w:val="es-ES"/>
              </w:rPr>
            </w:pPr>
            <w:r w:rsidRPr="00737922">
              <w:rPr>
                <w:sz w:val="18"/>
                <w:szCs w:val="18"/>
                <w:lang w:val="es-ES"/>
              </w:rPr>
              <w:t>Score Level</w:t>
            </w:r>
          </w:p>
        </w:tc>
        <w:tc>
          <w:tcPr>
            <w:tcW w:w="4498" w:type="dxa"/>
          </w:tcPr>
          <w:p w14:paraId="3B3B0D9D" w14:textId="77777777" w:rsidR="00737922" w:rsidRPr="00737922" w:rsidRDefault="00737922" w:rsidP="00737922">
            <w:pPr>
              <w:spacing w:line="278" w:lineRule="auto"/>
              <w:rPr>
                <w:sz w:val="18"/>
                <w:szCs w:val="18"/>
                <w:lang w:val="es-ES"/>
              </w:rPr>
            </w:pPr>
            <w:r w:rsidRPr="00737922">
              <w:rPr>
                <w:sz w:val="18"/>
                <w:szCs w:val="18"/>
                <w:lang w:val="es-ES"/>
              </w:rPr>
              <w:t>Nivel de puntuación</w:t>
            </w:r>
          </w:p>
        </w:tc>
      </w:tr>
      <w:tr w:rsidR="00737922" w:rsidRPr="00737922" w14:paraId="5F2557ED" w14:textId="77777777" w:rsidTr="00737922">
        <w:trPr>
          <w:trHeight w:val="318"/>
        </w:trPr>
        <w:tc>
          <w:tcPr>
            <w:tcW w:w="4788" w:type="dxa"/>
          </w:tcPr>
          <w:p w14:paraId="2787DB7C" w14:textId="77777777" w:rsidR="00737922" w:rsidRPr="00737922" w:rsidRDefault="00737922" w:rsidP="00737922">
            <w:pPr>
              <w:spacing w:line="278" w:lineRule="auto"/>
              <w:rPr>
                <w:sz w:val="18"/>
                <w:szCs w:val="18"/>
                <w:lang w:val="es-ES"/>
              </w:rPr>
            </w:pPr>
            <w:r w:rsidRPr="00737922">
              <w:rPr>
                <w:sz w:val="18"/>
                <w:szCs w:val="18"/>
                <w:lang w:val="es-ES"/>
              </w:rPr>
              <w:t xml:space="preserve">Party </w:t>
            </w:r>
            <w:proofErr w:type="spellStart"/>
            <w:r w:rsidRPr="00737922">
              <w:rPr>
                <w:sz w:val="18"/>
                <w:szCs w:val="18"/>
                <w:lang w:val="es-ES"/>
              </w:rPr>
              <w:t>count</w:t>
            </w:r>
            <w:proofErr w:type="spellEnd"/>
            <w:r w:rsidRPr="00737922">
              <w:rPr>
                <w:sz w:val="18"/>
                <w:szCs w:val="18"/>
                <w:lang w:val="es-ES"/>
              </w:rPr>
              <w:t>: 127</w:t>
            </w:r>
          </w:p>
        </w:tc>
        <w:tc>
          <w:tcPr>
            <w:tcW w:w="4498" w:type="dxa"/>
          </w:tcPr>
          <w:p w14:paraId="0E1BE4CD" w14:textId="77777777" w:rsidR="00737922" w:rsidRPr="00737922" w:rsidRDefault="00737922" w:rsidP="00737922">
            <w:pPr>
              <w:spacing w:line="278" w:lineRule="auto"/>
              <w:rPr>
                <w:sz w:val="18"/>
                <w:szCs w:val="18"/>
                <w:lang w:val="es-ES"/>
              </w:rPr>
            </w:pPr>
            <w:r w:rsidRPr="00737922">
              <w:rPr>
                <w:sz w:val="18"/>
                <w:szCs w:val="18"/>
                <w:lang w:val="es-ES"/>
              </w:rPr>
              <w:t>Número de Partes: 127</w:t>
            </w:r>
          </w:p>
        </w:tc>
      </w:tr>
      <w:tr w:rsidR="00737922" w:rsidRPr="00737922" w14:paraId="5ED290CE" w14:textId="77777777" w:rsidTr="00737922">
        <w:trPr>
          <w:trHeight w:val="318"/>
        </w:trPr>
        <w:tc>
          <w:tcPr>
            <w:tcW w:w="4788" w:type="dxa"/>
          </w:tcPr>
          <w:p w14:paraId="36AAF591" w14:textId="77777777" w:rsidR="00737922" w:rsidRPr="00737922" w:rsidRDefault="00737922" w:rsidP="00737922">
            <w:pPr>
              <w:spacing w:line="278" w:lineRule="auto"/>
              <w:rPr>
                <w:sz w:val="18"/>
                <w:szCs w:val="18"/>
                <w:lang w:val="es-ES"/>
              </w:rPr>
            </w:pPr>
            <w:proofErr w:type="spellStart"/>
            <w:r w:rsidRPr="00737922">
              <w:rPr>
                <w:sz w:val="18"/>
                <w:szCs w:val="18"/>
                <w:lang w:val="es-ES"/>
              </w:rPr>
              <w:t>Region</w:t>
            </w:r>
            <w:proofErr w:type="spellEnd"/>
          </w:p>
        </w:tc>
        <w:tc>
          <w:tcPr>
            <w:tcW w:w="4498" w:type="dxa"/>
          </w:tcPr>
          <w:p w14:paraId="719AE866" w14:textId="77777777" w:rsidR="00737922" w:rsidRPr="00737922" w:rsidRDefault="00737922" w:rsidP="00737922">
            <w:pPr>
              <w:spacing w:line="278" w:lineRule="auto"/>
              <w:rPr>
                <w:sz w:val="18"/>
                <w:szCs w:val="18"/>
                <w:lang w:val="es-ES"/>
              </w:rPr>
            </w:pPr>
            <w:r w:rsidRPr="00737922">
              <w:rPr>
                <w:sz w:val="18"/>
                <w:szCs w:val="18"/>
                <w:lang w:val="es-ES"/>
              </w:rPr>
              <w:t>Región</w:t>
            </w:r>
          </w:p>
        </w:tc>
      </w:tr>
      <w:tr w:rsidR="00737922" w:rsidRPr="00737922" w14:paraId="07C02871" w14:textId="77777777" w:rsidTr="00737922">
        <w:trPr>
          <w:trHeight w:val="318"/>
        </w:trPr>
        <w:tc>
          <w:tcPr>
            <w:tcW w:w="4788" w:type="dxa"/>
          </w:tcPr>
          <w:p w14:paraId="4F0A2380" w14:textId="77777777" w:rsidR="00737922" w:rsidRPr="00737922" w:rsidRDefault="00737922" w:rsidP="00737922">
            <w:pPr>
              <w:spacing w:line="278" w:lineRule="auto"/>
              <w:rPr>
                <w:sz w:val="18"/>
                <w:szCs w:val="18"/>
                <w:lang w:val="es-ES"/>
              </w:rPr>
            </w:pPr>
            <w:r w:rsidRPr="00737922">
              <w:rPr>
                <w:sz w:val="18"/>
                <w:szCs w:val="18"/>
                <w:lang w:val="es-ES"/>
              </w:rPr>
              <w:t>African States</w:t>
            </w:r>
          </w:p>
        </w:tc>
        <w:tc>
          <w:tcPr>
            <w:tcW w:w="4498" w:type="dxa"/>
          </w:tcPr>
          <w:p w14:paraId="799C99AB" w14:textId="77777777" w:rsidR="00737922" w:rsidRPr="00737922" w:rsidRDefault="00737922" w:rsidP="00737922">
            <w:pPr>
              <w:spacing w:line="278" w:lineRule="auto"/>
              <w:rPr>
                <w:sz w:val="18"/>
                <w:szCs w:val="18"/>
                <w:lang w:val="es-ES"/>
              </w:rPr>
            </w:pPr>
            <w:r w:rsidRPr="00737922">
              <w:rPr>
                <w:sz w:val="18"/>
                <w:szCs w:val="18"/>
                <w:lang w:val="es-ES"/>
              </w:rPr>
              <w:t>Estados de África</w:t>
            </w:r>
          </w:p>
        </w:tc>
      </w:tr>
      <w:tr w:rsidR="00737922" w:rsidRPr="00737922" w14:paraId="5B7A4A34" w14:textId="77777777" w:rsidTr="00737922">
        <w:trPr>
          <w:trHeight w:val="318"/>
        </w:trPr>
        <w:tc>
          <w:tcPr>
            <w:tcW w:w="4788" w:type="dxa"/>
          </w:tcPr>
          <w:p w14:paraId="71DC1924" w14:textId="77777777" w:rsidR="00737922" w:rsidRPr="00737922" w:rsidRDefault="00737922" w:rsidP="00737922">
            <w:pPr>
              <w:spacing w:line="278" w:lineRule="auto"/>
              <w:rPr>
                <w:sz w:val="18"/>
                <w:szCs w:val="18"/>
                <w:lang w:val="es-ES"/>
              </w:rPr>
            </w:pPr>
            <w:r w:rsidRPr="00737922">
              <w:rPr>
                <w:sz w:val="18"/>
                <w:szCs w:val="18"/>
                <w:lang w:val="es-ES"/>
              </w:rPr>
              <w:t>Asia-Pacific States</w:t>
            </w:r>
          </w:p>
        </w:tc>
        <w:tc>
          <w:tcPr>
            <w:tcW w:w="4498" w:type="dxa"/>
          </w:tcPr>
          <w:p w14:paraId="0E18762D" w14:textId="77777777" w:rsidR="00737922" w:rsidRPr="00737922" w:rsidRDefault="00737922" w:rsidP="00737922">
            <w:pPr>
              <w:spacing w:line="278" w:lineRule="auto"/>
              <w:rPr>
                <w:sz w:val="18"/>
                <w:szCs w:val="18"/>
                <w:lang w:val="es-ES"/>
              </w:rPr>
            </w:pPr>
            <w:r w:rsidRPr="00737922">
              <w:rPr>
                <w:sz w:val="18"/>
                <w:szCs w:val="18"/>
                <w:lang w:val="es-ES"/>
              </w:rPr>
              <w:t>Estados de Asia y el Pacífico</w:t>
            </w:r>
          </w:p>
        </w:tc>
      </w:tr>
      <w:tr w:rsidR="00737922" w:rsidRPr="00737922" w14:paraId="5DC4DC38" w14:textId="77777777" w:rsidTr="00737922">
        <w:trPr>
          <w:trHeight w:val="318"/>
        </w:trPr>
        <w:tc>
          <w:tcPr>
            <w:tcW w:w="4788" w:type="dxa"/>
          </w:tcPr>
          <w:p w14:paraId="7D7D8D05" w14:textId="77777777" w:rsidR="00737922" w:rsidRPr="00737922" w:rsidRDefault="00737922" w:rsidP="00737922">
            <w:pPr>
              <w:spacing w:line="278" w:lineRule="auto"/>
              <w:rPr>
                <w:sz w:val="18"/>
                <w:szCs w:val="18"/>
                <w:lang w:val="en-US"/>
              </w:rPr>
            </w:pPr>
            <w:r w:rsidRPr="00737922">
              <w:rPr>
                <w:sz w:val="18"/>
                <w:szCs w:val="18"/>
                <w:lang w:val="en-US"/>
              </w:rPr>
              <w:t>Latin American and Caribbean States</w:t>
            </w:r>
          </w:p>
        </w:tc>
        <w:tc>
          <w:tcPr>
            <w:tcW w:w="4498" w:type="dxa"/>
          </w:tcPr>
          <w:p w14:paraId="0FC398AD" w14:textId="77777777" w:rsidR="00737922" w:rsidRPr="00737922" w:rsidRDefault="00737922" w:rsidP="00737922">
            <w:pPr>
              <w:spacing w:line="278" w:lineRule="auto"/>
              <w:rPr>
                <w:sz w:val="18"/>
                <w:szCs w:val="18"/>
                <w:lang w:val="es-ES"/>
              </w:rPr>
            </w:pPr>
            <w:r w:rsidRPr="00737922">
              <w:rPr>
                <w:sz w:val="18"/>
                <w:szCs w:val="18"/>
                <w:lang w:val="es-ES"/>
              </w:rPr>
              <w:t>Estados de América Latina y el Caribe</w:t>
            </w:r>
          </w:p>
        </w:tc>
      </w:tr>
      <w:tr w:rsidR="00737922" w:rsidRPr="00737922" w14:paraId="7D86A936" w14:textId="77777777" w:rsidTr="00737922">
        <w:trPr>
          <w:trHeight w:val="318"/>
        </w:trPr>
        <w:tc>
          <w:tcPr>
            <w:tcW w:w="4788" w:type="dxa"/>
          </w:tcPr>
          <w:p w14:paraId="64413319" w14:textId="77777777" w:rsidR="00737922" w:rsidRPr="00737922" w:rsidRDefault="00737922" w:rsidP="00737922">
            <w:pPr>
              <w:spacing w:line="278" w:lineRule="auto"/>
              <w:rPr>
                <w:sz w:val="18"/>
                <w:szCs w:val="18"/>
                <w:lang w:val="es-ES"/>
              </w:rPr>
            </w:pPr>
            <w:r w:rsidRPr="00737922">
              <w:rPr>
                <w:sz w:val="18"/>
                <w:szCs w:val="18"/>
                <w:lang w:val="es-ES"/>
              </w:rPr>
              <w:t xml:space="preserve"> Eastern European States</w:t>
            </w:r>
          </w:p>
        </w:tc>
        <w:tc>
          <w:tcPr>
            <w:tcW w:w="4498" w:type="dxa"/>
          </w:tcPr>
          <w:p w14:paraId="4B25A062" w14:textId="77777777" w:rsidR="00737922" w:rsidRPr="00737922" w:rsidRDefault="00737922" w:rsidP="00737922">
            <w:pPr>
              <w:spacing w:line="278" w:lineRule="auto"/>
              <w:rPr>
                <w:sz w:val="18"/>
                <w:szCs w:val="18"/>
                <w:lang w:val="es-ES"/>
              </w:rPr>
            </w:pPr>
            <w:r w:rsidRPr="00737922">
              <w:rPr>
                <w:sz w:val="18"/>
                <w:szCs w:val="18"/>
                <w:lang w:val="es-ES"/>
              </w:rPr>
              <w:t>Estados de Europa Oriental</w:t>
            </w:r>
          </w:p>
        </w:tc>
      </w:tr>
      <w:tr w:rsidR="00737922" w:rsidRPr="00737922" w14:paraId="6CFD2EE3" w14:textId="77777777" w:rsidTr="00737922">
        <w:trPr>
          <w:trHeight w:val="318"/>
        </w:trPr>
        <w:tc>
          <w:tcPr>
            <w:tcW w:w="4788" w:type="dxa"/>
          </w:tcPr>
          <w:p w14:paraId="3216861D" w14:textId="77777777" w:rsidR="00737922" w:rsidRPr="00737922" w:rsidRDefault="00737922" w:rsidP="00737922">
            <w:pPr>
              <w:spacing w:line="278" w:lineRule="auto"/>
              <w:rPr>
                <w:sz w:val="18"/>
                <w:szCs w:val="18"/>
                <w:lang w:val="en-US"/>
              </w:rPr>
            </w:pPr>
            <w:r w:rsidRPr="00737922">
              <w:rPr>
                <w:sz w:val="18"/>
                <w:szCs w:val="18"/>
                <w:lang w:val="en-US"/>
              </w:rPr>
              <w:t>Western European and other States</w:t>
            </w:r>
          </w:p>
        </w:tc>
        <w:tc>
          <w:tcPr>
            <w:tcW w:w="4498" w:type="dxa"/>
          </w:tcPr>
          <w:p w14:paraId="00BCFB31" w14:textId="77777777" w:rsidR="00737922" w:rsidRPr="00737922" w:rsidRDefault="00737922" w:rsidP="00737922">
            <w:pPr>
              <w:spacing w:line="278" w:lineRule="auto"/>
              <w:rPr>
                <w:sz w:val="18"/>
                <w:szCs w:val="18"/>
                <w:lang w:val="es-ES"/>
              </w:rPr>
            </w:pPr>
            <w:r w:rsidRPr="00737922">
              <w:rPr>
                <w:sz w:val="18"/>
                <w:szCs w:val="18"/>
                <w:lang w:val="es-ES"/>
              </w:rPr>
              <w:t>Estados de Europa Occidental y otros Estados</w:t>
            </w:r>
          </w:p>
        </w:tc>
      </w:tr>
    </w:tbl>
    <w:p w14:paraId="37B2400F" w14:textId="77777777" w:rsidR="009713BF" w:rsidRPr="005E3D50" w:rsidRDefault="009713BF" w:rsidP="009713BF">
      <w:pPr>
        <w:rPr>
          <w:sz w:val="18"/>
          <w:szCs w:val="18"/>
          <w:lang w:val="es-ES"/>
        </w:rPr>
      </w:pPr>
    </w:p>
    <w:p w14:paraId="4C5046DB" w14:textId="77777777" w:rsidR="009713BF" w:rsidRPr="005E3D50" w:rsidRDefault="009713BF" w:rsidP="009713BF">
      <w:pPr>
        <w:rPr>
          <w:sz w:val="20"/>
          <w:szCs w:val="20"/>
          <w:lang w:val="es-ES"/>
        </w:rPr>
      </w:pPr>
      <w:bookmarkStart w:id="536" w:name="_Ref238812392"/>
      <w:r w:rsidRPr="005E3D50">
        <w:rPr>
          <w:sz w:val="20"/>
          <w:lang w:val="es-ES"/>
        </w:rPr>
        <w:t>Figura 90</w:t>
      </w:r>
      <w:bookmarkEnd w:id="536"/>
    </w:p>
    <w:p w14:paraId="3EBB1D5F"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22 del Marco que sugieren tendencias de mejora, estables y negativas, respectivamente </w:t>
      </w:r>
    </w:p>
    <w:p w14:paraId="2B6288E0" w14:textId="77777777" w:rsidR="009713BF" w:rsidRPr="005E3D50" w:rsidRDefault="009713BF" w:rsidP="009713BF">
      <w:pPr>
        <w:rPr>
          <w:lang w:val="es-ES" w:eastAsia="ja-JP"/>
        </w:rPr>
      </w:pPr>
    </w:p>
    <w:p w14:paraId="7E29B829"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drawing>
          <wp:inline distT="0" distB="0" distL="0" distR="0" wp14:anchorId="1846D6AD" wp14:editId="70A6721A">
            <wp:extent cx="5731510" cy="2456180"/>
            <wp:effectExtent l="0" t="0" r="0" b="0"/>
            <wp:docPr id="1250148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48451" name="Picture 1250148451"/>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18B0557" w14:textId="77777777" w:rsidR="009713BF" w:rsidRDefault="009713BF" w:rsidP="009713BF">
      <w:pPr>
        <w:spacing w:after="200" w:line="240" w:lineRule="auto"/>
        <w:rPr>
          <w:rFonts w:ascii="Aptos" w:eastAsiaTheme="minorEastAsia" w:hAnsi="Aptos"/>
          <w:iCs/>
          <w:color w:val="0E2841" w:themeColor="text2"/>
          <w:kern w:val="0"/>
          <w:sz w:val="16"/>
          <w:szCs w:val="18"/>
          <w:lang w:val="es-ES" w:eastAsia="ja-JP"/>
          <w14:ligatures w14:val="none"/>
        </w:rPr>
      </w:pPr>
      <w:r w:rsidRPr="005E3D50">
        <w:rPr>
          <w:rFonts w:eastAsiaTheme="minorEastAsia"/>
          <w:i/>
          <w:iCs/>
          <w:color w:val="0E2841" w:themeColor="text2"/>
          <w:kern w:val="0"/>
          <w:sz w:val="16"/>
          <w:szCs w:val="18"/>
          <w:lang w:val="es-ES" w:eastAsia="ja-JP"/>
          <w14:ligatures w14:val="none"/>
        </w:rPr>
        <w:t>Nota:</w:t>
      </w:r>
      <w:r w:rsidRPr="005E3D50">
        <w:rPr>
          <w:rFonts w:eastAsiaTheme="minorEastAsia"/>
          <w:iCs/>
          <w:color w:val="0E2841" w:themeColor="text2"/>
          <w:kern w:val="0"/>
          <w:sz w:val="16"/>
          <w:szCs w:val="18"/>
          <w:lang w:val="es-ES" w:eastAsia="ja-JP"/>
          <w14:ligatures w14:val="none"/>
        </w:rPr>
        <w:t xml:space="preserve"> Las proporciones están ponderadas por Parte. Las tendencias incluyen datos para 1 indicador de cabecera de 4 Partes y 1 indicador de componente, 4 indicadores complementarios y 39 indicadores nacionales de 18 Partes. </w:t>
      </w:r>
      <w:r w:rsidRPr="005E3D50">
        <w:rPr>
          <w:rFonts w:ascii="Aptos" w:eastAsiaTheme="minorEastAsia" w:hAnsi="Aptos"/>
          <w:iCs/>
          <w:color w:val="0E2841" w:themeColor="text2"/>
          <w:kern w:val="0"/>
          <w:sz w:val="16"/>
          <w:szCs w:val="18"/>
          <w:lang w:val="es-ES" w:eastAsia="ja-JP"/>
          <w14:ligatures w14:val="none"/>
        </w:rPr>
        <w:t>El gráfico circular muestra la distribución de las Partes que presentaron indicadores para la meta 22,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07" w:type="dxa"/>
        <w:tblLook w:val="04A0" w:firstRow="1" w:lastRow="0" w:firstColumn="1" w:lastColumn="0" w:noHBand="0" w:noVBand="1"/>
      </w:tblPr>
      <w:tblGrid>
        <w:gridCol w:w="4960"/>
        <w:gridCol w:w="4447"/>
      </w:tblGrid>
      <w:tr w:rsidR="009B5614" w:rsidRPr="009B5614" w14:paraId="085C0D9E" w14:textId="77777777" w:rsidTr="009B5614">
        <w:tc>
          <w:tcPr>
            <w:tcW w:w="9407" w:type="dxa"/>
            <w:gridSpan w:val="2"/>
          </w:tcPr>
          <w:p w14:paraId="03950E8E" w14:textId="48103037" w:rsidR="009B5614" w:rsidRPr="009B5614" w:rsidRDefault="009B5614" w:rsidP="009B5614">
            <w:pPr>
              <w:rPr>
                <w:sz w:val="18"/>
                <w:szCs w:val="18"/>
                <w:lang w:val="es-ES"/>
              </w:rPr>
            </w:pPr>
            <w:r w:rsidRPr="009B5614">
              <w:rPr>
                <w:sz w:val="18"/>
                <w:szCs w:val="18"/>
                <w:lang w:val="es-ES"/>
              </w:rPr>
              <w:t>Figura 90</w:t>
            </w:r>
          </w:p>
        </w:tc>
      </w:tr>
      <w:tr w:rsidR="009B5614" w:rsidRPr="009B5614" w14:paraId="4C78178A" w14:textId="77777777" w:rsidTr="009B5614">
        <w:tc>
          <w:tcPr>
            <w:tcW w:w="4960" w:type="dxa"/>
          </w:tcPr>
          <w:p w14:paraId="7F89E7F1" w14:textId="77777777" w:rsidR="009B5614" w:rsidRPr="009B5614" w:rsidRDefault="009B5614" w:rsidP="009B5614">
            <w:pPr>
              <w:spacing w:line="278" w:lineRule="auto"/>
              <w:rPr>
                <w:sz w:val="18"/>
                <w:szCs w:val="18"/>
                <w:lang w:val="es-ES"/>
              </w:rPr>
            </w:pPr>
            <w:r w:rsidRPr="009B5614">
              <w:rPr>
                <w:sz w:val="18"/>
                <w:szCs w:val="18"/>
                <w:lang w:val="es-ES"/>
              </w:rPr>
              <w:t xml:space="preserve">English </w:t>
            </w:r>
          </w:p>
        </w:tc>
        <w:tc>
          <w:tcPr>
            <w:tcW w:w="4447" w:type="dxa"/>
          </w:tcPr>
          <w:p w14:paraId="667909C1" w14:textId="5B411603" w:rsidR="009B5614" w:rsidRPr="009B5614" w:rsidRDefault="007371B4" w:rsidP="009B5614">
            <w:pPr>
              <w:spacing w:line="278" w:lineRule="auto"/>
              <w:rPr>
                <w:sz w:val="18"/>
                <w:szCs w:val="18"/>
                <w:lang w:val="es-ES"/>
              </w:rPr>
            </w:pPr>
            <w:r>
              <w:rPr>
                <w:sz w:val="18"/>
                <w:szCs w:val="18"/>
                <w:lang w:val="es-ES"/>
              </w:rPr>
              <w:t>Español</w:t>
            </w:r>
          </w:p>
        </w:tc>
      </w:tr>
      <w:tr w:rsidR="009B5614" w:rsidRPr="009B5614" w14:paraId="3E2CE055" w14:textId="77777777" w:rsidTr="009B5614">
        <w:tc>
          <w:tcPr>
            <w:tcW w:w="4960" w:type="dxa"/>
          </w:tcPr>
          <w:p w14:paraId="031F29B3" w14:textId="77777777" w:rsidR="009B5614" w:rsidRPr="009B5614" w:rsidRDefault="009B5614" w:rsidP="009B5614">
            <w:pPr>
              <w:spacing w:line="278" w:lineRule="auto"/>
              <w:rPr>
                <w:sz w:val="18"/>
                <w:szCs w:val="18"/>
                <w:lang w:val="es-ES"/>
              </w:rPr>
            </w:pPr>
            <w:proofErr w:type="spellStart"/>
            <w:r w:rsidRPr="009B5614">
              <w:rPr>
                <w:sz w:val="18"/>
                <w:szCs w:val="18"/>
                <w:lang w:val="es-ES"/>
              </w:rPr>
              <w:t>Proportion</w:t>
            </w:r>
            <w:proofErr w:type="spellEnd"/>
          </w:p>
        </w:tc>
        <w:tc>
          <w:tcPr>
            <w:tcW w:w="4447" w:type="dxa"/>
          </w:tcPr>
          <w:p w14:paraId="21E736C5" w14:textId="77777777" w:rsidR="009B5614" w:rsidRPr="009B5614" w:rsidRDefault="009B5614" w:rsidP="009B5614">
            <w:pPr>
              <w:spacing w:line="278" w:lineRule="auto"/>
              <w:rPr>
                <w:sz w:val="18"/>
                <w:szCs w:val="18"/>
                <w:lang w:val="es-ES"/>
              </w:rPr>
            </w:pPr>
            <w:r w:rsidRPr="009B5614">
              <w:rPr>
                <w:sz w:val="18"/>
                <w:szCs w:val="18"/>
                <w:lang w:val="es-ES"/>
              </w:rPr>
              <w:t>Proporción</w:t>
            </w:r>
          </w:p>
        </w:tc>
      </w:tr>
      <w:tr w:rsidR="009B5614" w:rsidRPr="009B5614" w14:paraId="5C5862AA" w14:textId="77777777" w:rsidTr="009B5614">
        <w:tc>
          <w:tcPr>
            <w:tcW w:w="4960" w:type="dxa"/>
          </w:tcPr>
          <w:p w14:paraId="5AA702A1" w14:textId="77777777" w:rsidR="009B5614" w:rsidRPr="009B5614" w:rsidRDefault="009B5614" w:rsidP="009B5614">
            <w:pPr>
              <w:spacing w:line="278" w:lineRule="auto"/>
              <w:rPr>
                <w:sz w:val="18"/>
                <w:szCs w:val="18"/>
                <w:lang w:val="es-ES"/>
              </w:rPr>
            </w:pPr>
            <w:r w:rsidRPr="009B5614">
              <w:rPr>
                <w:sz w:val="18"/>
                <w:szCs w:val="18"/>
                <w:lang w:val="es-ES"/>
              </w:rPr>
              <w:t xml:space="preserve">Current </w:t>
            </w:r>
            <w:proofErr w:type="gramStart"/>
            <w:r w:rsidRPr="009B5614">
              <w:rPr>
                <w:sz w:val="18"/>
                <w:szCs w:val="18"/>
                <w:lang w:val="es-ES"/>
              </w:rPr>
              <w:t>Status</w:t>
            </w:r>
            <w:proofErr w:type="gramEnd"/>
          </w:p>
        </w:tc>
        <w:tc>
          <w:tcPr>
            <w:tcW w:w="4447" w:type="dxa"/>
          </w:tcPr>
          <w:p w14:paraId="47B3EB58" w14:textId="77777777" w:rsidR="009B5614" w:rsidRPr="009B5614" w:rsidRDefault="009B5614" w:rsidP="009B5614">
            <w:pPr>
              <w:spacing w:line="278" w:lineRule="auto"/>
              <w:rPr>
                <w:sz w:val="18"/>
                <w:szCs w:val="18"/>
                <w:lang w:val="es-ES"/>
              </w:rPr>
            </w:pPr>
            <w:r w:rsidRPr="009B5614">
              <w:rPr>
                <w:sz w:val="18"/>
                <w:szCs w:val="18"/>
                <w:lang w:val="es-ES"/>
              </w:rPr>
              <w:t>Estado actual</w:t>
            </w:r>
          </w:p>
        </w:tc>
      </w:tr>
      <w:tr w:rsidR="009B5614" w:rsidRPr="009B5614" w14:paraId="390343B1" w14:textId="77777777" w:rsidTr="009B5614">
        <w:tc>
          <w:tcPr>
            <w:tcW w:w="4960" w:type="dxa"/>
          </w:tcPr>
          <w:p w14:paraId="45CDE97A" w14:textId="77777777" w:rsidR="009B5614" w:rsidRPr="009B5614" w:rsidRDefault="009B5614" w:rsidP="009B5614">
            <w:pPr>
              <w:spacing w:line="278" w:lineRule="auto"/>
              <w:rPr>
                <w:sz w:val="18"/>
                <w:szCs w:val="18"/>
                <w:lang w:val="es-ES"/>
              </w:rPr>
            </w:pPr>
            <w:proofErr w:type="spellStart"/>
            <w:r w:rsidRPr="009B5614">
              <w:rPr>
                <w:sz w:val="18"/>
                <w:szCs w:val="18"/>
                <w:lang w:val="es-ES"/>
              </w:rPr>
              <w:t>Improving</w:t>
            </w:r>
            <w:proofErr w:type="spellEnd"/>
          </w:p>
        </w:tc>
        <w:tc>
          <w:tcPr>
            <w:tcW w:w="4447" w:type="dxa"/>
          </w:tcPr>
          <w:p w14:paraId="0082E7CD" w14:textId="77777777" w:rsidR="009B5614" w:rsidRPr="009B5614" w:rsidRDefault="009B5614" w:rsidP="009B5614">
            <w:pPr>
              <w:spacing w:line="278" w:lineRule="auto"/>
              <w:rPr>
                <w:sz w:val="18"/>
                <w:szCs w:val="18"/>
                <w:lang w:val="es-ES"/>
              </w:rPr>
            </w:pPr>
            <w:r w:rsidRPr="009B5614">
              <w:rPr>
                <w:sz w:val="18"/>
                <w:szCs w:val="18"/>
                <w:lang w:val="es-ES"/>
              </w:rPr>
              <w:t>mejorando</w:t>
            </w:r>
          </w:p>
        </w:tc>
      </w:tr>
      <w:tr w:rsidR="009B5614" w:rsidRPr="009B5614" w14:paraId="5DECAFC9" w14:textId="77777777" w:rsidTr="009B5614">
        <w:tc>
          <w:tcPr>
            <w:tcW w:w="4960" w:type="dxa"/>
          </w:tcPr>
          <w:p w14:paraId="4D48BB30" w14:textId="77777777" w:rsidR="009B5614" w:rsidRPr="009B5614" w:rsidRDefault="009B5614" w:rsidP="009B5614">
            <w:pPr>
              <w:spacing w:line="278" w:lineRule="auto"/>
              <w:rPr>
                <w:sz w:val="18"/>
                <w:szCs w:val="18"/>
                <w:lang w:val="es-ES"/>
              </w:rPr>
            </w:pPr>
            <w:r w:rsidRPr="009B5614">
              <w:rPr>
                <w:sz w:val="18"/>
                <w:szCs w:val="18"/>
                <w:lang w:val="es-ES"/>
              </w:rPr>
              <w:lastRenderedPageBreak/>
              <w:t>Stable</w:t>
            </w:r>
          </w:p>
        </w:tc>
        <w:tc>
          <w:tcPr>
            <w:tcW w:w="4447" w:type="dxa"/>
          </w:tcPr>
          <w:p w14:paraId="2A56C5BD" w14:textId="77777777" w:rsidR="009B5614" w:rsidRPr="009B5614" w:rsidRDefault="009B5614" w:rsidP="009B5614">
            <w:pPr>
              <w:spacing w:line="278" w:lineRule="auto"/>
              <w:rPr>
                <w:sz w:val="18"/>
                <w:szCs w:val="18"/>
                <w:lang w:val="es-ES"/>
              </w:rPr>
            </w:pPr>
            <w:r w:rsidRPr="009B5614">
              <w:rPr>
                <w:sz w:val="18"/>
                <w:szCs w:val="18"/>
                <w:lang w:val="es-ES"/>
              </w:rPr>
              <w:t>estable</w:t>
            </w:r>
          </w:p>
        </w:tc>
      </w:tr>
      <w:tr w:rsidR="009B5614" w:rsidRPr="009B5614" w14:paraId="26345613" w14:textId="77777777" w:rsidTr="009B5614">
        <w:tc>
          <w:tcPr>
            <w:tcW w:w="4960" w:type="dxa"/>
          </w:tcPr>
          <w:p w14:paraId="5C20A0D6" w14:textId="77777777" w:rsidR="009B5614" w:rsidRPr="009B5614" w:rsidRDefault="009B5614" w:rsidP="009B5614">
            <w:pPr>
              <w:spacing w:line="278" w:lineRule="auto"/>
              <w:rPr>
                <w:sz w:val="18"/>
                <w:szCs w:val="18"/>
                <w:lang w:val="es-ES"/>
              </w:rPr>
            </w:pPr>
            <w:proofErr w:type="spellStart"/>
            <w:r w:rsidRPr="009B5614">
              <w:rPr>
                <w:sz w:val="18"/>
                <w:szCs w:val="18"/>
                <w:lang w:val="es-ES"/>
              </w:rPr>
              <w:t>Moving</w:t>
            </w:r>
            <w:proofErr w:type="spellEnd"/>
            <w:r w:rsidRPr="009B5614">
              <w:rPr>
                <w:sz w:val="18"/>
                <w:szCs w:val="18"/>
                <w:lang w:val="es-ES"/>
              </w:rPr>
              <w:t xml:space="preserve"> </w:t>
            </w:r>
            <w:proofErr w:type="spellStart"/>
            <w:r w:rsidRPr="009B5614">
              <w:rPr>
                <w:sz w:val="18"/>
                <w:szCs w:val="18"/>
                <w:lang w:val="es-ES"/>
              </w:rPr>
              <w:t>away</w:t>
            </w:r>
            <w:proofErr w:type="spellEnd"/>
          </w:p>
        </w:tc>
        <w:tc>
          <w:tcPr>
            <w:tcW w:w="4447" w:type="dxa"/>
          </w:tcPr>
          <w:p w14:paraId="17DD773E" w14:textId="77777777" w:rsidR="009B5614" w:rsidRPr="009B5614" w:rsidRDefault="009B5614" w:rsidP="009B5614">
            <w:pPr>
              <w:spacing w:line="278" w:lineRule="auto"/>
              <w:rPr>
                <w:sz w:val="18"/>
                <w:szCs w:val="18"/>
                <w:lang w:val="es-ES"/>
              </w:rPr>
            </w:pPr>
            <w:r w:rsidRPr="009B5614">
              <w:rPr>
                <w:sz w:val="18"/>
                <w:szCs w:val="18"/>
                <w:lang w:val="es-ES"/>
              </w:rPr>
              <w:t>alejándose</w:t>
            </w:r>
          </w:p>
        </w:tc>
      </w:tr>
      <w:tr w:rsidR="009B5614" w:rsidRPr="009B5614" w14:paraId="5D97B04F" w14:textId="77777777" w:rsidTr="009B5614">
        <w:tc>
          <w:tcPr>
            <w:tcW w:w="4960" w:type="dxa"/>
          </w:tcPr>
          <w:p w14:paraId="40D6D47E" w14:textId="77777777" w:rsidR="009B5614" w:rsidRPr="009B5614" w:rsidRDefault="009B5614" w:rsidP="009B5614">
            <w:pPr>
              <w:spacing w:line="278" w:lineRule="auto"/>
              <w:rPr>
                <w:sz w:val="18"/>
                <w:szCs w:val="18"/>
                <w:lang w:val="es-ES"/>
              </w:rPr>
            </w:pPr>
            <w:r w:rsidRPr="009B5614">
              <w:rPr>
                <w:sz w:val="18"/>
                <w:szCs w:val="18"/>
                <w:lang w:val="es-ES"/>
              </w:rPr>
              <w:t xml:space="preserve">Party </w:t>
            </w:r>
            <w:proofErr w:type="spellStart"/>
            <w:r w:rsidRPr="009B5614">
              <w:rPr>
                <w:sz w:val="18"/>
                <w:szCs w:val="18"/>
                <w:lang w:val="es-ES"/>
              </w:rPr>
              <w:t>count</w:t>
            </w:r>
            <w:proofErr w:type="spellEnd"/>
            <w:r w:rsidRPr="009B5614">
              <w:rPr>
                <w:sz w:val="18"/>
                <w:szCs w:val="18"/>
                <w:lang w:val="es-ES"/>
              </w:rPr>
              <w:t>: 19</w:t>
            </w:r>
          </w:p>
        </w:tc>
        <w:tc>
          <w:tcPr>
            <w:tcW w:w="4447" w:type="dxa"/>
          </w:tcPr>
          <w:p w14:paraId="7DAFD552" w14:textId="77777777" w:rsidR="009B5614" w:rsidRPr="009B5614" w:rsidRDefault="009B5614" w:rsidP="009B5614">
            <w:pPr>
              <w:spacing w:line="278" w:lineRule="auto"/>
              <w:rPr>
                <w:sz w:val="18"/>
                <w:szCs w:val="18"/>
                <w:lang w:val="es-ES"/>
              </w:rPr>
            </w:pPr>
            <w:r w:rsidRPr="009B5614">
              <w:rPr>
                <w:sz w:val="18"/>
                <w:szCs w:val="18"/>
                <w:lang w:val="es-ES"/>
              </w:rPr>
              <w:t>Número de Partes: 19</w:t>
            </w:r>
          </w:p>
        </w:tc>
      </w:tr>
      <w:tr w:rsidR="009B5614" w:rsidRPr="009B5614" w14:paraId="49A80C17" w14:textId="77777777" w:rsidTr="009B5614">
        <w:tc>
          <w:tcPr>
            <w:tcW w:w="4960" w:type="dxa"/>
          </w:tcPr>
          <w:p w14:paraId="1F53BAEA" w14:textId="77777777" w:rsidR="009B5614" w:rsidRPr="009B5614" w:rsidRDefault="009B5614" w:rsidP="009B5614">
            <w:pPr>
              <w:spacing w:line="278" w:lineRule="auto"/>
              <w:rPr>
                <w:sz w:val="18"/>
                <w:szCs w:val="18"/>
                <w:lang w:val="es-ES"/>
              </w:rPr>
            </w:pPr>
            <w:proofErr w:type="spellStart"/>
            <w:r w:rsidRPr="009B5614">
              <w:rPr>
                <w:sz w:val="18"/>
                <w:szCs w:val="18"/>
                <w:lang w:val="es-ES"/>
              </w:rPr>
              <w:t>Region</w:t>
            </w:r>
            <w:proofErr w:type="spellEnd"/>
          </w:p>
        </w:tc>
        <w:tc>
          <w:tcPr>
            <w:tcW w:w="4447" w:type="dxa"/>
          </w:tcPr>
          <w:p w14:paraId="7C14EBD4" w14:textId="77777777" w:rsidR="009B5614" w:rsidRPr="009B5614" w:rsidRDefault="009B5614" w:rsidP="009B5614">
            <w:pPr>
              <w:spacing w:line="278" w:lineRule="auto"/>
              <w:rPr>
                <w:sz w:val="18"/>
                <w:szCs w:val="18"/>
                <w:lang w:val="es-ES"/>
              </w:rPr>
            </w:pPr>
            <w:r w:rsidRPr="009B5614">
              <w:rPr>
                <w:sz w:val="18"/>
                <w:szCs w:val="18"/>
                <w:lang w:val="es-ES"/>
              </w:rPr>
              <w:t>Región</w:t>
            </w:r>
          </w:p>
        </w:tc>
      </w:tr>
      <w:tr w:rsidR="009B5614" w:rsidRPr="009B5614" w14:paraId="6D488CC8" w14:textId="77777777" w:rsidTr="009B5614">
        <w:tc>
          <w:tcPr>
            <w:tcW w:w="4960" w:type="dxa"/>
          </w:tcPr>
          <w:p w14:paraId="4EE4B3BC" w14:textId="77777777" w:rsidR="009B5614" w:rsidRPr="009B5614" w:rsidRDefault="009B5614" w:rsidP="009B5614">
            <w:pPr>
              <w:spacing w:line="278" w:lineRule="auto"/>
              <w:rPr>
                <w:sz w:val="18"/>
                <w:szCs w:val="18"/>
                <w:lang w:val="es-ES"/>
              </w:rPr>
            </w:pPr>
            <w:r w:rsidRPr="009B5614">
              <w:rPr>
                <w:sz w:val="18"/>
                <w:szCs w:val="18"/>
                <w:lang w:val="es-ES"/>
              </w:rPr>
              <w:t>African States</w:t>
            </w:r>
          </w:p>
        </w:tc>
        <w:tc>
          <w:tcPr>
            <w:tcW w:w="4447" w:type="dxa"/>
          </w:tcPr>
          <w:p w14:paraId="6410A2F5" w14:textId="77777777" w:rsidR="009B5614" w:rsidRPr="009B5614" w:rsidRDefault="009B5614" w:rsidP="009B5614">
            <w:pPr>
              <w:spacing w:line="278" w:lineRule="auto"/>
              <w:rPr>
                <w:sz w:val="18"/>
                <w:szCs w:val="18"/>
                <w:lang w:val="es-ES"/>
              </w:rPr>
            </w:pPr>
            <w:r w:rsidRPr="009B5614">
              <w:rPr>
                <w:sz w:val="18"/>
                <w:szCs w:val="18"/>
                <w:lang w:val="es-ES"/>
              </w:rPr>
              <w:t>Estados de África</w:t>
            </w:r>
          </w:p>
        </w:tc>
      </w:tr>
      <w:tr w:rsidR="009B5614" w:rsidRPr="009B5614" w14:paraId="48FCDA32" w14:textId="77777777" w:rsidTr="009B5614">
        <w:tc>
          <w:tcPr>
            <w:tcW w:w="4960" w:type="dxa"/>
          </w:tcPr>
          <w:p w14:paraId="134DD78F" w14:textId="77777777" w:rsidR="009B5614" w:rsidRPr="009B5614" w:rsidRDefault="009B5614" w:rsidP="009B5614">
            <w:pPr>
              <w:spacing w:line="278" w:lineRule="auto"/>
              <w:rPr>
                <w:sz w:val="18"/>
                <w:szCs w:val="18"/>
                <w:lang w:val="es-ES"/>
              </w:rPr>
            </w:pPr>
            <w:r w:rsidRPr="009B5614">
              <w:rPr>
                <w:sz w:val="18"/>
                <w:szCs w:val="18"/>
                <w:lang w:val="es-ES"/>
              </w:rPr>
              <w:t>Asia-Pacific States</w:t>
            </w:r>
          </w:p>
        </w:tc>
        <w:tc>
          <w:tcPr>
            <w:tcW w:w="4447" w:type="dxa"/>
          </w:tcPr>
          <w:p w14:paraId="2345D4AE" w14:textId="77777777" w:rsidR="009B5614" w:rsidRPr="009B5614" w:rsidRDefault="009B5614" w:rsidP="009B5614">
            <w:pPr>
              <w:spacing w:line="278" w:lineRule="auto"/>
              <w:rPr>
                <w:sz w:val="18"/>
                <w:szCs w:val="18"/>
                <w:lang w:val="es-ES"/>
              </w:rPr>
            </w:pPr>
            <w:r w:rsidRPr="009B5614">
              <w:rPr>
                <w:sz w:val="18"/>
                <w:szCs w:val="18"/>
                <w:lang w:val="es-ES"/>
              </w:rPr>
              <w:t>Estados de Asia y el Pacífico</w:t>
            </w:r>
          </w:p>
        </w:tc>
      </w:tr>
      <w:tr w:rsidR="009B5614" w:rsidRPr="009B5614" w14:paraId="12E8D0CD" w14:textId="77777777" w:rsidTr="009B5614">
        <w:tc>
          <w:tcPr>
            <w:tcW w:w="4960" w:type="dxa"/>
          </w:tcPr>
          <w:p w14:paraId="274B98D7" w14:textId="77777777" w:rsidR="009B5614" w:rsidRPr="009B5614" w:rsidRDefault="009B5614" w:rsidP="009B5614">
            <w:pPr>
              <w:spacing w:line="278" w:lineRule="auto"/>
              <w:rPr>
                <w:sz w:val="18"/>
                <w:szCs w:val="18"/>
                <w:lang w:val="en-US"/>
              </w:rPr>
            </w:pPr>
            <w:r w:rsidRPr="009B5614">
              <w:rPr>
                <w:sz w:val="18"/>
                <w:szCs w:val="18"/>
                <w:lang w:val="en-US"/>
              </w:rPr>
              <w:t>Latin American and Caribbean States</w:t>
            </w:r>
          </w:p>
        </w:tc>
        <w:tc>
          <w:tcPr>
            <w:tcW w:w="4447" w:type="dxa"/>
          </w:tcPr>
          <w:p w14:paraId="4469337B" w14:textId="77777777" w:rsidR="009B5614" w:rsidRPr="009B5614" w:rsidRDefault="009B5614" w:rsidP="009B5614">
            <w:pPr>
              <w:spacing w:line="278" w:lineRule="auto"/>
              <w:rPr>
                <w:sz w:val="18"/>
                <w:szCs w:val="18"/>
                <w:lang w:val="es-ES"/>
              </w:rPr>
            </w:pPr>
            <w:r w:rsidRPr="009B5614">
              <w:rPr>
                <w:sz w:val="18"/>
                <w:szCs w:val="18"/>
                <w:lang w:val="es-ES"/>
              </w:rPr>
              <w:t>Estados de América Latina y el Caribe</w:t>
            </w:r>
          </w:p>
        </w:tc>
      </w:tr>
      <w:tr w:rsidR="009B5614" w:rsidRPr="009B5614" w14:paraId="7420E8F5" w14:textId="77777777" w:rsidTr="009B5614">
        <w:tc>
          <w:tcPr>
            <w:tcW w:w="4960" w:type="dxa"/>
          </w:tcPr>
          <w:p w14:paraId="089EF728" w14:textId="77777777" w:rsidR="009B5614" w:rsidRPr="009B5614" w:rsidRDefault="009B5614" w:rsidP="009B5614">
            <w:pPr>
              <w:spacing w:line="278" w:lineRule="auto"/>
              <w:rPr>
                <w:sz w:val="18"/>
                <w:szCs w:val="18"/>
                <w:lang w:val="es-ES"/>
              </w:rPr>
            </w:pPr>
            <w:r w:rsidRPr="009B5614">
              <w:rPr>
                <w:sz w:val="18"/>
                <w:szCs w:val="18"/>
                <w:lang w:val="es-ES"/>
              </w:rPr>
              <w:t xml:space="preserve"> Eastern European States</w:t>
            </w:r>
          </w:p>
        </w:tc>
        <w:tc>
          <w:tcPr>
            <w:tcW w:w="4447" w:type="dxa"/>
          </w:tcPr>
          <w:p w14:paraId="722AEF08" w14:textId="77777777" w:rsidR="009B5614" w:rsidRPr="009B5614" w:rsidRDefault="009B5614" w:rsidP="009B5614">
            <w:pPr>
              <w:spacing w:line="278" w:lineRule="auto"/>
              <w:rPr>
                <w:sz w:val="18"/>
                <w:szCs w:val="18"/>
                <w:lang w:val="es-ES"/>
              </w:rPr>
            </w:pPr>
            <w:r w:rsidRPr="009B5614">
              <w:rPr>
                <w:sz w:val="18"/>
                <w:szCs w:val="18"/>
                <w:lang w:val="es-ES"/>
              </w:rPr>
              <w:t>Estados de Europa Oriental</w:t>
            </w:r>
          </w:p>
        </w:tc>
      </w:tr>
      <w:tr w:rsidR="009B5614" w:rsidRPr="009B5614" w14:paraId="51DEF250" w14:textId="77777777" w:rsidTr="009B5614">
        <w:tc>
          <w:tcPr>
            <w:tcW w:w="4960" w:type="dxa"/>
          </w:tcPr>
          <w:p w14:paraId="2D96044E" w14:textId="77777777" w:rsidR="009B5614" w:rsidRPr="009B5614" w:rsidRDefault="009B5614" w:rsidP="009B5614">
            <w:pPr>
              <w:spacing w:line="278" w:lineRule="auto"/>
              <w:rPr>
                <w:sz w:val="18"/>
                <w:szCs w:val="18"/>
                <w:lang w:val="en-US"/>
              </w:rPr>
            </w:pPr>
            <w:r w:rsidRPr="009B5614">
              <w:rPr>
                <w:sz w:val="18"/>
                <w:szCs w:val="18"/>
                <w:lang w:val="en-US"/>
              </w:rPr>
              <w:t>Western European and other States</w:t>
            </w:r>
          </w:p>
        </w:tc>
        <w:tc>
          <w:tcPr>
            <w:tcW w:w="4447" w:type="dxa"/>
          </w:tcPr>
          <w:p w14:paraId="420195DC" w14:textId="77777777" w:rsidR="009B5614" w:rsidRPr="009B5614" w:rsidRDefault="009B5614" w:rsidP="009B5614">
            <w:pPr>
              <w:spacing w:line="278" w:lineRule="auto"/>
              <w:rPr>
                <w:sz w:val="18"/>
                <w:szCs w:val="18"/>
                <w:lang w:val="es-ES"/>
              </w:rPr>
            </w:pPr>
            <w:r w:rsidRPr="009B5614">
              <w:rPr>
                <w:sz w:val="18"/>
                <w:szCs w:val="18"/>
                <w:lang w:val="es-ES"/>
              </w:rPr>
              <w:t>Estados de Europa Occidental y otros Estados</w:t>
            </w:r>
          </w:p>
        </w:tc>
      </w:tr>
    </w:tbl>
    <w:p w14:paraId="4A41A748" w14:textId="77777777" w:rsidR="009B5614" w:rsidRPr="005E3D50" w:rsidRDefault="009B5614" w:rsidP="009713BF">
      <w:pPr>
        <w:spacing w:after="200" w:line="240" w:lineRule="auto"/>
        <w:rPr>
          <w:rFonts w:ascii="Aptos" w:eastAsiaTheme="minorEastAsia" w:hAnsi="Aptos"/>
          <w:color w:val="0E2841" w:themeColor="text2"/>
          <w:kern w:val="0"/>
          <w:sz w:val="16"/>
          <w:szCs w:val="16"/>
          <w:lang w:val="es-ES" w:eastAsia="ja-JP"/>
          <w14:ligatures w14:val="none"/>
        </w:rPr>
      </w:pPr>
    </w:p>
    <w:p w14:paraId="6D58AB9A" w14:textId="77777777" w:rsidR="009713BF" w:rsidRPr="005E3D50" w:rsidRDefault="009713BF" w:rsidP="009713BF">
      <w:pPr>
        <w:spacing w:after="200" w:line="240" w:lineRule="auto"/>
        <w:rPr>
          <w:rFonts w:eastAsiaTheme="minorEastAsia"/>
          <w:i/>
          <w:iCs/>
          <w:color w:val="0E2841" w:themeColor="text2"/>
          <w:kern w:val="0"/>
          <w:sz w:val="18"/>
          <w:szCs w:val="18"/>
          <w:lang w:val="es-ES" w:eastAsia="ja-JP"/>
          <w14:ligatures w14:val="none"/>
        </w:rPr>
      </w:pPr>
    </w:p>
    <w:p w14:paraId="7DBC1A58"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37" w:name="_Toc235821321"/>
      <w:r w:rsidRPr="005E3D50">
        <w:rPr>
          <w:rFonts w:eastAsiaTheme="majorEastAsia" w:cstheme="majorBidi"/>
          <w:color w:val="0F4761" w:themeColor="accent1" w:themeShade="BF"/>
          <w:lang w:val="es-ES"/>
        </w:rPr>
        <w:t>Autoevaluación de progresos</w:t>
      </w:r>
      <w:bookmarkEnd w:id="537"/>
    </w:p>
    <w:p w14:paraId="344B9549" w14:textId="77777777" w:rsidR="009713BF" w:rsidRPr="005E3D50" w:rsidRDefault="009713BF" w:rsidP="009713BF">
      <w:pPr>
        <w:rPr>
          <w:color w:val="000000" w:themeColor="text1"/>
          <w:lang w:val="es-ES"/>
        </w:rPr>
      </w:pPr>
      <w:r w:rsidRPr="005E3D50">
        <w:rPr>
          <w:lang w:val="es-ES"/>
        </w:rPr>
        <w:t>Según las autoevaluaciones realizadas por las Partes en sus informes nacionales, una proporción relativamente alta (42 %) de las metas nacionales presentadas como estrechamente armonizadas con la meta 22 están en vías de alcanzarse, frente a una proporción mucho mayor (55 %) que no muestran cambios significativos o bien muestran progresos insuficientes, y solo se informa de una meta nacional (0,2 %) que se alcanzó (véase la figura 91).</w:t>
      </w:r>
    </w:p>
    <w:p w14:paraId="52AAD9F9" w14:textId="77777777" w:rsidR="009713BF" w:rsidRPr="005E3D50" w:rsidRDefault="009713BF" w:rsidP="009713BF">
      <w:pPr>
        <w:rPr>
          <w:lang w:val="es-ES"/>
        </w:rPr>
      </w:pPr>
    </w:p>
    <w:p w14:paraId="7F791818" w14:textId="77777777" w:rsidR="009713BF" w:rsidRPr="005E3D50" w:rsidRDefault="009713BF" w:rsidP="009713BF">
      <w:pPr>
        <w:rPr>
          <w:sz w:val="20"/>
          <w:szCs w:val="20"/>
          <w:lang w:val="es-ES"/>
        </w:rPr>
      </w:pPr>
      <w:r w:rsidRPr="005E3D50">
        <w:rPr>
          <w:sz w:val="20"/>
          <w:lang w:val="es-ES"/>
        </w:rPr>
        <w:t>Figura 91</w:t>
      </w:r>
    </w:p>
    <w:p w14:paraId="639E4D79" w14:textId="77777777" w:rsidR="009713BF" w:rsidRPr="005E3D50" w:rsidRDefault="009713BF" w:rsidP="009713BF">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22 del Marco </w:t>
      </w:r>
    </w:p>
    <w:p w14:paraId="4B0F056E" w14:textId="77777777" w:rsidR="009713BF" w:rsidRPr="005E3D50" w:rsidRDefault="009713BF" w:rsidP="009713BF">
      <w:pPr>
        <w:rPr>
          <w:rFonts w:ascii="Aptos" w:hAnsi="Aptos"/>
          <w:sz w:val="20"/>
          <w:szCs w:val="20"/>
          <w:lang w:val="es-ES"/>
        </w:rPr>
      </w:pPr>
    </w:p>
    <w:p w14:paraId="1A502B13" w14:textId="77777777" w:rsidR="009713BF" w:rsidRPr="005E3D50" w:rsidRDefault="009713BF" w:rsidP="009713BF">
      <w:pPr>
        <w:rPr>
          <w:i/>
          <w:iCs/>
          <w:color w:val="0E2841" w:themeColor="text2"/>
          <w:sz w:val="18"/>
          <w:szCs w:val="18"/>
          <w:lang w:val="es-ES"/>
        </w:rPr>
      </w:pPr>
      <w:bookmarkStart w:id="538" w:name="_Ref231254006"/>
      <w:r w:rsidRPr="005E3D50">
        <w:rPr>
          <w:noProof/>
          <w:lang w:val="en-US"/>
        </w:rPr>
        <w:drawing>
          <wp:inline distT="0" distB="0" distL="0" distR="0" wp14:anchorId="3C7445AF" wp14:editId="53A21653">
            <wp:extent cx="5731510" cy="2292350"/>
            <wp:effectExtent l="0" t="0" r="0" b="6350"/>
            <wp:docPr id="49224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127" name="Picture 49224127"/>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538"/>
    <w:p w14:paraId="109130C7" w14:textId="77777777" w:rsidR="009713BF" w:rsidRDefault="009713BF" w:rsidP="009713BF">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w:t>
      </w:r>
      <w:r w:rsidRPr="005E3D50">
        <w:rPr>
          <w:rFonts w:ascii="Aptos" w:eastAsiaTheme="minorEastAsia" w:hAnsi="Aptos"/>
          <w:iCs/>
          <w:color w:val="0E2841" w:themeColor="text2"/>
          <w:kern w:val="0"/>
          <w:sz w:val="18"/>
          <w:szCs w:val="18"/>
          <w:lang w:val="es-ES" w:eastAsia="ja-JP"/>
          <w14:ligatures w14:val="none"/>
        </w:rPr>
        <w:lastRenderedPageBreak/>
        <w:t>proporción de Partes de una región dada para la que se incluyen datos en el gráfico; los tonos más claros representan la proporción de Partes de la misma región para la que no se incluyen datos en el gráfico.</w:t>
      </w:r>
    </w:p>
    <w:tbl>
      <w:tblPr>
        <w:tblStyle w:val="TableGrid"/>
        <w:tblW w:w="9356" w:type="dxa"/>
        <w:tblLook w:val="04A0" w:firstRow="1" w:lastRow="0" w:firstColumn="1" w:lastColumn="0" w:noHBand="0" w:noVBand="1"/>
      </w:tblPr>
      <w:tblGrid>
        <w:gridCol w:w="4491"/>
        <w:gridCol w:w="4865"/>
      </w:tblGrid>
      <w:tr w:rsidR="00126F5B" w:rsidRPr="00126F5B" w14:paraId="0F6A2E0C" w14:textId="77777777" w:rsidTr="00126F5B">
        <w:tc>
          <w:tcPr>
            <w:tcW w:w="9356" w:type="dxa"/>
            <w:gridSpan w:val="2"/>
          </w:tcPr>
          <w:p w14:paraId="6CCCFF47" w14:textId="35A84033" w:rsidR="00126F5B" w:rsidRPr="00126F5B" w:rsidRDefault="00126F5B" w:rsidP="00126F5B">
            <w:pPr>
              <w:rPr>
                <w:sz w:val="18"/>
                <w:szCs w:val="18"/>
                <w:lang w:val="es-ES"/>
              </w:rPr>
            </w:pPr>
            <w:r w:rsidRPr="00126F5B">
              <w:rPr>
                <w:sz w:val="18"/>
                <w:szCs w:val="18"/>
                <w:lang w:val="es-ES"/>
              </w:rPr>
              <w:t>Figura 91</w:t>
            </w:r>
          </w:p>
        </w:tc>
      </w:tr>
      <w:tr w:rsidR="00126F5B" w:rsidRPr="00126F5B" w14:paraId="648002E7" w14:textId="77777777" w:rsidTr="00126F5B">
        <w:tc>
          <w:tcPr>
            <w:tcW w:w="4491" w:type="dxa"/>
          </w:tcPr>
          <w:p w14:paraId="46C8028B" w14:textId="77777777" w:rsidR="00126F5B" w:rsidRPr="00126F5B" w:rsidRDefault="00126F5B" w:rsidP="00126F5B">
            <w:pPr>
              <w:spacing w:line="278" w:lineRule="auto"/>
              <w:rPr>
                <w:sz w:val="18"/>
                <w:szCs w:val="18"/>
                <w:lang w:val="es-ES"/>
              </w:rPr>
            </w:pPr>
            <w:r w:rsidRPr="00126F5B">
              <w:rPr>
                <w:sz w:val="18"/>
                <w:szCs w:val="18"/>
                <w:lang w:val="es-ES"/>
              </w:rPr>
              <w:t xml:space="preserve">English </w:t>
            </w:r>
          </w:p>
        </w:tc>
        <w:tc>
          <w:tcPr>
            <w:tcW w:w="4864" w:type="dxa"/>
          </w:tcPr>
          <w:p w14:paraId="4CD00C98" w14:textId="3F6CFC0D" w:rsidR="00126F5B" w:rsidRPr="00126F5B" w:rsidRDefault="00126F5B" w:rsidP="00126F5B">
            <w:pPr>
              <w:spacing w:line="278" w:lineRule="auto"/>
              <w:rPr>
                <w:sz w:val="18"/>
                <w:szCs w:val="18"/>
                <w:lang w:val="es-ES"/>
              </w:rPr>
            </w:pPr>
            <w:r w:rsidRPr="00126F5B">
              <w:rPr>
                <w:sz w:val="18"/>
                <w:szCs w:val="18"/>
                <w:lang w:val="es-ES"/>
              </w:rPr>
              <w:t>Español</w:t>
            </w:r>
          </w:p>
        </w:tc>
      </w:tr>
      <w:tr w:rsidR="00126F5B" w:rsidRPr="00126F5B" w14:paraId="4033BBAD" w14:textId="77777777" w:rsidTr="00126F5B">
        <w:tc>
          <w:tcPr>
            <w:tcW w:w="4491" w:type="dxa"/>
          </w:tcPr>
          <w:p w14:paraId="3DDE17E5" w14:textId="77777777" w:rsidR="00126F5B" w:rsidRPr="00126F5B" w:rsidRDefault="00126F5B" w:rsidP="00126F5B">
            <w:pPr>
              <w:spacing w:line="278" w:lineRule="auto"/>
              <w:rPr>
                <w:sz w:val="18"/>
                <w:szCs w:val="18"/>
                <w:lang w:val="es-ES"/>
              </w:rPr>
            </w:pPr>
            <w:proofErr w:type="spellStart"/>
            <w:r w:rsidRPr="00126F5B">
              <w:rPr>
                <w:sz w:val="18"/>
                <w:szCs w:val="18"/>
                <w:lang w:val="es-ES"/>
              </w:rPr>
              <w:t>Percentage</w:t>
            </w:r>
            <w:proofErr w:type="spellEnd"/>
            <w:r w:rsidRPr="00126F5B">
              <w:rPr>
                <w:sz w:val="18"/>
                <w:szCs w:val="18"/>
                <w:lang w:val="es-ES"/>
              </w:rPr>
              <w:t xml:space="preserve"> of </w:t>
            </w:r>
            <w:proofErr w:type="spellStart"/>
            <w:r w:rsidRPr="00126F5B">
              <w:rPr>
                <w:sz w:val="18"/>
                <w:szCs w:val="18"/>
                <w:lang w:val="es-ES"/>
              </w:rPr>
              <w:t>national</w:t>
            </w:r>
            <w:proofErr w:type="spellEnd"/>
            <w:r w:rsidRPr="00126F5B">
              <w:rPr>
                <w:sz w:val="18"/>
                <w:szCs w:val="18"/>
                <w:lang w:val="es-ES"/>
              </w:rPr>
              <w:t xml:space="preserve"> targets</w:t>
            </w:r>
          </w:p>
        </w:tc>
        <w:tc>
          <w:tcPr>
            <w:tcW w:w="4864" w:type="dxa"/>
          </w:tcPr>
          <w:p w14:paraId="4FE285CC" w14:textId="77777777" w:rsidR="00126F5B" w:rsidRPr="00126F5B" w:rsidRDefault="00126F5B" w:rsidP="00126F5B">
            <w:pPr>
              <w:spacing w:line="278" w:lineRule="auto"/>
              <w:rPr>
                <w:sz w:val="18"/>
                <w:szCs w:val="18"/>
                <w:lang w:val="es-ES"/>
              </w:rPr>
            </w:pPr>
            <w:r w:rsidRPr="00126F5B">
              <w:rPr>
                <w:sz w:val="18"/>
                <w:szCs w:val="18"/>
                <w:lang w:val="es-ES"/>
              </w:rPr>
              <w:t>Porcentaje de metas nacionales</w:t>
            </w:r>
          </w:p>
        </w:tc>
      </w:tr>
      <w:tr w:rsidR="00126F5B" w:rsidRPr="00126F5B" w14:paraId="5A80026D" w14:textId="77777777" w:rsidTr="00126F5B">
        <w:tc>
          <w:tcPr>
            <w:tcW w:w="4491" w:type="dxa"/>
          </w:tcPr>
          <w:p w14:paraId="1BB3AA26" w14:textId="77777777" w:rsidR="00126F5B" w:rsidRPr="00126F5B" w:rsidRDefault="00126F5B" w:rsidP="00126F5B">
            <w:pPr>
              <w:spacing w:line="278" w:lineRule="auto"/>
              <w:rPr>
                <w:sz w:val="18"/>
                <w:szCs w:val="18"/>
                <w:lang w:val="es-ES"/>
              </w:rPr>
            </w:pPr>
            <w:proofErr w:type="spellStart"/>
            <w:r w:rsidRPr="00126F5B">
              <w:rPr>
                <w:sz w:val="18"/>
                <w:szCs w:val="18"/>
                <w:lang w:val="es-ES"/>
              </w:rPr>
              <w:t>Progress</w:t>
            </w:r>
            <w:proofErr w:type="spellEnd"/>
            <w:r w:rsidRPr="00126F5B">
              <w:rPr>
                <w:sz w:val="18"/>
                <w:szCs w:val="18"/>
                <w:lang w:val="es-ES"/>
              </w:rPr>
              <w:t xml:space="preserve"> </w:t>
            </w:r>
            <w:proofErr w:type="spellStart"/>
            <w:r w:rsidRPr="00126F5B">
              <w:rPr>
                <w:sz w:val="18"/>
                <w:szCs w:val="18"/>
                <w:lang w:val="es-ES"/>
              </w:rPr>
              <w:t>level</w:t>
            </w:r>
            <w:proofErr w:type="spellEnd"/>
          </w:p>
        </w:tc>
        <w:tc>
          <w:tcPr>
            <w:tcW w:w="4864" w:type="dxa"/>
          </w:tcPr>
          <w:p w14:paraId="1C49E918" w14:textId="77777777" w:rsidR="00126F5B" w:rsidRPr="00126F5B" w:rsidRDefault="00126F5B" w:rsidP="00126F5B">
            <w:pPr>
              <w:spacing w:line="278" w:lineRule="auto"/>
              <w:rPr>
                <w:sz w:val="18"/>
                <w:szCs w:val="18"/>
                <w:lang w:val="es-ES"/>
              </w:rPr>
            </w:pPr>
            <w:r w:rsidRPr="00126F5B">
              <w:rPr>
                <w:sz w:val="18"/>
                <w:szCs w:val="18"/>
                <w:lang w:val="es-ES"/>
              </w:rPr>
              <w:t>Nivel de progreso</w:t>
            </w:r>
          </w:p>
        </w:tc>
      </w:tr>
      <w:tr w:rsidR="00126F5B" w:rsidRPr="00126F5B" w14:paraId="53939830" w14:textId="77777777" w:rsidTr="00126F5B">
        <w:tc>
          <w:tcPr>
            <w:tcW w:w="4491" w:type="dxa"/>
          </w:tcPr>
          <w:p w14:paraId="7BE9FF16" w14:textId="77777777" w:rsidR="00126F5B" w:rsidRPr="00126F5B" w:rsidRDefault="00126F5B" w:rsidP="00126F5B">
            <w:pPr>
              <w:spacing w:line="278" w:lineRule="auto"/>
              <w:rPr>
                <w:sz w:val="18"/>
                <w:szCs w:val="18"/>
                <w:lang w:val="es-ES"/>
              </w:rPr>
            </w:pPr>
            <w:proofErr w:type="spellStart"/>
            <w:r w:rsidRPr="00126F5B">
              <w:rPr>
                <w:sz w:val="18"/>
                <w:szCs w:val="18"/>
                <w:lang w:val="es-ES"/>
              </w:rPr>
              <w:t>Achieved</w:t>
            </w:r>
            <w:proofErr w:type="spellEnd"/>
          </w:p>
        </w:tc>
        <w:tc>
          <w:tcPr>
            <w:tcW w:w="4864" w:type="dxa"/>
          </w:tcPr>
          <w:p w14:paraId="353529DB" w14:textId="77777777" w:rsidR="00126F5B" w:rsidRPr="00126F5B" w:rsidRDefault="00126F5B" w:rsidP="00126F5B">
            <w:pPr>
              <w:spacing w:line="278" w:lineRule="auto"/>
              <w:rPr>
                <w:sz w:val="18"/>
                <w:szCs w:val="18"/>
                <w:lang w:val="es-ES"/>
              </w:rPr>
            </w:pPr>
            <w:r w:rsidRPr="00126F5B">
              <w:rPr>
                <w:sz w:val="18"/>
                <w:szCs w:val="18"/>
                <w:lang w:val="es-ES"/>
              </w:rPr>
              <w:t>Alcanzada</w:t>
            </w:r>
          </w:p>
        </w:tc>
      </w:tr>
      <w:tr w:rsidR="00126F5B" w:rsidRPr="00126F5B" w14:paraId="45F8BFC7" w14:textId="77777777" w:rsidTr="00126F5B">
        <w:tc>
          <w:tcPr>
            <w:tcW w:w="4491" w:type="dxa"/>
          </w:tcPr>
          <w:p w14:paraId="60425D46" w14:textId="77777777" w:rsidR="00126F5B" w:rsidRPr="00126F5B" w:rsidRDefault="00126F5B" w:rsidP="00126F5B">
            <w:pPr>
              <w:spacing w:line="278" w:lineRule="auto"/>
              <w:rPr>
                <w:sz w:val="18"/>
                <w:szCs w:val="18"/>
                <w:lang w:val="en-US"/>
              </w:rPr>
            </w:pPr>
            <w:r w:rsidRPr="00126F5B">
              <w:rPr>
                <w:sz w:val="18"/>
                <w:szCs w:val="18"/>
                <w:lang w:val="en-US"/>
              </w:rPr>
              <w:t>On track to achieve target</w:t>
            </w:r>
          </w:p>
        </w:tc>
        <w:tc>
          <w:tcPr>
            <w:tcW w:w="4864" w:type="dxa"/>
          </w:tcPr>
          <w:p w14:paraId="07FB1246" w14:textId="77777777" w:rsidR="00126F5B" w:rsidRPr="00126F5B" w:rsidRDefault="00126F5B" w:rsidP="00126F5B">
            <w:pPr>
              <w:spacing w:line="278" w:lineRule="auto"/>
              <w:rPr>
                <w:sz w:val="18"/>
                <w:szCs w:val="18"/>
                <w:lang w:val="es-ES"/>
              </w:rPr>
            </w:pPr>
            <w:r w:rsidRPr="00126F5B">
              <w:rPr>
                <w:sz w:val="18"/>
                <w:szCs w:val="18"/>
                <w:lang w:val="es-ES"/>
              </w:rPr>
              <w:t>En vías de alcanzar la meta</w:t>
            </w:r>
          </w:p>
        </w:tc>
      </w:tr>
      <w:tr w:rsidR="00126F5B" w:rsidRPr="00126F5B" w14:paraId="1141B12E" w14:textId="77777777" w:rsidTr="00126F5B">
        <w:tc>
          <w:tcPr>
            <w:tcW w:w="4491" w:type="dxa"/>
          </w:tcPr>
          <w:p w14:paraId="72E1FF8B" w14:textId="77777777" w:rsidR="00126F5B" w:rsidRPr="00126F5B" w:rsidRDefault="00126F5B" w:rsidP="00126F5B">
            <w:pPr>
              <w:spacing w:line="278" w:lineRule="auto"/>
              <w:rPr>
                <w:sz w:val="18"/>
                <w:szCs w:val="18"/>
                <w:lang w:val="en-US"/>
              </w:rPr>
            </w:pPr>
            <w:r w:rsidRPr="00126F5B">
              <w:rPr>
                <w:sz w:val="18"/>
                <w:szCs w:val="18"/>
                <w:lang w:val="en-US"/>
              </w:rPr>
              <w:t>Progress towards target but at an insufficient rate</w:t>
            </w:r>
          </w:p>
        </w:tc>
        <w:tc>
          <w:tcPr>
            <w:tcW w:w="4864" w:type="dxa"/>
          </w:tcPr>
          <w:p w14:paraId="5A5F3359" w14:textId="77777777" w:rsidR="00126F5B" w:rsidRPr="00126F5B" w:rsidRDefault="00126F5B" w:rsidP="00126F5B">
            <w:pPr>
              <w:spacing w:line="278" w:lineRule="auto"/>
              <w:rPr>
                <w:sz w:val="18"/>
                <w:szCs w:val="18"/>
                <w:lang w:val="es-ES"/>
              </w:rPr>
            </w:pPr>
            <w:r w:rsidRPr="00126F5B">
              <w:rPr>
                <w:sz w:val="18"/>
                <w:szCs w:val="18"/>
                <w:lang w:val="es-ES"/>
              </w:rPr>
              <w:t xml:space="preserve">Se ha progresado hacia la </w:t>
            </w:r>
            <w:proofErr w:type="gramStart"/>
            <w:r w:rsidRPr="00126F5B">
              <w:rPr>
                <w:sz w:val="18"/>
                <w:szCs w:val="18"/>
                <w:lang w:val="es-ES"/>
              </w:rPr>
              <w:t>meta</w:t>
            </w:r>
            <w:proofErr w:type="gramEnd"/>
            <w:r w:rsidRPr="00126F5B">
              <w:rPr>
                <w:sz w:val="18"/>
                <w:szCs w:val="18"/>
                <w:lang w:val="es-ES"/>
              </w:rPr>
              <w:t xml:space="preserve"> pero a un ritmo insuficiente</w:t>
            </w:r>
          </w:p>
        </w:tc>
      </w:tr>
      <w:tr w:rsidR="00126F5B" w:rsidRPr="00126F5B" w14:paraId="38F4BE2B" w14:textId="77777777" w:rsidTr="00126F5B">
        <w:tc>
          <w:tcPr>
            <w:tcW w:w="4491" w:type="dxa"/>
          </w:tcPr>
          <w:p w14:paraId="2036EF01" w14:textId="77777777" w:rsidR="00126F5B" w:rsidRPr="00126F5B" w:rsidRDefault="00126F5B" w:rsidP="00126F5B">
            <w:pPr>
              <w:spacing w:line="278" w:lineRule="auto"/>
              <w:rPr>
                <w:sz w:val="18"/>
                <w:szCs w:val="18"/>
                <w:lang w:val="es-ES"/>
              </w:rPr>
            </w:pPr>
            <w:r w:rsidRPr="00126F5B">
              <w:rPr>
                <w:sz w:val="18"/>
                <w:szCs w:val="18"/>
                <w:lang w:val="es-ES"/>
              </w:rPr>
              <w:t xml:space="preserve">No </w:t>
            </w:r>
            <w:proofErr w:type="spellStart"/>
            <w:r w:rsidRPr="00126F5B">
              <w:rPr>
                <w:sz w:val="18"/>
                <w:szCs w:val="18"/>
                <w:lang w:val="es-ES"/>
              </w:rPr>
              <w:t>significant</w:t>
            </w:r>
            <w:proofErr w:type="spellEnd"/>
            <w:r w:rsidRPr="00126F5B">
              <w:rPr>
                <w:sz w:val="18"/>
                <w:szCs w:val="18"/>
                <w:lang w:val="es-ES"/>
              </w:rPr>
              <w:t xml:space="preserve"> </w:t>
            </w:r>
            <w:proofErr w:type="spellStart"/>
            <w:r w:rsidRPr="00126F5B">
              <w:rPr>
                <w:sz w:val="18"/>
                <w:szCs w:val="18"/>
                <w:lang w:val="es-ES"/>
              </w:rPr>
              <w:t>change</w:t>
            </w:r>
            <w:proofErr w:type="spellEnd"/>
          </w:p>
        </w:tc>
        <w:tc>
          <w:tcPr>
            <w:tcW w:w="4864" w:type="dxa"/>
          </w:tcPr>
          <w:p w14:paraId="03719F31" w14:textId="77777777" w:rsidR="00126F5B" w:rsidRPr="00126F5B" w:rsidRDefault="00126F5B" w:rsidP="00126F5B">
            <w:pPr>
              <w:spacing w:line="278" w:lineRule="auto"/>
              <w:rPr>
                <w:sz w:val="18"/>
                <w:szCs w:val="18"/>
                <w:lang w:val="es-ES"/>
              </w:rPr>
            </w:pPr>
            <w:r w:rsidRPr="00126F5B">
              <w:rPr>
                <w:sz w:val="18"/>
                <w:szCs w:val="18"/>
                <w:lang w:val="es-ES"/>
              </w:rPr>
              <w:t>No hay cambios significativos</w:t>
            </w:r>
          </w:p>
        </w:tc>
      </w:tr>
      <w:tr w:rsidR="00126F5B" w:rsidRPr="00126F5B" w14:paraId="0D4F17F8" w14:textId="77777777" w:rsidTr="00126F5B">
        <w:tc>
          <w:tcPr>
            <w:tcW w:w="4491" w:type="dxa"/>
          </w:tcPr>
          <w:p w14:paraId="20304746" w14:textId="77777777" w:rsidR="00126F5B" w:rsidRPr="00126F5B" w:rsidRDefault="00126F5B" w:rsidP="00126F5B">
            <w:pPr>
              <w:spacing w:line="278" w:lineRule="auto"/>
              <w:rPr>
                <w:sz w:val="18"/>
                <w:szCs w:val="18"/>
                <w:lang w:val="es-ES"/>
              </w:rPr>
            </w:pPr>
            <w:r w:rsidRPr="00126F5B">
              <w:rPr>
                <w:sz w:val="18"/>
                <w:szCs w:val="18"/>
                <w:lang w:val="es-ES"/>
              </w:rPr>
              <w:t>Unknown</w:t>
            </w:r>
          </w:p>
        </w:tc>
        <w:tc>
          <w:tcPr>
            <w:tcW w:w="4864" w:type="dxa"/>
          </w:tcPr>
          <w:p w14:paraId="7210E5DC" w14:textId="77777777" w:rsidR="00126F5B" w:rsidRPr="00126F5B" w:rsidRDefault="00126F5B" w:rsidP="00126F5B">
            <w:pPr>
              <w:spacing w:line="278" w:lineRule="auto"/>
              <w:rPr>
                <w:sz w:val="18"/>
                <w:szCs w:val="18"/>
                <w:lang w:val="es-ES"/>
              </w:rPr>
            </w:pPr>
            <w:r w:rsidRPr="00126F5B">
              <w:rPr>
                <w:sz w:val="18"/>
                <w:szCs w:val="18"/>
                <w:lang w:val="es-ES"/>
              </w:rPr>
              <w:t>Se desconoce</w:t>
            </w:r>
          </w:p>
        </w:tc>
      </w:tr>
      <w:tr w:rsidR="00126F5B" w:rsidRPr="00126F5B" w14:paraId="60433DF3" w14:textId="77777777" w:rsidTr="00126F5B">
        <w:tc>
          <w:tcPr>
            <w:tcW w:w="4491" w:type="dxa"/>
          </w:tcPr>
          <w:p w14:paraId="2E574010" w14:textId="77777777" w:rsidR="00126F5B" w:rsidRPr="00126F5B" w:rsidRDefault="00126F5B" w:rsidP="00126F5B">
            <w:pPr>
              <w:spacing w:line="278" w:lineRule="auto"/>
              <w:rPr>
                <w:sz w:val="18"/>
                <w:szCs w:val="18"/>
                <w:lang w:val="es-ES"/>
              </w:rPr>
            </w:pPr>
            <w:r w:rsidRPr="00126F5B">
              <w:rPr>
                <w:sz w:val="18"/>
                <w:szCs w:val="18"/>
                <w:lang w:val="es-ES"/>
              </w:rPr>
              <w:t xml:space="preserve">Party </w:t>
            </w:r>
            <w:proofErr w:type="spellStart"/>
            <w:r w:rsidRPr="00126F5B">
              <w:rPr>
                <w:sz w:val="18"/>
                <w:szCs w:val="18"/>
                <w:lang w:val="es-ES"/>
              </w:rPr>
              <w:t>count</w:t>
            </w:r>
            <w:proofErr w:type="spellEnd"/>
            <w:r w:rsidRPr="00126F5B">
              <w:rPr>
                <w:sz w:val="18"/>
                <w:szCs w:val="18"/>
                <w:lang w:val="es-ES"/>
              </w:rPr>
              <w:t>: 89</w:t>
            </w:r>
          </w:p>
        </w:tc>
        <w:tc>
          <w:tcPr>
            <w:tcW w:w="4864" w:type="dxa"/>
          </w:tcPr>
          <w:p w14:paraId="1ED4AED1" w14:textId="77777777" w:rsidR="00126F5B" w:rsidRPr="00126F5B" w:rsidRDefault="00126F5B" w:rsidP="00126F5B">
            <w:pPr>
              <w:spacing w:line="278" w:lineRule="auto"/>
              <w:rPr>
                <w:sz w:val="18"/>
                <w:szCs w:val="18"/>
                <w:lang w:val="es-ES"/>
              </w:rPr>
            </w:pPr>
            <w:r w:rsidRPr="00126F5B">
              <w:rPr>
                <w:sz w:val="18"/>
                <w:szCs w:val="18"/>
                <w:lang w:val="es-ES"/>
              </w:rPr>
              <w:t>Número de Partes: 89</w:t>
            </w:r>
          </w:p>
        </w:tc>
      </w:tr>
      <w:tr w:rsidR="00126F5B" w:rsidRPr="00126F5B" w14:paraId="17A71714" w14:textId="77777777" w:rsidTr="00126F5B">
        <w:tc>
          <w:tcPr>
            <w:tcW w:w="4491" w:type="dxa"/>
          </w:tcPr>
          <w:p w14:paraId="0EAC6BB2" w14:textId="77777777" w:rsidR="00126F5B" w:rsidRPr="00126F5B" w:rsidRDefault="00126F5B" w:rsidP="00126F5B">
            <w:pPr>
              <w:spacing w:line="278" w:lineRule="auto"/>
              <w:rPr>
                <w:sz w:val="18"/>
                <w:szCs w:val="18"/>
                <w:lang w:val="es-ES"/>
              </w:rPr>
            </w:pPr>
            <w:proofErr w:type="spellStart"/>
            <w:r w:rsidRPr="00126F5B">
              <w:rPr>
                <w:sz w:val="18"/>
                <w:szCs w:val="18"/>
                <w:lang w:val="es-ES"/>
              </w:rPr>
              <w:t>Region</w:t>
            </w:r>
            <w:proofErr w:type="spellEnd"/>
          </w:p>
        </w:tc>
        <w:tc>
          <w:tcPr>
            <w:tcW w:w="4864" w:type="dxa"/>
          </w:tcPr>
          <w:p w14:paraId="7BEEEA7F" w14:textId="77777777" w:rsidR="00126F5B" w:rsidRPr="00126F5B" w:rsidRDefault="00126F5B" w:rsidP="00126F5B">
            <w:pPr>
              <w:spacing w:line="278" w:lineRule="auto"/>
              <w:rPr>
                <w:sz w:val="18"/>
                <w:szCs w:val="18"/>
                <w:lang w:val="es-ES"/>
              </w:rPr>
            </w:pPr>
            <w:r w:rsidRPr="00126F5B">
              <w:rPr>
                <w:sz w:val="18"/>
                <w:szCs w:val="18"/>
                <w:lang w:val="es-ES"/>
              </w:rPr>
              <w:t>Región</w:t>
            </w:r>
          </w:p>
        </w:tc>
      </w:tr>
      <w:tr w:rsidR="00126F5B" w:rsidRPr="00126F5B" w14:paraId="3E0E9B8E" w14:textId="77777777" w:rsidTr="00126F5B">
        <w:tc>
          <w:tcPr>
            <w:tcW w:w="4491" w:type="dxa"/>
          </w:tcPr>
          <w:p w14:paraId="002D275F" w14:textId="77777777" w:rsidR="00126F5B" w:rsidRPr="00126F5B" w:rsidRDefault="00126F5B" w:rsidP="00126F5B">
            <w:pPr>
              <w:spacing w:line="278" w:lineRule="auto"/>
              <w:rPr>
                <w:sz w:val="18"/>
                <w:szCs w:val="18"/>
                <w:lang w:val="es-ES"/>
              </w:rPr>
            </w:pPr>
            <w:r w:rsidRPr="00126F5B">
              <w:rPr>
                <w:sz w:val="18"/>
                <w:szCs w:val="18"/>
                <w:lang w:val="es-ES"/>
              </w:rPr>
              <w:t>African States</w:t>
            </w:r>
          </w:p>
        </w:tc>
        <w:tc>
          <w:tcPr>
            <w:tcW w:w="4864" w:type="dxa"/>
          </w:tcPr>
          <w:p w14:paraId="1FBA02EA" w14:textId="77777777" w:rsidR="00126F5B" w:rsidRPr="00126F5B" w:rsidRDefault="00126F5B" w:rsidP="00126F5B">
            <w:pPr>
              <w:spacing w:line="278" w:lineRule="auto"/>
              <w:rPr>
                <w:sz w:val="18"/>
                <w:szCs w:val="18"/>
                <w:lang w:val="es-ES"/>
              </w:rPr>
            </w:pPr>
            <w:r w:rsidRPr="00126F5B">
              <w:rPr>
                <w:sz w:val="18"/>
                <w:szCs w:val="18"/>
                <w:lang w:val="es-ES"/>
              </w:rPr>
              <w:t>Estados de África</w:t>
            </w:r>
          </w:p>
        </w:tc>
      </w:tr>
      <w:tr w:rsidR="00126F5B" w:rsidRPr="00126F5B" w14:paraId="363151A2" w14:textId="77777777" w:rsidTr="00126F5B">
        <w:tc>
          <w:tcPr>
            <w:tcW w:w="4491" w:type="dxa"/>
          </w:tcPr>
          <w:p w14:paraId="51727A8A" w14:textId="77777777" w:rsidR="00126F5B" w:rsidRPr="00126F5B" w:rsidRDefault="00126F5B" w:rsidP="00126F5B">
            <w:pPr>
              <w:spacing w:line="278" w:lineRule="auto"/>
              <w:rPr>
                <w:sz w:val="18"/>
                <w:szCs w:val="18"/>
                <w:lang w:val="es-ES"/>
              </w:rPr>
            </w:pPr>
            <w:r w:rsidRPr="00126F5B">
              <w:rPr>
                <w:sz w:val="18"/>
                <w:szCs w:val="18"/>
                <w:lang w:val="es-ES"/>
              </w:rPr>
              <w:t>Asia-Pacific States</w:t>
            </w:r>
          </w:p>
        </w:tc>
        <w:tc>
          <w:tcPr>
            <w:tcW w:w="4864" w:type="dxa"/>
          </w:tcPr>
          <w:p w14:paraId="13E43E28" w14:textId="77777777" w:rsidR="00126F5B" w:rsidRPr="00126F5B" w:rsidRDefault="00126F5B" w:rsidP="00126F5B">
            <w:pPr>
              <w:spacing w:line="278" w:lineRule="auto"/>
              <w:rPr>
                <w:sz w:val="18"/>
                <w:szCs w:val="18"/>
                <w:lang w:val="es-ES"/>
              </w:rPr>
            </w:pPr>
            <w:r w:rsidRPr="00126F5B">
              <w:rPr>
                <w:sz w:val="18"/>
                <w:szCs w:val="18"/>
                <w:lang w:val="es-ES"/>
              </w:rPr>
              <w:t>Estados de Asia y el Pacífico</w:t>
            </w:r>
          </w:p>
        </w:tc>
      </w:tr>
      <w:tr w:rsidR="00126F5B" w:rsidRPr="00126F5B" w14:paraId="19A5DFB9" w14:textId="77777777" w:rsidTr="00126F5B">
        <w:tc>
          <w:tcPr>
            <w:tcW w:w="4491" w:type="dxa"/>
          </w:tcPr>
          <w:p w14:paraId="1D158A2C" w14:textId="77777777" w:rsidR="00126F5B" w:rsidRPr="00126F5B" w:rsidRDefault="00126F5B" w:rsidP="00126F5B">
            <w:pPr>
              <w:spacing w:line="278" w:lineRule="auto"/>
              <w:rPr>
                <w:sz w:val="18"/>
                <w:szCs w:val="18"/>
                <w:lang w:val="en-US"/>
              </w:rPr>
            </w:pPr>
            <w:r w:rsidRPr="00126F5B">
              <w:rPr>
                <w:sz w:val="18"/>
                <w:szCs w:val="18"/>
                <w:lang w:val="en-US"/>
              </w:rPr>
              <w:t>Latin American and Caribbean States</w:t>
            </w:r>
          </w:p>
        </w:tc>
        <w:tc>
          <w:tcPr>
            <w:tcW w:w="4864" w:type="dxa"/>
          </w:tcPr>
          <w:p w14:paraId="12E5EC45" w14:textId="77777777" w:rsidR="00126F5B" w:rsidRPr="00126F5B" w:rsidRDefault="00126F5B" w:rsidP="00126F5B">
            <w:pPr>
              <w:spacing w:line="278" w:lineRule="auto"/>
              <w:rPr>
                <w:sz w:val="18"/>
                <w:szCs w:val="18"/>
                <w:lang w:val="es-ES"/>
              </w:rPr>
            </w:pPr>
            <w:r w:rsidRPr="00126F5B">
              <w:rPr>
                <w:sz w:val="18"/>
                <w:szCs w:val="18"/>
                <w:lang w:val="es-ES"/>
              </w:rPr>
              <w:t>Estados de América Latina y el Caribe</w:t>
            </w:r>
          </w:p>
        </w:tc>
      </w:tr>
      <w:tr w:rsidR="00126F5B" w:rsidRPr="00126F5B" w14:paraId="29E151F9" w14:textId="77777777" w:rsidTr="00126F5B">
        <w:tc>
          <w:tcPr>
            <w:tcW w:w="4491" w:type="dxa"/>
          </w:tcPr>
          <w:p w14:paraId="0B8468B8" w14:textId="77777777" w:rsidR="00126F5B" w:rsidRPr="00126F5B" w:rsidRDefault="00126F5B" w:rsidP="00126F5B">
            <w:pPr>
              <w:spacing w:line="278" w:lineRule="auto"/>
              <w:rPr>
                <w:sz w:val="18"/>
                <w:szCs w:val="18"/>
                <w:lang w:val="es-ES"/>
              </w:rPr>
            </w:pPr>
            <w:r w:rsidRPr="00126F5B">
              <w:rPr>
                <w:sz w:val="18"/>
                <w:szCs w:val="18"/>
                <w:lang w:val="es-ES"/>
              </w:rPr>
              <w:t xml:space="preserve"> Eastern European States</w:t>
            </w:r>
          </w:p>
        </w:tc>
        <w:tc>
          <w:tcPr>
            <w:tcW w:w="4864" w:type="dxa"/>
          </w:tcPr>
          <w:p w14:paraId="53C78FB7" w14:textId="77777777" w:rsidR="00126F5B" w:rsidRPr="00126F5B" w:rsidRDefault="00126F5B" w:rsidP="00126F5B">
            <w:pPr>
              <w:spacing w:line="278" w:lineRule="auto"/>
              <w:rPr>
                <w:sz w:val="18"/>
                <w:szCs w:val="18"/>
                <w:lang w:val="es-ES"/>
              </w:rPr>
            </w:pPr>
            <w:r w:rsidRPr="00126F5B">
              <w:rPr>
                <w:sz w:val="18"/>
                <w:szCs w:val="18"/>
                <w:lang w:val="es-ES"/>
              </w:rPr>
              <w:t>Estados de Europa Oriental</w:t>
            </w:r>
          </w:p>
        </w:tc>
      </w:tr>
      <w:tr w:rsidR="00126F5B" w:rsidRPr="00126F5B" w14:paraId="0C424AB5" w14:textId="77777777" w:rsidTr="00126F5B">
        <w:tc>
          <w:tcPr>
            <w:tcW w:w="4491" w:type="dxa"/>
          </w:tcPr>
          <w:p w14:paraId="441285EA" w14:textId="77777777" w:rsidR="00126F5B" w:rsidRPr="00126F5B" w:rsidRDefault="00126F5B" w:rsidP="00126F5B">
            <w:pPr>
              <w:spacing w:line="278" w:lineRule="auto"/>
              <w:rPr>
                <w:sz w:val="18"/>
                <w:szCs w:val="18"/>
                <w:lang w:val="en-US"/>
              </w:rPr>
            </w:pPr>
            <w:r w:rsidRPr="00126F5B">
              <w:rPr>
                <w:sz w:val="18"/>
                <w:szCs w:val="18"/>
                <w:lang w:val="en-US"/>
              </w:rPr>
              <w:t>Western European and other States</w:t>
            </w:r>
          </w:p>
        </w:tc>
        <w:tc>
          <w:tcPr>
            <w:tcW w:w="4864" w:type="dxa"/>
          </w:tcPr>
          <w:p w14:paraId="0EA93426" w14:textId="77777777" w:rsidR="00126F5B" w:rsidRPr="00126F5B" w:rsidRDefault="00126F5B" w:rsidP="00126F5B">
            <w:pPr>
              <w:spacing w:line="278" w:lineRule="auto"/>
              <w:rPr>
                <w:sz w:val="18"/>
                <w:szCs w:val="18"/>
                <w:lang w:val="es-ES"/>
              </w:rPr>
            </w:pPr>
            <w:r w:rsidRPr="00126F5B">
              <w:rPr>
                <w:sz w:val="18"/>
                <w:szCs w:val="18"/>
                <w:lang w:val="es-ES"/>
              </w:rPr>
              <w:t>Estados de Europa Occidental y otros Estados</w:t>
            </w:r>
          </w:p>
        </w:tc>
      </w:tr>
    </w:tbl>
    <w:p w14:paraId="41267E65" w14:textId="77777777" w:rsidR="00126F5B" w:rsidRPr="005E3D50" w:rsidRDefault="00126F5B" w:rsidP="009713BF">
      <w:pPr>
        <w:spacing w:after="200" w:line="240" w:lineRule="auto"/>
        <w:rPr>
          <w:rFonts w:eastAsiaTheme="minorEastAsia"/>
          <w:color w:val="0E2841" w:themeColor="text2"/>
          <w:kern w:val="0"/>
          <w:sz w:val="18"/>
          <w:szCs w:val="18"/>
          <w:lang w:val="es-ES" w:eastAsia="ja-JP"/>
          <w14:ligatures w14:val="none"/>
        </w:rPr>
      </w:pPr>
    </w:p>
    <w:p w14:paraId="2D08F09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4B03012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bookmarkStart w:id="539" w:name="_Toc235821322"/>
      <w:r w:rsidRPr="005E3D50">
        <w:rPr>
          <w:rFonts w:eastAsiaTheme="majorEastAsia" w:cstheme="majorBidi"/>
          <w:color w:val="0F4761" w:themeColor="accent1" w:themeShade="BF"/>
          <w:lang w:val="es-ES"/>
        </w:rPr>
        <w:t>Medidas, logros y dificultades</w:t>
      </w:r>
      <w:bookmarkEnd w:id="539"/>
      <w:r w:rsidRPr="005E3D50">
        <w:rPr>
          <w:rFonts w:eastAsiaTheme="majorEastAsia" w:cstheme="majorBidi"/>
          <w:color w:val="0F4761" w:themeColor="accent1" w:themeShade="BF"/>
          <w:lang w:val="es-ES"/>
        </w:rPr>
        <w:t xml:space="preserve"> en la implementación</w:t>
      </w:r>
    </w:p>
    <w:p w14:paraId="4D506B18" w14:textId="77777777" w:rsidR="009713BF" w:rsidRPr="005E3D50" w:rsidRDefault="009713BF" w:rsidP="009713BF">
      <w:pPr>
        <w:rPr>
          <w:lang w:val="es-ES"/>
        </w:rPr>
      </w:pPr>
    </w:p>
    <w:p w14:paraId="21295276"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r w:rsidRPr="005E3D50">
        <w:rPr>
          <w:rFonts w:eastAsiaTheme="majorEastAsia" w:cstheme="majorBidi"/>
          <w:i/>
          <w:iCs/>
          <w:color w:val="595959" w:themeColor="text1" w:themeTint="A6"/>
          <w:lang w:val="es-ES"/>
        </w:rPr>
        <w:t>Resumen de medidas en apoyo a la meta 22 del Marco</w:t>
      </w:r>
    </w:p>
    <w:p w14:paraId="494D2B12" w14:textId="77777777" w:rsidR="009713BF" w:rsidRPr="005E3D50" w:rsidRDefault="009713BF" w:rsidP="009713BF">
      <w:pPr>
        <w:rPr>
          <w:lang w:val="es-ES"/>
        </w:rPr>
      </w:pPr>
    </w:p>
    <w:p w14:paraId="307A1FD7" w14:textId="77777777" w:rsidR="009713BF" w:rsidRPr="005E3D50" w:rsidRDefault="009713BF" w:rsidP="009713BF">
      <w:pPr>
        <w:rPr>
          <w:lang w:val="es-ES"/>
        </w:rPr>
      </w:pPr>
      <w:r w:rsidRPr="005E3D50">
        <w:rPr>
          <w:lang w:val="es-ES"/>
        </w:rPr>
        <w:t xml:space="preserve">El enfoque que más se informa que se ha adoptado para la consecución de la meta 22 es la institucionalización de la gobernanza participativa, esto es, la creación o formalización de organismos de múltiples interesados, procesos de consulta y arreglos de gestión conjunta que dan a los pueblos indígenas y las comunidades locales, las mujeres, la juventud y otros grupos un papel formal en la toma de decisiones en materia de biodiversidad. Un segundo enfoque que predomina es la reforma jurídica y normativa, en particular la ratificación o aplicación nacional de acuerdos regionales como el Acuerdo de Escazú en América Latina y el Caribe (Comisión Económica para América Latina y el Caribe (CEPAL), 2018) y la Convención sobre el Acceso a la Información, la Participación del Público en la Toma de Decisiones y el Acceso a la Justicia en Asuntos Ambientales (Convención de Aarhus) en Europa y Asia Central (CEPE, 1998). Muchas Partes han adoptado o están adoptando leyes que consagran </w:t>
      </w:r>
      <w:r w:rsidRPr="005E3D50">
        <w:rPr>
          <w:spacing w:val="-2"/>
          <w:lang w:val="es-ES"/>
        </w:rPr>
        <w:t>derechos procesales a la información, la participación y el acceso a la justicia en materia ambiental. En varias regiones se informa que se ha incorporado una perspectiva de género en la gobernanza en materia de biodiversidad (véase también la meta 23) como contribución a la meta 22. Las medidas que tienen que ver específicamente con pueblos indígenas y comunidades locales incluyen el</w:t>
      </w:r>
      <w:r w:rsidRPr="005E3D50">
        <w:rPr>
          <w:lang w:val="es-ES"/>
        </w:rPr>
        <w:t xml:space="preserve"> </w:t>
      </w:r>
      <w:r w:rsidRPr="005E3D50">
        <w:rPr>
          <w:lang w:val="es-ES"/>
        </w:rPr>
        <w:lastRenderedPageBreak/>
        <w:t xml:space="preserve">reconocimiento de la gobernanza consuetudinaria, la documentación de conocimientos tradicionales y los derechos territoriales. Estos sistemas de gobernanza pueden incluir territorios sagrados, áreas gestionadas por la comunidad e instituciones tradicionales que preservan prácticas bioculturales (véanse los recuadros 51 y 52). Solo un puñado de Partes informan sobre mecanismos concretos para la protección de </w:t>
      </w:r>
      <w:proofErr w:type="gramStart"/>
      <w:r w:rsidRPr="005E3D50">
        <w:rPr>
          <w:lang w:val="es-ES"/>
        </w:rPr>
        <w:t>los defensores y las defensoras</w:t>
      </w:r>
      <w:proofErr w:type="gramEnd"/>
      <w:r w:rsidRPr="005E3D50">
        <w:rPr>
          <w:lang w:val="es-ES"/>
        </w:rPr>
        <w:t xml:space="preserve"> de los derechos humanos relacionados con el medio ambiente.</w:t>
      </w:r>
    </w:p>
    <w:p w14:paraId="58244DD3" w14:textId="77777777" w:rsidR="009713BF" w:rsidRPr="005E3D50" w:rsidRDefault="009713BF" w:rsidP="009713BF">
      <w:pPr>
        <w:rPr>
          <w:lang w:val="es-ES"/>
        </w:rPr>
      </w:pPr>
    </w:p>
    <w:p w14:paraId="03CA85E0"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40" w:name="_Toc235821324"/>
      <w:r w:rsidRPr="005E3D50">
        <w:rPr>
          <w:rFonts w:eastAsiaTheme="majorEastAsia" w:cstheme="majorBidi"/>
          <w:i/>
          <w:iCs/>
          <w:color w:val="595959" w:themeColor="text1" w:themeTint="A6"/>
          <w:lang w:val="es-ES"/>
        </w:rPr>
        <w:t>Ejemplos de logros y progresos en la implementación</w:t>
      </w:r>
      <w:bookmarkEnd w:id="540"/>
    </w:p>
    <w:p w14:paraId="0B7E9D46" w14:textId="77777777" w:rsidR="009713BF" w:rsidRPr="005E3D50" w:rsidRDefault="009713BF" w:rsidP="009713BF">
      <w:pPr>
        <w:spacing w:after="200" w:line="240" w:lineRule="auto"/>
        <w:rPr>
          <w:rFonts w:eastAsiaTheme="minorEastAsia"/>
          <w:i/>
          <w:iCs/>
          <w:color w:val="212121"/>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3D06B1ED" w14:textId="77777777" w:rsidTr="006E6831">
        <w:tc>
          <w:tcPr>
            <w:tcW w:w="9016" w:type="dxa"/>
            <w:shd w:val="clear" w:color="auto" w:fill="D1D1D1" w:themeFill="background2" w:themeFillShade="E6"/>
          </w:tcPr>
          <w:p w14:paraId="13643111" w14:textId="77777777" w:rsidR="009713BF" w:rsidRPr="005E3D50" w:rsidRDefault="009713BF" w:rsidP="009713BF">
            <w:pPr>
              <w:spacing w:before="100" w:beforeAutospacing="1" w:after="240"/>
              <w:rPr>
                <w:rFonts w:eastAsia="Times New Roman" w:cs="Times New Roman"/>
                <w:kern w:val="0"/>
                <w:sz w:val="20"/>
                <w:szCs w:val="20"/>
                <w:lang w:val="es-ES"/>
                <w14:ligatures w14:val="none"/>
              </w:rPr>
            </w:pPr>
            <w:r w:rsidRPr="005E3D50">
              <w:rPr>
                <w:rFonts w:eastAsia="Times New Roman" w:cs="Times New Roman"/>
                <w:kern w:val="0"/>
                <w:sz w:val="20"/>
                <w:lang w:val="es-ES"/>
                <w14:ligatures w14:val="none"/>
              </w:rPr>
              <w:t>Recuadro 51</w:t>
            </w:r>
          </w:p>
          <w:p w14:paraId="05BB1A38" w14:textId="77777777" w:rsidR="009713BF" w:rsidRPr="005E3D50" w:rsidRDefault="009713BF" w:rsidP="009713BF">
            <w:pPr>
              <w:spacing w:before="100" w:beforeAutospacing="1" w:after="240"/>
              <w:rPr>
                <w:rFonts w:eastAsia="Times New Roman" w:cs="Times New Roman"/>
                <w:kern w:val="0"/>
                <w:sz w:val="20"/>
                <w:szCs w:val="20"/>
                <w:lang w:val="es-ES"/>
                <w14:ligatures w14:val="none"/>
              </w:rPr>
            </w:pPr>
            <w:r w:rsidRPr="005E3D50">
              <w:rPr>
                <w:rFonts w:eastAsia="Times New Roman" w:cs="Times New Roman"/>
                <w:b/>
                <w:kern w:val="0"/>
                <w:sz w:val="20"/>
                <w:lang w:val="es-ES"/>
                <w14:ligatures w14:val="none"/>
              </w:rPr>
              <w:t xml:space="preserve">Asociación gubernamental-indígena </w:t>
            </w:r>
            <w:proofErr w:type="spellStart"/>
            <w:r w:rsidRPr="005E3D50">
              <w:rPr>
                <w:rFonts w:eastAsia="Times New Roman" w:cs="Times New Roman"/>
                <w:b/>
                <w:kern w:val="0"/>
                <w:sz w:val="20"/>
                <w:lang w:val="es-ES"/>
                <w14:ligatures w14:val="none"/>
              </w:rPr>
              <w:t>Rākau</w:t>
            </w:r>
            <w:proofErr w:type="spellEnd"/>
            <w:r w:rsidRPr="005E3D50">
              <w:rPr>
                <w:rFonts w:eastAsia="Times New Roman" w:cs="Times New Roman"/>
                <w:b/>
                <w:kern w:val="0"/>
                <w:sz w:val="20"/>
                <w:lang w:val="es-ES"/>
                <w14:ligatures w14:val="none"/>
              </w:rPr>
              <w:t xml:space="preserve"> Rangatira para la protección de los bosques de kauri en Nueva Zelandia</w:t>
            </w:r>
          </w:p>
          <w:p w14:paraId="75E97CEE" w14:textId="77777777" w:rsidR="009713BF" w:rsidRPr="005E3D50" w:rsidRDefault="009713BF" w:rsidP="009713BF">
            <w:pPr>
              <w:spacing w:before="100" w:beforeAutospacing="1" w:after="240"/>
              <w:rPr>
                <w:rFonts w:eastAsia="Times New Roman" w:cs="Times New Roman"/>
                <w:kern w:val="0"/>
                <w:sz w:val="20"/>
                <w:szCs w:val="20"/>
                <w:lang w:val="es-ES"/>
                <w14:ligatures w14:val="none"/>
              </w:rPr>
            </w:pPr>
            <w:r w:rsidRPr="005E3D50">
              <w:rPr>
                <w:rFonts w:eastAsia="Times New Roman" w:cs="Times New Roman"/>
                <w:kern w:val="0"/>
                <w:sz w:val="20"/>
                <w:lang w:val="es-ES"/>
                <w14:ligatures w14:val="none"/>
              </w:rPr>
              <w:t>El Departamento de Conservación de Nueva Zelandia se asoció con Te </w:t>
            </w:r>
            <w:proofErr w:type="spellStart"/>
            <w:r w:rsidRPr="005E3D50">
              <w:rPr>
                <w:rFonts w:eastAsia="Times New Roman" w:cs="Times New Roman"/>
                <w:kern w:val="0"/>
                <w:sz w:val="20"/>
                <w:lang w:val="es-ES"/>
                <w14:ligatures w14:val="none"/>
              </w:rPr>
              <w:t>Iwi</w:t>
            </w:r>
            <w:proofErr w:type="spellEnd"/>
            <w:r w:rsidRPr="005E3D50">
              <w:rPr>
                <w:rFonts w:eastAsia="Times New Roman" w:cs="Times New Roman"/>
                <w:kern w:val="0"/>
                <w:sz w:val="20"/>
                <w:lang w:val="es-ES"/>
                <w14:ligatures w14:val="none"/>
              </w:rPr>
              <w:t xml:space="preserve"> O Te Roroa (la entidad de gobernanza maorí) para proteger a los kauri (</w:t>
            </w:r>
            <w:proofErr w:type="spellStart"/>
            <w:r w:rsidRPr="005E3D50">
              <w:rPr>
                <w:rFonts w:eastAsia="Times New Roman" w:cs="Times New Roman"/>
                <w:i/>
                <w:kern w:val="0"/>
                <w:sz w:val="20"/>
                <w:lang w:val="es-ES"/>
                <w14:ligatures w14:val="none"/>
              </w:rPr>
              <w:t>Agathis</w:t>
            </w:r>
            <w:proofErr w:type="spellEnd"/>
            <w:r w:rsidRPr="005E3D50">
              <w:rPr>
                <w:rFonts w:eastAsia="Times New Roman" w:cs="Times New Roman"/>
                <w:i/>
                <w:kern w:val="0"/>
                <w:sz w:val="20"/>
                <w:lang w:val="es-ES"/>
                <w14:ligatures w14:val="none"/>
              </w:rPr>
              <w:t xml:space="preserve"> </w:t>
            </w:r>
            <w:proofErr w:type="spellStart"/>
            <w:r w:rsidRPr="005E3D50">
              <w:rPr>
                <w:rFonts w:eastAsia="Times New Roman" w:cs="Times New Roman"/>
                <w:i/>
                <w:kern w:val="0"/>
                <w:sz w:val="20"/>
                <w:lang w:val="es-ES"/>
                <w14:ligatures w14:val="none"/>
              </w:rPr>
              <w:t>australis</w:t>
            </w:r>
            <w:proofErr w:type="spellEnd"/>
            <w:r w:rsidRPr="005E3D50">
              <w:rPr>
                <w:rFonts w:eastAsia="Times New Roman" w:cs="Times New Roman"/>
                <w:i/>
                <w:kern w:val="0"/>
                <w:sz w:val="20"/>
                <w:lang w:val="es-ES"/>
                <w14:ligatures w14:val="none"/>
              </w:rPr>
              <w:t>)</w:t>
            </w:r>
            <w:r w:rsidRPr="005E3D50">
              <w:rPr>
                <w:rFonts w:eastAsia="Times New Roman" w:cs="Times New Roman"/>
                <w:kern w:val="0"/>
                <w:sz w:val="20"/>
                <w:lang w:val="es-ES"/>
                <w14:ligatures w14:val="none"/>
              </w:rPr>
              <w:t xml:space="preserve"> del bosque </w:t>
            </w:r>
            <w:proofErr w:type="spellStart"/>
            <w:r w:rsidRPr="005E3D50">
              <w:rPr>
                <w:rFonts w:eastAsia="Times New Roman" w:cs="Times New Roman"/>
                <w:kern w:val="0"/>
                <w:sz w:val="20"/>
                <w:lang w:val="es-ES"/>
                <w14:ligatures w14:val="none"/>
              </w:rPr>
              <w:t>Waipoua</w:t>
            </w:r>
            <w:proofErr w:type="spellEnd"/>
            <w:r w:rsidRPr="005E3D50">
              <w:rPr>
                <w:rFonts w:eastAsia="Times New Roman" w:cs="Times New Roman"/>
                <w:kern w:val="0"/>
                <w:sz w:val="20"/>
                <w:lang w:val="es-ES"/>
                <w14:ligatures w14:val="none"/>
              </w:rPr>
              <w:t xml:space="preserve"> ante la propagación de una </w:t>
            </w:r>
            <w:proofErr w:type="spellStart"/>
            <w:r w:rsidRPr="005E3D50">
              <w:rPr>
                <w:rFonts w:eastAsia="Times New Roman" w:cs="Times New Roman"/>
                <w:kern w:val="0"/>
                <w:sz w:val="20"/>
                <w:lang w:val="es-ES"/>
                <w14:ligatures w14:val="none"/>
              </w:rPr>
              <w:t>acronecrosis</w:t>
            </w:r>
            <w:proofErr w:type="spellEnd"/>
            <w:r w:rsidRPr="005E3D50">
              <w:rPr>
                <w:rFonts w:eastAsia="Times New Roman" w:cs="Times New Roman"/>
                <w:kern w:val="0"/>
                <w:sz w:val="20"/>
                <w:lang w:val="es-ES"/>
                <w14:ligatures w14:val="none"/>
              </w:rPr>
              <w:t xml:space="preserve"> (</w:t>
            </w:r>
            <w:proofErr w:type="spellStart"/>
            <w:r w:rsidRPr="005E3D50">
              <w:rPr>
                <w:rFonts w:eastAsia="Times New Roman" w:cs="Times New Roman"/>
                <w:i/>
                <w:kern w:val="0"/>
                <w:sz w:val="20"/>
                <w:lang w:val="es-ES"/>
                <w14:ligatures w14:val="none"/>
              </w:rPr>
              <w:t>Phytophthora</w:t>
            </w:r>
            <w:proofErr w:type="spellEnd"/>
            <w:r w:rsidRPr="005E3D50">
              <w:rPr>
                <w:rFonts w:eastAsia="Times New Roman" w:cs="Times New Roman"/>
                <w:i/>
                <w:kern w:val="0"/>
                <w:sz w:val="20"/>
                <w:lang w:val="es-ES"/>
                <w14:ligatures w14:val="none"/>
              </w:rPr>
              <w:t xml:space="preserve"> </w:t>
            </w:r>
            <w:proofErr w:type="spellStart"/>
            <w:r w:rsidRPr="005E3D50">
              <w:rPr>
                <w:rFonts w:eastAsia="Times New Roman" w:cs="Times New Roman"/>
                <w:i/>
                <w:kern w:val="0"/>
                <w:sz w:val="20"/>
                <w:lang w:val="es-ES"/>
                <w14:ligatures w14:val="none"/>
              </w:rPr>
              <w:t>agathidicida</w:t>
            </w:r>
            <w:proofErr w:type="spellEnd"/>
            <w:r w:rsidRPr="005E3D50">
              <w:rPr>
                <w:rFonts w:eastAsia="Times New Roman" w:cs="Times New Roman"/>
                <w:kern w:val="0"/>
                <w:sz w:val="20"/>
                <w:lang w:val="es-ES"/>
                <w14:ligatures w14:val="none"/>
              </w:rPr>
              <w:t xml:space="preserve">) que afecta a estos árboles endémicos, mediante la renovación de la infraestructura para visitantes. La enfermedad fue detectada a 60 metros o menos del árbol sagrado Tāne Mahuta. El Departamento de Conservación y Te Roroa diseñaron conjuntamente una pasarela elevada, un puente y una plataforma de observación para reducir al mínimo el impacto ambiental causado por los 200.000 visitantes que se reciben anualmente. Te Roroa brindó dirección cultural a lo largo de todo el proceso y sus equipos Kauri Ora participaron en la construcción y la supervisión. El proyecto integra tratamientos tradicionales, conocidos como </w:t>
            </w:r>
            <w:proofErr w:type="spellStart"/>
            <w:r w:rsidRPr="005E3D50">
              <w:rPr>
                <w:rFonts w:eastAsia="Times New Roman" w:cs="Times New Roman"/>
                <w:i/>
                <w:kern w:val="0"/>
                <w:sz w:val="20"/>
                <w:lang w:val="es-ES"/>
                <w14:ligatures w14:val="none"/>
              </w:rPr>
              <w:t>rongoā</w:t>
            </w:r>
            <w:proofErr w:type="spellEnd"/>
            <w:r w:rsidRPr="005E3D50">
              <w:rPr>
                <w:rFonts w:eastAsia="Times New Roman" w:cs="Times New Roman"/>
                <w:i/>
                <w:kern w:val="0"/>
                <w:sz w:val="20"/>
                <w:lang w:val="es-ES"/>
                <w14:ligatures w14:val="none"/>
              </w:rPr>
              <w:t> </w:t>
            </w:r>
            <w:proofErr w:type="spellStart"/>
            <w:r w:rsidRPr="005E3D50">
              <w:rPr>
                <w:rFonts w:eastAsia="Times New Roman" w:cs="Times New Roman"/>
                <w:i/>
                <w:kern w:val="0"/>
                <w:sz w:val="20"/>
                <w:lang w:val="es-ES"/>
                <w14:ligatures w14:val="none"/>
              </w:rPr>
              <w:t>Māori</w:t>
            </w:r>
            <w:proofErr w:type="spellEnd"/>
            <w:r w:rsidRPr="005E3D50">
              <w:rPr>
                <w:rFonts w:eastAsia="Times New Roman" w:cs="Times New Roman"/>
                <w:kern w:val="0"/>
                <w:sz w:val="20"/>
                <w:lang w:val="es-ES"/>
                <w14:ligatures w14:val="none"/>
              </w:rPr>
              <w:t>, con la ciencia occidental para el manejo de la enfermedad.</w:t>
            </w:r>
          </w:p>
          <w:p w14:paraId="196AA535" w14:textId="77777777" w:rsidR="009713BF" w:rsidRPr="005E3D50" w:rsidRDefault="009713BF" w:rsidP="009713BF">
            <w:pPr>
              <w:spacing w:after="160" w:line="278" w:lineRule="auto"/>
              <w:rPr>
                <w:sz w:val="20"/>
                <w:szCs w:val="20"/>
                <w:lang w:val="es-ES"/>
              </w:rPr>
            </w:pPr>
            <w:r w:rsidRPr="005E3D50">
              <w:rPr>
                <w:sz w:val="20"/>
                <w:lang w:val="es-ES"/>
              </w:rPr>
              <w:t xml:space="preserve">La primera fase se cerró en diciembre de 2024 con una </w:t>
            </w:r>
            <w:proofErr w:type="spellStart"/>
            <w:r w:rsidRPr="005E3D50">
              <w:rPr>
                <w:i/>
                <w:sz w:val="20"/>
                <w:lang w:val="es-ES"/>
              </w:rPr>
              <w:t>karakia</w:t>
            </w:r>
            <w:proofErr w:type="spellEnd"/>
            <w:r w:rsidRPr="005E3D50">
              <w:rPr>
                <w:sz w:val="20"/>
                <w:lang w:val="es-ES"/>
              </w:rPr>
              <w:t xml:space="preserve"> (plegaria) y una bendición de Te Roroa. La segunda fase (marzo a octubre de 2026) consiste en la construcción de una nueva pasarela y la reapertura de las Cuatro Hermanas, un lugar emblemático conformado por cuatro árboles kauris altos. En fases futuras se buscará explorar posibilidades de turismo regenerativo, aplicando un enfoque que priorice la salud del bosque.</w:t>
            </w:r>
          </w:p>
          <w:p w14:paraId="2B50A7B7" w14:textId="77777777" w:rsidR="009713BF" w:rsidRPr="005E3D50" w:rsidRDefault="009713BF" w:rsidP="009713BF">
            <w:pPr>
              <w:spacing w:after="160" w:line="278" w:lineRule="auto"/>
              <w:rPr>
                <w:sz w:val="20"/>
                <w:szCs w:val="20"/>
                <w:lang w:val="es-ES"/>
              </w:rPr>
            </w:pPr>
            <w:r w:rsidRPr="005E3D50">
              <w:rPr>
                <w:sz w:val="20"/>
                <w:lang w:val="es-ES"/>
              </w:rPr>
              <w:t>El proyecto aborda la meta 22 al garantizar la participación plena de Te </w:t>
            </w:r>
            <w:proofErr w:type="spellStart"/>
            <w:r w:rsidRPr="005E3D50">
              <w:rPr>
                <w:sz w:val="20"/>
                <w:lang w:val="es-ES"/>
              </w:rPr>
              <w:t>Iwi</w:t>
            </w:r>
            <w:proofErr w:type="spellEnd"/>
            <w:r w:rsidRPr="005E3D50">
              <w:rPr>
                <w:sz w:val="20"/>
                <w:lang w:val="es-ES"/>
              </w:rPr>
              <w:t xml:space="preserve"> O Te Roroa en la toma de decisiones en materia de biodiversidad, respetando su cultura y derechos sobre las tierras, los territorios, los recursos y los conocimientos tradicionales. Te Roroa ejerce la </w:t>
            </w:r>
            <w:proofErr w:type="spellStart"/>
            <w:r w:rsidRPr="005E3D50">
              <w:rPr>
                <w:i/>
                <w:sz w:val="20"/>
                <w:lang w:val="es-ES"/>
              </w:rPr>
              <w:t>kaitiakitanga</w:t>
            </w:r>
            <w:proofErr w:type="spellEnd"/>
            <w:r w:rsidRPr="005E3D50">
              <w:rPr>
                <w:sz w:val="20"/>
                <w:lang w:val="es-ES"/>
              </w:rPr>
              <w:t xml:space="preserve"> (gestión) de sus tierras ancestrales a través del liderazgo cultural y la integración de los conocimientos tradicionales.</w:t>
            </w:r>
          </w:p>
          <w:p w14:paraId="503ED991" w14:textId="77777777" w:rsidR="009713BF" w:rsidRPr="005E3D50" w:rsidRDefault="009713BF" w:rsidP="009713BF">
            <w:pPr>
              <w:rPr>
                <w:sz w:val="20"/>
                <w:szCs w:val="20"/>
                <w:lang w:val="es-ES"/>
              </w:rPr>
            </w:pPr>
            <w:r w:rsidRPr="005E3D50">
              <w:rPr>
                <w:rFonts w:ascii="Aptos" w:hAnsi="Aptos"/>
                <w:i/>
                <w:color w:val="000000"/>
                <w:sz w:val="20"/>
                <w:lang w:val="es-ES"/>
              </w:rPr>
              <w:t xml:space="preserve">Metas pertinentes: </w:t>
            </w:r>
            <w:r w:rsidRPr="005E3D50">
              <w:rPr>
                <w:sz w:val="20"/>
                <w:lang w:val="es-ES"/>
              </w:rPr>
              <w:t>1, 2, 6, 11, 12, 19 y 22.</w:t>
            </w:r>
          </w:p>
          <w:p w14:paraId="162D7176" w14:textId="77777777" w:rsidR="009713BF" w:rsidRPr="005E3D50" w:rsidRDefault="009713BF" w:rsidP="009713BF">
            <w:pPr>
              <w:rPr>
                <w:i/>
                <w:sz w:val="20"/>
                <w:szCs w:val="20"/>
                <w:lang w:val="es-ES"/>
              </w:rPr>
            </w:pPr>
            <w:r w:rsidRPr="005E3D50">
              <w:rPr>
                <w:rFonts w:ascii="Aptos" w:hAnsi="Aptos"/>
                <w:i/>
                <w:color w:val="212121"/>
                <w:sz w:val="20"/>
                <w:lang w:val="es-ES"/>
              </w:rPr>
              <w:t xml:space="preserve">Fuente: </w:t>
            </w:r>
            <w:r w:rsidRPr="005E3D50">
              <w:rPr>
                <w:rFonts w:ascii="Aptos" w:hAnsi="Aptos"/>
                <w:color w:val="212121"/>
                <w:sz w:val="20"/>
                <w:lang w:val="es-ES"/>
              </w:rPr>
              <w:t>Nueva Zelandia, séptimo informe nacional presentado al Convenio.</w:t>
            </w:r>
          </w:p>
          <w:p w14:paraId="686670EA" w14:textId="77777777" w:rsidR="009713BF" w:rsidRPr="005E3D50" w:rsidRDefault="009713BF" w:rsidP="009713BF">
            <w:pPr>
              <w:rPr>
                <w:lang w:val="es-ES"/>
              </w:rPr>
            </w:pPr>
          </w:p>
        </w:tc>
      </w:tr>
    </w:tbl>
    <w:p w14:paraId="44E4A0AC"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p>
    <w:p w14:paraId="11F4BC95"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350"/>
      </w:tblGrid>
      <w:tr w:rsidR="009713BF" w:rsidRPr="005E3D50" w14:paraId="19A08B88" w14:textId="77777777" w:rsidTr="006E6831">
        <w:tc>
          <w:tcPr>
            <w:tcW w:w="9350" w:type="dxa"/>
            <w:shd w:val="clear" w:color="auto" w:fill="D1D1D1" w:themeFill="background2" w:themeFillShade="E6"/>
          </w:tcPr>
          <w:p w14:paraId="74F3484A" w14:textId="77777777" w:rsidR="009713BF" w:rsidRPr="005E3D50" w:rsidRDefault="009713BF" w:rsidP="009713BF">
            <w:pPr>
              <w:rPr>
                <w:sz w:val="20"/>
                <w:szCs w:val="20"/>
                <w:lang w:val="es-ES"/>
              </w:rPr>
            </w:pPr>
            <w:r w:rsidRPr="005E3D50">
              <w:rPr>
                <w:sz w:val="20"/>
                <w:lang w:val="es-ES"/>
              </w:rPr>
              <w:t>Recuadro 52</w:t>
            </w:r>
          </w:p>
          <w:p w14:paraId="34292682" w14:textId="77777777" w:rsidR="009713BF" w:rsidRPr="005E3D50" w:rsidRDefault="009713BF" w:rsidP="009713BF">
            <w:pPr>
              <w:spacing w:after="160" w:line="278" w:lineRule="auto"/>
              <w:rPr>
                <w:b/>
                <w:bCs/>
                <w:sz w:val="20"/>
                <w:szCs w:val="20"/>
                <w:lang w:val="es-ES"/>
              </w:rPr>
            </w:pPr>
            <w:r w:rsidRPr="005E3D50">
              <w:rPr>
                <w:b/>
                <w:sz w:val="20"/>
                <w:lang w:val="es-ES"/>
              </w:rPr>
              <w:lastRenderedPageBreak/>
              <w:t>Unión de Pueblos Indígenas “SOYUZ”: recolección de datos desglosados para el seguimiento y la presentación de informes en la Federación de Rusia</w:t>
            </w:r>
          </w:p>
          <w:p w14:paraId="29B72B29" w14:textId="77777777" w:rsidR="009713BF" w:rsidRPr="005E3D50" w:rsidRDefault="009713BF" w:rsidP="009713BF">
            <w:pPr>
              <w:spacing w:after="160" w:line="278" w:lineRule="auto"/>
              <w:rPr>
                <w:sz w:val="20"/>
                <w:szCs w:val="20"/>
                <w:lang w:val="es-ES"/>
              </w:rPr>
            </w:pPr>
            <w:r w:rsidRPr="005E3D50">
              <w:rPr>
                <w:sz w:val="20"/>
                <w:lang w:val="es-ES"/>
              </w:rPr>
              <w:t>Un conjunto de organizaciones de pueblos indígenas de Rusia, lideradas por la Asociación Rusa de Pueblos Indígenas del Norte, ha implementado un sistema para recolectar indicadores con fines de seguimiento y presentación de informes. El sistema de recolección de indicadores busca mejorar la capacidad para evaluar la eficacia de medidas de conservación y utilización sostenible de la diversidad biológica y restauración de los ecosistemas en tierras tradicionales de pueblos indígenas y comunidades locales. Se propuso la incorporación de indicadores en los procesos estatales de recolección de datos, seguimiento y estadística, incluidos los que tienen en cuenta los conocimientos tradicionales. La propuesta abarca 80 indicadores universales y medibles que son local y culturalmente pertinentes. Estos incluyen indicadores relacionados con la utilización de la diversidad biológica en tierras tradicionales de pueblos indígenas y comunidades locales. En varias regiones, hay registros y sistemas de seguimiento que incorporan prácticas tradicionales. En el Distrito Autónomo de Yamalo-Nenets funciona un sistema unificado de modelización y seguimiento del desarrollo socioeconómico de los pueblos indígenas. Este sistema recoge y desglosa información sobre pastores nómadas de renos, así como información sobre rutas migratorias de renos y familias nómadas.</w:t>
            </w:r>
          </w:p>
          <w:p w14:paraId="72FF86E1" w14:textId="77777777" w:rsidR="009713BF" w:rsidRPr="005E3D50" w:rsidRDefault="009713BF" w:rsidP="009713BF">
            <w:pPr>
              <w:rPr>
                <w:sz w:val="22"/>
                <w:szCs w:val="22"/>
                <w:lang w:val="es-ES"/>
              </w:rPr>
            </w:pPr>
          </w:p>
          <w:p w14:paraId="4FE64E6A" w14:textId="77777777" w:rsidR="009713BF" w:rsidRPr="005E3D50" w:rsidRDefault="009713BF" w:rsidP="009713BF">
            <w:pPr>
              <w:rPr>
                <w:sz w:val="20"/>
                <w:szCs w:val="20"/>
                <w:lang w:val="es-ES"/>
              </w:rPr>
            </w:pPr>
            <w:r w:rsidRPr="005E3D50">
              <w:rPr>
                <w:i/>
                <w:sz w:val="20"/>
                <w:lang w:val="es-ES"/>
              </w:rPr>
              <w:t>Metas pertinentes:</w:t>
            </w:r>
            <w:r w:rsidRPr="005E3D50">
              <w:rPr>
                <w:sz w:val="20"/>
                <w:lang w:val="es-ES"/>
              </w:rPr>
              <w:t xml:space="preserve"> 21 y 22.</w:t>
            </w:r>
          </w:p>
          <w:p w14:paraId="515B08E8" w14:textId="77777777" w:rsidR="009713BF" w:rsidRPr="005E3D50" w:rsidRDefault="009713BF" w:rsidP="009713BF">
            <w:pPr>
              <w:rPr>
                <w:sz w:val="20"/>
                <w:szCs w:val="20"/>
                <w:lang w:val="es-ES"/>
              </w:rPr>
            </w:pPr>
            <w:r w:rsidRPr="005E3D50">
              <w:rPr>
                <w:i/>
                <w:sz w:val="20"/>
                <w:lang w:val="es-ES"/>
              </w:rPr>
              <w:t xml:space="preserve">Fuente: </w:t>
            </w:r>
            <w:r w:rsidRPr="005E3D50">
              <w:rPr>
                <w:sz w:val="20"/>
                <w:lang w:val="es-ES"/>
              </w:rPr>
              <w:t>SOYUZ, 2025.</w:t>
            </w:r>
          </w:p>
          <w:p w14:paraId="2C71824D" w14:textId="77777777" w:rsidR="009713BF" w:rsidRPr="005E3D50" w:rsidRDefault="009713BF" w:rsidP="009713BF">
            <w:pPr>
              <w:rPr>
                <w:sz w:val="22"/>
                <w:szCs w:val="22"/>
                <w:lang w:val="es-ES"/>
              </w:rPr>
            </w:pPr>
          </w:p>
        </w:tc>
      </w:tr>
    </w:tbl>
    <w:p w14:paraId="3F15A5CA" w14:textId="77777777" w:rsidR="009713BF" w:rsidRPr="005E3D50" w:rsidRDefault="009713BF" w:rsidP="009713BF">
      <w:pPr>
        <w:rPr>
          <w:lang w:val="es-ES"/>
        </w:rPr>
      </w:pPr>
    </w:p>
    <w:p w14:paraId="3C8617DD"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41" w:name="_Toc235821325"/>
      <w:r w:rsidRPr="005E3D50">
        <w:rPr>
          <w:rFonts w:eastAsiaTheme="majorEastAsia" w:cstheme="majorBidi"/>
          <w:i/>
          <w:iCs/>
          <w:color w:val="595959" w:themeColor="text1" w:themeTint="A6"/>
          <w:lang w:val="es-ES"/>
        </w:rPr>
        <w:t>Dificultades</w:t>
      </w:r>
      <w:bookmarkEnd w:id="541"/>
    </w:p>
    <w:p w14:paraId="7F4E5F2F" w14:textId="77777777" w:rsidR="009713BF" w:rsidRPr="005E3D50" w:rsidRDefault="009713BF" w:rsidP="009713BF">
      <w:pPr>
        <w:rPr>
          <w:lang w:val="es-ES"/>
        </w:rPr>
      </w:pPr>
    </w:p>
    <w:p w14:paraId="7CA68F79" w14:textId="77777777" w:rsidR="009713BF" w:rsidRPr="005E3D50" w:rsidRDefault="009713BF" w:rsidP="009713BF">
      <w:pPr>
        <w:rPr>
          <w:lang w:val="es-ES"/>
        </w:rPr>
      </w:pPr>
      <w:r w:rsidRPr="005E3D50">
        <w:rPr>
          <w:lang w:val="es-ES"/>
        </w:rPr>
        <w:t xml:space="preserve">Un gran número de Partes informa sobre la incapacidad de medir los progresos en la consecución de la meta 22 debido a la ausencia de datos desglosados sobre los grupos sociales especificados en la meta. Muchas también señalan la brecha que existe entre la promulgación de leyes sobre representación y participación en la toma de decisiones y la aplicación o cumplimiento efectivo para garantizar el acceso a la justicia. Varias Partes subrayan la ausencia total de mecanismos que protejan a </w:t>
      </w:r>
      <w:proofErr w:type="gramStart"/>
      <w:r w:rsidRPr="005E3D50">
        <w:rPr>
          <w:lang w:val="es-ES"/>
        </w:rPr>
        <w:t>los defensores y las defensoras</w:t>
      </w:r>
      <w:proofErr w:type="gramEnd"/>
      <w:r w:rsidRPr="005E3D50">
        <w:rPr>
          <w:lang w:val="es-ES"/>
        </w:rPr>
        <w:t xml:space="preserve"> de los derechos humanos relacionados con el medio ambiente. Algunas Partes señalan que la participación de diversos grupos no se traduce necesariamente en poder de decisión y que muchas veces se trata de medidas simbólicas y no vinculantes. Unas pocas Partes observan que los mecanismos de participación suelen estar vinculados a proyectos concretos o son periódicos o de carácter consultivo, en vez de estar incorporados en estructuras de gobernanza estables. Muy pocas Partes comunican medidas concretas dirigidas a personas con discapacidad. En general, las medidas tendientes a aumentar la participación también están restringidas por la falta de recursos financieros suficientes. La ausencia de marcos para el consentimiento libre, previo e informado, o la falta de una aplicación coherente de tales marcos, supone un importante obstáculo para la implementación en países con poblaciones significativas de pueblos indígenas y </w:t>
      </w:r>
      <w:r w:rsidRPr="005E3D50">
        <w:rPr>
          <w:lang w:val="es-ES"/>
        </w:rPr>
        <w:lastRenderedPageBreak/>
        <w:t xml:space="preserve">comunidades locales. La falta de presentación de información sobre el indicador de cabecera 22.1 u otros indicadores para esta meta representa una carencia en la capacidad de seguimiento de los progresos. Entre otras dificultades que afectan el seguimiento de la meta 22 están la fragmentación de datos y sistemas de información, cuestiones relacionadas con la soberanía de los datos y la interoperabilidad y el registro limitado de la tenencia consuetudinaria y colectiva de la tierra. </w:t>
      </w:r>
    </w:p>
    <w:p w14:paraId="1CDB0979"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p>
    <w:p w14:paraId="1A072BD2"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Contribuciones de actores distintos de los Gobiernos nacionales</w:t>
      </w:r>
    </w:p>
    <w:p w14:paraId="2028C7FF" w14:textId="77777777" w:rsidR="009713BF" w:rsidRPr="005E3D50" w:rsidRDefault="009713BF" w:rsidP="009713BF">
      <w:pPr>
        <w:rPr>
          <w:lang w:val="es-ES"/>
        </w:rPr>
      </w:pPr>
    </w:p>
    <w:p w14:paraId="578D37A9"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42" w:name="_Toc235821327"/>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542"/>
    </w:p>
    <w:p w14:paraId="5F9D26CF" w14:textId="77777777" w:rsidR="009713BF" w:rsidRPr="005E3D50" w:rsidRDefault="009713BF" w:rsidP="009713BF">
      <w:pPr>
        <w:rPr>
          <w:lang w:val="es-ES"/>
        </w:rPr>
      </w:pPr>
    </w:p>
    <w:p w14:paraId="2AE6B9ED" w14:textId="77777777" w:rsidR="009713BF" w:rsidRPr="005E3D50" w:rsidRDefault="009713BF" w:rsidP="009713BF">
      <w:pPr>
        <w:rPr>
          <w:lang w:val="es-ES"/>
        </w:rPr>
      </w:pPr>
      <w:r w:rsidRPr="005E3D50">
        <w:rPr>
          <w:lang w:val="es-ES"/>
        </w:rPr>
        <w:t>De los 180 compromisos sustantivos presentados por actores que no son Gobiernos nacionales, solo 14 tienen que ver principalmente con la meta 22, lo que significa que es una de las metas con el mayor número de compromisos de este tipo. De esos compromisos, diez fueron presentados por ONG, tres por organizaciones de la juventud y uno por una institución de investigación. Todos los compromisos se refieren a la participación y la inclusión, tanto de pueblos indígenas y comunidades locales, como de las mujeres y la juventud, en la gobernanza y en medidas en materia de diversidad biológica y se centran fuertemente en la aplicación de un enfoque basado en los derechos humanos para la implementación del Marco (véase el recuadro 53).</w:t>
      </w:r>
    </w:p>
    <w:p w14:paraId="7077940F" w14:textId="77777777" w:rsidR="009713BF" w:rsidRPr="005E3D50" w:rsidRDefault="009713BF" w:rsidP="009713BF">
      <w:pPr>
        <w:keepNext/>
        <w:spacing w:after="200" w:line="240" w:lineRule="auto"/>
        <w:rPr>
          <w:rFonts w:eastAsiaTheme="minorEastAsia"/>
          <w:i/>
          <w:iCs/>
          <w:color w:val="0E2841" w:themeColor="text2"/>
          <w:kern w:val="0"/>
          <w:sz w:val="18"/>
          <w:szCs w:val="18"/>
          <w:lang w:val="es-ES" w:eastAsia="ja-JP"/>
          <w14:ligatures w14:val="none"/>
        </w:rPr>
      </w:pPr>
    </w:p>
    <w:tbl>
      <w:tblPr>
        <w:tblStyle w:val="TableGrid"/>
        <w:tblW w:w="0" w:type="auto"/>
        <w:tblLook w:val="04A0" w:firstRow="1" w:lastRow="0" w:firstColumn="1" w:lastColumn="0" w:noHBand="0" w:noVBand="1"/>
      </w:tblPr>
      <w:tblGrid>
        <w:gridCol w:w="9016"/>
      </w:tblGrid>
      <w:tr w:rsidR="009713BF" w:rsidRPr="005E3D50" w14:paraId="226B86D6" w14:textId="77777777" w:rsidTr="006E6831">
        <w:tc>
          <w:tcPr>
            <w:tcW w:w="9016" w:type="dxa"/>
            <w:shd w:val="clear" w:color="auto" w:fill="E8E8E8" w:themeFill="background2"/>
          </w:tcPr>
          <w:p w14:paraId="3677F0EC" w14:textId="77777777" w:rsidR="009713BF" w:rsidRPr="005E3D50" w:rsidRDefault="009713BF" w:rsidP="009713BF">
            <w:pPr>
              <w:keepNext/>
              <w:keepLines/>
              <w:rPr>
                <w:sz w:val="20"/>
                <w:szCs w:val="20"/>
                <w:lang w:val="es-ES"/>
              </w:rPr>
            </w:pPr>
            <w:bookmarkStart w:id="543" w:name="_Ref230888128"/>
            <w:r w:rsidRPr="005E3D50">
              <w:rPr>
                <w:sz w:val="20"/>
                <w:lang w:val="es-ES"/>
              </w:rPr>
              <w:t>Recuadro 53</w:t>
            </w:r>
            <w:bookmarkEnd w:id="543"/>
          </w:p>
          <w:p w14:paraId="32624FBF" w14:textId="77777777" w:rsidR="009713BF" w:rsidRPr="005E3D50" w:rsidRDefault="009713BF" w:rsidP="009713BF">
            <w:pPr>
              <w:keepNext/>
              <w:keepLines/>
              <w:spacing w:after="160" w:line="278" w:lineRule="auto"/>
              <w:rPr>
                <w:b/>
                <w:bCs/>
                <w:sz w:val="20"/>
                <w:szCs w:val="20"/>
                <w:lang w:val="es-ES"/>
              </w:rPr>
            </w:pPr>
            <w:r w:rsidRPr="005E3D50">
              <w:rPr>
                <w:b/>
                <w:sz w:val="20"/>
                <w:lang w:val="es-ES"/>
              </w:rPr>
              <w:t>Aplicación de un enfoque basado en los derechos humanos para la conservación de la diversidad biológica en Kenya</w:t>
            </w:r>
          </w:p>
          <w:p w14:paraId="009A2D34" w14:textId="77777777" w:rsidR="009713BF" w:rsidRPr="005E3D50" w:rsidRDefault="009713BF" w:rsidP="009713BF">
            <w:pPr>
              <w:spacing w:after="160" w:line="278" w:lineRule="auto"/>
              <w:rPr>
                <w:sz w:val="20"/>
                <w:szCs w:val="20"/>
                <w:lang w:val="es-ES"/>
              </w:rPr>
            </w:pPr>
            <w:r w:rsidRPr="005E3D50">
              <w:rPr>
                <w:sz w:val="20"/>
                <w:lang w:val="es-ES"/>
              </w:rPr>
              <w:t xml:space="preserve">El Centro de Derechos Económicos y Sociales, conocido como </w:t>
            </w:r>
            <w:proofErr w:type="spellStart"/>
            <w:r w:rsidRPr="005E3D50">
              <w:rPr>
                <w:sz w:val="20"/>
                <w:lang w:val="es-ES"/>
              </w:rPr>
              <w:t>Hakijamii</w:t>
            </w:r>
            <w:proofErr w:type="spellEnd"/>
            <w:r w:rsidRPr="005E3D50">
              <w:rPr>
                <w:sz w:val="20"/>
                <w:lang w:val="es-ES"/>
              </w:rPr>
              <w:t xml:space="preserve">, es una ONG con sede en Nairobi que opera a nivel nacional en todo el territorio de Kenya. Su compromiso con el empoderamiento de los pueblos indígenas y las comunidades locales para la acción por la biodiversidad y el clima basada en los derechos se centra en seis tipos de ecosistemas: ecosistemas de sabanas y praderas, incluidas las praderas de los masáis en el paisaje de </w:t>
            </w:r>
            <w:proofErr w:type="spellStart"/>
            <w:r w:rsidRPr="005E3D50">
              <w:rPr>
                <w:sz w:val="20"/>
                <w:lang w:val="es-ES"/>
              </w:rPr>
              <w:t>Narok</w:t>
            </w:r>
            <w:proofErr w:type="spellEnd"/>
            <w:r w:rsidRPr="005E3D50">
              <w:rPr>
                <w:sz w:val="20"/>
                <w:lang w:val="es-ES"/>
              </w:rPr>
              <w:t xml:space="preserve">; ecosistemas de agua dulce, incluido el lago Nakuru y humedales asociados; ecosistemas forestales, incluidos bosques comunitarios y de tierras secas; ecosistemas marinos y costeros, incluidos manglares en el condado de Mombasa; espacios verdes urbanos y periurbanos en Nairobi y Kisumu; y ecosistemas de tierras secas y áridos. </w:t>
            </w:r>
            <w:proofErr w:type="spellStart"/>
            <w:r w:rsidRPr="005E3D50">
              <w:rPr>
                <w:sz w:val="20"/>
                <w:lang w:val="es-ES"/>
              </w:rPr>
              <w:t>Hakijamii</w:t>
            </w:r>
            <w:proofErr w:type="spellEnd"/>
            <w:r w:rsidRPr="005E3D50">
              <w:rPr>
                <w:sz w:val="20"/>
                <w:lang w:val="es-ES"/>
              </w:rPr>
              <w:t xml:space="preserve"> tiene como objetivo para 2030 capacitar a 1.000 personas de pueblos indígenas y comunidades locales, de las cuales un 50 %, como mínimo, deberán ser mujeres y un 30 % personas jóvenes, con un enfoque en derechos relacionados con la biodiversidad, gestión basada en los ecosistemas y financiación para el clima. El compromiso también incluye lograr un aumento mínimo del 30 % en la participación significativa de estas comunidades en procesos de gobernanza de la diversidad biológica a nivel de condado y nacional. Entre las medidas concretas previstas están la creación de capacidad en materia de derechos relacionados con la diversidad biológica; el fortalecimiento de instituciones de gobernanza comunitaria, incluidas asociaciones forestales comunitarias, consejos de líderes espirituales y comités de gestión de la tierra; la facilitación de un diálogo estructurado entre comunidades y gobiernos y actores de conservación; y la integración de conocimientos tradicionales en el seguimiento y la presentación de informes en materia de diversidad biológica. Los progresos se miden trimestralmente a través de boletines y redes sociales y anualmente a través de evaluaciones de desempeño internas con asociados, incluidos gobiernos locales de Nakuru, </w:t>
            </w:r>
            <w:proofErr w:type="spellStart"/>
            <w:r w:rsidRPr="005E3D50">
              <w:rPr>
                <w:sz w:val="20"/>
                <w:lang w:val="es-ES"/>
              </w:rPr>
              <w:t>Narok</w:t>
            </w:r>
            <w:proofErr w:type="spellEnd"/>
            <w:r w:rsidRPr="005E3D50">
              <w:rPr>
                <w:sz w:val="20"/>
                <w:lang w:val="es-ES"/>
              </w:rPr>
              <w:t>, Isiolo, Kisumu, Mombasa y Nairobi.</w:t>
            </w:r>
          </w:p>
          <w:p w14:paraId="35C4DD10" w14:textId="77777777" w:rsidR="009713BF" w:rsidRPr="005E3D50" w:rsidRDefault="009713BF" w:rsidP="009713BF">
            <w:pPr>
              <w:spacing w:line="276" w:lineRule="auto"/>
              <w:rPr>
                <w:sz w:val="20"/>
                <w:szCs w:val="20"/>
                <w:lang w:val="es-ES"/>
              </w:rPr>
            </w:pPr>
            <w:r w:rsidRPr="005E3D50">
              <w:rPr>
                <w:i/>
                <w:sz w:val="20"/>
                <w:lang w:val="es-ES"/>
              </w:rPr>
              <w:t xml:space="preserve">Metas pertinentes: </w:t>
            </w:r>
            <w:r w:rsidRPr="005E3D50">
              <w:rPr>
                <w:sz w:val="20"/>
                <w:lang w:val="es-ES"/>
              </w:rPr>
              <w:t>14, 22 y 23.</w:t>
            </w:r>
          </w:p>
          <w:p w14:paraId="5C6178FE" w14:textId="77777777" w:rsidR="009713BF" w:rsidRPr="005E3D50" w:rsidRDefault="009713BF" w:rsidP="009713BF">
            <w:pPr>
              <w:spacing w:after="120" w:line="276" w:lineRule="auto"/>
              <w:rPr>
                <w:sz w:val="20"/>
                <w:szCs w:val="20"/>
                <w:lang w:val="es-ES"/>
              </w:rPr>
            </w:pPr>
            <w:r w:rsidRPr="005E3D50">
              <w:rPr>
                <w:i/>
                <w:sz w:val="20"/>
                <w:lang w:val="es-ES"/>
              </w:rPr>
              <w:t xml:space="preserve">Fuente: </w:t>
            </w:r>
            <w:proofErr w:type="spellStart"/>
            <w:r w:rsidRPr="005E3D50">
              <w:rPr>
                <w:sz w:val="20"/>
                <w:lang w:val="es-ES"/>
              </w:rPr>
              <w:t>Hakijamii</w:t>
            </w:r>
            <w:proofErr w:type="spellEnd"/>
            <w:r w:rsidRPr="005E3D50">
              <w:rPr>
                <w:sz w:val="20"/>
                <w:lang w:val="es-ES"/>
              </w:rPr>
              <w:t xml:space="preserve">, compromiso de interesados (véase </w:t>
            </w:r>
            <w:hyperlink r:id="rId210" w:history="1">
              <w:r w:rsidRPr="005E3D50">
                <w:rPr>
                  <w:color w:val="000000" w:themeColor="text1"/>
                  <w:sz w:val="20"/>
                  <w:lang w:val="es-ES"/>
                </w:rPr>
                <w:t>https://ort.cbd.int/database/293963</w:t>
              </w:r>
            </w:hyperlink>
            <w:r w:rsidRPr="005E3D50">
              <w:rPr>
                <w:sz w:val="20"/>
                <w:lang w:val="es-ES"/>
              </w:rPr>
              <w:t>).</w:t>
            </w:r>
          </w:p>
        </w:tc>
      </w:tr>
    </w:tbl>
    <w:p w14:paraId="12207C10" w14:textId="77777777" w:rsidR="009713BF" w:rsidRPr="005E3D50" w:rsidRDefault="009713BF" w:rsidP="009713BF">
      <w:pPr>
        <w:rPr>
          <w:lang w:val="es-ES"/>
        </w:rPr>
      </w:pPr>
    </w:p>
    <w:p w14:paraId="03442DC2" w14:textId="77777777" w:rsidR="009713BF" w:rsidRPr="005E3D50" w:rsidRDefault="009713BF" w:rsidP="009713BF">
      <w:pPr>
        <w:keepNext/>
        <w:keepLines/>
        <w:spacing w:before="40" w:after="0"/>
        <w:outlineLvl w:val="5"/>
        <w:rPr>
          <w:rFonts w:eastAsiaTheme="majorEastAsia" w:cstheme="majorBidi"/>
          <w:i/>
          <w:iCs/>
          <w:color w:val="595959" w:themeColor="text1" w:themeTint="A6"/>
          <w:lang w:val="es-ES"/>
        </w:rPr>
      </w:pPr>
      <w:bookmarkStart w:id="544" w:name="_Toc235821328"/>
      <w:r w:rsidRPr="005E3D50">
        <w:rPr>
          <w:rFonts w:eastAsiaTheme="majorEastAsia" w:cstheme="majorBidi"/>
          <w:i/>
          <w:iCs/>
          <w:color w:val="595959" w:themeColor="text1" w:themeTint="A6"/>
          <w:lang w:val="es-ES"/>
        </w:rPr>
        <w:t>Contribuciones integradas en los informes nacionales</w:t>
      </w:r>
      <w:bookmarkEnd w:id="544"/>
    </w:p>
    <w:p w14:paraId="699C2AF0" w14:textId="77777777" w:rsidR="009713BF" w:rsidRPr="005E3D50" w:rsidRDefault="009713BF" w:rsidP="009713BF">
      <w:pPr>
        <w:rPr>
          <w:lang w:val="es-ES"/>
        </w:rPr>
      </w:pPr>
    </w:p>
    <w:p w14:paraId="272833A0" w14:textId="77777777" w:rsidR="009713BF" w:rsidRPr="005E3D50" w:rsidRDefault="009713BF" w:rsidP="009713BF">
      <w:pPr>
        <w:rPr>
          <w:lang w:val="es-ES"/>
        </w:rPr>
      </w:pPr>
      <w:bookmarkStart w:id="545" w:name="_Hlk236041993"/>
      <w:r w:rsidRPr="005E3D50">
        <w:rPr>
          <w:lang w:val="es-ES"/>
        </w:rPr>
        <w:t xml:space="preserve">La cogestión y la </w:t>
      </w:r>
      <w:proofErr w:type="spellStart"/>
      <w:r w:rsidRPr="005E3D50">
        <w:rPr>
          <w:lang w:val="es-ES"/>
        </w:rPr>
        <w:t>cogobernanza</w:t>
      </w:r>
      <w:proofErr w:type="spellEnd"/>
      <w:r w:rsidRPr="005E3D50">
        <w:rPr>
          <w:lang w:val="es-ES"/>
        </w:rPr>
        <w:t xml:space="preserve"> son funciones sustantivas que se informa que cumplen actores distintos de los Gobiernos nacionales con respecto a la consecución de la meta 23. Los pueblos indígenas y las comunidades locales, los representantes de sectores relacionados con la diversidad biológica o dependientes de ella, los gobiernos subnacionales, las ciudades y otras autoridades locales y las ONG tienen autoridad formal sobre, por ejemplo, áreas protegidas y recursos marinos. Según se informa, estos actores ejercen control operativo en cuestiones tales como cuotas de fauna y flora silvestres y distribución de beneficios. En cuanto a medidas concretas de implementación, se menciona con frecuencia a las ONG y a las organizaciones intergubernamentales como </w:t>
      </w:r>
      <w:r w:rsidRPr="005E3D50">
        <w:rPr>
          <w:lang w:val="es-ES"/>
        </w:rPr>
        <w:lastRenderedPageBreak/>
        <w:t>ejecutoras primarias o que comparten la ejecución primaria de programas de diversidad biológica. En las funciones de seguimiento y aplicación de la normativa participan grupos encabezados por mujeres, guardas comunitarios y ONG a través de plataformas de ciencia ciudadana, comités de vigilancia comunitaria y seguimiento de la contaminación. Las funciones de provisión de conocimientos y de integración de conocimientos tradicionales son ejercidas por pueblos indígenas y comunidades locales, organizaciones de investigación y representantes de sectores relacionados con la diversidad biológica o que dependen de ella, que coproducen datos de diversidad biológica e integran conocimientos tradicionales con conocimientos científicos. La juventud, las mujeres, los pueblos indígenas y las comunidades locales y las ONG cumplen funciones de participación en la gobernanza y actividades de incidencia en órganos gubernamentales formales y procesos legislativos.</w:t>
      </w:r>
    </w:p>
    <w:p w14:paraId="4C5143F6" w14:textId="77777777" w:rsidR="009713BF" w:rsidRPr="005E3D50" w:rsidRDefault="009713BF" w:rsidP="009713BF">
      <w:pPr>
        <w:rPr>
          <w:lang w:val="es-ES"/>
        </w:rPr>
      </w:pPr>
    </w:p>
    <w:p w14:paraId="64A90F1A" w14:textId="77777777" w:rsidR="009713BF" w:rsidRPr="005E3D50" w:rsidRDefault="009713BF" w:rsidP="009713BF">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Ejemplos de vínculos con otros acuerdos, procesos y organizaciones</w:t>
      </w:r>
    </w:p>
    <w:p w14:paraId="44B55760" w14:textId="77777777" w:rsidR="009713BF" w:rsidRPr="005E3D50" w:rsidRDefault="009713BF" w:rsidP="009713BF">
      <w:pPr>
        <w:spacing w:before="120" w:after="120"/>
        <w:rPr>
          <w:rFonts w:eastAsia="Times New Roman" w:cs="Times New Roman"/>
          <w:lang w:val="es-ES"/>
        </w:rPr>
      </w:pPr>
    </w:p>
    <w:bookmarkEnd w:id="545"/>
    <w:p w14:paraId="7BE5CC2C" w14:textId="77777777" w:rsidR="009713BF" w:rsidRPr="005E3D50" w:rsidRDefault="009713BF" w:rsidP="009713BF">
      <w:pPr>
        <w:spacing w:before="120" w:after="120"/>
        <w:rPr>
          <w:lang w:val="es-ES"/>
        </w:rPr>
      </w:pPr>
      <w:r w:rsidRPr="005E3D50">
        <w:rPr>
          <w:lang w:val="es-ES"/>
        </w:rPr>
        <w:t>En el Convenio de Minamata sobre el Mercurio se reconocen las vulnerabilidades específicas de los pueblos indígenas y las comunidades locales y de las mujeres y la infancia debido a su exposición al mercurio, la biomagnificación del mercurio y la contaminación de alimentos tradicionales. La Conferencia de las Partes en el Convenio ha adoptado varias decisiones y medidas para ampliar la participación de los pueblos indígenas y las comunidades locales en la ejecución de proyectos y programas del Convenio. Como ya se señaló en el presente informe, en el resumen de la meta 7, la Conferencia de las Partes ha reconocido los efectos que tiene la utilización de mercurio en la minería de oro artesanal y en pequeña escala y ha alentado a las Partes y a otros actores a colaborar con los pueblos indígenas y las comunidades locales en procesos de toma de decisiones referidos a este tipo de minería, a fin de proteger y fortalecer los medios de vida tradicionales y las prácticas culturales de los pueblos indígenas y las comunidades locales y, donde proceda, desarrollar y promover actividades económicas sostenibles alternativas, así como colaborar con sus respectivos pueblos indígenas y comunidades locales con respecto a sus necesidades y prioridades relacionadas con la utilización de mercurio en la minería de oro artesanal y de pequeña escala (Convenio de Minamata sobre el Mercurio, 2025b).</w:t>
      </w:r>
    </w:p>
    <w:p w14:paraId="5E2E4553" w14:textId="43238A9F" w:rsidR="000A2315" w:rsidRPr="005E3D50" w:rsidRDefault="009713BF" w:rsidP="000A2315">
      <w:pPr>
        <w:rPr>
          <w:lang w:val="es-ES"/>
        </w:rPr>
      </w:pPr>
      <w:r w:rsidRPr="005E3D50">
        <w:rPr>
          <w:lang w:val="es-ES"/>
        </w:rPr>
        <w:t xml:space="preserve">El enfoque central de la Comisión Ballenera Internacional sobre la caza aborigen de subsistencia incluye el reconocimiento de que la participación plena y la cooperación de los pueblos afectados es esencial para facilitar medidas de gestión adecuadas, armonizando el enfoque de la Comisión con los principios de la meta 22 del Marco. Por </w:t>
      </w:r>
      <w:r w:rsidRPr="005E3D50">
        <w:rPr>
          <w:lang w:val="es-ES"/>
        </w:rPr>
        <w:lastRenderedPageBreak/>
        <w:t>ejemplo, el Subcomité de Caza Aborigen de Subsistencia de la Comisión trabaja directamente con cazadores y sus representantes gubernamentales en la gestión de los límites de impacto (el número máximo de ballenas que los cazadores pueden impactar con un arma ballenera), garantizando que se escuchen todas las voces. En colaboración con las comunidades de cazadores se diseñó un nuevo método para la extensión automática de límites de captura e impacto, que la Comisión adoptó en 2022. Esto llevó a que en 2024 se renovaran por consenso las cuotas, al cumplirse las condiciones específicas establecidas por este nuevo método (CBI, 2025).</w:t>
      </w:r>
      <w:r w:rsidR="00191710" w:rsidRPr="005E3D50">
        <w:rPr>
          <w:lang w:val="es-ES"/>
        </w:rPr>
        <w:t xml:space="preserve"> </w:t>
      </w:r>
    </w:p>
    <w:p w14:paraId="302671C5" w14:textId="77777777" w:rsidR="000A2315" w:rsidRPr="005E3D50" w:rsidRDefault="000A2315" w:rsidP="000A2315">
      <w:pPr>
        <w:rPr>
          <w:lang w:val="es-ES"/>
        </w:rPr>
      </w:pPr>
    </w:p>
    <w:p w14:paraId="14F78AF1" w14:textId="7211A41D" w:rsidR="008F15F1" w:rsidRDefault="008F15F1" w:rsidP="008F15F1">
      <w:pPr>
        <w:keepNext/>
        <w:keepLines/>
        <w:spacing w:before="80" w:after="40"/>
        <w:outlineLvl w:val="3"/>
        <w:rPr>
          <w:rFonts w:eastAsiaTheme="majorEastAsia" w:cstheme="majorBidi"/>
          <w:iCs/>
          <w:color w:val="0F4761" w:themeColor="accent1" w:themeShade="BF"/>
          <w:lang w:val="es-ES"/>
        </w:rPr>
      </w:pPr>
      <w:bookmarkStart w:id="546" w:name="_Toc235821329"/>
      <w:bookmarkStart w:id="547" w:name="_Toc239069219"/>
      <w:bookmarkStart w:id="548" w:name="_Toc8451892"/>
      <w:bookmarkStart w:id="549" w:name="_Toc242882997"/>
      <w:r w:rsidRPr="005E3D50">
        <w:rPr>
          <w:rFonts w:eastAsiaTheme="majorEastAsia" w:cstheme="majorBidi"/>
          <w:b/>
          <w:iCs/>
          <w:color w:val="0F4761" w:themeColor="accent1" w:themeShade="BF"/>
          <w:lang w:val="es-ES"/>
        </w:rPr>
        <w:t xml:space="preserve">Meta 23. </w:t>
      </w:r>
      <w:r w:rsidRPr="005E3D50">
        <w:rPr>
          <w:rFonts w:eastAsiaTheme="majorEastAsia" w:cstheme="majorBidi"/>
          <w:iCs/>
          <w:color w:val="0F4761" w:themeColor="accent1" w:themeShade="BF"/>
          <w:lang w:val="es-ES"/>
        </w:rPr>
        <w:t>Garantizar la igualdad de género y un enfoque con perspectiva de género en la acción en materia de biodiversidad</w:t>
      </w:r>
      <w:bookmarkEnd w:id="546"/>
      <w:bookmarkEnd w:id="547"/>
      <w:bookmarkEnd w:id="548"/>
      <w:bookmarkEnd w:id="549"/>
    </w:p>
    <w:p w14:paraId="29D1E206" w14:textId="77777777" w:rsidR="00434492" w:rsidRPr="005E3D50" w:rsidRDefault="00434492" w:rsidP="008F15F1">
      <w:pPr>
        <w:keepNext/>
        <w:keepLines/>
        <w:spacing w:before="80" w:after="40"/>
        <w:outlineLvl w:val="3"/>
        <w:rPr>
          <w:rFonts w:eastAsiaTheme="majorEastAsia" w:cstheme="majorBidi"/>
          <w:color w:val="0F4761" w:themeColor="accent1" w:themeShade="BF"/>
          <w:lang w:val="es-ES"/>
        </w:rPr>
      </w:pPr>
    </w:p>
    <w:p w14:paraId="779A083A" w14:textId="77777777" w:rsidR="008F15F1" w:rsidRPr="005E3D50" w:rsidRDefault="008F15F1" w:rsidP="008F15F1">
      <w:pPr>
        <w:rPr>
          <w:i/>
          <w:iCs/>
          <w:sz w:val="22"/>
          <w:szCs w:val="22"/>
          <w:lang w:val="es-ES"/>
        </w:rPr>
      </w:pPr>
      <w:r w:rsidRPr="005E3D50">
        <w:rPr>
          <w:b/>
          <w:sz w:val="22"/>
          <w:lang w:val="es-ES"/>
        </w:rPr>
        <w:t>Texto de la meta.</w:t>
      </w:r>
      <w:r w:rsidRPr="005E3D50">
        <w:rPr>
          <w:i/>
          <w:sz w:val="22"/>
          <w:lang w:val="es-ES"/>
        </w:rPr>
        <w:t xml:space="preserve">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p w14:paraId="6B3AA09D" w14:textId="77777777" w:rsidR="008F15F1" w:rsidRPr="005E3D50" w:rsidRDefault="008F15F1" w:rsidP="008F15F1">
      <w:pPr>
        <w:rPr>
          <w:lang w:val="es-ES"/>
        </w:rPr>
      </w:pPr>
    </w:p>
    <w:p w14:paraId="43309781"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 los progresos</w:t>
      </w:r>
    </w:p>
    <w:tbl>
      <w:tblPr>
        <w:tblStyle w:val="TableGrid1"/>
        <w:tblW w:w="0" w:type="auto"/>
        <w:tblLook w:val="04A0" w:firstRow="1" w:lastRow="0" w:firstColumn="1" w:lastColumn="0" w:noHBand="0" w:noVBand="1"/>
      </w:tblPr>
      <w:tblGrid>
        <w:gridCol w:w="9016"/>
      </w:tblGrid>
      <w:tr w:rsidR="008F15F1" w:rsidRPr="005E3D50" w14:paraId="5FD20736" w14:textId="77777777" w:rsidTr="006E6831">
        <w:tc>
          <w:tcPr>
            <w:tcW w:w="9016" w:type="dxa"/>
            <w:shd w:val="clear" w:color="auto" w:fill="D1D1D1" w:themeFill="background2" w:themeFillShade="E6"/>
          </w:tcPr>
          <w:p w14:paraId="3A30FC11" w14:textId="77777777" w:rsidR="008F15F1" w:rsidRPr="005E3D50" w:rsidRDefault="008F15F1" w:rsidP="008F15F1">
            <w:pPr>
              <w:rPr>
                <w:rFonts w:ascii="Aptos" w:eastAsia="Times New Roman" w:hAnsi="Aptos" w:cs="Calibri"/>
                <w:color w:val="000000"/>
              </w:rPr>
            </w:pPr>
          </w:p>
          <w:p w14:paraId="0442E79B" w14:textId="77777777" w:rsidR="008F15F1" w:rsidRPr="005E3D50" w:rsidRDefault="008F15F1" w:rsidP="008F15F1">
            <w:r w:rsidRPr="005E3D50">
              <w:t>Se están logrando progresos en materia de gobernanza de la biodiversidad con perspectiva de género, pero la implementación se encuentra aún en una fase inicial. Siguen existiendo importantes diferencias entre las metas nacionales y el alcance completo de la meta 23, especialmente en lo que respecta a los derechos y el acceso de las mujeres y las niñas a las tierras y los recursos naturales. La información presentada sobre el indicador binario indica que, en el caso de muchas Partes, la implementación se encuentra en una fase inicial en lo que respecta al seguimiento, la facilitación de una participación y un liderazgo informados y la aplicación de enfoques con perspectiva de género. Las autoevaluaciones indican que se han logrado algunos progresos positivos, aunque más de la mitad de las metas nacionales estrechamente armonizadas siguen estando lejos de alcanzarse. Entre las principales dificultades figuran las deficiencias en la aplicación de las políticas, los sistemas de medición limitados, la falta de datos desglosados por sexo y la cobertura incompleta de los elementos de la meta. Existe un vínculo entre la consecución de esta meta y la aplicación del Plan de Acción sobre Género (2023-2030) en el plano nacional (</w:t>
            </w:r>
            <w:proofErr w:type="spellStart"/>
            <w:r w:rsidRPr="005E3D50">
              <w:t>dec</w:t>
            </w:r>
            <w:proofErr w:type="spellEnd"/>
            <w:r w:rsidRPr="005E3D50">
              <w:t>. 15/17 en CDB, 2023).</w:t>
            </w:r>
          </w:p>
          <w:p w14:paraId="15BBC71B" w14:textId="77777777" w:rsidR="008F15F1" w:rsidRPr="005E3D50" w:rsidRDefault="008F15F1" w:rsidP="008F15F1"/>
        </w:tc>
      </w:tr>
    </w:tbl>
    <w:p w14:paraId="176B897F" w14:textId="77777777" w:rsidR="008F15F1" w:rsidRPr="005E3D50" w:rsidRDefault="008F15F1" w:rsidP="008F15F1">
      <w:pPr>
        <w:rPr>
          <w:lang w:val="es-ES"/>
        </w:rPr>
      </w:pPr>
    </w:p>
    <w:p w14:paraId="13868FAD"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Grado en que las Partes cubren el alcance de la meta 23 del Marco en sus metas nacionales</w:t>
      </w:r>
    </w:p>
    <w:p w14:paraId="2C429EB7"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12CF952B"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p w14:paraId="409A5F6C" w14:textId="77777777" w:rsidR="008F15F1" w:rsidRPr="005E3D50" w:rsidRDefault="008F15F1" w:rsidP="008F15F1">
      <w:pPr>
        <w:keepNext/>
        <w:spacing w:after="200" w:line="240" w:lineRule="auto"/>
        <w:rPr>
          <w:rFonts w:eastAsiaTheme="minorEastAsia"/>
          <w:color w:val="0E2841" w:themeColor="text2"/>
          <w:kern w:val="0"/>
          <w:sz w:val="20"/>
          <w:szCs w:val="20"/>
          <w:lang w:val="es-ES" w:eastAsia="ja-JP"/>
          <w14:ligatures w14:val="none"/>
        </w:rPr>
      </w:pPr>
      <w:bookmarkStart w:id="550" w:name="_Ref238817087"/>
      <w:r w:rsidRPr="005E3D50">
        <w:rPr>
          <w:rFonts w:eastAsiaTheme="minorEastAsia"/>
          <w:iCs/>
          <w:color w:val="0E2841" w:themeColor="text2"/>
          <w:kern w:val="0"/>
          <w:sz w:val="20"/>
          <w:szCs w:val="18"/>
          <w:lang w:val="es-ES" w:eastAsia="ja-JP"/>
          <w14:ligatures w14:val="none"/>
        </w:rPr>
        <w:t>Cuadro 49</w:t>
      </w:r>
      <w:bookmarkEnd w:id="550"/>
      <w:r w:rsidRPr="005E3D50">
        <w:rPr>
          <w:rFonts w:eastAsiaTheme="minorEastAsia"/>
          <w:iCs/>
          <w:color w:val="0E2841" w:themeColor="text2"/>
          <w:kern w:val="0"/>
          <w:sz w:val="20"/>
          <w:szCs w:val="18"/>
          <w:lang w:val="es-ES" w:eastAsia="ja-JP"/>
          <w14:ligatures w14:val="none"/>
        </w:rPr>
        <w:t xml:space="preserve"> </w:t>
      </w:r>
    </w:p>
    <w:p w14:paraId="5754DA8C" w14:textId="7C9C1CD0" w:rsidR="008F15F1" w:rsidRPr="005E3D50" w:rsidRDefault="008F15F1" w:rsidP="00434492">
      <w:pPr>
        <w:keepNext/>
        <w:spacing w:after="200" w:line="240" w:lineRule="auto"/>
        <w:rPr>
          <w:lang w:val="es-ES" w:eastAsia="ja-JP"/>
        </w:rPr>
      </w:pPr>
      <w:r w:rsidRPr="005E3D50">
        <w:rPr>
          <w:rFonts w:eastAsiaTheme="minorEastAsia"/>
          <w:b/>
          <w:iCs/>
          <w:color w:val="0E2841" w:themeColor="text2"/>
          <w:kern w:val="0"/>
          <w:sz w:val="20"/>
          <w:szCs w:val="18"/>
          <w:lang w:val="es-ES" w:eastAsia="ja-JP"/>
          <w14:ligatures w14:val="none"/>
        </w:rPr>
        <w:t xml:space="preserve">Elementos de la meta 23 del Marco y cómo se abordan en las metas </w:t>
      </w:r>
      <w:proofErr w:type="spellStart"/>
      <w:r w:rsidRPr="005E3D50">
        <w:rPr>
          <w:rFonts w:eastAsiaTheme="minorEastAsia"/>
          <w:b/>
          <w:iCs/>
          <w:color w:val="0E2841" w:themeColor="text2"/>
          <w:kern w:val="0"/>
          <w:sz w:val="20"/>
          <w:szCs w:val="18"/>
          <w:lang w:val="es-ES" w:eastAsia="ja-JP"/>
          <w14:ligatures w14:val="none"/>
        </w:rPr>
        <w:t>nacionales</w:t>
      </w:r>
      <w:r w:rsidRPr="005E3D50">
        <w:rPr>
          <w:rFonts w:eastAsiaTheme="minorEastAsia"/>
          <w:iCs/>
          <w:color w:val="0E2841" w:themeColor="text2"/>
          <w:kern w:val="0"/>
          <w:sz w:val="20"/>
          <w:szCs w:val="18"/>
          <w:vertAlign w:val="superscript"/>
          <w:lang w:val="es-ES" w:eastAsia="ja-JP"/>
          <w14:ligatures w14:val="none"/>
        </w:rPr>
        <w:t>a</w:t>
      </w:r>
      <w:proofErr w:type="spellEnd"/>
    </w:p>
    <w:tbl>
      <w:tblPr>
        <w:tblStyle w:val="TableGrid1"/>
        <w:tblW w:w="0" w:type="auto"/>
        <w:tblInd w:w="-141" w:type="dxa"/>
        <w:tblLook w:val="04A0" w:firstRow="1" w:lastRow="0" w:firstColumn="1" w:lastColumn="0" w:noHBand="0" w:noVBand="1"/>
      </w:tblPr>
      <w:tblGrid>
        <w:gridCol w:w="7845"/>
        <w:gridCol w:w="1312"/>
      </w:tblGrid>
      <w:tr w:rsidR="008F15F1" w:rsidRPr="005E3D50" w14:paraId="7AF1F690" w14:textId="77777777" w:rsidTr="006E6831">
        <w:tc>
          <w:tcPr>
            <w:tcW w:w="7845" w:type="dxa"/>
          </w:tcPr>
          <w:p w14:paraId="6D5106B2" w14:textId="77777777" w:rsidR="008F15F1" w:rsidRPr="005E3D50" w:rsidRDefault="008F15F1" w:rsidP="008F15F1">
            <w:pPr>
              <w:autoSpaceDE w:val="0"/>
              <w:autoSpaceDN w:val="0"/>
              <w:adjustRightInd w:val="0"/>
              <w:rPr>
                <w:rFonts w:cs="Times New Roman"/>
                <w:kern w:val="0"/>
                <w:sz w:val="21"/>
                <w:szCs w:val="21"/>
              </w:rPr>
            </w:pPr>
            <w:r w:rsidRPr="005E3D50">
              <w:rPr>
                <w:sz w:val="21"/>
              </w:rPr>
              <w:t>Garantizar la igualdad de género en la implementación del Marco mediante un enfoque con perspectiva de género</w:t>
            </w:r>
          </w:p>
        </w:tc>
        <w:tc>
          <w:tcPr>
            <w:tcW w:w="1312" w:type="dxa"/>
            <w:shd w:val="clear" w:color="auto" w:fill="92D050"/>
          </w:tcPr>
          <w:p w14:paraId="587AD2B3" w14:textId="77777777" w:rsidR="008F15F1" w:rsidRPr="005E3D50" w:rsidRDefault="008F15F1" w:rsidP="008F15F1">
            <w:r w:rsidRPr="005E3D50">
              <w:t>63</w:t>
            </w:r>
          </w:p>
        </w:tc>
      </w:tr>
      <w:tr w:rsidR="008F15F1" w:rsidRPr="005E3D50" w14:paraId="1992FCDE" w14:textId="77777777" w:rsidTr="006E6831">
        <w:tc>
          <w:tcPr>
            <w:tcW w:w="7845" w:type="dxa"/>
          </w:tcPr>
          <w:p w14:paraId="2F8CF4D7" w14:textId="77777777" w:rsidR="008F15F1" w:rsidRPr="005E3D50" w:rsidRDefault="008F15F1" w:rsidP="008F15F1">
            <w:pPr>
              <w:autoSpaceDE w:val="0"/>
              <w:autoSpaceDN w:val="0"/>
              <w:adjustRightInd w:val="0"/>
              <w:rPr>
                <w:rFonts w:cs="Times New Roman"/>
                <w:kern w:val="0"/>
                <w:sz w:val="21"/>
                <w:szCs w:val="21"/>
              </w:rPr>
            </w:pPr>
            <w:r w:rsidRPr="005E3D50">
              <w:rPr>
                <w:sz w:val="21"/>
              </w:rPr>
              <w:t>Reconocer la igualdad de derechos de las mujeres y las niñas a las tierras y los recursos naturales</w:t>
            </w:r>
          </w:p>
        </w:tc>
        <w:tc>
          <w:tcPr>
            <w:tcW w:w="1312" w:type="dxa"/>
            <w:shd w:val="clear" w:color="auto" w:fill="FFC000"/>
          </w:tcPr>
          <w:p w14:paraId="4D999FC4" w14:textId="77777777" w:rsidR="008F15F1" w:rsidRPr="005E3D50" w:rsidRDefault="008F15F1" w:rsidP="008F15F1">
            <w:r w:rsidRPr="005E3D50">
              <w:t>28</w:t>
            </w:r>
          </w:p>
        </w:tc>
      </w:tr>
      <w:tr w:rsidR="008F15F1" w:rsidRPr="005E3D50" w14:paraId="104D320C" w14:textId="77777777" w:rsidTr="006E6831">
        <w:tc>
          <w:tcPr>
            <w:tcW w:w="7845" w:type="dxa"/>
          </w:tcPr>
          <w:p w14:paraId="36FBA23F" w14:textId="77777777" w:rsidR="008F15F1" w:rsidRPr="005E3D50" w:rsidRDefault="008F15F1" w:rsidP="008F15F1">
            <w:pPr>
              <w:autoSpaceDE w:val="0"/>
              <w:autoSpaceDN w:val="0"/>
              <w:adjustRightInd w:val="0"/>
              <w:rPr>
                <w:sz w:val="21"/>
                <w:szCs w:val="21"/>
              </w:rPr>
            </w:pPr>
            <w:r w:rsidRPr="005E3D50">
              <w:rPr>
                <w:sz w:val="21"/>
              </w:rPr>
              <w:t>Reconocer la igualdad de las mujeres y las niñas en el acceso a las tierras y los recursos naturales</w:t>
            </w:r>
          </w:p>
        </w:tc>
        <w:tc>
          <w:tcPr>
            <w:tcW w:w="1312" w:type="dxa"/>
            <w:shd w:val="clear" w:color="auto" w:fill="FFC000"/>
          </w:tcPr>
          <w:p w14:paraId="6E8C1D4E" w14:textId="77777777" w:rsidR="008F15F1" w:rsidRPr="005E3D50" w:rsidRDefault="008F15F1" w:rsidP="008F15F1">
            <w:r w:rsidRPr="005E3D50">
              <w:t>25</w:t>
            </w:r>
          </w:p>
        </w:tc>
      </w:tr>
      <w:tr w:rsidR="008F15F1" w:rsidRPr="005E3D50" w14:paraId="05D84110" w14:textId="77777777" w:rsidTr="006E6831">
        <w:tc>
          <w:tcPr>
            <w:tcW w:w="7845" w:type="dxa"/>
          </w:tcPr>
          <w:p w14:paraId="7C85C1CF" w14:textId="77777777" w:rsidR="008F15F1" w:rsidRPr="005E3D50" w:rsidRDefault="008F15F1" w:rsidP="008F15F1">
            <w:pPr>
              <w:autoSpaceDE w:val="0"/>
              <w:autoSpaceDN w:val="0"/>
              <w:adjustRightInd w:val="0"/>
              <w:rPr>
                <w:rFonts w:cs="Times New Roman"/>
                <w:kern w:val="0"/>
                <w:sz w:val="21"/>
                <w:szCs w:val="21"/>
              </w:rPr>
            </w:pPr>
            <w:r w:rsidRPr="005E3D50">
              <w:rPr>
                <w:sz w:val="21"/>
              </w:rPr>
              <w:t>Garantizar la participación y el liderazgo plenos, equitativos, significativos e informados de las mujeres y las niñas en todos los niveles de acción, participación, formulación de políticas y toma de decisiones relacionados con la biodiversidad</w:t>
            </w:r>
          </w:p>
        </w:tc>
        <w:tc>
          <w:tcPr>
            <w:tcW w:w="1312" w:type="dxa"/>
            <w:shd w:val="clear" w:color="auto" w:fill="FFFF00"/>
          </w:tcPr>
          <w:p w14:paraId="32691F08" w14:textId="77777777" w:rsidR="008F15F1" w:rsidRPr="005E3D50" w:rsidRDefault="008F15F1" w:rsidP="008F15F1">
            <w:r w:rsidRPr="005E3D50">
              <w:t>57</w:t>
            </w:r>
          </w:p>
        </w:tc>
      </w:tr>
      <w:tr w:rsidR="008F15F1" w:rsidRPr="005E3D50" w14:paraId="1A3E5E50" w14:textId="77777777" w:rsidTr="006E6831">
        <w:tc>
          <w:tcPr>
            <w:tcW w:w="9157" w:type="dxa"/>
            <w:gridSpan w:val="2"/>
          </w:tcPr>
          <w:p w14:paraId="5444BD68" w14:textId="77777777" w:rsidR="008F15F1" w:rsidRPr="005E3D50" w:rsidRDefault="008F15F1" w:rsidP="008F15F1">
            <w:pPr>
              <w:keepNext/>
              <w:rPr>
                <w:rFonts w:eastAsia="Times New Roman" w:cs="Times New Roman"/>
                <w:b/>
                <w:bCs/>
                <w:color w:val="000000"/>
                <w:kern w:val="0"/>
                <w:sz w:val="22"/>
                <w:szCs w:val="22"/>
                <w:lang w:eastAsia="en-GB"/>
                <w14:ligatures w14:val="none"/>
              </w:rPr>
            </w:pPr>
          </w:p>
          <w:p w14:paraId="6C231A44" w14:textId="77777777" w:rsidR="008F15F1" w:rsidRPr="005E3D50" w:rsidRDefault="008F15F1" w:rsidP="008F15F1">
            <w:pPr>
              <w:keepNext/>
              <w:rPr>
                <w:rFonts w:eastAsia="Times New Roman" w:cs="Times New Roman"/>
                <w:b/>
                <w:bCs/>
                <w:color w:val="000000"/>
                <w:kern w:val="0"/>
                <w:sz w:val="22"/>
                <w:szCs w:val="22"/>
                <w:lang w:eastAsia="en-GB"/>
                <w14:ligatures w14:val="none"/>
              </w:rPr>
            </w:pPr>
            <w:r w:rsidRPr="005E3D50">
              <w:rPr>
                <w:rFonts w:eastAsia="Times New Roman" w:cs="Times New Roman"/>
                <w:b/>
                <w:color w:val="000000"/>
                <w:kern w:val="0"/>
                <w:sz w:val="22"/>
                <w:szCs w:val="17"/>
                <w:lang w:eastAsia="en-GB"/>
                <w14:ligatures w14:val="none"/>
              </w:rPr>
              <w:t>En promedio, las Partes han abordado, al menos en cierta medida, el 43 % de estos elementos en sus metas nacionales</w:t>
            </w:r>
          </w:p>
          <w:p w14:paraId="19B39A97" w14:textId="77777777" w:rsidR="008F15F1" w:rsidRPr="005E3D50" w:rsidRDefault="008F15F1" w:rsidP="008F15F1">
            <w:pPr>
              <w:keepNext/>
              <w:rPr>
                <w:rFonts w:eastAsia="Times New Roman" w:cs="Times New Roman"/>
                <w:b/>
                <w:bCs/>
                <w:color w:val="000000"/>
                <w:kern w:val="0"/>
                <w:sz w:val="22"/>
                <w:szCs w:val="22"/>
                <w:lang w:eastAsia="en-GB"/>
                <w14:ligatures w14:val="none"/>
              </w:rPr>
            </w:pPr>
          </w:p>
        </w:tc>
      </w:tr>
    </w:tbl>
    <w:p w14:paraId="65B4D32A" w14:textId="77777777" w:rsidR="008F15F1" w:rsidRPr="005E3D50" w:rsidRDefault="008F15F1" w:rsidP="008F15F1">
      <w:pPr>
        <w:rPr>
          <w:lang w:val="es-ES"/>
        </w:rPr>
      </w:pPr>
    </w:p>
    <w:p w14:paraId="6515E39F" w14:textId="77777777" w:rsidR="008F15F1" w:rsidRPr="005E3D50" w:rsidRDefault="008F15F1" w:rsidP="008F15F1">
      <w:pPr>
        <w:rPr>
          <w:iCs/>
          <w:sz w:val="16"/>
          <w:szCs w:val="16"/>
          <w:lang w:val="es-ES"/>
        </w:rPr>
      </w:pPr>
      <w:r w:rsidRPr="005E3D50">
        <w:rPr>
          <w:i/>
          <w:sz w:val="16"/>
          <w:lang w:val="es-ES"/>
        </w:rPr>
        <w:t>Nota</w:t>
      </w:r>
      <w:r w:rsidRPr="005E3D50">
        <w:rPr>
          <w:sz w:val="16"/>
          <w:lang w:val="es-ES"/>
        </w:rPr>
        <w:t>: La columna de la derecha indica el porcentaje de Partes con metas nacionales que abordan al menos en cierta medida el elemento correspondiente.</w:t>
      </w:r>
    </w:p>
    <w:p w14:paraId="13CA4426" w14:textId="77777777" w:rsidR="008F15F1" w:rsidRPr="005E3D50" w:rsidRDefault="008F15F1" w:rsidP="008F15F1">
      <w:pPr>
        <w:spacing w:after="0" w:line="240" w:lineRule="auto"/>
        <w:textAlignment w:val="baseline"/>
        <w:rPr>
          <w:rFonts w:ascii="Segoe UI" w:eastAsia="Times New Roman" w:hAnsi="Segoe UI" w:cs="Segoe UI"/>
          <w:kern w:val="0"/>
          <w:sz w:val="16"/>
          <w:szCs w:val="16"/>
          <w:lang w:val="es-ES"/>
          <w14:ligatures w14:val="none"/>
        </w:rPr>
      </w:pPr>
      <w:r w:rsidRPr="005E3D50">
        <w:rPr>
          <w:rFonts w:ascii="Times New Roman" w:eastAsia="Times New Roman" w:hAnsi="Times New Roman" w:cs="Times New Roman"/>
          <w:kern w:val="0"/>
          <w:sz w:val="16"/>
          <w:vertAlign w:val="superscript"/>
          <w:lang w:val="es-ES"/>
          <w14:ligatures w14:val="none"/>
        </w:rPr>
        <w:t>a</w:t>
      </w:r>
      <w:r w:rsidRPr="005E3D50">
        <w:rPr>
          <w:rFonts w:ascii="Aptos" w:eastAsia="Times New Roman" w:hAnsi="Aptos" w:cs="Times New Roman"/>
          <w:kern w:val="0"/>
          <w:sz w:val="16"/>
          <w:lang w:val="es-ES"/>
          <w14:ligatures w14:val="none"/>
        </w:rPr>
        <w:t xml:space="preserve"> Los elementos de cada meta fueron definidos por el Grupo Especial de Expertos Técnicos sobre los Indicadores para el Marco Mundial de Biodiversidad de Kunming-Montreal (véanse el anexo I del documento </w:t>
      </w:r>
      <w:hyperlink r:id="rId211" w:history="1">
        <w:r w:rsidRPr="005E3D50">
          <w:rPr>
            <w:rFonts w:ascii="Aptos" w:eastAsia="Times New Roman" w:hAnsi="Aptos" w:cs="Times New Roman"/>
            <w:color w:val="000000" w:themeColor="text1"/>
            <w:kern w:val="0"/>
            <w:sz w:val="16"/>
            <w:lang w:val="es-ES"/>
            <w14:ligatures w14:val="none"/>
          </w:rPr>
          <w:t>CBD/COP/16/INF/4</w:t>
        </w:r>
      </w:hyperlink>
      <w:r w:rsidRPr="005E3D50">
        <w:rPr>
          <w:rFonts w:ascii="Aptos" w:eastAsia="Times New Roman" w:hAnsi="Aptos" w:cs="Times New Roman"/>
          <w:kern w:val="0"/>
          <w:sz w:val="16"/>
          <w:lang w:val="es-ES"/>
          <w14:ligatures w14:val="none"/>
        </w:rPr>
        <w:t>; y Affinito y otros, 2025). En el documento </w:t>
      </w:r>
      <w:hyperlink r:id="rId212" w:history="1">
        <w:r w:rsidRPr="005E3D50">
          <w:rPr>
            <w:rFonts w:ascii="Aptos" w:eastAsia="Times New Roman" w:hAnsi="Aptos" w:cs="Times New Roman"/>
            <w:color w:val="000000" w:themeColor="text1"/>
            <w:kern w:val="0"/>
            <w:sz w:val="16"/>
            <w:lang w:val="es-ES"/>
            <w14:ligatures w14:val="none"/>
          </w:rPr>
          <w:t>CBD/SBI/7/INF/22</w:t>
        </w:r>
      </w:hyperlink>
      <w:r w:rsidRPr="005E3D50">
        <w:rPr>
          <w:rFonts w:ascii="Aptos" w:eastAsia="Times New Roman" w:hAnsi="Aptos" w:cs="Times New Roman"/>
          <w:kern w:val="0"/>
          <w:sz w:val="16"/>
          <w:lang w:val="es-ES"/>
          <w14:ligatures w14:val="none"/>
        </w:rPr>
        <w:t xml:space="preserve"> se expone en detalle la metodología empleada para el análisis de las metas nacionales. </w:t>
      </w:r>
    </w:p>
    <w:p w14:paraId="51A5232C" w14:textId="77777777" w:rsidR="008F15F1" w:rsidRPr="005E3D50" w:rsidRDefault="008F15F1" w:rsidP="008F15F1">
      <w:pPr>
        <w:rPr>
          <w:lang w:val="es-ES"/>
        </w:rPr>
      </w:pPr>
    </w:p>
    <w:p w14:paraId="47431FC2" w14:textId="77777777" w:rsidR="008F15F1" w:rsidRPr="005E3D50" w:rsidRDefault="008F15F1" w:rsidP="008F15F1">
      <w:pPr>
        <w:rPr>
          <w:lang w:val="es-ES"/>
        </w:rPr>
      </w:pPr>
      <w:bookmarkStart w:id="551" w:name="_Toc235821332"/>
      <w:r w:rsidRPr="005E3D50">
        <w:rPr>
          <w:lang w:val="es-ES"/>
        </w:rPr>
        <w:t xml:space="preserve">La meta 23 está compuesta por cuatro elementos distintos (véase el cuadro 49). La mayoría de las Partes cuentan con metas nacionales que abordan la necesidad de garantizar la igualdad de género en la implementación del Marco mediante un enfoque con perspectiva de género (63 %) y de garantizar la participación y el liderazgo plenos, equitativos, significativos e informados de las mujeres y las niñas en todos los niveles de acción, participación, formulación de políticas y toma de decisiones relacionados con la biodiversidad (57 %). Muchas menos Partes abordan el reconocimiento de la igualdad de derechos (28 %) y de acceso (25 %) de las mujeres y las niñas a las tierras y los recursos naturales. </w:t>
      </w:r>
    </w:p>
    <w:p w14:paraId="752627F8" w14:textId="77777777" w:rsidR="008F15F1" w:rsidRPr="005E3D50" w:rsidRDefault="008F15F1" w:rsidP="008F15F1">
      <w:pPr>
        <w:rPr>
          <w:lang w:val="es-ES"/>
        </w:rPr>
      </w:pPr>
      <w:r w:rsidRPr="005E3D50">
        <w:rPr>
          <w:lang w:val="es-ES"/>
        </w:rPr>
        <w:lastRenderedPageBreak/>
        <w:t xml:space="preserve">Existen importantes deficiencias en el alcance de las metas nacionales en relación con los cuatro elementos de la meta 23, en particular en lo que respecta a los derechos y el acceso de las mujeres y las niñas a las tierras y los recursos naturales. </w:t>
      </w:r>
    </w:p>
    <w:p w14:paraId="53D854C5"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2D38F73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Indicadores de progresos</w:t>
      </w:r>
      <w:bookmarkEnd w:id="551"/>
    </w:p>
    <w:p w14:paraId="7D6FBC4F" w14:textId="77777777" w:rsidR="008F15F1" w:rsidRPr="005E3D50" w:rsidRDefault="008F15F1" w:rsidP="008F15F1">
      <w:pPr>
        <w:keepNext/>
        <w:spacing w:after="200" w:line="240" w:lineRule="auto"/>
        <w:rPr>
          <w:rFonts w:eastAsiaTheme="minorEastAsia"/>
          <w:iCs/>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 xml:space="preserve">Cuadro 50 </w:t>
      </w:r>
    </w:p>
    <w:p w14:paraId="429814AA" w14:textId="77777777" w:rsidR="008F15F1" w:rsidRPr="005E3D50" w:rsidRDefault="008F15F1" w:rsidP="008F15F1">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para indicadores de la meta 23 del Marco</w:t>
      </w:r>
    </w:p>
    <w:p w14:paraId="5F5DA23C" w14:textId="77777777" w:rsidR="008F15F1" w:rsidRPr="005E3D50" w:rsidRDefault="008F15F1" w:rsidP="008F15F1">
      <w:pPr>
        <w:rPr>
          <w:lang w:val="es-ES"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213"/>
        <w:gridCol w:w="672"/>
        <w:gridCol w:w="2601"/>
        <w:gridCol w:w="596"/>
      </w:tblGrid>
      <w:tr w:rsidR="008F15F1" w:rsidRPr="005E3D50" w14:paraId="68931801" w14:textId="77777777" w:rsidTr="006E6831">
        <w:trPr>
          <w:trHeight w:val="1050"/>
        </w:trPr>
        <w:tc>
          <w:tcPr>
            <w:tcW w:w="3218" w:type="dxa"/>
            <w:shd w:val="clear" w:color="000000" w:fill="FFFFFF"/>
            <w:vAlign w:val="center"/>
          </w:tcPr>
          <w:p w14:paraId="2625C7E4"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885" w:type="dxa"/>
            <w:gridSpan w:val="2"/>
            <w:vAlign w:val="center"/>
          </w:tcPr>
          <w:p w14:paraId="1272457B"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Uso del indicador</w:t>
            </w:r>
          </w:p>
        </w:tc>
        <w:tc>
          <w:tcPr>
            <w:tcW w:w="3197" w:type="dxa"/>
            <w:gridSpan w:val="2"/>
            <w:vAlign w:val="center"/>
          </w:tcPr>
          <w:p w14:paraId="44E03662"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Resultados del indicador</w:t>
            </w:r>
          </w:p>
        </w:tc>
      </w:tr>
      <w:tr w:rsidR="008F15F1" w:rsidRPr="005E3D50" w14:paraId="62D5AC6D" w14:textId="77777777" w:rsidTr="006E6831">
        <w:trPr>
          <w:trHeight w:val="1050"/>
        </w:trPr>
        <w:tc>
          <w:tcPr>
            <w:tcW w:w="3218" w:type="dxa"/>
            <w:shd w:val="clear" w:color="000000" w:fill="FFFFFF"/>
            <w:vAlign w:val="center"/>
            <w:hideMark/>
          </w:tcPr>
          <w:p w14:paraId="6E0CC65C"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 xml:space="preserve">Indicador binario 23.b: </w:t>
            </w:r>
            <w:bookmarkStart w:id="552" w:name="_Hlk238925114"/>
            <w:r w:rsidRPr="005E3D50">
              <w:rPr>
                <w:rFonts w:ascii="Aptos" w:hAnsi="Aptos"/>
                <w:color w:val="000000"/>
                <w:sz w:val="20"/>
                <w:lang w:val="es-ES"/>
              </w:rPr>
              <w:t>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bookmarkEnd w:id="552"/>
          </w:p>
        </w:tc>
        <w:tc>
          <w:tcPr>
            <w:tcW w:w="3213" w:type="dxa"/>
            <w:vAlign w:val="center"/>
            <w:hideMark/>
          </w:tcPr>
          <w:p w14:paraId="7B22BC1E"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127 </w:t>
            </w:r>
            <w:proofErr w:type="gramStart"/>
            <w:r w:rsidRPr="005E3D50">
              <w:rPr>
                <w:rFonts w:ascii="Aptos" w:hAnsi="Aptos"/>
                <w:color w:val="000000"/>
                <w:sz w:val="20"/>
                <w:lang w:val="es-ES"/>
              </w:rPr>
              <w:t>Partes</w:t>
            </w:r>
            <w:proofErr w:type="gramEnd"/>
          </w:p>
        </w:tc>
        <w:tc>
          <w:tcPr>
            <w:tcW w:w="672" w:type="dxa"/>
            <w:vAlign w:val="center"/>
            <w:hideMark/>
          </w:tcPr>
          <w:p w14:paraId="7E97BF1C"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n. </w:t>
            </w:r>
            <w:proofErr w:type="spellStart"/>
            <w:proofErr w:type="gramStart"/>
            <w:r w:rsidRPr="005E3D50">
              <w:rPr>
                <w:sz w:val="20"/>
                <w:lang w:val="es-ES"/>
              </w:rPr>
              <w:t>a.</w:t>
            </w:r>
            <w:r w:rsidRPr="005E3D50">
              <w:rPr>
                <w:sz w:val="20"/>
                <w:vertAlign w:val="superscript"/>
                <w:lang w:val="es-ES"/>
              </w:rPr>
              <w:t>a</w:t>
            </w:r>
            <w:proofErr w:type="spellEnd"/>
            <w:proofErr w:type="gramEnd"/>
          </w:p>
        </w:tc>
        <w:tc>
          <w:tcPr>
            <w:tcW w:w="2601" w:type="dxa"/>
            <w:vAlign w:val="center"/>
            <w:hideMark/>
          </w:tcPr>
          <w:p w14:paraId="1E8B8AE3"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sz w:val="20"/>
                <w:lang w:val="es-ES"/>
              </w:rPr>
              <w:t>El 49 % de las Partes tuvieron una puntuación alta (puntuación de 4 o 5)</w:t>
            </w:r>
          </w:p>
        </w:tc>
        <w:tc>
          <w:tcPr>
            <w:tcW w:w="596" w:type="dxa"/>
            <w:shd w:val="clear" w:color="000000" w:fill="FFC000"/>
            <w:vAlign w:val="center"/>
            <w:hideMark/>
          </w:tcPr>
          <w:p w14:paraId="6A5BE7BA"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r>
      <w:tr w:rsidR="008F15F1" w:rsidRPr="005E3D50" w14:paraId="39D31209" w14:textId="77777777" w:rsidTr="006E6831">
        <w:trPr>
          <w:trHeight w:val="1050"/>
        </w:trPr>
        <w:tc>
          <w:tcPr>
            <w:tcW w:w="3218" w:type="dxa"/>
            <w:shd w:val="clear" w:color="000000" w:fill="FFFFFF"/>
            <w:vAlign w:val="center"/>
            <w:hideMark/>
          </w:tcPr>
          <w:p w14:paraId="3A44B3FB"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Indicadores cuantitativos combinados</w:t>
            </w:r>
          </w:p>
        </w:tc>
        <w:tc>
          <w:tcPr>
            <w:tcW w:w="3213" w:type="dxa"/>
            <w:vAlign w:val="center"/>
            <w:hideMark/>
          </w:tcPr>
          <w:p w14:paraId="78B96A9D"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17 </w:t>
            </w:r>
            <w:proofErr w:type="gramStart"/>
            <w:r w:rsidRPr="005E3D50">
              <w:rPr>
                <w:rFonts w:ascii="Aptos" w:hAnsi="Aptos"/>
                <w:color w:val="000000"/>
                <w:sz w:val="20"/>
                <w:lang w:val="es-ES"/>
              </w:rPr>
              <w:t>Partes</w:t>
            </w:r>
            <w:proofErr w:type="gramEnd"/>
            <w:r w:rsidRPr="005E3D50">
              <w:rPr>
                <w:rFonts w:ascii="Aptos" w:hAnsi="Aptos"/>
                <w:color w:val="000000"/>
                <w:sz w:val="20"/>
                <w:lang w:val="es-ES"/>
              </w:rPr>
              <w:t>, 13 %</w:t>
            </w:r>
          </w:p>
        </w:tc>
        <w:tc>
          <w:tcPr>
            <w:tcW w:w="672" w:type="dxa"/>
            <w:shd w:val="clear" w:color="000000" w:fill="C00000"/>
            <w:vAlign w:val="center"/>
            <w:hideMark/>
          </w:tcPr>
          <w:p w14:paraId="7C3BFF58"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601" w:type="dxa"/>
            <w:vAlign w:val="center"/>
            <w:hideMark/>
          </w:tcPr>
          <w:p w14:paraId="24BFCBFB"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12 % registran tendencias positivas</w:t>
            </w:r>
          </w:p>
          <w:p w14:paraId="6D011D25"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21 % registran tendencias negativas</w:t>
            </w:r>
          </w:p>
        </w:tc>
        <w:tc>
          <w:tcPr>
            <w:tcW w:w="596" w:type="dxa"/>
            <w:shd w:val="clear" w:color="000000" w:fill="C00000"/>
            <w:vAlign w:val="center"/>
            <w:hideMark/>
          </w:tcPr>
          <w:p w14:paraId="5EC800C9"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7167B623" w14:textId="77777777" w:rsidR="008F15F1" w:rsidRPr="005E3D50" w:rsidRDefault="008F15F1" w:rsidP="008F15F1">
      <w:pPr>
        <w:rPr>
          <w:lang w:val="es-ES"/>
        </w:rPr>
      </w:pPr>
    </w:p>
    <w:p w14:paraId="32C358DF" w14:textId="77777777" w:rsidR="008F15F1" w:rsidRPr="005E3D50" w:rsidRDefault="008F15F1" w:rsidP="008F15F1">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cuadro 3).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w:t>
      </w:r>
    </w:p>
    <w:p w14:paraId="0B353C1B" w14:textId="77777777" w:rsidR="008F15F1" w:rsidRPr="005E3D50" w:rsidRDefault="008F15F1" w:rsidP="008F15F1">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20"/>
          <w:szCs w:val="20"/>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144F8A2A" w14:textId="77777777" w:rsidR="008F15F1" w:rsidRPr="005E3D50" w:rsidRDefault="008F15F1" w:rsidP="008F15F1">
      <w:pPr>
        <w:rPr>
          <w:rFonts w:ascii="Aptos" w:hAnsi="Aptos"/>
          <w:strike/>
          <w:lang w:val="es-ES"/>
        </w:rPr>
      </w:pPr>
    </w:p>
    <w:p w14:paraId="4A742322" w14:textId="77777777" w:rsidR="008F15F1" w:rsidRPr="005E3D50" w:rsidRDefault="008F15F1" w:rsidP="008F15F1">
      <w:pPr>
        <w:rPr>
          <w:lang w:val="es-ES"/>
        </w:rPr>
      </w:pPr>
      <w:r w:rsidRPr="005E3D50">
        <w:rPr>
          <w:lang w:val="es-ES"/>
        </w:rPr>
        <w:lastRenderedPageBreak/>
        <w:t>El marco de seguimiento no incluye un indicador de cabecera específico para la meta 23.</w:t>
      </w:r>
    </w:p>
    <w:p w14:paraId="647499D4" w14:textId="77777777" w:rsidR="008F15F1" w:rsidRPr="005E3D50" w:rsidRDefault="008F15F1" w:rsidP="008F15F1">
      <w:pPr>
        <w:rPr>
          <w:lang w:val="es-ES"/>
        </w:rPr>
      </w:pPr>
      <w:r w:rsidRPr="005E3D50">
        <w:rPr>
          <w:lang w:val="es-ES"/>
        </w:rPr>
        <w:t>Alrededor de la mitad de las Partes informaron puntuaciones bajas en el indicador binario correspondiente a la meta 23, lo que indica que esas Partes se encuentran en las primeras etapas de elaboración y aplicación de marcos jurídicos, administrativos o de políticas que respalden la meta (véase el cuadro 50).</w:t>
      </w:r>
    </w:p>
    <w:p w14:paraId="683E48FB" w14:textId="77777777" w:rsidR="008F15F1" w:rsidRPr="005E3D50" w:rsidRDefault="008F15F1" w:rsidP="008F15F1">
      <w:pPr>
        <w:rPr>
          <w:rFonts w:ascii="Aptos" w:hAnsi="Aptos"/>
          <w:lang w:val="es-ES"/>
        </w:rPr>
      </w:pPr>
      <w:r w:rsidRPr="005E3D50">
        <w:rPr>
          <w:lang w:val="es-ES"/>
        </w:rPr>
        <w:t>En aquellos ámbitos en los que se están logrando progresos, las Partes informan con mayor frecuencia sobre medidas para reconocer y proteger los derechos de las mujeres y las niñas, incluido su acceso a las tierras y los recursos naturales. Sin embargo, se observan progresos más débiles en los ámbitos relacionados con el seguimiento, la promoción de una participación y un liderazgo informados, y la aplicación de enfoques con perspectiva de género en la implementación. En general, los resultados del indicador binario sugieren que la meta 23 sigue encontrándose en una etapa temprana de cumplimiento, con deficiencias sustanciales tanto en la aplicación de políticas como en la medición (véase la figura 92).</w:t>
      </w:r>
    </w:p>
    <w:p w14:paraId="3882C5C3" w14:textId="77777777" w:rsidR="008F15F1" w:rsidRPr="005E3D50" w:rsidRDefault="008F15F1" w:rsidP="008F15F1">
      <w:pPr>
        <w:rPr>
          <w:lang w:val="es-ES"/>
        </w:rPr>
      </w:pPr>
      <w:r w:rsidRPr="005E3D50">
        <w:rPr>
          <w:lang w:val="es-ES"/>
        </w:rPr>
        <w:t xml:space="preserve">Una pequeña proporción de Partes (13 %) presentó datos para los indicadores nacionales, de componentes o complementarios pertinentes. Son más los indicadores que muestran tendencias negativas que positivas, pero no pueden considerarse representativos de todas las Partes debido a que hay carencias de datos (véase la figura 93). </w:t>
      </w:r>
    </w:p>
    <w:p w14:paraId="0BE997FE" w14:textId="77777777" w:rsidR="008F15F1" w:rsidRPr="005E3D50" w:rsidRDefault="008F15F1" w:rsidP="008F15F1">
      <w:pPr>
        <w:rPr>
          <w:lang w:val="es-ES"/>
        </w:rPr>
      </w:pPr>
    </w:p>
    <w:p w14:paraId="1B78B00F" w14:textId="77777777" w:rsidR="008F15F1" w:rsidRPr="005E3D50" w:rsidRDefault="008F15F1" w:rsidP="008F15F1">
      <w:pPr>
        <w:rPr>
          <w:sz w:val="20"/>
          <w:szCs w:val="20"/>
          <w:lang w:val="es-ES"/>
        </w:rPr>
      </w:pPr>
      <w:bookmarkStart w:id="553" w:name="_Ref236040082"/>
      <w:r w:rsidRPr="005E3D50">
        <w:rPr>
          <w:sz w:val="20"/>
          <w:lang w:val="es-ES"/>
        </w:rPr>
        <w:t>Figura 92</w:t>
      </w:r>
      <w:bookmarkEnd w:id="553"/>
    </w:p>
    <w:p w14:paraId="0006FF8D" w14:textId="77777777" w:rsidR="008F15F1" w:rsidRPr="005E3D50" w:rsidRDefault="008F15F1" w:rsidP="008F15F1">
      <w:pPr>
        <w:rPr>
          <w:rFonts w:ascii="Aptos" w:eastAsia="Times New Roman" w:hAnsi="Aptos" w:cs="Times New Roman"/>
          <w:b/>
          <w:bCs/>
          <w:color w:val="000000"/>
          <w:kern w:val="0"/>
          <w:sz w:val="20"/>
          <w:szCs w:val="20"/>
          <w:lang w:val="es-ES"/>
          <w14:ligatures w14:val="none"/>
        </w:rPr>
      </w:pPr>
      <w:r w:rsidRPr="005E3D50">
        <w:rPr>
          <w:rFonts w:ascii="Aptos" w:hAnsi="Aptos"/>
          <w:b/>
          <w:color w:val="000000"/>
          <w:sz w:val="20"/>
          <w:lang w:val="es-ES"/>
        </w:rPr>
        <w:t>Indicador binario 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p w14:paraId="27867E5E" w14:textId="77777777" w:rsidR="008F15F1" w:rsidRPr="005E3D50" w:rsidRDefault="008F15F1" w:rsidP="008F15F1">
      <w:pPr>
        <w:rPr>
          <w:lang w:val="es-ES"/>
        </w:rPr>
      </w:pPr>
      <w:r w:rsidRPr="005E3D50">
        <w:rPr>
          <w:noProof/>
          <w:lang w:val="en-US"/>
        </w:rPr>
        <w:drawing>
          <wp:inline distT="0" distB="0" distL="0" distR="0" wp14:anchorId="2CF06646" wp14:editId="1D9062A6">
            <wp:extent cx="5943600" cy="2264410"/>
            <wp:effectExtent l="0" t="0" r="0" b="0"/>
            <wp:docPr id="993882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2940" name="Picture 993882940"/>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6DAAB430" w14:textId="77777777" w:rsidR="008F15F1" w:rsidRPr="005E3D50" w:rsidRDefault="008F15F1" w:rsidP="008F15F1">
      <w:pPr>
        <w:rPr>
          <w:lang w:val="es-ES" w:eastAsia="ja-JP"/>
        </w:rPr>
      </w:pPr>
    </w:p>
    <w:p w14:paraId="48CF8D53"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w:t>
      </w:r>
      <w:r w:rsidRPr="005E3D50">
        <w:rPr>
          <w:rFonts w:ascii="Aptos" w:eastAsiaTheme="minorEastAsia" w:hAnsi="Aptos"/>
          <w:iCs/>
          <w:color w:val="0E2841" w:themeColor="text2"/>
          <w:kern w:val="0"/>
          <w:sz w:val="18"/>
          <w:szCs w:val="18"/>
          <w:vertAlign w:val="superscript"/>
          <w:lang w:val="es-ES" w:eastAsia="ja-JP"/>
          <w14:ligatures w14:val="none"/>
        </w:rPr>
        <w:t>a</w:t>
      </w:r>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5D6D749B" w14:textId="77777777" w:rsidR="008F15F1" w:rsidRPr="00434492" w:rsidRDefault="008F15F1" w:rsidP="008F15F1">
      <w:pPr>
        <w:rPr>
          <w:sz w:val="18"/>
          <w:szCs w:val="18"/>
          <w:lang w:val="es-ES"/>
        </w:rPr>
      </w:pPr>
      <w:r w:rsidRPr="00752455">
        <w:rPr>
          <w:sz w:val="20"/>
          <w:szCs w:val="20"/>
          <w:vertAlign w:val="superscript"/>
          <w:lang w:val="es-ES"/>
        </w:rPr>
        <w:t>a</w:t>
      </w:r>
      <w:r w:rsidRPr="00434492">
        <w:rPr>
          <w:sz w:val="18"/>
          <w:szCs w:val="18"/>
          <w:vertAlign w:val="superscript"/>
          <w:lang w:val="es-ES"/>
        </w:rPr>
        <w:t xml:space="preserve"> </w:t>
      </w:r>
      <w:r w:rsidRPr="00434492">
        <w:rPr>
          <w:sz w:val="18"/>
          <w:szCs w:val="18"/>
          <w:lang w:val="es-ES"/>
        </w:rPr>
        <w:t xml:space="preserve">La metodología empleada para calcular los niveles de puntuación para cada indicador binario, así como las preguntas incluidas para cada indicador, figuran en el documento </w:t>
      </w:r>
      <w:hyperlink r:id="rId214" w:history="1">
        <w:r w:rsidRPr="00434492">
          <w:rPr>
            <w:color w:val="000000" w:themeColor="text1"/>
            <w:sz w:val="18"/>
            <w:szCs w:val="18"/>
            <w:lang w:val="es-ES"/>
          </w:rPr>
          <w:t>CBD/COP/16/INF/3/Rev.1</w:t>
        </w:r>
      </w:hyperlink>
      <w:r w:rsidRPr="00434492">
        <w:rPr>
          <w:sz w:val="18"/>
          <w:szCs w:val="18"/>
          <w:lang w:val="es-ES"/>
        </w:rPr>
        <w:t>.</w:t>
      </w:r>
    </w:p>
    <w:tbl>
      <w:tblPr>
        <w:tblStyle w:val="TableGrid"/>
        <w:tblW w:w="9401" w:type="dxa"/>
        <w:tblLook w:val="04A0" w:firstRow="1" w:lastRow="0" w:firstColumn="1" w:lastColumn="0" w:noHBand="0" w:noVBand="1"/>
      </w:tblPr>
      <w:tblGrid>
        <w:gridCol w:w="4783"/>
        <w:gridCol w:w="4618"/>
      </w:tblGrid>
      <w:tr w:rsidR="00A160D9" w:rsidRPr="00A160D9" w14:paraId="53DB12CF" w14:textId="77777777" w:rsidTr="00A160D9">
        <w:tc>
          <w:tcPr>
            <w:tcW w:w="9401" w:type="dxa"/>
            <w:gridSpan w:val="2"/>
          </w:tcPr>
          <w:p w14:paraId="1A9EA98C" w14:textId="645D1154" w:rsidR="00A160D9" w:rsidRPr="00A160D9" w:rsidRDefault="00A160D9" w:rsidP="00B93410">
            <w:pPr>
              <w:rPr>
                <w:rFonts w:ascii="Aptos" w:hAnsi="Aptos"/>
                <w:bCs/>
                <w:sz w:val="18"/>
                <w:szCs w:val="18"/>
                <w:lang w:val="es-ES"/>
              </w:rPr>
            </w:pPr>
            <w:r w:rsidRPr="00A160D9">
              <w:rPr>
                <w:rFonts w:ascii="Aptos" w:hAnsi="Aptos"/>
                <w:bCs/>
                <w:sz w:val="18"/>
                <w:szCs w:val="18"/>
                <w:lang w:val="es-ES"/>
              </w:rPr>
              <w:t>Figura 92</w:t>
            </w:r>
          </w:p>
        </w:tc>
      </w:tr>
      <w:tr w:rsidR="00A160D9" w:rsidRPr="00A160D9" w14:paraId="28EE0B90" w14:textId="77777777" w:rsidTr="00A160D9">
        <w:tc>
          <w:tcPr>
            <w:tcW w:w="4783" w:type="dxa"/>
          </w:tcPr>
          <w:p w14:paraId="7DA2FE19" w14:textId="77777777" w:rsidR="00A160D9" w:rsidRPr="00A160D9" w:rsidRDefault="00A160D9" w:rsidP="00B93410">
            <w:pPr>
              <w:rPr>
                <w:rFonts w:ascii="Aptos" w:hAnsi="Aptos"/>
                <w:bCs/>
                <w:sz w:val="18"/>
                <w:szCs w:val="18"/>
                <w:lang w:val="es-ES"/>
              </w:rPr>
            </w:pPr>
            <w:r w:rsidRPr="00A160D9">
              <w:rPr>
                <w:rFonts w:ascii="Aptos" w:hAnsi="Aptos"/>
                <w:bCs/>
                <w:sz w:val="18"/>
                <w:szCs w:val="18"/>
                <w:lang w:val="es-ES"/>
              </w:rPr>
              <w:t xml:space="preserve">English </w:t>
            </w:r>
          </w:p>
        </w:tc>
        <w:tc>
          <w:tcPr>
            <w:tcW w:w="4617" w:type="dxa"/>
          </w:tcPr>
          <w:p w14:paraId="131BB4A6" w14:textId="48DBE292" w:rsidR="00A160D9" w:rsidRPr="00A160D9" w:rsidRDefault="00A160D9" w:rsidP="00B93410">
            <w:pPr>
              <w:rPr>
                <w:rFonts w:ascii="Aptos" w:hAnsi="Aptos"/>
                <w:bCs/>
                <w:sz w:val="18"/>
                <w:szCs w:val="18"/>
                <w:lang w:val="es-ES"/>
              </w:rPr>
            </w:pPr>
            <w:r w:rsidRPr="00A160D9">
              <w:rPr>
                <w:rFonts w:ascii="Aptos" w:hAnsi="Aptos"/>
                <w:bCs/>
                <w:sz w:val="18"/>
                <w:szCs w:val="18"/>
                <w:lang w:val="es-ES"/>
              </w:rPr>
              <w:t>Español</w:t>
            </w:r>
          </w:p>
        </w:tc>
      </w:tr>
      <w:tr w:rsidR="00A160D9" w:rsidRPr="00A160D9" w14:paraId="20EB550E" w14:textId="77777777" w:rsidTr="00A160D9">
        <w:tc>
          <w:tcPr>
            <w:tcW w:w="4783" w:type="dxa"/>
          </w:tcPr>
          <w:p w14:paraId="711953D4" w14:textId="77777777" w:rsidR="00A160D9" w:rsidRPr="00A160D9" w:rsidRDefault="00A160D9" w:rsidP="00B93410">
            <w:pPr>
              <w:rPr>
                <w:rFonts w:ascii="Aptos" w:hAnsi="Aptos"/>
                <w:sz w:val="18"/>
                <w:szCs w:val="18"/>
                <w:lang w:val="es-ES"/>
              </w:rPr>
            </w:pPr>
            <w:proofErr w:type="spellStart"/>
            <w:r w:rsidRPr="00A160D9">
              <w:rPr>
                <w:rFonts w:ascii="Aptos" w:hAnsi="Aptos"/>
                <w:sz w:val="18"/>
                <w:szCs w:val="18"/>
                <w:lang w:val="es-ES"/>
              </w:rPr>
              <w:t>Answers</w:t>
            </w:r>
            <w:proofErr w:type="spellEnd"/>
            <w:r w:rsidRPr="00A160D9">
              <w:rPr>
                <w:rFonts w:ascii="Aptos" w:hAnsi="Aptos"/>
                <w:sz w:val="18"/>
                <w:szCs w:val="18"/>
                <w:lang w:val="es-ES"/>
              </w:rPr>
              <w:t xml:space="preserve"> (</w:t>
            </w:r>
            <w:proofErr w:type="spellStart"/>
            <w:r w:rsidRPr="00A160D9">
              <w:rPr>
                <w:rFonts w:ascii="Aptos" w:hAnsi="Aptos"/>
                <w:sz w:val="18"/>
                <w:szCs w:val="18"/>
                <w:lang w:val="es-ES"/>
              </w:rPr>
              <w:t>percentage</w:t>
            </w:r>
            <w:proofErr w:type="spellEnd"/>
            <w:r w:rsidRPr="00A160D9">
              <w:rPr>
                <w:rFonts w:ascii="Aptos" w:hAnsi="Aptos"/>
                <w:sz w:val="18"/>
                <w:szCs w:val="18"/>
                <w:lang w:val="es-ES"/>
              </w:rPr>
              <w:t>)</w:t>
            </w:r>
          </w:p>
        </w:tc>
        <w:tc>
          <w:tcPr>
            <w:tcW w:w="4617" w:type="dxa"/>
          </w:tcPr>
          <w:p w14:paraId="6DD1B3CB"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Respuestas (porcentaje)</w:t>
            </w:r>
          </w:p>
        </w:tc>
      </w:tr>
      <w:tr w:rsidR="00A160D9" w:rsidRPr="00A160D9" w14:paraId="0699968B" w14:textId="77777777" w:rsidTr="00A160D9">
        <w:tc>
          <w:tcPr>
            <w:tcW w:w="4783" w:type="dxa"/>
          </w:tcPr>
          <w:p w14:paraId="7F2AB98C"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Score Level</w:t>
            </w:r>
          </w:p>
        </w:tc>
        <w:tc>
          <w:tcPr>
            <w:tcW w:w="4617" w:type="dxa"/>
          </w:tcPr>
          <w:p w14:paraId="3DBC947F"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Nivel de puntuación</w:t>
            </w:r>
          </w:p>
        </w:tc>
      </w:tr>
      <w:tr w:rsidR="00A160D9" w:rsidRPr="00A160D9" w14:paraId="75BE6B28" w14:textId="77777777" w:rsidTr="00A160D9">
        <w:tc>
          <w:tcPr>
            <w:tcW w:w="4783" w:type="dxa"/>
          </w:tcPr>
          <w:p w14:paraId="4D311422"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 xml:space="preserve">Party </w:t>
            </w:r>
            <w:proofErr w:type="spellStart"/>
            <w:r w:rsidRPr="00A160D9">
              <w:rPr>
                <w:rFonts w:ascii="Aptos" w:hAnsi="Aptos"/>
                <w:sz w:val="18"/>
                <w:szCs w:val="18"/>
                <w:lang w:val="es-ES"/>
              </w:rPr>
              <w:t>count</w:t>
            </w:r>
            <w:proofErr w:type="spellEnd"/>
            <w:r w:rsidRPr="00A160D9">
              <w:rPr>
                <w:rFonts w:ascii="Aptos" w:hAnsi="Aptos"/>
                <w:sz w:val="18"/>
                <w:szCs w:val="18"/>
                <w:lang w:val="es-ES"/>
              </w:rPr>
              <w:t>: 127</w:t>
            </w:r>
          </w:p>
        </w:tc>
        <w:tc>
          <w:tcPr>
            <w:tcW w:w="4617" w:type="dxa"/>
          </w:tcPr>
          <w:p w14:paraId="6C6B919F"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Número de Partes: 127</w:t>
            </w:r>
          </w:p>
        </w:tc>
      </w:tr>
      <w:tr w:rsidR="00A160D9" w:rsidRPr="00A160D9" w14:paraId="4C71ACF3" w14:textId="77777777" w:rsidTr="00A160D9">
        <w:tc>
          <w:tcPr>
            <w:tcW w:w="4783" w:type="dxa"/>
          </w:tcPr>
          <w:p w14:paraId="2521DB0A" w14:textId="77777777" w:rsidR="00A160D9" w:rsidRPr="00A160D9" w:rsidRDefault="00A160D9" w:rsidP="00B93410">
            <w:pPr>
              <w:rPr>
                <w:rFonts w:ascii="Aptos" w:hAnsi="Aptos"/>
                <w:sz w:val="18"/>
                <w:szCs w:val="18"/>
                <w:lang w:val="es-ES"/>
              </w:rPr>
            </w:pPr>
            <w:proofErr w:type="spellStart"/>
            <w:r w:rsidRPr="00A160D9">
              <w:rPr>
                <w:rFonts w:ascii="Aptos" w:hAnsi="Aptos"/>
                <w:sz w:val="18"/>
                <w:szCs w:val="18"/>
                <w:lang w:val="es-ES"/>
              </w:rPr>
              <w:t>Region</w:t>
            </w:r>
            <w:proofErr w:type="spellEnd"/>
          </w:p>
        </w:tc>
        <w:tc>
          <w:tcPr>
            <w:tcW w:w="4617" w:type="dxa"/>
          </w:tcPr>
          <w:p w14:paraId="6693BAC9"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Región</w:t>
            </w:r>
          </w:p>
        </w:tc>
      </w:tr>
      <w:tr w:rsidR="00A160D9" w:rsidRPr="00A160D9" w14:paraId="3BF6CD77" w14:textId="77777777" w:rsidTr="00A160D9">
        <w:tc>
          <w:tcPr>
            <w:tcW w:w="4783" w:type="dxa"/>
          </w:tcPr>
          <w:p w14:paraId="4004D0C0"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African States</w:t>
            </w:r>
          </w:p>
        </w:tc>
        <w:tc>
          <w:tcPr>
            <w:tcW w:w="4617" w:type="dxa"/>
          </w:tcPr>
          <w:p w14:paraId="19E9DE03"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Estados de África</w:t>
            </w:r>
          </w:p>
        </w:tc>
      </w:tr>
      <w:tr w:rsidR="00A160D9" w:rsidRPr="00A160D9" w14:paraId="748BCF60" w14:textId="77777777" w:rsidTr="00A160D9">
        <w:tc>
          <w:tcPr>
            <w:tcW w:w="4783" w:type="dxa"/>
          </w:tcPr>
          <w:p w14:paraId="063526CD"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Asia-Pacific States</w:t>
            </w:r>
          </w:p>
        </w:tc>
        <w:tc>
          <w:tcPr>
            <w:tcW w:w="4617" w:type="dxa"/>
          </w:tcPr>
          <w:p w14:paraId="2570D443"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Estados de Asia y el Pacífico</w:t>
            </w:r>
          </w:p>
        </w:tc>
      </w:tr>
      <w:tr w:rsidR="00A160D9" w:rsidRPr="00A160D9" w14:paraId="4632188A" w14:textId="77777777" w:rsidTr="00A160D9">
        <w:tc>
          <w:tcPr>
            <w:tcW w:w="4783" w:type="dxa"/>
          </w:tcPr>
          <w:p w14:paraId="329F8931" w14:textId="77777777" w:rsidR="00A160D9" w:rsidRPr="00A160D9" w:rsidRDefault="00A160D9" w:rsidP="00B93410">
            <w:pPr>
              <w:rPr>
                <w:rFonts w:ascii="Aptos" w:hAnsi="Aptos"/>
                <w:sz w:val="18"/>
                <w:szCs w:val="18"/>
                <w:lang w:val="en-US"/>
              </w:rPr>
            </w:pPr>
            <w:r w:rsidRPr="00A160D9">
              <w:rPr>
                <w:rFonts w:ascii="Aptos" w:hAnsi="Aptos"/>
                <w:sz w:val="18"/>
                <w:szCs w:val="18"/>
                <w:lang w:val="en-US"/>
              </w:rPr>
              <w:t>Latin American and Caribbean States</w:t>
            </w:r>
          </w:p>
        </w:tc>
        <w:tc>
          <w:tcPr>
            <w:tcW w:w="4617" w:type="dxa"/>
          </w:tcPr>
          <w:p w14:paraId="64D478FB"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Estados de América Latina y el Caribe</w:t>
            </w:r>
          </w:p>
        </w:tc>
      </w:tr>
      <w:tr w:rsidR="00A160D9" w:rsidRPr="00A160D9" w14:paraId="47C15C56" w14:textId="77777777" w:rsidTr="00A160D9">
        <w:tc>
          <w:tcPr>
            <w:tcW w:w="4783" w:type="dxa"/>
          </w:tcPr>
          <w:p w14:paraId="0AE43A6E"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 xml:space="preserve"> Eastern European States</w:t>
            </w:r>
          </w:p>
        </w:tc>
        <w:tc>
          <w:tcPr>
            <w:tcW w:w="4617" w:type="dxa"/>
          </w:tcPr>
          <w:p w14:paraId="469B1D57"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Estados de Europa Oriental</w:t>
            </w:r>
          </w:p>
        </w:tc>
      </w:tr>
      <w:tr w:rsidR="00A160D9" w:rsidRPr="00A160D9" w14:paraId="6167567E" w14:textId="77777777" w:rsidTr="00A160D9">
        <w:tc>
          <w:tcPr>
            <w:tcW w:w="4783" w:type="dxa"/>
          </w:tcPr>
          <w:p w14:paraId="60001EE4" w14:textId="77777777" w:rsidR="00A160D9" w:rsidRPr="00A160D9" w:rsidRDefault="00A160D9" w:rsidP="00B93410">
            <w:pPr>
              <w:rPr>
                <w:rFonts w:ascii="Aptos" w:hAnsi="Aptos"/>
                <w:sz w:val="18"/>
                <w:szCs w:val="18"/>
                <w:lang w:val="en-US"/>
              </w:rPr>
            </w:pPr>
            <w:r w:rsidRPr="00A160D9">
              <w:rPr>
                <w:rFonts w:ascii="Aptos" w:hAnsi="Aptos"/>
                <w:sz w:val="18"/>
                <w:szCs w:val="18"/>
                <w:lang w:val="en-US"/>
              </w:rPr>
              <w:t>Western European and other States</w:t>
            </w:r>
          </w:p>
        </w:tc>
        <w:tc>
          <w:tcPr>
            <w:tcW w:w="4617" w:type="dxa"/>
          </w:tcPr>
          <w:p w14:paraId="14E64810" w14:textId="77777777" w:rsidR="00A160D9" w:rsidRPr="00A160D9" w:rsidRDefault="00A160D9" w:rsidP="00B93410">
            <w:pPr>
              <w:rPr>
                <w:rFonts w:ascii="Aptos" w:hAnsi="Aptos"/>
                <w:sz w:val="18"/>
                <w:szCs w:val="18"/>
                <w:lang w:val="es-ES"/>
              </w:rPr>
            </w:pPr>
            <w:r w:rsidRPr="00A160D9">
              <w:rPr>
                <w:rFonts w:ascii="Aptos" w:hAnsi="Aptos"/>
                <w:sz w:val="18"/>
                <w:szCs w:val="18"/>
                <w:lang w:val="es-ES"/>
              </w:rPr>
              <w:t>Estados de Europa Occidental y otros Estados</w:t>
            </w:r>
          </w:p>
        </w:tc>
      </w:tr>
    </w:tbl>
    <w:p w14:paraId="4B1F34C7" w14:textId="77777777" w:rsidR="008F15F1" w:rsidRPr="005E3D50" w:rsidRDefault="008F15F1" w:rsidP="008F15F1">
      <w:pPr>
        <w:rPr>
          <w:lang w:val="es-ES" w:eastAsia="ja-JP"/>
        </w:rPr>
      </w:pPr>
    </w:p>
    <w:p w14:paraId="0738814D" w14:textId="77777777" w:rsidR="008F15F1" w:rsidRPr="005E3D50" w:rsidRDefault="008F15F1" w:rsidP="008F15F1">
      <w:pPr>
        <w:spacing w:after="200" w:line="240" w:lineRule="auto"/>
        <w:rPr>
          <w:rFonts w:eastAsiaTheme="minorEastAsia"/>
          <w:b/>
          <w:bCs/>
          <w:color w:val="0E2841" w:themeColor="text2"/>
          <w:kern w:val="0"/>
          <w:sz w:val="20"/>
          <w:szCs w:val="20"/>
          <w:lang w:val="es-ES" w:eastAsia="ja-JP"/>
          <w14:ligatures w14:val="none"/>
        </w:rPr>
      </w:pPr>
      <w:r w:rsidRPr="005E3D50">
        <w:rPr>
          <w:rFonts w:ascii="Aptos" w:eastAsiaTheme="minorEastAsia" w:hAnsi="Aptos"/>
          <w:iCs/>
          <w:color w:val="0E2841" w:themeColor="text2"/>
          <w:kern w:val="0"/>
          <w:sz w:val="20"/>
          <w:szCs w:val="18"/>
          <w:lang w:val="es-ES" w:eastAsia="ja-JP"/>
          <w14:ligatures w14:val="none"/>
        </w:rPr>
        <w:t>Figura 93</w:t>
      </w:r>
    </w:p>
    <w:p w14:paraId="1DC513A2" w14:textId="77777777" w:rsidR="008F15F1" w:rsidRPr="005E3D50" w:rsidRDefault="008F15F1" w:rsidP="008F15F1">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Porcentaje de indicadores armonizados con la meta 23 del Marco que sugieren tendencias de mejora, estables y negativas, respectivamente </w:t>
      </w:r>
    </w:p>
    <w:p w14:paraId="2C8EEB38" w14:textId="77777777" w:rsidR="008F15F1" w:rsidRPr="005E3D50" w:rsidRDefault="008F15F1" w:rsidP="008F15F1">
      <w:pPr>
        <w:rPr>
          <w:lang w:val="es-ES" w:eastAsia="ja-JP"/>
        </w:rPr>
      </w:pPr>
    </w:p>
    <w:p w14:paraId="01E2941F" w14:textId="77777777" w:rsidR="008F15F1" w:rsidRPr="005E3D50" w:rsidRDefault="008F15F1" w:rsidP="008F15F1">
      <w:pPr>
        <w:rPr>
          <w:rFonts w:ascii="Aptos" w:hAnsi="Aptos"/>
          <w:i/>
          <w:lang w:val="es-ES"/>
        </w:rPr>
      </w:pPr>
      <w:r w:rsidRPr="005E3D50">
        <w:rPr>
          <w:rFonts w:ascii="Aptos" w:hAnsi="Aptos"/>
          <w:i/>
          <w:lang w:val="es-ES"/>
        </w:rPr>
        <w:t xml:space="preserve"> </w:t>
      </w:r>
      <w:r w:rsidRPr="005E3D50">
        <w:rPr>
          <w:noProof/>
          <w:lang w:val="en-US"/>
        </w:rPr>
        <w:drawing>
          <wp:inline distT="0" distB="0" distL="0" distR="0" wp14:anchorId="47253E44" wp14:editId="7AD286E0">
            <wp:extent cx="5731510" cy="2456180"/>
            <wp:effectExtent l="0" t="0" r="0" b="0"/>
            <wp:docPr id="6126364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36496" name="Picture 612636496"/>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6C591564" w14:textId="77777777" w:rsidR="008F15F1" w:rsidRDefault="008F15F1" w:rsidP="008F15F1">
      <w:pPr>
        <w:spacing w:after="200" w:line="240" w:lineRule="auto"/>
        <w:rPr>
          <w:rFonts w:ascii="Aptos" w:eastAsiaTheme="minorEastAsia" w:hAnsi="Aptos"/>
          <w:iCs/>
          <w:color w:val="0E2841" w:themeColor="text2"/>
          <w:kern w:val="0"/>
          <w:sz w:val="16"/>
          <w:szCs w:val="18"/>
          <w:lang w:val="es-ES" w:eastAsia="ja-JP"/>
          <w14:ligatures w14:val="none"/>
        </w:rPr>
      </w:pPr>
      <w:r w:rsidRPr="005E3D50">
        <w:rPr>
          <w:rFonts w:eastAsiaTheme="minorEastAsia"/>
          <w:i/>
          <w:iCs/>
          <w:color w:val="0E2841" w:themeColor="text2"/>
          <w:kern w:val="0"/>
          <w:sz w:val="16"/>
          <w:szCs w:val="18"/>
          <w:lang w:val="es-ES" w:eastAsia="ja-JP"/>
          <w14:ligatures w14:val="none"/>
        </w:rPr>
        <w:t>Nota:</w:t>
      </w:r>
      <w:r w:rsidRPr="005E3D50">
        <w:rPr>
          <w:rFonts w:eastAsiaTheme="minorEastAsia"/>
          <w:iCs/>
          <w:color w:val="0E2841" w:themeColor="text2"/>
          <w:kern w:val="0"/>
          <w:sz w:val="16"/>
          <w:szCs w:val="18"/>
          <w:lang w:val="es-ES" w:eastAsia="ja-JP"/>
          <w14:ligatures w14:val="none"/>
        </w:rPr>
        <w:t xml:space="preserve"> Las proporciones están ponderadas por Parte. Las tendencias incluyen datos para 2 indicadores de componentes, 3 indicadores complementarios y 29 indicadores nacionales de 19 Partes. </w:t>
      </w:r>
      <w:r w:rsidRPr="005E3D50">
        <w:rPr>
          <w:rFonts w:ascii="Aptos" w:eastAsiaTheme="minorEastAsia" w:hAnsi="Aptos"/>
          <w:iCs/>
          <w:color w:val="0E2841" w:themeColor="text2"/>
          <w:kern w:val="0"/>
          <w:sz w:val="16"/>
          <w:szCs w:val="18"/>
          <w:lang w:val="es-ES" w:eastAsia="ja-JP"/>
          <w14:ligatures w14:val="none"/>
        </w:rPr>
        <w:t>El gráfico circular muestra la distribución de las Partes que presentaron indicadores para la meta 23,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266" w:type="dxa"/>
        <w:tblLook w:val="04A0" w:firstRow="1" w:lastRow="0" w:firstColumn="1" w:lastColumn="0" w:noHBand="0" w:noVBand="1"/>
      </w:tblPr>
      <w:tblGrid>
        <w:gridCol w:w="4585"/>
        <w:gridCol w:w="4681"/>
      </w:tblGrid>
      <w:tr w:rsidR="006760D3" w:rsidRPr="006760D3" w14:paraId="3316BA39" w14:textId="77777777" w:rsidTr="006760D3">
        <w:tc>
          <w:tcPr>
            <w:tcW w:w="9266" w:type="dxa"/>
            <w:gridSpan w:val="2"/>
          </w:tcPr>
          <w:p w14:paraId="6F693B59" w14:textId="348AB08F" w:rsidR="006760D3" w:rsidRPr="006760D3" w:rsidRDefault="006760D3" w:rsidP="00B93410">
            <w:pPr>
              <w:rPr>
                <w:rFonts w:ascii="Aptos" w:hAnsi="Aptos"/>
                <w:bCs/>
                <w:sz w:val="18"/>
                <w:szCs w:val="18"/>
                <w:lang w:val="es-ES"/>
              </w:rPr>
            </w:pPr>
            <w:r w:rsidRPr="006760D3">
              <w:rPr>
                <w:rFonts w:ascii="Aptos" w:hAnsi="Aptos"/>
                <w:bCs/>
                <w:sz w:val="18"/>
                <w:szCs w:val="18"/>
                <w:lang w:val="es-ES"/>
              </w:rPr>
              <w:t>Figura 93</w:t>
            </w:r>
          </w:p>
        </w:tc>
      </w:tr>
      <w:tr w:rsidR="006760D3" w:rsidRPr="006760D3" w14:paraId="41B83D83" w14:textId="77777777" w:rsidTr="006760D3">
        <w:tc>
          <w:tcPr>
            <w:tcW w:w="4585" w:type="dxa"/>
          </w:tcPr>
          <w:p w14:paraId="72457AA3" w14:textId="77777777" w:rsidR="006760D3" w:rsidRPr="006760D3" w:rsidRDefault="006760D3" w:rsidP="00B93410">
            <w:pPr>
              <w:rPr>
                <w:rFonts w:ascii="Aptos" w:hAnsi="Aptos"/>
                <w:bCs/>
                <w:sz w:val="18"/>
                <w:szCs w:val="18"/>
                <w:lang w:val="es-ES"/>
              </w:rPr>
            </w:pPr>
            <w:r w:rsidRPr="006760D3">
              <w:rPr>
                <w:rFonts w:ascii="Aptos" w:hAnsi="Aptos"/>
                <w:bCs/>
                <w:sz w:val="18"/>
                <w:szCs w:val="18"/>
                <w:lang w:val="es-ES"/>
              </w:rPr>
              <w:lastRenderedPageBreak/>
              <w:t xml:space="preserve">English </w:t>
            </w:r>
          </w:p>
        </w:tc>
        <w:tc>
          <w:tcPr>
            <w:tcW w:w="4681" w:type="dxa"/>
          </w:tcPr>
          <w:p w14:paraId="49F11B7C" w14:textId="74BE6A6B" w:rsidR="006760D3" w:rsidRPr="006760D3" w:rsidRDefault="006760D3" w:rsidP="00B93410">
            <w:pPr>
              <w:rPr>
                <w:rFonts w:ascii="Aptos" w:hAnsi="Aptos"/>
                <w:bCs/>
                <w:sz w:val="18"/>
                <w:szCs w:val="18"/>
                <w:lang w:val="es-ES"/>
              </w:rPr>
            </w:pPr>
            <w:r w:rsidRPr="006760D3">
              <w:rPr>
                <w:rFonts w:ascii="Aptos" w:hAnsi="Aptos"/>
                <w:bCs/>
                <w:sz w:val="18"/>
                <w:szCs w:val="18"/>
                <w:lang w:val="es-ES"/>
              </w:rPr>
              <w:t>Español</w:t>
            </w:r>
          </w:p>
        </w:tc>
      </w:tr>
      <w:tr w:rsidR="006760D3" w:rsidRPr="006760D3" w14:paraId="18713B18" w14:textId="77777777" w:rsidTr="006760D3">
        <w:tc>
          <w:tcPr>
            <w:tcW w:w="4585" w:type="dxa"/>
          </w:tcPr>
          <w:p w14:paraId="3E3BBB46" w14:textId="77777777" w:rsidR="006760D3" w:rsidRPr="006760D3" w:rsidRDefault="006760D3" w:rsidP="00B93410">
            <w:pPr>
              <w:rPr>
                <w:rFonts w:ascii="Aptos" w:hAnsi="Aptos"/>
                <w:sz w:val="18"/>
                <w:szCs w:val="18"/>
                <w:lang w:val="es-ES"/>
              </w:rPr>
            </w:pPr>
            <w:proofErr w:type="spellStart"/>
            <w:r w:rsidRPr="006760D3">
              <w:rPr>
                <w:rFonts w:ascii="Aptos" w:hAnsi="Aptos"/>
                <w:sz w:val="18"/>
                <w:szCs w:val="18"/>
                <w:lang w:val="es-ES"/>
              </w:rPr>
              <w:t>Proportion</w:t>
            </w:r>
            <w:proofErr w:type="spellEnd"/>
          </w:p>
        </w:tc>
        <w:tc>
          <w:tcPr>
            <w:tcW w:w="4681" w:type="dxa"/>
          </w:tcPr>
          <w:p w14:paraId="2289B854"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Proporción</w:t>
            </w:r>
          </w:p>
        </w:tc>
      </w:tr>
      <w:tr w:rsidR="006760D3" w:rsidRPr="006760D3" w14:paraId="07C57644" w14:textId="77777777" w:rsidTr="006760D3">
        <w:tc>
          <w:tcPr>
            <w:tcW w:w="4585" w:type="dxa"/>
          </w:tcPr>
          <w:p w14:paraId="4AF4D39F"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 xml:space="preserve">Current </w:t>
            </w:r>
            <w:proofErr w:type="gramStart"/>
            <w:r w:rsidRPr="006760D3">
              <w:rPr>
                <w:rFonts w:ascii="Aptos" w:hAnsi="Aptos"/>
                <w:sz w:val="18"/>
                <w:szCs w:val="18"/>
                <w:lang w:val="es-ES"/>
              </w:rPr>
              <w:t>Status</w:t>
            </w:r>
            <w:proofErr w:type="gramEnd"/>
          </w:p>
        </w:tc>
        <w:tc>
          <w:tcPr>
            <w:tcW w:w="4681" w:type="dxa"/>
          </w:tcPr>
          <w:p w14:paraId="1BA0ED8A"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 actual</w:t>
            </w:r>
          </w:p>
        </w:tc>
      </w:tr>
      <w:tr w:rsidR="006760D3" w:rsidRPr="006760D3" w14:paraId="366C32AA" w14:textId="77777777" w:rsidTr="006760D3">
        <w:tc>
          <w:tcPr>
            <w:tcW w:w="4585" w:type="dxa"/>
          </w:tcPr>
          <w:p w14:paraId="3D56CBD8" w14:textId="77777777" w:rsidR="006760D3" w:rsidRPr="006760D3" w:rsidRDefault="006760D3" w:rsidP="00B93410">
            <w:pPr>
              <w:rPr>
                <w:rFonts w:ascii="Aptos" w:hAnsi="Aptos"/>
                <w:sz w:val="18"/>
                <w:szCs w:val="18"/>
                <w:lang w:val="es-ES"/>
              </w:rPr>
            </w:pPr>
            <w:proofErr w:type="spellStart"/>
            <w:r w:rsidRPr="006760D3">
              <w:rPr>
                <w:rFonts w:ascii="Aptos" w:hAnsi="Aptos"/>
                <w:sz w:val="18"/>
                <w:szCs w:val="18"/>
                <w:lang w:val="es-ES"/>
              </w:rPr>
              <w:t>improving</w:t>
            </w:r>
            <w:proofErr w:type="spellEnd"/>
          </w:p>
        </w:tc>
        <w:tc>
          <w:tcPr>
            <w:tcW w:w="4681" w:type="dxa"/>
          </w:tcPr>
          <w:p w14:paraId="02133887"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mejorando</w:t>
            </w:r>
          </w:p>
        </w:tc>
      </w:tr>
      <w:tr w:rsidR="006760D3" w:rsidRPr="006760D3" w14:paraId="4CAAE81F" w14:textId="77777777" w:rsidTr="006760D3">
        <w:tc>
          <w:tcPr>
            <w:tcW w:w="4585" w:type="dxa"/>
          </w:tcPr>
          <w:p w14:paraId="6FE07042" w14:textId="77777777" w:rsidR="006760D3" w:rsidRPr="006760D3" w:rsidRDefault="006760D3" w:rsidP="00B93410">
            <w:pPr>
              <w:rPr>
                <w:rFonts w:ascii="Aptos" w:hAnsi="Aptos"/>
                <w:sz w:val="18"/>
                <w:szCs w:val="18"/>
                <w:lang w:val="es-ES"/>
              </w:rPr>
            </w:pPr>
            <w:proofErr w:type="spellStart"/>
            <w:r w:rsidRPr="006760D3">
              <w:rPr>
                <w:rFonts w:ascii="Aptos" w:hAnsi="Aptos"/>
                <w:sz w:val="18"/>
                <w:szCs w:val="18"/>
                <w:lang w:val="es-ES"/>
              </w:rPr>
              <w:t>stable</w:t>
            </w:r>
            <w:proofErr w:type="spellEnd"/>
          </w:p>
        </w:tc>
        <w:tc>
          <w:tcPr>
            <w:tcW w:w="4681" w:type="dxa"/>
          </w:tcPr>
          <w:p w14:paraId="22846888"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estable</w:t>
            </w:r>
          </w:p>
        </w:tc>
      </w:tr>
      <w:tr w:rsidR="006760D3" w:rsidRPr="006760D3" w14:paraId="6462A5AE" w14:textId="77777777" w:rsidTr="006760D3">
        <w:tc>
          <w:tcPr>
            <w:tcW w:w="4585" w:type="dxa"/>
          </w:tcPr>
          <w:p w14:paraId="5397C860" w14:textId="77777777" w:rsidR="006760D3" w:rsidRPr="006760D3" w:rsidRDefault="006760D3" w:rsidP="00B93410">
            <w:pPr>
              <w:rPr>
                <w:rFonts w:ascii="Aptos" w:hAnsi="Aptos"/>
                <w:sz w:val="18"/>
                <w:szCs w:val="18"/>
                <w:lang w:val="es-ES"/>
              </w:rPr>
            </w:pPr>
            <w:proofErr w:type="spellStart"/>
            <w:r w:rsidRPr="006760D3">
              <w:rPr>
                <w:rFonts w:ascii="Aptos" w:hAnsi="Aptos"/>
                <w:sz w:val="18"/>
                <w:szCs w:val="18"/>
                <w:lang w:val="es-ES"/>
              </w:rPr>
              <w:t>moving</w:t>
            </w:r>
            <w:proofErr w:type="spellEnd"/>
            <w:r w:rsidRPr="006760D3">
              <w:rPr>
                <w:rFonts w:ascii="Aptos" w:hAnsi="Aptos"/>
                <w:sz w:val="18"/>
                <w:szCs w:val="18"/>
                <w:lang w:val="es-ES"/>
              </w:rPr>
              <w:t xml:space="preserve"> </w:t>
            </w:r>
            <w:proofErr w:type="spellStart"/>
            <w:r w:rsidRPr="006760D3">
              <w:rPr>
                <w:rFonts w:ascii="Aptos" w:hAnsi="Aptos"/>
                <w:sz w:val="18"/>
                <w:szCs w:val="18"/>
                <w:lang w:val="es-ES"/>
              </w:rPr>
              <w:t>away</w:t>
            </w:r>
            <w:proofErr w:type="spellEnd"/>
          </w:p>
        </w:tc>
        <w:tc>
          <w:tcPr>
            <w:tcW w:w="4681" w:type="dxa"/>
          </w:tcPr>
          <w:p w14:paraId="75449DB2"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alejándose</w:t>
            </w:r>
          </w:p>
        </w:tc>
      </w:tr>
      <w:tr w:rsidR="006760D3" w:rsidRPr="006760D3" w14:paraId="6D746FD0" w14:textId="77777777" w:rsidTr="006760D3">
        <w:tc>
          <w:tcPr>
            <w:tcW w:w="4585" w:type="dxa"/>
          </w:tcPr>
          <w:p w14:paraId="377AF355"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 xml:space="preserve">Party </w:t>
            </w:r>
            <w:proofErr w:type="spellStart"/>
            <w:r w:rsidRPr="006760D3">
              <w:rPr>
                <w:rFonts w:ascii="Aptos" w:hAnsi="Aptos"/>
                <w:sz w:val="18"/>
                <w:szCs w:val="18"/>
                <w:lang w:val="es-ES"/>
              </w:rPr>
              <w:t>count</w:t>
            </w:r>
            <w:proofErr w:type="spellEnd"/>
            <w:r w:rsidRPr="006760D3">
              <w:rPr>
                <w:rFonts w:ascii="Aptos" w:hAnsi="Aptos"/>
                <w:sz w:val="18"/>
                <w:szCs w:val="18"/>
                <w:lang w:val="es-ES"/>
              </w:rPr>
              <w:t>: 19</w:t>
            </w:r>
          </w:p>
        </w:tc>
        <w:tc>
          <w:tcPr>
            <w:tcW w:w="4681" w:type="dxa"/>
          </w:tcPr>
          <w:p w14:paraId="03E7C4C5"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Número de Partes: 19</w:t>
            </w:r>
          </w:p>
        </w:tc>
      </w:tr>
      <w:tr w:rsidR="006760D3" w:rsidRPr="006760D3" w14:paraId="2C4DC55F" w14:textId="77777777" w:rsidTr="006760D3">
        <w:tc>
          <w:tcPr>
            <w:tcW w:w="4585" w:type="dxa"/>
          </w:tcPr>
          <w:p w14:paraId="26F26BE2" w14:textId="77777777" w:rsidR="006760D3" w:rsidRPr="006760D3" w:rsidRDefault="006760D3" w:rsidP="00B93410">
            <w:pPr>
              <w:rPr>
                <w:rFonts w:ascii="Aptos" w:hAnsi="Aptos"/>
                <w:sz w:val="18"/>
                <w:szCs w:val="18"/>
                <w:lang w:val="es-ES"/>
              </w:rPr>
            </w:pPr>
            <w:proofErr w:type="spellStart"/>
            <w:r w:rsidRPr="006760D3">
              <w:rPr>
                <w:rFonts w:ascii="Aptos" w:hAnsi="Aptos"/>
                <w:sz w:val="18"/>
                <w:szCs w:val="18"/>
                <w:lang w:val="es-ES"/>
              </w:rPr>
              <w:t>Region</w:t>
            </w:r>
            <w:proofErr w:type="spellEnd"/>
          </w:p>
        </w:tc>
        <w:tc>
          <w:tcPr>
            <w:tcW w:w="4681" w:type="dxa"/>
          </w:tcPr>
          <w:p w14:paraId="30223B68"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Región</w:t>
            </w:r>
          </w:p>
        </w:tc>
      </w:tr>
      <w:tr w:rsidR="006760D3" w:rsidRPr="006760D3" w14:paraId="7AE6BE4E" w14:textId="77777777" w:rsidTr="006760D3">
        <w:tc>
          <w:tcPr>
            <w:tcW w:w="4585" w:type="dxa"/>
          </w:tcPr>
          <w:p w14:paraId="3E999704"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African States</w:t>
            </w:r>
          </w:p>
        </w:tc>
        <w:tc>
          <w:tcPr>
            <w:tcW w:w="4681" w:type="dxa"/>
          </w:tcPr>
          <w:p w14:paraId="1A9901CC"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Estados de África</w:t>
            </w:r>
          </w:p>
        </w:tc>
      </w:tr>
      <w:tr w:rsidR="006760D3" w:rsidRPr="006760D3" w14:paraId="614BAA48" w14:textId="77777777" w:rsidTr="006760D3">
        <w:tc>
          <w:tcPr>
            <w:tcW w:w="4585" w:type="dxa"/>
          </w:tcPr>
          <w:p w14:paraId="011FB651"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Asia-Pacific States</w:t>
            </w:r>
          </w:p>
        </w:tc>
        <w:tc>
          <w:tcPr>
            <w:tcW w:w="4681" w:type="dxa"/>
          </w:tcPr>
          <w:p w14:paraId="5C73CB50"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Estados de Asia y el Pacífico</w:t>
            </w:r>
          </w:p>
        </w:tc>
      </w:tr>
      <w:tr w:rsidR="006760D3" w:rsidRPr="006760D3" w14:paraId="5B8D7D70" w14:textId="77777777" w:rsidTr="006760D3">
        <w:tc>
          <w:tcPr>
            <w:tcW w:w="4585" w:type="dxa"/>
          </w:tcPr>
          <w:p w14:paraId="2ED06D6A" w14:textId="77777777" w:rsidR="006760D3" w:rsidRPr="006760D3" w:rsidRDefault="006760D3" w:rsidP="00B93410">
            <w:pPr>
              <w:rPr>
                <w:rFonts w:ascii="Aptos" w:hAnsi="Aptos"/>
                <w:sz w:val="18"/>
                <w:szCs w:val="18"/>
                <w:lang w:val="en-US"/>
              </w:rPr>
            </w:pPr>
            <w:r w:rsidRPr="006760D3">
              <w:rPr>
                <w:rFonts w:ascii="Aptos" w:hAnsi="Aptos"/>
                <w:sz w:val="18"/>
                <w:szCs w:val="18"/>
                <w:lang w:val="en-US"/>
              </w:rPr>
              <w:t>Latin American and Caribbean States</w:t>
            </w:r>
          </w:p>
        </w:tc>
        <w:tc>
          <w:tcPr>
            <w:tcW w:w="4681" w:type="dxa"/>
          </w:tcPr>
          <w:p w14:paraId="510F85D1"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Estados de América Latina y el Caribe</w:t>
            </w:r>
          </w:p>
        </w:tc>
      </w:tr>
      <w:tr w:rsidR="006760D3" w:rsidRPr="006760D3" w14:paraId="72E549FE" w14:textId="77777777" w:rsidTr="006760D3">
        <w:tc>
          <w:tcPr>
            <w:tcW w:w="4585" w:type="dxa"/>
          </w:tcPr>
          <w:p w14:paraId="5E121BB6"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 xml:space="preserve"> Eastern European States</w:t>
            </w:r>
          </w:p>
        </w:tc>
        <w:tc>
          <w:tcPr>
            <w:tcW w:w="4681" w:type="dxa"/>
          </w:tcPr>
          <w:p w14:paraId="55D8A2AA"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Estados de Europa Oriental</w:t>
            </w:r>
          </w:p>
        </w:tc>
      </w:tr>
      <w:tr w:rsidR="006760D3" w:rsidRPr="006760D3" w14:paraId="745B6326" w14:textId="77777777" w:rsidTr="006760D3">
        <w:tc>
          <w:tcPr>
            <w:tcW w:w="4585" w:type="dxa"/>
          </w:tcPr>
          <w:p w14:paraId="6154873D" w14:textId="77777777" w:rsidR="006760D3" w:rsidRPr="006760D3" w:rsidRDefault="006760D3" w:rsidP="00B93410">
            <w:pPr>
              <w:rPr>
                <w:rFonts w:ascii="Aptos" w:hAnsi="Aptos"/>
                <w:sz w:val="18"/>
                <w:szCs w:val="18"/>
                <w:lang w:val="en-US"/>
              </w:rPr>
            </w:pPr>
            <w:r w:rsidRPr="006760D3">
              <w:rPr>
                <w:rFonts w:ascii="Aptos" w:hAnsi="Aptos"/>
                <w:sz w:val="18"/>
                <w:szCs w:val="18"/>
                <w:lang w:val="en-US"/>
              </w:rPr>
              <w:t>Western European and other States</w:t>
            </w:r>
          </w:p>
        </w:tc>
        <w:tc>
          <w:tcPr>
            <w:tcW w:w="4681" w:type="dxa"/>
          </w:tcPr>
          <w:p w14:paraId="77899664" w14:textId="77777777" w:rsidR="006760D3" w:rsidRPr="006760D3" w:rsidRDefault="006760D3" w:rsidP="00B93410">
            <w:pPr>
              <w:rPr>
                <w:rFonts w:ascii="Aptos" w:hAnsi="Aptos"/>
                <w:sz w:val="18"/>
                <w:szCs w:val="18"/>
                <w:lang w:val="es-ES"/>
              </w:rPr>
            </w:pPr>
            <w:r w:rsidRPr="006760D3">
              <w:rPr>
                <w:rFonts w:ascii="Aptos" w:hAnsi="Aptos"/>
                <w:sz w:val="18"/>
                <w:szCs w:val="18"/>
                <w:lang w:val="es-ES"/>
              </w:rPr>
              <w:t>Estados de Europa Occidental y otros Estados</w:t>
            </w:r>
          </w:p>
        </w:tc>
      </w:tr>
    </w:tbl>
    <w:p w14:paraId="30969D02" w14:textId="77777777" w:rsidR="008F15F1" w:rsidRPr="005E3D50" w:rsidRDefault="008F15F1" w:rsidP="008F15F1">
      <w:pPr>
        <w:spacing w:after="200" w:line="240" w:lineRule="auto"/>
        <w:rPr>
          <w:rFonts w:ascii="Aptos" w:eastAsiaTheme="majorEastAsia" w:hAnsi="Aptos" w:cstheme="majorBidi"/>
          <w:i/>
          <w:iCs/>
          <w:color w:val="0F4761" w:themeColor="accent1" w:themeShade="BF"/>
          <w:kern w:val="0"/>
          <w:sz w:val="32"/>
          <w:szCs w:val="32"/>
          <w:lang w:val="es-ES" w:eastAsia="ja-JP"/>
          <w14:ligatures w14:val="none"/>
        </w:rPr>
      </w:pPr>
    </w:p>
    <w:p w14:paraId="1D12341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54" w:name="_Toc235821333"/>
      <w:r w:rsidRPr="005E3D50">
        <w:rPr>
          <w:rFonts w:eastAsiaTheme="majorEastAsia" w:cstheme="majorBidi"/>
          <w:color w:val="0F4761" w:themeColor="accent1" w:themeShade="BF"/>
          <w:lang w:val="es-ES"/>
        </w:rPr>
        <w:t>Autoevaluación de progresos</w:t>
      </w:r>
      <w:bookmarkEnd w:id="554"/>
    </w:p>
    <w:p w14:paraId="5E641796" w14:textId="77777777" w:rsidR="008F15F1" w:rsidRPr="005E3D50" w:rsidRDefault="008F15F1" w:rsidP="008F15F1">
      <w:pPr>
        <w:keepNext/>
        <w:rPr>
          <w:rFonts w:ascii="Aptos" w:hAnsi="Aptos"/>
          <w:lang w:val="es-ES"/>
        </w:rPr>
      </w:pPr>
      <w:r w:rsidRPr="005E3D50">
        <w:rPr>
          <w:lang w:val="es-ES"/>
        </w:rPr>
        <w:t>Según las autoevaluaciones realizadas por las Partes en sus informes nacionales, el 41 % de las metas nacionales presentadas como estrechamente armonizadas con la meta 23 están en vías de alcanzarse, mientras que un número mayor (54 %) no muestra cambios significativos o bien muestra progresos insuficientes, y solo dos metas nacionales (1 %) se informaron como ya alcanzadas (véase la figura 94).</w:t>
      </w:r>
    </w:p>
    <w:p w14:paraId="40E9C429" w14:textId="77777777" w:rsidR="008F15F1" w:rsidRPr="005E3D50" w:rsidRDefault="008F15F1" w:rsidP="008F15F1">
      <w:pPr>
        <w:keepNext/>
        <w:rPr>
          <w:sz w:val="20"/>
          <w:szCs w:val="20"/>
          <w:lang w:val="es-ES"/>
        </w:rPr>
      </w:pPr>
    </w:p>
    <w:p w14:paraId="63173D99" w14:textId="77777777" w:rsidR="008F15F1" w:rsidRPr="005E3D50" w:rsidRDefault="008F15F1" w:rsidP="008F15F1">
      <w:pPr>
        <w:keepNext/>
        <w:rPr>
          <w:sz w:val="20"/>
          <w:szCs w:val="20"/>
          <w:lang w:val="es-ES"/>
        </w:rPr>
      </w:pPr>
      <w:r w:rsidRPr="005E3D50">
        <w:rPr>
          <w:sz w:val="20"/>
          <w:lang w:val="es-ES"/>
        </w:rPr>
        <w:t>Figura 94</w:t>
      </w:r>
    </w:p>
    <w:p w14:paraId="0DA2F538" w14:textId="77777777" w:rsidR="008F15F1" w:rsidRPr="005E3D50" w:rsidRDefault="008F15F1" w:rsidP="008F15F1">
      <w:pPr>
        <w:spacing w:after="200" w:line="240" w:lineRule="auto"/>
        <w:rPr>
          <w:rFonts w:eastAsiaTheme="minorEastAsia"/>
          <w:b/>
          <w:bCs/>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 xml:space="preserve">Progresos indicados por las autoevaluaciones para todas las metas nacionales presentadas como estrechamente armonizadas con la meta 23 del Marco </w:t>
      </w:r>
    </w:p>
    <w:p w14:paraId="3FA628A1" w14:textId="77777777" w:rsidR="008F15F1" w:rsidRPr="005E3D50" w:rsidRDefault="008F15F1" w:rsidP="008F15F1">
      <w:pPr>
        <w:rPr>
          <w:lang w:val="es-ES"/>
        </w:rPr>
      </w:pPr>
    </w:p>
    <w:p w14:paraId="647186AC" w14:textId="77777777" w:rsidR="008F15F1" w:rsidRPr="005E3D50" w:rsidRDefault="008F15F1" w:rsidP="008F15F1">
      <w:pPr>
        <w:keepNext/>
        <w:rPr>
          <w:sz w:val="20"/>
          <w:szCs w:val="20"/>
          <w:lang w:val="es-ES"/>
        </w:rPr>
      </w:pPr>
    </w:p>
    <w:p w14:paraId="72485AAF" w14:textId="77777777" w:rsidR="008F15F1" w:rsidRPr="005E3D50" w:rsidRDefault="008F15F1" w:rsidP="008F15F1">
      <w:pPr>
        <w:keepNext/>
        <w:rPr>
          <w:rFonts w:ascii="Aptos" w:hAnsi="Aptos"/>
          <w:lang w:val="es-ES"/>
        </w:rPr>
      </w:pPr>
      <w:r w:rsidRPr="005E3D50">
        <w:rPr>
          <w:rFonts w:ascii="Aptos" w:hAnsi="Aptos"/>
          <w:noProof/>
          <w:lang w:val="en-US"/>
        </w:rPr>
        <w:drawing>
          <wp:inline distT="0" distB="0" distL="0" distR="0" wp14:anchorId="798D26D9" wp14:editId="37184D31">
            <wp:extent cx="5731510" cy="2292350"/>
            <wp:effectExtent l="0" t="0" r="0" b="6350"/>
            <wp:docPr id="20549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720" name="Picture 205494720"/>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5CCBE27C" w14:textId="77777777" w:rsidR="008F15F1" w:rsidRDefault="008F15F1" w:rsidP="008F15F1">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xml:space="preserve">: El grosor de las barras indica la proporción de metas nacionales presentadas en cada categoría de progresos. Las proporciones están ponderadas por Parte para garantizar que las Partes contribuyan en igual medida a la evaluación general de los progresos, independientemente del número de metas nacionales presentadas. El gráfico circular muestra </w:t>
      </w:r>
      <w:r w:rsidRPr="005E3D50">
        <w:rPr>
          <w:rFonts w:eastAsiaTheme="minorEastAsia"/>
          <w:iCs/>
          <w:color w:val="0E2841" w:themeColor="text2"/>
          <w:kern w:val="0"/>
          <w:sz w:val="18"/>
          <w:szCs w:val="18"/>
          <w:lang w:val="es-ES" w:eastAsia="ja-JP"/>
          <w14:ligatures w14:val="none"/>
        </w:rPr>
        <w:lastRenderedPageBreak/>
        <w:t>la proporción de Partes de cada región que presentó información a tiempo para ser considerada en el informe mundial.</w:t>
      </w:r>
      <w:r w:rsidRPr="005E3D50">
        <w:rPr>
          <w:rFonts w:ascii="Aptos" w:eastAsiaTheme="minorEastAsia" w:hAnsi="Aptos"/>
          <w:iCs/>
          <w:color w:val="0E2841" w:themeColor="text2"/>
          <w:kern w:val="0"/>
          <w:sz w:val="18"/>
          <w:szCs w:val="18"/>
          <w:lang w:val="es-ES" w:eastAsia="ja-JP"/>
          <w14:ligatures w14:val="none"/>
        </w:rPr>
        <w:t xml:space="preserve">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tbl>
      <w:tblPr>
        <w:tblStyle w:val="TableGrid"/>
        <w:tblW w:w="9497" w:type="dxa"/>
        <w:tblLook w:val="04A0" w:firstRow="1" w:lastRow="0" w:firstColumn="1" w:lastColumn="0" w:noHBand="0" w:noVBand="1"/>
      </w:tblPr>
      <w:tblGrid>
        <w:gridCol w:w="4559"/>
        <w:gridCol w:w="4938"/>
      </w:tblGrid>
      <w:tr w:rsidR="0076255B" w:rsidRPr="0076255B" w14:paraId="0EE89AAA" w14:textId="77777777" w:rsidTr="0076255B">
        <w:tc>
          <w:tcPr>
            <w:tcW w:w="4559" w:type="dxa"/>
          </w:tcPr>
          <w:p w14:paraId="060AE83C" w14:textId="40B25C12" w:rsidR="0076255B" w:rsidRPr="0076255B" w:rsidRDefault="0076255B" w:rsidP="00B93410">
            <w:pPr>
              <w:rPr>
                <w:rFonts w:ascii="Aptos" w:hAnsi="Aptos"/>
                <w:bCs/>
                <w:sz w:val="18"/>
                <w:szCs w:val="18"/>
                <w:lang w:val="es-ES"/>
              </w:rPr>
            </w:pPr>
            <w:r w:rsidRPr="0076255B">
              <w:rPr>
                <w:rFonts w:ascii="Aptos" w:hAnsi="Aptos"/>
                <w:bCs/>
                <w:sz w:val="18"/>
                <w:szCs w:val="18"/>
                <w:lang w:val="es-ES"/>
              </w:rPr>
              <w:t>Figura 94</w:t>
            </w:r>
          </w:p>
        </w:tc>
        <w:tc>
          <w:tcPr>
            <w:tcW w:w="4938" w:type="dxa"/>
          </w:tcPr>
          <w:p w14:paraId="6B7BFEBD" w14:textId="77777777" w:rsidR="0076255B" w:rsidRPr="0076255B" w:rsidRDefault="0076255B" w:rsidP="00B93410">
            <w:pPr>
              <w:rPr>
                <w:rFonts w:ascii="Aptos" w:hAnsi="Aptos"/>
                <w:sz w:val="18"/>
                <w:szCs w:val="18"/>
                <w:lang w:val="es-ES"/>
              </w:rPr>
            </w:pPr>
          </w:p>
        </w:tc>
      </w:tr>
      <w:tr w:rsidR="0076255B" w:rsidRPr="0076255B" w14:paraId="748EF9C2" w14:textId="77777777" w:rsidTr="0076255B">
        <w:tc>
          <w:tcPr>
            <w:tcW w:w="4559" w:type="dxa"/>
          </w:tcPr>
          <w:p w14:paraId="3A5558DB" w14:textId="77777777" w:rsidR="0076255B" w:rsidRPr="0076255B" w:rsidRDefault="0076255B" w:rsidP="00B93410">
            <w:pPr>
              <w:rPr>
                <w:rFonts w:ascii="Aptos" w:hAnsi="Aptos"/>
                <w:bCs/>
                <w:sz w:val="18"/>
                <w:szCs w:val="18"/>
                <w:lang w:val="es-ES"/>
              </w:rPr>
            </w:pPr>
            <w:r w:rsidRPr="0076255B">
              <w:rPr>
                <w:rFonts w:ascii="Aptos" w:hAnsi="Aptos"/>
                <w:bCs/>
                <w:sz w:val="18"/>
                <w:szCs w:val="18"/>
                <w:lang w:val="es-ES"/>
              </w:rPr>
              <w:t xml:space="preserve">English </w:t>
            </w:r>
          </w:p>
        </w:tc>
        <w:tc>
          <w:tcPr>
            <w:tcW w:w="4938" w:type="dxa"/>
          </w:tcPr>
          <w:p w14:paraId="54F27568" w14:textId="215707C0" w:rsidR="0076255B" w:rsidRPr="0076255B" w:rsidRDefault="0076255B" w:rsidP="00B93410">
            <w:pPr>
              <w:rPr>
                <w:rFonts w:ascii="Aptos" w:hAnsi="Aptos"/>
                <w:sz w:val="18"/>
                <w:szCs w:val="18"/>
                <w:lang w:val="es-ES"/>
              </w:rPr>
            </w:pPr>
            <w:r w:rsidRPr="0076255B">
              <w:rPr>
                <w:rFonts w:ascii="Aptos" w:hAnsi="Aptos"/>
                <w:sz w:val="18"/>
                <w:szCs w:val="18"/>
                <w:lang w:val="es-ES"/>
              </w:rPr>
              <w:t>Español</w:t>
            </w:r>
          </w:p>
        </w:tc>
      </w:tr>
      <w:tr w:rsidR="0076255B" w:rsidRPr="0076255B" w14:paraId="275AE6AA" w14:textId="77777777" w:rsidTr="0076255B">
        <w:tc>
          <w:tcPr>
            <w:tcW w:w="4559" w:type="dxa"/>
          </w:tcPr>
          <w:p w14:paraId="5B82C3C1" w14:textId="77777777" w:rsidR="0076255B" w:rsidRPr="0076255B" w:rsidRDefault="0076255B" w:rsidP="00B93410">
            <w:pPr>
              <w:rPr>
                <w:rFonts w:ascii="Aptos" w:hAnsi="Aptos"/>
                <w:sz w:val="18"/>
                <w:szCs w:val="18"/>
                <w:lang w:val="es-ES"/>
              </w:rPr>
            </w:pPr>
            <w:proofErr w:type="spellStart"/>
            <w:r w:rsidRPr="0076255B">
              <w:rPr>
                <w:rFonts w:ascii="Aptos" w:hAnsi="Aptos"/>
                <w:sz w:val="18"/>
                <w:szCs w:val="18"/>
                <w:lang w:val="es-ES"/>
              </w:rPr>
              <w:t>Percentage</w:t>
            </w:r>
            <w:proofErr w:type="spellEnd"/>
            <w:r w:rsidRPr="0076255B">
              <w:rPr>
                <w:rFonts w:ascii="Aptos" w:hAnsi="Aptos"/>
                <w:sz w:val="18"/>
                <w:szCs w:val="18"/>
                <w:lang w:val="es-ES"/>
              </w:rPr>
              <w:t xml:space="preserve"> of </w:t>
            </w:r>
            <w:proofErr w:type="spellStart"/>
            <w:r w:rsidRPr="0076255B">
              <w:rPr>
                <w:rFonts w:ascii="Aptos" w:hAnsi="Aptos"/>
                <w:sz w:val="18"/>
                <w:szCs w:val="18"/>
                <w:lang w:val="es-ES"/>
              </w:rPr>
              <w:t>national</w:t>
            </w:r>
            <w:proofErr w:type="spellEnd"/>
            <w:r w:rsidRPr="0076255B">
              <w:rPr>
                <w:rFonts w:ascii="Aptos" w:hAnsi="Aptos"/>
                <w:sz w:val="18"/>
                <w:szCs w:val="18"/>
                <w:lang w:val="es-ES"/>
              </w:rPr>
              <w:t xml:space="preserve"> targets</w:t>
            </w:r>
          </w:p>
        </w:tc>
        <w:tc>
          <w:tcPr>
            <w:tcW w:w="4938" w:type="dxa"/>
          </w:tcPr>
          <w:p w14:paraId="4CA3149F"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Porcentaje de metas nacionales</w:t>
            </w:r>
          </w:p>
        </w:tc>
      </w:tr>
      <w:tr w:rsidR="0076255B" w:rsidRPr="0076255B" w14:paraId="4D03F1C4" w14:textId="77777777" w:rsidTr="0076255B">
        <w:tc>
          <w:tcPr>
            <w:tcW w:w="4559" w:type="dxa"/>
          </w:tcPr>
          <w:p w14:paraId="654FC57F" w14:textId="77777777" w:rsidR="0076255B" w:rsidRPr="0076255B" w:rsidRDefault="0076255B" w:rsidP="00B93410">
            <w:pPr>
              <w:rPr>
                <w:rFonts w:ascii="Aptos" w:hAnsi="Aptos"/>
                <w:sz w:val="18"/>
                <w:szCs w:val="18"/>
                <w:lang w:val="es-ES"/>
              </w:rPr>
            </w:pPr>
            <w:proofErr w:type="spellStart"/>
            <w:r w:rsidRPr="0076255B">
              <w:rPr>
                <w:rFonts w:ascii="Aptos" w:hAnsi="Aptos"/>
                <w:sz w:val="18"/>
                <w:szCs w:val="18"/>
                <w:lang w:val="es-ES"/>
              </w:rPr>
              <w:t>Progress</w:t>
            </w:r>
            <w:proofErr w:type="spellEnd"/>
            <w:r w:rsidRPr="0076255B">
              <w:rPr>
                <w:rFonts w:ascii="Aptos" w:hAnsi="Aptos"/>
                <w:sz w:val="18"/>
                <w:szCs w:val="18"/>
                <w:lang w:val="es-ES"/>
              </w:rPr>
              <w:t xml:space="preserve"> </w:t>
            </w:r>
            <w:proofErr w:type="spellStart"/>
            <w:r w:rsidRPr="0076255B">
              <w:rPr>
                <w:rFonts w:ascii="Aptos" w:hAnsi="Aptos"/>
                <w:sz w:val="18"/>
                <w:szCs w:val="18"/>
                <w:lang w:val="es-ES"/>
              </w:rPr>
              <w:t>level</w:t>
            </w:r>
            <w:proofErr w:type="spellEnd"/>
          </w:p>
        </w:tc>
        <w:tc>
          <w:tcPr>
            <w:tcW w:w="4938" w:type="dxa"/>
          </w:tcPr>
          <w:p w14:paraId="732E29BB"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Nivel de progreso</w:t>
            </w:r>
          </w:p>
        </w:tc>
      </w:tr>
      <w:tr w:rsidR="0076255B" w:rsidRPr="0076255B" w14:paraId="6F5AA624" w14:textId="77777777" w:rsidTr="0076255B">
        <w:tc>
          <w:tcPr>
            <w:tcW w:w="4559" w:type="dxa"/>
          </w:tcPr>
          <w:p w14:paraId="2B5ED3FB" w14:textId="77777777" w:rsidR="0076255B" w:rsidRPr="0076255B" w:rsidRDefault="0076255B" w:rsidP="00B93410">
            <w:pPr>
              <w:rPr>
                <w:rFonts w:ascii="Aptos" w:hAnsi="Aptos"/>
                <w:sz w:val="18"/>
                <w:szCs w:val="18"/>
                <w:lang w:val="es-ES"/>
              </w:rPr>
            </w:pPr>
            <w:proofErr w:type="spellStart"/>
            <w:r w:rsidRPr="0076255B">
              <w:rPr>
                <w:rFonts w:ascii="Aptos" w:hAnsi="Aptos"/>
                <w:sz w:val="18"/>
                <w:szCs w:val="18"/>
                <w:lang w:val="es-ES"/>
              </w:rPr>
              <w:t>Achieved</w:t>
            </w:r>
            <w:proofErr w:type="spellEnd"/>
          </w:p>
        </w:tc>
        <w:tc>
          <w:tcPr>
            <w:tcW w:w="4938" w:type="dxa"/>
          </w:tcPr>
          <w:p w14:paraId="0C99478D"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Alcanzada</w:t>
            </w:r>
          </w:p>
        </w:tc>
      </w:tr>
      <w:tr w:rsidR="0076255B" w:rsidRPr="0076255B" w14:paraId="1DB2055F" w14:textId="77777777" w:rsidTr="0076255B">
        <w:tc>
          <w:tcPr>
            <w:tcW w:w="4559" w:type="dxa"/>
          </w:tcPr>
          <w:p w14:paraId="03A49C95" w14:textId="77777777" w:rsidR="0076255B" w:rsidRPr="0076255B" w:rsidRDefault="0076255B" w:rsidP="00B93410">
            <w:pPr>
              <w:rPr>
                <w:rFonts w:ascii="Aptos" w:hAnsi="Aptos"/>
                <w:sz w:val="18"/>
                <w:szCs w:val="18"/>
                <w:lang w:val="en-US"/>
              </w:rPr>
            </w:pPr>
            <w:r w:rsidRPr="0076255B">
              <w:rPr>
                <w:rFonts w:ascii="Aptos" w:hAnsi="Aptos"/>
                <w:sz w:val="18"/>
                <w:szCs w:val="18"/>
                <w:lang w:val="en-US"/>
              </w:rPr>
              <w:t>On track to achieve target</w:t>
            </w:r>
          </w:p>
        </w:tc>
        <w:tc>
          <w:tcPr>
            <w:tcW w:w="4938" w:type="dxa"/>
          </w:tcPr>
          <w:p w14:paraId="22687DE2"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En vías de alcanzar la meta</w:t>
            </w:r>
          </w:p>
        </w:tc>
      </w:tr>
      <w:tr w:rsidR="0076255B" w:rsidRPr="0076255B" w14:paraId="6CAEAC79" w14:textId="77777777" w:rsidTr="0076255B">
        <w:tc>
          <w:tcPr>
            <w:tcW w:w="4559" w:type="dxa"/>
          </w:tcPr>
          <w:p w14:paraId="5184BED0" w14:textId="77777777" w:rsidR="0076255B" w:rsidRPr="0076255B" w:rsidRDefault="0076255B" w:rsidP="00B93410">
            <w:pPr>
              <w:rPr>
                <w:rFonts w:ascii="Aptos" w:hAnsi="Aptos"/>
                <w:sz w:val="18"/>
                <w:szCs w:val="18"/>
                <w:lang w:val="en-US"/>
              </w:rPr>
            </w:pPr>
            <w:r w:rsidRPr="0076255B">
              <w:rPr>
                <w:rFonts w:ascii="Aptos" w:hAnsi="Aptos"/>
                <w:sz w:val="18"/>
                <w:szCs w:val="18"/>
                <w:lang w:val="en-US"/>
              </w:rPr>
              <w:t>Progress towards target but at an insufficient rate</w:t>
            </w:r>
          </w:p>
        </w:tc>
        <w:tc>
          <w:tcPr>
            <w:tcW w:w="4938" w:type="dxa"/>
          </w:tcPr>
          <w:p w14:paraId="085CD6F2"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 xml:space="preserve">Se ha progresado hacia la </w:t>
            </w:r>
            <w:proofErr w:type="gramStart"/>
            <w:r w:rsidRPr="0076255B">
              <w:rPr>
                <w:rFonts w:ascii="Aptos" w:hAnsi="Aptos"/>
                <w:sz w:val="18"/>
                <w:szCs w:val="18"/>
                <w:lang w:val="es-ES"/>
              </w:rPr>
              <w:t>meta</w:t>
            </w:r>
            <w:proofErr w:type="gramEnd"/>
            <w:r w:rsidRPr="0076255B">
              <w:rPr>
                <w:rFonts w:ascii="Aptos" w:hAnsi="Aptos"/>
                <w:sz w:val="18"/>
                <w:szCs w:val="18"/>
                <w:lang w:val="es-ES"/>
              </w:rPr>
              <w:t xml:space="preserve"> pero a un ritmo insuficiente</w:t>
            </w:r>
          </w:p>
        </w:tc>
      </w:tr>
      <w:tr w:rsidR="0076255B" w:rsidRPr="0076255B" w14:paraId="485BCBAA" w14:textId="77777777" w:rsidTr="0076255B">
        <w:tc>
          <w:tcPr>
            <w:tcW w:w="4559" w:type="dxa"/>
          </w:tcPr>
          <w:p w14:paraId="041B7E65"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 xml:space="preserve">No </w:t>
            </w:r>
            <w:proofErr w:type="spellStart"/>
            <w:r w:rsidRPr="0076255B">
              <w:rPr>
                <w:rFonts w:ascii="Aptos" w:hAnsi="Aptos"/>
                <w:sz w:val="18"/>
                <w:szCs w:val="18"/>
                <w:lang w:val="es-ES"/>
              </w:rPr>
              <w:t>significant</w:t>
            </w:r>
            <w:proofErr w:type="spellEnd"/>
            <w:r w:rsidRPr="0076255B">
              <w:rPr>
                <w:rFonts w:ascii="Aptos" w:hAnsi="Aptos"/>
                <w:sz w:val="18"/>
                <w:szCs w:val="18"/>
                <w:lang w:val="es-ES"/>
              </w:rPr>
              <w:t xml:space="preserve"> </w:t>
            </w:r>
            <w:proofErr w:type="spellStart"/>
            <w:r w:rsidRPr="0076255B">
              <w:rPr>
                <w:rFonts w:ascii="Aptos" w:hAnsi="Aptos"/>
                <w:sz w:val="18"/>
                <w:szCs w:val="18"/>
                <w:lang w:val="es-ES"/>
              </w:rPr>
              <w:t>change</w:t>
            </w:r>
            <w:proofErr w:type="spellEnd"/>
          </w:p>
        </w:tc>
        <w:tc>
          <w:tcPr>
            <w:tcW w:w="4938" w:type="dxa"/>
          </w:tcPr>
          <w:p w14:paraId="793383FF"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No hay cambios significativos</w:t>
            </w:r>
          </w:p>
        </w:tc>
      </w:tr>
      <w:tr w:rsidR="0076255B" w:rsidRPr="0076255B" w14:paraId="6DE05294" w14:textId="77777777" w:rsidTr="0076255B">
        <w:tc>
          <w:tcPr>
            <w:tcW w:w="4559" w:type="dxa"/>
          </w:tcPr>
          <w:p w14:paraId="04A126AE"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Unknown</w:t>
            </w:r>
          </w:p>
        </w:tc>
        <w:tc>
          <w:tcPr>
            <w:tcW w:w="4938" w:type="dxa"/>
          </w:tcPr>
          <w:p w14:paraId="382E9393"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Se desconoce</w:t>
            </w:r>
          </w:p>
        </w:tc>
      </w:tr>
      <w:tr w:rsidR="0076255B" w:rsidRPr="0076255B" w14:paraId="055ADDC6" w14:textId="77777777" w:rsidTr="0076255B">
        <w:tc>
          <w:tcPr>
            <w:tcW w:w="4559" w:type="dxa"/>
          </w:tcPr>
          <w:p w14:paraId="51CCF259"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 xml:space="preserve">Party </w:t>
            </w:r>
            <w:proofErr w:type="spellStart"/>
            <w:r w:rsidRPr="0076255B">
              <w:rPr>
                <w:rFonts w:ascii="Aptos" w:hAnsi="Aptos"/>
                <w:sz w:val="18"/>
                <w:szCs w:val="18"/>
                <w:lang w:val="es-ES"/>
              </w:rPr>
              <w:t>count</w:t>
            </w:r>
            <w:proofErr w:type="spellEnd"/>
            <w:r w:rsidRPr="0076255B">
              <w:rPr>
                <w:rFonts w:ascii="Aptos" w:hAnsi="Aptos"/>
                <w:sz w:val="18"/>
                <w:szCs w:val="18"/>
                <w:lang w:val="es-ES"/>
              </w:rPr>
              <w:t>: 82</w:t>
            </w:r>
          </w:p>
        </w:tc>
        <w:tc>
          <w:tcPr>
            <w:tcW w:w="4938" w:type="dxa"/>
          </w:tcPr>
          <w:p w14:paraId="6AD4EB7C"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Número de Partes: 82</w:t>
            </w:r>
          </w:p>
        </w:tc>
      </w:tr>
      <w:tr w:rsidR="0076255B" w:rsidRPr="0076255B" w14:paraId="43C86215" w14:textId="77777777" w:rsidTr="0076255B">
        <w:tc>
          <w:tcPr>
            <w:tcW w:w="4559" w:type="dxa"/>
          </w:tcPr>
          <w:p w14:paraId="09FAB3CC" w14:textId="77777777" w:rsidR="0076255B" w:rsidRPr="0076255B" w:rsidRDefault="0076255B" w:rsidP="00B93410">
            <w:pPr>
              <w:rPr>
                <w:rFonts w:ascii="Aptos" w:hAnsi="Aptos"/>
                <w:sz w:val="18"/>
                <w:szCs w:val="18"/>
                <w:lang w:val="es-ES"/>
              </w:rPr>
            </w:pPr>
            <w:proofErr w:type="spellStart"/>
            <w:r w:rsidRPr="0076255B">
              <w:rPr>
                <w:rFonts w:ascii="Aptos" w:hAnsi="Aptos"/>
                <w:sz w:val="18"/>
                <w:szCs w:val="18"/>
                <w:lang w:val="es-ES"/>
              </w:rPr>
              <w:t>Region</w:t>
            </w:r>
            <w:proofErr w:type="spellEnd"/>
          </w:p>
        </w:tc>
        <w:tc>
          <w:tcPr>
            <w:tcW w:w="4938" w:type="dxa"/>
          </w:tcPr>
          <w:p w14:paraId="77C460F4"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Región</w:t>
            </w:r>
          </w:p>
        </w:tc>
      </w:tr>
      <w:tr w:rsidR="0076255B" w:rsidRPr="0076255B" w14:paraId="088F3453" w14:textId="77777777" w:rsidTr="0076255B">
        <w:tc>
          <w:tcPr>
            <w:tcW w:w="4559" w:type="dxa"/>
          </w:tcPr>
          <w:p w14:paraId="796799C4"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African States</w:t>
            </w:r>
          </w:p>
        </w:tc>
        <w:tc>
          <w:tcPr>
            <w:tcW w:w="4938" w:type="dxa"/>
          </w:tcPr>
          <w:p w14:paraId="46BAD521"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Estados de África</w:t>
            </w:r>
          </w:p>
        </w:tc>
      </w:tr>
      <w:tr w:rsidR="0076255B" w:rsidRPr="0076255B" w14:paraId="7690FAC0" w14:textId="77777777" w:rsidTr="0076255B">
        <w:tc>
          <w:tcPr>
            <w:tcW w:w="4559" w:type="dxa"/>
          </w:tcPr>
          <w:p w14:paraId="78D705C0"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Asia-Pacific States</w:t>
            </w:r>
          </w:p>
        </w:tc>
        <w:tc>
          <w:tcPr>
            <w:tcW w:w="4938" w:type="dxa"/>
          </w:tcPr>
          <w:p w14:paraId="160C727E"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Estados de Asia y el Pacífico</w:t>
            </w:r>
          </w:p>
        </w:tc>
      </w:tr>
      <w:tr w:rsidR="0076255B" w:rsidRPr="0076255B" w14:paraId="2BB9DC16" w14:textId="77777777" w:rsidTr="0076255B">
        <w:tc>
          <w:tcPr>
            <w:tcW w:w="4559" w:type="dxa"/>
          </w:tcPr>
          <w:p w14:paraId="32F093AF" w14:textId="77777777" w:rsidR="0076255B" w:rsidRPr="0076255B" w:rsidRDefault="0076255B" w:rsidP="00B93410">
            <w:pPr>
              <w:rPr>
                <w:rFonts w:ascii="Aptos" w:hAnsi="Aptos"/>
                <w:sz w:val="18"/>
                <w:szCs w:val="18"/>
                <w:lang w:val="en-US"/>
              </w:rPr>
            </w:pPr>
            <w:r w:rsidRPr="0076255B">
              <w:rPr>
                <w:rFonts w:ascii="Aptos" w:hAnsi="Aptos"/>
                <w:sz w:val="18"/>
                <w:szCs w:val="18"/>
                <w:lang w:val="en-US"/>
              </w:rPr>
              <w:t>Latin American and Caribbean States</w:t>
            </w:r>
          </w:p>
        </w:tc>
        <w:tc>
          <w:tcPr>
            <w:tcW w:w="4938" w:type="dxa"/>
          </w:tcPr>
          <w:p w14:paraId="60049AF7"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Estados de América Latina y el Caribe</w:t>
            </w:r>
          </w:p>
        </w:tc>
      </w:tr>
      <w:tr w:rsidR="0076255B" w:rsidRPr="0076255B" w14:paraId="3FD1C3B4" w14:textId="77777777" w:rsidTr="0076255B">
        <w:tc>
          <w:tcPr>
            <w:tcW w:w="4559" w:type="dxa"/>
          </w:tcPr>
          <w:p w14:paraId="143CF01E"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 xml:space="preserve"> Eastern European States</w:t>
            </w:r>
          </w:p>
        </w:tc>
        <w:tc>
          <w:tcPr>
            <w:tcW w:w="4938" w:type="dxa"/>
          </w:tcPr>
          <w:p w14:paraId="64BCF361"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Estados de Europa Oriental</w:t>
            </w:r>
          </w:p>
        </w:tc>
      </w:tr>
      <w:tr w:rsidR="0076255B" w:rsidRPr="0076255B" w14:paraId="5531281E" w14:textId="77777777" w:rsidTr="0076255B">
        <w:tc>
          <w:tcPr>
            <w:tcW w:w="4559" w:type="dxa"/>
          </w:tcPr>
          <w:p w14:paraId="6D4DA6B5" w14:textId="77777777" w:rsidR="0076255B" w:rsidRPr="0076255B" w:rsidRDefault="0076255B" w:rsidP="00B93410">
            <w:pPr>
              <w:rPr>
                <w:rFonts w:ascii="Aptos" w:hAnsi="Aptos"/>
                <w:sz w:val="18"/>
                <w:szCs w:val="18"/>
                <w:lang w:val="en-US"/>
              </w:rPr>
            </w:pPr>
            <w:r w:rsidRPr="0076255B">
              <w:rPr>
                <w:rFonts w:ascii="Aptos" w:hAnsi="Aptos"/>
                <w:sz w:val="18"/>
                <w:szCs w:val="18"/>
                <w:lang w:val="en-US"/>
              </w:rPr>
              <w:t>Western European and other States</w:t>
            </w:r>
          </w:p>
        </w:tc>
        <w:tc>
          <w:tcPr>
            <w:tcW w:w="4938" w:type="dxa"/>
          </w:tcPr>
          <w:p w14:paraId="7EE5E939" w14:textId="77777777" w:rsidR="0076255B" w:rsidRPr="0076255B" w:rsidRDefault="0076255B" w:rsidP="00B93410">
            <w:pPr>
              <w:rPr>
                <w:rFonts w:ascii="Aptos" w:hAnsi="Aptos"/>
                <w:sz w:val="18"/>
                <w:szCs w:val="18"/>
                <w:lang w:val="es-ES"/>
              </w:rPr>
            </w:pPr>
            <w:r w:rsidRPr="0076255B">
              <w:rPr>
                <w:rFonts w:ascii="Aptos" w:hAnsi="Aptos"/>
                <w:sz w:val="18"/>
                <w:szCs w:val="18"/>
                <w:lang w:val="es-ES"/>
              </w:rPr>
              <w:t>Estados de Europa Occidental y otros Estados</w:t>
            </w:r>
          </w:p>
        </w:tc>
      </w:tr>
    </w:tbl>
    <w:p w14:paraId="7D3C5B44" w14:textId="77777777" w:rsidR="0076255B" w:rsidRPr="005E3D50" w:rsidRDefault="0076255B" w:rsidP="008F15F1">
      <w:pPr>
        <w:spacing w:after="200" w:line="240" w:lineRule="auto"/>
        <w:rPr>
          <w:rFonts w:eastAsiaTheme="minorEastAsia"/>
          <w:color w:val="0E2841" w:themeColor="text2"/>
          <w:kern w:val="0"/>
          <w:sz w:val="18"/>
          <w:szCs w:val="18"/>
          <w:lang w:val="es-ES" w:eastAsia="ja-JP"/>
          <w14:ligatures w14:val="none"/>
        </w:rPr>
      </w:pPr>
    </w:p>
    <w:p w14:paraId="74B0DF3B"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55" w:name="_Toc235821334"/>
      <w:r w:rsidRPr="005E3D50">
        <w:rPr>
          <w:rFonts w:eastAsiaTheme="majorEastAsia" w:cstheme="majorBidi"/>
          <w:color w:val="0F4761" w:themeColor="accent1" w:themeShade="BF"/>
          <w:lang w:val="es-ES"/>
        </w:rPr>
        <w:t>Medidas, logros y dificultades</w:t>
      </w:r>
      <w:bookmarkEnd w:id="555"/>
      <w:r w:rsidRPr="005E3D50">
        <w:rPr>
          <w:rFonts w:eastAsiaTheme="majorEastAsia" w:cstheme="majorBidi"/>
          <w:color w:val="0F4761" w:themeColor="accent1" w:themeShade="BF"/>
          <w:lang w:val="es-ES"/>
        </w:rPr>
        <w:t xml:space="preserve"> en la implementación</w:t>
      </w:r>
    </w:p>
    <w:p w14:paraId="4070DB9C" w14:textId="77777777" w:rsidR="008F15F1" w:rsidRPr="005E3D50" w:rsidRDefault="008F15F1" w:rsidP="008F15F1">
      <w:pPr>
        <w:rPr>
          <w:lang w:val="es-ES"/>
        </w:rPr>
      </w:pPr>
    </w:p>
    <w:p w14:paraId="44A5CF35" w14:textId="77777777" w:rsidR="008F15F1" w:rsidRPr="005E3D50" w:rsidRDefault="008F15F1" w:rsidP="008F15F1">
      <w:pPr>
        <w:keepNext/>
        <w:keepLines/>
        <w:spacing w:before="40" w:after="0"/>
        <w:outlineLvl w:val="5"/>
        <w:rPr>
          <w:rFonts w:eastAsiaTheme="majorEastAsia" w:cstheme="majorBidi"/>
          <w:i/>
          <w:iCs/>
          <w:color w:val="595959" w:themeColor="text1" w:themeTint="A6"/>
          <w:lang w:val="es-ES"/>
        </w:rPr>
      </w:pPr>
      <w:bookmarkStart w:id="556" w:name="_Toc235821335"/>
      <w:r w:rsidRPr="005E3D50">
        <w:rPr>
          <w:rFonts w:eastAsiaTheme="majorEastAsia" w:cstheme="majorBidi"/>
          <w:i/>
          <w:iCs/>
          <w:color w:val="595959" w:themeColor="text1" w:themeTint="A6"/>
          <w:lang w:val="es-ES"/>
        </w:rPr>
        <w:t>Resumen de medidas en apoyo a la meta 23</w:t>
      </w:r>
      <w:bookmarkEnd w:id="556"/>
      <w:r w:rsidRPr="005E3D50">
        <w:rPr>
          <w:rFonts w:eastAsiaTheme="majorEastAsia" w:cstheme="majorBidi"/>
          <w:i/>
          <w:iCs/>
          <w:color w:val="595959" w:themeColor="text1" w:themeTint="A6"/>
          <w:lang w:val="es-ES"/>
        </w:rPr>
        <w:t xml:space="preserve"> del Marco</w:t>
      </w:r>
    </w:p>
    <w:p w14:paraId="280AEE6F" w14:textId="77777777" w:rsidR="008F15F1" w:rsidRPr="005E3D50" w:rsidRDefault="008F15F1" w:rsidP="008F15F1">
      <w:pPr>
        <w:rPr>
          <w:lang w:val="es-ES"/>
        </w:rPr>
      </w:pPr>
    </w:p>
    <w:p w14:paraId="4669EB6B" w14:textId="77777777" w:rsidR="008F15F1" w:rsidRPr="005E3D50" w:rsidRDefault="008F15F1" w:rsidP="008F15F1">
      <w:pPr>
        <w:rPr>
          <w:lang w:val="es-ES"/>
        </w:rPr>
      </w:pPr>
      <w:r w:rsidRPr="005E3D50">
        <w:rPr>
          <w:lang w:val="es-ES"/>
        </w:rPr>
        <w:t xml:space="preserve">La medida en apoyo a la meta 23 más generalizada que se informó es garantizar o promover la participación de las mujeres en los procesos de gobernanza, planificación y gestión relacionados con la biodiversidad, a menudo en combinación con creación de capacidad. Esto abarca desde mecanismos formales de cuotas hasta programas de capacitación y procesos de consultas. Muchas Partes informan sobre la incorporación de consideraciones de género en las EPANB, planes sectoriales o marcos que se aplican en todos los niveles de gobierno. Un número importante de Partes ha adoptado cuotas o metas formales de representación de mujeres en los órganos de gobernanza de la biodiversidad. Varias Partes informaron sobre programas relativos a medios de vida, planes de subvenciones y otras iniciativas dirigidas específicamente a las mujeres o en las que las mujeres constituyen la mayoría de los beneficiarios (véanse los recuadros 54 y 55). </w:t>
      </w:r>
    </w:p>
    <w:p w14:paraId="68795291" w14:textId="77777777" w:rsidR="008F15F1" w:rsidRPr="005E3D50" w:rsidRDefault="008F15F1" w:rsidP="008F15F1">
      <w:pPr>
        <w:rPr>
          <w:lang w:val="es-ES"/>
        </w:rPr>
      </w:pPr>
    </w:p>
    <w:p w14:paraId="116177B2" w14:textId="77777777" w:rsidR="008F15F1" w:rsidRPr="005E3D50" w:rsidRDefault="008F15F1" w:rsidP="008F15F1">
      <w:pPr>
        <w:keepNext/>
        <w:keepLines/>
        <w:spacing w:before="40" w:after="0"/>
        <w:outlineLvl w:val="5"/>
        <w:rPr>
          <w:rFonts w:eastAsiaTheme="majorEastAsia" w:cstheme="majorBidi"/>
          <w:i/>
          <w:iCs/>
          <w:color w:val="595959" w:themeColor="text1" w:themeTint="A6"/>
          <w:lang w:val="es-ES"/>
        </w:rPr>
      </w:pPr>
      <w:bookmarkStart w:id="557" w:name="_Toc235821336"/>
      <w:r w:rsidRPr="005E3D50">
        <w:rPr>
          <w:rFonts w:eastAsiaTheme="majorEastAsia" w:cstheme="majorBidi"/>
          <w:i/>
          <w:iCs/>
          <w:color w:val="595959" w:themeColor="text1" w:themeTint="A6"/>
          <w:lang w:val="es-ES"/>
        </w:rPr>
        <w:t>Ejemplos de logros y progresos en la implementación</w:t>
      </w:r>
      <w:bookmarkEnd w:id="557"/>
    </w:p>
    <w:p w14:paraId="6339942B"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p w14:paraId="32F631C7"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tbl>
      <w:tblPr>
        <w:tblStyle w:val="TableGrid1"/>
        <w:tblW w:w="0" w:type="auto"/>
        <w:tblLook w:val="04A0" w:firstRow="1" w:lastRow="0" w:firstColumn="1" w:lastColumn="0" w:noHBand="0" w:noVBand="1"/>
      </w:tblPr>
      <w:tblGrid>
        <w:gridCol w:w="9016"/>
      </w:tblGrid>
      <w:tr w:rsidR="008F15F1" w:rsidRPr="005E3D50" w14:paraId="7E29E10B" w14:textId="77777777" w:rsidTr="006E6831">
        <w:tc>
          <w:tcPr>
            <w:tcW w:w="9016" w:type="dxa"/>
            <w:shd w:val="clear" w:color="auto" w:fill="D1D1D1" w:themeFill="background2" w:themeFillShade="E6"/>
          </w:tcPr>
          <w:p w14:paraId="29E0784F" w14:textId="77777777" w:rsidR="008F15F1" w:rsidRPr="005E3D50" w:rsidRDefault="008F15F1" w:rsidP="008F15F1">
            <w:pPr>
              <w:rPr>
                <w:sz w:val="20"/>
                <w:szCs w:val="20"/>
              </w:rPr>
            </w:pPr>
          </w:p>
          <w:p w14:paraId="23744073" w14:textId="77777777" w:rsidR="008F15F1" w:rsidRPr="005E3D50" w:rsidRDefault="008F15F1" w:rsidP="008F15F1">
            <w:pPr>
              <w:rPr>
                <w:sz w:val="20"/>
                <w:szCs w:val="20"/>
              </w:rPr>
            </w:pPr>
            <w:r w:rsidRPr="005E3D50">
              <w:rPr>
                <w:sz w:val="20"/>
              </w:rPr>
              <w:lastRenderedPageBreak/>
              <w:t>Recuadro 54</w:t>
            </w:r>
          </w:p>
          <w:p w14:paraId="3DD935C6" w14:textId="77777777" w:rsidR="008F15F1" w:rsidRPr="005E3D50" w:rsidRDefault="008F15F1" w:rsidP="008F15F1">
            <w:pPr>
              <w:spacing w:after="160" w:line="278" w:lineRule="auto"/>
              <w:rPr>
                <w:b/>
                <w:bCs/>
                <w:sz w:val="20"/>
                <w:szCs w:val="20"/>
              </w:rPr>
            </w:pPr>
            <w:r w:rsidRPr="005E3D50">
              <w:rPr>
                <w:b/>
                <w:sz w:val="20"/>
              </w:rPr>
              <w:t>Apoyo a la iniciativa empresarial de las mujeres en la agroecología y la utilización sostenible de los recursos naturales en Túnez</w:t>
            </w:r>
          </w:p>
          <w:p w14:paraId="50F0B708" w14:textId="77777777" w:rsidR="008F15F1" w:rsidRPr="005E3D50" w:rsidRDefault="008F15F1" w:rsidP="008F15F1">
            <w:pPr>
              <w:spacing w:after="160" w:line="278" w:lineRule="auto"/>
              <w:rPr>
                <w:sz w:val="20"/>
                <w:szCs w:val="20"/>
                <w:vertAlign w:val="superscript"/>
              </w:rPr>
            </w:pPr>
            <w:r w:rsidRPr="005E3D50">
              <w:rPr>
                <w:sz w:val="20"/>
              </w:rPr>
              <w:t xml:space="preserve">El programa </w:t>
            </w:r>
            <w:proofErr w:type="spellStart"/>
            <w:r w:rsidRPr="005E3D50">
              <w:rPr>
                <w:sz w:val="20"/>
              </w:rPr>
              <w:t>Raïdet</w:t>
            </w:r>
            <w:proofErr w:type="spellEnd"/>
            <w:r w:rsidRPr="005E3D50">
              <w:rPr>
                <w:sz w:val="20"/>
              </w:rPr>
              <w:t xml:space="preserve"> de Túnez, que el Ministerio de la Mujer, la Familia, la Infancia y las Personas de Edad puso en marcha en 2022, ha financiado más de 3.600 proyectos dirigidos por mujeres, contribuyendo a la creación de casi 6.000 empleos. El programa apoya específicamente actividades relacionadas con la agroecología, la utilización sostenible de los recursos naturales y la artesanía rural, al tiempo que impulsa la economía local mediante la creación de empleo y la preservación de los conocimientos y las tradiciones locales.</w:t>
            </w:r>
            <w:r w:rsidRPr="005E3D50">
              <w:rPr>
                <w:sz w:val="20"/>
                <w:vertAlign w:val="superscript"/>
              </w:rPr>
              <w:t xml:space="preserve"> </w:t>
            </w:r>
          </w:p>
          <w:p w14:paraId="3DAAA066" w14:textId="77777777" w:rsidR="008F15F1" w:rsidRPr="005E3D50" w:rsidRDefault="008F15F1" w:rsidP="008F15F1">
            <w:pPr>
              <w:spacing w:after="160" w:line="278" w:lineRule="auto"/>
              <w:rPr>
                <w:sz w:val="20"/>
                <w:szCs w:val="20"/>
              </w:rPr>
            </w:pPr>
            <w:r w:rsidRPr="005E3D50">
              <w:rPr>
                <w:sz w:val="20"/>
              </w:rPr>
              <w:t>El programa tiene por objeto apoyar la iniciativa empresarial de las mujeres, en particular de mujeres y niñas innovadoras en sectores prometedores en todas las provincias, en zonas prioritarias y en barrios populares densamente poblados, además de apoyar proyectos especiales dirigidos a grupos específicos de mujeres en situaciones de vulnerabilidad.</w:t>
            </w:r>
          </w:p>
          <w:p w14:paraId="55D83182" w14:textId="77777777" w:rsidR="008F15F1" w:rsidRPr="005E3D50" w:rsidRDefault="008F15F1" w:rsidP="008F15F1">
            <w:pPr>
              <w:spacing w:after="160" w:line="278" w:lineRule="auto"/>
              <w:rPr>
                <w:sz w:val="20"/>
                <w:szCs w:val="20"/>
              </w:rPr>
            </w:pPr>
            <w:r w:rsidRPr="005E3D50">
              <w:rPr>
                <w:sz w:val="20"/>
              </w:rPr>
              <w:t xml:space="preserve">El programa </w:t>
            </w:r>
            <w:proofErr w:type="spellStart"/>
            <w:r w:rsidRPr="005E3D50">
              <w:rPr>
                <w:sz w:val="20"/>
              </w:rPr>
              <w:t>Raïdet</w:t>
            </w:r>
            <w:proofErr w:type="spellEnd"/>
            <w:r w:rsidRPr="005E3D50">
              <w:rPr>
                <w:sz w:val="20"/>
              </w:rPr>
              <w:t xml:space="preserve"> contribuye a alcanzar los objetivos de la meta nacional de Túnez de garantizar el derecho de los grupos de género diverso y vulnerables a participar en la elaboración de políticas de biodiversidad y de garantizar su acceso a los recursos y a los procesos de toma de decisiones relativos al cambio climático y a otros sectores económicos relacionados con la biodiversidad, así como a impartir capacitación en estas esferas. </w:t>
            </w:r>
          </w:p>
          <w:p w14:paraId="61F03ADD" w14:textId="77777777" w:rsidR="008F15F1" w:rsidRPr="005E3D50" w:rsidRDefault="008F15F1" w:rsidP="008F15F1">
            <w:pPr>
              <w:rPr>
                <w:rFonts w:ascii="Aptos" w:eastAsia="Aptos" w:hAnsi="Aptos" w:cs="Aptos"/>
                <w:color w:val="000000" w:themeColor="text1"/>
                <w:sz w:val="20"/>
                <w:szCs w:val="20"/>
              </w:rPr>
            </w:pPr>
            <w:r w:rsidRPr="005E3D50">
              <w:rPr>
                <w:rFonts w:ascii="Aptos" w:hAnsi="Aptos"/>
                <w:i/>
                <w:color w:val="000000" w:themeColor="text1"/>
                <w:sz w:val="20"/>
              </w:rPr>
              <w:t xml:space="preserve">Metas pertinentes: </w:t>
            </w:r>
            <w:r w:rsidRPr="005E3D50">
              <w:rPr>
                <w:rFonts w:ascii="Aptos" w:hAnsi="Aptos"/>
                <w:color w:val="000000" w:themeColor="text1"/>
                <w:sz w:val="20"/>
              </w:rPr>
              <w:t>5, 9, 10, 11, 19, 22 y 23.</w:t>
            </w:r>
          </w:p>
          <w:p w14:paraId="580F2D0A" w14:textId="77777777" w:rsidR="008F15F1" w:rsidRPr="005E3D50" w:rsidRDefault="008F15F1" w:rsidP="008F15F1">
            <w:pPr>
              <w:rPr>
                <w:rFonts w:ascii="Aptos" w:eastAsia="Aptos" w:hAnsi="Aptos" w:cs="Aptos"/>
                <w:i/>
                <w:iCs/>
                <w:color w:val="000000" w:themeColor="text1"/>
                <w:sz w:val="20"/>
                <w:szCs w:val="20"/>
              </w:rPr>
            </w:pPr>
            <w:r w:rsidRPr="005E3D50">
              <w:rPr>
                <w:rFonts w:ascii="Aptos" w:hAnsi="Aptos"/>
                <w:i/>
                <w:color w:val="000000" w:themeColor="text1"/>
                <w:sz w:val="20"/>
              </w:rPr>
              <w:t xml:space="preserve">Fuente: </w:t>
            </w:r>
            <w:r w:rsidRPr="005E3D50">
              <w:rPr>
                <w:rFonts w:ascii="Aptos" w:hAnsi="Aptos"/>
                <w:color w:val="000000" w:themeColor="text1"/>
                <w:sz w:val="20"/>
              </w:rPr>
              <w:t>Túnez, séptimo informe nacional presentado al Convenio.</w:t>
            </w:r>
          </w:p>
          <w:p w14:paraId="593FC308" w14:textId="77777777" w:rsidR="008F15F1" w:rsidRPr="005E3D50" w:rsidRDefault="008F15F1" w:rsidP="008F15F1"/>
        </w:tc>
      </w:tr>
    </w:tbl>
    <w:p w14:paraId="27AB6CB7" w14:textId="77777777" w:rsidR="008F15F1" w:rsidRPr="005E3D50" w:rsidRDefault="008F15F1" w:rsidP="008F15F1">
      <w:pPr>
        <w:rPr>
          <w:lang w:val="es-ES"/>
        </w:rPr>
      </w:pPr>
    </w:p>
    <w:p w14:paraId="76767CEC"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tbl>
      <w:tblPr>
        <w:tblStyle w:val="TableGrid1"/>
        <w:tblW w:w="0" w:type="auto"/>
        <w:tblLook w:val="04A0" w:firstRow="1" w:lastRow="0" w:firstColumn="1" w:lastColumn="0" w:noHBand="0" w:noVBand="1"/>
      </w:tblPr>
      <w:tblGrid>
        <w:gridCol w:w="9350"/>
      </w:tblGrid>
      <w:tr w:rsidR="008F15F1" w:rsidRPr="005E3D50" w14:paraId="1D5DCFEC" w14:textId="77777777" w:rsidTr="006E6831">
        <w:tc>
          <w:tcPr>
            <w:tcW w:w="12950" w:type="dxa"/>
            <w:shd w:val="clear" w:color="auto" w:fill="D1D1D1" w:themeFill="background2" w:themeFillShade="E6"/>
          </w:tcPr>
          <w:p w14:paraId="3AA35EC6" w14:textId="77777777" w:rsidR="008F15F1" w:rsidRPr="005E3D50" w:rsidRDefault="008F15F1" w:rsidP="008F15F1">
            <w:pPr>
              <w:keepNext/>
              <w:rPr>
                <w:sz w:val="20"/>
                <w:szCs w:val="20"/>
              </w:rPr>
            </w:pPr>
            <w:r w:rsidRPr="005E3D50">
              <w:rPr>
                <w:sz w:val="20"/>
              </w:rPr>
              <w:t xml:space="preserve">Recuadro 55 </w:t>
            </w:r>
          </w:p>
          <w:p w14:paraId="2877A148" w14:textId="77777777" w:rsidR="008F15F1" w:rsidRPr="005E3D50" w:rsidRDefault="008F15F1" w:rsidP="008F15F1">
            <w:pPr>
              <w:spacing w:after="160" w:line="278" w:lineRule="auto"/>
              <w:rPr>
                <w:b/>
                <w:bCs/>
                <w:sz w:val="20"/>
                <w:szCs w:val="20"/>
              </w:rPr>
            </w:pPr>
            <w:r w:rsidRPr="005E3D50">
              <w:rPr>
                <w:b/>
                <w:sz w:val="20"/>
              </w:rPr>
              <w:t>Reconocimiento de la gobernanza consuetudinaria y derechos forestales sociales de las mujeres en Indonesia</w:t>
            </w:r>
          </w:p>
          <w:p w14:paraId="10730859" w14:textId="77777777" w:rsidR="008F15F1" w:rsidRPr="005E3D50" w:rsidRDefault="008F15F1" w:rsidP="008F15F1">
            <w:pPr>
              <w:rPr>
                <w:rFonts w:ascii="Aptos" w:eastAsia="Aptos" w:hAnsi="Aptos" w:cs="Aptos"/>
                <w:color w:val="000000" w:themeColor="text1"/>
                <w:sz w:val="20"/>
                <w:szCs w:val="20"/>
              </w:rPr>
            </w:pPr>
          </w:p>
          <w:p w14:paraId="2813F2DC" w14:textId="77777777" w:rsidR="008F15F1" w:rsidRPr="005E3D50" w:rsidRDefault="008F15F1" w:rsidP="008F15F1">
            <w:pPr>
              <w:spacing w:after="160" w:line="278" w:lineRule="auto"/>
              <w:rPr>
                <w:sz w:val="20"/>
                <w:szCs w:val="20"/>
              </w:rPr>
            </w:pPr>
            <w:r w:rsidRPr="005E3D50">
              <w:rPr>
                <w:sz w:val="20"/>
              </w:rPr>
              <w:t xml:space="preserve">Indonesia ha promovido la igualdad de género en la gobernanza de la biodiversidad mediante autorizaciones de gestión forestal social a hogares encabezados por mujeres. Un ejemplo es la iniciativa Manglares en favor de la Resiliencia Costera, que demostró que la restauración costera inclusiva en materia de género puede generar beneficios tanto para la biodiversidad como para la resiliencia socioeconómica. El Ministerio de Finanzas de Indonesia puso en marcha esta iniciativa, que se implementó en la aldea de Kuala Selat, en el distrito de </w:t>
            </w:r>
            <w:proofErr w:type="spellStart"/>
            <w:r w:rsidRPr="005E3D50">
              <w:rPr>
                <w:sz w:val="20"/>
              </w:rPr>
              <w:t>Indragiri</w:t>
            </w:r>
            <w:proofErr w:type="spellEnd"/>
            <w:r w:rsidRPr="005E3D50">
              <w:rPr>
                <w:sz w:val="20"/>
              </w:rPr>
              <w:t xml:space="preserve"> </w:t>
            </w:r>
            <w:proofErr w:type="spellStart"/>
            <w:r w:rsidRPr="005E3D50">
              <w:rPr>
                <w:sz w:val="20"/>
              </w:rPr>
              <w:t>Hilir</w:t>
            </w:r>
            <w:proofErr w:type="spellEnd"/>
            <w:r w:rsidRPr="005E3D50">
              <w:rPr>
                <w:sz w:val="20"/>
              </w:rPr>
              <w:t xml:space="preserve"> de la provincia de Riau, con mujeres de la localidad y el Grupo de Agricultores Forestales (</w:t>
            </w:r>
            <w:proofErr w:type="spellStart"/>
            <w:r w:rsidRPr="005E3D50">
              <w:rPr>
                <w:i/>
                <w:iCs/>
                <w:sz w:val="20"/>
              </w:rPr>
              <w:t>Kelompok</w:t>
            </w:r>
            <w:proofErr w:type="spellEnd"/>
            <w:r w:rsidRPr="005E3D50">
              <w:rPr>
                <w:i/>
                <w:iCs/>
                <w:sz w:val="20"/>
              </w:rPr>
              <w:t xml:space="preserve"> Tani Hutan</w:t>
            </w:r>
            <w:r w:rsidRPr="005E3D50">
              <w:rPr>
                <w:sz w:val="20"/>
              </w:rPr>
              <w:t>) como participantes principales.</w:t>
            </w:r>
          </w:p>
          <w:p w14:paraId="2058A210" w14:textId="77777777" w:rsidR="008F15F1" w:rsidRPr="005E3D50" w:rsidRDefault="008F15F1" w:rsidP="008F15F1">
            <w:pPr>
              <w:spacing w:after="160" w:line="278" w:lineRule="auto"/>
              <w:rPr>
                <w:sz w:val="20"/>
                <w:szCs w:val="20"/>
              </w:rPr>
            </w:pPr>
            <w:r w:rsidRPr="005E3D50">
              <w:rPr>
                <w:sz w:val="20"/>
              </w:rPr>
              <w:t>La abrasión costera prolongada ha degradado gravemente los ecosistemas de manglares y ha amenazado los medios de vida locales y la resiliencia de la comunidad en Kuala Selat. Al mismo tiempo, las mujeres locales se han visto confinadas tradicionalmente al trabajo doméstico y han sido excluidas de la gestión de los recursos naturales y de la toma de decisiones al respecto. Para revertir la degradación del ecosistema y promover la igualdad de género, la iniciativa Manglares en favor de la Resiliencia Costera involucró a las mujeres locales en todo el proceso de conservación de los manglares, entre otras cosas en la preparación de plántulas, la plantación, el mantenimiento y el seguimiento ecológico. El liderazgo de las mujeres en el Grupo de Agricultores Forestales también ha abierto oportunidades de empoderamiento económico mediante la elaboración de productos locales, en especial productos marinos y de manglar, y la generación de medios de vida relacionados con la conservación, como el turismo.</w:t>
            </w:r>
          </w:p>
          <w:p w14:paraId="034E05E0" w14:textId="77777777" w:rsidR="008F15F1" w:rsidRPr="005E3D50" w:rsidRDefault="008F15F1" w:rsidP="008F15F1">
            <w:pPr>
              <w:spacing w:after="160" w:line="278" w:lineRule="auto"/>
              <w:rPr>
                <w:sz w:val="20"/>
                <w:szCs w:val="20"/>
              </w:rPr>
            </w:pPr>
            <w:r w:rsidRPr="005E3D50">
              <w:rPr>
                <w:sz w:val="20"/>
              </w:rPr>
              <w:t xml:space="preserve">En 2024, un total de 378 mujeres de la provincia de Riau participaron activamente en la plantación y gestión de manglares. La iniciativa continúa, con el objetivo de restaurar los ecosistemas de manglares en zonas costeras más amplias para 2027. Se espera que esto anime a más mujeres a salir de los roles domésticos tradicionales y a contribuir a la conservación de la naturaleza. Gracias a esta iniciativa, se protegen los medios de vida tradicionales y se crean otros nuevos, y las mujeres están obteniendo un acceso equitativo a los recursos naturales costeros y una voz significativa en la toma de decisiones sobre biodiversidad en el plano local. </w:t>
            </w:r>
          </w:p>
          <w:p w14:paraId="63440F7B" w14:textId="77777777" w:rsidR="008F15F1" w:rsidRPr="005E3D50" w:rsidRDefault="008F15F1" w:rsidP="008F15F1">
            <w:pPr>
              <w:jc w:val="both"/>
              <w:rPr>
                <w:sz w:val="20"/>
                <w:szCs w:val="20"/>
              </w:rPr>
            </w:pPr>
            <w:r w:rsidRPr="005E3D50">
              <w:rPr>
                <w:rFonts w:ascii="Aptos" w:hAnsi="Aptos"/>
                <w:i/>
                <w:color w:val="000000" w:themeColor="text1"/>
                <w:sz w:val="20"/>
              </w:rPr>
              <w:t xml:space="preserve">Metas pertinentes: </w:t>
            </w:r>
            <w:r w:rsidRPr="005E3D50">
              <w:rPr>
                <w:rFonts w:ascii="Aptos" w:hAnsi="Aptos"/>
                <w:color w:val="000000" w:themeColor="text1"/>
                <w:sz w:val="20"/>
              </w:rPr>
              <w:t>1, 2, 4, 5, 9, 10, 11, 22 y 23.</w:t>
            </w:r>
          </w:p>
          <w:p w14:paraId="4512C8DD" w14:textId="77777777" w:rsidR="008F15F1" w:rsidRPr="005E3D50" w:rsidRDefault="008F15F1" w:rsidP="008F15F1">
            <w:pPr>
              <w:rPr>
                <w:sz w:val="20"/>
                <w:szCs w:val="20"/>
              </w:rPr>
            </w:pPr>
            <w:r w:rsidRPr="005E3D50">
              <w:rPr>
                <w:i/>
                <w:sz w:val="20"/>
              </w:rPr>
              <w:t xml:space="preserve">Fuente: </w:t>
            </w:r>
            <w:r w:rsidRPr="005E3D50">
              <w:rPr>
                <w:sz w:val="20"/>
              </w:rPr>
              <w:t>Indonesia, séptimo informe nacional presentado al Convenio.</w:t>
            </w:r>
          </w:p>
          <w:p w14:paraId="7CB09555" w14:textId="77777777" w:rsidR="008F15F1" w:rsidRPr="005E3D50" w:rsidRDefault="008F15F1" w:rsidP="008F15F1"/>
        </w:tc>
      </w:tr>
    </w:tbl>
    <w:p w14:paraId="32FE55E5" w14:textId="77777777" w:rsidR="008F15F1" w:rsidRPr="005E3D50" w:rsidRDefault="008F15F1" w:rsidP="008F15F1">
      <w:pPr>
        <w:rPr>
          <w:lang w:val="es-ES"/>
        </w:rPr>
      </w:pPr>
    </w:p>
    <w:p w14:paraId="6231FEC4" w14:textId="77777777" w:rsidR="008F15F1" w:rsidRPr="005E3D50" w:rsidRDefault="008F15F1" w:rsidP="008F15F1">
      <w:pPr>
        <w:keepNext/>
        <w:keepLines/>
        <w:spacing w:before="40" w:after="0"/>
        <w:outlineLvl w:val="5"/>
        <w:rPr>
          <w:rFonts w:eastAsiaTheme="majorEastAsia" w:cstheme="majorBidi"/>
          <w:i/>
          <w:iCs/>
          <w:color w:val="595959" w:themeColor="text1" w:themeTint="A6"/>
          <w:lang w:val="es-ES"/>
        </w:rPr>
      </w:pPr>
      <w:bookmarkStart w:id="558" w:name="_Toc235821337"/>
      <w:r w:rsidRPr="005E3D50">
        <w:rPr>
          <w:rFonts w:eastAsiaTheme="majorEastAsia" w:cstheme="majorBidi"/>
          <w:i/>
          <w:iCs/>
          <w:color w:val="595959" w:themeColor="text1" w:themeTint="A6"/>
          <w:lang w:val="es-ES"/>
        </w:rPr>
        <w:t>Dificultades</w:t>
      </w:r>
      <w:bookmarkEnd w:id="558"/>
    </w:p>
    <w:p w14:paraId="33079778" w14:textId="77777777" w:rsidR="008F15F1" w:rsidRPr="005E3D50" w:rsidRDefault="008F15F1" w:rsidP="008F15F1">
      <w:pPr>
        <w:rPr>
          <w:lang w:val="es-ES"/>
        </w:rPr>
      </w:pPr>
    </w:p>
    <w:p w14:paraId="454AB082" w14:textId="77777777" w:rsidR="008F15F1" w:rsidRPr="005E3D50" w:rsidRDefault="008F15F1" w:rsidP="008F15F1">
      <w:pPr>
        <w:rPr>
          <w:lang w:val="es-ES"/>
        </w:rPr>
      </w:pPr>
      <w:r w:rsidRPr="005E3D50">
        <w:rPr>
          <w:lang w:val="es-ES"/>
        </w:rPr>
        <w:t xml:space="preserve">Varias Partes reconocen que la participación formal de las mujeres no se traduce en una autoridad sustantiva en la toma de decisiones ni en su participación en la gobernanza financiera relacionada con la biodiversidad. Es necesario promover enfoques con perspectiva de género en la gobernanza financiera relacionada con la biodiversidad, por </w:t>
      </w:r>
      <w:proofErr w:type="gramStart"/>
      <w:r w:rsidRPr="005E3D50">
        <w:rPr>
          <w:lang w:val="es-ES"/>
        </w:rPr>
        <w:lastRenderedPageBreak/>
        <w:t>ejemplo</w:t>
      </w:r>
      <w:proofErr w:type="gramEnd"/>
      <w:r w:rsidRPr="005E3D50">
        <w:rPr>
          <w:lang w:val="es-ES"/>
        </w:rPr>
        <w:t xml:space="preserve"> en la gestión de las finanzas públicas, la política fiscal, la reglamentación financiera y otros procesos de toma de decisiones financieras que influyen en los resultados en materia de biodiversidad. Incluso cuando se han adoptado estrategias o planes de género, estos no se llevan a la práctica o la implementación suele ser lenta. Muchas Partes informan que los puntos focales o las unidades de género carecen de presupuestos, personal o autoridad institucional específicos. En algunos casos, la incorporación de la perspectiva de género, cuando existe, suele limitarse a proyectos específicos y ser puntual, en lugar de estar integrada de forma sistemática en las instituciones, las políticas y los procesos de planificación. Varios informes nacionales incluyen un análisis de las barreras estructurales que afectan a la participación de las mujeres, entre ellas las responsabilidades de cuidado y las normas patriarcales, en particular para las mujeres de los pueblos indígenas y las comunidades locales o de grupos vulnerables. Además, las organizaciones de mujeres a menudo carecen de fondos para contribuir a la implementación del Marco. Unas pocas Partes informaron que el hecho de que las mujeres no suelan ser propietarias de las tierras y los recursos naturales socava aún más su posición en la toma de decisiones sobre conservación. Varias Partes reconocen que carecen por completo de medidas en relación con la meta 23. La falta de datos desglosados por sexo y de indicadores de biodiversidad centrados en el género dificulta el seguimiento de las tendencias, lo que genera deficiencias en el seguimiento.</w:t>
      </w:r>
    </w:p>
    <w:p w14:paraId="5D6243DE"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1DD270EB"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59" w:name="_Toc235821338"/>
      <w:r w:rsidRPr="005E3D50">
        <w:rPr>
          <w:rFonts w:eastAsiaTheme="majorEastAsia" w:cstheme="majorBidi"/>
          <w:color w:val="0F4761" w:themeColor="accent1" w:themeShade="BF"/>
          <w:lang w:val="es-ES"/>
        </w:rPr>
        <w:t>Contribuciones de actores distintos de los Gobiernos</w:t>
      </w:r>
      <w:bookmarkEnd w:id="559"/>
      <w:r w:rsidRPr="005E3D50">
        <w:rPr>
          <w:rFonts w:eastAsiaTheme="majorEastAsia" w:cstheme="majorBidi"/>
          <w:color w:val="0F4761" w:themeColor="accent1" w:themeShade="BF"/>
          <w:lang w:val="es-ES"/>
        </w:rPr>
        <w:t xml:space="preserve"> nacionales</w:t>
      </w:r>
    </w:p>
    <w:p w14:paraId="2D42B5F9" w14:textId="77777777" w:rsidR="008F15F1" w:rsidRPr="005E3D50" w:rsidRDefault="008F15F1" w:rsidP="008F15F1">
      <w:pPr>
        <w:rPr>
          <w:lang w:val="es-ES"/>
        </w:rPr>
      </w:pPr>
    </w:p>
    <w:p w14:paraId="734BD9AF" w14:textId="77777777" w:rsidR="008F15F1" w:rsidRPr="005E3D50" w:rsidRDefault="008F15F1" w:rsidP="008F15F1">
      <w:pPr>
        <w:keepNext/>
        <w:keepLines/>
        <w:spacing w:before="40" w:after="0"/>
        <w:outlineLvl w:val="5"/>
        <w:rPr>
          <w:rFonts w:eastAsiaTheme="majorEastAsia" w:cstheme="majorBidi"/>
          <w:i/>
          <w:iCs/>
          <w:color w:val="595959" w:themeColor="text1" w:themeTint="A6"/>
          <w:lang w:val="es-ES"/>
        </w:rPr>
      </w:pPr>
      <w:bookmarkStart w:id="560" w:name="_Toc235821339"/>
      <w:r w:rsidRPr="005E3D50">
        <w:rPr>
          <w:rFonts w:eastAsiaTheme="majorEastAsia" w:cstheme="majorBidi"/>
          <w:i/>
          <w:iCs/>
          <w:color w:val="595959" w:themeColor="text1" w:themeTint="A6"/>
          <w:lang w:val="es-ES"/>
        </w:rPr>
        <w:t>Compromisos presentados directamente a través de la herramienta de presentación de informes en línea</w:t>
      </w:r>
      <w:bookmarkEnd w:id="560"/>
    </w:p>
    <w:p w14:paraId="3FEB12AC" w14:textId="77777777" w:rsidR="008F15F1" w:rsidRPr="005E3D50" w:rsidRDefault="008F15F1" w:rsidP="008F15F1">
      <w:pPr>
        <w:rPr>
          <w:lang w:val="es-ES"/>
        </w:rPr>
      </w:pPr>
    </w:p>
    <w:p w14:paraId="38383351" w14:textId="77777777" w:rsidR="008F15F1" w:rsidRPr="005E3D50" w:rsidRDefault="008F15F1" w:rsidP="008F15F1">
      <w:pPr>
        <w:rPr>
          <w:lang w:val="es-ES"/>
        </w:rPr>
      </w:pPr>
      <w:r w:rsidRPr="005E3D50">
        <w:rPr>
          <w:lang w:val="es-ES"/>
        </w:rPr>
        <w:t>De los 180 compromisos presentados por actores distintos de los Gobiernos nacionales, 8 están relacionados principalmente con la meta 23. Cuatro de ellos fueron presentados por ONG, tres por el Grupo de Mujeres del CDB (véase el recuadro 56) y uno por la red de investigación agrícola del CGIAR. El ámbito geográfico de los compromisos abarca África, América del Sur, Asia y Europa.</w:t>
      </w:r>
    </w:p>
    <w:p w14:paraId="5F15744E" w14:textId="77777777" w:rsidR="008F15F1" w:rsidRPr="005E3D50" w:rsidRDefault="008F15F1" w:rsidP="008F15F1">
      <w:pPr>
        <w:rPr>
          <w:lang w:val="es-ES"/>
        </w:rPr>
      </w:pPr>
    </w:p>
    <w:p w14:paraId="551BB1EC"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(II.B.23-NSA-WOMENS_CAUCUS): El Grupo de Mujeres del CDB: fortalecer el liderazgo de las mujeres en la implementación del Marco</w:t>
      </w:r>
    </w:p>
    <w:p w14:paraId="22857F8E" w14:textId="77777777" w:rsidR="008F15F1" w:rsidRPr="005E3D50" w:rsidRDefault="008F15F1" w:rsidP="008F15F1">
      <w:pPr>
        <w:rPr>
          <w:lang w:val="es-ES" w:eastAsia="ja-JP"/>
        </w:rPr>
      </w:pPr>
    </w:p>
    <w:tbl>
      <w:tblPr>
        <w:tblStyle w:val="TableGrid1"/>
        <w:tblW w:w="0" w:type="auto"/>
        <w:tblLook w:val="04A0" w:firstRow="1" w:lastRow="0" w:firstColumn="1" w:lastColumn="0" w:noHBand="0" w:noVBand="1"/>
      </w:tblPr>
      <w:tblGrid>
        <w:gridCol w:w="9016"/>
      </w:tblGrid>
      <w:tr w:rsidR="008F15F1" w:rsidRPr="005E3D50" w14:paraId="22C6E74D" w14:textId="77777777" w:rsidTr="006E6831">
        <w:tc>
          <w:tcPr>
            <w:tcW w:w="9016" w:type="dxa"/>
            <w:shd w:val="clear" w:color="auto" w:fill="E8E8E8" w:themeFill="background2"/>
          </w:tcPr>
          <w:p w14:paraId="767B35BC" w14:textId="77777777" w:rsidR="008F15F1" w:rsidRPr="005E3D50" w:rsidRDefault="008F15F1" w:rsidP="008F15F1">
            <w:pPr>
              <w:keepNext/>
              <w:rPr>
                <w:sz w:val="20"/>
                <w:szCs w:val="20"/>
              </w:rPr>
            </w:pPr>
            <w:bookmarkStart w:id="561" w:name="_Ref230889212"/>
            <w:r w:rsidRPr="005E3D50">
              <w:rPr>
                <w:sz w:val="20"/>
              </w:rPr>
              <w:lastRenderedPageBreak/>
              <w:t>Recuadro 56</w:t>
            </w:r>
            <w:bookmarkEnd w:id="561"/>
          </w:p>
          <w:p w14:paraId="6FC9749D" w14:textId="77777777" w:rsidR="008F15F1" w:rsidRPr="005E3D50" w:rsidRDefault="008F15F1" w:rsidP="008F15F1">
            <w:pPr>
              <w:rPr>
                <w:b/>
                <w:bCs/>
                <w:sz w:val="20"/>
                <w:szCs w:val="20"/>
              </w:rPr>
            </w:pPr>
            <w:r w:rsidRPr="005E3D50">
              <w:rPr>
                <w:b/>
                <w:sz w:val="20"/>
              </w:rPr>
              <w:t>El Grupo de Mujeres del CDB: fortalecer el liderazgo de las mujeres en la implementación del Marco</w:t>
            </w:r>
          </w:p>
          <w:p w14:paraId="1E8BAD0A" w14:textId="77777777" w:rsidR="008F15F1" w:rsidRPr="005E3D50" w:rsidRDefault="008F15F1" w:rsidP="008F15F1">
            <w:pPr>
              <w:rPr>
                <w:i/>
                <w:iCs/>
              </w:rPr>
            </w:pPr>
          </w:p>
          <w:p w14:paraId="6F7A11CD" w14:textId="77777777" w:rsidR="008F15F1" w:rsidRPr="005E3D50" w:rsidRDefault="008F15F1" w:rsidP="008F15F1">
            <w:pPr>
              <w:spacing w:after="160" w:line="278" w:lineRule="auto"/>
              <w:rPr>
                <w:sz w:val="20"/>
                <w:szCs w:val="20"/>
              </w:rPr>
            </w:pPr>
            <w:r w:rsidRPr="005E3D50">
              <w:rPr>
                <w:sz w:val="20"/>
              </w:rPr>
              <w:t>El Grupo de Mujeres del CDB representa a más de 800 organizaciones y personas de 137 países. El Grupo consolida la Red de Puntos Focales Nacionales sobre Género y Biodiversidad como un mecanismo de coordinación permanente entre los puntos focales nacionales de género designados oficialmente para el Convenio. El Grupo aborda las deficiencias estructurales en el intercambio entre pares y la coherencia entre regiones en la implementación de la meta 23 y el Plan de Acción sobre Género (2023-2030). El compromiso se centra en fortalecer sistemáticamente el liderazgo, la capacidad de negociación, la experiencia técnica y la participación significativa de las mujeres y las niñas, en toda su diversidad, incluidas aquellas de los pueblos indígenas y las comunidades locales, en la implementación y el seguimiento del Marco, y en abordar la desigualdad estructural en el acceso a la toma de decisiones y los obstáculos financieros para su participación. El Grupo también trabaja activamente para promover mecanismos de seguimiento, presentación de informes y rendición de cuentas con perspectiva de género mediante la promoción sistemática de datos desglosados por sexo, indicadores que tengan en cuenta el género y pruebas generadas por las comunidades para apoyar una implementación medible y responsable. </w:t>
            </w:r>
          </w:p>
          <w:p w14:paraId="3909D604" w14:textId="77777777" w:rsidR="008F15F1" w:rsidRPr="005E3D50" w:rsidRDefault="008F15F1" w:rsidP="008F15F1">
            <w:pPr>
              <w:spacing w:after="320"/>
              <w:jc w:val="both"/>
              <w:rPr>
                <w:sz w:val="20"/>
                <w:szCs w:val="20"/>
              </w:rPr>
            </w:pPr>
            <w:r w:rsidRPr="005E3D50">
              <w:rPr>
                <w:i/>
                <w:sz w:val="20"/>
              </w:rPr>
              <w:t xml:space="preserve">Metas pertinentes: </w:t>
            </w:r>
            <w:r w:rsidRPr="005E3D50">
              <w:rPr>
                <w:sz w:val="20"/>
              </w:rPr>
              <w:t>20, 22 y 23.</w:t>
            </w:r>
          </w:p>
          <w:p w14:paraId="49642AB3" w14:textId="77777777" w:rsidR="008F15F1" w:rsidRPr="005E3D50" w:rsidRDefault="008F15F1" w:rsidP="008F15F1">
            <w:pPr>
              <w:spacing w:after="320"/>
              <w:rPr>
                <w:sz w:val="20"/>
                <w:szCs w:val="20"/>
              </w:rPr>
            </w:pPr>
            <w:r w:rsidRPr="005E3D50">
              <w:rPr>
                <w:i/>
                <w:sz w:val="20"/>
              </w:rPr>
              <w:t xml:space="preserve">Fuentes: </w:t>
            </w:r>
            <w:r w:rsidRPr="005E3D50">
              <w:rPr>
                <w:sz w:val="20"/>
              </w:rPr>
              <w:t xml:space="preserve">Grupo de Mujeres del CDB, compromisos de los interesados (véanse </w:t>
            </w:r>
            <w:hyperlink r:id="rId217" w:history="1">
              <w:r w:rsidRPr="005E3D50">
                <w:rPr>
                  <w:rFonts w:ascii="Calibri" w:hAnsi="Calibri"/>
                  <w:color w:val="000000" w:themeColor="text1"/>
                  <w:sz w:val="20"/>
                </w:rPr>
                <w:t>https://ort.cbd.int/database/287720</w:t>
              </w:r>
            </w:hyperlink>
            <w:r w:rsidRPr="005E3D50">
              <w:t xml:space="preserve">, </w:t>
            </w:r>
            <w:hyperlink r:id="rId218" w:history="1">
              <w:r w:rsidRPr="005E3D50">
                <w:rPr>
                  <w:rFonts w:ascii="Calibri" w:hAnsi="Calibri"/>
                  <w:color w:val="000000" w:themeColor="text1"/>
                  <w:sz w:val="20"/>
                </w:rPr>
                <w:t>https://ort.cbd.int/database/287718</w:t>
              </w:r>
            </w:hyperlink>
            <w:r w:rsidRPr="005E3D50">
              <w:rPr>
                <w:sz w:val="20"/>
              </w:rPr>
              <w:t xml:space="preserve"> y </w:t>
            </w:r>
            <w:hyperlink r:id="rId219" w:history="1">
              <w:r w:rsidRPr="005E3D50">
                <w:rPr>
                  <w:rFonts w:ascii="Calibri" w:hAnsi="Calibri"/>
                  <w:color w:val="000000" w:themeColor="text1"/>
                  <w:sz w:val="20"/>
                </w:rPr>
                <w:t>https://ort.cbd.int/database/287719</w:t>
              </w:r>
            </w:hyperlink>
            <w:r w:rsidRPr="005E3D50">
              <w:rPr>
                <w:sz w:val="20"/>
              </w:rPr>
              <w:t>).</w:t>
            </w:r>
          </w:p>
        </w:tc>
      </w:tr>
    </w:tbl>
    <w:p w14:paraId="43A43962" w14:textId="77777777" w:rsidR="008F15F1" w:rsidRPr="005E3D50" w:rsidRDefault="008F15F1" w:rsidP="008F15F1">
      <w:pPr>
        <w:rPr>
          <w:lang w:val="es-ES"/>
        </w:rPr>
      </w:pPr>
    </w:p>
    <w:p w14:paraId="0E3A383A" w14:textId="77777777" w:rsidR="008F15F1" w:rsidRPr="005E3D50" w:rsidRDefault="008F15F1" w:rsidP="008F15F1">
      <w:pPr>
        <w:keepNext/>
        <w:keepLines/>
        <w:spacing w:before="40" w:after="0"/>
        <w:outlineLvl w:val="5"/>
        <w:rPr>
          <w:rFonts w:eastAsiaTheme="majorEastAsia" w:cstheme="majorBidi"/>
          <w:i/>
          <w:iCs/>
          <w:color w:val="595959" w:themeColor="text1" w:themeTint="A6"/>
          <w:lang w:val="es-ES"/>
        </w:rPr>
      </w:pPr>
      <w:bookmarkStart w:id="562" w:name="_Toc235821340"/>
      <w:r w:rsidRPr="005E3D50">
        <w:rPr>
          <w:rFonts w:eastAsiaTheme="majorEastAsia" w:cstheme="majorBidi"/>
          <w:i/>
          <w:iCs/>
          <w:color w:val="595959" w:themeColor="text1" w:themeTint="A6"/>
          <w:lang w:val="es-ES"/>
        </w:rPr>
        <w:t>Contribuciones integradas en los informes nacionales</w:t>
      </w:r>
      <w:bookmarkEnd w:id="562"/>
    </w:p>
    <w:p w14:paraId="6A8BB174" w14:textId="77777777" w:rsidR="008F15F1" w:rsidRPr="005E3D50" w:rsidRDefault="008F15F1" w:rsidP="008F15F1">
      <w:pPr>
        <w:rPr>
          <w:lang w:val="es-ES"/>
        </w:rPr>
      </w:pPr>
    </w:p>
    <w:p w14:paraId="0C23ABAD" w14:textId="77777777" w:rsidR="008F15F1" w:rsidRPr="005E3D50" w:rsidRDefault="008F15F1" w:rsidP="008F15F1">
      <w:pPr>
        <w:rPr>
          <w:lang w:val="es-ES"/>
        </w:rPr>
      </w:pPr>
      <w:r w:rsidRPr="005E3D50">
        <w:rPr>
          <w:lang w:val="es-ES"/>
        </w:rPr>
        <w:t xml:space="preserve">Entre los actores distintos de los Gobiernos nacionales, se informa que las ONG suelen desempeñar papeles de ejecución relacionados con la implementación de la meta 23, mientras que las organizaciones intergubernamentales participan en la ejecución conjunta. Los fondos multilaterales y los organismos bilaterales ayudan a financiar y ejecutar conjuntamente programas de biodiversidad con perspectiva de género. Se informa que los pueblos indígenas y las comunidades locales, los gobiernos subnacionales, las ciudades y otras autoridades locales, los representantes de sectores relacionados con la biodiversidad o que dependen de ella y los grupos de mujeres desempeñan funciones de gestión conjunta y gobernanza. Dichas funciones incluyen la participación en juntas administrativas, el diseño conjunto de planes de conservación y el ejercicio de la autoridad de gobernanza consuetudinaria, con una representación obligatoria de las mujeres en los comités de gestión conjunta respaldada por ley en varias Partes. La financiación es una función distintiva de las organizaciones intergubernamentales y, en menor medida, de la comunidad empresarial y financiera, que </w:t>
      </w:r>
      <w:r w:rsidRPr="005E3D50">
        <w:rPr>
          <w:lang w:val="es-ES"/>
        </w:rPr>
        <w:lastRenderedPageBreak/>
        <w:t>recurren a fondos multilaterales y organismos bilaterales, así como a mecanismos de financiación privada más innovadores pero limitados. Se ha informado sobre la provisión de conocimientos y seguimiento para las organizaciones de investigación, los pueblos indígenas y las comunidades locales y la juventud, quienes generan datos de referencia sobre biodiversidad, desarrollan herramientas de evaluación con perspectiva de género, producen conjuntamente datos de ciencia ciudadana y aportan conocimientos tradicionales a los instrumentos de gobernanza. La sensibilización y la creación de capacidad son las funciones más comúnmente informadas para la ciudadanía y el público en general, la juventud y las mujeres y las niñas. Se ha informado que las ONG, las organizaciones juveniles y las redes internacionales de mujeres desempeñan funciones de promoción y rendición de cuentas, que incluyen su participación formal en las negociaciones del Convenio y en los procesos internacionales relacionados con políticas.</w:t>
      </w:r>
    </w:p>
    <w:p w14:paraId="4F7DBAFA" w14:textId="77777777" w:rsidR="008F15F1" w:rsidRPr="005E3D50" w:rsidRDefault="008F15F1" w:rsidP="008F15F1">
      <w:pPr>
        <w:rPr>
          <w:lang w:val="es-ES"/>
        </w:rPr>
      </w:pPr>
    </w:p>
    <w:p w14:paraId="257AEC54"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Ejemplos de vínculos con otros acuerdos, procesos y organizaciones</w:t>
      </w:r>
    </w:p>
    <w:p w14:paraId="77C90E61" w14:textId="77777777" w:rsidR="008F15F1" w:rsidRPr="005E3D50" w:rsidRDefault="008F15F1" w:rsidP="008F15F1">
      <w:pPr>
        <w:rPr>
          <w:lang w:val="es-ES"/>
        </w:rPr>
      </w:pPr>
    </w:p>
    <w:p w14:paraId="7739A475" w14:textId="77777777" w:rsidR="008F15F1" w:rsidRPr="005E3D50" w:rsidRDefault="008F15F1" w:rsidP="008F15F1">
      <w:pPr>
        <w:rPr>
          <w:lang w:val="es-ES"/>
        </w:rPr>
      </w:pPr>
      <w:r w:rsidRPr="005E3D50">
        <w:rPr>
          <w:lang w:val="es-ES"/>
        </w:rPr>
        <w:t xml:space="preserve">Las desigualdades de género en relación con la gestión de los productos químicos y los desechos afectan de manera significativa la salud de las mujeres, su poder de decisión y sus oportunidades económicas. Al mismo tiempo, las mujeres poseen conocimientos y experiencia valiosos que pueden impulsar operaciones de gestión de productos químicos y desechos más eficaces y equitativas. Reconociendo estos factores, los Convenios de Basilea, Estocolmo y Rotterdam promueven la igualdad de género en la gestión de los productos químicos y los desechos a través de su Plan de Acción de Género para 2025-2035. Esto incluye la recopilación de datos desglosados por sexo para orientar las políticas, el empoderamiento de las mujeres mediante capacitación para funciones de liderazgo y formas de garantizar su </w:t>
      </w:r>
      <w:proofErr w:type="gramStart"/>
      <w:r w:rsidRPr="005E3D50">
        <w:rPr>
          <w:lang w:val="es-ES"/>
        </w:rPr>
        <w:t>participación activa</w:t>
      </w:r>
      <w:proofErr w:type="gramEnd"/>
      <w:r w:rsidRPr="005E3D50">
        <w:rPr>
          <w:lang w:val="es-ES"/>
        </w:rPr>
        <w:t xml:space="preserve"> en la toma de decisiones. Las alianzas con iniciativas como Paladines Internacionales de la Igualdad de Género y el FMAM amplifican estos esfuerzos, fomentando estrategias inclusivas en todo el sector. El Marco Mundial sobre los Productos Químicos: por un Planeta Libre de los Daños derivados de los Productos Químicos y los Desechos también reconoce a las mujeres como agentes de cambio para abordar las cuestiones relacionadas con los productos químicos y los desechos, y su meta B5 se centra en elaborar, para 2030, programas educativos, de formación y de sensibilización pública que destaquen la seguridad química, la sostenibilidad y las alternativas más seguras, garantizando que estas iniciativas tengan en cuenta un enfoque que responda a las cuestiones de género. Además, en la meta B7 se pide que se generen datos de seguimiento y vigilancia completos sobre la exposición a productos químicos, desglosados por factores como el sexo, la edad y otros datos </w:t>
      </w:r>
      <w:r w:rsidRPr="005E3D50">
        <w:rPr>
          <w:lang w:val="es-ES"/>
        </w:rPr>
        <w:lastRenderedPageBreak/>
        <w:t>demográficos. Estas iniciativas están dirigidas a empoderar a las mujeres con los conocimientos e instrumentos necesarios para asumir funciones de liderazgo en la gestión de los productos químicos y los desechos, fortaleciendo su capacidad para influir en las políticas e impulsar prácticas más inclusivas y sostenibles (Secretaría de los Convenios de Basilea, Estocolmo y Rotterdam, 2025).</w:t>
      </w:r>
    </w:p>
    <w:p w14:paraId="79671B34" w14:textId="77777777" w:rsidR="008F15F1" w:rsidRPr="005E3D50" w:rsidRDefault="008F15F1" w:rsidP="008F15F1">
      <w:pPr>
        <w:rPr>
          <w:lang w:val="es-ES"/>
        </w:rPr>
      </w:pPr>
      <w:r w:rsidRPr="005E3D50">
        <w:rPr>
          <w:lang w:val="es-ES"/>
        </w:rPr>
        <w:t>En 2018, las Partes Contratantes en la Convención sobre los Humedales adoptaron la Resolución XIII.18 sobre género y humedales, en la que las Partes reconocieron la importancia de abordar la igualdad de género y el empoderamiento de las mujeres en la aplicación de la Convención sobre los Humedales y de incorporar una perspectiva de género en su labor. En la 15ª reunión de la Conferencia de las Partes en la Convención, celebrada en 2025, el 94 % de las Partes Contratantes citó medidas que promueven el equilibrio de género en las decisiones o la investigación relacionadas con los humedales, en comparación con el 79 % registrado en 2022. Sin embargo, solo el 11 % de las Partes Contratantes informó que recopila datos desglosados por sexo relativos a la participación en las decisiones, los programas y la investigación relacionados con los humedales (Convención sobre los Humedales, 2025a).</w:t>
      </w:r>
    </w:p>
    <w:p w14:paraId="038BA017" w14:textId="77777777" w:rsidR="008F15F1" w:rsidRPr="005E3D50" w:rsidRDefault="008F15F1" w:rsidP="008F15F1">
      <w:pPr>
        <w:rPr>
          <w:lang w:val="es-ES"/>
        </w:rPr>
      </w:pPr>
    </w:p>
    <w:p w14:paraId="1E89521F"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bookmarkStart w:id="563" w:name="_Toc235821341"/>
      <w:bookmarkStart w:id="564" w:name="_Toc239069220"/>
      <w:bookmarkStart w:id="565" w:name="_Toc903396104"/>
      <w:bookmarkStart w:id="566" w:name="_Toc242882998"/>
      <w:r w:rsidRPr="005E3D50">
        <w:rPr>
          <w:rFonts w:asciiTheme="majorHAnsi" w:eastAsiaTheme="majorEastAsia" w:hAnsiTheme="majorHAnsi" w:cstheme="majorBidi"/>
          <w:color w:val="0F4761" w:themeColor="accent1" w:themeShade="BF"/>
          <w:sz w:val="32"/>
          <w:szCs w:val="32"/>
          <w:lang w:val="es-ES"/>
        </w:rPr>
        <w:t>II.C Progresos colectivos en la consecución de los objetivos para 2050</w:t>
      </w:r>
      <w:bookmarkEnd w:id="563"/>
      <w:bookmarkEnd w:id="564"/>
      <w:bookmarkEnd w:id="565"/>
      <w:bookmarkEnd w:id="566"/>
    </w:p>
    <w:p w14:paraId="152038D8" w14:textId="77777777" w:rsidR="008F15F1" w:rsidRPr="005E3D50" w:rsidRDefault="008F15F1" w:rsidP="008F15F1">
      <w:pPr>
        <w:spacing w:line="279" w:lineRule="auto"/>
        <w:rPr>
          <w:lang w:val="es-ES"/>
        </w:rPr>
      </w:pPr>
    </w:p>
    <w:p w14:paraId="1031782F" w14:textId="77777777" w:rsidR="008F15F1" w:rsidRPr="005E3D50" w:rsidRDefault="008F15F1" w:rsidP="008F15F1">
      <w:pPr>
        <w:spacing w:line="279" w:lineRule="auto"/>
        <w:rPr>
          <w:lang w:val="es-ES"/>
        </w:rPr>
      </w:pPr>
      <w:r w:rsidRPr="005E3D50">
        <w:rPr>
          <w:lang w:val="es-ES"/>
        </w:rPr>
        <w:t xml:space="preserve">La aplicación de las estrategias y planes de acción nacionales en materia de biodiversidad (EPANB) y la consecución de las metas nacionales relacionadas son los principales mecanismos que impulsan el progreso hacia la consecución de los objetivos del Marco Mundial de Biodiversidad de Kunming-Montreal. Por lo tanto, si existen deficiencias en el cumplimiento de las metas nacionales, el progreso hacia la consecución de los objetivos se verá comprometido. En la presente sección se analizan las posibles consecuencias para cada uno de los objetivos para 2050 derivadas del estado actual de los progresos hacia la consecución de las metas relacionadas (como se describe en la secc. II.B), en el entendido de que es demasiado pronto para extraer conclusiones significativas sobre el grado de progresos realizado para alcanzar esos objetivos. Por lo tanto, esta parte del análisis para el informe mundial constituye, en gran medida, una evaluación indirecta de los progresos basada en las correlaciones establecidas por las propias Partes, en lugar de una medición directa de los progresos en la consecución de los objetivos. El análisis también resume la información disponible a partir de los datos presentados sobre los indicadores de cabecera del marco de seguimiento directamente relacionados con cada una de las metas, reconociendo sus limitaciones y sesgos, así como sobre los indicadores </w:t>
      </w:r>
      <w:r w:rsidRPr="005E3D50">
        <w:rPr>
          <w:lang w:val="es-ES"/>
        </w:rPr>
        <w:lastRenderedPageBreak/>
        <w:t xml:space="preserve">binarios vinculados a esas metas. El análisis no considera las relaciones entre las metas del Marco, ni cómo el progreso hacia la consecución de una meta afecta el progreso hacia la consecución de otras. Es probable que se hayan subestimado muchas relaciones directas e indirectas potencialmente importantes entre los objetivos y las metas, y las relaciones entre las metas y los objetivos que se exponen a continuación no deberían considerarse exhaustivas. </w:t>
      </w:r>
    </w:p>
    <w:p w14:paraId="54DC6203"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Cs/>
          <w:color w:val="000000" w:themeColor="text1"/>
          <w:kern w:val="0"/>
          <w:szCs w:val="18"/>
          <w:lang w:val="es-ES" w:eastAsia="ja-JP"/>
          <w14:ligatures w14:val="none"/>
        </w:rPr>
        <w:t xml:space="preserve">Las Partes han armonizado cada una de sus metas nacionales con una o más de las 23 metas mundiales del Marco. Se solicita a las Partes que, al presentar esas metas nacionales, indiquen a cuál de los cuatro objetivos de 2050 del Marco contribuirá una meta determinada. Por lo tanto, tomando como referencia las relaciones establecidas, resulta posible obtener información sobre cómo el progreso en la consecución de las metas nacionales establecidas por las Partes respalda el progreso hacia la consecución de cada uno de los objetivos mundiales a través de las metas mundiales. </w:t>
      </w:r>
    </w:p>
    <w:p w14:paraId="25A8FD1C" w14:textId="77777777" w:rsidR="008F15F1" w:rsidRPr="005E3D50" w:rsidRDefault="008F15F1" w:rsidP="008F15F1">
      <w:pPr>
        <w:rPr>
          <w:rFonts w:ascii="Aptos" w:eastAsia="Aptos" w:hAnsi="Aptos" w:cs="Aptos"/>
          <w:lang w:val="es-ES"/>
        </w:rPr>
      </w:pPr>
      <w:r w:rsidRPr="005E3D50">
        <w:rPr>
          <w:lang w:val="es-ES"/>
        </w:rPr>
        <w:t>La figura 95 ilustra la frecuencia con la que las Partes han relacionado una meta mundial con un objetivo mundial al presentar sus metas nacionales. Por ejemplo, las Partes indican que el 71 % de todas las metas nacionales armonizadas con la meta 6 contribuyen al Objetivo A, mientras que el 19 % contribuyen al Objetivo B, el 4 % al Objetivo C, y el 5 % al Objetivo D, lo que sugiere que las Partes consideran que la meta 6 impulsa los progresos principalmente en relación con el Objetivo A. Este enfoque, que se examina más minuciosamente en la descripción detallada de la metodología empleada para el informe mundial (</w:t>
      </w:r>
      <w:hyperlink r:id="rId220" w:history="1">
        <w:r w:rsidRPr="005E3D50">
          <w:rPr>
            <w:color w:val="000000" w:themeColor="text1"/>
            <w:lang w:val="es-ES"/>
          </w:rPr>
          <w:t>CBD/SBSTTA/28/INF/9</w:t>
        </w:r>
      </w:hyperlink>
      <w:r w:rsidRPr="005E3D50">
        <w:rPr>
          <w:lang w:val="es-ES"/>
        </w:rPr>
        <w:t>), se utiliza aquí para identificar las metas cuyos progresos colectivos son más pertinentes para cada objetivo.</w:t>
      </w:r>
      <w:r w:rsidRPr="005E3D50">
        <w:rPr>
          <w:rFonts w:ascii="Aptos" w:hAnsi="Aptos"/>
          <w:lang w:val="es-ES"/>
        </w:rPr>
        <w:t xml:space="preserve"> </w:t>
      </w:r>
    </w:p>
    <w:p w14:paraId="5F02E3DA" w14:textId="77777777" w:rsidR="008F15F1" w:rsidRPr="005E3D50" w:rsidRDefault="008F15F1" w:rsidP="008F15F1">
      <w:pPr>
        <w:rPr>
          <w:rFonts w:ascii="Aptos" w:hAnsi="Aptos"/>
          <w:color w:val="000000"/>
          <w:lang w:val="es-ES"/>
        </w:rPr>
      </w:pPr>
      <w:r w:rsidRPr="005E3D50">
        <w:rPr>
          <w:rFonts w:ascii="Aptos" w:hAnsi="Aptos"/>
          <w:color w:val="000000"/>
          <w:lang w:val="es-ES"/>
        </w:rPr>
        <w:t xml:space="preserve">En esta sección se presenta, para cada objetivo, una síntesis de los enfoques identificados por las Partes para abordar las dificultades, las deficiencias y las oportunidades detectadas durante el primer período de implementación del Marco, así como un resumen de las medidas concretas informadas explícitamente por las Partes en sus informes nacionales para demostrar los progresos hacia la consecución de los objetivos. Esas medidas no deben considerarse prescriptivas, sino más bien una fuente de inspiración y aprendizaje entre las Partes. La cuantificación o evaluación sistemática de la contribución de las medidas actuales hacia la consecución de los objetivos para 2050 no forma parte del mandato de este informe mundial ni ha resultado factible dado el plazo y los recursos disponibles. Ese tipo de evaluación —basada en iniciativas relacionadas de la Plataforma Intergubernamental Científico-Normativa sobre Diversidad Biológica y Servicios de los Ecosistemas, por ejemplo a través de su informe </w:t>
      </w:r>
      <w:proofErr w:type="spellStart"/>
      <w:r w:rsidRPr="005E3D50">
        <w:rPr>
          <w:rFonts w:ascii="Aptos" w:hAnsi="Aptos"/>
          <w:i/>
          <w:color w:val="000000"/>
          <w:bdr w:val="none" w:sz="0" w:space="0" w:color="auto" w:frame="1"/>
          <w:lang w:val="es-ES"/>
        </w:rPr>
        <w:t>Thematic</w:t>
      </w:r>
      <w:proofErr w:type="spellEnd"/>
      <w:r w:rsidRPr="005E3D50">
        <w:rPr>
          <w:rFonts w:ascii="Aptos" w:hAnsi="Aptos"/>
          <w:i/>
          <w:color w:val="000000"/>
          <w:bdr w:val="none" w:sz="0" w:space="0" w:color="auto" w:frame="1"/>
          <w:lang w:val="es-ES"/>
        </w:rPr>
        <w:t xml:space="preserve"> </w:t>
      </w:r>
      <w:proofErr w:type="spellStart"/>
      <w:r w:rsidRPr="005E3D50">
        <w:rPr>
          <w:rFonts w:ascii="Aptos" w:hAnsi="Aptos"/>
          <w:i/>
          <w:color w:val="000000"/>
          <w:bdr w:val="none" w:sz="0" w:space="0" w:color="auto" w:frame="1"/>
          <w:lang w:val="es-ES"/>
        </w:rPr>
        <w:t>Assessment</w:t>
      </w:r>
      <w:proofErr w:type="spellEnd"/>
      <w:r w:rsidRPr="005E3D50">
        <w:rPr>
          <w:rFonts w:ascii="Aptos" w:hAnsi="Aptos"/>
          <w:i/>
          <w:color w:val="000000"/>
          <w:bdr w:val="none" w:sz="0" w:space="0" w:color="auto" w:frame="1"/>
          <w:lang w:val="es-ES"/>
        </w:rPr>
        <w:t xml:space="preserve"> </w:t>
      </w:r>
      <w:proofErr w:type="spellStart"/>
      <w:r w:rsidRPr="005E3D50">
        <w:rPr>
          <w:rFonts w:ascii="Aptos" w:hAnsi="Aptos"/>
          <w:i/>
          <w:color w:val="000000"/>
          <w:bdr w:val="none" w:sz="0" w:space="0" w:color="auto" w:frame="1"/>
          <w:lang w:val="es-ES"/>
        </w:rPr>
        <w:t>Report</w:t>
      </w:r>
      <w:proofErr w:type="spellEnd"/>
      <w:r w:rsidRPr="005E3D50">
        <w:rPr>
          <w:rFonts w:ascii="Aptos" w:hAnsi="Aptos"/>
          <w:i/>
          <w:color w:val="000000"/>
          <w:bdr w:val="none" w:sz="0" w:space="0" w:color="auto" w:frame="1"/>
          <w:lang w:val="es-ES"/>
        </w:rPr>
        <w:t xml:space="preserve"> </w:t>
      </w:r>
      <w:proofErr w:type="spellStart"/>
      <w:r w:rsidRPr="005E3D50">
        <w:rPr>
          <w:rFonts w:ascii="Aptos" w:hAnsi="Aptos"/>
          <w:i/>
          <w:color w:val="000000"/>
          <w:bdr w:val="none" w:sz="0" w:space="0" w:color="auto" w:frame="1"/>
          <w:lang w:val="es-ES"/>
        </w:rPr>
        <w:t>on</w:t>
      </w:r>
      <w:proofErr w:type="spellEnd"/>
      <w:r w:rsidRPr="005E3D50">
        <w:rPr>
          <w:rFonts w:ascii="Aptos" w:hAnsi="Aptos"/>
          <w:i/>
          <w:color w:val="000000"/>
          <w:bdr w:val="none" w:sz="0" w:space="0" w:color="auto" w:frame="1"/>
          <w:lang w:val="es-ES"/>
        </w:rPr>
        <w:t xml:space="preserve"> the </w:t>
      </w:r>
      <w:proofErr w:type="spellStart"/>
      <w:r w:rsidRPr="005E3D50">
        <w:rPr>
          <w:rFonts w:ascii="Aptos" w:hAnsi="Aptos"/>
          <w:i/>
          <w:color w:val="000000"/>
          <w:bdr w:val="none" w:sz="0" w:space="0" w:color="auto" w:frame="1"/>
          <w:lang w:val="es-ES"/>
        </w:rPr>
        <w:t>Underlying</w:t>
      </w:r>
      <w:proofErr w:type="spellEnd"/>
      <w:r w:rsidRPr="005E3D50">
        <w:rPr>
          <w:rFonts w:ascii="Aptos" w:hAnsi="Aptos"/>
          <w:i/>
          <w:color w:val="000000"/>
          <w:bdr w:val="none" w:sz="0" w:space="0" w:color="auto" w:frame="1"/>
          <w:lang w:val="es-ES"/>
        </w:rPr>
        <w:t xml:space="preserve"> Causes of Biodiversity Loss and the </w:t>
      </w:r>
      <w:proofErr w:type="spellStart"/>
      <w:r w:rsidRPr="005E3D50">
        <w:rPr>
          <w:rFonts w:ascii="Aptos" w:hAnsi="Aptos"/>
          <w:i/>
          <w:color w:val="000000"/>
          <w:bdr w:val="none" w:sz="0" w:space="0" w:color="auto" w:frame="1"/>
          <w:lang w:val="es-ES"/>
        </w:rPr>
        <w:t>Determinants</w:t>
      </w:r>
      <w:proofErr w:type="spellEnd"/>
      <w:r w:rsidRPr="005E3D50">
        <w:rPr>
          <w:rFonts w:ascii="Aptos" w:hAnsi="Aptos"/>
          <w:i/>
          <w:color w:val="000000"/>
          <w:bdr w:val="none" w:sz="0" w:space="0" w:color="auto" w:frame="1"/>
          <w:lang w:val="es-ES"/>
        </w:rPr>
        <w:t xml:space="preserve"> of Transformative Change and </w:t>
      </w:r>
      <w:proofErr w:type="spellStart"/>
      <w:r w:rsidRPr="005E3D50">
        <w:rPr>
          <w:rFonts w:ascii="Aptos" w:hAnsi="Aptos"/>
          <w:i/>
          <w:color w:val="000000"/>
          <w:bdr w:val="none" w:sz="0" w:space="0" w:color="auto" w:frame="1"/>
          <w:lang w:val="es-ES"/>
        </w:rPr>
        <w:t>Options</w:t>
      </w:r>
      <w:proofErr w:type="spellEnd"/>
      <w:r w:rsidRPr="005E3D50">
        <w:rPr>
          <w:rFonts w:ascii="Aptos" w:hAnsi="Aptos"/>
          <w:i/>
          <w:color w:val="000000"/>
          <w:bdr w:val="none" w:sz="0" w:space="0" w:color="auto" w:frame="1"/>
          <w:lang w:val="es-ES"/>
        </w:rPr>
        <w:t xml:space="preserve"> for </w:t>
      </w:r>
      <w:proofErr w:type="spellStart"/>
      <w:r w:rsidRPr="005E3D50">
        <w:rPr>
          <w:rFonts w:ascii="Aptos" w:hAnsi="Aptos"/>
          <w:i/>
          <w:color w:val="000000"/>
          <w:bdr w:val="none" w:sz="0" w:space="0" w:color="auto" w:frame="1"/>
          <w:lang w:val="es-ES"/>
        </w:rPr>
        <w:t>Achieving</w:t>
      </w:r>
      <w:proofErr w:type="spellEnd"/>
      <w:r w:rsidRPr="005E3D50">
        <w:rPr>
          <w:rFonts w:ascii="Aptos" w:hAnsi="Aptos"/>
          <w:i/>
          <w:color w:val="000000"/>
          <w:bdr w:val="none" w:sz="0" w:space="0" w:color="auto" w:frame="1"/>
          <w:lang w:val="es-ES"/>
        </w:rPr>
        <w:t xml:space="preserve"> the 2050 Vision for Biodiversity</w:t>
      </w:r>
      <w:r w:rsidRPr="005E3D50">
        <w:rPr>
          <w:rFonts w:ascii="Aptos" w:hAnsi="Aptos"/>
          <w:color w:val="000000"/>
          <w:lang w:val="es-ES"/>
        </w:rPr>
        <w:t xml:space="preserve">, así como la segunda evaluación mundial sobre la diversidad biológica y los servicios de los ecosistemas que se encuentra </w:t>
      </w:r>
      <w:r w:rsidRPr="005E3D50">
        <w:rPr>
          <w:rFonts w:ascii="Aptos" w:hAnsi="Aptos"/>
          <w:color w:val="000000"/>
          <w:lang w:val="es-ES"/>
        </w:rPr>
        <w:lastRenderedPageBreak/>
        <w:t>en curso (IPBES, 2024a y 2024c)— podría considerarse una opción para el próximo informe mundial.</w:t>
      </w:r>
    </w:p>
    <w:p w14:paraId="0CEC0361" w14:textId="77777777" w:rsidR="008F15F1" w:rsidRPr="005E3D50" w:rsidDel="00CD23D8" w:rsidRDefault="008F15F1" w:rsidP="008F15F1">
      <w:pPr>
        <w:rPr>
          <w:rFonts w:ascii="Aptos" w:hAnsi="Aptos"/>
          <w:color w:val="000000"/>
          <w:lang w:val="es-ES"/>
        </w:rPr>
      </w:pPr>
    </w:p>
    <w:p w14:paraId="554A6A44" w14:textId="77777777" w:rsidR="008F15F1" w:rsidRPr="005E3D50" w:rsidRDefault="008F15F1" w:rsidP="008F15F1">
      <w:pPr>
        <w:rPr>
          <w:sz w:val="20"/>
          <w:szCs w:val="20"/>
          <w:lang w:val="es-ES"/>
        </w:rPr>
      </w:pPr>
      <w:r w:rsidRPr="005E3D50">
        <w:rPr>
          <w:sz w:val="20"/>
          <w:lang w:val="es-ES"/>
        </w:rPr>
        <w:t>Figura 95</w:t>
      </w:r>
    </w:p>
    <w:p w14:paraId="22DB9E3A" w14:textId="77777777" w:rsidR="008F15F1" w:rsidRPr="005E3D50" w:rsidRDefault="008F15F1" w:rsidP="008F15F1">
      <w:pPr>
        <w:rPr>
          <w:sz w:val="20"/>
          <w:szCs w:val="20"/>
          <w:lang w:val="es-ES"/>
        </w:rPr>
      </w:pPr>
      <w:r w:rsidRPr="005E3D50">
        <w:rPr>
          <w:rFonts w:ascii="Aptos" w:hAnsi="Aptos"/>
          <w:b/>
          <w:sz w:val="20"/>
          <w:lang w:val="es-ES"/>
        </w:rPr>
        <w:t>Frecuencia con que se relaciona cada objetivo mundial con una meta mundial en las metas nacionales presentadas por las Partes</w:t>
      </w:r>
    </w:p>
    <w:p w14:paraId="5E51E3A5"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567" w:name="_Ref230630785"/>
      <w:r w:rsidRPr="005E3D50">
        <w:rPr>
          <w:rFonts w:eastAsiaTheme="minorEastAsia"/>
          <w:i/>
          <w:iCs/>
          <w:noProof/>
          <w:color w:val="0E2841" w:themeColor="text2"/>
          <w:kern w:val="0"/>
          <w:sz w:val="18"/>
          <w:szCs w:val="18"/>
          <w:lang w:val="en-US"/>
          <w14:ligatures w14:val="none"/>
        </w:rPr>
        <w:drawing>
          <wp:inline distT="0" distB="0" distL="0" distR="0" wp14:anchorId="3A561C1B" wp14:editId="14810058">
            <wp:extent cx="6094745" cy="3042302"/>
            <wp:effectExtent l="0" t="0" r="1270" b="5715"/>
            <wp:docPr id="2022643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13" name=""/>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6104640" cy="3047241"/>
                    </a:xfrm>
                    <a:prstGeom prst="rect">
                      <a:avLst/>
                    </a:prstGeom>
                  </pic:spPr>
                </pic:pic>
              </a:graphicData>
            </a:graphic>
          </wp:inline>
        </w:drawing>
      </w:r>
    </w:p>
    <w:p w14:paraId="06972336" w14:textId="77777777" w:rsidR="008F15F1" w:rsidRPr="005E3D50" w:rsidRDefault="008F15F1" w:rsidP="008F15F1">
      <w:pPr>
        <w:spacing w:after="200" w:line="240" w:lineRule="auto"/>
        <w:rPr>
          <w:rFonts w:ascii="Aptos" w:eastAsia="Aptos" w:hAnsi="Aptos" w:cs="Aptos"/>
          <w:i/>
          <w:iCs/>
          <w:color w:val="0E2841" w:themeColor="text2"/>
          <w:kern w:val="0"/>
          <w:sz w:val="18"/>
          <w:szCs w:val="18"/>
          <w:lang w:val="es-ES" w:eastAsia="ja-JP"/>
          <w14:ligatures w14:val="none"/>
        </w:rPr>
      </w:pPr>
      <w:bookmarkStart w:id="568" w:name="_Toc235821342"/>
      <w:bookmarkEnd w:id="567"/>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En la matriz cromática se destaca, para cada meta del Marco, el porcentaje ponderado de las metas nacionales armonizadas que se informó que contribuían a cada uno de los objetivos. Por ejemplo, las Partes relacionaron el 64 % de las metas nacionales armonizadas con la meta 1 con el Objetivo A, el 26 % con el Objetivo B, el 4 % con el Objetivo C y el 5 % con el Objetivo D. Los valores porcentuales están ponderados por Parte para evitar una sobreestimación de esas vinculaciones en los casos en que Partes individuales presentan varias metas nacionales, y para ofrecer un panorama equilibrado de las vinculaciones, reflejando por igual la contribución de cada Parte.</w:t>
      </w:r>
    </w:p>
    <w:p w14:paraId="6F2E822A" w14:textId="77777777" w:rsidR="008F15F1" w:rsidRDefault="008F15F1" w:rsidP="008F15F1">
      <w:pPr>
        <w:rPr>
          <w:sz w:val="18"/>
          <w:lang w:val="es-ES"/>
        </w:rPr>
      </w:pPr>
      <w:r w:rsidRPr="005E3D50">
        <w:rPr>
          <w:i/>
          <w:sz w:val="18"/>
          <w:lang w:val="es-ES"/>
        </w:rPr>
        <w:t>Abreviaciones</w:t>
      </w:r>
      <w:r w:rsidRPr="005E3D50">
        <w:rPr>
          <w:sz w:val="18"/>
          <w:lang w:val="es-ES"/>
        </w:rPr>
        <w:t>: MMB, Marco Mundial de Biodiversidad de Kunming-Montreal; M, meta del Marco.</w:t>
      </w:r>
    </w:p>
    <w:tbl>
      <w:tblPr>
        <w:tblStyle w:val="TableGrid"/>
        <w:tblW w:w="9349" w:type="dxa"/>
        <w:tblLook w:val="04A0" w:firstRow="1" w:lastRow="0" w:firstColumn="1" w:lastColumn="0" w:noHBand="0" w:noVBand="1"/>
      </w:tblPr>
      <w:tblGrid>
        <w:gridCol w:w="4485"/>
        <w:gridCol w:w="4864"/>
      </w:tblGrid>
      <w:tr w:rsidR="00003327" w:rsidRPr="00003327" w14:paraId="595D7000" w14:textId="77777777" w:rsidTr="00003327">
        <w:tc>
          <w:tcPr>
            <w:tcW w:w="4485" w:type="dxa"/>
          </w:tcPr>
          <w:p w14:paraId="2A54A361" w14:textId="0FC21B94" w:rsidR="00003327" w:rsidRPr="00003327" w:rsidRDefault="00003327" w:rsidP="00003327">
            <w:pPr>
              <w:rPr>
                <w:rFonts w:ascii="Aptos" w:hAnsi="Aptos"/>
                <w:bCs/>
                <w:sz w:val="18"/>
                <w:szCs w:val="18"/>
                <w:lang w:val="es-ES"/>
              </w:rPr>
            </w:pPr>
            <w:r w:rsidRPr="00003327">
              <w:rPr>
                <w:rFonts w:ascii="Aptos" w:hAnsi="Aptos"/>
                <w:bCs/>
                <w:sz w:val="18"/>
                <w:szCs w:val="18"/>
                <w:lang w:val="es-ES"/>
              </w:rPr>
              <w:t>Figura 95</w:t>
            </w:r>
          </w:p>
        </w:tc>
        <w:tc>
          <w:tcPr>
            <w:tcW w:w="4864" w:type="dxa"/>
          </w:tcPr>
          <w:p w14:paraId="0C0C9283" w14:textId="77777777" w:rsidR="00003327" w:rsidRPr="00003327" w:rsidRDefault="00003327" w:rsidP="00003327">
            <w:pPr>
              <w:rPr>
                <w:rFonts w:ascii="Aptos" w:hAnsi="Aptos"/>
                <w:bCs/>
                <w:sz w:val="18"/>
                <w:szCs w:val="18"/>
                <w:lang w:val="es-ES"/>
              </w:rPr>
            </w:pPr>
          </w:p>
        </w:tc>
      </w:tr>
      <w:tr w:rsidR="00003327" w:rsidRPr="00003327" w14:paraId="0E5C3AA6" w14:textId="77777777" w:rsidTr="00003327">
        <w:tc>
          <w:tcPr>
            <w:tcW w:w="4485" w:type="dxa"/>
          </w:tcPr>
          <w:p w14:paraId="18F91B74" w14:textId="77777777" w:rsidR="00003327" w:rsidRPr="00003327" w:rsidRDefault="00003327" w:rsidP="00003327">
            <w:pPr>
              <w:rPr>
                <w:rFonts w:ascii="Aptos" w:hAnsi="Aptos"/>
                <w:bCs/>
                <w:sz w:val="18"/>
                <w:szCs w:val="18"/>
                <w:lang w:val="es-ES"/>
              </w:rPr>
            </w:pPr>
            <w:r w:rsidRPr="00003327">
              <w:rPr>
                <w:rFonts w:ascii="Aptos" w:hAnsi="Aptos"/>
                <w:bCs/>
                <w:sz w:val="18"/>
                <w:szCs w:val="18"/>
                <w:lang w:val="es-ES"/>
              </w:rPr>
              <w:t xml:space="preserve">English </w:t>
            </w:r>
          </w:p>
        </w:tc>
        <w:tc>
          <w:tcPr>
            <w:tcW w:w="4864" w:type="dxa"/>
          </w:tcPr>
          <w:p w14:paraId="2B2A3C68" w14:textId="3876A34C" w:rsidR="00003327" w:rsidRPr="00003327" w:rsidRDefault="00003327" w:rsidP="00003327">
            <w:pPr>
              <w:rPr>
                <w:rFonts w:ascii="Aptos" w:hAnsi="Aptos"/>
                <w:bCs/>
                <w:sz w:val="18"/>
                <w:szCs w:val="18"/>
                <w:lang w:val="es-ES"/>
              </w:rPr>
            </w:pPr>
            <w:r w:rsidRPr="00003327">
              <w:rPr>
                <w:rFonts w:ascii="Aptos" w:hAnsi="Aptos"/>
                <w:bCs/>
                <w:sz w:val="18"/>
                <w:szCs w:val="18"/>
                <w:lang w:val="es-ES"/>
              </w:rPr>
              <w:t>Español</w:t>
            </w:r>
          </w:p>
        </w:tc>
      </w:tr>
      <w:tr w:rsidR="00003327" w:rsidRPr="00003327" w14:paraId="691F88B2" w14:textId="77777777" w:rsidTr="00003327">
        <w:tc>
          <w:tcPr>
            <w:tcW w:w="4485" w:type="dxa"/>
          </w:tcPr>
          <w:p w14:paraId="0342B61E" w14:textId="77777777" w:rsidR="00003327" w:rsidRPr="00003327" w:rsidRDefault="00003327" w:rsidP="00003327">
            <w:pPr>
              <w:rPr>
                <w:rFonts w:ascii="Aptos" w:hAnsi="Aptos"/>
                <w:sz w:val="18"/>
                <w:szCs w:val="18"/>
                <w:lang w:val="en-US"/>
              </w:rPr>
            </w:pPr>
            <w:r w:rsidRPr="00003327">
              <w:rPr>
                <w:rFonts w:ascii="Aptos" w:hAnsi="Aptos"/>
                <w:sz w:val="18"/>
                <w:szCs w:val="18"/>
                <w:lang w:val="en-US"/>
              </w:rPr>
              <w:t>Relative alignment: global goals to global targets</w:t>
            </w:r>
          </w:p>
        </w:tc>
        <w:tc>
          <w:tcPr>
            <w:tcW w:w="4864" w:type="dxa"/>
          </w:tcPr>
          <w:p w14:paraId="2F444533"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 xml:space="preserve">Armonización relativa entre los </w:t>
            </w:r>
            <w:proofErr w:type="gramStart"/>
            <w:r w:rsidRPr="00003327">
              <w:rPr>
                <w:rFonts w:ascii="Aptos" w:hAnsi="Aptos"/>
                <w:sz w:val="18"/>
                <w:szCs w:val="18"/>
                <w:lang w:val="es-ES"/>
              </w:rPr>
              <w:t>objetivos mundiales y las metas mundiales</w:t>
            </w:r>
            <w:proofErr w:type="gramEnd"/>
          </w:p>
        </w:tc>
      </w:tr>
      <w:tr w:rsidR="00003327" w:rsidRPr="00003327" w14:paraId="37DEA7BE" w14:textId="77777777" w:rsidTr="00003327">
        <w:tc>
          <w:tcPr>
            <w:tcW w:w="4485" w:type="dxa"/>
          </w:tcPr>
          <w:p w14:paraId="79CC0654" w14:textId="77777777" w:rsidR="00003327" w:rsidRPr="00003327" w:rsidRDefault="00003327" w:rsidP="00003327">
            <w:pPr>
              <w:rPr>
                <w:rFonts w:ascii="Aptos" w:hAnsi="Aptos"/>
                <w:sz w:val="18"/>
                <w:szCs w:val="18"/>
                <w:lang w:val="en-US"/>
              </w:rPr>
            </w:pPr>
            <w:r w:rsidRPr="00003327">
              <w:rPr>
                <w:rFonts w:ascii="Aptos" w:hAnsi="Aptos"/>
                <w:sz w:val="18"/>
                <w:szCs w:val="18"/>
                <w:lang w:val="en-US"/>
              </w:rPr>
              <w:t>Labels show Party weighted % of target’s total occurrences associated with each goal</w:t>
            </w:r>
          </w:p>
        </w:tc>
        <w:tc>
          <w:tcPr>
            <w:tcW w:w="4864" w:type="dxa"/>
          </w:tcPr>
          <w:p w14:paraId="2E095A6C"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Las etiquetas muestran el porcentaje ponderado por Parte de las instancias totales de la meta relacionadas con cada objetivo</w:t>
            </w:r>
          </w:p>
        </w:tc>
      </w:tr>
      <w:tr w:rsidR="00003327" w:rsidRPr="00003327" w14:paraId="52F03200" w14:textId="77777777" w:rsidTr="00003327">
        <w:tc>
          <w:tcPr>
            <w:tcW w:w="4485" w:type="dxa"/>
          </w:tcPr>
          <w:p w14:paraId="73D6067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 xml:space="preserve">Global </w:t>
            </w:r>
            <w:proofErr w:type="spellStart"/>
            <w:r w:rsidRPr="00003327">
              <w:rPr>
                <w:rFonts w:ascii="Aptos" w:hAnsi="Aptos"/>
                <w:sz w:val="18"/>
                <w:szCs w:val="18"/>
                <w:lang w:val="es-ES"/>
              </w:rPr>
              <w:t>goal</w:t>
            </w:r>
            <w:proofErr w:type="spellEnd"/>
          </w:p>
        </w:tc>
        <w:tc>
          <w:tcPr>
            <w:tcW w:w="4864" w:type="dxa"/>
          </w:tcPr>
          <w:p w14:paraId="3D67D20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Objetivo mundial</w:t>
            </w:r>
          </w:p>
        </w:tc>
      </w:tr>
      <w:tr w:rsidR="00003327" w:rsidRPr="00003327" w14:paraId="07C52183" w14:textId="77777777" w:rsidTr="00003327">
        <w:tc>
          <w:tcPr>
            <w:tcW w:w="4485" w:type="dxa"/>
          </w:tcPr>
          <w:p w14:paraId="63BB085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w:t>
            </w:r>
            <w:proofErr w:type="spellStart"/>
            <w:r w:rsidRPr="00003327">
              <w:rPr>
                <w:rFonts w:ascii="Aptos" w:hAnsi="Aptos"/>
                <w:sz w:val="18"/>
                <w:szCs w:val="18"/>
                <w:lang w:val="es-ES"/>
              </w:rPr>
              <w:t>Goal</w:t>
            </w:r>
            <w:proofErr w:type="spellEnd"/>
            <w:r w:rsidRPr="00003327">
              <w:rPr>
                <w:rFonts w:ascii="Aptos" w:hAnsi="Aptos"/>
                <w:sz w:val="18"/>
                <w:szCs w:val="18"/>
                <w:lang w:val="es-ES"/>
              </w:rPr>
              <w:t>-D</w:t>
            </w:r>
          </w:p>
        </w:tc>
        <w:tc>
          <w:tcPr>
            <w:tcW w:w="4864" w:type="dxa"/>
          </w:tcPr>
          <w:p w14:paraId="336A156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Objetivo D del MMB</w:t>
            </w:r>
          </w:p>
        </w:tc>
      </w:tr>
      <w:tr w:rsidR="00003327" w:rsidRPr="00003327" w14:paraId="21A8B565" w14:textId="77777777" w:rsidTr="00003327">
        <w:tc>
          <w:tcPr>
            <w:tcW w:w="4485" w:type="dxa"/>
          </w:tcPr>
          <w:p w14:paraId="30A35E6E"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w:t>
            </w:r>
            <w:proofErr w:type="spellStart"/>
            <w:r w:rsidRPr="00003327">
              <w:rPr>
                <w:rFonts w:ascii="Aptos" w:hAnsi="Aptos"/>
                <w:sz w:val="18"/>
                <w:szCs w:val="18"/>
                <w:lang w:val="es-ES"/>
              </w:rPr>
              <w:t>Goal</w:t>
            </w:r>
            <w:proofErr w:type="spellEnd"/>
            <w:r w:rsidRPr="00003327">
              <w:rPr>
                <w:rFonts w:ascii="Aptos" w:hAnsi="Aptos"/>
                <w:sz w:val="18"/>
                <w:szCs w:val="18"/>
                <w:lang w:val="es-ES"/>
              </w:rPr>
              <w:t>-C</w:t>
            </w:r>
          </w:p>
        </w:tc>
        <w:tc>
          <w:tcPr>
            <w:tcW w:w="4864" w:type="dxa"/>
          </w:tcPr>
          <w:p w14:paraId="174A8A4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Objetivo C del MMB</w:t>
            </w:r>
          </w:p>
        </w:tc>
      </w:tr>
      <w:tr w:rsidR="00003327" w:rsidRPr="00003327" w14:paraId="05F32583" w14:textId="77777777" w:rsidTr="00003327">
        <w:tc>
          <w:tcPr>
            <w:tcW w:w="4485" w:type="dxa"/>
          </w:tcPr>
          <w:p w14:paraId="60439C1C"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w:t>
            </w:r>
            <w:proofErr w:type="spellStart"/>
            <w:r w:rsidRPr="00003327">
              <w:rPr>
                <w:rFonts w:ascii="Aptos" w:hAnsi="Aptos"/>
                <w:sz w:val="18"/>
                <w:szCs w:val="18"/>
                <w:lang w:val="es-ES"/>
              </w:rPr>
              <w:t>Goal</w:t>
            </w:r>
            <w:proofErr w:type="spellEnd"/>
            <w:r w:rsidRPr="00003327">
              <w:rPr>
                <w:rFonts w:ascii="Aptos" w:hAnsi="Aptos"/>
                <w:sz w:val="18"/>
                <w:szCs w:val="18"/>
                <w:lang w:val="es-ES"/>
              </w:rPr>
              <w:t>-B</w:t>
            </w:r>
          </w:p>
        </w:tc>
        <w:tc>
          <w:tcPr>
            <w:tcW w:w="4864" w:type="dxa"/>
          </w:tcPr>
          <w:p w14:paraId="7389BBB6"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Objetivo B del MMB</w:t>
            </w:r>
          </w:p>
        </w:tc>
      </w:tr>
      <w:tr w:rsidR="00003327" w:rsidRPr="00003327" w14:paraId="516C545B" w14:textId="77777777" w:rsidTr="00003327">
        <w:tc>
          <w:tcPr>
            <w:tcW w:w="4485" w:type="dxa"/>
          </w:tcPr>
          <w:p w14:paraId="5BF2D7B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w:t>
            </w:r>
            <w:proofErr w:type="spellStart"/>
            <w:r w:rsidRPr="00003327">
              <w:rPr>
                <w:rFonts w:ascii="Aptos" w:hAnsi="Aptos"/>
                <w:sz w:val="18"/>
                <w:szCs w:val="18"/>
                <w:lang w:val="es-ES"/>
              </w:rPr>
              <w:t>Goal</w:t>
            </w:r>
            <w:proofErr w:type="spellEnd"/>
            <w:r w:rsidRPr="00003327">
              <w:rPr>
                <w:rFonts w:ascii="Aptos" w:hAnsi="Aptos"/>
                <w:sz w:val="18"/>
                <w:szCs w:val="18"/>
                <w:lang w:val="es-ES"/>
              </w:rPr>
              <w:t>-A</w:t>
            </w:r>
          </w:p>
        </w:tc>
        <w:tc>
          <w:tcPr>
            <w:tcW w:w="4864" w:type="dxa"/>
          </w:tcPr>
          <w:p w14:paraId="75657CA9"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Objetivo A del MMB</w:t>
            </w:r>
          </w:p>
        </w:tc>
      </w:tr>
      <w:tr w:rsidR="00003327" w:rsidRPr="00003327" w14:paraId="4A0BB997" w14:textId="77777777" w:rsidTr="00003327">
        <w:tc>
          <w:tcPr>
            <w:tcW w:w="4485" w:type="dxa"/>
          </w:tcPr>
          <w:p w14:paraId="43ED15B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 xml:space="preserve">Global </w:t>
            </w:r>
            <w:proofErr w:type="gramStart"/>
            <w:r w:rsidRPr="00003327">
              <w:rPr>
                <w:rFonts w:ascii="Aptos" w:hAnsi="Aptos"/>
                <w:sz w:val="18"/>
                <w:szCs w:val="18"/>
                <w:lang w:val="es-ES"/>
              </w:rPr>
              <w:t>target</w:t>
            </w:r>
            <w:proofErr w:type="gramEnd"/>
          </w:p>
        </w:tc>
        <w:tc>
          <w:tcPr>
            <w:tcW w:w="4864" w:type="dxa"/>
          </w:tcPr>
          <w:p w14:paraId="5C15C3F7"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Meta mundial</w:t>
            </w:r>
          </w:p>
        </w:tc>
      </w:tr>
      <w:tr w:rsidR="00003327" w:rsidRPr="00003327" w14:paraId="36462103" w14:textId="77777777" w:rsidTr="00003327">
        <w:tc>
          <w:tcPr>
            <w:tcW w:w="4485" w:type="dxa"/>
          </w:tcPr>
          <w:p w14:paraId="3EDBAE0C"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GBF-T01</w:t>
            </w:r>
          </w:p>
        </w:tc>
        <w:tc>
          <w:tcPr>
            <w:tcW w:w="4864" w:type="dxa"/>
          </w:tcPr>
          <w:p w14:paraId="47FC5498"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M01 del MMB</w:t>
            </w:r>
          </w:p>
        </w:tc>
      </w:tr>
      <w:tr w:rsidR="00003327" w:rsidRPr="00003327" w14:paraId="0C525ECB" w14:textId="77777777" w:rsidTr="00003327">
        <w:tc>
          <w:tcPr>
            <w:tcW w:w="4485" w:type="dxa"/>
          </w:tcPr>
          <w:p w14:paraId="3B6D491B"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GBF-T02</w:t>
            </w:r>
          </w:p>
        </w:tc>
        <w:tc>
          <w:tcPr>
            <w:tcW w:w="4864" w:type="dxa"/>
          </w:tcPr>
          <w:p w14:paraId="35334E5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M02 del MMB</w:t>
            </w:r>
          </w:p>
        </w:tc>
      </w:tr>
      <w:tr w:rsidR="00003327" w:rsidRPr="00003327" w14:paraId="5459E3E9" w14:textId="77777777" w:rsidTr="00003327">
        <w:tc>
          <w:tcPr>
            <w:tcW w:w="4485" w:type="dxa"/>
          </w:tcPr>
          <w:p w14:paraId="4F0B41C6"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lastRenderedPageBreak/>
              <w:t>GBF-T03</w:t>
            </w:r>
          </w:p>
        </w:tc>
        <w:tc>
          <w:tcPr>
            <w:tcW w:w="4864" w:type="dxa"/>
          </w:tcPr>
          <w:p w14:paraId="43454AF8"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M03 del MMB</w:t>
            </w:r>
          </w:p>
        </w:tc>
      </w:tr>
      <w:tr w:rsidR="00003327" w:rsidRPr="00003327" w14:paraId="571D8E16" w14:textId="77777777" w:rsidTr="00003327">
        <w:tc>
          <w:tcPr>
            <w:tcW w:w="4485" w:type="dxa"/>
          </w:tcPr>
          <w:p w14:paraId="178936FE"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GBF-T04</w:t>
            </w:r>
          </w:p>
        </w:tc>
        <w:tc>
          <w:tcPr>
            <w:tcW w:w="4864" w:type="dxa"/>
          </w:tcPr>
          <w:p w14:paraId="6167686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M04 del MMB</w:t>
            </w:r>
          </w:p>
        </w:tc>
      </w:tr>
      <w:tr w:rsidR="00003327" w:rsidRPr="00003327" w14:paraId="57517EE9" w14:textId="77777777" w:rsidTr="00003327">
        <w:tc>
          <w:tcPr>
            <w:tcW w:w="4485" w:type="dxa"/>
          </w:tcPr>
          <w:p w14:paraId="23E0CB32"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GBF-T05</w:t>
            </w:r>
          </w:p>
        </w:tc>
        <w:tc>
          <w:tcPr>
            <w:tcW w:w="4864" w:type="dxa"/>
          </w:tcPr>
          <w:p w14:paraId="5B75F554"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M05 del MMB</w:t>
            </w:r>
          </w:p>
        </w:tc>
      </w:tr>
      <w:tr w:rsidR="00003327" w:rsidRPr="00003327" w14:paraId="31285B38" w14:textId="77777777" w:rsidTr="00003327">
        <w:tc>
          <w:tcPr>
            <w:tcW w:w="4485" w:type="dxa"/>
          </w:tcPr>
          <w:p w14:paraId="6C7E855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GBF-T06</w:t>
            </w:r>
          </w:p>
        </w:tc>
        <w:tc>
          <w:tcPr>
            <w:tcW w:w="4864" w:type="dxa"/>
          </w:tcPr>
          <w:p w14:paraId="5839817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M06 del MMB</w:t>
            </w:r>
          </w:p>
        </w:tc>
      </w:tr>
      <w:tr w:rsidR="00003327" w:rsidRPr="00003327" w14:paraId="2B348656" w14:textId="77777777" w:rsidTr="00003327">
        <w:tc>
          <w:tcPr>
            <w:tcW w:w="4485" w:type="dxa"/>
          </w:tcPr>
          <w:p w14:paraId="74403487"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GBF-T07</w:t>
            </w:r>
          </w:p>
        </w:tc>
        <w:tc>
          <w:tcPr>
            <w:tcW w:w="4864" w:type="dxa"/>
          </w:tcPr>
          <w:p w14:paraId="12644194"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M07 del MMB</w:t>
            </w:r>
          </w:p>
        </w:tc>
      </w:tr>
      <w:tr w:rsidR="00003327" w:rsidRPr="00003327" w14:paraId="4FD09E30" w14:textId="77777777" w:rsidTr="00003327">
        <w:tc>
          <w:tcPr>
            <w:tcW w:w="4485" w:type="dxa"/>
          </w:tcPr>
          <w:p w14:paraId="1912543B"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GBF-T08</w:t>
            </w:r>
          </w:p>
        </w:tc>
        <w:tc>
          <w:tcPr>
            <w:tcW w:w="4864" w:type="dxa"/>
          </w:tcPr>
          <w:p w14:paraId="757CCCFB"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M08 del MMB</w:t>
            </w:r>
          </w:p>
        </w:tc>
      </w:tr>
      <w:tr w:rsidR="00003327" w:rsidRPr="00003327" w14:paraId="7A52B215" w14:textId="77777777" w:rsidTr="00003327">
        <w:tc>
          <w:tcPr>
            <w:tcW w:w="4485" w:type="dxa"/>
          </w:tcPr>
          <w:p w14:paraId="1151772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GBF-T09</w:t>
            </w:r>
          </w:p>
        </w:tc>
        <w:tc>
          <w:tcPr>
            <w:tcW w:w="4864" w:type="dxa"/>
          </w:tcPr>
          <w:p w14:paraId="37A2C45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M09 del MMB</w:t>
            </w:r>
          </w:p>
        </w:tc>
      </w:tr>
      <w:tr w:rsidR="00003327" w:rsidRPr="00003327" w14:paraId="20231611" w14:textId="77777777" w:rsidTr="00003327">
        <w:tc>
          <w:tcPr>
            <w:tcW w:w="4485" w:type="dxa"/>
          </w:tcPr>
          <w:p w14:paraId="5186C903"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GBF-T10</w:t>
            </w:r>
          </w:p>
        </w:tc>
        <w:tc>
          <w:tcPr>
            <w:tcW w:w="4864" w:type="dxa"/>
          </w:tcPr>
          <w:p w14:paraId="733700B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M10 del MMB</w:t>
            </w:r>
          </w:p>
        </w:tc>
      </w:tr>
      <w:tr w:rsidR="00003327" w:rsidRPr="00003327" w14:paraId="3BFC8054" w14:textId="77777777" w:rsidTr="00003327">
        <w:tc>
          <w:tcPr>
            <w:tcW w:w="4485" w:type="dxa"/>
          </w:tcPr>
          <w:p w14:paraId="7D125CD1"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GBF-T11</w:t>
            </w:r>
          </w:p>
        </w:tc>
        <w:tc>
          <w:tcPr>
            <w:tcW w:w="4864" w:type="dxa"/>
          </w:tcPr>
          <w:p w14:paraId="07D2C5D7"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M11 del MMB</w:t>
            </w:r>
          </w:p>
        </w:tc>
      </w:tr>
      <w:tr w:rsidR="00003327" w:rsidRPr="00003327" w14:paraId="00A826DD" w14:textId="77777777" w:rsidTr="00003327">
        <w:tc>
          <w:tcPr>
            <w:tcW w:w="4485" w:type="dxa"/>
          </w:tcPr>
          <w:p w14:paraId="60D3EB5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GBF-T12</w:t>
            </w:r>
          </w:p>
        </w:tc>
        <w:tc>
          <w:tcPr>
            <w:tcW w:w="4864" w:type="dxa"/>
          </w:tcPr>
          <w:p w14:paraId="2C2ACA8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M12 del MMB</w:t>
            </w:r>
          </w:p>
        </w:tc>
      </w:tr>
      <w:tr w:rsidR="00003327" w:rsidRPr="00003327" w14:paraId="582CF987" w14:textId="77777777" w:rsidTr="00003327">
        <w:tc>
          <w:tcPr>
            <w:tcW w:w="4485" w:type="dxa"/>
          </w:tcPr>
          <w:p w14:paraId="4DE797E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GBF-T13</w:t>
            </w:r>
          </w:p>
        </w:tc>
        <w:tc>
          <w:tcPr>
            <w:tcW w:w="4864" w:type="dxa"/>
          </w:tcPr>
          <w:p w14:paraId="76528E6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M13 del MMB</w:t>
            </w:r>
          </w:p>
        </w:tc>
      </w:tr>
      <w:tr w:rsidR="00003327" w:rsidRPr="00003327" w14:paraId="4E804964" w14:textId="77777777" w:rsidTr="00003327">
        <w:tc>
          <w:tcPr>
            <w:tcW w:w="4485" w:type="dxa"/>
          </w:tcPr>
          <w:p w14:paraId="506D853C"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GBF-T14</w:t>
            </w:r>
          </w:p>
        </w:tc>
        <w:tc>
          <w:tcPr>
            <w:tcW w:w="4864" w:type="dxa"/>
          </w:tcPr>
          <w:p w14:paraId="54E41ED9"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M14 del MMB</w:t>
            </w:r>
          </w:p>
        </w:tc>
      </w:tr>
      <w:tr w:rsidR="00003327" w:rsidRPr="00003327" w14:paraId="3A85518B" w14:textId="77777777" w:rsidTr="00003327">
        <w:tc>
          <w:tcPr>
            <w:tcW w:w="4485" w:type="dxa"/>
          </w:tcPr>
          <w:p w14:paraId="2A8C6403"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GBF-T15</w:t>
            </w:r>
          </w:p>
        </w:tc>
        <w:tc>
          <w:tcPr>
            <w:tcW w:w="4864" w:type="dxa"/>
          </w:tcPr>
          <w:p w14:paraId="159CC6D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M15 del MMB</w:t>
            </w:r>
          </w:p>
        </w:tc>
      </w:tr>
      <w:tr w:rsidR="00003327" w:rsidRPr="00003327" w14:paraId="3A837385" w14:textId="77777777" w:rsidTr="00003327">
        <w:tc>
          <w:tcPr>
            <w:tcW w:w="4485" w:type="dxa"/>
          </w:tcPr>
          <w:p w14:paraId="27960BC0"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GBF-T16</w:t>
            </w:r>
          </w:p>
        </w:tc>
        <w:tc>
          <w:tcPr>
            <w:tcW w:w="4864" w:type="dxa"/>
          </w:tcPr>
          <w:p w14:paraId="56C40F15"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M16 del MMB</w:t>
            </w:r>
          </w:p>
        </w:tc>
      </w:tr>
      <w:tr w:rsidR="00003327" w:rsidRPr="00003327" w14:paraId="45E70E2C" w14:textId="77777777" w:rsidTr="00003327">
        <w:tc>
          <w:tcPr>
            <w:tcW w:w="4485" w:type="dxa"/>
          </w:tcPr>
          <w:p w14:paraId="5FF37574"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GBF-T17</w:t>
            </w:r>
          </w:p>
        </w:tc>
        <w:tc>
          <w:tcPr>
            <w:tcW w:w="4864" w:type="dxa"/>
          </w:tcPr>
          <w:p w14:paraId="03253821"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M17 del MMB</w:t>
            </w:r>
          </w:p>
        </w:tc>
      </w:tr>
      <w:tr w:rsidR="00003327" w:rsidRPr="00003327" w14:paraId="5DE48F4C" w14:textId="77777777" w:rsidTr="00003327">
        <w:tc>
          <w:tcPr>
            <w:tcW w:w="4485" w:type="dxa"/>
          </w:tcPr>
          <w:p w14:paraId="4C179311"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GBF-T18</w:t>
            </w:r>
          </w:p>
        </w:tc>
        <w:tc>
          <w:tcPr>
            <w:tcW w:w="4864" w:type="dxa"/>
          </w:tcPr>
          <w:p w14:paraId="5A1B2197"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M18 del MMB</w:t>
            </w:r>
          </w:p>
        </w:tc>
      </w:tr>
      <w:tr w:rsidR="00003327" w:rsidRPr="00003327" w14:paraId="45E7B3C9" w14:textId="77777777" w:rsidTr="00003327">
        <w:tc>
          <w:tcPr>
            <w:tcW w:w="4485" w:type="dxa"/>
          </w:tcPr>
          <w:p w14:paraId="245A309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GBF-T19</w:t>
            </w:r>
          </w:p>
        </w:tc>
        <w:tc>
          <w:tcPr>
            <w:tcW w:w="4864" w:type="dxa"/>
          </w:tcPr>
          <w:p w14:paraId="7265C948"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M19 del MMB</w:t>
            </w:r>
          </w:p>
        </w:tc>
      </w:tr>
      <w:tr w:rsidR="00003327" w:rsidRPr="00003327" w14:paraId="1D7DC068" w14:textId="77777777" w:rsidTr="00003327">
        <w:tc>
          <w:tcPr>
            <w:tcW w:w="4485" w:type="dxa"/>
          </w:tcPr>
          <w:p w14:paraId="64E8FDC2"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GBF-T20</w:t>
            </w:r>
          </w:p>
        </w:tc>
        <w:tc>
          <w:tcPr>
            <w:tcW w:w="4864" w:type="dxa"/>
          </w:tcPr>
          <w:p w14:paraId="3D4F124C"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M20 del MMB</w:t>
            </w:r>
          </w:p>
        </w:tc>
      </w:tr>
      <w:tr w:rsidR="00003327" w:rsidRPr="00003327" w14:paraId="312D5F70" w14:textId="77777777" w:rsidTr="00003327">
        <w:tc>
          <w:tcPr>
            <w:tcW w:w="4485" w:type="dxa"/>
          </w:tcPr>
          <w:p w14:paraId="7C4B249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GBF-T21</w:t>
            </w:r>
          </w:p>
        </w:tc>
        <w:tc>
          <w:tcPr>
            <w:tcW w:w="4864" w:type="dxa"/>
          </w:tcPr>
          <w:p w14:paraId="5395B429"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M21 del MMB</w:t>
            </w:r>
          </w:p>
        </w:tc>
      </w:tr>
      <w:tr w:rsidR="00003327" w:rsidRPr="00003327" w14:paraId="776F9235" w14:textId="77777777" w:rsidTr="00003327">
        <w:tc>
          <w:tcPr>
            <w:tcW w:w="4485" w:type="dxa"/>
          </w:tcPr>
          <w:p w14:paraId="34B31DA9"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GBF-T22</w:t>
            </w:r>
          </w:p>
        </w:tc>
        <w:tc>
          <w:tcPr>
            <w:tcW w:w="4864" w:type="dxa"/>
          </w:tcPr>
          <w:p w14:paraId="4D9565C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M22 del MMB</w:t>
            </w:r>
          </w:p>
        </w:tc>
      </w:tr>
      <w:tr w:rsidR="00003327" w:rsidRPr="00003327" w14:paraId="7BB6EDE6" w14:textId="77777777" w:rsidTr="00003327">
        <w:tc>
          <w:tcPr>
            <w:tcW w:w="4485" w:type="dxa"/>
          </w:tcPr>
          <w:p w14:paraId="0E48FD8F"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GBF-T23</w:t>
            </w:r>
          </w:p>
        </w:tc>
        <w:tc>
          <w:tcPr>
            <w:tcW w:w="4864" w:type="dxa"/>
          </w:tcPr>
          <w:p w14:paraId="3FECD512"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M23 del MMB</w:t>
            </w:r>
          </w:p>
        </w:tc>
      </w:tr>
      <w:tr w:rsidR="00003327" w:rsidRPr="00003327" w14:paraId="70CCFC9E" w14:textId="77777777" w:rsidTr="00003327">
        <w:tc>
          <w:tcPr>
            <w:tcW w:w="4485" w:type="dxa"/>
          </w:tcPr>
          <w:p w14:paraId="33D19302"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 xml:space="preserve">Relative </w:t>
            </w:r>
            <w:proofErr w:type="spellStart"/>
            <w:r w:rsidRPr="00003327">
              <w:rPr>
                <w:rFonts w:ascii="Aptos" w:hAnsi="Aptos"/>
                <w:sz w:val="18"/>
                <w:szCs w:val="18"/>
                <w:lang w:val="es-ES"/>
              </w:rPr>
              <w:t>weight</w:t>
            </w:r>
            <w:proofErr w:type="spellEnd"/>
          </w:p>
        </w:tc>
        <w:tc>
          <w:tcPr>
            <w:tcW w:w="4864" w:type="dxa"/>
          </w:tcPr>
          <w:p w14:paraId="6528FF0A" w14:textId="77777777" w:rsidR="00003327" w:rsidRPr="00003327" w:rsidRDefault="00003327" w:rsidP="00003327">
            <w:pPr>
              <w:rPr>
                <w:rFonts w:ascii="Aptos" w:hAnsi="Aptos"/>
                <w:sz w:val="18"/>
                <w:szCs w:val="18"/>
                <w:lang w:val="es-ES"/>
              </w:rPr>
            </w:pPr>
            <w:r w:rsidRPr="00003327">
              <w:rPr>
                <w:rFonts w:ascii="Aptos" w:hAnsi="Aptos"/>
                <w:sz w:val="18"/>
                <w:szCs w:val="18"/>
                <w:lang w:val="es-ES"/>
              </w:rPr>
              <w:t>Ponderación relativa</w:t>
            </w:r>
          </w:p>
        </w:tc>
      </w:tr>
    </w:tbl>
    <w:p w14:paraId="6604A525" w14:textId="77777777" w:rsidR="00003327" w:rsidRPr="00003327" w:rsidRDefault="00003327" w:rsidP="00003327">
      <w:pPr>
        <w:spacing w:after="0"/>
        <w:rPr>
          <w:sz w:val="18"/>
          <w:szCs w:val="18"/>
          <w:lang w:val="es-ES"/>
        </w:rPr>
      </w:pPr>
    </w:p>
    <w:p w14:paraId="66448442"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p>
    <w:p w14:paraId="6D92D3AE" w14:textId="77777777" w:rsidR="008F15F1" w:rsidRPr="005E3D50" w:rsidRDefault="008F15F1" w:rsidP="008F15F1">
      <w:pPr>
        <w:keepNext/>
        <w:keepLines/>
        <w:spacing w:before="80" w:after="40"/>
        <w:outlineLvl w:val="3"/>
        <w:rPr>
          <w:rFonts w:eastAsiaTheme="majorEastAsia" w:cstheme="majorBidi"/>
          <w:color w:val="0F4761" w:themeColor="accent1" w:themeShade="BF"/>
          <w:lang w:val="es-ES"/>
        </w:rPr>
      </w:pPr>
      <w:bookmarkStart w:id="569" w:name="_Toc239069221"/>
      <w:bookmarkStart w:id="570" w:name="_Toc1152408364"/>
      <w:bookmarkStart w:id="571" w:name="_Toc242882999"/>
      <w:r w:rsidRPr="005E3D50">
        <w:rPr>
          <w:rFonts w:eastAsiaTheme="majorEastAsia" w:cstheme="majorBidi"/>
          <w:iCs/>
          <w:color w:val="0F4761" w:themeColor="accent1" w:themeShade="BF"/>
          <w:lang w:val="es-ES"/>
        </w:rPr>
        <w:t>Objetivo A. Proteger y restaurar</w:t>
      </w:r>
      <w:bookmarkEnd w:id="568"/>
      <w:bookmarkEnd w:id="569"/>
      <w:bookmarkEnd w:id="570"/>
      <w:bookmarkEnd w:id="571"/>
    </w:p>
    <w:p w14:paraId="34CFB625"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72" w:name="_Toc235821343"/>
    </w:p>
    <w:p w14:paraId="1F8B6DB4" w14:textId="77777777" w:rsidR="008F15F1" w:rsidRPr="005E3D50" w:rsidRDefault="008F15F1" w:rsidP="008F15F1">
      <w:pPr>
        <w:shd w:val="clear" w:color="auto" w:fill="FFFFFF"/>
        <w:spacing w:after="100" w:afterAutospacing="1" w:line="240" w:lineRule="auto"/>
        <w:rPr>
          <w:rFonts w:ascii="Aptos" w:eastAsia="Times New Roman" w:hAnsi="Aptos" w:cs="Times New Roman"/>
          <w:i/>
          <w:iCs/>
          <w:color w:val="00483A"/>
          <w:spacing w:val="6"/>
          <w:kern w:val="0"/>
          <w:sz w:val="22"/>
          <w:szCs w:val="22"/>
          <w:lang w:val="es-ES"/>
          <w14:ligatures w14:val="none"/>
        </w:rPr>
      </w:pPr>
      <w:r w:rsidRPr="005E3D50">
        <w:rPr>
          <w:rFonts w:ascii="Aptos" w:eastAsia="Times New Roman" w:hAnsi="Aptos" w:cs="Times New Roman"/>
          <w:b/>
          <w:kern w:val="0"/>
          <w:sz w:val="22"/>
          <w:lang w:val="es-ES"/>
          <w14:ligatures w14:val="none"/>
        </w:rPr>
        <w:t>Texto del objetivo.</w:t>
      </w:r>
      <w:r w:rsidRPr="005E3D50">
        <w:rPr>
          <w:rFonts w:ascii="Aptos" w:eastAsia="Times New Roman" w:hAnsi="Aptos" w:cs="Times New Roman"/>
          <w:i/>
          <w:color w:val="000000"/>
          <w:kern w:val="0"/>
          <w:sz w:val="22"/>
          <w:lang w:val="es-ES"/>
          <w14:ligatures w14:val="none"/>
        </w:rPr>
        <w:t xml:space="preserve"> Se mantiene, se aumenta o se restablece la integridad, la conectividad y la resiliencia de todos los ecosistemas, aumentando sustancialmente la superficie de los ecosistemas naturales para 2050;</w:t>
      </w:r>
    </w:p>
    <w:p w14:paraId="42FC5813" w14:textId="77777777" w:rsidR="008F15F1" w:rsidRPr="005E3D50" w:rsidRDefault="008F15F1" w:rsidP="008F15F1">
      <w:pPr>
        <w:shd w:val="clear" w:color="auto" w:fill="FFFFFF"/>
        <w:spacing w:after="100" w:afterAutospacing="1" w:line="240" w:lineRule="auto"/>
        <w:rPr>
          <w:rFonts w:ascii="Aptos" w:eastAsia="Times New Roman" w:hAnsi="Aptos" w:cs="Times New Roman"/>
          <w:i/>
          <w:iCs/>
          <w:color w:val="00483A"/>
          <w:spacing w:val="6"/>
          <w:kern w:val="0"/>
          <w:sz w:val="22"/>
          <w:szCs w:val="22"/>
          <w:lang w:val="es-ES"/>
          <w14:ligatures w14:val="none"/>
        </w:rPr>
      </w:pPr>
      <w:r w:rsidRPr="005E3D50">
        <w:rPr>
          <w:rFonts w:ascii="Aptos" w:eastAsia="Times New Roman" w:hAnsi="Aptos" w:cs="Times New Roman"/>
          <w:i/>
          <w:color w:val="000000"/>
          <w:kern w:val="0"/>
          <w:sz w:val="22"/>
          <w:lang w:val="es-ES"/>
          <w14:ligatures w14:val="none"/>
        </w:rPr>
        <w:t>Se detiene la extinción de especies amenazadas conocidas causada por la actividad humana y, para 2050, el ritmo y el riesgo de extinción de todas las especies se reduce a la décima parte, y la abundancia de las especies silvestres autóctonas se incrementa a niveles saludables y resilientes;</w:t>
      </w:r>
    </w:p>
    <w:p w14:paraId="65CBA7E4" w14:textId="77777777" w:rsidR="008F15F1" w:rsidRPr="005E3D50" w:rsidRDefault="008F15F1" w:rsidP="008F15F1">
      <w:pPr>
        <w:shd w:val="clear" w:color="auto" w:fill="FFFFFF"/>
        <w:spacing w:after="100" w:afterAutospacing="1" w:line="240" w:lineRule="auto"/>
        <w:rPr>
          <w:rFonts w:ascii="Aptos" w:eastAsia="Times New Roman" w:hAnsi="Aptos" w:cs="Times New Roman"/>
          <w:i/>
          <w:iCs/>
          <w:color w:val="000000"/>
          <w:spacing w:val="6"/>
          <w:kern w:val="0"/>
          <w:sz w:val="22"/>
          <w:szCs w:val="22"/>
          <w:lang w:val="es-ES"/>
          <w14:ligatures w14:val="none"/>
        </w:rPr>
      </w:pPr>
      <w:r w:rsidRPr="005E3D50">
        <w:rPr>
          <w:rFonts w:ascii="Aptos" w:eastAsia="Times New Roman" w:hAnsi="Aptos" w:cs="Times New Roman"/>
          <w:i/>
          <w:color w:val="000000"/>
          <w:kern w:val="0"/>
          <w:sz w:val="22"/>
          <w:lang w:val="es-ES"/>
          <w14:ligatures w14:val="none"/>
        </w:rPr>
        <w:t>Se mantiene la diversidad genética de las especies silvestres y domesticadas, salvaguardando su potencial de adaptación.</w:t>
      </w:r>
    </w:p>
    <w:p w14:paraId="50F4D19C"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B1A2A35"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Panorama general del objetivo</w:t>
      </w:r>
      <w:bookmarkEnd w:id="572"/>
    </w:p>
    <w:p w14:paraId="15D2199C" w14:textId="77777777" w:rsidR="008F15F1" w:rsidRPr="005E3D50" w:rsidRDefault="008F15F1" w:rsidP="008F15F1">
      <w:pPr>
        <w:shd w:val="clear" w:color="auto" w:fill="FFFFFF"/>
        <w:spacing w:after="100" w:afterAutospacing="1" w:line="240" w:lineRule="auto"/>
        <w:rPr>
          <w:rFonts w:ascii="Aptos" w:eastAsia="Times New Roman" w:hAnsi="Aptos" w:cs="Times New Roman"/>
          <w:i/>
          <w:color w:val="00483A"/>
          <w:spacing w:val="6"/>
          <w:kern w:val="0"/>
          <w:sz w:val="22"/>
          <w:szCs w:val="22"/>
          <w:lang w:val="es-ES"/>
          <w14:ligatures w14:val="none"/>
        </w:rPr>
      </w:pPr>
    </w:p>
    <w:tbl>
      <w:tblPr>
        <w:tblStyle w:val="TableGrid1"/>
        <w:tblW w:w="0" w:type="auto"/>
        <w:tblLook w:val="04A0" w:firstRow="1" w:lastRow="0" w:firstColumn="1" w:lastColumn="0" w:noHBand="0" w:noVBand="1"/>
      </w:tblPr>
      <w:tblGrid>
        <w:gridCol w:w="9016"/>
      </w:tblGrid>
      <w:tr w:rsidR="008F15F1" w:rsidRPr="005E3D50" w14:paraId="360225EA" w14:textId="77777777" w:rsidTr="006E6831">
        <w:tc>
          <w:tcPr>
            <w:tcW w:w="9016" w:type="dxa"/>
            <w:shd w:val="clear" w:color="auto" w:fill="D1D1D1" w:themeFill="background2" w:themeFillShade="E6"/>
          </w:tcPr>
          <w:p w14:paraId="382D2DCB" w14:textId="77777777" w:rsidR="008F15F1" w:rsidRPr="005E3D50" w:rsidRDefault="008F15F1" w:rsidP="008F15F1">
            <w:pPr>
              <w:rPr>
                <w:rFonts w:eastAsia="Aptos"/>
              </w:rPr>
            </w:pPr>
          </w:p>
          <w:p w14:paraId="3842A076" w14:textId="77777777" w:rsidR="008F15F1" w:rsidRPr="005E3D50" w:rsidRDefault="008F15F1" w:rsidP="008F15F1">
            <w:pPr>
              <w:rPr>
                <w:rFonts w:eastAsia="Aptos"/>
              </w:rPr>
            </w:pPr>
            <w:r w:rsidRPr="005E3D50">
              <w:t xml:space="preserve">Las Partes relacionaron 15 de las 23 metas del Marco con el Objetivo A. Entre estas se incluyeron todas las metas centradas en reducir las amenazas a la biodiversidad y cuatro de las cinco metas centradas en satisfacer las necesidades de las personas mediante la utilización sostenible y la participación en los beneficios. Teniendo en cuenta esta vinculación, los progresos hacia la consecución del Objetivo A </w:t>
            </w:r>
            <w:r w:rsidRPr="005E3D50">
              <w:lastRenderedPageBreak/>
              <w:t xml:space="preserve">dependen, por lo tanto, de la implementación en relación con una amplia variedad de metas con repercusiones tanto directas como indirectas en la biodiversidad. Si bien algunas de las metas relacionadas muestran tendencias positivas, los progresos colectivos generales hacia la consecución de esas metas siguen siendo dispares. </w:t>
            </w:r>
          </w:p>
          <w:p w14:paraId="6F128EEE" w14:textId="77777777" w:rsidR="008F15F1" w:rsidRPr="005E3D50" w:rsidRDefault="008F15F1" w:rsidP="008F15F1">
            <w:pPr>
              <w:rPr>
                <w:rFonts w:eastAsia="Aptos"/>
              </w:rPr>
            </w:pPr>
          </w:p>
        </w:tc>
      </w:tr>
    </w:tbl>
    <w:p w14:paraId="0B7559C1" w14:textId="77777777" w:rsidR="008F15F1" w:rsidRPr="005E3D50" w:rsidRDefault="008F15F1" w:rsidP="008F15F1">
      <w:pPr>
        <w:shd w:val="clear" w:color="auto" w:fill="FFFFFF"/>
        <w:spacing w:after="100" w:afterAutospacing="1" w:line="240" w:lineRule="auto"/>
        <w:rPr>
          <w:rFonts w:ascii="Aptos" w:eastAsia="Times New Roman" w:hAnsi="Aptos" w:cs="Times New Roman"/>
          <w:b/>
          <w:bCs/>
          <w:i/>
          <w:iCs/>
          <w:kern w:val="0"/>
          <w:sz w:val="22"/>
          <w:szCs w:val="22"/>
          <w:lang w:val="es-ES"/>
          <w14:ligatures w14:val="none"/>
        </w:rPr>
      </w:pPr>
    </w:p>
    <w:p w14:paraId="3000E92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2DFC4A51"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73" w:name="_Toc235821344"/>
      <w:r w:rsidRPr="005E3D50">
        <w:rPr>
          <w:rFonts w:eastAsiaTheme="majorEastAsia" w:cstheme="majorBidi"/>
          <w:color w:val="0F4761" w:themeColor="accent1" w:themeShade="BF"/>
          <w:lang w:val="es-ES"/>
        </w:rPr>
        <w:t>Progresos en las metas relacionadas</w:t>
      </w:r>
      <w:bookmarkEnd w:id="573"/>
    </w:p>
    <w:p w14:paraId="42BBC929" w14:textId="77777777" w:rsidR="008F15F1" w:rsidRPr="005E3D50" w:rsidRDefault="008F15F1" w:rsidP="008F15F1">
      <w:pPr>
        <w:spacing w:after="200" w:line="240" w:lineRule="auto"/>
        <w:rPr>
          <w:rFonts w:eastAsiaTheme="minorEastAsia"/>
          <w:iCs/>
          <w:color w:val="000000" w:themeColor="text1"/>
          <w:kern w:val="0"/>
          <w:lang w:val="es-ES" w:eastAsia="ja-JP"/>
          <w14:ligatures w14:val="none"/>
        </w:rPr>
      </w:pPr>
    </w:p>
    <w:p w14:paraId="39210B87" w14:textId="77777777" w:rsidR="008F15F1" w:rsidRPr="005E3D50" w:rsidRDefault="008F15F1" w:rsidP="008F15F1">
      <w:pPr>
        <w:spacing w:after="200" w:line="276" w:lineRule="auto"/>
        <w:rPr>
          <w:rFonts w:eastAsiaTheme="minorEastAsia"/>
          <w:iCs/>
          <w:color w:val="000000" w:themeColor="text1"/>
          <w:kern w:val="0"/>
          <w:lang w:val="es-ES" w:eastAsia="ja-JP"/>
          <w14:ligatures w14:val="none"/>
        </w:rPr>
      </w:pPr>
      <w:r w:rsidRPr="005E3D50">
        <w:rPr>
          <w:rFonts w:eastAsiaTheme="minorEastAsia"/>
          <w:iCs/>
          <w:color w:val="000000" w:themeColor="text1"/>
          <w:kern w:val="0"/>
          <w:szCs w:val="18"/>
          <w:lang w:val="es-ES" w:eastAsia="ja-JP"/>
          <w14:ligatures w14:val="none"/>
        </w:rPr>
        <w:t>Mediante el uso del método descrito anteriormente, 15 de las 23 metas del Marco se relacionaron con el Objetivo A (véase la figura 96). Todas las metas comprendidas en el epígrafe “Reducir las amenazas a la biodiversidad” (metas 1 a 8) se relacionaron más estrechamente con el Objetivo A. Cuatro de las cinco metas comprendidas en el epígrafe “Satisfacer las necesidades de las personas mediante la utilización sostenible y la participación en los beneficios” (metas 9 a 12) también se relacionaron con el Objetivo A, mientras que solo tres de las metas comprendidas en el epígrafe “Herramientas y soluciones para la implementación y la integración” (metas 16, 17 y 23) se relacionaron con el Objetivo A.</w:t>
      </w:r>
    </w:p>
    <w:p w14:paraId="43C40785" w14:textId="77777777" w:rsidR="008F15F1" w:rsidRPr="005E3D50" w:rsidRDefault="008F15F1" w:rsidP="008F15F1">
      <w:pPr>
        <w:rPr>
          <w:lang w:val="es-ES"/>
        </w:rPr>
      </w:pPr>
      <w:r w:rsidRPr="005E3D50">
        <w:rPr>
          <w:lang w:val="es-ES"/>
        </w:rPr>
        <w:t>Para cada una de las 15 metas relacionadas con el Objetivo A, la tendencia media se resume utilizando las tendencias de los indicadores que se presentan en la sección II.B (véase la figura 97). Dos de las metas más estrechamente relacionadas con el Objetivo A (metas 2 y 8) tienen muchos más indicadores que muestran indicios de mejora que indicios de deterioro.</w:t>
      </w:r>
      <w:r w:rsidRPr="005E3D50">
        <w:rPr>
          <w:color w:val="000000" w:themeColor="text1"/>
          <w:lang w:val="es-ES"/>
        </w:rPr>
        <w:t xml:space="preserve"> Por el contrario, dos de las metas relacionadas (metas 17 y 23) tienen más indicadores que muestran indicios de deterioro que indicios de mejora. En el conjunto de todas las metas relacionadas, el 26,5 % de los indicadores muestra mejoras, el 58 % está estable y el 15,5 % está alejándose de la meta. Esos resultados preliminares sugieren una tendencia en general mixta y mayormente estática de progresos hacia la consecución del Objetivo A, observándose progresos y deterioro con respecto a las metas relacionadas con los impulsores tanto directos como indirectos del cambio en la biodiversidad. Sin embargo, dado que la mayoría de estos indicadores no fueron concebidos para hacer un seguimiento de los progresos hacia la consecución del Objetivo A y no son equivalentes en cuanto a las escalas, los períodos y las variables que registran, la tendencia general debería considerarse solo una imagen indicativa, indirecta e imperfecta de los progresos.</w:t>
      </w:r>
    </w:p>
    <w:p w14:paraId="52614C1D" w14:textId="77777777" w:rsidR="008F15F1" w:rsidRPr="005E3D50" w:rsidRDefault="008F15F1" w:rsidP="008F15F1">
      <w:pPr>
        <w:spacing w:after="200" w:line="240" w:lineRule="auto"/>
        <w:rPr>
          <w:rFonts w:eastAsiaTheme="minorEastAsia"/>
          <w:color w:val="0E2841" w:themeColor="text2"/>
          <w:kern w:val="0"/>
          <w:sz w:val="20"/>
          <w:szCs w:val="20"/>
          <w:lang w:val="es-ES" w:eastAsia="ja-JP"/>
          <w14:ligatures w14:val="none"/>
        </w:rPr>
      </w:pPr>
      <w:bookmarkStart w:id="574" w:name="_Ref230638519"/>
    </w:p>
    <w:bookmarkEnd w:id="574"/>
    <w:p w14:paraId="79B1C35B" w14:textId="77777777" w:rsidR="008F15F1" w:rsidRPr="005E3D50" w:rsidRDefault="008F15F1" w:rsidP="008F15F1">
      <w:pPr>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iCs/>
          <w:color w:val="0E2841" w:themeColor="text2"/>
          <w:kern w:val="0"/>
          <w:sz w:val="20"/>
          <w:szCs w:val="18"/>
          <w:lang w:val="es-ES" w:eastAsia="ja-JP"/>
          <w14:ligatures w14:val="none"/>
        </w:rPr>
        <w:t>Figura 96</w:t>
      </w:r>
    </w:p>
    <w:p w14:paraId="33A07D8F" w14:textId="77777777" w:rsidR="008F15F1" w:rsidRPr="005E3D50" w:rsidRDefault="008F15F1" w:rsidP="008F15F1">
      <w:pPr>
        <w:spacing w:after="200" w:line="240" w:lineRule="auto"/>
        <w:rPr>
          <w:rFonts w:eastAsiaTheme="minorEastAsia"/>
          <w:color w:val="0E2841" w:themeColor="text2"/>
          <w:kern w:val="0"/>
          <w:sz w:val="20"/>
          <w:szCs w:val="20"/>
          <w:lang w:val="es-ES" w:eastAsia="ja-JP"/>
          <w14:ligatures w14:val="none"/>
        </w:rPr>
      </w:pPr>
      <w:r w:rsidRPr="005E3D50">
        <w:rPr>
          <w:rFonts w:eastAsiaTheme="minorEastAsia"/>
          <w:b/>
          <w:iCs/>
          <w:color w:val="0E2841" w:themeColor="text2"/>
          <w:kern w:val="0"/>
          <w:sz w:val="20"/>
          <w:szCs w:val="18"/>
          <w:lang w:val="es-ES" w:eastAsia="ja-JP"/>
          <w14:ligatures w14:val="none"/>
        </w:rPr>
        <w:t>Metas del Marco relacionadas con el Objetivo A en las metas nacionales presentadas por las Partes</w:t>
      </w:r>
    </w:p>
    <w:p w14:paraId="2EFDA866" w14:textId="77777777" w:rsidR="008F15F1" w:rsidRPr="005E3D50" w:rsidRDefault="008F15F1" w:rsidP="008F15F1">
      <w:pPr>
        <w:rPr>
          <w:iCs/>
          <w:color w:val="000000" w:themeColor="text1"/>
          <w:lang w:val="es-ES"/>
        </w:rPr>
      </w:pPr>
    </w:p>
    <w:p w14:paraId="5432158A" w14:textId="77777777" w:rsidR="008F15F1" w:rsidRPr="005E3D50" w:rsidRDefault="008F15F1" w:rsidP="008F15F1">
      <w:pPr>
        <w:rPr>
          <w:lang w:val="es-ES"/>
        </w:rPr>
      </w:pPr>
      <w:r w:rsidRPr="005E3D50">
        <w:rPr>
          <w:noProof/>
          <w:lang w:val="en-US"/>
        </w:rPr>
        <w:drawing>
          <wp:inline distT="0" distB="0" distL="0" distR="0" wp14:anchorId="33F6DCDA" wp14:editId="20836978">
            <wp:extent cx="4726797" cy="4856813"/>
            <wp:effectExtent l="0" t="0" r="0" b="0"/>
            <wp:docPr id="38911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90" name="Picture 38911190"/>
                    <pic:cNvPicPr/>
                  </pic:nvPicPr>
                  <pic:blipFill rotWithShape="1">
                    <a:blip r:embed="rId222" cstate="print">
                      <a:extLst>
                        <a:ext uri="{28A0092B-C50C-407E-A947-70E740481C1C}">
                          <a14:useLocalDpi xmlns:a14="http://schemas.microsoft.com/office/drawing/2010/main" val="0"/>
                        </a:ext>
                      </a:extLst>
                    </a:blip>
                    <a:srcRect t="22494" b="22708"/>
                    <a:stretch>
                      <a:fillRect/>
                    </a:stretch>
                  </pic:blipFill>
                  <pic:spPr bwMode="auto">
                    <a:xfrm>
                      <a:off x="0" y="0"/>
                      <a:ext cx="4726940" cy="4856960"/>
                    </a:xfrm>
                    <a:prstGeom prst="rect">
                      <a:avLst/>
                    </a:prstGeom>
                    <a:ln>
                      <a:noFill/>
                    </a:ln>
                    <a:extLst>
                      <a:ext uri="{53640926-AAD7-44D8-BBD7-CCE9431645EC}">
                        <a14:shadowObscured xmlns:a14="http://schemas.microsoft.com/office/drawing/2010/main"/>
                      </a:ext>
                    </a:extLst>
                  </pic:spPr>
                </pic:pic>
              </a:graphicData>
            </a:graphic>
          </wp:inline>
        </w:drawing>
      </w:r>
    </w:p>
    <w:p w14:paraId="207129B9" w14:textId="77777777" w:rsidR="008F15F1" w:rsidRPr="005E3D50" w:rsidRDefault="008F15F1" w:rsidP="008F15F1">
      <w:pPr>
        <w:rPr>
          <w:sz w:val="18"/>
          <w:szCs w:val="18"/>
          <w:lang w:val="es-ES"/>
        </w:rPr>
      </w:pPr>
    </w:p>
    <w:p w14:paraId="305A68D6"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Nota: </w:t>
      </w:r>
      <w:r w:rsidRPr="005E3D50">
        <w:rPr>
          <w:rFonts w:eastAsiaTheme="minorEastAsia"/>
          <w:iCs/>
          <w:color w:val="0E2841" w:themeColor="text2"/>
          <w:kern w:val="0"/>
          <w:sz w:val="18"/>
          <w:szCs w:val="18"/>
          <w:lang w:val="es-ES" w:eastAsia="ja-JP"/>
          <w14:ligatures w14:val="none"/>
        </w:rPr>
        <w:t>Se establece un vínculo entre una meta y el objetivo si al menos un tercio de todas las metas nacionales establecidas por las Partes de cualquier grupo regional de Estados Miembros de las Naciones Unidas relacionaron una meta con el objetivo. Los colores empleados destacan cada meta de acuerdo con las directrices oficiales de marca del Marco y no tienen ningún significado adicional.</w:t>
      </w:r>
    </w:p>
    <w:tbl>
      <w:tblPr>
        <w:tblStyle w:val="TableGrid"/>
        <w:tblW w:w="9644" w:type="dxa"/>
        <w:tblLook w:val="04A0" w:firstRow="1" w:lastRow="0" w:firstColumn="1" w:lastColumn="0" w:noHBand="0" w:noVBand="1"/>
      </w:tblPr>
      <w:tblGrid>
        <w:gridCol w:w="4343"/>
        <w:gridCol w:w="5301"/>
      </w:tblGrid>
      <w:tr w:rsidR="00282CF5" w:rsidRPr="00E944B1" w14:paraId="108D0B1A" w14:textId="77777777" w:rsidTr="00282CF5">
        <w:tc>
          <w:tcPr>
            <w:tcW w:w="9644" w:type="dxa"/>
            <w:gridSpan w:val="2"/>
          </w:tcPr>
          <w:p w14:paraId="46B7B44F" w14:textId="7F468184" w:rsidR="00282CF5" w:rsidRPr="00282CF5" w:rsidRDefault="00282CF5" w:rsidP="00B93410">
            <w:pPr>
              <w:rPr>
                <w:rFonts w:ascii="Aptos" w:hAnsi="Aptos"/>
                <w:bCs/>
                <w:sz w:val="18"/>
                <w:szCs w:val="18"/>
                <w:lang w:val="es-ES"/>
              </w:rPr>
            </w:pPr>
            <w:r w:rsidRPr="00282CF5">
              <w:rPr>
                <w:rFonts w:ascii="Aptos" w:hAnsi="Aptos"/>
                <w:bCs/>
                <w:sz w:val="18"/>
                <w:szCs w:val="18"/>
                <w:lang w:val="es-ES"/>
              </w:rPr>
              <w:t>Figura 96</w:t>
            </w:r>
          </w:p>
        </w:tc>
      </w:tr>
      <w:tr w:rsidR="00282CF5" w:rsidRPr="00E944B1" w14:paraId="13777B2B" w14:textId="77777777" w:rsidTr="00282CF5">
        <w:tc>
          <w:tcPr>
            <w:tcW w:w="4343" w:type="dxa"/>
          </w:tcPr>
          <w:p w14:paraId="0953F029" w14:textId="77777777" w:rsidR="00282CF5" w:rsidRPr="00282CF5" w:rsidRDefault="00282CF5" w:rsidP="00B93410">
            <w:pPr>
              <w:rPr>
                <w:rFonts w:ascii="Aptos" w:hAnsi="Aptos"/>
                <w:bCs/>
                <w:sz w:val="18"/>
                <w:szCs w:val="18"/>
                <w:lang w:val="es-ES"/>
              </w:rPr>
            </w:pPr>
            <w:r w:rsidRPr="00282CF5">
              <w:rPr>
                <w:rFonts w:ascii="Aptos" w:hAnsi="Aptos"/>
                <w:bCs/>
                <w:sz w:val="18"/>
                <w:szCs w:val="18"/>
                <w:lang w:val="es-ES"/>
              </w:rPr>
              <w:t xml:space="preserve">English </w:t>
            </w:r>
          </w:p>
        </w:tc>
        <w:tc>
          <w:tcPr>
            <w:tcW w:w="5300" w:type="dxa"/>
          </w:tcPr>
          <w:p w14:paraId="18A8815D" w14:textId="1A9EB0B8" w:rsidR="00282CF5" w:rsidRPr="00282CF5" w:rsidRDefault="00282CF5" w:rsidP="00B93410">
            <w:pPr>
              <w:rPr>
                <w:rFonts w:ascii="Aptos" w:hAnsi="Aptos"/>
                <w:bCs/>
                <w:sz w:val="18"/>
                <w:szCs w:val="18"/>
                <w:lang w:val="es-ES"/>
              </w:rPr>
            </w:pPr>
            <w:r w:rsidRPr="00282CF5">
              <w:rPr>
                <w:rFonts w:ascii="Aptos" w:hAnsi="Aptos"/>
                <w:bCs/>
                <w:sz w:val="18"/>
                <w:szCs w:val="18"/>
                <w:lang w:val="es-ES"/>
              </w:rPr>
              <w:t>Español</w:t>
            </w:r>
          </w:p>
        </w:tc>
      </w:tr>
      <w:tr w:rsidR="00282CF5" w:rsidRPr="00E944B1" w14:paraId="3FA87122" w14:textId="77777777" w:rsidTr="00282CF5">
        <w:tc>
          <w:tcPr>
            <w:tcW w:w="4343" w:type="dxa"/>
          </w:tcPr>
          <w:p w14:paraId="69BCE4CE" w14:textId="77777777" w:rsidR="00282CF5" w:rsidRPr="00282CF5" w:rsidRDefault="00282CF5" w:rsidP="00B93410">
            <w:pPr>
              <w:rPr>
                <w:rFonts w:ascii="Aptos" w:hAnsi="Aptos"/>
                <w:sz w:val="18"/>
                <w:szCs w:val="18"/>
                <w:lang w:val="es-ES"/>
              </w:rPr>
            </w:pPr>
            <w:proofErr w:type="spellStart"/>
            <w:r w:rsidRPr="00282CF5">
              <w:rPr>
                <w:rFonts w:ascii="Aptos" w:hAnsi="Aptos"/>
                <w:sz w:val="18"/>
                <w:szCs w:val="18"/>
                <w:lang w:val="es-ES"/>
              </w:rPr>
              <w:t>Goal</w:t>
            </w:r>
            <w:proofErr w:type="spellEnd"/>
            <w:r w:rsidRPr="00282CF5">
              <w:rPr>
                <w:rFonts w:ascii="Aptos" w:hAnsi="Aptos"/>
                <w:sz w:val="18"/>
                <w:szCs w:val="18"/>
                <w:lang w:val="es-ES"/>
              </w:rPr>
              <w:t xml:space="preserve"> A</w:t>
            </w:r>
          </w:p>
        </w:tc>
        <w:tc>
          <w:tcPr>
            <w:tcW w:w="5300" w:type="dxa"/>
          </w:tcPr>
          <w:p w14:paraId="0000F44A"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Objetivo A</w:t>
            </w:r>
          </w:p>
        </w:tc>
      </w:tr>
      <w:tr w:rsidR="00282CF5" w:rsidRPr="00E944B1" w14:paraId="5993B3E4" w14:textId="77777777" w:rsidTr="00282CF5">
        <w:tc>
          <w:tcPr>
            <w:tcW w:w="4343" w:type="dxa"/>
          </w:tcPr>
          <w:p w14:paraId="3C08EC50"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T1: Plan and manage all areas</w:t>
            </w:r>
          </w:p>
        </w:tc>
        <w:tc>
          <w:tcPr>
            <w:tcW w:w="5300" w:type="dxa"/>
          </w:tcPr>
          <w:p w14:paraId="705720D6"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 Planificar y gestionar todas las zonas</w:t>
            </w:r>
          </w:p>
        </w:tc>
      </w:tr>
      <w:tr w:rsidR="00282CF5" w:rsidRPr="00E944B1" w14:paraId="1CA3C46A" w14:textId="77777777" w:rsidTr="00282CF5">
        <w:tc>
          <w:tcPr>
            <w:tcW w:w="4343" w:type="dxa"/>
          </w:tcPr>
          <w:p w14:paraId="12691F4D"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T2: </w:t>
            </w:r>
            <w:proofErr w:type="spellStart"/>
            <w:r w:rsidRPr="00282CF5">
              <w:rPr>
                <w:rFonts w:ascii="Aptos" w:hAnsi="Aptos"/>
                <w:sz w:val="18"/>
                <w:szCs w:val="18"/>
                <w:lang w:val="es-ES"/>
              </w:rPr>
              <w:t>Restore</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degraded</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ecosystems</w:t>
            </w:r>
            <w:proofErr w:type="spellEnd"/>
          </w:p>
        </w:tc>
        <w:tc>
          <w:tcPr>
            <w:tcW w:w="5300" w:type="dxa"/>
          </w:tcPr>
          <w:p w14:paraId="7F0FCFCC"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M2: Restaurar los ecosistemas degradados</w:t>
            </w:r>
          </w:p>
        </w:tc>
      </w:tr>
      <w:tr w:rsidR="00282CF5" w:rsidRPr="00E944B1" w14:paraId="2B9E91EB" w14:textId="77777777" w:rsidTr="00282CF5">
        <w:tc>
          <w:tcPr>
            <w:tcW w:w="4343" w:type="dxa"/>
          </w:tcPr>
          <w:p w14:paraId="51B2E15C"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T3: Conserve land, water and seas</w:t>
            </w:r>
          </w:p>
        </w:tc>
        <w:tc>
          <w:tcPr>
            <w:tcW w:w="5300" w:type="dxa"/>
          </w:tcPr>
          <w:p w14:paraId="4E1F8E2F"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M3: Conservar las tierras, las aguas y los mares</w:t>
            </w:r>
          </w:p>
        </w:tc>
      </w:tr>
      <w:tr w:rsidR="00282CF5" w:rsidRPr="00E944B1" w14:paraId="48AAD7FE" w14:textId="77777777" w:rsidTr="00282CF5">
        <w:tc>
          <w:tcPr>
            <w:tcW w:w="4343" w:type="dxa"/>
          </w:tcPr>
          <w:p w14:paraId="7D50ACF9"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T4: Halt </w:t>
            </w:r>
            <w:proofErr w:type="spellStart"/>
            <w:r w:rsidRPr="00282CF5">
              <w:rPr>
                <w:rFonts w:ascii="Aptos" w:hAnsi="Aptos"/>
                <w:sz w:val="18"/>
                <w:szCs w:val="18"/>
                <w:lang w:val="es-ES"/>
              </w:rPr>
              <w:t>species</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extinctions</w:t>
            </w:r>
            <w:proofErr w:type="spellEnd"/>
          </w:p>
        </w:tc>
        <w:tc>
          <w:tcPr>
            <w:tcW w:w="5300" w:type="dxa"/>
          </w:tcPr>
          <w:p w14:paraId="1F9F9885"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M4: Detener las extinciones de especies</w:t>
            </w:r>
          </w:p>
        </w:tc>
      </w:tr>
      <w:tr w:rsidR="00282CF5" w:rsidRPr="00E944B1" w14:paraId="5677E3CB" w14:textId="77777777" w:rsidTr="00282CF5">
        <w:tc>
          <w:tcPr>
            <w:tcW w:w="4343" w:type="dxa"/>
          </w:tcPr>
          <w:p w14:paraId="5D2D1585"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T5: Sustainable harvest and trade</w:t>
            </w:r>
          </w:p>
        </w:tc>
        <w:tc>
          <w:tcPr>
            <w:tcW w:w="5300" w:type="dxa"/>
          </w:tcPr>
          <w:p w14:paraId="75FF193B"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M5: Recolección y comercio sostenibles</w:t>
            </w:r>
          </w:p>
        </w:tc>
      </w:tr>
      <w:tr w:rsidR="00282CF5" w:rsidRPr="00E944B1" w14:paraId="4227EF01" w14:textId="77777777" w:rsidTr="00282CF5">
        <w:tc>
          <w:tcPr>
            <w:tcW w:w="4343" w:type="dxa"/>
          </w:tcPr>
          <w:p w14:paraId="506ACA39"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T6: Reduce introduction of IAS</w:t>
            </w:r>
          </w:p>
        </w:tc>
        <w:tc>
          <w:tcPr>
            <w:tcW w:w="5300" w:type="dxa"/>
          </w:tcPr>
          <w:p w14:paraId="6F5244D7"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M6: Reducir la introducción de especies exóticas invasoras</w:t>
            </w:r>
          </w:p>
        </w:tc>
      </w:tr>
      <w:tr w:rsidR="00282CF5" w:rsidRPr="00E944B1" w14:paraId="70EC0245" w14:textId="77777777" w:rsidTr="00282CF5">
        <w:tc>
          <w:tcPr>
            <w:tcW w:w="4343" w:type="dxa"/>
          </w:tcPr>
          <w:p w14:paraId="1108DFCB"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T7: Reduce </w:t>
            </w:r>
            <w:proofErr w:type="spellStart"/>
            <w:r w:rsidRPr="00282CF5">
              <w:rPr>
                <w:rFonts w:ascii="Aptos" w:hAnsi="Aptos"/>
                <w:sz w:val="18"/>
                <w:szCs w:val="18"/>
                <w:lang w:val="es-ES"/>
              </w:rPr>
              <w:t>pollution</w:t>
            </w:r>
            <w:proofErr w:type="spellEnd"/>
          </w:p>
        </w:tc>
        <w:tc>
          <w:tcPr>
            <w:tcW w:w="5300" w:type="dxa"/>
          </w:tcPr>
          <w:p w14:paraId="6215946D"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M7: Reducir la contaminación</w:t>
            </w:r>
          </w:p>
        </w:tc>
      </w:tr>
      <w:tr w:rsidR="00282CF5" w:rsidRPr="00E944B1" w14:paraId="238A745F" w14:textId="77777777" w:rsidTr="00282CF5">
        <w:tc>
          <w:tcPr>
            <w:tcW w:w="4343" w:type="dxa"/>
          </w:tcPr>
          <w:p w14:paraId="292007C1"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T8: Minimize the impacts of climate change</w:t>
            </w:r>
          </w:p>
        </w:tc>
        <w:tc>
          <w:tcPr>
            <w:tcW w:w="5300" w:type="dxa"/>
          </w:tcPr>
          <w:p w14:paraId="53E56CC4"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M8: Minimizar los impactos del cambio climático</w:t>
            </w:r>
          </w:p>
        </w:tc>
      </w:tr>
      <w:tr w:rsidR="00282CF5" w:rsidRPr="00E944B1" w14:paraId="235D1801" w14:textId="77777777" w:rsidTr="00282CF5">
        <w:tc>
          <w:tcPr>
            <w:tcW w:w="4343" w:type="dxa"/>
          </w:tcPr>
          <w:p w14:paraId="119F19D6"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T9: Manage wild species sustainably</w:t>
            </w:r>
          </w:p>
        </w:tc>
        <w:tc>
          <w:tcPr>
            <w:tcW w:w="5300" w:type="dxa"/>
          </w:tcPr>
          <w:p w14:paraId="626DA4EE"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M9: Gestionar las especies silvestres sosteniblemente</w:t>
            </w:r>
          </w:p>
        </w:tc>
      </w:tr>
      <w:tr w:rsidR="00282CF5" w:rsidRPr="00E944B1" w14:paraId="4A543B08" w14:textId="77777777" w:rsidTr="00282CF5">
        <w:tc>
          <w:tcPr>
            <w:tcW w:w="4343" w:type="dxa"/>
          </w:tcPr>
          <w:p w14:paraId="456E9429"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T10: </w:t>
            </w:r>
            <w:proofErr w:type="spellStart"/>
            <w:r w:rsidRPr="00282CF5">
              <w:rPr>
                <w:rFonts w:ascii="Aptos" w:hAnsi="Aptos"/>
                <w:sz w:val="18"/>
                <w:szCs w:val="18"/>
                <w:lang w:val="es-ES"/>
              </w:rPr>
              <w:t>Sustainable</w:t>
            </w:r>
            <w:proofErr w:type="spellEnd"/>
            <w:r w:rsidRPr="00282CF5">
              <w:rPr>
                <w:rFonts w:ascii="Aptos" w:hAnsi="Aptos"/>
                <w:sz w:val="18"/>
                <w:szCs w:val="18"/>
                <w:lang w:val="es-ES"/>
              </w:rPr>
              <w:t xml:space="preserve"> productive </w:t>
            </w:r>
            <w:proofErr w:type="spellStart"/>
            <w:r w:rsidRPr="00282CF5">
              <w:rPr>
                <w:rFonts w:ascii="Aptos" w:hAnsi="Aptos"/>
                <w:sz w:val="18"/>
                <w:szCs w:val="18"/>
                <w:lang w:val="es-ES"/>
              </w:rPr>
              <w:t>sectors</w:t>
            </w:r>
            <w:proofErr w:type="spellEnd"/>
          </w:p>
        </w:tc>
        <w:tc>
          <w:tcPr>
            <w:tcW w:w="5300" w:type="dxa"/>
          </w:tcPr>
          <w:p w14:paraId="5356F725"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M10: Sectores productivos sostenibles</w:t>
            </w:r>
          </w:p>
        </w:tc>
      </w:tr>
      <w:tr w:rsidR="00282CF5" w:rsidRPr="00E944B1" w14:paraId="41A930DC" w14:textId="77777777" w:rsidTr="00282CF5">
        <w:tc>
          <w:tcPr>
            <w:tcW w:w="4343" w:type="dxa"/>
          </w:tcPr>
          <w:p w14:paraId="1C696DA9"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lastRenderedPageBreak/>
              <w:t>T11: Nature’s contributions to people</w:t>
            </w:r>
          </w:p>
        </w:tc>
        <w:tc>
          <w:tcPr>
            <w:tcW w:w="5300" w:type="dxa"/>
          </w:tcPr>
          <w:p w14:paraId="119CA66C"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M11: Contribuciones de la naturaleza a las personas</w:t>
            </w:r>
          </w:p>
        </w:tc>
      </w:tr>
      <w:tr w:rsidR="00282CF5" w:rsidRPr="00E944B1" w14:paraId="0BB07C66" w14:textId="77777777" w:rsidTr="00282CF5">
        <w:tc>
          <w:tcPr>
            <w:tcW w:w="4343" w:type="dxa"/>
          </w:tcPr>
          <w:p w14:paraId="12C44789" w14:textId="77777777" w:rsidR="00282CF5" w:rsidRPr="00282CF5" w:rsidRDefault="00282CF5" w:rsidP="00B93410">
            <w:pPr>
              <w:rPr>
                <w:rFonts w:ascii="Aptos" w:hAnsi="Aptos"/>
                <w:sz w:val="18"/>
                <w:szCs w:val="18"/>
                <w:lang w:val="en-US"/>
              </w:rPr>
            </w:pPr>
            <w:r w:rsidRPr="00282CF5">
              <w:rPr>
                <w:rFonts w:ascii="Aptos" w:hAnsi="Aptos"/>
                <w:sz w:val="18"/>
                <w:szCs w:val="18"/>
                <w:lang w:val="en-US"/>
              </w:rPr>
              <w:t>T12: Enhance green spaces in urban areas</w:t>
            </w:r>
          </w:p>
        </w:tc>
        <w:tc>
          <w:tcPr>
            <w:tcW w:w="5300" w:type="dxa"/>
          </w:tcPr>
          <w:p w14:paraId="59A435CA"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M12: Aumentar los espacios verdes en las zonas urbanas</w:t>
            </w:r>
          </w:p>
        </w:tc>
      </w:tr>
      <w:tr w:rsidR="00282CF5" w:rsidRPr="00E944B1" w14:paraId="399FA43E" w14:textId="77777777" w:rsidTr="00282CF5">
        <w:tc>
          <w:tcPr>
            <w:tcW w:w="4343" w:type="dxa"/>
          </w:tcPr>
          <w:p w14:paraId="0CA10BC1"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T16: </w:t>
            </w:r>
            <w:proofErr w:type="spellStart"/>
            <w:r w:rsidRPr="00282CF5">
              <w:rPr>
                <w:rFonts w:ascii="Aptos" w:hAnsi="Aptos"/>
                <w:sz w:val="18"/>
                <w:szCs w:val="18"/>
                <w:lang w:val="es-ES"/>
              </w:rPr>
              <w:t>Enable</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sustainable</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consumption</w:t>
            </w:r>
            <w:proofErr w:type="spellEnd"/>
          </w:p>
        </w:tc>
        <w:tc>
          <w:tcPr>
            <w:tcW w:w="5300" w:type="dxa"/>
          </w:tcPr>
          <w:p w14:paraId="4E51F7E3"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M16: Facilitar el consumo sostenible</w:t>
            </w:r>
          </w:p>
        </w:tc>
      </w:tr>
      <w:tr w:rsidR="00282CF5" w:rsidRPr="00E944B1" w14:paraId="48477194" w14:textId="77777777" w:rsidTr="00282CF5">
        <w:tc>
          <w:tcPr>
            <w:tcW w:w="4343" w:type="dxa"/>
          </w:tcPr>
          <w:p w14:paraId="3C6CC420"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T17: </w:t>
            </w:r>
            <w:proofErr w:type="spellStart"/>
            <w:r w:rsidRPr="00282CF5">
              <w:rPr>
                <w:rFonts w:ascii="Aptos" w:hAnsi="Aptos"/>
                <w:sz w:val="18"/>
                <w:szCs w:val="18"/>
                <w:lang w:val="es-ES"/>
              </w:rPr>
              <w:t>Strengthen</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biosafety</w:t>
            </w:r>
            <w:proofErr w:type="spellEnd"/>
          </w:p>
        </w:tc>
        <w:tc>
          <w:tcPr>
            <w:tcW w:w="5300" w:type="dxa"/>
          </w:tcPr>
          <w:p w14:paraId="7853F769"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M17: Reforzar la seguridad de la biotecnología</w:t>
            </w:r>
          </w:p>
        </w:tc>
      </w:tr>
      <w:tr w:rsidR="00282CF5" w:rsidRPr="00E944B1" w14:paraId="246854C5" w14:textId="77777777" w:rsidTr="00282CF5">
        <w:tc>
          <w:tcPr>
            <w:tcW w:w="4343" w:type="dxa"/>
          </w:tcPr>
          <w:p w14:paraId="77DD0D1C"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 xml:space="preserve">T23: </w:t>
            </w:r>
            <w:proofErr w:type="spellStart"/>
            <w:r w:rsidRPr="00282CF5">
              <w:rPr>
                <w:rFonts w:ascii="Aptos" w:hAnsi="Aptos"/>
                <w:sz w:val="18"/>
                <w:szCs w:val="18"/>
                <w:lang w:val="es-ES"/>
              </w:rPr>
              <w:t>Ensure</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gender</w:t>
            </w:r>
            <w:proofErr w:type="spellEnd"/>
            <w:r w:rsidRPr="00282CF5">
              <w:rPr>
                <w:rFonts w:ascii="Aptos" w:hAnsi="Aptos"/>
                <w:sz w:val="18"/>
                <w:szCs w:val="18"/>
                <w:lang w:val="es-ES"/>
              </w:rPr>
              <w:t xml:space="preserve"> </w:t>
            </w:r>
            <w:proofErr w:type="spellStart"/>
            <w:r w:rsidRPr="00282CF5">
              <w:rPr>
                <w:rFonts w:ascii="Aptos" w:hAnsi="Aptos"/>
                <w:sz w:val="18"/>
                <w:szCs w:val="18"/>
                <w:lang w:val="es-ES"/>
              </w:rPr>
              <w:t>equality</w:t>
            </w:r>
            <w:proofErr w:type="spellEnd"/>
          </w:p>
        </w:tc>
        <w:tc>
          <w:tcPr>
            <w:tcW w:w="5300" w:type="dxa"/>
          </w:tcPr>
          <w:p w14:paraId="3973A406" w14:textId="77777777" w:rsidR="00282CF5" w:rsidRPr="00282CF5" w:rsidRDefault="00282CF5" w:rsidP="00B93410">
            <w:pPr>
              <w:rPr>
                <w:rFonts w:ascii="Aptos" w:hAnsi="Aptos"/>
                <w:sz w:val="18"/>
                <w:szCs w:val="18"/>
                <w:lang w:val="es-ES"/>
              </w:rPr>
            </w:pPr>
            <w:r w:rsidRPr="00282CF5">
              <w:rPr>
                <w:rFonts w:ascii="Aptos" w:hAnsi="Aptos"/>
                <w:sz w:val="18"/>
                <w:szCs w:val="18"/>
                <w:lang w:val="es-ES"/>
              </w:rPr>
              <w:t>M23: Garantizar la igualdad de género</w:t>
            </w:r>
          </w:p>
        </w:tc>
      </w:tr>
    </w:tbl>
    <w:p w14:paraId="1774B04A"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729BB27D" w14:textId="77777777" w:rsidR="008F15F1" w:rsidRPr="005E3D50" w:rsidRDefault="008F15F1" w:rsidP="008F15F1">
      <w:pPr>
        <w:rPr>
          <w:sz w:val="20"/>
          <w:szCs w:val="20"/>
          <w:lang w:val="es-ES"/>
        </w:rPr>
      </w:pPr>
      <w:r w:rsidRPr="005E3D50">
        <w:rPr>
          <w:sz w:val="20"/>
          <w:lang w:val="es-ES"/>
        </w:rPr>
        <w:t>Figura 97</w:t>
      </w:r>
    </w:p>
    <w:p w14:paraId="5A1B5AAC"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b/>
          <w:iCs/>
          <w:color w:val="0E2841" w:themeColor="text2"/>
          <w:kern w:val="0"/>
          <w:sz w:val="18"/>
          <w:szCs w:val="18"/>
          <w:lang w:val="es-ES" w:eastAsia="ja-JP"/>
          <w14:ligatures w14:val="none"/>
        </w:rPr>
        <w:t>Porcentaje de todos los indicadores cuantitativos (indicadores de cabecera, de componentes, complementarios y nacionales combinados) armonizados con cada meta relacionada con el Objetivo A que sugieren tendencias de mejora, estables y negativas</w:t>
      </w:r>
    </w:p>
    <w:p w14:paraId="66725CA9" w14:textId="77777777" w:rsidR="008F15F1" w:rsidRPr="005E3D50" w:rsidRDefault="008F15F1" w:rsidP="008F15F1">
      <w:pPr>
        <w:rPr>
          <w:sz w:val="20"/>
          <w:szCs w:val="20"/>
          <w:lang w:val="es-ES" w:eastAsia="ja-JP"/>
        </w:rPr>
      </w:pPr>
    </w:p>
    <w:p w14:paraId="4C59B9FA"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29408BF4"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575" w:name="_Ref230638506"/>
      <w:bookmarkStart w:id="576" w:name="_Ref230638431"/>
      <w:r w:rsidRPr="005E3D50">
        <w:rPr>
          <w:rFonts w:eastAsiaTheme="minorEastAsia"/>
          <w:i/>
          <w:iCs/>
          <w:noProof/>
          <w:color w:val="0E2841" w:themeColor="text2"/>
          <w:kern w:val="0"/>
          <w:sz w:val="18"/>
          <w:szCs w:val="18"/>
          <w:lang w:val="en-US"/>
          <w14:ligatures w14:val="none"/>
        </w:rPr>
        <w:drawing>
          <wp:inline distT="0" distB="0" distL="0" distR="0" wp14:anchorId="6C71E500" wp14:editId="686B2AFB">
            <wp:extent cx="3563800" cy="3818172"/>
            <wp:effectExtent l="0" t="0" r="5080" b="5080"/>
            <wp:docPr id="19263263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6324" name="Picture 1926326324"/>
                    <pic:cNvPicPr/>
                  </pic:nvPicPr>
                  <pic:blipFill rotWithShape="1">
                    <a:blip r:embed="rId223" cstate="print">
                      <a:extLst>
                        <a:ext uri="{28A0092B-C50C-407E-A947-70E740481C1C}">
                          <a14:useLocalDpi xmlns:a14="http://schemas.microsoft.com/office/drawing/2010/main" val="0"/>
                        </a:ext>
                      </a:extLst>
                    </a:blip>
                    <a:srcRect t="4767"/>
                    <a:stretch>
                      <a:fillRect/>
                    </a:stretch>
                  </pic:blipFill>
                  <pic:spPr bwMode="auto">
                    <a:xfrm>
                      <a:off x="0" y="0"/>
                      <a:ext cx="3604821" cy="3862121"/>
                    </a:xfrm>
                    <a:prstGeom prst="rect">
                      <a:avLst/>
                    </a:prstGeom>
                    <a:ln>
                      <a:noFill/>
                    </a:ln>
                    <a:extLst>
                      <a:ext uri="{53640926-AAD7-44D8-BBD7-CCE9431645EC}">
                        <a14:shadowObscured xmlns:a14="http://schemas.microsoft.com/office/drawing/2010/main"/>
                      </a:ext>
                    </a:extLst>
                  </pic:spPr>
                </pic:pic>
              </a:graphicData>
            </a:graphic>
          </wp:inline>
        </w:drawing>
      </w:r>
    </w:p>
    <w:bookmarkEnd w:id="575"/>
    <w:bookmarkEnd w:id="576"/>
    <w:p w14:paraId="2C45EB34"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Puede consultarse información sobre la representatividad regional y los tipos de indicadores incluidos en las evaluaciones de cada una de las metas pertinentes que figuran en la sección II.B.</w:t>
      </w:r>
    </w:p>
    <w:p w14:paraId="115D0262"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Abreviaciones</w:t>
      </w:r>
      <w:r w:rsidRPr="005E3D50">
        <w:rPr>
          <w:rFonts w:ascii="Aptos" w:eastAsiaTheme="minorEastAsia" w:hAnsi="Aptos"/>
          <w:iCs/>
          <w:color w:val="0E2841" w:themeColor="text2"/>
          <w:kern w:val="0"/>
          <w:sz w:val="18"/>
          <w:szCs w:val="18"/>
          <w:lang w:val="es-ES" w:eastAsia="ja-JP"/>
          <w14:ligatures w14:val="none"/>
        </w:rPr>
        <w:t xml:space="preserve">: </w:t>
      </w:r>
      <w:r w:rsidRPr="005E3D50">
        <w:rPr>
          <w:rFonts w:eastAsiaTheme="minorEastAsia"/>
          <w:iCs/>
          <w:color w:val="0E2841" w:themeColor="text2"/>
          <w:kern w:val="0"/>
          <w:sz w:val="18"/>
          <w:szCs w:val="18"/>
          <w:lang w:val="es-ES" w:eastAsia="ja-JP"/>
          <w14:ligatures w14:val="none"/>
        </w:rPr>
        <w:t>MMB, Marco Mundial de Biodiversidad de Kunming-Montreal; M, meta del Marco</w:t>
      </w:r>
    </w:p>
    <w:tbl>
      <w:tblPr>
        <w:tblStyle w:val="TableGrid"/>
        <w:tblW w:w="9677" w:type="dxa"/>
        <w:tblLook w:val="04A0" w:firstRow="1" w:lastRow="0" w:firstColumn="1" w:lastColumn="0" w:noHBand="0" w:noVBand="1"/>
      </w:tblPr>
      <w:tblGrid>
        <w:gridCol w:w="5101"/>
        <w:gridCol w:w="4576"/>
      </w:tblGrid>
      <w:tr w:rsidR="00E14A12" w:rsidRPr="00E14A12" w14:paraId="3749EC16" w14:textId="77777777" w:rsidTr="00E14A12">
        <w:tc>
          <w:tcPr>
            <w:tcW w:w="9677" w:type="dxa"/>
            <w:gridSpan w:val="2"/>
          </w:tcPr>
          <w:p w14:paraId="4506F74C" w14:textId="6D0273A5" w:rsidR="00E14A12" w:rsidRPr="00E14A12" w:rsidRDefault="00E14A12" w:rsidP="00B93410">
            <w:pPr>
              <w:rPr>
                <w:rFonts w:ascii="Aptos" w:hAnsi="Aptos"/>
                <w:bCs/>
                <w:sz w:val="18"/>
                <w:szCs w:val="18"/>
                <w:lang w:val="es-ES"/>
              </w:rPr>
            </w:pPr>
            <w:r w:rsidRPr="00E14A12">
              <w:rPr>
                <w:rFonts w:ascii="Aptos" w:hAnsi="Aptos"/>
                <w:bCs/>
                <w:sz w:val="18"/>
                <w:szCs w:val="18"/>
                <w:lang w:val="es-ES"/>
              </w:rPr>
              <w:t>Figure 97</w:t>
            </w:r>
          </w:p>
        </w:tc>
      </w:tr>
      <w:tr w:rsidR="00E14A12" w:rsidRPr="00E14A12" w14:paraId="500DB099" w14:textId="77777777" w:rsidTr="00E14A12">
        <w:tc>
          <w:tcPr>
            <w:tcW w:w="5101" w:type="dxa"/>
          </w:tcPr>
          <w:p w14:paraId="23141936" w14:textId="77777777" w:rsidR="00E14A12" w:rsidRPr="00E14A12" w:rsidRDefault="00E14A12" w:rsidP="00B93410">
            <w:pPr>
              <w:rPr>
                <w:rFonts w:ascii="Aptos" w:hAnsi="Aptos"/>
                <w:bCs/>
                <w:sz w:val="18"/>
                <w:szCs w:val="18"/>
                <w:lang w:val="es-ES"/>
              </w:rPr>
            </w:pPr>
            <w:r w:rsidRPr="00E14A12">
              <w:rPr>
                <w:rFonts w:ascii="Aptos" w:hAnsi="Aptos"/>
                <w:bCs/>
                <w:sz w:val="18"/>
                <w:szCs w:val="18"/>
                <w:lang w:val="es-ES"/>
              </w:rPr>
              <w:t xml:space="preserve">English </w:t>
            </w:r>
          </w:p>
        </w:tc>
        <w:tc>
          <w:tcPr>
            <w:tcW w:w="4575" w:type="dxa"/>
          </w:tcPr>
          <w:p w14:paraId="55E868EA" w14:textId="1A5FCF75" w:rsidR="00E14A12" w:rsidRPr="00E14A12" w:rsidRDefault="00E14A12" w:rsidP="00B93410">
            <w:pPr>
              <w:rPr>
                <w:rFonts w:ascii="Aptos" w:hAnsi="Aptos"/>
                <w:bCs/>
                <w:sz w:val="18"/>
                <w:szCs w:val="18"/>
                <w:lang w:val="es-ES"/>
              </w:rPr>
            </w:pPr>
            <w:r w:rsidRPr="00E14A12">
              <w:rPr>
                <w:rFonts w:ascii="Aptos" w:hAnsi="Aptos"/>
                <w:bCs/>
                <w:sz w:val="18"/>
                <w:szCs w:val="18"/>
                <w:lang w:val="es-ES"/>
              </w:rPr>
              <w:t>Español</w:t>
            </w:r>
          </w:p>
        </w:tc>
      </w:tr>
      <w:tr w:rsidR="00E14A12" w:rsidRPr="00E14A12" w14:paraId="06EA8C84" w14:textId="77777777" w:rsidTr="00E14A12">
        <w:tc>
          <w:tcPr>
            <w:tcW w:w="5101" w:type="dxa"/>
          </w:tcPr>
          <w:p w14:paraId="383CC462"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Target</w:t>
            </w:r>
          </w:p>
        </w:tc>
        <w:tc>
          <w:tcPr>
            <w:tcW w:w="4575" w:type="dxa"/>
          </w:tcPr>
          <w:p w14:paraId="08C84ACF"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Meta</w:t>
            </w:r>
          </w:p>
        </w:tc>
      </w:tr>
      <w:tr w:rsidR="00E14A12" w:rsidRPr="00E14A12" w14:paraId="4E6469E9" w14:textId="77777777" w:rsidTr="00E14A12">
        <w:tc>
          <w:tcPr>
            <w:tcW w:w="5101" w:type="dxa"/>
          </w:tcPr>
          <w:p w14:paraId="6F1D68F6" w14:textId="77777777" w:rsidR="00E14A12" w:rsidRPr="00E14A12" w:rsidRDefault="00E14A12" w:rsidP="00B93410">
            <w:pPr>
              <w:rPr>
                <w:rFonts w:ascii="Aptos" w:hAnsi="Aptos"/>
                <w:sz w:val="18"/>
                <w:szCs w:val="18"/>
                <w:lang w:val="es-ES"/>
              </w:rPr>
            </w:pPr>
            <w:proofErr w:type="spellStart"/>
            <w:r w:rsidRPr="00E14A12">
              <w:rPr>
                <w:rFonts w:ascii="Aptos" w:hAnsi="Aptos"/>
                <w:sz w:val="18"/>
                <w:szCs w:val="18"/>
                <w:lang w:val="es-ES"/>
              </w:rPr>
              <w:t>Percentage</w:t>
            </w:r>
            <w:proofErr w:type="spellEnd"/>
          </w:p>
        </w:tc>
        <w:tc>
          <w:tcPr>
            <w:tcW w:w="4575" w:type="dxa"/>
          </w:tcPr>
          <w:p w14:paraId="4FFD95B0"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Porcentaje</w:t>
            </w:r>
          </w:p>
        </w:tc>
      </w:tr>
      <w:tr w:rsidR="00E14A12" w:rsidRPr="00E14A12" w14:paraId="43AE5291" w14:textId="77777777" w:rsidTr="00E14A12">
        <w:tc>
          <w:tcPr>
            <w:tcW w:w="5101" w:type="dxa"/>
          </w:tcPr>
          <w:p w14:paraId="7D3FFBD6"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Trend</w:t>
            </w:r>
          </w:p>
        </w:tc>
        <w:tc>
          <w:tcPr>
            <w:tcW w:w="4575" w:type="dxa"/>
          </w:tcPr>
          <w:p w14:paraId="3C708515"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Tendencia</w:t>
            </w:r>
          </w:p>
        </w:tc>
      </w:tr>
      <w:tr w:rsidR="00E14A12" w:rsidRPr="00E14A12" w14:paraId="5BC8B918" w14:textId="77777777" w:rsidTr="00E14A12">
        <w:tc>
          <w:tcPr>
            <w:tcW w:w="5101" w:type="dxa"/>
          </w:tcPr>
          <w:p w14:paraId="11A259A6" w14:textId="77777777" w:rsidR="00E14A12" w:rsidRPr="00E14A12" w:rsidRDefault="00E14A12" w:rsidP="00B93410">
            <w:pPr>
              <w:rPr>
                <w:rFonts w:ascii="Aptos" w:hAnsi="Aptos"/>
                <w:sz w:val="18"/>
                <w:szCs w:val="18"/>
                <w:lang w:val="es-ES"/>
              </w:rPr>
            </w:pPr>
            <w:proofErr w:type="spellStart"/>
            <w:r w:rsidRPr="00E14A12">
              <w:rPr>
                <w:rFonts w:ascii="Aptos" w:hAnsi="Aptos"/>
                <w:sz w:val="18"/>
                <w:szCs w:val="18"/>
                <w:lang w:val="es-ES"/>
              </w:rPr>
              <w:t>improving</w:t>
            </w:r>
            <w:proofErr w:type="spellEnd"/>
          </w:p>
        </w:tc>
        <w:tc>
          <w:tcPr>
            <w:tcW w:w="4575" w:type="dxa"/>
          </w:tcPr>
          <w:p w14:paraId="4DD7684A"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mejorando</w:t>
            </w:r>
          </w:p>
        </w:tc>
      </w:tr>
      <w:tr w:rsidR="00E14A12" w:rsidRPr="00E14A12" w14:paraId="4736CC32" w14:textId="77777777" w:rsidTr="00E14A12">
        <w:tc>
          <w:tcPr>
            <w:tcW w:w="5101" w:type="dxa"/>
          </w:tcPr>
          <w:p w14:paraId="3E71C23C" w14:textId="77777777" w:rsidR="00E14A12" w:rsidRPr="00E14A12" w:rsidRDefault="00E14A12" w:rsidP="00B93410">
            <w:pPr>
              <w:rPr>
                <w:rFonts w:ascii="Aptos" w:hAnsi="Aptos"/>
                <w:sz w:val="18"/>
                <w:szCs w:val="18"/>
                <w:lang w:val="es-ES"/>
              </w:rPr>
            </w:pPr>
            <w:proofErr w:type="spellStart"/>
            <w:r w:rsidRPr="00E14A12">
              <w:rPr>
                <w:rFonts w:ascii="Aptos" w:hAnsi="Aptos"/>
                <w:sz w:val="18"/>
                <w:szCs w:val="18"/>
                <w:lang w:val="es-ES"/>
              </w:rPr>
              <w:t>stable</w:t>
            </w:r>
            <w:proofErr w:type="spellEnd"/>
          </w:p>
        </w:tc>
        <w:tc>
          <w:tcPr>
            <w:tcW w:w="4575" w:type="dxa"/>
          </w:tcPr>
          <w:p w14:paraId="04082317"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estable</w:t>
            </w:r>
          </w:p>
        </w:tc>
      </w:tr>
      <w:tr w:rsidR="00E14A12" w:rsidRPr="00E14A12" w14:paraId="0F7E1107" w14:textId="77777777" w:rsidTr="00E14A12">
        <w:tc>
          <w:tcPr>
            <w:tcW w:w="5101" w:type="dxa"/>
          </w:tcPr>
          <w:p w14:paraId="1C4485C3" w14:textId="77777777" w:rsidR="00E14A12" w:rsidRPr="00E14A12" w:rsidRDefault="00E14A12" w:rsidP="00B93410">
            <w:pPr>
              <w:rPr>
                <w:rFonts w:ascii="Aptos" w:hAnsi="Aptos"/>
                <w:sz w:val="18"/>
                <w:szCs w:val="18"/>
                <w:lang w:val="es-ES"/>
              </w:rPr>
            </w:pPr>
            <w:proofErr w:type="spellStart"/>
            <w:r w:rsidRPr="00E14A12">
              <w:rPr>
                <w:rFonts w:ascii="Aptos" w:hAnsi="Aptos"/>
                <w:sz w:val="18"/>
                <w:szCs w:val="18"/>
                <w:lang w:val="es-ES"/>
              </w:rPr>
              <w:lastRenderedPageBreak/>
              <w:t>moving</w:t>
            </w:r>
            <w:proofErr w:type="spellEnd"/>
            <w:r w:rsidRPr="00E14A12">
              <w:rPr>
                <w:rFonts w:ascii="Aptos" w:hAnsi="Aptos"/>
                <w:sz w:val="18"/>
                <w:szCs w:val="18"/>
                <w:lang w:val="es-ES"/>
              </w:rPr>
              <w:t xml:space="preserve"> </w:t>
            </w:r>
            <w:proofErr w:type="spellStart"/>
            <w:r w:rsidRPr="00E14A12">
              <w:rPr>
                <w:rFonts w:ascii="Aptos" w:hAnsi="Aptos"/>
                <w:sz w:val="18"/>
                <w:szCs w:val="18"/>
                <w:lang w:val="es-ES"/>
              </w:rPr>
              <w:t>away</w:t>
            </w:r>
            <w:proofErr w:type="spellEnd"/>
          </w:p>
        </w:tc>
        <w:tc>
          <w:tcPr>
            <w:tcW w:w="4575" w:type="dxa"/>
          </w:tcPr>
          <w:p w14:paraId="6E4606C1"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alejándose</w:t>
            </w:r>
          </w:p>
        </w:tc>
      </w:tr>
      <w:tr w:rsidR="00E14A12" w:rsidRPr="00E14A12" w14:paraId="3432D543" w14:textId="77777777" w:rsidTr="00E14A12">
        <w:tc>
          <w:tcPr>
            <w:tcW w:w="5101" w:type="dxa"/>
          </w:tcPr>
          <w:p w14:paraId="725FF735"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GBF-T01</w:t>
            </w:r>
          </w:p>
        </w:tc>
        <w:tc>
          <w:tcPr>
            <w:tcW w:w="4575" w:type="dxa"/>
          </w:tcPr>
          <w:p w14:paraId="0D91FA0F"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M01 del MMB</w:t>
            </w:r>
          </w:p>
        </w:tc>
      </w:tr>
      <w:tr w:rsidR="00E14A12" w:rsidRPr="00E14A12" w14:paraId="23B8B916" w14:textId="77777777" w:rsidTr="00E14A12">
        <w:tc>
          <w:tcPr>
            <w:tcW w:w="5101" w:type="dxa"/>
          </w:tcPr>
          <w:p w14:paraId="1D2C2D94"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GBF-T02</w:t>
            </w:r>
          </w:p>
        </w:tc>
        <w:tc>
          <w:tcPr>
            <w:tcW w:w="4575" w:type="dxa"/>
          </w:tcPr>
          <w:p w14:paraId="7F95750F"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M02 del MMB</w:t>
            </w:r>
          </w:p>
        </w:tc>
      </w:tr>
      <w:tr w:rsidR="00E14A12" w:rsidRPr="00E14A12" w14:paraId="2FA1BA48" w14:textId="77777777" w:rsidTr="00E14A12">
        <w:tc>
          <w:tcPr>
            <w:tcW w:w="5101" w:type="dxa"/>
          </w:tcPr>
          <w:p w14:paraId="00A1458E"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GBF-T03</w:t>
            </w:r>
          </w:p>
        </w:tc>
        <w:tc>
          <w:tcPr>
            <w:tcW w:w="4575" w:type="dxa"/>
          </w:tcPr>
          <w:p w14:paraId="59DA8809"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M03 del MMB</w:t>
            </w:r>
          </w:p>
        </w:tc>
      </w:tr>
      <w:tr w:rsidR="00E14A12" w:rsidRPr="00E14A12" w14:paraId="24888AB7" w14:textId="77777777" w:rsidTr="00E14A12">
        <w:tc>
          <w:tcPr>
            <w:tcW w:w="5101" w:type="dxa"/>
          </w:tcPr>
          <w:p w14:paraId="6A741D0B"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GBF-T04</w:t>
            </w:r>
          </w:p>
        </w:tc>
        <w:tc>
          <w:tcPr>
            <w:tcW w:w="4575" w:type="dxa"/>
          </w:tcPr>
          <w:p w14:paraId="07E62E3D"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M04 del MMB</w:t>
            </w:r>
          </w:p>
        </w:tc>
      </w:tr>
      <w:tr w:rsidR="00E14A12" w:rsidRPr="00E14A12" w14:paraId="79F5C0C6" w14:textId="77777777" w:rsidTr="00E14A12">
        <w:tc>
          <w:tcPr>
            <w:tcW w:w="5101" w:type="dxa"/>
          </w:tcPr>
          <w:p w14:paraId="253E5CEF"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GBF-T05</w:t>
            </w:r>
          </w:p>
        </w:tc>
        <w:tc>
          <w:tcPr>
            <w:tcW w:w="4575" w:type="dxa"/>
          </w:tcPr>
          <w:p w14:paraId="69C30723"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M05 del MMB</w:t>
            </w:r>
          </w:p>
        </w:tc>
      </w:tr>
      <w:tr w:rsidR="00E14A12" w:rsidRPr="00E14A12" w14:paraId="0770DA11" w14:textId="77777777" w:rsidTr="00E14A12">
        <w:tc>
          <w:tcPr>
            <w:tcW w:w="5101" w:type="dxa"/>
          </w:tcPr>
          <w:p w14:paraId="63F15DD2"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GBF-T06</w:t>
            </w:r>
          </w:p>
        </w:tc>
        <w:tc>
          <w:tcPr>
            <w:tcW w:w="4575" w:type="dxa"/>
          </w:tcPr>
          <w:p w14:paraId="4C161D5A"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M06 del MMB</w:t>
            </w:r>
          </w:p>
        </w:tc>
      </w:tr>
      <w:tr w:rsidR="00E14A12" w:rsidRPr="00E14A12" w14:paraId="19357B43" w14:textId="77777777" w:rsidTr="00E14A12">
        <w:tc>
          <w:tcPr>
            <w:tcW w:w="5101" w:type="dxa"/>
          </w:tcPr>
          <w:p w14:paraId="0F6A85E3"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GBF-T07</w:t>
            </w:r>
          </w:p>
        </w:tc>
        <w:tc>
          <w:tcPr>
            <w:tcW w:w="4575" w:type="dxa"/>
          </w:tcPr>
          <w:p w14:paraId="50BA6159"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M07 del MMB</w:t>
            </w:r>
          </w:p>
        </w:tc>
      </w:tr>
      <w:tr w:rsidR="00E14A12" w:rsidRPr="00E14A12" w14:paraId="298B7360" w14:textId="77777777" w:rsidTr="00E14A12">
        <w:tc>
          <w:tcPr>
            <w:tcW w:w="5101" w:type="dxa"/>
          </w:tcPr>
          <w:p w14:paraId="33C66A58"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GBF-T08</w:t>
            </w:r>
          </w:p>
        </w:tc>
        <w:tc>
          <w:tcPr>
            <w:tcW w:w="4575" w:type="dxa"/>
          </w:tcPr>
          <w:p w14:paraId="35D78EBB"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M08 del MMB</w:t>
            </w:r>
          </w:p>
        </w:tc>
      </w:tr>
      <w:tr w:rsidR="00E14A12" w:rsidRPr="00E14A12" w14:paraId="02C912DB" w14:textId="77777777" w:rsidTr="00E14A12">
        <w:tc>
          <w:tcPr>
            <w:tcW w:w="5101" w:type="dxa"/>
          </w:tcPr>
          <w:p w14:paraId="65D602BD"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GBF-T09</w:t>
            </w:r>
          </w:p>
        </w:tc>
        <w:tc>
          <w:tcPr>
            <w:tcW w:w="4575" w:type="dxa"/>
          </w:tcPr>
          <w:p w14:paraId="1F6863CB"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M09 del MMB</w:t>
            </w:r>
          </w:p>
        </w:tc>
      </w:tr>
      <w:tr w:rsidR="00E14A12" w:rsidRPr="00E14A12" w14:paraId="278C4F32" w14:textId="77777777" w:rsidTr="00E14A12">
        <w:tc>
          <w:tcPr>
            <w:tcW w:w="5101" w:type="dxa"/>
          </w:tcPr>
          <w:p w14:paraId="76E50032"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GBF-T10</w:t>
            </w:r>
          </w:p>
        </w:tc>
        <w:tc>
          <w:tcPr>
            <w:tcW w:w="4575" w:type="dxa"/>
          </w:tcPr>
          <w:p w14:paraId="204C3B51"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M10 del MMB</w:t>
            </w:r>
          </w:p>
        </w:tc>
      </w:tr>
      <w:tr w:rsidR="00E14A12" w:rsidRPr="00E14A12" w14:paraId="301BF4D2" w14:textId="77777777" w:rsidTr="00E14A12">
        <w:tc>
          <w:tcPr>
            <w:tcW w:w="5101" w:type="dxa"/>
          </w:tcPr>
          <w:p w14:paraId="4CC6F08E"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GBF-T11</w:t>
            </w:r>
          </w:p>
        </w:tc>
        <w:tc>
          <w:tcPr>
            <w:tcW w:w="4575" w:type="dxa"/>
          </w:tcPr>
          <w:p w14:paraId="04619EF6"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M11 del MMB</w:t>
            </w:r>
          </w:p>
        </w:tc>
      </w:tr>
      <w:tr w:rsidR="00E14A12" w:rsidRPr="00E14A12" w14:paraId="45379473" w14:textId="77777777" w:rsidTr="00E14A12">
        <w:tc>
          <w:tcPr>
            <w:tcW w:w="5101" w:type="dxa"/>
          </w:tcPr>
          <w:p w14:paraId="3B8BF1A2"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GBF-T12</w:t>
            </w:r>
          </w:p>
        </w:tc>
        <w:tc>
          <w:tcPr>
            <w:tcW w:w="4575" w:type="dxa"/>
          </w:tcPr>
          <w:p w14:paraId="7D97D79D"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M12 del MMB</w:t>
            </w:r>
          </w:p>
        </w:tc>
      </w:tr>
      <w:tr w:rsidR="00E14A12" w:rsidRPr="00E14A12" w14:paraId="171DECA6" w14:textId="77777777" w:rsidTr="00E14A12">
        <w:tc>
          <w:tcPr>
            <w:tcW w:w="5101" w:type="dxa"/>
          </w:tcPr>
          <w:p w14:paraId="0046E7B5"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GBF-T16</w:t>
            </w:r>
          </w:p>
        </w:tc>
        <w:tc>
          <w:tcPr>
            <w:tcW w:w="4575" w:type="dxa"/>
          </w:tcPr>
          <w:p w14:paraId="0E1001B3"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M16 del MMB</w:t>
            </w:r>
          </w:p>
        </w:tc>
      </w:tr>
      <w:tr w:rsidR="00E14A12" w:rsidRPr="00E14A12" w14:paraId="2E34C5D9" w14:textId="77777777" w:rsidTr="00E14A12">
        <w:tc>
          <w:tcPr>
            <w:tcW w:w="5101" w:type="dxa"/>
          </w:tcPr>
          <w:p w14:paraId="720C4DC1"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GBF-T17</w:t>
            </w:r>
          </w:p>
        </w:tc>
        <w:tc>
          <w:tcPr>
            <w:tcW w:w="4575" w:type="dxa"/>
          </w:tcPr>
          <w:p w14:paraId="5FCBF2F7"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M17 del MMB</w:t>
            </w:r>
          </w:p>
        </w:tc>
      </w:tr>
      <w:tr w:rsidR="00E14A12" w:rsidRPr="00E14A12" w14:paraId="6130D9A6" w14:textId="77777777" w:rsidTr="00E14A12">
        <w:tc>
          <w:tcPr>
            <w:tcW w:w="5101" w:type="dxa"/>
          </w:tcPr>
          <w:p w14:paraId="3996E0B0"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GBF-T23</w:t>
            </w:r>
          </w:p>
        </w:tc>
        <w:tc>
          <w:tcPr>
            <w:tcW w:w="4575" w:type="dxa"/>
          </w:tcPr>
          <w:p w14:paraId="776462D7" w14:textId="77777777" w:rsidR="00E14A12" w:rsidRPr="00E14A12" w:rsidRDefault="00E14A12" w:rsidP="00B93410">
            <w:pPr>
              <w:rPr>
                <w:rFonts w:ascii="Aptos" w:hAnsi="Aptos"/>
                <w:sz w:val="18"/>
                <w:szCs w:val="18"/>
                <w:lang w:val="es-ES"/>
              </w:rPr>
            </w:pPr>
            <w:r w:rsidRPr="00E14A12">
              <w:rPr>
                <w:rFonts w:ascii="Aptos" w:hAnsi="Aptos"/>
                <w:sz w:val="18"/>
                <w:szCs w:val="18"/>
                <w:lang w:val="es-ES"/>
              </w:rPr>
              <w:t>M23 del MMB</w:t>
            </w:r>
          </w:p>
        </w:tc>
      </w:tr>
    </w:tbl>
    <w:p w14:paraId="383130EF" w14:textId="77777777" w:rsidR="008F15F1" w:rsidRPr="005E3D50" w:rsidRDefault="008F15F1" w:rsidP="008F15F1">
      <w:pPr>
        <w:rPr>
          <w:lang w:val="es-ES" w:eastAsia="ja-JP"/>
        </w:rPr>
      </w:pPr>
    </w:p>
    <w:p w14:paraId="522F17AA"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77" w:name="_Toc235821345"/>
      <w:r w:rsidRPr="005E3D50">
        <w:rPr>
          <w:rFonts w:eastAsiaTheme="majorEastAsia" w:cstheme="majorBidi"/>
          <w:color w:val="0F4761" w:themeColor="accent1" w:themeShade="BF"/>
          <w:lang w:val="es-ES"/>
        </w:rPr>
        <w:t>Indicadores de progresos</w:t>
      </w:r>
      <w:bookmarkEnd w:id="577"/>
    </w:p>
    <w:p w14:paraId="73ABC29A" w14:textId="77777777" w:rsidR="008F15F1" w:rsidRPr="005E3D50" w:rsidRDefault="008F15F1" w:rsidP="008F15F1">
      <w:pPr>
        <w:rPr>
          <w:lang w:val="es-ES"/>
        </w:rPr>
      </w:pPr>
    </w:p>
    <w:p w14:paraId="1F5572BA" w14:textId="77777777" w:rsidR="008F15F1" w:rsidRPr="005E3D50" w:rsidRDefault="008F15F1" w:rsidP="008F15F1">
      <w:pPr>
        <w:keepNext/>
        <w:spacing w:after="200" w:line="276" w:lineRule="auto"/>
        <w:rPr>
          <w:rFonts w:eastAsiaTheme="minorEastAsia"/>
          <w:color w:val="0E2841" w:themeColor="text2"/>
          <w:kern w:val="0"/>
          <w:sz w:val="18"/>
          <w:szCs w:val="18"/>
          <w:lang w:val="es-ES" w:eastAsia="ja-JP"/>
          <w14:ligatures w14:val="none"/>
        </w:rPr>
      </w:pPr>
      <w:bookmarkStart w:id="578" w:name="_Ref238993892"/>
      <w:r w:rsidRPr="005E3D50">
        <w:rPr>
          <w:rFonts w:eastAsiaTheme="minorEastAsia"/>
          <w:iCs/>
          <w:color w:val="0E2841" w:themeColor="text2"/>
          <w:kern w:val="0"/>
          <w:sz w:val="18"/>
          <w:szCs w:val="18"/>
          <w:lang w:val="es-ES" w:eastAsia="ja-JP"/>
          <w14:ligatures w14:val="none"/>
        </w:rPr>
        <w:t>Cuadro 51</w:t>
      </w:r>
      <w:bookmarkEnd w:id="578"/>
    </w:p>
    <w:p w14:paraId="2C1F08E3" w14:textId="77777777" w:rsidR="008F15F1" w:rsidRPr="005E3D50" w:rsidRDefault="008F15F1" w:rsidP="008F15F1">
      <w:pPr>
        <w:keepNext/>
        <w:spacing w:after="200" w:line="276" w:lineRule="auto"/>
        <w:rPr>
          <w:rFonts w:ascii="Aptos" w:eastAsiaTheme="minorEastAsia" w:hAnsi="Aptos"/>
          <w:color w:val="0E2841" w:themeColor="text2"/>
          <w:kern w:val="0"/>
          <w:sz w:val="18"/>
          <w:szCs w:val="18"/>
          <w:lang w:val="es-ES" w:eastAsia="ja-JP"/>
          <w14:ligatures w14:val="none"/>
        </w:rPr>
      </w:pPr>
      <w:r w:rsidRPr="005E3D50">
        <w:rPr>
          <w:rFonts w:eastAsiaTheme="minorEastAsia"/>
          <w:b/>
          <w:iCs/>
          <w:color w:val="0E2841" w:themeColor="text2"/>
          <w:kern w:val="0"/>
          <w:sz w:val="18"/>
          <w:szCs w:val="18"/>
          <w:lang w:val="es-ES" w:eastAsia="ja-JP"/>
          <w14:ligatures w14:val="none"/>
        </w:rPr>
        <w:t>Tablero de puntuación de los indicadores para el Objetivo A</w:t>
      </w:r>
    </w:p>
    <w:p w14:paraId="3DA4B299" w14:textId="77777777" w:rsidR="008F15F1" w:rsidRPr="005E3D50" w:rsidRDefault="008F15F1" w:rsidP="008F15F1">
      <w:pPr>
        <w:keepNext/>
        <w:spacing w:after="200" w:line="276" w:lineRule="auto"/>
        <w:rPr>
          <w:rFonts w:ascii="Aptos" w:eastAsia="Aptos" w:hAnsi="Aptos" w:cs="Aptos"/>
          <w:iCs/>
          <w:color w:val="000000" w:themeColor="text1"/>
          <w:kern w:val="0"/>
          <w:lang w:val="es-ES" w:eastAsia="ja-JP"/>
          <w14:ligatures w14:val="none"/>
        </w:rPr>
      </w:pPr>
    </w:p>
    <w:tbl>
      <w:tblPr>
        <w:tblW w:w="10201" w:type="dxa"/>
        <w:tblLook w:val="04A0" w:firstRow="1" w:lastRow="0" w:firstColumn="1" w:lastColumn="0" w:noHBand="0" w:noVBand="1"/>
      </w:tblPr>
      <w:tblGrid>
        <w:gridCol w:w="2830"/>
        <w:gridCol w:w="3261"/>
        <w:gridCol w:w="567"/>
        <w:gridCol w:w="3022"/>
        <w:gridCol w:w="521"/>
      </w:tblGrid>
      <w:tr w:rsidR="008F15F1" w:rsidRPr="005E3D50" w14:paraId="312C1413" w14:textId="77777777" w:rsidTr="006E6831">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72647205" w14:textId="77777777" w:rsidR="008F15F1" w:rsidRPr="005E3D50" w:rsidRDefault="008F15F1" w:rsidP="008F15F1">
            <w:pPr>
              <w:rPr>
                <w:rFonts w:ascii="Aptos" w:hAnsi="Aptos"/>
                <w:color w:val="000000"/>
                <w:sz w:val="20"/>
                <w:szCs w:val="20"/>
                <w:lang w:val="es-ES"/>
              </w:rPr>
            </w:pPr>
          </w:p>
        </w:tc>
        <w:tc>
          <w:tcPr>
            <w:tcW w:w="3828" w:type="dxa"/>
            <w:gridSpan w:val="2"/>
            <w:tcBorders>
              <w:top w:val="single" w:sz="4" w:space="0" w:color="auto"/>
              <w:left w:val="nil"/>
              <w:bottom w:val="single" w:sz="4" w:space="0" w:color="auto"/>
              <w:right w:val="single" w:sz="4" w:space="0" w:color="auto"/>
            </w:tcBorders>
            <w:vAlign w:val="center"/>
          </w:tcPr>
          <w:p w14:paraId="12770CE0" w14:textId="77777777" w:rsidR="008F15F1" w:rsidRPr="005E3D50" w:rsidRDefault="008F15F1" w:rsidP="008F15F1">
            <w:pPr>
              <w:jc w:val="center"/>
              <w:rPr>
                <w:rFonts w:ascii="Aptos" w:hAnsi="Aptos" w:cs="Calibri"/>
                <w:color w:val="000000"/>
                <w:sz w:val="20"/>
                <w:szCs w:val="20"/>
                <w:lang w:val="es-ES"/>
              </w:rPr>
            </w:pPr>
            <w:r w:rsidRPr="005E3D50">
              <w:rPr>
                <w:rFonts w:ascii="Aptos" w:hAnsi="Aptos"/>
                <w:color w:val="000000"/>
                <w:sz w:val="20"/>
                <w:lang w:val="es-ES"/>
              </w:rPr>
              <w:t>Uso del indicador</w:t>
            </w:r>
          </w:p>
        </w:tc>
        <w:tc>
          <w:tcPr>
            <w:tcW w:w="3543" w:type="dxa"/>
            <w:gridSpan w:val="2"/>
            <w:tcBorders>
              <w:top w:val="single" w:sz="4" w:space="0" w:color="auto"/>
              <w:left w:val="nil"/>
              <w:bottom w:val="single" w:sz="4" w:space="0" w:color="auto"/>
              <w:right w:val="single" w:sz="4" w:space="0" w:color="auto"/>
            </w:tcBorders>
            <w:vAlign w:val="center"/>
          </w:tcPr>
          <w:p w14:paraId="7C35A5F1"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Resultados del indicador</w:t>
            </w:r>
          </w:p>
        </w:tc>
      </w:tr>
      <w:tr w:rsidR="008F15F1" w:rsidRPr="005E3D50" w14:paraId="2D61164F" w14:textId="77777777" w:rsidTr="006E6831">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0AEAC2"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Indicador de cabecera A.1: Lista Roja de Ecosistemas</w:t>
            </w:r>
          </w:p>
        </w:tc>
        <w:tc>
          <w:tcPr>
            <w:tcW w:w="3261" w:type="dxa"/>
            <w:tcBorders>
              <w:top w:val="single" w:sz="4" w:space="0" w:color="auto"/>
              <w:left w:val="nil"/>
              <w:bottom w:val="single" w:sz="4" w:space="0" w:color="auto"/>
              <w:right w:val="single" w:sz="4" w:space="0" w:color="auto"/>
            </w:tcBorders>
            <w:vAlign w:val="center"/>
            <w:hideMark/>
          </w:tcPr>
          <w:p w14:paraId="54DCBD63"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 xml:space="preserve">21 % de las Partes cuyos informes nacionales se tuvieron en cuenta </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335A5F8D" w14:textId="77777777" w:rsidR="008F15F1" w:rsidRPr="005E3D50" w:rsidRDefault="008F15F1" w:rsidP="008F15F1">
            <w:pPr>
              <w:jc w:val="center"/>
              <w:rPr>
                <w:rFonts w:ascii="Aptos" w:hAnsi="Aptos" w:cs="Calibri"/>
                <w:color w:val="000000"/>
                <w:sz w:val="20"/>
                <w:szCs w:val="20"/>
                <w:lang w:val="es-ES"/>
              </w:rPr>
            </w:pPr>
          </w:p>
        </w:tc>
        <w:tc>
          <w:tcPr>
            <w:tcW w:w="3022" w:type="dxa"/>
            <w:tcBorders>
              <w:top w:val="single" w:sz="4" w:space="0" w:color="auto"/>
              <w:left w:val="nil"/>
              <w:bottom w:val="single" w:sz="4" w:space="0" w:color="auto"/>
              <w:right w:val="single" w:sz="4" w:space="0" w:color="auto"/>
            </w:tcBorders>
            <w:vAlign w:val="center"/>
            <w:hideMark/>
          </w:tcPr>
          <w:p w14:paraId="2D1073DF" w14:textId="77777777" w:rsidR="008F15F1" w:rsidRPr="005E3D50" w:rsidRDefault="008F15F1" w:rsidP="008F15F1">
            <w:pPr>
              <w:jc w:val="center"/>
              <w:rPr>
                <w:rFonts w:ascii="Aptos" w:hAnsi="Aptos" w:cs="Times New Roman"/>
                <w:color w:val="000000"/>
                <w:sz w:val="20"/>
                <w:szCs w:val="20"/>
                <w:lang w:val="es-ES"/>
              </w:rPr>
            </w:pPr>
            <w:r w:rsidRPr="005E3D50">
              <w:rPr>
                <w:rFonts w:ascii="Aptos" w:hAnsi="Aptos"/>
                <w:color w:val="000000"/>
                <w:sz w:val="20"/>
                <w:lang w:val="es-ES"/>
              </w:rPr>
              <w:t>Los valores informados tienen un promedio de 0,58 y oscilan entre 0,37 y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6B3A0F12" w14:textId="77777777" w:rsidR="008F15F1" w:rsidRPr="005E3D50" w:rsidRDefault="008F15F1" w:rsidP="008F15F1">
            <w:pPr>
              <w:rPr>
                <w:rFonts w:ascii="Aptos" w:hAnsi="Aptos"/>
                <w:color w:val="000000"/>
                <w:sz w:val="20"/>
                <w:szCs w:val="20"/>
                <w:lang w:val="es-ES"/>
              </w:rPr>
            </w:pPr>
            <w:r w:rsidRPr="005E3D50">
              <w:rPr>
                <w:rFonts w:ascii="Aptos" w:hAnsi="Aptos"/>
                <w:color w:val="000000"/>
                <w:sz w:val="20"/>
                <w:lang w:val="es-ES"/>
              </w:rPr>
              <w:t> </w:t>
            </w:r>
          </w:p>
        </w:tc>
      </w:tr>
      <w:tr w:rsidR="008F15F1" w:rsidRPr="005E3D50" w14:paraId="32790429" w14:textId="77777777" w:rsidTr="006E6831">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00A1966A" w14:textId="77777777" w:rsidR="008F15F1" w:rsidRPr="005E3D50" w:rsidRDefault="008F15F1" w:rsidP="008F15F1">
            <w:pPr>
              <w:jc w:val="center"/>
              <w:rPr>
                <w:rFonts w:ascii="Aptos" w:hAnsi="Aptos" w:cs="Times New Roman"/>
                <w:color w:val="000000"/>
                <w:sz w:val="20"/>
                <w:szCs w:val="20"/>
                <w:lang w:val="es-ES"/>
              </w:rPr>
            </w:pPr>
            <w:r w:rsidRPr="005E3D50">
              <w:rPr>
                <w:rFonts w:ascii="Aptos" w:hAnsi="Aptos"/>
                <w:color w:val="000000"/>
                <w:sz w:val="20"/>
                <w:lang w:val="es-ES"/>
              </w:rPr>
              <w:t>Indicador de cabecera A.2: extensión de los ecosistemas naturales</w:t>
            </w:r>
          </w:p>
        </w:tc>
        <w:tc>
          <w:tcPr>
            <w:tcW w:w="3261" w:type="dxa"/>
            <w:tcBorders>
              <w:top w:val="nil"/>
              <w:left w:val="nil"/>
              <w:bottom w:val="single" w:sz="4" w:space="0" w:color="auto"/>
              <w:right w:val="single" w:sz="4" w:space="0" w:color="auto"/>
            </w:tcBorders>
            <w:vAlign w:val="center"/>
            <w:hideMark/>
          </w:tcPr>
          <w:p w14:paraId="52141F72"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50 % de las Partes, &lt;1 % de estas con datos de series temporales</w:t>
            </w:r>
          </w:p>
        </w:tc>
        <w:tc>
          <w:tcPr>
            <w:tcW w:w="567" w:type="dxa"/>
            <w:tcBorders>
              <w:top w:val="nil"/>
              <w:left w:val="nil"/>
              <w:bottom w:val="nil"/>
              <w:right w:val="nil"/>
            </w:tcBorders>
            <w:shd w:val="clear" w:color="000000" w:fill="92D050"/>
            <w:vAlign w:val="center"/>
            <w:hideMark/>
          </w:tcPr>
          <w:p w14:paraId="6907486E" w14:textId="77777777" w:rsidR="008F15F1" w:rsidRPr="005E3D50" w:rsidRDefault="008F15F1" w:rsidP="008F15F1">
            <w:pPr>
              <w:jc w:val="center"/>
              <w:rPr>
                <w:rFonts w:ascii="Aptos" w:hAnsi="Aptos"/>
                <w:color w:val="000000"/>
                <w:sz w:val="20"/>
                <w:szCs w:val="20"/>
                <w:lang w:val="es-ES"/>
              </w:rPr>
            </w:pPr>
          </w:p>
        </w:tc>
        <w:tc>
          <w:tcPr>
            <w:tcW w:w="3022" w:type="dxa"/>
            <w:tcBorders>
              <w:top w:val="nil"/>
              <w:left w:val="single" w:sz="4" w:space="0" w:color="auto"/>
              <w:bottom w:val="single" w:sz="4" w:space="0" w:color="auto"/>
              <w:right w:val="single" w:sz="4" w:space="0" w:color="auto"/>
            </w:tcBorders>
            <w:vAlign w:val="center"/>
            <w:hideMark/>
          </w:tcPr>
          <w:p w14:paraId="57729E78"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63 % de las zonas</w:t>
            </w:r>
          </w:p>
        </w:tc>
        <w:tc>
          <w:tcPr>
            <w:tcW w:w="521" w:type="dxa"/>
            <w:tcBorders>
              <w:top w:val="nil"/>
              <w:left w:val="nil"/>
              <w:bottom w:val="single" w:sz="4" w:space="0" w:color="auto"/>
              <w:right w:val="single" w:sz="4" w:space="0" w:color="auto"/>
            </w:tcBorders>
            <w:shd w:val="clear" w:color="000000" w:fill="AEAAAA"/>
            <w:vAlign w:val="center"/>
            <w:hideMark/>
          </w:tcPr>
          <w:p w14:paraId="63363AC2" w14:textId="77777777" w:rsidR="008F15F1" w:rsidRPr="005E3D50" w:rsidRDefault="008F15F1" w:rsidP="008F15F1">
            <w:pPr>
              <w:rPr>
                <w:rFonts w:ascii="Aptos" w:hAnsi="Aptos"/>
                <w:color w:val="000000"/>
                <w:sz w:val="20"/>
                <w:szCs w:val="20"/>
                <w:lang w:val="es-ES"/>
              </w:rPr>
            </w:pPr>
            <w:r w:rsidRPr="005E3D50">
              <w:rPr>
                <w:rFonts w:ascii="Aptos" w:hAnsi="Aptos"/>
                <w:color w:val="000000"/>
                <w:sz w:val="20"/>
                <w:lang w:val="es-ES"/>
              </w:rPr>
              <w:t> </w:t>
            </w:r>
          </w:p>
        </w:tc>
      </w:tr>
      <w:tr w:rsidR="008F15F1" w:rsidRPr="005E3D50" w14:paraId="6830F177" w14:textId="77777777" w:rsidTr="006E6831">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7A17102" w14:textId="77777777" w:rsidR="008F15F1" w:rsidRPr="005E3D50" w:rsidRDefault="008F15F1" w:rsidP="008F15F1">
            <w:pPr>
              <w:jc w:val="center"/>
              <w:rPr>
                <w:rFonts w:ascii="Aptos" w:hAnsi="Aptos" w:cs="Times New Roman"/>
                <w:color w:val="000000"/>
                <w:sz w:val="20"/>
                <w:szCs w:val="20"/>
                <w:lang w:val="es-ES"/>
              </w:rPr>
            </w:pPr>
            <w:r w:rsidRPr="005E3D50">
              <w:rPr>
                <w:rFonts w:ascii="Aptos" w:hAnsi="Aptos"/>
                <w:color w:val="000000"/>
                <w:sz w:val="20"/>
                <w:lang w:val="es-ES"/>
              </w:rPr>
              <w:t xml:space="preserve">Indicador de cabecera A.3: Índice de la Lista Roja </w:t>
            </w:r>
          </w:p>
        </w:tc>
        <w:tc>
          <w:tcPr>
            <w:tcW w:w="3261" w:type="dxa"/>
            <w:tcBorders>
              <w:top w:val="nil"/>
              <w:left w:val="nil"/>
              <w:bottom w:val="single" w:sz="4" w:space="0" w:color="auto"/>
              <w:right w:val="single" w:sz="4" w:space="0" w:color="auto"/>
            </w:tcBorders>
            <w:vAlign w:val="center"/>
            <w:hideMark/>
          </w:tcPr>
          <w:p w14:paraId="37794AF2"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70 % de las Partes</w:t>
            </w:r>
          </w:p>
        </w:tc>
        <w:tc>
          <w:tcPr>
            <w:tcW w:w="567" w:type="dxa"/>
            <w:tcBorders>
              <w:top w:val="single" w:sz="4" w:space="0" w:color="auto"/>
              <w:left w:val="nil"/>
              <w:bottom w:val="single" w:sz="4" w:space="0" w:color="auto"/>
              <w:right w:val="single" w:sz="4" w:space="0" w:color="auto"/>
            </w:tcBorders>
            <w:shd w:val="clear" w:color="auto" w:fill="92D050"/>
            <w:vAlign w:val="center"/>
            <w:hideMark/>
          </w:tcPr>
          <w:p w14:paraId="433CEB00" w14:textId="77777777" w:rsidR="008F15F1" w:rsidRPr="005E3D50" w:rsidRDefault="008F15F1" w:rsidP="008F15F1">
            <w:pPr>
              <w:jc w:val="center"/>
              <w:rPr>
                <w:rFonts w:ascii="Aptos" w:hAnsi="Aptos"/>
                <w:color w:val="000000"/>
                <w:sz w:val="20"/>
                <w:szCs w:val="20"/>
                <w:lang w:val="es-ES"/>
              </w:rPr>
            </w:pPr>
          </w:p>
        </w:tc>
        <w:tc>
          <w:tcPr>
            <w:tcW w:w="3022" w:type="dxa"/>
            <w:tcBorders>
              <w:top w:val="nil"/>
              <w:left w:val="nil"/>
              <w:bottom w:val="single" w:sz="4" w:space="0" w:color="auto"/>
              <w:right w:val="single" w:sz="4" w:space="0" w:color="auto"/>
            </w:tcBorders>
            <w:vAlign w:val="center"/>
            <w:hideMark/>
          </w:tcPr>
          <w:p w14:paraId="1310249D"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Índice de la Lista Roja mundial: 0,85 (intervalo 0,65</w:t>
            </w:r>
            <w:r w:rsidRPr="005E3D50">
              <w:rPr>
                <w:lang w:val="es-ES"/>
              </w:rPr>
              <w:t>-</w:t>
            </w:r>
            <w:r w:rsidRPr="005E3D50">
              <w:rPr>
                <w:rFonts w:ascii="Aptos" w:hAnsi="Aptos"/>
                <w:color w:val="000000"/>
                <w:sz w:val="20"/>
                <w:lang w:val="es-ES"/>
              </w:rPr>
              <w:t>0,99)</w:t>
            </w:r>
          </w:p>
          <w:p w14:paraId="6D5944B1"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Índice de la Lista Roja nacional: 0,8 (intervalo 0,45</w:t>
            </w:r>
            <w:r w:rsidRPr="005E3D50">
              <w:rPr>
                <w:lang w:val="es-ES"/>
              </w:rPr>
              <w:t>-</w:t>
            </w:r>
            <w:r w:rsidRPr="005E3D50">
              <w:rPr>
                <w:rFonts w:ascii="Aptos" w:hAnsi="Aptos"/>
                <w:color w:val="000000"/>
                <w:sz w:val="20"/>
                <w:lang w:val="es-ES"/>
              </w:rPr>
              <w:t>0,97)</w:t>
            </w:r>
          </w:p>
          <w:p w14:paraId="14AD3A35"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Ambas tendencias en declive</w:t>
            </w:r>
          </w:p>
        </w:tc>
        <w:tc>
          <w:tcPr>
            <w:tcW w:w="521" w:type="dxa"/>
            <w:tcBorders>
              <w:top w:val="nil"/>
              <w:left w:val="nil"/>
              <w:bottom w:val="single" w:sz="4" w:space="0" w:color="auto"/>
              <w:right w:val="single" w:sz="4" w:space="0" w:color="auto"/>
            </w:tcBorders>
            <w:shd w:val="clear" w:color="auto" w:fill="C00000"/>
            <w:vAlign w:val="center"/>
            <w:hideMark/>
          </w:tcPr>
          <w:p w14:paraId="549EB920" w14:textId="77777777" w:rsidR="008F15F1" w:rsidRPr="005E3D50" w:rsidRDefault="008F15F1" w:rsidP="008F15F1">
            <w:pPr>
              <w:rPr>
                <w:rFonts w:ascii="Aptos" w:hAnsi="Aptos"/>
                <w:color w:val="000000"/>
                <w:sz w:val="20"/>
                <w:szCs w:val="20"/>
                <w:lang w:val="es-ES"/>
              </w:rPr>
            </w:pPr>
          </w:p>
        </w:tc>
      </w:tr>
      <w:tr w:rsidR="008F15F1" w:rsidRPr="005E3D50" w14:paraId="77CE7D5B" w14:textId="77777777" w:rsidTr="006E6831">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38AC5133"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Indicador de cabecera A.4: proporción de poblaciones dentro de especies con un tamaño de población efectivo mayor a 500</w:t>
            </w:r>
          </w:p>
        </w:tc>
        <w:tc>
          <w:tcPr>
            <w:tcW w:w="3261" w:type="dxa"/>
            <w:tcBorders>
              <w:top w:val="nil"/>
              <w:left w:val="nil"/>
              <w:bottom w:val="single" w:sz="4" w:space="0" w:color="auto"/>
              <w:right w:val="single" w:sz="4" w:space="0" w:color="auto"/>
            </w:tcBorders>
            <w:vAlign w:val="center"/>
          </w:tcPr>
          <w:p w14:paraId="45B3EBBE"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13 % de las Partes</w:t>
            </w:r>
          </w:p>
        </w:tc>
        <w:tc>
          <w:tcPr>
            <w:tcW w:w="567" w:type="dxa"/>
            <w:tcBorders>
              <w:top w:val="single" w:sz="4" w:space="0" w:color="auto"/>
              <w:left w:val="nil"/>
              <w:bottom w:val="single" w:sz="4" w:space="0" w:color="auto"/>
              <w:right w:val="single" w:sz="4" w:space="0" w:color="auto"/>
            </w:tcBorders>
            <w:shd w:val="clear" w:color="auto" w:fill="C00000"/>
            <w:vAlign w:val="center"/>
          </w:tcPr>
          <w:p w14:paraId="2267A62D" w14:textId="77777777" w:rsidR="008F15F1" w:rsidRPr="005E3D50" w:rsidRDefault="008F15F1" w:rsidP="008F15F1">
            <w:pPr>
              <w:jc w:val="center"/>
              <w:rPr>
                <w:rFonts w:ascii="Aptos" w:hAnsi="Aptos"/>
                <w:color w:val="000000"/>
                <w:sz w:val="20"/>
                <w:szCs w:val="20"/>
                <w:lang w:val="es-ES"/>
              </w:rPr>
            </w:pPr>
          </w:p>
        </w:tc>
        <w:tc>
          <w:tcPr>
            <w:tcW w:w="3022" w:type="dxa"/>
            <w:tcBorders>
              <w:top w:val="single" w:sz="4" w:space="0" w:color="auto"/>
              <w:left w:val="single" w:sz="4" w:space="0" w:color="auto"/>
              <w:bottom w:val="single" w:sz="4" w:space="0" w:color="auto"/>
              <w:right w:val="nil"/>
            </w:tcBorders>
            <w:vAlign w:val="center"/>
          </w:tcPr>
          <w:p w14:paraId="7D5ED121" w14:textId="77777777" w:rsidR="008F15F1" w:rsidRPr="005E3D50" w:rsidRDefault="008F15F1" w:rsidP="008F15F1">
            <w:pPr>
              <w:jc w:val="center"/>
              <w:rPr>
                <w:rFonts w:ascii="Aptos" w:hAnsi="Aptos"/>
                <w:color w:val="000000"/>
                <w:sz w:val="20"/>
                <w:szCs w:val="20"/>
                <w:lang w:val="es-ES"/>
              </w:rPr>
            </w:pPr>
            <w:r w:rsidRPr="005E3D50">
              <w:rPr>
                <w:rFonts w:ascii="Aptos" w:hAnsi="Aptos"/>
                <w:color w:val="000000"/>
                <w:sz w:val="20"/>
                <w:lang w:val="es-ES"/>
              </w:rPr>
              <w:t>Promedio general: 0,58 (intervalo 0,17</w:t>
            </w:r>
            <w:r w:rsidRPr="005E3D50">
              <w:rPr>
                <w:lang w:val="es-ES"/>
              </w:rPr>
              <w:t>-</w:t>
            </w:r>
            <w:r w:rsidRPr="005E3D50">
              <w:rPr>
                <w:rFonts w:ascii="Aptos" w:hAnsi="Aptos"/>
                <w:color w:val="000000"/>
                <w:sz w:val="20"/>
                <w:lang w:val="es-ES"/>
              </w:rPr>
              <w:t>0,93)</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3989D573" w14:textId="77777777" w:rsidR="008F15F1" w:rsidRPr="005E3D50" w:rsidRDefault="008F15F1" w:rsidP="008F15F1">
            <w:pPr>
              <w:rPr>
                <w:rFonts w:ascii="Aptos" w:hAnsi="Aptos"/>
                <w:color w:val="000000"/>
                <w:sz w:val="20"/>
                <w:szCs w:val="20"/>
                <w:lang w:val="es-ES"/>
              </w:rPr>
            </w:pPr>
          </w:p>
        </w:tc>
      </w:tr>
    </w:tbl>
    <w:p w14:paraId="47AC116E"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2F258F17" w14:textId="77777777" w:rsidR="008F15F1" w:rsidRPr="005E3D50" w:rsidRDefault="008F15F1" w:rsidP="008F15F1">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cuadro 3). Los colores correspondientes al uso de datos de los indicadores y las </w:t>
      </w:r>
      <w:r w:rsidRPr="005E3D50">
        <w:rPr>
          <w:rFonts w:ascii="Aptos" w:hAnsi="Aptos"/>
          <w:sz w:val="16"/>
          <w:lang w:val="es-ES"/>
        </w:rPr>
        <w:lastRenderedPageBreak/>
        <w:t xml:space="preserve">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4EEF2EEF" w14:textId="77777777" w:rsidR="008F15F1" w:rsidRPr="005E3D50" w:rsidRDefault="008F15F1" w:rsidP="008F15F1">
      <w:pPr>
        <w:rPr>
          <w:lang w:val="es-ES"/>
        </w:rPr>
      </w:pPr>
    </w:p>
    <w:p w14:paraId="48E86EE6" w14:textId="77777777" w:rsidR="008F15F1" w:rsidRPr="005E3D50" w:rsidRDefault="008F15F1" w:rsidP="008F15F1">
      <w:pPr>
        <w:rPr>
          <w:rFonts w:ascii="Aptos" w:hAnsi="Aptos"/>
          <w:lang w:val="es-ES"/>
        </w:rPr>
      </w:pPr>
      <w:r w:rsidRPr="005E3D50">
        <w:rPr>
          <w:lang w:val="es-ES"/>
        </w:rPr>
        <w:t>Los indicadores de cabecera A.1 y A.2 hacen un seguimiento de los progresos en los elementos del Objetivo A relacionados con los ecosistemas, centrándose en el riesgo de colapso de los ecosistemas y la superficie de los ecosistemas naturales, mientras que los indicadores de cabecera A.3 y A.4 hacen un seguimiento de los progresos en los elementos del Objetivo A relacionados con el riesgo de extinción de especies y la diversidad genética.</w:t>
      </w:r>
    </w:p>
    <w:p w14:paraId="17F352DC" w14:textId="77777777" w:rsidR="008F15F1" w:rsidRPr="005E3D50" w:rsidRDefault="008F15F1" w:rsidP="008F15F1">
      <w:pPr>
        <w:rPr>
          <w:lang w:val="es-ES"/>
        </w:rPr>
      </w:pPr>
      <w:r w:rsidRPr="005E3D50">
        <w:rPr>
          <w:lang w:val="es-ES"/>
        </w:rPr>
        <w:t>Si bien algunas Partes han establecido marcos o mapas nacionales de contabilidad de los ecosistemas, muchas otras se encuentran en fases de transición y están desarrollando sus valores de referencia mediante indicadores sustitutivos o están trabajando para armonizar sus datos nacionales con normas mundiales como la Tipología Global de Ecosistemas de la Unión Internacional para la Conservación de la Naturaleza (UICN) (Keith y otros, 2020, 2022)</w:t>
      </w:r>
      <w:r w:rsidRPr="005E3D50">
        <w:rPr>
          <w:vertAlign w:val="superscript"/>
          <w:lang w:val="es-ES"/>
        </w:rPr>
        <w:footnoteReference w:id="43"/>
      </w:r>
      <w:r w:rsidRPr="005E3D50">
        <w:rPr>
          <w:lang w:val="es-ES"/>
        </w:rPr>
        <w:t xml:space="preserve">. En consecuencia, muchas Partes informan que aún no han realizado evaluaciones del estado de los ecosistemas. En el caso de las Partes que sí cuentan con datos sobre los ecosistemas, estos suelen ser parciales y abarcan solo ecosistemas específicos. En particular, en el caso del indicador de cabecera A.2, las comunicaciones de las Partes </w:t>
      </w:r>
      <w:proofErr w:type="gramStart"/>
      <w:r w:rsidRPr="005E3D50">
        <w:rPr>
          <w:lang w:val="es-ES"/>
        </w:rPr>
        <w:t>se centraron principalmente en</w:t>
      </w:r>
      <w:proofErr w:type="gramEnd"/>
      <w:r w:rsidRPr="005E3D50">
        <w:rPr>
          <w:lang w:val="es-ES"/>
        </w:rPr>
        <w:t xml:space="preserve"> los ecosistemas terrestres.</w:t>
      </w:r>
    </w:p>
    <w:p w14:paraId="6CBE8B93" w14:textId="77777777" w:rsidR="008F15F1" w:rsidRPr="005E3D50" w:rsidRDefault="008F15F1" w:rsidP="008F15F1">
      <w:pPr>
        <w:rPr>
          <w:lang w:val="es-ES"/>
        </w:rPr>
      </w:pPr>
      <w:r w:rsidRPr="005E3D50">
        <w:rPr>
          <w:lang w:val="es-ES"/>
        </w:rPr>
        <w:t>En relación con el indicador de cabecera A.1 (Lista Roja de Ecosistemas), los datos presentados por las Partes y los datos proporcionados por la UICN (UICN, 2026) muestran un estado de riesgo general similar para los ecosistemas (véase la figura 98). En cuanto al indicador de cabecera A.2 (extensión de los ecosistemas naturales), la extensión informada por las Partes varió desde casi la totalidad de las zonas terrestres hasta casi ninguna, con una cobertura media de aproximadamente tres quintas partes (véanse el cuadro 51 y la figura 99).</w:t>
      </w:r>
    </w:p>
    <w:p w14:paraId="64FD7572" w14:textId="77777777" w:rsidR="008F15F1" w:rsidRPr="005E3D50" w:rsidRDefault="008F15F1" w:rsidP="008F15F1">
      <w:pPr>
        <w:rPr>
          <w:lang w:val="es-ES"/>
        </w:rPr>
      </w:pPr>
      <w:r w:rsidRPr="005E3D50">
        <w:rPr>
          <w:lang w:val="es-ES"/>
        </w:rPr>
        <w:t xml:space="preserve">Los resultados de los informes presentados sobre los indicadores de cabecera A.1 y A.2 deben considerarse como una primera aproximación al establecimiento de valores de referencia, respecto de los cuales podrá medirse el progreso futuro hacia la consecución del objetivo para 2050 a medida que las Partes desarrollen mayor capacidad para </w:t>
      </w:r>
      <w:r w:rsidRPr="005E3D50">
        <w:rPr>
          <w:lang w:val="es-ES"/>
        </w:rPr>
        <w:lastRenderedPageBreak/>
        <w:t>cartografiar ecosistemas completos y darles seguimiento (Nicholson y otros, 2024). La iniciativa Atlas Mundial de los Ecosistemas, organizada por el Grupo de Observaciones de la Tierra en colaboración con la Secretaría del Convenio y con las organizaciones pertinentes responsables de elaborar los metadatos para los indicadores de cabecera A.1 (UICN) y A.2 (División de Estadística de las Naciones Unidas), tiene por objeto proporcionar un mapa mundial armonizado y exhaustivo de la distribución de los ecosistemas naturales y artificiales, en consonancia con los 110 grupos funcionales de ecosistemas (Nivel 3) definidos en la Tipología Global de Ecosistemas (Murray y otros, 2026)</w:t>
      </w:r>
      <w:r w:rsidRPr="005E3D50">
        <w:rPr>
          <w:vertAlign w:val="superscript"/>
          <w:lang w:val="es-ES"/>
        </w:rPr>
        <w:footnoteReference w:id="44"/>
      </w:r>
      <w:r w:rsidRPr="005E3D50">
        <w:rPr>
          <w:lang w:val="es-ES"/>
        </w:rPr>
        <w:t>. Este mapa mundial se elabora principalmente a partir de fuentes de datos nacionales u otras fuentes revisadas por pares existentes, y las carencias se subsanan mediante el uso de modelos geoespaciales de clasificación de ecosistemas. Por lo tanto, se hace hincapié en apoyar el desarrollo continuo, de abajo hacia arriba, de mapas de ecosistemas, con orientación específica de nivel nacional (Atlas Mundial de los Ecosistemas, 2026). Se espera que el Atlas Mundial de los Ecosistemas, cuya finalización está prevista para antes de 2029, resulte útil para la presentación de informes nacionales futuros, en particular sobre el indicador de cabecera A.2, y que también respalde la presentación de informes sobre otros indicadores de cabecera que requieren información relativa a la extensión de los ecosistemas, a saber, A.1 (Lista Roja de Ecosistemas), B.1 (servicios brindados por los ecosistemas), 2.1 (superficie sujeta a restauración), 3.1 (cobertura de áreas protegidas y otras medidas de conservación eficaces basadas en áreas) y 21.1 (indicador sobre información de diversidad biológica para el seguimiento del Marco) (Grupo de Observaciones de la Tierra, 2025).</w:t>
      </w:r>
    </w:p>
    <w:p w14:paraId="6A8F77BE" w14:textId="77777777" w:rsidR="008F15F1" w:rsidRPr="005E3D50" w:rsidRDefault="008F15F1" w:rsidP="008F15F1">
      <w:pPr>
        <w:rPr>
          <w:lang w:val="es-ES"/>
        </w:rPr>
      </w:pPr>
      <w:r w:rsidRPr="005E3D50">
        <w:rPr>
          <w:lang w:val="es-ES"/>
        </w:rPr>
        <w:t>Los datos para el indicador de cabecera A.3 (Índice de la Lista Roja) sugieren que el riesgo de extinción de especies sigue aumentando (véanse las figuras 19 y 20). Sin embargo, es poco probable que se pueda detectar a corto plazo una inversión de la tendencia atribuible a medidas recientes de las Partes debido a los desfases temporales entre las medidas de conservación y sus resultados, así como a retrasos en la disponibilidad de evaluaciones de especies actualizadas (véanse también la secc. I.A y la figura 6). Si bien los datos de las comunicaciones de las Partes para el indicador de cabecera A.4 (proporción de poblaciones dentro de especies con un tamaño de población efectivo mayor a 500) son demasiado escasos para extraer conclusiones sobre los progresos realizados respecto al mantenimiento a largo plazo de la diversidad genética, iniciativas como el proyecto de indicadores genéticos para el seguimiento de la naturaleza (</w:t>
      </w:r>
      <w:proofErr w:type="spellStart"/>
      <w:r w:rsidRPr="005E3D50">
        <w:rPr>
          <w:lang w:val="es-ES"/>
        </w:rPr>
        <w:t>Genetic</w:t>
      </w:r>
      <w:proofErr w:type="spellEnd"/>
      <w:r w:rsidRPr="005E3D50">
        <w:rPr>
          <w:lang w:val="es-ES"/>
        </w:rPr>
        <w:t xml:space="preserve"> </w:t>
      </w:r>
      <w:proofErr w:type="spellStart"/>
      <w:r w:rsidRPr="005E3D50">
        <w:rPr>
          <w:lang w:val="es-ES"/>
        </w:rPr>
        <w:t>Indicators</w:t>
      </w:r>
      <w:proofErr w:type="spellEnd"/>
      <w:r w:rsidRPr="005E3D50">
        <w:rPr>
          <w:lang w:val="es-ES"/>
        </w:rPr>
        <w:t xml:space="preserve"> for </w:t>
      </w:r>
      <w:proofErr w:type="spellStart"/>
      <w:r w:rsidRPr="005E3D50">
        <w:rPr>
          <w:lang w:val="es-ES"/>
        </w:rPr>
        <w:t>NAture</w:t>
      </w:r>
      <w:proofErr w:type="spellEnd"/>
      <w:r w:rsidRPr="005E3D50">
        <w:rPr>
          <w:lang w:val="es-ES"/>
        </w:rPr>
        <w:t xml:space="preserve"> </w:t>
      </w:r>
      <w:proofErr w:type="spellStart"/>
      <w:r w:rsidRPr="005E3D50">
        <w:rPr>
          <w:lang w:val="es-ES"/>
        </w:rPr>
        <w:t>MOnitoring</w:t>
      </w:r>
      <w:proofErr w:type="spellEnd"/>
      <w:r w:rsidRPr="005E3D50">
        <w:rPr>
          <w:lang w:val="es-ES"/>
        </w:rPr>
        <w:t>, GINAMO) de la asociación Biodiversa+ de la Unión Europea</w:t>
      </w:r>
      <w:r w:rsidRPr="005E3D50">
        <w:rPr>
          <w:vertAlign w:val="superscript"/>
          <w:lang w:val="es-ES"/>
        </w:rPr>
        <w:footnoteReference w:id="45"/>
      </w:r>
      <w:r w:rsidRPr="005E3D50">
        <w:rPr>
          <w:lang w:val="es-ES"/>
        </w:rPr>
        <w:t xml:space="preserve"> están prestando apoyo a las Partes para poner en práctica ese indicador. Además, existe la oportunidad de </w:t>
      </w:r>
      <w:r w:rsidRPr="005E3D50">
        <w:rPr>
          <w:lang w:val="es-ES"/>
        </w:rPr>
        <w:lastRenderedPageBreak/>
        <w:t>que las Partes amplíen la cobertura taxonómica de sus evaluaciones de riesgo de extinción y utilicen esas evaluaciones para evaluar la diversidad genética (</w:t>
      </w:r>
      <w:proofErr w:type="spellStart"/>
      <w:r w:rsidRPr="005E3D50">
        <w:rPr>
          <w:lang w:val="es-ES"/>
        </w:rPr>
        <w:t>Khorngton</w:t>
      </w:r>
      <w:proofErr w:type="spellEnd"/>
      <w:r w:rsidRPr="005E3D50">
        <w:rPr>
          <w:lang w:val="es-ES"/>
        </w:rPr>
        <w:t xml:space="preserve"> y otros, 2026), contribuyendo así a aportar información e impulsar el progreso hacia la consecución del objetivo para 2050. </w:t>
      </w:r>
    </w:p>
    <w:p w14:paraId="1CF1B25B" w14:textId="77777777" w:rsidR="008F15F1" w:rsidRPr="005E3D50" w:rsidRDefault="008F15F1" w:rsidP="008F15F1">
      <w:pPr>
        <w:rPr>
          <w:lang w:val="es-ES"/>
        </w:rPr>
      </w:pPr>
      <w:r w:rsidRPr="005E3D50">
        <w:rPr>
          <w:lang w:val="es-ES"/>
        </w:rPr>
        <w:t xml:space="preserve">Los indicadores de cabecera A.3 y A.4, dado que también hacen un seguimiento de los progresos en la consecución de la meta 4 del Marco, se tratan más detalladamente en la sección II.B del informe mundial. </w:t>
      </w:r>
    </w:p>
    <w:p w14:paraId="7F5409F9" w14:textId="77777777" w:rsidR="008F15F1" w:rsidRPr="005E3D50" w:rsidRDefault="008F15F1" w:rsidP="008F15F1">
      <w:pPr>
        <w:rPr>
          <w:lang w:val="es-ES"/>
        </w:rPr>
      </w:pPr>
    </w:p>
    <w:p w14:paraId="560F8925" w14:textId="77777777" w:rsidR="008F15F1" w:rsidRPr="005E3D50" w:rsidRDefault="008F15F1" w:rsidP="008F15F1">
      <w:pPr>
        <w:rPr>
          <w:sz w:val="20"/>
          <w:szCs w:val="20"/>
          <w:lang w:val="es-ES"/>
        </w:rPr>
      </w:pPr>
      <w:r w:rsidRPr="005E3D50">
        <w:rPr>
          <w:sz w:val="20"/>
          <w:lang w:val="es-ES"/>
        </w:rPr>
        <w:t>Figura 98</w:t>
      </w:r>
    </w:p>
    <w:p w14:paraId="2D0D3BAA" w14:textId="77777777" w:rsidR="008F15F1" w:rsidRPr="005E3D50" w:rsidRDefault="008F15F1" w:rsidP="008F15F1">
      <w:pPr>
        <w:rPr>
          <w:rFonts w:ascii="Aptos" w:hAnsi="Aptos" w:cs="Segoe UI"/>
          <w:b/>
          <w:bCs/>
          <w:sz w:val="20"/>
          <w:szCs w:val="20"/>
          <w:lang w:val="es-ES"/>
        </w:rPr>
      </w:pPr>
      <w:r w:rsidRPr="005E3D50">
        <w:rPr>
          <w:rFonts w:ascii="Aptos" w:hAnsi="Aptos"/>
          <w:b/>
          <w:sz w:val="20"/>
          <w:lang w:val="es-ES"/>
        </w:rPr>
        <w:t>Indicador de cabecera A.1: Lista Roja de Ecosistemas</w:t>
      </w:r>
    </w:p>
    <w:p w14:paraId="6FB6BFD2" w14:textId="77777777" w:rsidR="008F15F1" w:rsidRPr="005E3D50" w:rsidRDefault="008F15F1" w:rsidP="008F15F1">
      <w:pPr>
        <w:rPr>
          <w:lang w:val="es-ES"/>
        </w:rPr>
      </w:pPr>
    </w:p>
    <w:p w14:paraId="50E9DE0A"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36F7FE20" w14:textId="77777777" w:rsidR="008F15F1" w:rsidRPr="005E3D50" w:rsidRDefault="008F15F1" w:rsidP="008F15F1">
      <w:pPr>
        <w:spacing w:after="0" w:line="240" w:lineRule="auto"/>
        <w:textAlignment w:val="baseline"/>
        <w:rPr>
          <w:rFonts w:ascii="Aptos" w:eastAsia="Times New Roman" w:hAnsi="Aptos" w:cs="Segoe UI"/>
          <w:kern w:val="0"/>
          <w:lang w:val="es-ES"/>
          <w14:ligatures w14:val="none"/>
        </w:rPr>
      </w:pPr>
      <w:r w:rsidRPr="005E3D50">
        <w:rPr>
          <w:rFonts w:ascii="Aptos" w:eastAsia="Times New Roman" w:hAnsi="Aptos" w:cs="Times New Roman"/>
          <w:noProof/>
          <w:kern w:val="0"/>
          <w:lang w:val="en-US"/>
          <w14:ligatures w14:val="none"/>
        </w:rPr>
        <w:drawing>
          <wp:inline distT="0" distB="0" distL="0" distR="0" wp14:anchorId="725CD44B" wp14:editId="6E493DC6">
            <wp:extent cx="5731510" cy="3223895"/>
            <wp:effectExtent l="0" t="0" r="0" b="1905"/>
            <wp:docPr id="16256134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3498" name="Picture 1625613498"/>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2DCD8F4" w14:textId="77777777" w:rsidR="008F15F1" w:rsidRPr="005E3D50" w:rsidRDefault="008F15F1" w:rsidP="008F15F1">
      <w:pPr>
        <w:spacing w:after="200" w:line="240" w:lineRule="auto"/>
        <w:rPr>
          <w:rFonts w:ascii="Aptos" w:eastAsiaTheme="minorEastAsia" w:hAnsi="Aptos" w:cs="Segoe UI"/>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Solo se muestra un único punto de datos que totaliza los valores de la Lista Roja de Ecosistemas (LRE) presentados, ya que solo tres Partes proporcionaron una serie temporal. Se muestran el promedio y el intervalo de los valores de la LRE para todas las Partes que presentaron datos. Las barras ilustran la distribución regional de los datos de las Partes incluidos en el valor del indicador mostrado. La relación entre los colores y las regiones se indica en la leyenda de la figura: los tonos más oscuros representan la proporción de Partes de una región dada para la que se incluyen datos en la figura; los tonos más claros representan la proporción de Partes de la misma región para la que no se incluyen datos en la figura. Se muestran los valores indicados en las comunicaciones nacionales (arriba) y por la UICN (abajo).</w:t>
      </w:r>
    </w:p>
    <w:tbl>
      <w:tblPr>
        <w:tblStyle w:val="TableGrid"/>
        <w:tblW w:w="9331" w:type="dxa"/>
        <w:tblLook w:val="04A0" w:firstRow="1" w:lastRow="0" w:firstColumn="1" w:lastColumn="0" w:noHBand="0" w:noVBand="1"/>
      </w:tblPr>
      <w:tblGrid>
        <w:gridCol w:w="4061"/>
        <w:gridCol w:w="5270"/>
      </w:tblGrid>
      <w:tr w:rsidR="005957CE" w:rsidRPr="005957CE" w14:paraId="509C96F6" w14:textId="77777777" w:rsidTr="005957CE">
        <w:tc>
          <w:tcPr>
            <w:tcW w:w="9331" w:type="dxa"/>
            <w:gridSpan w:val="2"/>
          </w:tcPr>
          <w:p w14:paraId="671CA2C0" w14:textId="44A86CE0" w:rsidR="005957CE" w:rsidRPr="005957CE" w:rsidRDefault="005957CE" w:rsidP="00B93410">
            <w:pPr>
              <w:rPr>
                <w:rFonts w:ascii="Aptos" w:hAnsi="Aptos"/>
                <w:bCs/>
                <w:sz w:val="18"/>
                <w:szCs w:val="18"/>
                <w:lang w:val="es-ES"/>
              </w:rPr>
            </w:pPr>
            <w:r w:rsidRPr="005957CE">
              <w:rPr>
                <w:rFonts w:ascii="Aptos" w:hAnsi="Aptos"/>
                <w:bCs/>
                <w:sz w:val="18"/>
                <w:szCs w:val="18"/>
                <w:lang w:val="es-ES"/>
              </w:rPr>
              <w:t>Figura 98</w:t>
            </w:r>
          </w:p>
        </w:tc>
      </w:tr>
      <w:tr w:rsidR="005957CE" w:rsidRPr="005957CE" w14:paraId="0637F2A1" w14:textId="77777777" w:rsidTr="005957CE">
        <w:tc>
          <w:tcPr>
            <w:tcW w:w="4061" w:type="dxa"/>
          </w:tcPr>
          <w:p w14:paraId="6F3744FE" w14:textId="77777777" w:rsidR="005957CE" w:rsidRPr="005957CE" w:rsidRDefault="005957CE" w:rsidP="00B93410">
            <w:pPr>
              <w:rPr>
                <w:rFonts w:ascii="Aptos" w:hAnsi="Aptos"/>
                <w:bCs/>
                <w:sz w:val="18"/>
                <w:szCs w:val="18"/>
                <w:lang w:val="es-ES"/>
              </w:rPr>
            </w:pPr>
            <w:r w:rsidRPr="005957CE">
              <w:rPr>
                <w:rFonts w:ascii="Aptos" w:hAnsi="Aptos"/>
                <w:bCs/>
                <w:sz w:val="18"/>
                <w:szCs w:val="18"/>
                <w:lang w:val="es-ES"/>
              </w:rPr>
              <w:t xml:space="preserve">English </w:t>
            </w:r>
          </w:p>
        </w:tc>
        <w:tc>
          <w:tcPr>
            <w:tcW w:w="5269" w:type="dxa"/>
          </w:tcPr>
          <w:p w14:paraId="3283D2BA" w14:textId="2CEDF2BA" w:rsidR="005957CE" w:rsidRPr="005957CE" w:rsidRDefault="005957CE" w:rsidP="00B93410">
            <w:pPr>
              <w:rPr>
                <w:rFonts w:ascii="Aptos" w:hAnsi="Aptos"/>
                <w:bCs/>
                <w:sz w:val="18"/>
                <w:szCs w:val="18"/>
                <w:lang w:val="es-ES"/>
              </w:rPr>
            </w:pPr>
            <w:r w:rsidRPr="005957CE">
              <w:rPr>
                <w:rFonts w:ascii="Aptos" w:hAnsi="Aptos"/>
                <w:bCs/>
                <w:sz w:val="18"/>
                <w:szCs w:val="18"/>
                <w:lang w:val="es-ES"/>
              </w:rPr>
              <w:t>Español</w:t>
            </w:r>
          </w:p>
        </w:tc>
      </w:tr>
      <w:tr w:rsidR="005957CE" w:rsidRPr="005957CE" w14:paraId="7D5E8D3E" w14:textId="77777777" w:rsidTr="005957CE">
        <w:tc>
          <w:tcPr>
            <w:tcW w:w="4061" w:type="dxa"/>
          </w:tcPr>
          <w:p w14:paraId="2B63C1C9"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 xml:space="preserve">National </w:t>
            </w:r>
            <w:proofErr w:type="spellStart"/>
            <w:r w:rsidRPr="005957CE">
              <w:rPr>
                <w:rFonts w:ascii="Aptos" w:hAnsi="Aptos"/>
                <w:sz w:val="18"/>
                <w:szCs w:val="18"/>
                <w:lang w:val="es-ES"/>
              </w:rPr>
              <w:t>submissions</w:t>
            </w:r>
            <w:proofErr w:type="spellEnd"/>
          </w:p>
        </w:tc>
        <w:tc>
          <w:tcPr>
            <w:tcW w:w="5269" w:type="dxa"/>
          </w:tcPr>
          <w:p w14:paraId="09758AE8"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Comunicaciones nacionales</w:t>
            </w:r>
          </w:p>
        </w:tc>
      </w:tr>
      <w:tr w:rsidR="005957CE" w:rsidRPr="005957CE" w14:paraId="18521D25" w14:textId="77777777" w:rsidTr="005957CE">
        <w:tc>
          <w:tcPr>
            <w:tcW w:w="4061" w:type="dxa"/>
          </w:tcPr>
          <w:p w14:paraId="2F5D6EBF"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 xml:space="preserve">Party </w:t>
            </w:r>
            <w:proofErr w:type="spellStart"/>
            <w:r w:rsidRPr="005957CE">
              <w:rPr>
                <w:rFonts w:ascii="Aptos" w:hAnsi="Aptos"/>
                <w:sz w:val="18"/>
                <w:szCs w:val="18"/>
                <w:lang w:val="es-ES"/>
              </w:rPr>
              <w:t>count</w:t>
            </w:r>
            <w:proofErr w:type="spellEnd"/>
            <w:r w:rsidRPr="005957CE">
              <w:rPr>
                <w:rFonts w:ascii="Aptos" w:hAnsi="Aptos"/>
                <w:sz w:val="18"/>
                <w:szCs w:val="18"/>
                <w:lang w:val="es-ES"/>
              </w:rPr>
              <w:t>: 27</w:t>
            </w:r>
          </w:p>
        </w:tc>
        <w:tc>
          <w:tcPr>
            <w:tcW w:w="5269" w:type="dxa"/>
          </w:tcPr>
          <w:p w14:paraId="7CDF29C3"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Número de Partes: 27</w:t>
            </w:r>
          </w:p>
        </w:tc>
      </w:tr>
      <w:tr w:rsidR="005957CE" w:rsidRPr="005957CE" w14:paraId="6ECAAE62" w14:textId="77777777" w:rsidTr="005957CE">
        <w:tc>
          <w:tcPr>
            <w:tcW w:w="4061" w:type="dxa"/>
          </w:tcPr>
          <w:p w14:paraId="2134DF4C"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 xml:space="preserve">Party </w:t>
            </w:r>
            <w:proofErr w:type="spellStart"/>
            <w:r w:rsidRPr="005957CE">
              <w:rPr>
                <w:rFonts w:ascii="Aptos" w:hAnsi="Aptos"/>
                <w:sz w:val="18"/>
                <w:szCs w:val="18"/>
                <w:lang w:val="es-ES"/>
              </w:rPr>
              <w:t>count</w:t>
            </w:r>
            <w:proofErr w:type="spellEnd"/>
            <w:r w:rsidRPr="005957CE">
              <w:rPr>
                <w:rFonts w:ascii="Aptos" w:hAnsi="Aptos"/>
                <w:sz w:val="18"/>
                <w:szCs w:val="18"/>
                <w:lang w:val="es-ES"/>
              </w:rPr>
              <w:t xml:space="preserve"> </w:t>
            </w:r>
            <w:proofErr w:type="spellStart"/>
            <w:r w:rsidRPr="005957CE">
              <w:rPr>
                <w:rFonts w:ascii="Aptos" w:hAnsi="Aptos"/>
                <w:sz w:val="18"/>
                <w:szCs w:val="18"/>
                <w:lang w:val="es-ES"/>
              </w:rPr>
              <w:t>by</w:t>
            </w:r>
            <w:proofErr w:type="spellEnd"/>
            <w:r w:rsidRPr="005957CE">
              <w:rPr>
                <w:rFonts w:ascii="Aptos" w:hAnsi="Aptos"/>
                <w:sz w:val="18"/>
                <w:szCs w:val="18"/>
                <w:lang w:val="es-ES"/>
              </w:rPr>
              <w:t xml:space="preserve"> </w:t>
            </w:r>
            <w:proofErr w:type="spellStart"/>
            <w:r w:rsidRPr="005957CE">
              <w:rPr>
                <w:rFonts w:ascii="Aptos" w:hAnsi="Aptos"/>
                <w:sz w:val="18"/>
                <w:szCs w:val="18"/>
                <w:lang w:val="es-ES"/>
              </w:rPr>
              <w:t>region</w:t>
            </w:r>
            <w:proofErr w:type="spellEnd"/>
          </w:p>
        </w:tc>
        <w:tc>
          <w:tcPr>
            <w:tcW w:w="5269" w:type="dxa"/>
          </w:tcPr>
          <w:p w14:paraId="27652860"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Número de Partes por región</w:t>
            </w:r>
          </w:p>
        </w:tc>
      </w:tr>
      <w:tr w:rsidR="005957CE" w:rsidRPr="005957CE" w14:paraId="5774A5E7" w14:textId="77777777" w:rsidTr="005957CE">
        <w:tc>
          <w:tcPr>
            <w:tcW w:w="4061" w:type="dxa"/>
          </w:tcPr>
          <w:p w14:paraId="7090D8B0"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lastRenderedPageBreak/>
              <w:t>IUCN data</w:t>
            </w:r>
          </w:p>
        </w:tc>
        <w:tc>
          <w:tcPr>
            <w:tcW w:w="5269" w:type="dxa"/>
          </w:tcPr>
          <w:p w14:paraId="6FF2FA2E"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Datos de la UICN</w:t>
            </w:r>
          </w:p>
        </w:tc>
      </w:tr>
      <w:tr w:rsidR="005957CE" w:rsidRPr="005957CE" w14:paraId="6E5B5F42" w14:textId="77777777" w:rsidTr="005957CE">
        <w:tc>
          <w:tcPr>
            <w:tcW w:w="4061" w:type="dxa"/>
          </w:tcPr>
          <w:p w14:paraId="310D7E0A"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 xml:space="preserve">Party </w:t>
            </w:r>
            <w:proofErr w:type="spellStart"/>
            <w:r w:rsidRPr="005957CE">
              <w:rPr>
                <w:rFonts w:ascii="Aptos" w:hAnsi="Aptos"/>
                <w:sz w:val="18"/>
                <w:szCs w:val="18"/>
                <w:lang w:val="es-ES"/>
              </w:rPr>
              <w:t>count</w:t>
            </w:r>
            <w:proofErr w:type="spellEnd"/>
            <w:r w:rsidRPr="005957CE">
              <w:rPr>
                <w:rFonts w:ascii="Aptos" w:hAnsi="Aptos"/>
                <w:sz w:val="18"/>
                <w:szCs w:val="18"/>
                <w:lang w:val="es-ES"/>
              </w:rPr>
              <w:t>: 61</w:t>
            </w:r>
          </w:p>
        </w:tc>
        <w:tc>
          <w:tcPr>
            <w:tcW w:w="5269" w:type="dxa"/>
          </w:tcPr>
          <w:p w14:paraId="55490BED"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Número de Partes: 61</w:t>
            </w:r>
          </w:p>
        </w:tc>
      </w:tr>
      <w:tr w:rsidR="005957CE" w:rsidRPr="005957CE" w14:paraId="6069109E" w14:textId="77777777" w:rsidTr="005957CE">
        <w:tc>
          <w:tcPr>
            <w:tcW w:w="4061" w:type="dxa"/>
          </w:tcPr>
          <w:p w14:paraId="426250DA"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 xml:space="preserve">Party </w:t>
            </w:r>
            <w:proofErr w:type="spellStart"/>
            <w:r w:rsidRPr="005957CE">
              <w:rPr>
                <w:rFonts w:ascii="Aptos" w:hAnsi="Aptos"/>
                <w:sz w:val="18"/>
                <w:szCs w:val="18"/>
                <w:lang w:val="es-ES"/>
              </w:rPr>
              <w:t>count</w:t>
            </w:r>
            <w:proofErr w:type="spellEnd"/>
            <w:r w:rsidRPr="005957CE">
              <w:rPr>
                <w:rFonts w:ascii="Aptos" w:hAnsi="Aptos"/>
                <w:sz w:val="18"/>
                <w:szCs w:val="18"/>
                <w:lang w:val="es-ES"/>
              </w:rPr>
              <w:t xml:space="preserve"> </w:t>
            </w:r>
            <w:proofErr w:type="spellStart"/>
            <w:r w:rsidRPr="005957CE">
              <w:rPr>
                <w:rFonts w:ascii="Aptos" w:hAnsi="Aptos"/>
                <w:sz w:val="18"/>
                <w:szCs w:val="18"/>
                <w:lang w:val="es-ES"/>
              </w:rPr>
              <w:t>by</w:t>
            </w:r>
            <w:proofErr w:type="spellEnd"/>
            <w:r w:rsidRPr="005957CE">
              <w:rPr>
                <w:rFonts w:ascii="Aptos" w:hAnsi="Aptos"/>
                <w:sz w:val="18"/>
                <w:szCs w:val="18"/>
                <w:lang w:val="es-ES"/>
              </w:rPr>
              <w:t xml:space="preserve"> </w:t>
            </w:r>
            <w:proofErr w:type="spellStart"/>
            <w:r w:rsidRPr="005957CE">
              <w:rPr>
                <w:rFonts w:ascii="Aptos" w:hAnsi="Aptos"/>
                <w:sz w:val="18"/>
                <w:szCs w:val="18"/>
                <w:lang w:val="es-ES"/>
              </w:rPr>
              <w:t>region</w:t>
            </w:r>
            <w:proofErr w:type="spellEnd"/>
          </w:p>
        </w:tc>
        <w:tc>
          <w:tcPr>
            <w:tcW w:w="5269" w:type="dxa"/>
          </w:tcPr>
          <w:p w14:paraId="251637D8"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Número de Partes por región</w:t>
            </w:r>
          </w:p>
        </w:tc>
      </w:tr>
      <w:tr w:rsidR="005957CE" w:rsidRPr="005957CE" w14:paraId="606F73E8" w14:textId="77777777" w:rsidTr="005957CE">
        <w:tc>
          <w:tcPr>
            <w:tcW w:w="4061" w:type="dxa"/>
          </w:tcPr>
          <w:p w14:paraId="39AF6241" w14:textId="77777777" w:rsidR="005957CE" w:rsidRPr="005957CE" w:rsidRDefault="005957CE" w:rsidP="00B93410">
            <w:pPr>
              <w:rPr>
                <w:rFonts w:ascii="Aptos" w:hAnsi="Aptos"/>
                <w:sz w:val="18"/>
                <w:szCs w:val="18"/>
                <w:lang w:val="es-ES"/>
              </w:rPr>
            </w:pPr>
            <w:proofErr w:type="spellStart"/>
            <w:r w:rsidRPr="005957CE">
              <w:rPr>
                <w:rFonts w:ascii="Aptos" w:hAnsi="Aptos"/>
                <w:sz w:val="18"/>
                <w:szCs w:val="18"/>
                <w:lang w:val="es-ES"/>
              </w:rPr>
              <w:t>Region</w:t>
            </w:r>
            <w:proofErr w:type="spellEnd"/>
          </w:p>
        </w:tc>
        <w:tc>
          <w:tcPr>
            <w:tcW w:w="5269" w:type="dxa"/>
          </w:tcPr>
          <w:p w14:paraId="63EEEFB9"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Región</w:t>
            </w:r>
          </w:p>
        </w:tc>
      </w:tr>
      <w:tr w:rsidR="005957CE" w:rsidRPr="005957CE" w14:paraId="53E5372A" w14:textId="77777777" w:rsidTr="005957CE">
        <w:tc>
          <w:tcPr>
            <w:tcW w:w="4061" w:type="dxa"/>
          </w:tcPr>
          <w:p w14:paraId="2EBE741B"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African States</w:t>
            </w:r>
          </w:p>
        </w:tc>
        <w:tc>
          <w:tcPr>
            <w:tcW w:w="5269" w:type="dxa"/>
          </w:tcPr>
          <w:p w14:paraId="1FD89BFF"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Estados de África</w:t>
            </w:r>
          </w:p>
        </w:tc>
      </w:tr>
      <w:tr w:rsidR="005957CE" w:rsidRPr="005957CE" w14:paraId="0C463FCA" w14:textId="77777777" w:rsidTr="005957CE">
        <w:tc>
          <w:tcPr>
            <w:tcW w:w="4061" w:type="dxa"/>
          </w:tcPr>
          <w:p w14:paraId="1B822292"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Asia-Pacific States</w:t>
            </w:r>
          </w:p>
        </w:tc>
        <w:tc>
          <w:tcPr>
            <w:tcW w:w="5269" w:type="dxa"/>
          </w:tcPr>
          <w:p w14:paraId="6392A80F"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Estados de Asia y el Pacífico</w:t>
            </w:r>
          </w:p>
        </w:tc>
      </w:tr>
      <w:tr w:rsidR="005957CE" w:rsidRPr="005957CE" w14:paraId="54E2AA2E" w14:textId="77777777" w:rsidTr="005957CE">
        <w:tc>
          <w:tcPr>
            <w:tcW w:w="4061" w:type="dxa"/>
          </w:tcPr>
          <w:p w14:paraId="7E09D0EA" w14:textId="77777777" w:rsidR="005957CE" w:rsidRPr="005957CE" w:rsidRDefault="005957CE" w:rsidP="00B93410">
            <w:pPr>
              <w:rPr>
                <w:rFonts w:ascii="Aptos" w:hAnsi="Aptos"/>
                <w:sz w:val="18"/>
                <w:szCs w:val="18"/>
                <w:lang w:val="en-US"/>
              </w:rPr>
            </w:pPr>
            <w:r w:rsidRPr="005957CE">
              <w:rPr>
                <w:rFonts w:ascii="Aptos" w:hAnsi="Aptos"/>
                <w:sz w:val="18"/>
                <w:szCs w:val="18"/>
                <w:lang w:val="en-US"/>
              </w:rPr>
              <w:t>Latin American and Caribbean States</w:t>
            </w:r>
          </w:p>
        </w:tc>
        <w:tc>
          <w:tcPr>
            <w:tcW w:w="5269" w:type="dxa"/>
          </w:tcPr>
          <w:p w14:paraId="4B27E756"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Estados de América Latina y el Caribe</w:t>
            </w:r>
          </w:p>
        </w:tc>
      </w:tr>
      <w:tr w:rsidR="005957CE" w:rsidRPr="005957CE" w14:paraId="4DE3C5DE" w14:textId="77777777" w:rsidTr="005957CE">
        <w:tc>
          <w:tcPr>
            <w:tcW w:w="4061" w:type="dxa"/>
          </w:tcPr>
          <w:p w14:paraId="16A77BAF"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Eastern European States</w:t>
            </w:r>
          </w:p>
        </w:tc>
        <w:tc>
          <w:tcPr>
            <w:tcW w:w="5269" w:type="dxa"/>
          </w:tcPr>
          <w:p w14:paraId="23B7667E"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Estados de Europa Oriental</w:t>
            </w:r>
          </w:p>
        </w:tc>
      </w:tr>
      <w:tr w:rsidR="005957CE" w:rsidRPr="005957CE" w14:paraId="53476422" w14:textId="77777777" w:rsidTr="005957CE">
        <w:tc>
          <w:tcPr>
            <w:tcW w:w="4061" w:type="dxa"/>
          </w:tcPr>
          <w:p w14:paraId="362AA42D" w14:textId="77777777" w:rsidR="005957CE" w:rsidRPr="005957CE" w:rsidRDefault="005957CE" w:rsidP="00B93410">
            <w:pPr>
              <w:rPr>
                <w:rFonts w:ascii="Aptos" w:hAnsi="Aptos"/>
                <w:sz w:val="18"/>
                <w:szCs w:val="18"/>
                <w:lang w:val="en-US"/>
              </w:rPr>
            </w:pPr>
            <w:r w:rsidRPr="005957CE">
              <w:rPr>
                <w:rFonts w:ascii="Aptos" w:hAnsi="Aptos"/>
                <w:sz w:val="18"/>
                <w:szCs w:val="18"/>
                <w:lang w:val="en-US"/>
              </w:rPr>
              <w:t>Western European and other States</w:t>
            </w:r>
          </w:p>
        </w:tc>
        <w:tc>
          <w:tcPr>
            <w:tcW w:w="5269" w:type="dxa"/>
          </w:tcPr>
          <w:p w14:paraId="2B64C0DB" w14:textId="77777777" w:rsidR="005957CE" w:rsidRPr="005957CE" w:rsidRDefault="005957CE" w:rsidP="00B93410">
            <w:pPr>
              <w:rPr>
                <w:rFonts w:ascii="Aptos" w:hAnsi="Aptos"/>
                <w:sz w:val="18"/>
                <w:szCs w:val="18"/>
                <w:lang w:val="es-ES"/>
              </w:rPr>
            </w:pPr>
            <w:r w:rsidRPr="005957CE">
              <w:rPr>
                <w:rFonts w:ascii="Aptos" w:hAnsi="Aptos"/>
                <w:sz w:val="18"/>
                <w:szCs w:val="18"/>
                <w:lang w:val="es-ES"/>
              </w:rPr>
              <w:t>Estados de Europa Occidental y otros Estados</w:t>
            </w:r>
          </w:p>
        </w:tc>
      </w:tr>
    </w:tbl>
    <w:p w14:paraId="4D7C05D8"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29F91D51" w14:textId="77777777" w:rsidR="008F15F1" w:rsidRPr="005E3D50" w:rsidRDefault="008F15F1" w:rsidP="008F15F1">
      <w:pPr>
        <w:spacing w:after="0" w:line="240" w:lineRule="auto"/>
        <w:rPr>
          <w:rFonts w:eastAsia="Times New Roman" w:cs="Times New Roman"/>
          <w:color w:val="000000"/>
          <w:kern w:val="0"/>
          <w:sz w:val="20"/>
          <w:szCs w:val="20"/>
          <w:lang w:val="es-ES" w:eastAsia="en-GB"/>
          <w14:ligatures w14:val="none"/>
        </w:rPr>
      </w:pPr>
      <w:r w:rsidRPr="005E3D50">
        <w:rPr>
          <w:rFonts w:eastAsia="Times New Roman" w:cs="Times New Roman"/>
          <w:color w:val="000000"/>
          <w:kern w:val="0"/>
          <w:sz w:val="20"/>
          <w:szCs w:val="17"/>
          <w:lang w:val="es-ES" w:eastAsia="en-GB"/>
          <w14:ligatures w14:val="none"/>
        </w:rPr>
        <w:t>Figura 99</w:t>
      </w:r>
    </w:p>
    <w:p w14:paraId="54E66AD7" w14:textId="77777777" w:rsidR="008F15F1" w:rsidRPr="005E3D50" w:rsidRDefault="008F15F1" w:rsidP="008F15F1">
      <w:pPr>
        <w:spacing w:after="200" w:line="240" w:lineRule="auto"/>
        <w:rPr>
          <w:rFonts w:ascii="Aptos" w:eastAsiaTheme="minorEastAsia" w:hAnsi="Aptos" w:cs="Segoe UI"/>
          <w:color w:val="0E2841" w:themeColor="text2"/>
          <w:kern w:val="0"/>
          <w:sz w:val="18"/>
          <w:szCs w:val="18"/>
          <w:lang w:val="es-ES" w:eastAsia="ja-JP"/>
          <w14:ligatures w14:val="none"/>
        </w:rPr>
      </w:pPr>
      <w:r w:rsidRPr="005E3D50">
        <w:rPr>
          <w:rFonts w:ascii="Aptos" w:eastAsiaTheme="minorEastAsia" w:hAnsi="Aptos"/>
          <w:b/>
          <w:iCs/>
          <w:color w:val="0E2841" w:themeColor="text2"/>
          <w:kern w:val="0"/>
          <w:sz w:val="18"/>
          <w:szCs w:val="18"/>
          <w:lang w:val="es-ES" w:eastAsia="ja-JP"/>
          <w14:ligatures w14:val="none"/>
        </w:rPr>
        <w:t>Indicador de cabecera A.2: extensión de los ecosistemas naturales</w:t>
      </w:r>
      <w:r w:rsidRPr="005E3D50">
        <w:rPr>
          <w:rFonts w:ascii="Aptos" w:eastAsiaTheme="minorEastAsia" w:hAnsi="Aptos"/>
          <w:iCs/>
          <w:color w:val="0E2841" w:themeColor="text2"/>
          <w:kern w:val="0"/>
          <w:sz w:val="18"/>
          <w:szCs w:val="18"/>
          <w:lang w:val="es-ES" w:eastAsia="ja-JP"/>
          <w14:ligatures w14:val="none"/>
        </w:rPr>
        <w:t> </w:t>
      </w:r>
    </w:p>
    <w:p w14:paraId="269D9FB6" w14:textId="77777777" w:rsidR="008F15F1" w:rsidRPr="005E3D50" w:rsidRDefault="008F15F1" w:rsidP="008F15F1">
      <w:pPr>
        <w:spacing w:after="0" w:line="240" w:lineRule="auto"/>
        <w:rPr>
          <w:rFonts w:eastAsia="Times New Roman" w:cs="Times New Roman"/>
          <w:color w:val="000000"/>
          <w:kern w:val="0"/>
          <w:sz w:val="20"/>
          <w:szCs w:val="20"/>
          <w:lang w:val="es-ES" w:eastAsia="en-GB"/>
          <w14:ligatures w14:val="none"/>
        </w:rPr>
      </w:pPr>
    </w:p>
    <w:p w14:paraId="0804C849"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579" w:name="_Ref230715672"/>
      <w:r w:rsidRPr="005E3D50">
        <w:rPr>
          <w:rFonts w:ascii="Aptos" w:eastAsiaTheme="minorEastAsia" w:hAnsi="Aptos"/>
          <w:i/>
          <w:iCs/>
          <w:noProof/>
          <w:color w:val="0E2841" w:themeColor="text2"/>
          <w:kern w:val="0"/>
          <w:sz w:val="18"/>
          <w:szCs w:val="18"/>
          <w:lang w:val="en-US"/>
          <w14:ligatures w14:val="none"/>
        </w:rPr>
        <w:drawing>
          <wp:inline distT="0" distB="0" distL="0" distR="0" wp14:anchorId="0AD3D0F1" wp14:editId="7B035256">
            <wp:extent cx="5731510" cy="3223895"/>
            <wp:effectExtent l="0" t="0" r="0" b="1905"/>
            <wp:docPr id="10603982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8213" name="Picture 1060398213"/>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bookmarkEnd w:id="579"/>
    <w:p w14:paraId="3A8450B7" w14:textId="77777777" w:rsidR="008F15F1" w:rsidRPr="005E3D50" w:rsidRDefault="008F15F1" w:rsidP="008F15F1">
      <w:pPr>
        <w:spacing w:after="200" w:line="240" w:lineRule="auto"/>
        <w:rPr>
          <w:rFonts w:ascii="Aptos" w:eastAsiaTheme="minorEastAsia" w:hAnsi="Aptos" w:cs="Segoe UI"/>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Solo se muestra un único punto de datos que totaliza los valores de extensión presentados, ya que muy pocas Partes presentaron una serie temporal. Se muestran el promedio y el intervalo de la extensión de los ecosistemas naturales para todas las Partes que presentaron datos. La barra ilustra la distribución regional de los datos de las Partes incluidos en el valor del indicador mostrado. La relación entre los colores y las regiones se indica en la leyenda de la figura: los tonos más oscuros representan la proporción de Partes de una región dada para la que se incluyen datos en la figura; los tonos más claros representan la proporción de Partes de la misma región para la que no se incluyen datos en la figura. El gráfico circular muestra, en gris oscuro, la proporción de la superficie terrestre total correspondiente a las Partes que presentaron datos. </w:t>
      </w:r>
    </w:p>
    <w:tbl>
      <w:tblPr>
        <w:tblStyle w:val="TableGrid"/>
        <w:tblW w:w="9320" w:type="dxa"/>
        <w:tblLayout w:type="fixed"/>
        <w:tblLook w:val="04A0" w:firstRow="1" w:lastRow="0" w:firstColumn="1" w:lastColumn="0" w:noHBand="0" w:noVBand="1"/>
      </w:tblPr>
      <w:tblGrid>
        <w:gridCol w:w="4922"/>
        <w:gridCol w:w="4398"/>
      </w:tblGrid>
      <w:tr w:rsidR="00B8346E" w:rsidRPr="00B8346E" w14:paraId="4F317885" w14:textId="77777777" w:rsidTr="00B8346E">
        <w:tc>
          <w:tcPr>
            <w:tcW w:w="9320" w:type="dxa"/>
            <w:gridSpan w:val="2"/>
          </w:tcPr>
          <w:p w14:paraId="3EA15B1F" w14:textId="5DEACD15" w:rsidR="00B8346E" w:rsidRPr="00B8346E" w:rsidRDefault="00B8346E" w:rsidP="00B93410">
            <w:pPr>
              <w:rPr>
                <w:rFonts w:ascii="Aptos" w:hAnsi="Aptos"/>
                <w:bCs/>
                <w:sz w:val="18"/>
                <w:szCs w:val="18"/>
                <w:lang w:val="es-ES"/>
              </w:rPr>
            </w:pPr>
            <w:r w:rsidRPr="00B8346E">
              <w:rPr>
                <w:rFonts w:ascii="Aptos" w:hAnsi="Aptos"/>
                <w:bCs/>
                <w:sz w:val="18"/>
                <w:szCs w:val="18"/>
                <w:lang w:val="es-ES"/>
              </w:rPr>
              <w:t>Figura 99</w:t>
            </w:r>
          </w:p>
        </w:tc>
      </w:tr>
      <w:tr w:rsidR="00B8346E" w:rsidRPr="00B8346E" w14:paraId="79EFAB8C" w14:textId="77777777" w:rsidTr="00B8346E">
        <w:tc>
          <w:tcPr>
            <w:tcW w:w="4922" w:type="dxa"/>
          </w:tcPr>
          <w:p w14:paraId="453952F8" w14:textId="77777777" w:rsidR="00B8346E" w:rsidRPr="00B8346E" w:rsidRDefault="00B8346E" w:rsidP="00B93410">
            <w:pPr>
              <w:rPr>
                <w:rFonts w:ascii="Aptos" w:hAnsi="Aptos"/>
                <w:bCs/>
                <w:sz w:val="18"/>
                <w:szCs w:val="18"/>
                <w:lang w:val="es-ES"/>
              </w:rPr>
            </w:pPr>
            <w:r w:rsidRPr="00B8346E">
              <w:rPr>
                <w:rFonts w:ascii="Aptos" w:hAnsi="Aptos"/>
                <w:bCs/>
                <w:sz w:val="18"/>
                <w:szCs w:val="18"/>
                <w:lang w:val="es-ES"/>
              </w:rPr>
              <w:t xml:space="preserve">English </w:t>
            </w:r>
          </w:p>
        </w:tc>
        <w:tc>
          <w:tcPr>
            <w:tcW w:w="4398" w:type="dxa"/>
          </w:tcPr>
          <w:p w14:paraId="23B1E01E" w14:textId="2ABCE02E" w:rsidR="00B8346E" w:rsidRPr="00B8346E" w:rsidRDefault="00B8346E" w:rsidP="00B93410">
            <w:pPr>
              <w:rPr>
                <w:rFonts w:ascii="Aptos" w:hAnsi="Aptos"/>
                <w:bCs/>
                <w:sz w:val="18"/>
                <w:szCs w:val="18"/>
                <w:lang w:val="es-ES"/>
              </w:rPr>
            </w:pPr>
            <w:r w:rsidRPr="00B8346E">
              <w:rPr>
                <w:rFonts w:ascii="Aptos" w:hAnsi="Aptos"/>
                <w:bCs/>
                <w:sz w:val="18"/>
                <w:szCs w:val="18"/>
                <w:lang w:val="es-ES"/>
              </w:rPr>
              <w:t>Español</w:t>
            </w:r>
          </w:p>
        </w:tc>
      </w:tr>
      <w:tr w:rsidR="00B8346E" w:rsidRPr="00B8346E" w14:paraId="74C3229F" w14:textId="77777777" w:rsidTr="00B8346E">
        <w:tc>
          <w:tcPr>
            <w:tcW w:w="4922" w:type="dxa"/>
          </w:tcPr>
          <w:p w14:paraId="7A951317" w14:textId="77777777" w:rsidR="00B8346E" w:rsidRPr="00B8346E" w:rsidRDefault="00B8346E" w:rsidP="00B93410">
            <w:pPr>
              <w:rPr>
                <w:rFonts w:ascii="Aptos" w:hAnsi="Aptos"/>
                <w:sz w:val="18"/>
                <w:szCs w:val="18"/>
                <w:lang w:val="en-US"/>
              </w:rPr>
            </w:pPr>
            <w:r w:rsidRPr="00B8346E">
              <w:rPr>
                <w:rFonts w:ascii="Aptos" w:hAnsi="Aptos"/>
                <w:sz w:val="18"/>
                <w:szCs w:val="18"/>
                <w:lang w:val="en-US"/>
              </w:rPr>
              <w:t>Share of Parties’ land area</w:t>
            </w:r>
          </w:p>
        </w:tc>
        <w:tc>
          <w:tcPr>
            <w:tcW w:w="4398" w:type="dxa"/>
          </w:tcPr>
          <w:p w14:paraId="62D08675"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Proporción de superficie terrestre de las Partes</w:t>
            </w:r>
          </w:p>
        </w:tc>
      </w:tr>
      <w:tr w:rsidR="00B8346E" w:rsidRPr="00B8346E" w14:paraId="0659DB0C" w14:textId="77777777" w:rsidTr="00B8346E">
        <w:tc>
          <w:tcPr>
            <w:tcW w:w="4922" w:type="dxa"/>
          </w:tcPr>
          <w:p w14:paraId="7D143215"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 xml:space="preserve">Party </w:t>
            </w:r>
            <w:proofErr w:type="spellStart"/>
            <w:r w:rsidRPr="00B8346E">
              <w:rPr>
                <w:rFonts w:ascii="Aptos" w:hAnsi="Aptos"/>
                <w:sz w:val="18"/>
                <w:szCs w:val="18"/>
                <w:lang w:val="es-ES"/>
              </w:rPr>
              <w:t>count</w:t>
            </w:r>
            <w:proofErr w:type="spellEnd"/>
            <w:r w:rsidRPr="00B8346E">
              <w:rPr>
                <w:rFonts w:ascii="Aptos" w:hAnsi="Aptos"/>
                <w:sz w:val="18"/>
                <w:szCs w:val="18"/>
                <w:lang w:val="es-ES"/>
              </w:rPr>
              <w:t>: 46</w:t>
            </w:r>
          </w:p>
        </w:tc>
        <w:tc>
          <w:tcPr>
            <w:tcW w:w="4398" w:type="dxa"/>
          </w:tcPr>
          <w:p w14:paraId="0E344579"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Número de Partes: 46</w:t>
            </w:r>
          </w:p>
        </w:tc>
      </w:tr>
      <w:tr w:rsidR="00B8346E" w:rsidRPr="00B8346E" w14:paraId="0AA368F2" w14:textId="77777777" w:rsidTr="00B8346E">
        <w:tc>
          <w:tcPr>
            <w:tcW w:w="4922" w:type="dxa"/>
          </w:tcPr>
          <w:p w14:paraId="403515A7"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 xml:space="preserve">Party </w:t>
            </w:r>
            <w:proofErr w:type="spellStart"/>
            <w:r w:rsidRPr="00B8346E">
              <w:rPr>
                <w:rFonts w:ascii="Aptos" w:hAnsi="Aptos"/>
                <w:sz w:val="18"/>
                <w:szCs w:val="18"/>
                <w:lang w:val="es-ES"/>
              </w:rPr>
              <w:t>count</w:t>
            </w:r>
            <w:proofErr w:type="spellEnd"/>
            <w:r w:rsidRPr="00B8346E">
              <w:rPr>
                <w:rFonts w:ascii="Aptos" w:hAnsi="Aptos"/>
                <w:sz w:val="18"/>
                <w:szCs w:val="18"/>
                <w:lang w:val="es-ES"/>
              </w:rPr>
              <w:t xml:space="preserve"> </w:t>
            </w:r>
            <w:proofErr w:type="spellStart"/>
            <w:r w:rsidRPr="00B8346E">
              <w:rPr>
                <w:rFonts w:ascii="Aptos" w:hAnsi="Aptos"/>
                <w:sz w:val="18"/>
                <w:szCs w:val="18"/>
                <w:lang w:val="es-ES"/>
              </w:rPr>
              <w:t>by</w:t>
            </w:r>
            <w:proofErr w:type="spellEnd"/>
            <w:r w:rsidRPr="00B8346E">
              <w:rPr>
                <w:rFonts w:ascii="Aptos" w:hAnsi="Aptos"/>
                <w:sz w:val="18"/>
                <w:szCs w:val="18"/>
                <w:lang w:val="es-ES"/>
              </w:rPr>
              <w:t xml:space="preserve"> </w:t>
            </w:r>
            <w:proofErr w:type="spellStart"/>
            <w:r w:rsidRPr="00B8346E">
              <w:rPr>
                <w:rFonts w:ascii="Aptos" w:hAnsi="Aptos"/>
                <w:sz w:val="18"/>
                <w:szCs w:val="18"/>
                <w:lang w:val="es-ES"/>
              </w:rPr>
              <w:t>region</w:t>
            </w:r>
            <w:proofErr w:type="spellEnd"/>
          </w:p>
        </w:tc>
        <w:tc>
          <w:tcPr>
            <w:tcW w:w="4398" w:type="dxa"/>
          </w:tcPr>
          <w:p w14:paraId="6D2DA1C1"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Número de Partes por región</w:t>
            </w:r>
          </w:p>
        </w:tc>
      </w:tr>
      <w:tr w:rsidR="00B8346E" w:rsidRPr="00B8346E" w14:paraId="4732EFBF" w14:textId="77777777" w:rsidTr="00B8346E">
        <w:tc>
          <w:tcPr>
            <w:tcW w:w="4922" w:type="dxa"/>
          </w:tcPr>
          <w:p w14:paraId="39FDBAE5" w14:textId="77777777" w:rsidR="00B8346E" w:rsidRPr="00B8346E" w:rsidRDefault="00B8346E" w:rsidP="00B93410">
            <w:pPr>
              <w:rPr>
                <w:rFonts w:ascii="Aptos" w:hAnsi="Aptos"/>
                <w:sz w:val="18"/>
                <w:szCs w:val="18"/>
                <w:lang w:val="es-ES"/>
              </w:rPr>
            </w:pPr>
            <w:proofErr w:type="spellStart"/>
            <w:r w:rsidRPr="00B8346E">
              <w:rPr>
                <w:rFonts w:ascii="Aptos" w:hAnsi="Aptos"/>
                <w:sz w:val="18"/>
                <w:szCs w:val="18"/>
                <w:lang w:val="es-ES"/>
              </w:rPr>
              <w:t>Region</w:t>
            </w:r>
            <w:proofErr w:type="spellEnd"/>
          </w:p>
        </w:tc>
        <w:tc>
          <w:tcPr>
            <w:tcW w:w="4398" w:type="dxa"/>
          </w:tcPr>
          <w:p w14:paraId="67D3E632"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Región</w:t>
            </w:r>
          </w:p>
        </w:tc>
      </w:tr>
      <w:tr w:rsidR="00B8346E" w:rsidRPr="00B8346E" w14:paraId="40405267" w14:textId="77777777" w:rsidTr="00B8346E">
        <w:tc>
          <w:tcPr>
            <w:tcW w:w="4922" w:type="dxa"/>
          </w:tcPr>
          <w:p w14:paraId="082440B1"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African States</w:t>
            </w:r>
          </w:p>
        </w:tc>
        <w:tc>
          <w:tcPr>
            <w:tcW w:w="4398" w:type="dxa"/>
          </w:tcPr>
          <w:p w14:paraId="791F48FF"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Estados de África</w:t>
            </w:r>
          </w:p>
        </w:tc>
      </w:tr>
      <w:tr w:rsidR="00B8346E" w:rsidRPr="00B8346E" w14:paraId="0273C0BF" w14:textId="77777777" w:rsidTr="00B8346E">
        <w:tc>
          <w:tcPr>
            <w:tcW w:w="4922" w:type="dxa"/>
          </w:tcPr>
          <w:p w14:paraId="7EA60551"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Asia-Pacific States</w:t>
            </w:r>
          </w:p>
        </w:tc>
        <w:tc>
          <w:tcPr>
            <w:tcW w:w="4398" w:type="dxa"/>
          </w:tcPr>
          <w:p w14:paraId="51D56440"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Estados de Asia y el Pacífico</w:t>
            </w:r>
          </w:p>
        </w:tc>
      </w:tr>
      <w:tr w:rsidR="00B8346E" w:rsidRPr="00B8346E" w14:paraId="73168A08" w14:textId="77777777" w:rsidTr="00B8346E">
        <w:tc>
          <w:tcPr>
            <w:tcW w:w="4922" w:type="dxa"/>
          </w:tcPr>
          <w:p w14:paraId="2DB61C88" w14:textId="77777777" w:rsidR="00B8346E" w:rsidRPr="00B8346E" w:rsidRDefault="00B8346E" w:rsidP="00B93410">
            <w:pPr>
              <w:rPr>
                <w:rFonts w:ascii="Aptos" w:hAnsi="Aptos"/>
                <w:sz w:val="18"/>
                <w:szCs w:val="18"/>
                <w:lang w:val="en-US"/>
              </w:rPr>
            </w:pPr>
            <w:r w:rsidRPr="00B8346E">
              <w:rPr>
                <w:rFonts w:ascii="Aptos" w:hAnsi="Aptos"/>
                <w:sz w:val="18"/>
                <w:szCs w:val="18"/>
                <w:lang w:val="en-US"/>
              </w:rPr>
              <w:t>Latin American and Caribbean States</w:t>
            </w:r>
          </w:p>
        </w:tc>
        <w:tc>
          <w:tcPr>
            <w:tcW w:w="4398" w:type="dxa"/>
          </w:tcPr>
          <w:p w14:paraId="44079CC8"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Estados de América Latina y el Caribe</w:t>
            </w:r>
          </w:p>
        </w:tc>
      </w:tr>
      <w:tr w:rsidR="00B8346E" w:rsidRPr="00B8346E" w14:paraId="00586564" w14:textId="77777777" w:rsidTr="00B8346E">
        <w:tc>
          <w:tcPr>
            <w:tcW w:w="4922" w:type="dxa"/>
          </w:tcPr>
          <w:p w14:paraId="42BA4BE4"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Eastern European States</w:t>
            </w:r>
          </w:p>
        </w:tc>
        <w:tc>
          <w:tcPr>
            <w:tcW w:w="4398" w:type="dxa"/>
          </w:tcPr>
          <w:p w14:paraId="02CFFE38"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Estados de Europa Oriental</w:t>
            </w:r>
          </w:p>
        </w:tc>
      </w:tr>
      <w:tr w:rsidR="00B8346E" w:rsidRPr="00B8346E" w14:paraId="443C2759" w14:textId="77777777" w:rsidTr="00B8346E">
        <w:tc>
          <w:tcPr>
            <w:tcW w:w="4922" w:type="dxa"/>
          </w:tcPr>
          <w:p w14:paraId="5A3665E6" w14:textId="77777777" w:rsidR="00B8346E" w:rsidRPr="00B8346E" w:rsidRDefault="00B8346E" w:rsidP="00B93410">
            <w:pPr>
              <w:rPr>
                <w:rFonts w:ascii="Aptos" w:hAnsi="Aptos"/>
                <w:sz w:val="18"/>
                <w:szCs w:val="18"/>
                <w:lang w:val="en-US"/>
              </w:rPr>
            </w:pPr>
            <w:r w:rsidRPr="00B8346E">
              <w:rPr>
                <w:rFonts w:ascii="Aptos" w:hAnsi="Aptos"/>
                <w:sz w:val="18"/>
                <w:szCs w:val="18"/>
                <w:lang w:val="en-US"/>
              </w:rPr>
              <w:lastRenderedPageBreak/>
              <w:t>Western European and other States</w:t>
            </w:r>
          </w:p>
        </w:tc>
        <w:tc>
          <w:tcPr>
            <w:tcW w:w="4398" w:type="dxa"/>
          </w:tcPr>
          <w:p w14:paraId="22D0EDB6" w14:textId="77777777" w:rsidR="00B8346E" w:rsidRPr="00B8346E" w:rsidRDefault="00B8346E" w:rsidP="00B93410">
            <w:pPr>
              <w:rPr>
                <w:rFonts w:ascii="Aptos" w:hAnsi="Aptos"/>
                <w:sz w:val="18"/>
                <w:szCs w:val="18"/>
                <w:lang w:val="es-ES"/>
              </w:rPr>
            </w:pPr>
            <w:r w:rsidRPr="00B8346E">
              <w:rPr>
                <w:rFonts w:ascii="Aptos" w:hAnsi="Aptos"/>
                <w:sz w:val="18"/>
                <w:szCs w:val="18"/>
                <w:lang w:val="es-ES"/>
              </w:rPr>
              <w:t>Estados de Europa Occidental y otros Estados</w:t>
            </w:r>
          </w:p>
        </w:tc>
      </w:tr>
    </w:tbl>
    <w:p w14:paraId="01195F2A"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45648A33"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80" w:name="_Toc235446513"/>
      <w:bookmarkStart w:id="581" w:name="_Toc235821346"/>
      <w:r w:rsidRPr="005E3D50">
        <w:rPr>
          <w:rFonts w:eastAsiaTheme="majorEastAsia" w:cstheme="majorBidi"/>
          <w:color w:val="0F4761" w:themeColor="accent1" w:themeShade="BF"/>
          <w:lang w:val="es-ES"/>
        </w:rPr>
        <w:t xml:space="preserve">Resumen de las medidas adoptadas para promover los progresos hacia la consecución </w:t>
      </w:r>
      <w:bookmarkEnd w:id="580"/>
      <w:bookmarkEnd w:id="581"/>
      <w:r w:rsidRPr="005E3D50">
        <w:rPr>
          <w:rFonts w:eastAsiaTheme="majorEastAsia" w:cstheme="majorBidi"/>
          <w:color w:val="0F4761" w:themeColor="accent1" w:themeShade="BF"/>
          <w:lang w:val="es-ES"/>
        </w:rPr>
        <w:t>del Objetivo A</w:t>
      </w:r>
    </w:p>
    <w:p w14:paraId="3D16AC5B" w14:textId="77777777" w:rsidR="008F15F1" w:rsidRPr="005E3D50" w:rsidRDefault="008F15F1" w:rsidP="008F15F1">
      <w:pPr>
        <w:spacing w:before="240" w:after="240"/>
        <w:rPr>
          <w:lang w:val="es-ES"/>
        </w:rPr>
      </w:pPr>
      <w:r w:rsidRPr="005E3D50">
        <w:rPr>
          <w:lang w:val="es-ES"/>
        </w:rPr>
        <w:t xml:space="preserve">Muchas de las medidas adoptadas para lograr progresos hacia la consecución del Objetivo A destacadas por las Partes en sus informes nacionales se centran en la puesta en práctica de las metas pertinentes sobre el terreno. Esas medidas apuntan específicamente a aumentar la cobertura de las áreas protegidas y otras medidas de conservación eficaces basadas en áreas, especialmente para ecosistemas importantes y sitios de particular importancia para la biodiversidad; ampliar los esfuerzos de restauración; detener la deforestación; y controlar o erradicar las especies exóticas invasoras. Esas medidas, si bien ya se están aplicando en muchos países, como se señala en los resúmenes de las metas pertinentes en la sección II.B, resultan insuficientes en cuanto a su escala y ritmo de implementación y, a menudo, no incorporan el reconocimiento de la utilización sostenible, la conectividad, la conservación basada en derechos y de base comunitaria, los territorios indígenas y tradicionales, y la necesidad de contar con medios de implementación adecuados, de conformidad con las circunstancias nacionales. Las Partes han destacado la necesidad de aplicar reformas jurídicas y normativas y de mejorar el seguimiento, la necesidad de abordar los impulsores directos de la pérdida de diversidad biológica y la necesidad de contar con medios de implementación. </w:t>
      </w:r>
      <w:r w:rsidRPr="005E3D50">
        <w:rPr>
          <w:rFonts w:ascii="Aptos" w:hAnsi="Aptos"/>
          <w:lang w:val="es-ES"/>
        </w:rPr>
        <w:t xml:space="preserve">Para subsanar las deficiencias en los progresos colectivos será necesario abordar sus causas subyacentes, entre otras aquellas relacionadas con la voluntad política y la ambición, la implementación, los medios de implementación, la gobernanza ambiental y la coherencia de las políticas y la participación de toda la sociedad, así como con los datos y los conocimientos. </w:t>
      </w:r>
      <w:r w:rsidRPr="005E3D50">
        <w:rPr>
          <w:lang w:val="es-ES"/>
        </w:rPr>
        <w:t xml:space="preserve">Sobre la base de las metas relacionadas con el Objetivo A, a fin de lograr progresos en su consecución, se requerirá una acción coherente en relación con la mayoría de las metas del Marco. </w:t>
      </w:r>
    </w:p>
    <w:p w14:paraId="29DEFE98" w14:textId="77777777" w:rsidR="008F15F1" w:rsidRPr="005E3D50" w:rsidRDefault="008F15F1" w:rsidP="008F15F1">
      <w:pPr>
        <w:spacing w:before="240" w:after="240"/>
        <w:rPr>
          <w:lang w:val="es-ES"/>
        </w:rPr>
      </w:pPr>
    </w:p>
    <w:p w14:paraId="6AD9D765" w14:textId="77777777" w:rsidR="008F15F1" w:rsidRPr="005E3D50" w:rsidRDefault="008F15F1" w:rsidP="008F15F1">
      <w:pPr>
        <w:keepNext/>
        <w:keepLines/>
        <w:spacing w:before="80" w:after="40"/>
        <w:outlineLvl w:val="3"/>
        <w:rPr>
          <w:rFonts w:eastAsiaTheme="majorEastAsia" w:cstheme="majorBidi"/>
          <w:color w:val="0F4761" w:themeColor="accent1" w:themeShade="BF"/>
          <w:lang w:val="es-ES"/>
        </w:rPr>
      </w:pPr>
      <w:bookmarkStart w:id="582" w:name="_Toc235821347"/>
      <w:bookmarkStart w:id="583" w:name="_Toc239069222"/>
      <w:bookmarkStart w:id="584" w:name="_Toc241035081"/>
      <w:bookmarkStart w:id="585" w:name="_Toc242883000"/>
      <w:r w:rsidRPr="005E3D50">
        <w:rPr>
          <w:rFonts w:eastAsiaTheme="majorEastAsia" w:cstheme="majorBidi"/>
          <w:b/>
          <w:iCs/>
          <w:color w:val="0F4761" w:themeColor="accent1" w:themeShade="BF"/>
          <w:lang w:val="es-ES"/>
        </w:rPr>
        <w:t>Objetivo B.</w:t>
      </w:r>
      <w:r w:rsidRPr="005E3D50">
        <w:rPr>
          <w:rFonts w:eastAsiaTheme="majorEastAsia" w:cstheme="majorBidi"/>
          <w:iCs/>
          <w:color w:val="0F4761" w:themeColor="accent1" w:themeShade="BF"/>
          <w:lang w:val="es-ES"/>
        </w:rPr>
        <w:t xml:space="preserve"> Prosperar con la naturaleza</w:t>
      </w:r>
      <w:bookmarkEnd w:id="582"/>
      <w:bookmarkEnd w:id="583"/>
      <w:bookmarkEnd w:id="584"/>
      <w:bookmarkEnd w:id="585"/>
    </w:p>
    <w:p w14:paraId="42293726" w14:textId="77777777" w:rsidR="008F15F1" w:rsidRPr="005E3D50" w:rsidRDefault="008F15F1" w:rsidP="008F15F1">
      <w:pPr>
        <w:rPr>
          <w:lang w:val="es-ES"/>
        </w:rPr>
      </w:pPr>
    </w:p>
    <w:p w14:paraId="42359794" w14:textId="77777777" w:rsidR="008F15F1" w:rsidRPr="005E3D50" w:rsidRDefault="008F15F1" w:rsidP="008F15F1">
      <w:pPr>
        <w:rPr>
          <w:b/>
          <w:bCs/>
          <w:i/>
          <w:iCs/>
          <w:sz w:val="22"/>
          <w:szCs w:val="22"/>
          <w:lang w:val="es-ES"/>
        </w:rPr>
      </w:pPr>
      <w:r w:rsidRPr="005E3D50">
        <w:rPr>
          <w:b/>
          <w:sz w:val="22"/>
          <w:lang w:val="es-ES"/>
        </w:rPr>
        <w:t>Texto del objetivo.</w:t>
      </w:r>
      <w:r w:rsidRPr="005E3D50">
        <w:rPr>
          <w:b/>
          <w:i/>
          <w:sz w:val="22"/>
          <w:lang w:val="es-ES"/>
        </w:rPr>
        <w:t xml:space="preserve"> </w:t>
      </w:r>
      <w:r w:rsidRPr="005E3D50">
        <w:rPr>
          <w:rFonts w:ascii="Aptos" w:hAnsi="Aptos"/>
          <w:i/>
          <w:color w:val="000000"/>
          <w:sz w:val="22"/>
          <w:shd w:val="clear" w:color="auto" w:fill="FFFFFF"/>
          <w:lang w:val="es-ES"/>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p w14:paraId="1D04DC63" w14:textId="77777777" w:rsidR="008F15F1" w:rsidRPr="005E3D50" w:rsidRDefault="008F15F1" w:rsidP="008F15F1">
      <w:pPr>
        <w:rPr>
          <w:lang w:val="es-ES"/>
        </w:rPr>
      </w:pPr>
    </w:p>
    <w:p w14:paraId="5E8790B7"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86" w:name="_Toc235821348"/>
      <w:r w:rsidRPr="005E3D50">
        <w:rPr>
          <w:rFonts w:eastAsiaTheme="majorEastAsia" w:cstheme="majorBidi"/>
          <w:color w:val="0F4761" w:themeColor="accent1" w:themeShade="BF"/>
          <w:lang w:val="es-ES"/>
        </w:rPr>
        <w:t>Panorama general del objetivo</w:t>
      </w:r>
      <w:bookmarkEnd w:id="586"/>
    </w:p>
    <w:tbl>
      <w:tblPr>
        <w:tblStyle w:val="TableGrid1"/>
        <w:tblW w:w="0" w:type="auto"/>
        <w:tblLook w:val="04A0" w:firstRow="1" w:lastRow="0" w:firstColumn="1" w:lastColumn="0" w:noHBand="0" w:noVBand="1"/>
      </w:tblPr>
      <w:tblGrid>
        <w:gridCol w:w="9016"/>
      </w:tblGrid>
      <w:tr w:rsidR="008F15F1" w:rsidRPr="005E3D50" w14:paraId="387DE144" w14:textId="77777777" w:rsidTr="006E6831">
        <w:tc>
          <w:tcPr>
            <w:tcW w:w="9016" w:type="dxa"/>
            <w:shd w:val="clear" w:color="auto" w:fill="D1D1D1" w:themeFill="background2" w:themeFillShade="E6"/>
          </w:tcPr>
          <w:p w14:paraId="11C792A7" w14:textId="77777777" w:rsidR="008F15F1" w:rsidRPr="005E3D50" w:rsidRDefault="008F15F1" w:rsidP="008F15F1">
            <w:pPr>
              <w:rPr>
                <w:rFonts w:eastAsia="Aptos"/>
              </w:rPr>
            </w:pPr>
          </w:p>
          <w:p w14:paraId="3051BFCD" w14:textId="77777777" w:rsidR="008F15F1" w:rsidRPr="005E3D50" w:rsidRDefault="008F15F1" w:rsidP="008F15F1">
            <w:pPr>
              <w:rPr>
                <w:rFonts w:eastAsia="Aptos"/>
              </w:rPr>
            </w:pPr>
            <w:r w:rsidRPr="005E3D50">
              <w:t>De las 23 metas del Marco, las Partes relacionaron 19 metas con el Objetivo B, un número mayor que para cualquier otro objetivo. Los progresos hacia la consecución del Objetivo B dependen en gran medida, por lo tanto, de la acción coordinada en lo que respecta a la mayor parte del Marco. Como se muestra en la sección II.B, los progresos colectivos en relación con todo el Marco son dispares y se requiere una acción coordinada para abordar los impulsores tanto directos como indirectos del cambio en la biodiversidad y, de ese modo, mantener, mejorar y restaurar las contribuciones de la naturaleza a las generaciones presentes y futuras.</w:t>
            </w:r>
          </w:p>
          <w:p w14:paraId="4B37D89D" w14:textId="77777777" w:rsidR="008F15F1" w:rsidRPr="005E3D50" w:rsidRDefault="008F15F1" w:rsidP="008F15F1">
            <w:pPr>
              <w:rPr>
                <w:rFonts w:eastAsia="Aptos"/>
              </w:rPr>
            </w:pPr>
          </w:p>
        </w:tc>
      </w:tr>
    </w:tbl>
    <w:p w14:paraId="5037CC90" w14:textId="77777777" w:rsidR="008F15F1" w:rsidRPr="005E3D50" w:rsidRDefault="008F15F1" w:rsidP="008F15F1">
      <w:pPr>
        <w:rPr>
          <w:b/>
          <w:bCs/>
          <w:i/>
          <w:iCs/>
          <w:sz w:val="22"/>
          <w:szCs w:val="22"/>
          <w:lang w:val="es-ES"/>
        </w:rPr>
      </w:pPr>
    </w:p>
    <w:p w14:paraId="07AF8882"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4148EAF"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87" w:name="_Toc235821349"/>
      <w:r w:rsidRPr="005E3D50">
        <w:rPr>
          <w:rFonts w:eastAsiaTheme="majorEastAsia" w:cstheme="majorBidi"/>
          <w:color w:val="0F4761" w:themeColor="accent1" w:themeShade="BF"/>
          <w:lang w:val="es-ES"/>
        </w:rPr>
        <w:t>Progresos en las metas relacionadas</w:t>
      </w:r>
      <w:bookmarkEnd w:id="587"/>
    </w:p>
    <w:p w14:paraId="53B2B6E6" w14:textId="77777777" w:rsidR="008F15F1" w:rsidRPr="005E3D50" w:rsidRDefault="008F15F1" w:rsidP="008F15F1">
      <w:pPr>
        <w:rPr>
          <w:lang w:val="es-ES"/>
        </w:rPr>
      </w:pPr>
    </w:p>
    <w:p w14:paraId="0A1F81FB" w14:textId="77777777" w:rsidR="008F15F1" w:rsidRPr="005E3D50" w:rsidRDefault="008F15F1" w:rsidP="008F15F1">
      <w:pPr>
        <w:rPr>
          <w:lang w:val="es-ES"/>
        </w:rPr>
      </w:pPr>
      <w:r w:rsidRPr="005E3D50">
        <w:rPr>
          <w:lang w:val="es-ES"/>
        </w:rPr>
        <w:t xml:space="preserve">Mediante el uso del método descrito anteriormente, 19 metas del Marco se relacionaron con el Objetivo B, un número mayor que para cualquier otro objetivo (véase la figura 100). Cuatro de las cinco metas comprendidas en el epígrafe “Satisfacer las necesidades de las personas mediante la utilización sostenible y la participación en los beneficios” (metas 9 a 12) se relacionaron más estrechamente con el Objetivo B que con cualquier otro objetivo (véase la figura 95). Además, seis de las ocho metas comprendidas en el epígrafe “Reducir las amenazas a la biodiversidad” y casi todas las metas comprendidas en el epígrafe “Herramientas y soluciones para la implementación y la integración”, con excepción de la meta 19, se relacionaron con el Objetivo B. </w:t>
      </w:r>
    </w:p>
    <w:p w14:paraId="75CA274A" w14:textId="77777777" w:rsidR="008F15F1" w:rsidRPr="005E3D50" w:rsidRDefault="008F15F1" w:rsidP="008F15F1">
      <w:pPr>
        <w:rPr>
          <w:color w:val="000000" w:themeColor="text1"/>
          <w:lang w:val="es-ES"/>
        </w:rPr>
      </w:pPr>
      <w:r w:rsidRPr="005E3D50">
        <w:rPr>
          <w:lang w:val="es-ES"/>
        </w:rPr>
        <w:t xml:space="preserve">Para cada una de las 19 metas relacionadas con el Objetivo B, la tendencia media se resume utilizando las tendencias de los indicadores que se presentan en la sección II.B (véase la figura 101). Dos de las metas más frecuentemente relacionadas con el Objetivo B (metas 11 y 16) tienen muchos más indicadores que muestran indicios de mejora que indicios de deterioro. Por el contrario, tres metas relacionadas con el Objetivo B (metas 17, 22 y 23) tienen más indicadores que muestran indicios de deterioro que indicios de mejora. En el conjunto de todas las metas relacionadas, el 31 % de los indicadores muestra mejoras, el 53 % está estable y el 16 % está alejándose de la meta. Esos resultados preliminares sugieren una tendencia en general mixta y mayormente estática de progresos hacia la consecución del Objetivo B, observándose tanto progresos como deterioro con respecto a las metas relacionadas con los impulsores directos e indirectos del cambio en la biodiversidad. </w:t>
      </w:r>
      <w:r w:rsidRPr="005E3D50">
        <w:rPr>
          <w:color w:val="000000" w:themeColor="text1"/>
          <w:lang w:val="es-ES"/>
        </w:rPr>
        <w:t xml:space="preserve">Sin embargo, dado que la mayoría de estos indicadores no fueron </w:t>
      </w:r>
      <w:r w:rsidRPr="005E3D50">
        <w:rPr>
          <w:color w:val="000000" w:themeColor="text1"/>
          <w:lang w:val="es-ES"/>
        </w:rPr>
        <w:lastRenderedPageBreak/>
        <w:t>concebidos para hacer un seguimiento de los progresos hacia la consecución del Objetivo B y no son equivalentes en cuanto a las escalas, los períodos y las variables que registran, la tendencia general debería considerarse solo una imagen indicativa, indirecta e imperfecta de los progresos hacia la consecución del objetivo para 2050.</w:t>
      </w:r>
    </w:p>
    <w:p w14:paraId="6752290F" w14:textId="77777777" w:rsidR="008F15F1" w:rsidRPr="005E3D50" w:rsidRDefault="008F15F1" w:rsidP="008F15F1">
      <w:pPr>
        <w:rPr>
          <w:lang w:val="es-ES"/>
        </w:rPr>
      </w:pPr>
    </w:p>
    <w:p w14:paraId="55FE02EF" w14:textId="77777777" w:rsidR="008F15F1" w:rsidRPr="005E3D50" w:rsidRDefault="008F15F1" w:rsidP="008F15F1">
      <w:pPr>
        <w:rPr>
          <w:sz w:val="20"/>
          <w:szCs w:val="20"/>
          <w:lang w:val="es-ES"/>
        </w:rPr>
      </w:pPr>
      <w:bookmarkStart w:id="588" w:name="_Ref230635998"/>
      <w:r w:rsidRPr="005E3D50">
        <w:rPr>
          <w:sz w:val="20"/>
          <w:lang w:val="es-ES"/>
        </w:rPr>
        <w:t>Figura 100</w:t>
      </w:r>
      <w:bookmarkEnd w:id="588"/>
    </w:p>
    <w:p w14:paraId="0CC3668A"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b/>
          <w:iCs/>
          <w:color w:val="0E2841" w:themeColor="text2"/>
          <w:kern w:val="0"/>
          <w:sz w:val="18"/>
          <w:szCs w:val="18"/>
          <w:lang w:val="es-ES" w:eastAsia="ja-JP"/>
          <w14:ligatures w14:val="none"/>
        </w:rPr>
        <w:t>Metas del Marco relacionadas con el Objetivo B en las metas nacionales presentadas por las Partes</w:t>
      </w:r>
      <w:r w:rsidRPr="005E3D50">
        <w:rPr>
          <w:rFonts w:eastAsiaTheme="minorEastAsia"/>
          <w:iCs/>
          <w:color w:val="0E2841" w:themeColor="text2"/>
          <w:kern w:val="0"/>
          <w:sz w:val="18"/>
          <w:szCs w:val="18"/>
          <w:lang w:val="es-ES" w:eastAsia="ja-JP"/>
          <w14:ligatures w14:val="none"/>
        </w:rPr>
        <w:t xml:space="preserve"> </w:t>
      </w:r>
    </w:p>
    <w:p w14:paraId="3F417C32" w14:textId="77777777" w:rsidR="008F15F1" w:rsidRPr="005E3D50" w:rsidRDefault="008F15F1" w:rsidP="008F15F1">
      <w:pPr>
        <w:rPr>
          <w:sz w:val="20"/>
          <w:szCs w:val="20"/>
          <w:lang w:val="es-ES"/>
        </w:rPr>
      </w:pPr>
    </w:p>
    <w:p w14:paraId="4E466F9E" w14:textId="77777777" w:rsidR="008F15F1" w:rsidRPr="005E3D50" w:rsidRDefault="008F15F1" w:rsidP="008F15F1">
      <w:pPr>
        <w:rPr>
          <w:lang w:val="es-ES"/>
        </w:rPr>
      </w:pPr>
      <w:r w:rsidRPr="005E3D50">
        <w:rPr>
          <w:noProof/>
          <w:lang w:val="en-US"/>
        </w:rPr>
        <w:drawing>
          <wp:inline distT="0" distB="0" distL="0" distR="0" wp14:anchorId="497AB490" wp14:editId="6D06FDBA">
            <wp:extent cx="3921378" cy="5067656"/>
            <wp:effectExtent l="0" t="0" r="3175" b="0"/>
            <wp:docPr id="1109129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9042" name="Picture 1109129042"/>
                    <pic:cNvPicPr/>
                  </pic:nvPicPr>
                  <pic:blipFill rotWithShape="1">
                    <a:blip r:embed="rId226" cstate="print">
                      <a:extLst>
                        <a:ext uri="{28A0092B-C50C-407E-A947-70E740481C1C}">
                          <a14:useLocalDpi xmlns:a14="http://schemas.microsoft.com/office/drawing/2010/main" val="0"/>
                        </a:ext>
                      </a:extLst>
                    </a:blip>
                    <a:srcRect t="15644" b="15435"/>
                    <a:stretch>
                      <a:fillRect/>
                    </a:stretch>
                  </pic:blipFill>
                  <pic:spPr bwMode="auto">
                    <a:xfrm>
                      <a:off x="0" y="0"/>
                      <a:ext cx="3951257" cy="5106270"/>
                    </a:xfrm>
                    <a:prstGeom prst="rect">
                      <a:avLst/>
                    </a:prstGeom>
                    <a:ln>
                      <a:noFill/>
                    </a:ln>
                    <a:extLst>
                      <a:ext uri="{53640926-AAD7-44D8-BBD7-CCE9431645EC}">
                        <a14:shadowObscured xmlns:a14="http://schemas.microsoft.com/office/drawing/2010/main"/>
                      </a:ext>
                    </a:extLst>
                  </pic:spPr>
                </pic:pic>
              </a:graphicData>
            </a:graphic>
          </wp:inline>
        </w:drawing>
      </w:r>
    </w:p>
    <w:p w14:paraId="7F34D7FC"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Se establece un vínculo entre una meta y el objetivo si al menos un tercio de todas las metas nacionales establecidas por las Partes de cualquier grupo regional de Estados Miembros de las Naciones Unidas relacionaron una meta con el objetivo. Los colores empleados destacan cada meta de acuerdo con las directrices oficiales de marca del Marco y no tienen ningún significado adicional.</w:t>
      </w:r>
    </w:p>
    <w:tbl>
      <w:tblPr>
        <w:tblStyle w:val="TableGrid"/>
        <w:tblW w:w="9384" w:type="dxa"/>
        <w:tblLook w:val="04A0" w:firstRow="1" w:lastRow="0" w:firstColumn="1" w:lastColumn="0" w:noHBand="0" w:noVBand="1"/>
      </w:tblPr>
      <w:tblGrid>
        <w:gridCol w:w="4226"/>
        <w:gridCol w:w="5158"/>
      </w:tblGrid>
      <w:tr w:rsidR="00B17A0A" w:rsidRPr="00B17A0A" w14:paraId="03FC250A" w14:textId="77777777" w:rsidTr="00B17A0A">
        <w:tc>
          <w:tcPr>
            <w:tcW w:w="9384" w:type="dxa"/>
            <w:gridSpan w:val="2"/>
          </w:tcPr>
          <w:p w14:paraId="5B9BD30B" w14:textId="02132634" w:rsidR="00B17A0A" w:rsidRPr="00B17A0A" w:rsidRDefault="00B17A0A" w:rsidP="00B17A0A">
            <w:pPr>
              <w:rPr>
                <w:rFonts w:ascii="Aptos" w:hAnsi="Aptos"/>
                <w:bCs/>
                <w:sz w:val="18"/>
                <w:szCs w:val="18"/>
                <w:lang w:val="es-ES"/>
              </w:rPr>
            </w:pPr>
            <w:r w:rsidRPr="00B17A0A">
              <w:rPr>
                <w:rFonts w:ascii="Aptos" w:hAnsi="Aptos"/>
                <w:bCs/>
                <w:sz w:val="18"/>
                <w:szCs w:val="18"/>
                <w:lang w:val="es-ES"/>
              </w:rPr>
              <w:t>Figura 100</w:t>
            </w:r>
          </w:p>
        </w:tc>
      </w:tr>
      <w:tr w:rsidR="00B17A0A" w:rsidRPr="00B17A0A" w14:paraId="51F9C5BC" w14:textId="77777777" w:rsidTr="00B17A0A">
        <w:tc>
          <w:tcPr>
            <w:tcW w:w="4226" w:type="dxa"/>
          </w:tcPr>
          <w:p w14:paraId="0530A869" w14:textId="77777777" w:rsidR="00B17A0A" w:rsidRPr="00B17A0A" w:rsidRDefault="00B17A0A" w:rsidP="00B17A0A">
            <w:pPr>
              <w:rPr>
                <w:rFonts w:ascii="Aptos" w:hAnsi="Aptos"/>
                <w:bCs/>
                <w:sz w:val="18"/>
                <w:szCs w:val="18"/>
                <w:lang w:val="es-ES"/>
              </w:rPr>
            </w:pPr>
            <w:r w:rsidRPr="00B17A0A">
              <w:rPr>
                <w:rFonts w:ascii="Aptos" w:hAnsi="Aptos"/>
                <w:bCs/>
                <w:sz w:val="18"/>
                <w:szCs w:val="18"/>
                <w:lang w:val="es-ES"/>
              </w:rPr>
              <w:lastRenderedPageBreak/>
              <w:t xml:space="preserve">English </w:t>
            </w:r>
          </w:p>
        </w:tc>
        <w:tc>
          <w:tcPr>
            <w:tcW w:w="5157" w:type="dxa"/>
          </w:tcPr>
          <w:p w14:paraId="3964255A" w14:textId="73AE576F" w:rsidR="00B17A0A" w:rsidRPr="00B17A0A" w:rsidRDefault="00B17A0A" w:rsidP="00B17A0A">
            <w:pPr>
              <w:rPr>
                <w:rFonts w:ascii="Aptos" w:hAnsi="Aptos"/>
                <w:bCs/>
                <w:sz w:val="18"/>
                <w:szCs w:val="18"/>
                <w:lang w:val="es-ES"/>
              </w:rPr>
            </w:pPr>
            <w:r w:rsidRPr="00B17A0A">
              <w:rPr>
                <w:rFonts w:ascii="Aptos" w:hAnsi="Aptos"/>
                <w:bCs/>
                <w:sz w:val="18"/>
                <w:szCs w:val="18"/>
                <w:lang w:val="es-ES"/>
              </w:rPr>
              <w:t>Español</w:t>
            </w:r>
          </w:p>
        </w:tc>
      </w:tr>
      <w:tr w:rsidR="00B17A0A" w:rsidRPr="00B17A0A" w14:paraId="5AAC53BA" w14:textId="77777777" w:rsidTr="00B17A0A">
        <w:tc>
          <w:tcPr>
            <w:tcW w:w="4226" w:type="dxa"/>
          </w:tcPr>
          <w:p w14:paraId="7623A78B" w14:textId="77777777" w:rsidR="00B17A0A" w:rsidRPr="00B17A0A" w:rsidRDefault="00B17A0A" w:rsidP="00B17A0A">
            <w:pPr>
              <w:rPr>
                <w:rFonts w:ascii="Aptos" w:hAnsi="Aptos"/>
                <w:sz w:val="18"/>
                <w:szCs w:val="18"/>
                <w:lang w:val="es-ES"/>
              </w:rPr>
            </w:pPr>
            <w:proofErr w:type="spellStart"/>
            <w:r w:rsidRPr="00B17A0A">
              <w:rPr>
                <w:rFonts w:ascii="Aptos" w:hAnsi="Aptos"/>
                <w:sz w:val="18"/>
                <w:szCs w:val="18"/>
                <w:lang w:val="es-ES"/>
              </w:rPr>
              <w:t>Goal</w:t>
            </w:r>
            <w:proofErr w:type="spellEnd"/>
            <w:r w:rsidRPr="00B17A0A">
              <w:rPr>
                <w:rFonts w:ascii="Aptos" w:hAnsi="Aptos"/>
                <w:sz w:val="18"/>
                <w:szCs w:val="18"/>
                <w:lang w:val="es-ES"/>
              </w:rPr>
              <w:t xml:space="preserve"> B</w:t>
            </w:r>
          </w:p>
        </w:tc>
        <w:tc>
          <w:tcPr>
            <w:tcW w:w="5157" w:type="dxa"/>
          </w:tcPr>
          <w:p w14:paraId="6EDE2131"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Objetivo B</w:t>
            </w:r>
          </w:p>
        </w:tc>
      </w:tr>
      <w:tr w:rsidR="00B17A0A" w:rsidRPr="00B17A0A" w14:paraId="1BED7A1B" w14:textId="77777777" w:rsidTr="00B17A0A">
        <w:tc>
          <w:tcPr>
            <w:tcW w:w="4226" w:type="dxa"/>
          </w:tcPr>
          <w:p w14:paraId="2014FB63"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T1: Plan and manage all areas</w:t>
            </w:r>
          </w:p>
        </w:tc>
        <w:tc>
          <w:tcPr>
            <w:tcW w:w="5157" w:type="dxa"/>
          </w:tcPr>
          <w:p w14:paraId="65A8E887"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 Planificar y gestionar todas las zonas</w:t>
            </w:r>
          </w:p>
        </w:tc>
      </w:tr>
      <w:tr w:rsidR="00B17A0A" w:rsidRPr="00B17A0A" w14:paraId="361CBCC3" w14:textId="77777777" w:rsidTr="00B17A0A">
        <w:tc>
          <w:tcPr>
            <w:tcW w:w="4226" w:type="dxa"/>
          </w:tcPr>
          <w:p w14:paraId="00722957"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T2: </w:t>
            </w:r>
            <w:proofErr w:type="spellStart"/>
            <w:r w:rsidRPr="00B17A0A">
              <w:rPr>
                <w:rFonts w:ascii="Aptos" w:hAnsi="Aptos"/>
                <w:sz w:val="18"/>
                <w:szCs w:val="18"/>
                <w:lang w:val="es-ES"/>
              </w:rPr>
              <w:t>Restore</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degraded</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ecosystems</w:t>
            </w:r>
            <w:proofErr w:type="spellEnd"/>
          </w:p>
        </w:tc>
        <w:tc>
          <w:tcPr>
            <w:tcW w:w="5157" w:type="dxa"/>
          </w:tcPr>
          <w:p w14:paraId="049A7F92"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M2: Restaurar los ecosistemas degradados</w:t>
            </w:r>
          </w:p>
        </w:tc>
      </w:tr>
      <w:tr w:rsidR="00B17A0A" w:rsidRPr="00B17A0A" w14:paraId="13363FDB" w14:textId="77777777" w:rsidTr="00B17A0A">
        <w:tc>
          <w:tcPr>
            <w:tcW w:w="4226" w:type="dxa"/>
          </w:tcPr>
          <w:p w14:paraId="07824B93"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T5: Sustainable harvest and trade</w:t>
            </w:r>
          </w:p>
        </w:tc>
        <w:tc>
          <w:tcPr>
            <w:tcW w:w="5157" w:type="dxa"/>
          </w:tcPr>
          <w:p w14:paraId="78FCBEF2"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M5: Recolección y comercio sostenibles</w:t>
            </w:r>
          </w:p>
        </w:tc>
      </w:tr>
      <w:tr w:rsidR="00B17A0A" w:rsidRPr="00B17A0A" w14:paraId="560979B6" w14:textId="77777777" w:rsidTr="00B17A0A">
        <w:tc>
          <w:tcPr>
            <w:tcW w:w="4226" w:type="dxa"/>
          </w:tcPr>
          <w:p w14:paraId="233C6471"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T6: Reduce introduction of IAS</w:t>
            </w:r>
          </w:p>
        </w:tc>
        <w:tc>
          <w:tcPr>
            <w:tcW w:w="5157" w:type="dxa"/>
          </w:tcPr>
          <w:p w14:paraId="44A055D4"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M6: Reducir la introducción de especies exóticas invasoras</w:t>
            </w:r>
          </w:p>
        </w:tc>
      </w:tr>
      <w:tr w:rsidR="00B17A0A" w:rsidRPr="00B17A0A" w14:paraId="4CA6F2AE" w14:textId="77777777" w:rsidTr="00B17A0A">
        <w:tc>
          <w:tcPr>
            <w:tcW w:w="4226" w:type="dxa"/>
          </w:tcPr>
          <w:p w14:paraId="448F10D6"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T7: Reduce </w:t>
            </w:r>
            <w:proofErr w:type="spellStart"/>
            <w:r w:rsidRPr="00B17A0A">
              <w:rPr>
                <w:rFonts w:ascii="Aptos" w:hAnsi="Aptos"/>
                <w:sz w:val="18"/>
                <w:szCs w:val="18"/>
                <w:lang w:val="es-ES"/>
              </w:rPr>
              <w:t>pollution</w:t>
            </w:r>
            <w:proofErr w:type="spellEnd"/>
          </w:p>
        </w:tc>
        <w:tc>
          <w:tcPr>
            <w:tcW w:w="5157" w:type="dxa"/>
          </w:tcPr>
          <w:p w14:paraId="4EC3E7F8"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M7: Reducir la contaminación</w:t>
            </w:r>
          </w:p>
        </w:tc>
      </w:tr>
      <w:tr w:rsidR="00B17A0A" w:rsidRPr="00B17A0A" w14:paraId="0EED4E2B" w14:textId="77777777" w:rsidTr="00B17A0A">
        <w:tc>
          <w:tcPr>
            <w:tcW w:w="4226" w:type="dxa"/>
          </w:tcPr>
          <w:p w14:paraId="3BB8D208"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T8: Minimize the impacts of climate change</w:t>
            </w:r>
          </w:p>
        </w:tc>
        <w:tc>
          <w:tcPr>
            <w:tcW w:w="5157" w:type="dxa"/>
          </w:tcPr>
          <w:p w14:paraId="6A7B154E"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M8: Minimizar los impactos del cambio climático</w:t>
            </w:r>
          </w:p>
        </w:tc>
      </w:tr>
      <w:tr w:rsidR="00B17A0A" w:rsidRPr="00B17A0A" w14:paraId="7CD00E2F" w14:textId="77777777" w:rsidTr="00B17A0A">
        <w:tc>
          <w:tcPr>
            <w:tcW w:w="4226" w:type="dxa"/>
          </w:tcPr>
          <w:p w14:paraId="40DC92A0"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T9: Manage wild species sustainably</w:t>
            </w:r>
          </w:p>
        </w:tc>
        <w:tc>
          <w:tcPr>
            <w:tcW w:w="5157" w:type="dxa"/>
          </w:tcPr>
          <w:p w14:paraId="254C57C6"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M9: Gestionar las especies silvestres sosteniblemente</w:t>
            </w:r>
          </w:p>
        </w:tc>
      </w:tr>
      <w:tr w:rsidR="00B17A0A" w:rsidRPr="00B17A0A" w14:paraId="0F1BB3E6" w14:textId="77777777" w:rsidTr="00B17A0A">
        <w:tc>
          <w:tcPr>
            <w:tcW w:w="4226" w:type="dxa"/>
          </w:tcPr>
          <w:p w14:paraId="54BD174F"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T10: </w:t>
            </w:r>
            <w:proofErr w:type="spellStart"/>
            <w:r w:rsidRPr="00B17A0A">
              <w:rPr>
                <w:rFonts w:ascii="Aptos" w:hAnsi="Aptos"/>
                <w:sz w:val="18"/>
                <w:szCs w:val="18"/>
                <w:lang w:val="es-ES"/>
              </w:rPr>
              <w:t>Sustainable</w:t>
            </w:r>
            <w:proofErr w:type="spellEnd"/>
            <w:r w:rsidRPr="00B17A0A">
              <w:rPr>
                <w:rFonts w:ascii="Aptos" w:hAnsi="Aptos"/>
                <w:sz w:val="18"/>
                <w:szCs w:val="18"/>
                <w:lang w:val="es-ES"/>
              </w:rPr>
              <w:t xml:space="preserve"> productive </w:t>
            </w:r>
            <w:proofErr w:type="spellStart"/>
            <w:r w:rsidRPr="00B17A0A">
              <w:rPr>
                <w:rFonts w:ascii="Aptos" w:hAnsi="Aptos"/>
                <w:sz w:val="18"/>
                <w:szCs w:val="18"/>
                <w:lang w:val="es-ES"/>
              </w:rPr>
              <w:t>sectors</w:t>
            </w:r>
            <w:proofErr w:type="spellEnd"/>
          </w:p>
        </w:tc>
        <w:tc>
          <w:tcPr>
            <w:tcW w:w="5157" w:type="dxa"/>
          </w:tcPr>
          <w:p w14:paraId="26D68792"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M10: Sectores productivos sostenibles</w:t>
            </w:r>
          </w:p>
        </w:tc>
      </w:tr>
      <w:tr w:rsidR="00B17A0A" w:rsidRPr="00B17A0A" w14:paraId="4415BA65" w14:textId="77777777" w:rsidTr="00B17A0A">
        <w:tc>
          <w:tcPr>
            <w:tcW w:w="4226" w:type="dxa"/>
          </w:tcPr>
          <w:p w14:paraId="34D13973"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T11: Nature’s contributions to people</w:t>
            </w:r>
          </w:p>
        </w:tc>
        <w:tc>
          <w:tcPr>
            <w:tcW w:w="5157" w:type="dxa"/>
          </w:tcPr>
          <w:p w14:paraId="6CC10625"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M11: Contribuciones de la naturaleza a las personas</w:t>
            </w:r>
          </w:p>
        </w:tc>
      </w:tr>
      <w:tr w:rsidR="00B17A0A" w:rsidRPr="00B17A0A" w14:paraId="29C0A81C" w14:textId="77777777" w:rsidTr="00B17A0A">
        <w:tc>
          <w:tcPr>
            <w:tcW w:w="4226" w:type="dxa"/>
          </w:tcPr>
          <w:p w14:paraId="109C7F66"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T12: Enhance green spaces in urban areas</w:t>
            </w:r>
          </w:p>
        </w:tc>
        <w:tc>
          <w:tcPr>
            <w:tcW w:w="5157" w:type="dxa"/>
          </w:tcPr>
          <w:p w14:paraId="7EBCBD8C"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M12: Aumentar los espacios verdes en las zonas urbanas</w:t>
            </w:r>
          </w:p>
        </w:tc>
      </w:tr>
      <w:tr w:rsidR="00B17A0A" w:rsidRPr="00B17A0A" w14:paraId="21C1CCB9" w14:textId="77777777" w:rsidTr="00B17A0A">
        <w:tc>
          <w:tcPr>
            <w:tcW w:w="4226" w:type="dxa"/>
          </w:tcPr>
          <w:p w14:paraId="5EFE0493"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T14: Mainstream </w:t>
            </w:r>
            <w:proofErr w:type="spellStart"/>
            <w:r w:rsidRPr="00B17A0A">
              <w:rPr>
                <w:rFonts w:ascii="Aptos" w:hAnsi="Aptos"/>
                <w:sz w:val="18"/>
                <w:szCs w:val="18"/>
                <w:lang w:val="es-ES"/>
              </w:rPr>
              <w:t>biodiversity</w:t>
            </w:r>
            <w:proofErr w:type="spellEnd"/>
          </w:p>
        </w:tc>
        <w:tc>
          <w:tcPr>
            <w:tcW w:w="5157" w:type="dxa"/>
          </w:tcPr>
          <w:p w14:paraId="0006D90F"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M14: Integrar la biodiversidad</w:t>
            </w:r>
          </w:p>
        </w:tc>
      </w:tr>
      <w:tr w:rsidR="00B17A0A" w:rsidRPr="00B17A0A" w14:paraId="13A682FA" w14:textId="77777777" w:rsidTr="00B17A0A">
        <w:tc>
          <w:tcPr>
            <w:tcW w:w="4226" w:type="dxa"/>
          </w:tcPr>
          <w:p w14:paraId="22D7987F"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T15: Businesses assess and disclose</w:t>
            </w:r>
          </w:p>
        </w:tc>
        <w:tc>
          <w:tcPr>
            <w:tcW w:w="5157" w:type="dxa"/>
          </w:tcPr>
          <w:p w14:paraId="1FDA456F"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M15: Evaluación y divulgación por las empresas</w:t>
            </w:r>
          </w:p>
        </w:tc>
      </w:tr>
      <w:tr w:rsidR="00B17A0A" w:rsidRPr="00B17A0A" w14:paraId="5176B1D4" w14:textId="77777777" w:rsidTr="00B17A0A">
        <w:tc>
          <w:tcPr>
            <w:tcW w:w="4226" w:type="dxa"/>
          </w:tcPr>
          <w:p w14:paraId="75FB6784"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T16: </w:t>
            </w:r>
            <w:proofErr w:type="spellStart"/>
            <w:r w:rsidRPr="00B17A0A">
              <w:rPr>
                <w:rFonts w:ascii="Aptos" w:hAnsi="Aptos"/>
                <w:sz w:val="18"/>
                <w:szCs w:val="18"/>
                <w:lang w:val="es-ES"/>
              </w:rPr>
              <w:t>Enable</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sustainable</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consumption</w:t>
            </w:r>
            <w:proofErr w:type="spellEnd"/>
          </w:p>
        </w:tc>
        <w:tc>
          <w:tcPr>
            <w:tcW w:w="5157" w:type="dxa"/>
          </w:tcPr>
          <w:p w14:paraId="58E12C8B"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M16: Facilitar el consumo sostenible</w:t>
            </w:r>
          </w:p>
        </w:tc>
      </w:tr>
      <w:tr w:rsidR="00B17A0A" w:rsidRPr="00B17A0A" w14:paraId="6A61FC83" w14:textId="77777777" w:rsidTr="00B17A0A">
        <w:tc>
          <w:tcPr>
            <w:tcW w:w="4226" w:type="dxa"/>
          </w:tcPr>
          <w:p w14:paraId="5190E9FB"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T17: </w:t>
            </w:r>
            <w:proofErr w:type="spellStart"/>
            <w:r w:rsidRPr="00B17A0A">
              <w:rPr>
                <w:rFonts w:ascii="Aptos" w:hAnsi="Aptos"/>
                <w:sz w:val="18"/>
                <w:szCs w:val="18"/>
                <w:lang w:val="es-ES"/>
              </w:rPr>
              <w:t>Strengthen</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biosafety</w:t>
            </w:r>
            <w:proofErr w:type="spellEnd"/>
          </w:p>
        </w:tc>
        <w:tc>
          <w:tcPr>
            <w:tcW w:w="5157" w:type="dxa"/>
          </w:tcPr>
          <w:p w14:paraId="25989A3E"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M17: Reforzar la seguridad de la biotecnología</w:t>
            </w:r>
          </w:p>
        </w:tc>
      </w:tr>
      <w:tr w:rsidR="00B17A0A" w:rsidRPr="00B17A0A" w14:paraId="4442AB90" w14:textId="77777777" w:rsidTr="00B17A0A">
        <w:tc>
          <w:tcPr>
            <w:tcW w:w="4226" w:type="dxa"/>
          </w:tcPr>
          <w:p w14:paraId="4C210C13"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T18: Reduce </w:t>
            </w:r>
            <w:proofErr w:type="spellStart"/>
            <w:r w:rsidRPr="00B17A0A">
              <w:rPr>
                <w:rFonts w:ascii="Aptos" w:hAnsi="Aptos"/>
                <w:sz w:val="18"/>
                <w:szCs w:val="18"/>
                <w:lang w:val="es-ES"/>
              </w:rPr>
              <w:t>harmful</w:t>
            </w:r>
            <w:proofErr w:type="spellEnd"/>
            <w:r w:rsidRPr="00B17A0A">
              <w:rPr>
                <w:rFonts w:ascii="Aptos" w:hAnsi="Aptos"/>
                <w:sz w:val="18"/>
                <w:szCs w:val="18"/>
                <w:lang w:val="es-ES"/>
              </w:rPr>
              <w:t xml:space="preserve"> incentives</w:t>
            </w:r>
          </w:p>
        </w:tc>
        <w:tc>
          <w:tcPr>
            <w:tcW w:w="5157" w:type="dxa"/>
          </w:tcPr>
          <w:p w14:paraId="1CECD20B"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M18: Reducir los incentivos perjudiciales</w:t>
            </w:r>
          </w:p>
        </w:tc>
      </w:tr>
      <w:tr w:rsidR="00B17A0A" w:rsidRPr="00B17A0A" w14:paraId="4BFCA0C5" w14:textId="77777777" w:rsidTr="00B17A0A">
        <w:tc>
          <w:tcPr>
            <w:tcW w:w="4226" w:type="dxa"/>
          </w:tcPr>
          <w:p w14:paraId="4CBC9CA9"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T20: </w:t>
            </w:r>
            <w:proofErr w:type="spellStart"/>
            <w:r w:rsidRPr="00B17A0A">
              <w:rPr>
                <w:rFonts w:ascii="Aptos" w:hAnsi="Aptos"/>
                <w:sz w:val="18"/>
                <w:szCs w:val="18"/>
                <w:lang w:val="es-ES"/>
              </w:rPr>
              <w:t>Strengthen</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capacity-building</w:t>
            </w:r>
            <w:proofErr w:type="spellEnd"/>
          </w:p>
        </w:tc>
        <w:tc>
          <w:tcPr>
            <w:tcW w:w="5157" w:type="dxa"/>
          </w:tcPr>
          <w:p w14:paraId="41C55FE5"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M20: Reforzar la creación de capacidad</w:t>
            </w:r>
          </w:p>
        </w:tc>
      </w:tr>
      <w:tr w:rsidR="00B17A0A" w:rsidRPr="00B17A0A" w14:paraId="75885CAB" w14:textId="77777777" w:rsidTr="00B17A0A">
        <w:tc>
          <w:tcPr>
            <w:tcW w:w="4226" w:type="dxa"/>
          </w:tcPr>
          <w:p w14:paraId="35B07178"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T21: Knowledge </w:t>
            </w:r>
            <w:proofErr w:type="spellStart"/>
            <w:r w:rsidRPr="00B17A0A">
              <w:rPr>
                <w:rFonts w:ascii="Aptos" w:hAnsi="Aptos"/>
                <w:sz w:val="18"/>
                <w:szCs w:val="18"/>
                <w:lang w:val="es-ES"/>
              </w:rPr>
              <w:t>is</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available</w:t>
            </w:r>
            <w:proofErr w:type="spellEnd"/>
          </w:p>
        </w:tc>
        <w:tc>
          <w:tcPr>
            <w:tcW w:w="5157" w:type="dxa"/>
          </w:tcPr>
          <w:p w14:paraId="15B5ABB1"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M21: Disponibilidad de conocimientos</w:t>
            </w:r>
          </w:p>
        </w:tc>
      </w:tr>
      <w:tr w:rsidR="00B17A0A" w:rsidRPr="00B17A0A" w14:paraId="2400848C" w14:textId="77777777" w:rsidTr="00B17A0A">
        <w:tc>
          <w:tcPr>
            <w:tcW w:w="4226" w:type="dxa"/>
          </w:tcPr>
          <w:p w14:paraId="0B58153E" w14:textId="77777777" w:rsidR="00B17A0A" w:rsidRPr="00B17A0A" w:rsidRDefault="00B17A0A" w:rsidP="00B17A0A">
            <w:pPr>
              <w:rPr>
                <w:rFonts w:ascii="Aptos" w:hAnsi="Aptos"/>
                <w:sz w:val="18"/>
                <w:szCs w:val="18"/>
                <w:lang w:val="en-US"/>
              </w:rPr>
            </w:pPr>
            <w:r w:rsidRPr="00B17A0A">
              <w:rPr>
                <w:rFonts w:ascii="Aptos" w:hAnsi="Aptos"/>
                <w:sz w:val="18"/>
                <w:szCs w:val="18"/>
                <w:lang w:val="en-US"/>
              </w:rPr>
              <w:t>T22: Ensure participation for all</w:t>
            </w:r>
          </w:p>
        </w:tc>
        <w:tc>
          <w:tcPr>
            <w:tcW w:w="5157" w:type="dxa"/>
          </w:tcPr>
          <w:p w14:paraId="2F211A73"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M22: Garantizar la participación para todos</w:t>
            </w:r>
          </w:p>
        </w:tc>
      </w:tr>
      <w:tr w:rsidR="00B17A0A" w:rsidRPr="00B17A0A" w14:paraId="0F525D86" w14:textId="77777777" w:rsidTr="00B17A0A">
        <w:tc>
          <w:tcPr>
            <w:tcW w:w="4226" w:type="dxa"/>
          </w:tcPr>
          <w:p w14:paraId="42E9AF5F"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 xml:space="preserve">T23: </w:t>
            </w:r>
            <w:proofErr w:type="spellStart"/>
            <w:r w:rsidRPr="00B17A0A">
              <w:rPr>
                <w:rFonts w:ascii="Aptos" w:hAnsi="Aptos"/>
                <w:sz w:val="18"/>
                <w:szCs w:val="18"/>
                <w:lang w:val="es-ES"/>
              </w:rPr>
              <w:t>Ensure</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gender</w:t>
            </w:r>
            <w:proofErr w:type="spellEnd"/>
            <w:r w:rsidRPr="00B17A0A">
              <w:rPr>
                <w:rFonts w:ascii="Aptos" w:hAnsi="Aptos"/>
                <w:sz w:val="18"/>
                <w:szCs w:val="18"/>
                <w:lang w:val="es-ES"/>
              </w:rPr>
              <w:t xml:space="preserve"> </w:t>
            </w:r>
            <w:proofErr w:type="spellStart"/>
            <w:r w:rsidRPr="00B17A0A">
              <w:rPr>
                <w:rFonts w:ascii="Aptos" w:hAnsi="Aptos"/>
                <w:sz w:val="18"/>
                <w:szCs w:val="18"/>
                <w:lang w:val="es-ES"/>
              </w:rPr>
              <w:t>equality</w:t>
            </w:r>
            <w:proofErr w:type="spellEnd"/>
          </w:p>
        </w:tc>
        <w:tc>
          <w:tcPr>
            <w:tcW w:w="5157" w:type="dxa"/>
          </w:tcPr>
          <w:p w14:paraId="44D3E058" w14:textId="77777777" w:rsidR="00B17A0A" w:rsidRPr="00B17A0A" w:rsidRDefault="00B17A0A" w:rsidP="00B17A0A">
            <w:pPr>
              <w:rPr>
                <w:rFonts w:ascii="Aptos" w:hAnsi="Aptos"/>
                <w:sz w:val="18"/>
                <w:szCs w:val="18"/>
                <w:lang w:val="es-ES"/>
              </w:rPr>
            </w:pPr>
            <w:r w:rsidRPr="00B17A0A">
              <w:rPr>
                <w:rFonts w:ascii="Aptos" w:hAnsi="Aptos"/>
                <w:sz w:val="18"/>
                <w:szCs w:val="18"/>
                <w:lang w:val="es-ES"/>
              </w:rPr>
              <w:t>M23: Garantizar la igualdad de género</w:t>
            </w:r>
          </w:p>
        </w:tc>
      </w:tr>
    </w:tbl>
    <w:p w14:paraId="294EEBB7" w14:textId="77777777" w:rsidR="008F15F1" w:rsidRPr="005E3D50" w:rsidRDefault="008F15F1" w:rsidP="008F15F1">
      <w:pPr>
        <w:rPr>
          <w:lang w:val="es-ES" w:eastAsia="ja-JP"/>
        </w:rPr>
      </w:pPr>
    </w:p>
    <w:p w14:paraId="53B5870C" w14:textId="77777777" w:rsidR="008F15F1" w:rsidRPr="005E3D50" w:rsidRDefault="008F15F1" w:rsidP="008F15F1">
      <w:pPr>
        <w:rPr>
          <w:sz w:val="20"/>
          <w:szCs w:val="20"/>
          <w:lang w:val="es-ES"/>
        </w:rPr>
      </w:pPr>
      <w:r w:rsidRPr="005E3D50">
        <w:rPr>
          <w:sz w:val="20"/>
          <w:lang w:val="es-ES"/>
        </w:rPr>
        <w:t>Figura 101</w:t>
      </w:r>
    </w:p>
    <w:p w14:paraId="760AC0B5"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b/>
          <w:iCs/>
          <w:color w:val="0E2841" w:themeColor="text2"/>
          <w:kern w:val="0"/>
          <w:sz w:val="18"/>
          <w:szCs w:val="18"/>
          <w:lang w:val="es-ES" w:eastAsia="ja-JP"/>
          <w14:ligatures w14:val="none"/>
        </w:rPr>
        <w:t>Porcentaje de todos los indicadores cuantitativos (indicadores de cabecera, de componentes, complementarios y nacionales combinados) armonizados con cada meta relacionada con el Objetivo B que sugieren tendencias de mejora, estables y negativas</w:t>
      </w:r>
    </w:p>
    <w:p w14:paraId="158FC86F" w14:textId="77777777" w:rsidR="008F15F1" w:rsidRPr="005E3D50" w:rsidRDefault="008F15F1" w:rsidP="008F15F1">
      <w:pPr>
        <w:rPr>
          <w:sz w:val="20"/>
          <w:szCs w:val="20"/>
          <w:lang w:val="es-ES" w:eastAsia="ja-JP"/>
        </w:rPr>
      </w:pPr>
    </w:p>
    <w:p w14:paraId="4808F45C"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lastRenderedPageBreak/>
        <w:drawing>
          <wp:inline distT="0" distB="0" distL="0" distR="0" wp14:anchorId="2768F0BD" wp14:editId="7FE845DE">
            <wp:extent cx="3122091" cy="4063117"/>
            <wp:effectExtent l="0" t="0" r="2540" b="1270"/>
            <wp:docPr id="7579127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2762" name="Picture 757912762"/>
                    <pic:cNvPicPr/>
                  </pic:nvPicPr>
                  <pic:blipFill rotWithShape="1">
                    <a:blip r:embed="rId227" cstate="print">
                      <a:extLst>
                        <a:ext uri="{28A0092B-C50C-407E-A947-70E740481C1C}">
                          <a14:useLocalDpi xmlns:a14="http://schemas.microsoft.com/office/drawing/2010/main" val="0"/>
                        </a:ext>
                      </a:extLst>
                    </a:blip>
                    <a:srcRect t="4060"/>
                    <a:stretch>
                      <a:fillRect/>
                    </a:stretch>
                  </pic:blipFill>
                  <pic:spPr bwMode="auto">
                    <a:xfrm>
                      <a:off x="0" y="0"/>
                      <a:ext cx="3151769" cy="4101740"/>
                    </a:xfrm>
                    <a:prstGeom prst="rect">
                      <a:avLst/>
                    </a:prstGeom>
                    <a:ln>
                      <a:noFill/>
                    </a:ln>
                    <a:extLst>
                      <a:ext uri="{53640926-AAD7-44D8-BBD7-CCE9431645EC}">
                        <a14:shadowObscured xmlns:a14="http://schemas.microsoft.com/office/drawing/2010/main"/>
                      </a:ext>
                    </a:extLst>
                  </pic:spPr>
                </pic:pic>
              </a:graphicData>
            </a:graphic>
          </wp:inline>
        </w:drawing>
      </w:r>
    </w:p>
    <w:p w14:paraId="1A934371" w14:textId="77777777" w:rsidR="008F15F1" w:rsidRDefault="008F15F1" w:rsidP="008F15F1">
      <w:pPr>
        <w:spacing w:after="200" w:line="240" w:lineRule="auto"/>
        <w:rPr>
          <w:rFonts w:ascii="Aptos" w:eastAsiaTheme="minorEastAsia" w:hAnsi="Aptos"/>
          <w:b/>
          <w:i/>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Puede consultarse información sobre la representatividad regional y los tipos de indicadores incluidos en las descripciones de cada una de las metas pertinentes que figuran en la sección II.B.</w:t>
      </w:r>
      <w:r w:rsidRPr="005E3D50">
        <w:rPr>
          <w:rFonts w:ascii="Aptos" w:eastAsiaTheme="minorEastAsia" w:hAnsi="Aptos"/>
          <w:b/>
          <w:i/>
          <w:iCs/>
          <w:color w:val="0E2841" w:themeColor="text2"/>
          <w:kern w:val="0"/>
          <w:sz w:val="18"/>
          <w:szCs w:val="18"/>
          <w:lang w:val="es-ES" w:eastAsia="ja-JP"/>
          <w14:ligatures w14:val="none"/>
        </w:rPr>
        <w:t xml:space="preserve"> </w:t>
      </w:r>
    </w:p>
    <w:tbl>
      <w:tblPr>
        <w:tblStyle w:val="TableGrid"/>
        <w:tblW w:w="9307" w:type="dxa"/>
        <w:tblLook w:val="04A0" w:firstRow="1" w:lastRow="0" w:firstColumn="1" w:lastColumn="0" w:noHBand="0" w:noVBand="1"/>
      </w:tblPr>
      <w:tblGrid>
        <w:gridCol w:w="4906"/>
        <w:gridCol w:w="4401"/>
      </w:tblGrid>
      <w:tr w:rsidR="0063520E" w:rsidRPr="0063520E" w14:paraId="408F688B" w14:textId="77777777" w:rsidTr="0063520E">
        <w:tc>
          <w:tcPr>
            <w:tcW w:w="9307" w:type="dxa"/>
            <w:gridSpan w:val="2"/>
          </w:tcPr>
          <w:p w14:paraId="7FA38E1A" w14:textId="4D4BC4FA" w:rsidR="0063520E" w:rsidRPr="0063520E" w:rsidRDefault="0063520E" w:rsidP="00B93410">
            <w:pPr>
              <w:rPr>
                <w:rFonts w:ascii="Aptos" w:hAnsi="Aptos"/>
                <w:sz w:val="18"/>
                <w:szCs w:val="18"/>
                <w:lang w:val="es-ES"/>
              </w:rPr>
            </w:pPr>
            <w:r w:rsidRPr="0063520E">
              <w:rPr>
                <w:rFonts w:ascii="Aptos" w:hAnsi="Aptos"/>
                <w:sz w:val="18"/>
                <w:szCs w:val="18"/>
                <w:lang w:val="es-ES"/>
              </w:rPr>
              <w:t>Figura 101</w:t>
            </w:r>
          </w:p>
        </w:tc>
      </w:tr>
      <w:tr w:rsidR="0063520E" w:rsidRPr="0063520E" w14:paraId="2805E6D9" w14:textId="77777777" w:rsidTr="0063520E">
        <w:tc>
          <w:tcPr>
            <w:tcW w:w="4906" w:type="dxa"/>
          </w:tcPr>
          <w:p w14:paraId="77AC71F7" w14:textId="77777777" w:rsidR="0063520E" w:rsidRPr="0063520E" w:rsidRDefault="0063520E" w:rsidP="00B93410">
            <w:pPr>
              <w:rPr>
                <w:rFonts w:ascii="Aptos" w:hAnsi="Aptos"/>
                <w:bCs/>
                <w:sz w:val="18"/>
                <w:szCs w:val="18"/>
                <w:lang w:val="es-ES"/>
              </w:rPr>
            </w:pPr>
            <w:r w:rsidRPr="0063520E">
              <w:rPr>
                <w:rFonts w:ascii="Aptos" w:hAnsi="Aptos"/>
                <w:bCs/>
                <w:sz w:val="18"/>
                <w:szCs w:val="18"/>
                <w:lang w:val="es-ES"/>
              </w:rPr>
              <w:t xml:space="preserve">English </w:t>
            </w:r>
          </w:p>
        </w:tc>
        <w:tc>
          <w:tcPr>
            <w:tcW w:w="4400" w:type="dxa"/>
          </w:tcPr>
          <w:p w14:paraId="1339B5F3" w14:textId="4E6175EC" w:rsidR="0063520E" w:rsidRPr="0063520E" w:rsidRDefault="0063520E" w:rsidP="00B93410">
            <w:pPr>
              <w:rPr>
                <w:rFonts w:ascii="Aptos" w:hAnsi="Aptos"/>
                <w:sz w:val="18"/>
                <w:szCs w:val="18"/>
                <w:lang w:val="es-ES"/>
              </w:rPr>
            </w:pPr>
            <w:r w:rsidRPr="0063520E">
              <w:rPr>
                <w:rFonts w:ascii="Aptos" w:hAnsi="Aptos"/>
                <w:sz w:val="18"/>
                <w:szCs w:val="18"/>
                <w:lang w:val="es-ES"/>
              </w:rPr>
              <w:t>Español</w:t>
            </w:r>
          </w:p>
        </w:tc>
      </w:tr>
      <w:tr w:rsidR="0063520E" w:rsidRPr="0063520E" w14:paraId="6645F5EE" w14:textId="77777777" w:rsidTr="0063520E">
        <w:tc>
          <w:tcPr>
            <w:tcW w:w="4906" w:type="dxa"/>
          </w:tcPr>
          <w:p w14:paraId="0575D5D2"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Target</w:t>
            </w:r>
          </w:p>
        </w:tc>
        <w:tc>
          <w:tcPr>
            <w:tcW w:w="4400" w:type="dxa"/>
          </w:tcPr>
          <w:p w14:paraId="4C68A9C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Meta</w:t>
            </w:r>
          </w:p>
        </w:tc>
      </w:tr>
      <w:tr w:rsidR="0063520E" w:rsidRPr="0063520E" w14:paraId="740B304F" w14:textId="77777777" w:rsidTr="0063520E">
        <w:tc>
          <w:tcPr>
            <w:tcW w:w="4906" w:type="dxa"/>
          </w:tcPr>
          <w:p w14:paraId="24F8A5F8" w14:textId="77777777" w:rsidR="0063520E" w:rsidRPr="0063520E" w:rsidRDefault="0063520E" w:rsidP="00B93410">
            <w:pPr>
              <w:rPr>
                <w:rFonts w:ascii="Aptos" w:hAnsi="Aptos"/>
                <w:sz w:val="18"/>
                <w:szCs w:val="18"/>
                <w:lang w:val="es-ES"/>
              </w:rPr>
            </w:pPr>
            <w:proofErr w:type="spellStart"/>
            <w:r w:rsidRPr="0063520E">
              <w:rPr>
                <w:rFonts w:ascii="Aptos" w:hAnsi="Aptos"/>
                <w:sz w:val="18"/>
                <w:szCs w:val="18"/>
                <w:lang w:val="es-ES"/>
              </w:rPr>
              <w:t>Percentage</w:t>
            </w:r>
            <w:proofErr w:type="spellEnd"/>
          </w:p>
        </w:tc>
        <w:tc>
          <w:tcPr>
            <w:tcW w:w="4400" w:type="dxa"/>
          </w:tcPr>
          <w:p w14:paraId="7D1A4663"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Porcentaje</w:t>
            </w:r>
          </w:p>
        </w:tc>
      </w:tr>
      <w:tr w:rsidR="0063520E" w:rsidRPr="0063520E" w14:paraId="635CA3E5" w14:textId="77777777" w:rsidTr="0063520E">
        <w:tc>
          <w:tcPr>
            <w:tcW w:w="4906" w:type="dxa"/>
          </w:tcPr>
          <w:p w14:paraId="6C4939B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Trend</w:t>
            </w:r>
          </w:p>
        </w:tc>
        <w:tc>
          <w:tcPr>
            <w:tcW w:w="4400" w:type="dxa"/>
          </w:tcPr>
          <w:p w14:paraId="08E564E7"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Tendencia</w:t>
            </w:r>
          </w:p>
        </w:tc>
      </w:tr>
      <w:tr w:rsidR="0063520E" w:rsidRPr="0063520E" w14:paraId="76D6F1C2" w14:textId="77777777" w:rsidTr="0063520E">
        <w:tc>
          <w:tcPr>
            <w:tcW w:w="4906" w:type="dxa"/>
          </w:tcPr>
          <w:p w14:paraId="740867F2" w14:textId="77777777" w:rsidR="0063520E" w:rsidRPr="0063520E" w:rsidRDefault="0063520E" w:rsidP="00B93410">
            <w:pPr>
              <w:rPr>
                <w:rFonts w:ascii="Aptos" w:hAnsi="Aptos"/>
                <w:sz w:val="18"/>
                <w:szCs w:val="18"/>
                <w:lang w:val="es-ES"/>
              </w:rPr>
            </w:pPr>
            <w:proofErr w:type="spellStart"/>
            <w:r w:rsidRPr="0063520E">
              <w:rPr>
                <w:rFonts w:ascii="Aptos" w:hAnsi="Aptos"/>
                <w:sz w:val="18"/>
                <w:szCs w:val="18"/>
                <w:lang w:val="es-ES"/>
              </w:rPr>
              <w:t>improving</w:t>
            </w:r>
            <w:proofErr w:type="spellEnd"/>
          </w:p>
        </w:tc>
        <w:tc>
          <w:tcPr>
            <w:tcW w:w="4400" w:type="dxa"/>
          </w:tcPr>
          <w:p w14:paraId="7722384E"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mejorando</w:t>
            </w:r>
          </w:p>
        </w:tc>
      </w:tr>
      <w:tr w:rsidR="0063520E" w:rsidRPr="0063520E" w14:paraId="3385349A" w14:textId="77777777" w:rsidTr="0063520E">
        <w:tc>
          <w:tcPr>
            <w:tcW w:w="4906" w:type="dxa"/>
          </w:tcPr>
          <w:p w14:paraId="2F058F32" w14:textId="77777777" w:rsidR="0063520E" w:rsidRPr="0063520E" w:rsidRDefault="0063520E" w:rsidP="00B93410">
            <w:pPr>
              <w:rPr>
                <w:rFonts w:ascii="Aptos" w:hAnsi="Aptos"/>
                <w:sz w:val="18"/>
                <w:szCs w:val="18"/>
                <w:lang w:val="es-ES"/>
              </w:rPr>
            </w:pPr>
            <w:proofErr w:type="spellStart"/>
            <w:r w:rsidRPr="0063520E">
              <w:rPr>
                <w:rFonts w:ascii="Aptos" w:hAnsi="Aptos"/>
                <w:sz w:val="18"/>
                <w:szCs w:val="18"/>
                <w:lang w:val="es-ES"/>
              </w:rPr>
              <w:t>stable</w:t>
            </w:r>
            <w:proofErr w:type="spellEnd"/>
          </w:p>
        </w:tc>
        <w:tc>
          <w:tcPr>
            <w:tcW w:w="4400" w:type="dxa"/>
          </w:tcPr>
          <w:p w14:paraId="0F4A6158"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estable</w:t>
            </w:r>
          </w:p>
        </w:tc>
      </w:tr>
      <w:tr w:rsidR="0063520E" w:rsidRPr="0063520E" w14:paraId="0357B914" w14:textId="77777777" w:rsidTr="0063520E">
        <w:tc>
          <w:tcPr>
            <w:tcW w:w="4906" w:type="dxa"/>
          </w:tcPr>
          <w:p w14:paraId="183FC44D" w14:textId="77777777" w:rsidR="0063520E" w:rsidRPr="0063520E" w:rsidRDefault="0063520E" w:rsidP="00B93410">
            <w:pPr>
              <w:rPr>
                <w:rFonts w:ascii="Aptos" w:hAnsi="Aptos"/>
                <w:sz w:val="18"/>
                <w:szCs w:val="18"/>
                <w:lang w:val="es-ES"/>
              </w:rPr>
            </w:pPr>
            <w:proofErr w:type="spellStart"/>
            <w:r w:rsidRPr="0063520E">
              <w:rPr>
                <w:rFonts w:ascii="Aptos" w:hAnsi="Aptos"/>
                <w:sz w:val="18"/>
                <w:szCs w:val="18"/>
                <w:lang w:val="es-ES"/>
              </w:rPr>
              <w:t>moving</w:t>
            </w:r>
            <w:proofErr w:type="spellEnd"/>
            <w:r w:rsidRPr="0063520E">
              <w:rPr>
                <w:rFonts w:ascii="Aptos" w:hAnsi="Aptos"/>
                <w:sz w:val="18"/>
                <w:szCs w:val="18"/>
                <w:lang w:val="es-ES"/>
              </w:rPr>
              <w:t xml:space="preserve"> </w:t>
            </w:r>
            <w:proofErr w:type="spellStart"/>
            <w:r w:rsidRPr="0063520E">
              <w:rPr>
                <w:rFonts w:ascii="Aptos" w:hAnsi="Aptos"/>
                <w:sz w:val="18"/>
                <w:szCs w:val="18"/>
                <w:lang w:val="es-ES"/>
              </w:rPr>
              <w:t>away</w:t>
            </w:r>
            <w:proofErr w:type="spellEnd"/>
          </w:p>
        </w:tc>
        <w:tc>
          <w:tcPr>
            <w:tcW w:w="4400" w:type="dxa"/>
          </w:tcPr>
          <w:p w14:paraId="6637BCED"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alejándose</w:t>
            </w:r>
          </w:p>
        </w:tc>
      </w:tr>
      <w:tr w:rsidR="0063520E" w:rsidRPr="0063520E" w14:paraId="4FF0A08F" w14:textId="77777777" w:rsidTr="0063520E">
        <w:tc>
          <w:tcPr>
            <w:tcW w:w="4906" w:type="dxa"/>
          </w:tcPr>
          <w:p w14:paraId="5763D3BC"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GBF-T01</w:t>
            </w:r>
          </w:p>
        </w:tc>
        <w:tc>
          <w:tcPr>
            <w:tcW w:w="4400" w:type="dxa"/>
          </w:tcPr>
          <w:p w14:paraId="61853FE2"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M01 del MMB</w:t>
            </w:r>
          </w:p>
        </w:tc>
      </w:tr>
      <w:tr w:rsidR="0063520E" w:rsidRPr="0063520E" w14:paraId="3794EB69" w14:textId="77777777" w:rsidTr="0063520E">
        <w:tc>
          <w:tcPr>
            <w:tcW w:w="4906" w:type="dxa"/>
          </w:tcPr>
          <w:p w14:paraId="5D4C778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GBF-T02</w:t>
            </w:r>
          </w:p>
        </w:tc>
        <w:tc>
          <w:tcPr>
            <w:tcW w:w="4400" w:type="dxa"/>
          </w:tcPr>
          <w:p w14:paraId="127F455E"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M02 del MMB</w:t>
            </w:r>
          </w:p>
        </w:tc>
      </w:tr>
      <w:tr w:rsidR="0063520E" w:rsidRPr="0063520E" w14:paraId="7654CB4E" w14:textId="77777777" w:rsidTr="0063520E">
        <w:tc>
          <w:tcPr>
            <w:tcW w:w="4906" w:type="dxa"/>
          </w:tcPr>
          <w:p w14:paraId="6717E0D3"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GBF-T05</w:t>
            </w:r>
          </w:p>
        </w:tc>
        <w:tc>
          <w:tcPr>
            <w:tcW w:w="4400" w:type="dxa"/>
          </w:tcPr>
          <w:p w14:paraId="52468478"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M05 del MMB</w:t>
            </w:r>
          </w:p>
        </w:tc>
      </w:tr>
      <w:tr w:rsidR="0063520E" w:rsidRPr="0063520E" w14:paraId="42C28463" w14:textId="77777777" w:rsidTr="0063520E">
        <w:tc>
          <w:tcPr>
            <w:tcW w:w="4906" w:type="dxa"/>
          </w:tcPr>
          <w:p w14:paraId="2E0855C4"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GBF-T06</w:t>
            </w:r>
          </w:p>
        </w:tc>
        <w:tc>
          <w:tcPr>
            <w:tcW w:w="4400" w:type="dxa"/>
          </w:tcPr>
          <w:p w14:paraId="441A5F30"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M06 del MMB</w:t>
            </w:r>
          </w:p>
        </w:tc>
      </w:tr>
      <w:tr w:rsidR="0063520E" w:rsidRPr="0063520E" w14:paraId="2C389875" w14:textId="77777777" w:rsidTr="0063520E">
        <w:tc>
          <w:tcPr>
            <w:tcW w:w="4906" w:type="dxa"/>
          </w:tcPr>
          <w:p w14:paraId="3B5D9C89"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GBF-T07</w:t>
            </w:r>
          </w:p>
        </w:tc>
        <w:tc>
          <w:tcPr>
            <w:tcW w:w="4400" w:type="dxa"/>
          </w:tcPr>
          <w:p w14:paraId="4C9C88C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M07 del MMB</w:t>
            </w:r>
          </w:p>
        </w:tc>
      </w:tr>
      <w:tr w:rsidR="0063520E" w:rsidRPr="0063520E" w14:paraId="0829A24A" w14:textId="77777777" w:rsidTr="0063520E">
        <w:tc>
          <w:tcPr>
            <w:tcW w:w="4906" w:type="dxa"/>
          </w:tcPr>
          <w:p w14:paraId="123D89A3"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GBF-T08</w:t>
            </w:r>
          </w:p>
        </w:tc>
        <w:tc>
          <w:tcPr>
            <w:tcW w:w="4400" w:type="dxa"/>
          </w:tcPr>
          <w:p w14:paraId="2C7B103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M08 del MMB</w:t>
            </w:r>
          </w:p>
        </w:tc>
      </w:tr>
      <w:tr w:rsidR="0063520E" w:rsidRPr="0063520E" w14:paraId="661726FE" w14:textId="77777777" w:rsidTr="0063520E">
        <w:tc>
          <w:tcPr>
            <w:tcW w:w="4906" w:type="dxa"/>
          </w:tcPr>
          <w:p w14:paraId="4043ACF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GBF-T09</w:t>
            </w:r>
          </w:p>
        </w:tc>
        <w:tc>
          <w:tcPr>
            <w:tcW w:w="4400" w:type="dxa"/>
          </w:tcPr>
          <w:p w14:paraId="2126BC6B"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M09 del MMB</w:t>
            </w:r>
          </w:p>
        </w:tc>
      </w:tr>
      <w:tr w:rsidR="0063520E" w:rsidRPr="0063520E" w14:paraId="2EF29942" w14:textId="77777777" w:rsidTr="0063520E">
        <w:tc>
          <w:tcPr>
            <w:tcW w:w="4906" w:type="dxa"/>
          </w:tcPr>
          <w:p w14:paraId="213FBB1D"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GBF-T10</w:t>
            </w:r>
          </w:p>
        </w:tc>
        <w:tc>
          <w:tcPr>
            <w:tcW w:w="4400" w:type="dxa"/>
          </w:tcPr>
          <w:p w14:paraId="413F281C"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M10 del MMB</w:t>
            </w:r>
          </w:p>
        </w:tc>
      </w:tr>
      <w:tr w:rsidR="0063520E" w:rsidRPr="0063520E" w14:paraId="18E527AD" w14:textId="77777777" w:rsidTr="0063520E">
        <w:tc>
          <w:tcPr>
            <w:tcW w:w="4906" w:type="dxa"/>
          </w:tcPr>
          <w:p w14:paraId="2BEE3FB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GBF-T11</w:t>
            </w:r>
          </w:p>
        </w:tc>
        <w:tc>
          <w:tcPr>
            <w:tcW w:w="4400" w:type="dxa"/>
          </w:tcPr>
          <w:p w14:paraId="278E4B22"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M11 del MMB</w:t>
            </w:r>
          </w:p>
        </w:tc>
      </w:tr>
      <w:tr w:rsidR="0063520E" w:rsidRPr="0063520E" w14:paraId="53A48C31" w14:textId="77777777" w:rsidTr="0063520E">
        <w:tc>
          <w:tcPr>
            <w:tcW w:w="4906" w:type="dxa"/>
          </w:tcPr>
          <w:p w14:paraId="2A2FE6E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GBF-T12</w:t>
            </w:r>
          </w:p>
        </w:tc>
        <w:tc>
          <w:tcPr>
            <w:tcW w:w="4400" w:type="dxa"/>
          </w:tcPr>
          <w:p w14:paraId="5D56526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M12 del MMB</w:t>
            </w:r>
          </w:p>
        </w:tc>
      </w:tr>
      <w:tr w:rsidR="0063520E" w:rsidRPr="0063520E" w14:paraId="482B59B5" w14:textId="77777777" w:rsidTr="0063520E">
        <w:tc>
          <w:tcPr>
            <w:tcW w:w="4906" w:type="dxa"/>
          </w:tcPr>
          <w:p w14:paraId="6AA30BE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GBF-T14</w:t>
            </w:r>
          </w:p>
        </w:tc>
        <w:tc>
          <w:tcPr>
            <w:tcW w:w="4400" w:type="dxa"/>
          </w:tcPr>
          <w:p w14:paraId="3C9C02FC"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M14 del MMB</w:t>
            </w:r>
          </w:p>
        </w:tc>
      </w:tr>
      <w:tr w:rsidR="0063520E" w:rsidRPr="0063520E" w14:paraId="4C282658" w14:textId="77777777" w:rsidTr="0063520E">
        <w:tc>
          <w:tcPr>
            <w:tcW w:w="4906" w:type="dxa"/>
          </w:tcPr>
          <w:p w14:paraId="421D5EA1"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GBF-T15</w:t>
            </w:r>
          </w:p>
        </w:tc>
        <w:tc>
          <w:tcPr>
            <w:tcW w:w="4400" w:type="dxa"/>
          </w:tcPr>
          <w:p w14:paraId="0F47AF98"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M15 del MMB</w:t>
            </w:r>
          </w:p>
        </w:tc>
      </w:tr>
      <w:tr w:rsidR="0063520E" w:rsidRPr="0063520E" w14:paraId="479876B5" w14:textId="77777777" w:rsidTr="0063520E">
        <w:tc>
          <w:tcPr>
            <w:tcW w:w="4906" w:type="dxa"/>
          </w:tcPr>
          <w:p w14:paraId="3B53ECC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GBF-T16</w:t>
            </w:r>
          </w:p>
        </w:tc>
        <w:tc>
          <w:tcPr>
            <w:tcW w:w="4400" w:type="dxa"/>
          </w:tcPr>
          <w:p w14:paraId="4A01F172"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M16 del MMB</w:t>
            </w:r>
          </w:p>
        </w:tc>
      </w:tr>
      <w:tr w:rsidR="0063520E" w:rsidRPr="0063520E" w14:paraId="1EC2716E" w14:textId="77777777" w:rsidTr="0063520E">
        <w:tc>
          <w:tcPr>
            <w:tcW w:w="4906" w:type="dxa"/>
          </w:tcPr>
          <w:p w14:paraId="3F0EE4DB"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GBF-T17</w:t>
            </w:r>
          </w:p>
        </w:tc>
        <w:tc>
          <w:tcPr>
            <w:tcW w:w="4400" w:type="dxa"/>
          </w:tcPr>
          <w:p w14:paraId="54716F2A"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M17 del MMB</w:t>
            </w:r>
          </w:p>
        </w:tc>
      </w:tr>
      <w:tr w:rsidR="0063520E" w:rsidRPr="0063520E" w14:paraId="5800A04D" w14:textId="77777777" w:rsidTr="0063520E">
        <w:tc>
          <w:tcPr>
            <w:tcW w:w="4906" w:type="dxa"/>
          </w:tcPr>
          <w:p w14:paraId="24865444"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GBF-T18</w:t>
            </w:r>
          </w:p>
        </w:tc>
        <w:tc>
          <w:tcPr>
            <w:tcW w:w="4400" w:type="dxa"/>
          </w:tcPr>
          <w:p w14:paraId="352B44F1"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M18 del MMB</w:t>
            </w:r>
          </w:p>
        </w:tc>
      </w:tr>
      <w:tr w:rsidR="0063520E" w:rsidRPr="0063520E" w14:paraId="17D21FFE" w14:textId="77777777" w:rsidTr="0063520E">
        <w:tc>
          <w:tcPr>
            <w:tcW w:w="4906" w:type="dxa"/>
          </w:tcPr>
          <w:p w14:paraId="2B128024"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lastRenderedPageBreak/>
              <w:t>GBF-T20</w:t>
            </w:r>
          </w:p>
        </w:tc>
        <w:tc>
          <w:tcPr>
            <w:tcW w:w="4400" w:type="dxa"/>
          </w:tcPr>
          <w:p w14:paraId="6219EE2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M20 del MMB</w:t>
            </w:r>
          </w:p>
        </w:tc>
      </w:tr>
      <w:tr w:rsidR="0063520E" w:rsidRPr="0063520E" w14:paraId="2C86CBBD" w14:textId="77777777" w:rsidTr="0063520E">
        <w:tc>
          <w:tcPr>
            <w:tcW w:w="4906" w:type="dxa"/>
          </w:tcPr>
          <w:p w14:paraId="7322143C"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GBF-T21</w:t>
            </w:r>
          </w:p>
        </w:tc>
        <w:tc>
          <w:tcPr>
            <w:tcW w:w="4400" w:type="dxa"/>
          </w:tcPr>
          <w:p w14:paraId="24174A36"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M21 del MMB</w:t>
            </w:r>
          </w:p>
        </w:tc>
      </w:tr>
      <w:tr w:rsidR="0063520E" w:rsidRPr="0063520E" w14:paraId="60720DEC" w14:textId="77777777" w:rsidTr="0063520E">
        <w:tc>
          <w:tcPr>
            <w:tcW w:w="4906" w:type="dxa"/>
          </w:tcPr>
          <w:p w14:paraId="4A42EE7F"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GBF-T22</w:t>
            </w:r>
          </w:p>
        </w:tc>
        <w:tc>
          <w:tcPr>
            <w:tcW w:w="4400" w:type="dxa"/>
          </w:tcPr>
          <w:p w14:paraId="233C6EC4"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M22 del MMB</w:t>
            </w:r>
          </w:p>
        </w:tc>
      </w:tr>
      <w:tr w:rsidR="0063520E" w:rsidRPr="0063520E" w14:paraId="2F41DE4C" w14:textId="77777777" w:rsidTr="0063520E">
        <w:tc>
          <w:tcPr>
            <w:tcW w:w="4906" w:type="dxa"/>
          </w:tcPr>
          <w:p w14:paraId="128D03D5"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GBF-T23</w:t>
            </w:r>
          </w:p>
        </w:tc>
        <w:tc>
          <w:tcPr>
            <w:tcW w:w="4400" w:type="dxa"/>
          </w:tcPr>
          <w:p w14:paraId="1015CC0E" w14:textId="77777777" w:rsidR="0063520E" w:rsidRPr="0063520E" w:rsidRDefault="0063520E" w:rsidP="00B93410">
            <w:pPr>
              <w:rPr>
                <w:rFonts w:ascii="Aptos" w:hAnsi="Aptos"/>
                <w:sz w:val="18"/>
                <w:szCs w:val="18"/>
                <w:lang w:val="es-ES"/>
              </w:rPr>
            </w:pPr>
            <w:r w:rsidRPr="0063520E">
              <w:rPr>
                <w:rFonts w:ascii="Aptos" w:hAnsi="Aptos"/>
                <w:sz w:val="18"/>
                <w:szCs w:val="18"/>
                <w:lang w:val="es-ES"/>
              </w:rPr>
              <w:t>M23 del MMB</w:t>
            </w:r>
          </w:p>
        </w:tc>
      </w:tr>
    </w:tbl>
    <w:p w14:paraId="3B97C78B" w14:textId="77777777" w:rsidR="0063520E" w:rsidRPr="005E3D50" w:rsidRDefault="0063520E" w:rsidP="008F15F1">
      <w:pPr>
        <w:spacing w:after="200" w:line="240" w:lineRule="auto"/>
        <w:rPr>
          <w:rFonts w:ascii="Aptos" w:eastAsiaTheme="minorEastAsia" w:hAnsi="Aptos"/>
          <w:b/>
          <w:bCs/>
          <w:i/>
          <w:iCs/>
          <w:color w:val="0E2841" w:themeColor="text2"/>
          <w:kern w:val="0"/>
          <w:sz w:val="18"/>
          <w:szCs w:val="18"/>
          <w:lang w:val="es-ES" w:eastAsia="ja-JP"/>
          <w14:ligatures w14:val="none"/>
        </w:rPr>
      </w:pPr>
    </w:p>
    <w:p w14:paraId="1E8F0D9C"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109DF0E"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89" w:name="_Toc235821350"/>
      <w:r w:rsidRPr="005E3D50">
        <w:rPr>
          <w:rFonts w:eastAsiaTheme="majorEastAsia" w:cstheme="majorBidi"/>
          <w:color w:val="0F4761" w:themeColor="accent1" w:themeShade="BF"/>
          <w:lang w:val="es-ES"/>
        </w:rPr>
        <w:t>Indicadores de progresos</w:t>
      </w:r>
      <w:bookmarkEnd w:id="589"/>
    </w:p>
    <w:p w14:paraId="22BEFD92" w14:textId="77777777" w:rsidR="008F15F1" w:rsidRPr="005E3D50" w:rsidRDefault="008F15F1" w:rsidP="008F15F1">
      <w:pPr>
        <w:rPr>
          <w:lang w:val="es-ES"/>
        </w:rPr>
      </w:pPr>
    </w:p>
    <w:p w14:paraId="141289A8" w14:textId="77777777" w:rsidR="008F15F1" w:rsidRPr="005E3D50" w:rsidRDefault="008F15F1" w:rsidP="008F15F1">
      <w:pPr>
        <w:spacing w:after="200" w:line="276" w:lineRule="auto"/>
        <w:rPr>
          <w:rFonts w:eastAsiaTheme="minorEastAsia"/>
          <w:color w:val="0E2841" w:themeColor="text2"/>
          <w:kern w:val="0"/>
          <w:sz w:val="18"/>
          <w:szCs w:val="18"/>
          <w:lang w:val="es-ES" w:eastAsia="ja-JP"/>
          <w14:ligatures w14:val="none"/>
        </w:rPr>
      </w:pPr>
      <w:bookmarkStart w:id="590" w:name="_Ref238993993"/>
      <w:r w:rsidRPr="005E3D50">
        <w:rPr>
          <w:rFonts w:eastAsiaTheme="minorEastAsia"/>
          <w:iCs/>
          <w:color w:val="0E2841" w:themeColor="text2"/>
          <w:kern w:val="0"/>
          <w:sz w:val="18"/>
          <w:szCs w:val="18"/>
          <w:lang w:val="es-ES" w:eastAsia="ja-JP"/>
          <w14:ligatures w14:val="none"/>
        </w:rPr>
        <w:t>Cuadro 52</w:t>
      </w:r>
      <w:bookmarkEnd w:id="590"/>
      <w:r w:rsidRPr="005E3D50">
        <w:rPr>
          <w:rFonts w:eastAsiaTheme="minorEastAsia"/>
          <w:iCs/>
          <w:color w:val="0E2841" w:themeColor="text2"/>
          <w:kern w:val="0"/>
          <w:sz w:val="18"/>
          <w:szCs w:val="18"/>
          <w:lang w:val="es-ES" w:eastAsia="ja-JP"/>
          <w14:ligatures w14:val="none"/>
        </w:rPr>
        <w:t xml:space="preserve"> </w:t>
      </w:r>
    </w:p>
    <w:p w14:paraId="2637ADAD" w14:textId="77777777" w:rsidR="008F15F1" w:rsidRPr="005E3D50" w:rsidRDefault="008F15F1" w:rsidP="008F15F1">
      <w:pPr>
        <w:spacing w:after="200" w:line="276" w:lineRule="auto"/>
        <w:rPr>
          <w:rFonts w:eastAsiaTheme="minorEastAsia"/>
          <w:color w:val="0E2841" w:themeColor="text2"/>
          <w:kern w:val="0"/>
          <w:sz w:val="18"/>
          <w:szCs w:val="18"/>
          <w:lang w:val="es-ES" w:eastAsia="ja-JP"/>
          <w14:ligatures w14:val="none"/>
        </w:rPr>
      </w:pPr>
      <w:r w:rsidRPr="005E3D50">
        <w:rPr>
          <w:rFonts w:eastAsiaTheme="minorEastAsia"/>
          <w:b/>
          <w:iCs/>
          <w:color w:val="0E2841" w:themeColor="text2"/>
          <w:kern w:val="0"/>
          <w:sz w:val="20"/>
          <w:szCs w:val="18"/>
          <w:lang w:val="es-ES" w:eastAsia="ja-JP"/>
          <w14:ligatures w14:val="none"/>
        </w:rPr>
        <w:t>Tablero de puntuación de los indicadores para el Objetivo B</w:t>
      </w:r>
      <w:r w:rsidRPr="005E3D50">
        <w:rPr>
          <w:rFonts w:ascii="Aptos" w:eastAsiaTheme="minorEastAsia" w:hAnsi="Aptos"/>
          <w:iCs/>
          <w:color w:val="0E2841" w:themeColor="text2"/>
          <w:kern w:val="0"/>
          <w:sz w:val="20"/>
          <w:szCs w:val="18"/>
          <w:lang w:val="es-ES" w:eastAsia="ja-JP"/>
          <w14:ligatures w14:val="none"/>
        </w:rPr>
        <w:t xml:space="preserve"> </w:t>
      </w:r>
    </w:p>
    <w:tbl>
      <w:tblPr>
        <w:tblW w:w="9016" w:type="dxa"/>
        <w:tblLook w:val="04A0" w:firstRow="1" w:lastRow="0" w:firstColumn="1" w:lastColumn="0" w:noHBand="0" w:noVBand="1"/>
      </w:tblPr>
      <w:tblGrid>
        <w:gridCol w:w="2506"/>
        <w:gridCol w:w="1884"/>
        <w:gridCol w:w="708"/>
        <w:gridCol w:w="3261"/>
        <w:gridCol w:w="657"/>
      </w:tblGrid>
      <w:tr w:rsidR="008F15F1" w:rsidRPr="005E3D50" w14:paraId="2B156F0E" w14:textId="77777777" w:rsidTr="006E6831">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410E8FCD"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66AF9006"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78352D3D"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8F15F1" w:rsidRPr="005E3D50" w14:paraId="4636193B" w14:textId="77777777" w:rsidTr="006E6831">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522328"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B.1: servicios brindados por los ecosistemas</w:t>
            </w:r>
          </w:p>
        </w:tc>
        <w:tc>
          <w:tcPr>
            <w:tcW w:w="1884" w:type="dxa"/>
            <w:tcBorders>
              <w:top w:val="single" w:sz="4" w:space="0" w:color="auto"/>
              <w:left w:val="nil"/>
              <w:bottom w:val="single" w:sz="4" w:space="0" w:color="auto"/>
              <w:right w:val="single" w:sz="4" w:space="0" w:color="auto"/>
            </w:tcBorders>
            <w:vAlign w:val="center"/>
            <w:hideMark/>
          </w:tcPr>
          <w:p w14:paraId="1A1BA2C8"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26 % de las Partes</w:t>
            </w:r>
          </w:p>
        </w:tc>
        <w:tc>
          <w:tcPr>
            <w:tcW w:w="708" w:type="dxa"/>
            <w:tcBorders>
              <w:top w:val="single" w:sz="4" w:space="0" w:color="auto"/>
              <w:left w:val="nil"/>
              <w:bottom w:val="single" w:sz="4" w:space="0" w:color="auto"/>
              <w:right w:val="nil"/>
            </w:tcBorders>
            <w:shd w:val="clear" w:color="000000" w:fill="FFC000"/>
            <w:vAlign w:val="center"/>
            <w:hideMark/>
          </w:tcPr>
          <w:p w14:paraId="31407FD7"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127522E4"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Disminución general del 2,5 % entre 2015 y 2023, con un aumento de los servicios culturales pero una disminución de los servicios de regulación y de aprovisionamiento</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32C838C1"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r w:rsidR="008F15F1" w:rsidRPr="005E3D50" w14:paraId="351AEB58" w14:textId="77777777" w:rsidTr="006E6831">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2472D376"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themeColor="text1"/>
                <w:sz w:val="20"/>
                <w:lang w:val="es-ES"/>
              </w:rPr>
              <w:t xml:space="preserve">Indicador binario </w:t>
            </w:r>
            <w:proofErr w:type="spellStart"/>
            <w:r w:rsidRPr="005E3D50">
              <w:rPr>
                <w:rFonts w:ascii="Aptos" w:hAnsi="Aptos"/>
                <w:color w:val="000000" w:themeColor="text1"/>
                <w:sz w:val="20"/>
                <w:lang w:val="es-ES"/>
              </w:rPr>
              <w:t>B.b</w:t>
            </w:r>
            <w:proofErr w:type="spellEnd"/>
            <w:r w:rsidRPr="005E3D50">
              <w:rPr>
                <w:rFonts w:ascii="Aptos" w:hAnsi="Aptos"/>
                <w:color w:val="000000" w:themeColor="text1"/>
                <w:sz w:val="20"/>
                <w:lang w:val="es-ES"/>
              </w:rPr>
              <w:t>: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c>
          <w:tcPr>
            <w:tcW w:w="1884" w:type="dxa"/>
            <w:tcBorders>
              <w:top w:val="nil"/>
              <w:left w:val="nil"/>
              <w:bottom w:val="single" w:sz="4" w:space="0" w:color="auto"/>
              <w:right w:val="single" w:sz="4" w:space="0" w:color="auto"/>
            </w:tcBorders>
            <w:vAlign w:val="center"/>
            <w:hideMark/>
          </w:tcPr>
          <w:p w14:paraId="64272657"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118 </w:t>
            </w:r>
            <w:proofErr w:type="gramStart"/>
            <w:r w:rsidRPr="005E3D50">
              <w:rPr>
                <w:rFonts w:ascii="Aptos" w:hAnsi="Aptos"/>
                <w:color w:val="000000"/>
                <w:sz w:val="20"/>
                <w:lang w:val="es-ES"/>
              </w:rPr>
              <w:t>Partes</w:t>
            </w:r>
            <w:proofErr w:type="gramEnd"/>
          </w:p>
        </w:tc>
        <w:tc>
          <w:tcPr>
            <w:tcW w:w="708" w:type="dxa"/>
            <w:tcBorders>
              <w:top w:val="nil"/>
              <w:left w:val="nil"/>
              <w:bottom w:val="single" w:sz="4" w:space="0" w:color="auto"/>
              <w:right w:val="nil"/>
            </w:tcBorders>
            <w:shd w:val="clear" w:color="auto" w:fill="FFFFFF" w:themeFill="background1"/>
            <w:vAlign w:val="center"/>
            <w:hideMark/>
          </w:tcPr>
          <w:p w14:paraId="4CF6B497"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vertAlign w:val="superscript"/>
                <w:lang w:val="es-ES"/>
                <w14:ligatures w14:val="none"/>
              </w:rPr>
            </w:pPr>
            <w:r w:rsidRPr="005E3D50">
              <w:rPr>
                <w:rFonts w:ascii="Aptos" w:hAnsi="Aptos"/>
                <w:color w:val="000000"/>
                <w:sz w:val="20"/>
                <w:lang w:val="es-ES"/>
              </w:rPr>
              <w:t>n. </w:t>
            </w:r>
            <w:proofErr w:type="spellStart"/>
            <w:proofErr w:type="gramStart"/>
            <w:r w:rsidRPr="005E3D50">
              <w:rPr>
                <w:rFonts w:ascii="Aptos" w:hAnsi="Aptos"/>
                <w:color w:val="000000"/>
                <w:sz w:val="20"/>
                <w:lang w:val="es-ES"/>
              </w:rPr>
              <w:t>a.</w:t>
            </w:r>
            <w:r w:rsidRPr="005E3D50">
              <w:rPr>
                <w:vertAlign w:val="superscript"/>
                <w:lang w:val="es-ES"/>
              </w:rPr>
              <w:t>a</w:t>
            </w:r>
            <w:proofErr w:type="spellEnd"/>
            <w:proofErr w:type="gramEnd"/>
          </w:p>
        </w:tc>
        <w:tc>
          <w:tcPr>
            <w:tcW w:w="3261" w:type="dxa"/>
            <w:tcBorders>
              <w:top w:val="nil"/>
              <w:left w:val="single" w:sz="4" w:space="0" w:color="auto"/>
              <w:bottom w:val="single" w:sz="4" w:space="0" w:color="auto"/>
              <w:right w:val="single" w:sz="4" w:space="0" w:color="auto"/>
            </w:tcBorders>
            <w:vAlign w:val="center"/>
            <w:hideMark/>
          </w:tcPr>
          <w:p w14:paraId="2F7AEEA8"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El 71 % de las Partes tuvieron una puntuación alta (puntuación de 4 o 5)</w:t>
            </w:r>
          </w:p>
        </w:tc>
        <w:tc>
          <w:tcPr>
            <w:tcW w:w="657" w:type="dxa"/>
            <w:tcBorders>
              <w:top w:val="nil"/>
              <w:left w:val="single" w:sz="4" w:space="0" w:color="auto"/>
              <w:bottom w:val="single" w:sz="4" w:space="0" w:color="auto"/>
              <w:right w:val="single" w:sz="4" w:space="0" w:color="auto"/>
            </w:tcBorders>
            <w:shd w:val="clear" w:color="auto" w:fill="92D050"/>
            <w:vAlign w:val="center"/>
          </w:tcPr>
          <w:p w14:paraId="1A2268CB"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r>
    </w:tbl>
    <w:p w14:paraId="64C36044" w14:textId="77777777" w:rsidR="008F15F1" w:rsidRPr="005E3D50" w:rsidRDefault="008F15F1" w:rsidP="008F15F1">
      <w:pPr>
        <w:rPr>
          <w:rFonts w:ascii="Aptos" w:hAnsi="Aptos"/>
          <w:lang w:val="es-ES"/>
        </w:rPr>
      </w:pPr>
    </w:p>
    <w:p w14:paraId="3650ED9D" w14:textId="77777777" w:rsidR="008F15F1" w:rsidRPr="005E3D50" w:rsidRDefault="008F15F1" w:rsidP="008F15F1">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cuadro 3).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indicadores binarios se basa en el porcentaje de Partes que tuvieron una puntuación alta (4 o 5) para el indicador en general (se asigna el color verde a valores iguales o superiores a 50 %, amarillo a valores entre 25 % y 50 % y rojo a valores inferiores a 25 %).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w:t>
      </w:r>
      <w:r w:rsidRPr="005E3D50">
        <w:rPr>
          <w:rFonts w:ascii="Aptos" w:hAnsi="Aptos"/>
          <w:sz w:val="16"/>
          <w:lang w:val="es-ES"/>
        </w:rPr>
        <w:lastRenderedPageBreak/>
        <w:t>cabecera puede no coincidir con el utilizado en los resultados agregados tanto del indicador de cabecera como de todos los indicadores cuantitativos combinados.</w:t>
      </w:r>
    </w:p>
    <w:p w14:paraId="59B882DD" w14:textId="77777777" w:rsidR="008F15F1" w:rsidRPr="005E3D50" w:rsidRDefault="008F15F1" w:rsidP="008F15F1">
      <w:pPr>
        <w:spacing w:after="0" w:line="240" w:lineRule="auto"/>
        <w:rPr>
          <w:rFonts w:eastAsiaTheme="minorEastAsia"/>
          <w:kern w:val="0"/>
          <w:sz w:val="16"/>
          <w:szCs w:val="16"/>
          <w:lang w:val="es-ES" w:eastAsia="ja-JP"/>
          <w14:ligatures w14:val="none"/>
        </w:rPr>
      </w:pPr>
      <w:proofErr w:type="gramStart"/>
      <w:r w:rsidRPr="005E3D50">
        <w:rPr>
          <w:rFonts w:eastAsiaTheme="minorEastAsia"/>
          <w:kern w:val="0"/>
          <w:sz w:val="20"/>
          <w:szCs w:val="20"/>
          <w:vertAlign w:val="superscript"/>
          <w:lang w:val="es-ES" w:eastAsia="ja-JP"/>
          <w14:ligatures w14:val="none"/>
        </w:rPr>
        <w:t>a</w:t>
      </w:r>
      <w:proofErr w:type="gramEnd"/>
      <w:r w:rsidRPr="005E3D50">
        <w:rPr>
          <w:rFonts w:eastAsiaTheme="minorEastAsia"/>
          <w:kern w:val="0"/>
          <w:sz w:val="20"/>
          <w:szCs w:val="20"/>
          <w:lang w:val="es-ES" w:eastAsia="ja-JP"/>
          <w14:ligatures w14:val="none"/>
        </w:rPr>
        <w:t xml:space="preserve"> </w:t>
      </w:r>
      <w:r w:rsidRPr="005E3D50">
        <w:rPr>
          <w:rFonts w:eastAsiaTheme="minorEastAsia"/>
          <w:kern w:val="0"/>
          <w:sz w:val="16"/>
          <w:szCs w:val="20"/>
          <w:lang w:val="es-ES" w:eastAsia="ja-JP"/>
          <w14:ligatures w14:val="none"/>
        </w:rPr>
        <w:t>Dado que la herramienta de presentación de informes en línea requiere que se ingresen datos para los indicadores binarios, el cálculo de comunicaciones para estos indicadores no refleja las diferencias que existen en la capacidad de seguimiento de las distintas metas y tampoco aporta información que sirva para adoptar medidas tendientes a lograr progresos en la implementación, por lo que en estos casos no resulta pertinente evaluar el uso del indicador.</w:t>
      </w:r>
    </w:p>
    <w:p w14:paraId="16814888" w14:textId="77777777" w:rsidR="008F15F1" w:rsidRPr="005E3D50" w:rsidRDefault="008F15F1" w:rsidP="008F15F1">
      <w:pPr>
        <w:rPr>
          <w:lang w:val="es-ES"/>
        </w:rPr>
      </w:pPr>
    </w:p>
    <w:p w14:paraId="78C840A0" w14:textId="77777777" w:rsidR="008F15F1" w:rsidRPr="005E3D50" w:rsidRDefault="008F15F1" w:rsidP="008F15F1">
      <w:pPr>
        <w:rPr>
          <w:rFonts w:ascii="Aptos" w:hAnsi="Aptos"/>
          <w:lang w:val="es-ES"/>
        </w:rPr>
      </w:pPr>
      <w:r w:rsidRPr="005E3D50">
        <w:rPr>
          <w:lang w:val="es-ES"/>
        </w:rPr>
        <w:t>Las Partes informaron datos cuantitativos sobre muchos servicios de los ecosistemas diferentes, centrándose en gran medida en los servicios relacionados con la calidad del agua y del aire y con los sectores productivos. En general, los servicios de los ecosistemas mostraron una tendencia descendente en las siete Partes que presentaron datos para el indicador de cabecera B.1 (servicios brindados por los ecosistemas), utilizando el índice basado en la contabilidad de los servicios de los ecosistemas (véanse el cuadro 52 y la figura 49).</w:t>
      </w:r>
      <w:r w:rsidRPr="005E3D50">
        <w:rPr>
          <w:rFonts w:ascii="Aptos" w:hAnsi="Aptos"/>
          <w:lang w:val="es-ES"/>
        </w:rPr>
        <w:t xml:space="preserve"> Esto pone de relieve la necesidad de promover la adopción y aplicación de la contabilidad de los ecosistemas para apoyar el seguimiento de los progresos hacia la consecución del Objetivo B. Dado que el indicador de cabecera B.1 también hace un seguimiento de los progresos en relación con la meta 11 del Marco, este se examina con más detalle en la parte pertinente de la sección II.B.</w:t>
      </w:r>
    </w:p>
    <w:p w14:paraId="3564354F" w14:textId="77777777" w:rsidR="008F15F1" w:rsidRPr="005E3D50" w:rsidRDefault="008F15F1" w:rsidP="008F15F1">
      <w:pPr>
        <w:rPr>
          <w:rFonts w:ascii="Aptos" w:hAnsi="Aptos"/>
          <w:color w:val="000000" w:themeColor="text1"/>
          <w:shd w:val="clear" w:color="auto" w:fill="FFFFFF"/>
          <w:lang w:val="es-ES"/>
        </w:rPr>
      </w:pPr>
      <w:r w:rsidRPr="005E3D50">
        <w:rPr>
          <w:lang w:val="es-ES"/>
        </w:rPr>
        <w:t>Utilizando el indicador binario relacionado con el Objetivo B, la mayoría de las Partes informó haber realizado buenos progresos en el establecimiento de medidas para implementar y hacer un seguimiento de la utilización sostenible de la diversidad biológica y el mantenimiento y la mejora de las contribuciones de la naturaleza a las personas, incluidas las funciones y los servicios de los ecosistemas (véase la figura 102).</w:t>
      </w:r>
      <w:r w:rsidRPr="005E3D50">
        <w:rPr>
          <w:rFonts w:ascii="Aptos" w:hAnsi="Aptos"/>
          <w:color w:val="000000" w:themeColor="text1"/>
          <w:shd w:val="clear" w:color="auto" w:fill="FFFFFF"/>
          <w:lang w:val="es-ES"/>
        </w:rPr>
        <w:t xml:space="preserve"> Sin embargo, solo 1 de cada 10 Partes informó haber aplicado plenamente esas medidas. Las Partes informaron haber realizado muchos más progresos en cuanto a las medidas relacionadas con la implementación que en aquellas relacionadas con el seguimiento, y haber realizado más progresos en las medidas relativas a la utilización sostenible de la diversidad biológica que en las medidas para mantener y mejorar las contribuciones de la naturaleza a las personas. </w:t>
      </w:r>
    </w:p>
    <w:p w14:paraId="605DE2DA" w14:textId="77777777" w:rsidR="008F15F1" w:rsidRPr="005E3D50" w:rsidRDefault="008F15F1" w:rsidP="008F15F1">
      <w:pPr>
        <w:rPr>
          <w:rFonts w:ascii="Aptos" w:hAnsi="Aptos"/>
          <w:color w:val="000000" w:themeColor="text1"/>
          <w:shd w:val="clear" w:color="auto" w:fill="FFFFFF"/>
          <w:lang w:val="es-ES"/>
        </w:rPr>
      </w:pPr>
    </w:p>
    <w:p w14:paraId="0CD4A628" w14:textId="77777777" w:rsidR="008F15F1" w:rsidRPr="005E3D50" w:rsidRDefault="008F15F1" w:rsidP="008F15F1">
      <w:pPr>
        <w:rPr>
          <w:sz w:val="20"/>
          <w:szCs w:val="20"/>
          <w:lang w:val="es-ES"/>
        </w:rPr>
      </w:pPr>
      <w:bookmarkStart w:id="591" w:name="_Ref238833366"/>
      <w:r w:rsidRPr="005E3D50">
        <w:rPr>
          <w:sz w:val="20"/>
          <w:lang w:val="es-ES"/>
        </w:rPr>
        <w:t>Figura 102</w:t>
      </w:r>
      <w:bookmarkEnd w:id="591"/>
    </w:p>
    <w:p w14:paraId="54F701A8"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b/>
          <w:iCs/>
          <w:color w:val="0E2841" w:themeColor="text2"/>
          <w:kern w:val="0"/>
          <w:sz w:val="18"/>
          <w:szCs w:val="18"/>
          <w:lang w:val="es-ES" w:eastAsia="ja-JP"/>
          <w14:ligatures w14:val="none"/>
        </w:rPr>
        <w:t xml:space="preserve">Indicador binario </w:t>
      </w:r>
      <w:proofErr w:type="spellStart"/>
      <w:r w:rsidRPr="005E3D50">
        <w:rPr>
          <w:rFonts w:ascii="Aptos" w:eastAsiaTheme="minorEastAsia" w:hAnsi="Aptos"/>
          <w:b/>
          <w:iCs/>
          <w:color w:val="0E2841" w:themeColor="text2"/>
          <w:kern w:val="0"/>
          <w:sz w:val="18"/>
          <w:szCs w:val="18"/>
          <w:lang w:val="es-ES" w:eastAsia="ja-JP"/>
          <w14:ligatures w14:val="none"/>
        </w:rPr>
        <w:t>B.b</w:t>
      </w:r>
      <w:proofErr w:type="spellEnd"/>
      <w:r w:rsidRPr="005E3D50">
        <w:rPr>
          <w:rFonts w:ascii="Aptos" w:eastAsiaTheme="minorEastAsia" w:hAnsi="Aptos"/>
          <w:b/>
          <w:iCs/>
          <w:color w:val="0E2841" w:themeColor="text2"/>
          <w:kern w:val="0"/>
          <w:sz w:val="18"/>
          <w:szCs w:val="18"/>
          <w:lang w:val="es-ES" w:eastAsia="ja-JP"/>
          <w14:ligatures w14:val="none"/>
        </w:rPr>
        <w:t>:</w:t>
      </w:r>
      <w:r w:rsidRPr="005E3D50">
        <w:rPr>
          <w:rFonts w:eastAsiaTheme="minorEastAsia"/>
          <w:b/>
          <w:iCs/>
          <w:color w:val="0E2841" w:themeColor="text2"/>
          <w:kern w:val="0"/>
          <w:sz w:val="18"/>
          <w:szCs w:val="18"/>
          <w:lang w:val="es-ES" w:eastAsia="ja-JP"/>
          <w14:ligatures w14:val="none"/>
        </w:rPr>
        <w:t xml:space="preserve">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r w:rsidRPr="005E3D50">
        <w:rPr>
          <w:rFonts w:ascii="Aptos" w:eastAsiaTheme="minorEastAsia" w:hAnsi="Aptos"/>
          <w:iCs/>
          <w:color w:val="0E2841" w:themeColor="text2"/>
          <w:kern w:val="0"/>
          <w:sz w:val="18"/>
          <w:szCs w:val="18"/>
          <w:lang w:val="es-ES" w:eastAsia="ja-JP"/>
          <w14:ligatures w14:val="none"/>
        </w:rPr>
        <w:t xml:space="preserve"> </w:t>
      </w:r>
    </w:p>
    <w:p w14:paraId="23075B8E" w14:textId="77777777" w:rsidR="008F15F1" w:rsidRPr="005E3D50" w:rsidRDefault="008F15F1" w:rsidP="008F15F1">
      <w:pPr>
        <w:rPr>
          <w:rFonts w:ascii="Aptos" w:hAnsi="Aptos"/>
          <w:sz w:val="20"/>
          <w:szCs w:val="20"/>
          <w:lang w:val="es-ES"/>
        </w:rPr>
      </w:pPr>
    </w:p>
    <w:p w14:paraId="6C502209"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lastRenderedPageBreak/>
        <w:drawing>
          <wp:inline distT="0" distB="0" distL="0" distR="0" wp14:anchorId="0CCD533B" wp14:editId="3BFEC265">
            <wp:extent cx="5943600" cy="2264410"/>
            <wp:effectExtent l="0" t="0" r="0" b="0"/>
            <wp:docPr id="84241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3928" name="Picture 842413928"/>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936B019" w14:textId="77777777" w:rsidR="008F15F1" w:rsidRPr="005E3D50" w:rsidRDefault="008F15F1" w:rsidP="008F15F1">
      <w:pPr>
        <w:spacing w:after="200" w:line="240" w:lineRule="auto"/>
        <w:rPr>
          <w:rFonts w:ascii="Aptos" w:eastAsiaTheme="minorEastAsia" w:hAnsi="Apto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 xml:space="preserve">El grosor de las barras indica el porcentaje de Partes que corresponde a cada categoría de puntuación, que se calcula sobre la base de las respuestas a las preguntas incluidas en el indicador. </w:t>
      </w:r>
      <w:r w:rsidRPr="005E3D50">
        <w:rPr>
          <w:rFonts w:ascii="Aptos" w:eastAsiaTheme="minorEastAsia" w:hAnsi="Aptos"/>
          <w:iCs/>
          <w:color w:val="0E2841" w:themeColor="text2"/>
          <w:kern w:val="0"/>
          <w:sz w:val="18"/>
          <w:szCs w:val="18"/>
          <w:vertAlign w:val="superscript"/>
          <w:lang w:val="es-ES" w:eastAsia="ja-JP"/>
          <w14:ligatures w14:val="none"/>
        </w:rPr>
        <w:t>a</w:t>
      </w:r>
      <w:r w:rsidRPr="005E3D50">
        <w:rPr>
          <w:rFonts w:ascii="Aptos" w:eastAsiaTheme="minorEastAsia" w:hAnsi="Aptos"/>
          <w:iCs/>
          <w:color w:val="0E2841" w:themeColor="text2"/>
          <w:kern w:val="0"/>
          <w:sz w:val="18"/>
          <w:szCs w:val="18"/>
          <w:lang w:val="es-ES" w:eastAsia="ja-JP"/>
          <w14:ligatures w14:val="none"/>
        </w:rPr>
        <w:t> El gráfico circular muestra la distribución de las Partes que respondieron todas las preguntas, por región. La definición de los colores de cada región se indica en la leyenda de la figura: los tonos más oscuros representan la proporción de Partes de una región dada para la que se incluyen datos en el gráfico; los tonos más claros representan la proporción de Partes de la misma región para la que no se incluyen datos en el gráfico.</w:t>
      </w:r>
    </w:p>
    <w:p w14:paraId="220EA09A" w14:textId="77777777" w:rsidR="008F15F1" w:rsidRDefault="008F15F1" w:rsidP="008F15F1">
      <w:pPr>
        <w:rPr>
          <w:sz w:val="18"/>
          <w:szCs w:val="18"/>
          <w:lang w:val="es-ES"/>
        </w:rPr>
      </w:pPr>
      <w:r w:rsidRPr="005E3D50">
        <w:rPr>
          <w:sz w:val="18"/>
          <w:vertAlign w:val="superscript"/>
          <w:lang w:val="es-ES"/>
        </w:rPr>
        <w:t xml:space="preserve">a </w:t>
      </w:r>
      <w:r w:rsidRPr="00D82805">
        <w:rPr>
          <w:sz w:val="18"/>
          <w:szCs w:val="18"/>
          <w:lang w:val="es-ES"/>
        </w:rPr>
        <w:t xml:space="preserve">La metodología empleada para calcular los niveles de puntuación para cada indicador binario, así como las preguntas incluidas para cada indicador, figuran en el documento </w:t>
      </w:r>
      <w:hyperlink r:id="rId229" w:history="1">
        <w:r w:rsidRPr="00D82805">
          <w:rPr>
            <w:color w:val="000000" w:themeColor="text1"/>
            <w:sz w:val="18"/>
            <w:szCs w:val="18"/>
            <w:lang w:val="es-ES"/>
          </w:rPr>
          <w:t>CBD/COP/16/INF/3/Rev.1</w:t>
        </w:r>
      </w:hyperlink>
      <w:r w:rsidRPr="00D82805">
        <w:rPr>
          <w:sz w:val="18"/>
          <w:szCs w:val="18"/>
          <w:lang w:val="es-ES"/>
        </w:rPr>
        <w:t>.</w:t>
      </w:r>
    </w:p>
    <w:tbl>
      <w:tblPr>
        <w:tblStyle w:val="TableGrid"/>
        <w:tblW w:w="9211" w:type="dxa"/>
        <w:tblLook w:val="04A0" w:firstRow="1" w:lastRow="0" w:firstColumn="1" w:lastColumn="0" w:noHBand="0" w:noVBand="1"/>
      </w:tblPr>
      <w:tblGrid>
        <w:gridCol w:w="4686"/>
        <w:gridCol w:w="4525"/>
      </w:tblGrid>
      <w:tr w:rsidR="00396E6A" w:rsidRPr="00396E6A" w14:paraId="13FE8C9A" w14:textId="77777777" w:rsidTr="00396E6A">
        <w:tc>
          <w:tcPr>
            <w:tcW w:w="9211" w:type="dxa"/>
            <w:gridSpan w:val="2"/>
          </w:tcPr>
          <w:p w14:paraId="4A0A9B8F" w14:textId="7EC9A11D" w:rsidR="00396E6A" w:rsidRPr="00396E6A" w:rsidRDefault="00396E6A" w:rsidP="00B93410">
            <w:pPr>
              <w:rPr>
                <w:rFonts w:ascii="Aptos" w:hAnsi="Aptos"/>
                <w:bCs/>
                <w:sz w:val="18"/>
                <w:szCs w:val="18"/>
                <w:lang w:val="es-ES"/>
              </w:rPr>
            </w:pPr>
            <w:r w:rsidRPr="00396E6A">
              <w:rPr>
                <w:rFonts w:ascii="Aptos" w:hAnsi="Aptos"/>
                <w:bCs/>
                <w:sz w:val="18"/>
                <w:szCs w:val="18"/>
                <w:lang w:val="es-ES"/>
              </w:rPr>
              <w:t>Figura 102</w:t>
            </w:r>
          </w:p>
        </w:tc>
      </w:tr>
      <w:tr w:rsidR="00396E6A" w:rsidRPr="00396E6A" w14:paraId="30ED8CDE" w14:textId="77777777" w:rsidTr="00396E6A">
        <w:tc>
          <w:tcPr>
            <w:tcW w:w="4686" w:type="dxa"/>
          </w:tcPr>
          <w:p w14:paraId="3956735E" w14:textId="77777777" w:rsidR="00396E6A" w:rsidRPr="00396E6A" w:rsidRDefault="00396E6A" w:rsidP="00B93410">
            <w:pPr>
              <w:rPr>
                <w:rFonts w:ascii="Aptos" w:hAnsi="Aptos"/>
                <w:bCs/>
                <w:sz w:val="18"/>
                <w:szCs w:val="18"/>
                <w:lang w:val="es-ES"/>
              </w:rPr>
            </w:pPr>
            <w:r w:rsidRPr="00396E6A">
              <w:rPr>
                <w:rFonts w:ascii="Aptos" w:hAnsi="Aptos"/>
                <w:bCs/>
                <w:sz w:val="18"/>
                <w:szCs w:val="18"/>
                <w:lang w:val="es-ES"/>
              </w:rPr>
              <w:t xml:space="preserve">English </w:t>
            </w:r>
          </w:p>
        </w:tc>
        <w:tc>
          <w:tcPr>
            <w:tcW w:w="4524" w:type="dxa"/>
          </w:tcPr>
          <w:p w14:paraId="7156FB24" w14:textId="7A815452" w:rsidR="00396E6A" w:rsidRPr="00396E6A" w:rsidRDefault="00396E6A" w:rsidP="00B93410">
            <w:pPr>
              <w:rPr>
                <w:rFonts w:ascii="Aptos" w:hAnsi="Aptos"/>
                <w:bCs/>
                <w:sz w:val="18"/>
                <w:szCs w:val="18"/>
                <w:lang w:val="es-ES"/>
              </w:rPr>
            </w:pPr>
            <w:r w:rsidRPr="00396E6A">
              <w:rPr>
                <w:rFonts w:ascii="Aptos" w:hAnsi="Aptos"/>
                <w:bCs/>
                <w:sz w:val="18"/>
                <w:szCs w:val="18"/>
                <w:lang w:val="es-ES"/>
              </w:rPr>
              <w:t>Español</w:t>
            </w:r>
          </w:p>
        </w:tc>
      </w:tr>
      <w:tr w:rsidR="00396E6A" w:rsidRPr="00396E6A" w14:paraId="09531D4A" w14:textId="77777777" w:rsidTr="00396E6A">
        <w:tc>
          <w:tcPr>
            <w:tcW w:w="4686" w:type="dxa"/>
          </w:tcPr>
          <w:p w14:paraId="3ECF5DED" w14:textId="77777777" w:rsidR="00396E6A" w:rsidRPr="00396E6A" w:rsidRDefault="00396E6A" w:rsidP="00B93410">
            <w:pPr>
              <w:rPr>
                <w:rFonts w:ascii="Aptos" w:hAnsi="Aptos"/>
                <w:sz w:val="18"/>
                <w:szCs w:val="18"/>
                <w:lang w:val="es-ES"/>
              </w:rPr>
            </w:pPr>
            <w:proofErr w:type="spellStart"/>
            <w:r w:rsidRPr="00396E6A">
              <w:rPr>
                <w:rFonts w:ascii="Aptos" w:hAnsi="Aptos"/>
                <w:sz w:val="18"/>
                <w:szCs w:val="18"/>
                <w:lang w:val="es-ES"/>
              </w:rPr>
              <w:t>Answers</w:t>
            </w:r>
            <w:proofErr w:type="spellEnd"/>
            <w:r w:rsidRPr="00396E6A">
              <w:rPr>
                <w:rFonts w:ascii="Aptos" w:hAnsi="Aptos"/>
                <w:sz w:val="18"/>
                <w:szCs w:val="18"/>
                <w:lang w:val="es-ES"/>
              </w:rPr>
              <w:t xml:space="preserve"> (</w:t>
            </w:r>
            <w:proofErr w:type="spellStart"/>
            <w:r w:rsidRPr="00396E6A">
              <w:rPr>
                <w:rFonts w:ascii="Aptos" w:hAnsi="Aptos"/>
                <w:sz w:val="18"/>
                <w:szCs w:val="18"/>
                <w:lang w:val="es-ES"/>
              </w:rPr>
              <w:t>percentage</w:t>
            </w:r>
            <w:proofErr w:type="spellEnd"/>
            <w:r w:rsidRPr="00396E6A">
              <w:rPr>
                <w:rFonts w:ascii="Aptos" w:hAnsi="Aptos"/>
                <w:sz w:val="18"/>
                <w:szCs w:val="18"/>
                <w:lang w:val="es-ES"/>
              </w:rPr>
              <w:t>)</w:t>
            </w:r>
          </w:p>
        </w:tc>
        <w:tc>
          <w:tcPr>
            <w:tcW w:w="4524" w:type="dxa"/>
          </w:tcPr>
          <w:p w14:paraId="338B7D4F"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Respuestas (porcentaje)</w:t>
            </w:r>
          </w:p>
        </w:tc>
      </w:tr>
      <w:tr w:rsidR="00396E6A" w:rsidRPr="00396E6A" w14:paraId="4AB2A1E2" w14:textId="77777777" w:rsidTr="00396E6A">
        <w:tc>
          <w:tcPr>
            <w:tcW w:w="4686" w:type="dxa"/>
          </w:tcPr>
          <w:p w14:paraId="54974E56"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 xml:space="preserve">Score </w:t>
            </w:r>
            <w:proofErr w:type="spellStart"/>
            <w:r w:rsidRPr="00396E6A">
              <w:rPr>
                <w:rFonts w:ascii="Aptos" w:hAnsi="Aptos"/>
                <w:sz w:val="18"/>
                <w:szCs w:val="18"/>
                <w:lang w:val="es-ES"/>
              </w:rPr>
              <w:t>level</w:t>
            </w:r>
            <w:proofErr w:type="spellEnd"/>
          </w:p>
        </w:tc>
        <w:tc>
          <w:tcPr>
            <w:tcW w:w="4524" w:type="dxa"/>
          </w:tcPr>
          <w:p w14:paraId="60702E71"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Nivel de puntuación</w:t>
            </w:r>
          </w:p>
        </w:tc>
      </w:tr>
      <w:tr w:rsidR="00396E6A" w:rsidRPr="00396E6A" w14:paraId="73556532" w14:textId="77777777" w:rsidTr="00396E6A">
        <w:tc>
          <w:tcPr>
            <w:tcW w:w="4686" w:type="dxa"/>
          </w:tcPr>
          <w:p w14:paraId="41F9261B"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 xml:space="preserve">Party </w:t>
            </w:r>
            <w:proofErr w:type="spellStart"/>
            <w:r w:rsidRPr="00396E6A">
              <w:rPr>
                <w:rFonts w:ascii="Aptos" w:hAnsi="Aptos"/>
                <w:sz w:val="18"/>
                <w:szCs w:val="18"/>
                <w:lang w:val="es-ES"/>
              </w:rPr>
              <w:t>count</w:t>
            </w:r>
            <w:proofErr w:type="spellEnd"/>
            <w:r w:rsidRPr="00396E6A">
              <w:rPr>
                <w:rFonts w:ascii="Aptos" w:hAnsi="Aptos"/>
                <w:sz w:val="18"/>
                <w:szCs w:val="18"/>
                <w:lang w:val="es-ES"/>
              </w:rPr>
              <w:t>: 118</w:t>
            </w:r>
          </w:p>
        </w:tc>
        <w:tc>
          <w:tcPr>
            <w:tcW w:w="4524" w:type="dxa"/>
          </w:tcPr>
          <w:p w14:paraId="21A934A5"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Número de Partes: 118</w:t>
            </w:r>
          </w:p>
        </w:tc>
      </w:tr>
      <w:tr w:rsidR="00396E6A" w:rsidRPr="00396E6A" w14:paraId="7C1F5A2C" w14:textId="77777777" w:rsidTr="00396E6A">
        <w:tc>
          <w:tcPr>
            <w:tcW w:w="4686" w:type="dxa"/>
          </w:tcPr>
          <w:p w14:paraId="2E182567" w14:textId="77777777" w:rsidR="00396E6A" w:rsidRPr="00396E6A" w:rsidRDefault="00396E6A" w:rsidP="00B93410">
            <w:pPr>
              <w:rPr>
                <w:rFonts w:ascii="Aptos" w:hAnsi="Aptos"/>
                <w:sz w:val="18"/>
                <w:szCs w:val="18"/>
                <w:lang w:val="es-ES"/>
              </w:rPr>
            </w:pPr>
            <w:proofErr w:type="spellStart"/>
            <w:r w:rsidRPr="00396E6A">
              <w:rPr>
                <w:rFonts w:ascii="Aptos" w:hAnsi="Aptos"/>
                <w:sz w:val="18"/>
                <w:szCs w:val="18"/>
                <w:lang w:val="es-ES"/>
              </w:rPr>
              <w:t>Region</w:t>
            </w:r>
            <w:proofErr w:type="spellEnd"/>
          </w:p>
        </w:tc>
        <w:tc>
          <w:tcPr>
            <w:tcW w:w="4524" w:type="dxa"/>
          </w:tcPr>
          <w:p w14:paraId="291A96FE"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Región</w:t>
            </w:r>
          </w:p>
        </w:tc>
      </w:tr>
      <w:tr w:rsidR="00396E6A" w:rsidRPr="00396E6A" w14:paraId="63C10716" w14:textId="77777777" w:rsidTr="00396E6A">
        <w:tc>
          <w:tcPr>
            <w:tcW w:w="4686" w:type="dxa"/>
          </w:tcPr>
          <w:p w14:paraId="59D34A43"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African States</w:t>
            </w:r>
          </w:p>
        </w:tc>
        <w:tc>
          <w:tcPr>
            <w:tcW w:w="4524" w:type="dxa"/>
          </w:tcPr>
          <w:p w14:paraId="1579265A"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Estados de África</w:t>
            </w:r>
          </w:p>
        </w:tc>
      </w:tr>
      <w:tr w:rsidR="00396E6A" w:rsidRPr="00396E6A" w14:paraId="1D7DFCDE" w14:textId="77777777" w:rsidTr="00396E6A">
        <w:tc>
          <w:tcPr>
            <w:tcW w:w="4686" w:type="dxa"/>
          </w:tcPr>
          <w:p w14:paraId="7F39C043"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Asia-Pacific States</w:t>
            </w:r>
          </w:p>
        </w:tc>
        <w:tc>
          <w:tcPr>
            <w:tcW w:w="4524" w:type="dxa"/>
          </w:tcPr>
          <w:p w14:paraId="0BB0ECED"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Estados de Asia y el Pacífico</w:t>
            </w:r>
          </w:p>
        </w:tc>
      </w:tr>
      <w:tr w:rsidR="00396E6A" w:rsidRPr="00396E6A" w14:paraId="538747EE" w14:textId="77777777" w:rsidTr="00396E6A">
        <w:tc>
          <w:tcPr>
            <w:tcW w:w="4686" w:type="dxa"/>
          </w:tcPr>
          <w:p w14:paraId="055A900B" w14:textId="77777777" w:rsidR="00396E6A" w:rsidRPr="00396E6A" w:rsidRDefault="00396E6A" w:rsidP="00B93410">
            <w:pPr>
              <w:rPr>
                <w:rFonts w:ascii="Aptos" w:hAnsi="Aptos"/>
                <w:sz w:val="18"/>
                <w:szCs w:val="18"/>
                <w:lang w:val="en-US"/>
              </w:rPr>
            </w:pPr>
            <w:r w:rsidRPr="00396E6A">
              <w:rPr>
                <w:rFonts w:ascii="Aptos" w:hAnsi="Aptos"/>
                <w:sz w:val="18"/>
                <w:szCs w:val="18"/>
                <w:lang w:val="en-US"/>
              </w:rPr>
              <w:t>Latin American and Caribbean States</w:t>
            </w:r>
          </w:p>
        </w:tc>
        <w:tc>
          <w:tcPr>
            <w:tcW w:w="4524" w:type="dxa"/>
          </w:tcPr>
          <w:p w14:paraId="307354C1"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Estados de América Latina y el Caribe</w:t>
            </w:r>
          </w:p>
        </w:tc>
      </w:tr>
      <w:tr w:rsidR="00396E6A" w:rsidRPr="00396E6A" w14:paraId="17344D80" w14:textId="77777777" w:rsidTr="00396E6A">
        <w:tc>
          <w:tcPr>
            <w:tcW w:w="4686" w:type="dxa"/>
          </w:tcPr>
          <w:p w14:paraId="07DF4ACF"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Eastern European States</w:t>
            </w:r>
          </w:p>
        </w:tc>
        <w:tc>
          <w:tcPr>
            <w:tcW w:w="4524" w:type="dxa"/>
          </w:tcPr>
          <w:p w14:paraId="20B33CE8"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Estados de Europa Oriental</w:t>
            </w:r>
          </w:p>
        </w:tc>
      </w:tr>
      <w:tr w:rsidR="00396E6A" w:rsidRPr="00396E6A" w14:paraId="79B1191D" w14:textId="77777777" w:rsidTr="00396E6A">
        <w:tc>
          <w:tcPr>
            <w:tcW w:w="4686" w:type="dxa"/>
          </w:tcPr>
          <w:p w14:paraId="4C8DEA56" w14:textId="77777777" w:rsidR="00396E6A" w:rsidRPr="00396E6A" w:rsidRDefault="00396E6A" w:rsidP="00B93410">
            <w:pPr>
              <w:rPr>
                <w:rFonts w:ascii="Aptos" w:hAnsi="Aptos"/>
                <w:sz w:val="18"/>
                <w:szCs w:val="18"/>
                <w:lang w:val="en-US"/>
              </w:rPr>
            </w:pPr>
            <w:r w:rsidRPr="00396E6A">
              <w:rPr>
                <w:rFonts w:ascii="Aptos" w:hAnsi="Aptos"/>
                <w:sz w:val="18"/>
                <w:szCs w:val="18"/>
                <w:lang w:val="en-US"/>
              </w:rPr>
              <w:t>Western European and other States</w:t>
            </w:r>
          </w:p>
        </w:tc>
        <w:tc>
          <w:tcPr>
            <w:tcW w:w="4524" w:type="dxa"/>
          </w:tcPr>
          <w:p w14:paraId="0FDBAE0E" w14:textId="77777777" w:rsidR="00396E6A" w:rsidRPr="00396E6A" w:rsidRDefault="00396E6A" w:rsidP="00B93410">
            <w:pPr>
              <w:rPr>
                <w:rFonts w:ascii="Aptos" w:hAnsi="Aptos"/>
                <w:sz w:val="18"/>
                <w:szCs w:val="18"/>
                <w:lang w:val="es-ES"/>
              </w:rPr>
            </w:pPr>
            <w:r w:rsidRPr="00396E6A">
              <w:rPr>
                <w:rFonts w:ascii="Aptos" w:hAnsi="Aptos"/>
                <w:sz w:val="18"/>
                <w:szCs w:val="18"/>
                <w:lang w:val="es-ES"/>
              </w:rPr>
              <w:t>Estados de Europa Occidental y otros Estados</w:t>
            </w:r>
          </w:p>
        </w:tc>
      </w:tr>
    </w:tbl>
    <w:p w14:paraId="52C59C9D" w14:textId="77777777" w:rsidR="00396E6A" w:rsidRPr="00D82805" w:rsidRDefault="00396E6A" w:rsidP="008F15F1">
      <w:pPr>
        <w:rPr>
          <w:sz w:val="18"/>
          <w:szCs w:val="18"/>
          <w:lang w:val="es-ES"/>
        </w:rPr>
      </w:pPr>
    </w:p>
    <w:p w14:paraId="2633EE8B"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3152FF9F"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Resumen de las medidas adoptadas para promover los progresos hacia la consecución del Objetivo B</w:t>
      </w:r>
    </w:p>
    <w:p w14:paraId="58254848" w14:textId="77777777" w:rsidR="008F15F1" w:rsidRPr="005E3D50" w:rsidRDefault="008F15F1" w:rsidP="008F15F1">
      <w:pPr>
        <w:rPr>
          <w:lang w:val="es-ES"/>
        </w:rPr>
      </w:pPr>
    </w:p>
    <w:p w14:paraId="2952E3F9" w14:textId="77777777" w:rsidR="008F15F1" w:rsidRPr="005E3D50" w:rsidRDefault="008F15F1" w:rsidP="008F15F1">
      <w:pPr>
        <w:spacing w:line="279" w:lineRule="auto"/>
        <w:rPr>
          <w:lang w:val="es-ES"/>
        </w:rPr>
      </w:pPr>
      <w:r w:rsidRPr="005E3D50">
        <w:rPr>
          <w:lang w:val="es-ES"/>
        </w:rPr>
        <w:t xml:space="preserve">En sus informes nacionales, las Partes han destacado numerosas medidas relacionadas con la promoción de la sostenibilidad de los sectores productivos, una finalidad que está a su vez relacionada con el Objetivo B. Entre las opciones señaladas como particularmente eficaces figuran la ampliación de los sistemas de certificación y las prácticas de gestión comunitaria, la designación de áreas marinas protegidas como zonas de veda, la reducción del uso de plaguicidas y la creación de mecanismos basados en el mercado que vinculan la actividad de desarrollo con el mantenimiento de los servicios de los </w:t>
      </w:r>
      <w:r w:rsidRPr="005E3D50">
        <w:rPr>
          <w:lang w:val="es-ES"/>
        </w:rPr>
        <w:lastRenderedPageBreak/>
        <w:t xml:space="preserve">ecosistemas. Las Partes también han destacado una serie de medidas relacionadas con la integración, como la contabilización del capital natural y el establecimiento de presupuestos “verdes” en todos los ministerios, diseñados específicamente para apoyar las actividades relacionadas con el medio ambiente en todo el gobierno. Muchas Partes señalaron la necesidad de establecer instrumentos jurídicamente vinculantes para apoyar la integración y la conservación como una dificultad en relación con los progresos hacia la consecución del Objetivo B. Otras medidas pertinentes identificadas por las Partes incluyen el uso de soluciones basadas en la naturaleza en relación con la restauración de los ecosistemas, la promoción y el apoyo financiero a los medios de vida basados en los ecosistemas, y la inclusión de infraestructura verde y reducción de la contaminación en la planificación urbana. Además, las Partes han sugerido medidas para abordar las deficiencias en materia de participación mediante el apoyo y la promoción de la gestión de las áreas protegidas y conservadas por los pueblos indígenas y las comunidades locales, y la participación de las mujeres y las comunidades en los proyectos de restauración, incluso mediante el pago de salarios. </w:t>
      </w:r>
    </w:p>
    <w:p w14:paraId="6C009DEC"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p>
    <w:p w14:paraId="6EB75819" w14:textId="77777777" w:rsidR="008F15F1" w:rsidRPr="005E3D50" w:rsidRDefault="008F15F1" w:rsidP="008F15F1">
      <w:pPr>
        <w:keepNext/>
        <w:keepLines/>
        <w:spacing w:before="80" w:after="40"/>
        <w:outlineLvl w:val="3"/>
        <w:rPr>
          <w:rFonts w:eastAsiaTheme="majorEastAsia" w:cstheme="majorBidi"/>
          <w:color w:val="0F4761" w:themeColor="accent1" w:themeShade="BF"/>
          <w:lang w:val="es-ES"/>
        </w:rPr>
      </w:pPr>
      <w:bookmarkStart w:id="592" w:name="_Toc235821352"/>
      <w:bookmarkStart w:id="593" w:name="_Toc239069223"/>
      <w:bookmarkStart w:id="594" w:name="_Toc927307887"/>
      <w:bookmarkStart w:id="595" w:name="_Toc242883001"/>
      <w:r w:rsidRPr="005E3D50">
        <w:rPr>
          <w:rFonts w:eastAsiaTheme="majorEastAsia" w:cstheme="majorBidi"/>
          <w:b/>
          <w:iCs/>
          <w:color w:val="0F4761" w:themeColor="accent1" w:themeShade="BF"/>
          <w:lang w:val="es-ES"/>
        </w:rPr>
        <w:t>Objetivo C.</w:t>
      </w:r>
      <w:r w:rsidRPr="005E3D50">
        <w:rPr>
          <w:rFonts w:eastAsiaTheme="majorEastAsia" w:cstheme="majorBidi"/>
          <w:iCs/>
          <w:color w:val="0F4761" w:themeColor="accent1" w:themeShade="BF"/>
          <w:lang w:val="es-ES"/>
        </w:rPr>
        <w:t xml:space="preserve"> Compartir los beneficios de los recursos genéticos de manera justa</w:t>
      </w:r>
      <w:bookmarkEnd w:id="592"/>
      <w:bookmarkEnd w:id="593"/>
      <w:bookmarkEnd w:id="594"/>
      <w:bookmarkEnd w:id="595"/>
    </w:p>
    <w:p w14:paraId="0ABBB08B" w14:textId="77777777" w:rsidR="008F15F1" w:rsidRPr="005E3D50" w:rsidRDefault="008F15F1" w:rsidP="008F15F1">
      <w:pPr>
        <w:rPr>
          <w:lang w:val="es-ES"/>
        </w:rPr>
      </w:pPr>
    </w:p>
    <w:p w14:paraId="5D7088E7" w14:textId="77777777" w:rsidR="008F15F1" w:rsidRPr="005E3D50" w:rsidRDefault="008F15F1" w:rsidP="008F15F1">
      <w:pPr>
        <w:rPr>
          <w:b/>
          <w:bCs/>
          <w:i/>
          <w:iCs/>
          <w:sz w:val="22"/>
          <w:szCs w:val="22"/>
          <w:lang w:val="es-ES"/>
        </w:rPr>
      </w:pPr>
      <w:r w:rsidRPr="005E3D50">
        <w:rPr>
          <w:b/>
          <w:sz w:val="22"/>
          <w:lang w:val="es-ES"/>
        </w:rPr>
        <w:t xml:space="preserve">Texto del objetivo. </w:t>
      </w:r>
      <w:r w:rsidRPr="005E3D50">
        <w:rPr>
          <w:rFonts w:ascii="Aptos" w:hAnsi="Aptos"/>
          <w:i/>
          <w:color w:val="000000"/>
          <w:sz w:val="22"/>
          <w:shd w:val="clear" w:color="auto" w:fill="FFFFFF"/>
          <w:lang w:val="es-ES"/>
        </w:rPr>
        <w:t>Los beneficios monetarios y no monetarios de la utilización de los recursos genéticos y de la información digital sobre secuencias de recursos genéticos, y de los conocimientos tradicionales asociados a los recursos genéticos, según proceda, se comparten de manera justa y equitativa, y en particular, cuando corresponda, con los pueblos indígenas y las comunidades locales, y se incrementan sustancialmente para 2050, al tiempo que se garantiza que se protegen adecuadamente los conocimientos tradicionales asociados a los recursos genéticos, contribuyendo así a la conservación y utilización sostenible de la diversidad biológica, de conformidad con instrumentos de acceso y participación en los beneficios acordados internacionalmente.</w:t>
      </w:r>
    </w:p>
    <w:p w14:paraId="4140FFE7" w14:textId="77777777" w:rsidR="008F15F1" w:rsidRPr="005E3D50" w:rsidRDefault="008F15F1" w:rsidP="008F15F1">
      <w:pPr>
        <w:rPr>
          <w:lang w:val="es-ES"/>
        </w:rPr>
      </w:pPr>
    </w:p>
    <w:p w14:paraId="75A60FAA"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96" w:name="_Toc235821353"/>
      <w:r w:rsidRPr="005E3D50">
        <w:rPr>
          <w:rFonts w:eastAsiaTheme="majorEastAsia" w:cstheme="majorBidi"/>
          <w:color w:val="0F4761" w:themeColor="accent1" w:themeShade="BF"/>
          <w:lang w:val="es-ES"/>
        </w:rPr>
        <w:t>Panorama general del objetivo</w:t>
      </w:r>
      <w:bookmarkEnd w:id="596"/>
    </w:p>
    <w:p w14:paraId="7EB3E949" w14:textId="77777777" w:rsidR="008F15F1" w:rsidRPr="005E3D50" w:rsidRDefault="008F15F1" w:rsidP="008F15F1">
      <w:pPr>
        <w:rPr>
          <w:lang w:val="es-ES"/>
        </w:rPr>
      </w:pPr>
    </w:p>
    <w:tbl>
      <w:tblPr>
        <w:tblStyle w:val="TableGrid1"/>
        <w:tblW w:w="0" w:type="auto"/>
        <w:tblLook w:val="04A0" w:firstRow="1" w:lastRow="0" w:firstColumn="1" w:lastColumn="0" w:noHBand="0" w:noVBand="1"/>
      </w:tblPr>
      <w:tblGrid>
        <w:gridCol w:w="9016"/>
      </w:tblGrid>
      <w:tr w:rsidR="008F15F1" w:rsidRPr="005E3D50" w14:paraId="4F658EC0" w14:textId="77777777" w:rsidTr="006E6831">
        <w:tc>
          <w:tcPr>
            <w:tcW w:w="9016" w:type="dxa"/>
            <w:shd w:val="clear" w:color="auto" w:fill="D1D1D1" w:themeFill="background2" w:themeFillShade="E6"/>
          </w:tcPr>
          <w:p w14:paraId="57099186" w14:textId="77777777" w:rsidR="008F15F1" w:rsidRPr="005E3D50" w:rsidRDefault="008F15F1" w:rsidP="008F15F1">
            <w:pPr>
              <w:rPr>
                <w:rFonts w:eastAsia="Aptos"/>
              </w:rPr>
            </w:pPr>
          </w:p>
          <w:p w14:paraId="2520B333" w14:textId="77777777" w:rsidR="008F15F1" w:rsidRPr="005E3D50" w:rsidRDefault="008F15F1" w:rsidP="008F15F1">
            <w:pPr>
              <w:rPr>
                <w:rFonts w:eastAsia="Aptos"/>
              </w:rPr>
            </w:pPr>
            <w:r w:rsidRPr="005E3D50">
              <w:t xml:space="preserve">Las Partes relacionaron solo dos metas del Marco con el Objetivo C: la meta 13 sobre acceso y participación en los beneficios y la meta 17 sobre seguridad de la biotecnología. Aunque no se dispone de información suficiente para hacer un seguimiento de los progresos en los resultados relacionados con esas dos metas mundiales, las Partes han informado no obstante sobre los progresos en la </w:t>
            </w:r>
            <w:r w:rsidRPr="005E3D50">
              <w:lastRenderedPageBreak/>
              <w:t>elaboración de algunas de las medidas administrativas, legislativas y de políticas necesarias para llevar estas dos metas a la práctica.</w:t>
            </w:r>
          </w:p>
          <w:p w14:paraId="7287661E" w14:textId="77777777" w:rsidR="008F15F1" w:rsidRPr="005E3D50" w:rsidRDefault="008F15F1" w:rsidP="008F15F1">
            <w:pPr>
              <w:rPr>
                <w:rFonts w:eastAsia="Aptos"/>
              </w:rPr>
            </w:pPr>
          </w:p>
        </w:tc>
      </w:tr>
    </w:tbl>
    <w:p w14:paraId="06222D5A" w14:textId="77777777" w:rsidR="008F15F1" w:rsidRPr="005E3D50" w:rsidRDefault="008F15F1" w:rsidP="008F15F1">
      <w:pPr>
        <w:rPr>
          <w:b/>
          <w:bCs/>
          <w:i/>
          <w:iCs/>
          <w:sz w:val="22"/>
          <w:szCs w:val="22"/>
          <w:lang w:val="es-ES"/>
        </w:rPr>
      </w:pPr>
    </w:p>
    <w:p w14:paraId="683281C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4A89B75"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597" w:name="_Toc235821354"/>
      <w:r w:rsidRPr="005E3D50">
        <w:rPr>
          <w:rFonts w:eastAsiaTheme="majorEastAsia" w:cstheme="majorBidi"/>
          <w:color w:val="0F4761" w:themeColor="accent1" w:themeShade="BF"/>
          <w:lang w:val="es-ES"/>
        </w:rPr>
        <w:t>Progresos en las metas relacionadas</w:t>
      </w:r>
      <w:bookmarkEnd w:id="597"/>
    </w:p>
    <w:p w14:paraId="0360C940" w14:textId="77777777" w:rsidR="008F15F1" w:rsidRPr="005E3D50" w:rsidRDefault="008F15F1" w:rsidP="008F15F1">
      <w:pPr>
        <w:rPr>
          <w:lang w:val="es-ES"/>
        </w:rPr>
      </w:pPr>
      <w:r w:rsidRPr="005E3D50">
        <w:rPr>
          <w:lang w:val="es-ES"/>
        </w:rPr>
        <w:t>Utilizando el método descrito anteriormente, solo dos metas del Marco (metas 13 y 17) se relacionaron con el Objetivo C, el menor número de metas relacionadas con cualquiera de los objetivos (véase la figura 103). Ninguna de las metas comprendidas en el epígrafe “Reducir las amenazas a la biodiversidad” se relacionó con el Objetivo C. La meta 13 tuvo, con gran diferencia, la vinculación más estrecha con el Objetivo C y, al no estar relacionada con ningún otro objetivo, fue la única meta del Marco con una vinculación exclusiva con un solo objetivo.</w:t>
      </w:r>
    </w:p>
    <w:p w14:paraId="33154589" w14:textId="77777777" w:rsidR="008F15F1" w:rsidRPr="005E3D50" w:rsidRDefault="008F15F1" w:rsidP="008F15F1">
      <w:pPr>
        <w:rPr>
          <w:color w:val="000000" w:themeColor="text1"/>
          <w:lang w:val="es-ES"/>
        </w:rPr>
      </w:pPr>
      <w:r w:rsidRPr="005E3D50">
        <w:rPr>
          <w:lang w:val="es-ES"/>
        </w:rPr>
        <w:t>Para las dos metas relacionadas con el Objetivo C, la tendencia media se resume utilizando las tendencias de los indicadores que se presentan en la sección II.B (véase la figura 104). La meta más estrechamente relacionada con el Objetivo C (meta 13) tiene más indicadores que muestran indicios de mejora que indicios de deterioro. Por el contrario, la meta 17 tiene más indicadores que muestran indicios de deterioro que indicios de mejora. En las dos metas relacionadas, el 27 % de los indicadores está mejorando, el 56 % está estables y el 17 % está alejándose de la meta. Estos resultados preliminares sugieren una tendencia en general mixta de progresos hacia la consecución del Objetivo C, con un deterioro notable en relación con una de las metas identificadas por las Partes. Sin embargo, dado que la mayoría de estos indicadores no fueron concebidos para hacer un seguimiento de los progresos hacia la consecución del Objetivo C y no son equivalentes en cuanto a las escalas, los períodos y las variables que registran, la tendencia general debería considerarse solo una imagen indicativa, indirecta e imperfecta de los progresos hacia la consecución del objetivo.</w:t>
      </w:r>
    </w:p>
    <w:p w14:paraId="521975D4" w14:textId="77777777" w:rsidR="008F15F1" w:rsidRPr="005E3D50" w:rsidRDefault="008F15F1" w:rsidP="008F15F1">
      <w:pPr>
        <w:rPr>
          <w:color w:val="000000" w:themeColor="text1"/>
          <w:lang w:val="es-ES"/>
        </w:rPr>
      </w:pPr>
    </w:p>
    <w:p w14:paraId="35CA36C9" w14:textId="77777777" w:rsidR="008F15F1" w:rsidRPr="005E3D50" w:rsidRDefault="008F15F1" w:rsidP="008F15F1">
      <w:pPr>
        <w:rPr>
          <w:sz w:val="20"/>
          <w:szCs w:val="20"/>
          <w:lang w:val="es-ES"/>
        </w:rPr>
      </w:pPr>
      <w:bookmarkStart w:id="598" w:name="_Ref230639022"/>
      <w:r w:rsidRPr="005E3D50">
        <w:rPr>
          <w:sz w:val="20"/>
          <w:lang w:val="es-ES"/>
        </w:rPr>
        <w:t>Figura 103</w:t>
      </w:r>
      <w:bookmarkEnd w:id="598"/>
    </w:p>
    <w:p w14:paraId="29A47EA9" w14:textId="77777777" w:rsidR="008F15F1" w:rsidRPr="005E3D50" w:rsidRDefault="008F15F1" w:rsidP="008F15F1">
      <w:pPr>
        <w:rPr>
          <w:b/>
          <w:bCs/>
          <w:sz w:val="20"/>
          <w:szCs w:val="20"/>
          <w:lang w:val="es-ES"/>
        </w:rPr>
      </w:pPr>
      <w:r w:rsidRPr="005E3D50">
        <w:rPr>
          <w:b/>
          <w:sz w:val="20"/>
          <w:lang w:val="es-ES"/>
        </w:rPr>
        <w:t>Metas del Marco relacionadas con el Objetivo C en las metas nacionales presentadas por las Partes</w:t>
      </w:r>
    </w:p>
    <w:p w14:paraId="269BD15E" w14:textId="77777777" w:rsidR="008F15F1" w:rsidRPr="005E3D50" w:rsidRDefault="008F15F1" w:rsidP="008F15F1">
      <w:pPr>
        <w:rPr>
          <w:sz w:val="20"/>
          <w:szCs w:val="20"/>
          <w:lang w:val="es-ES"/>
        </w:rPr>
      </w:pPr>
    </w:p>
    <w:p w14:paraId="42BBD0ED" w14:textId="77777777" w:rsidR="008F15F1" w:rsidRPr="005E3D50" w:rsidRDefault="008F15F1" w:rsidP="008F15F1">
      <w:pPr>
        <w:rPr>
          <w:lang w:val="es-ES"/>
        </w:rPr>
      </w:pPr>
      <w:r w:rsidRPr="005E3D50">
        <w:rPr>
          <w:noProof/>
          <w:lang w:val="en-US"/>
        </w:rPr>
        <w:drawing>
          <wp:inline distT="0" distB="0" distL="0" distR="0" wp14:anchorId="37746CDE" wp14:editId="088141C4">
            <wp:extent cx="4726616" cy="786651"/>
            <wp:effectExtent l="0" t="0" r="0" b="1270"/>
            <wp:docPr id="128013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3332" name="Picture 1280133332"/>
                    <pic:cNvPicPr/>
                  </pic:nvPicPr>
                  <pic:blipFill rotWithShape="1">
                    <a:blip r:embed="rId230" cstate="print">
                      <a:extLst>
                        <a:ext uri="{28A0092B-C50C-407E-A947-70E740481C1C}">
                          <a14:useLocalDpi xmlns:a14="http://schemas.microsoft.com/office/drawing/2010/main" val="0"/>
                        </a:ext>
                      </a:extLst>
                    </a:blip>
                    <a:srcRect t="45921" b="45203"/>
                    <a:stretch>
                      <a:fillRect/>
                    </a:stretch>
                  </pic:blipFill>
                  <pic:spPr bwMode="auto">
                    <a:xfrm>
                      <a:off x="0" y="0"/>
                      <a:ext cx="4726940" cy="786705"/>
                    </a:xfrm>
                    <a:prstGeom prst="rect">
                      <a:avLst/>
                    </a:prstGeom>
                    <a:ln>
                      <a:noFill/>
                    </a:ln>
                    <a:extLst>
                      <a:ext uri="{53640926-AAD7-44D8-BBD7-CCE9431645EC}">
                        <a14:shadowObscured xmlns:a14="http://schemas.microsoft.com/office/drawing/2010/main"/>
                      </a:ext>
                    </a:extLst>
                  </pic:spPr>
                </pic:pic>
              </a:graphicData>
            </a:graphic>
          </wp:inline>
        </w:drawing>
      </w:r>
    </w:p>
    <w:p w14:paraId="3A4ADC67" w14:textId="77777777" w:rsidR="008F15F1" w:rsidRPr="005E3D50" w:rsidRDefault="008F15F1" w:rsidP="008F15F1">
      <w:pPr>
        <w:rPr>
          <w:lang w:val="es-ES" w:eastAsia="ja-JP"/>
        </w:rPr>
      </w:pPr>
    </w:p>
    <w:p w14:paraId="64F6401F"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Se establece un vínculo entre una meta y el objetivo si al menos un tercio de todas las metas nacionales establecidas por las Partes de cualquier grupo regional de Estados Miembros de las Naciones Unidas relacionaron una meta con el objetivo. Los colores empleados destacan cada meta de acuerdo con las directrices oficiales de marca del Marco y no tienen ningún significado adicional.</w:t>
      </w:r>
    </w:p>
    <w:tbl>
      <w:tblPr>
        <w:tblStyle w:val="TableGrid"/>
        <w:tblW w:w="9444" w:type="dxa"/>
        <w:tblLook w:val="04A0" w:firstRow="1" w:lastRow="0" w:firstColumn="1" w:lastColumn="0" w:noHBand="0" w:noVBand="1"/>
      </w:tblPr>
      <w:tblGrid>
        <w:gridCol w:w="4500"/>
        <w:gridCol w:w="4944"/>
      </w:tblGrid>
      <w:tr w:rsidR="00A62A31" w:rsidRPr="00A62A31" w14:paraId="05187E96" w14:textId="77777777" w:rsidTr="00A62A31">
        <w:tc>
          <w:tcPr>
            <w:tcW w:w="9444" w:type="dxa"/>
            <w:gridSpan w:val="2"/>
          </w:tcPr>
          <w:p w14:paraId="3990DA6E" w14:textId="4AD8263E" w:rsidR="00A62A31" w:rsidRPr="00A62A31" w:rsidRDefault="00A62A31" w:rsidP="00B93410">
            <w:pPr>
              <w:rPr>
                <w:rFonts w:ascii="Aptos" w:hAnsi="Aptos"/>
                <w:bCs/>
                <w:sz w:val="18"/>
                <w:szCs w:val="18"/>
                <w:lang w:val="es-ES"/>
              </w:rPr>
            </w:pPr>
            <w:r w:rsidRPr="00A62A31">
              <w:rPr>
                <w:rFonts w:ascii="Aptos" w:hAnsi="Aptos"/>
                <w:bCs/>
                <w:sz w:val="18"/>
                <w:szCs w:val="18"/>
                <w:lang w:val="es-ES"/>
              </w:rPr>
              <w:t>Figura 103</w:t>
            </w:r>
          </w:p>
        </w:tc>
      </w:tr>
      <w:tr w:rsidR="00A62A31" w:rsidRPr="00A62A31" w14:paraId="197C6FF7" w14:textId="77777777" w:rsidTr="00A62A31">
        <w:tc>
          <w:tcPr>
            <w:tcW w:w="4500" w:type="dxa"/>
          </w:tcPr>
          <w:p w14:paraId="55962B0B" w14:textId="77777777" w:rsidR="00A62A31" w:rsidRPr="00A62A31" w:rsidRDefault="00A62A31" w:rsidP="00B93410">
            <w:pPr>
              <w:rPr>
                <w:rFonts w:ascii="Aptos" w:hAnsi="Aptos"/>
                <w:bCs/>
                <w:sz w:val="18"/>
                <w:szCs w:val="18"/>
                <w:lang w:val="es-ES"/>
              </w:rPr>
            </w:pPr>
            <w:r w:rsidRPr="00A62A31">
              <w:rPr>
                <w:rFonts w:ascii="Aptos" w:hAnsi="Aptos"/>
                <w:bCs/>
                <w:sz w:val="18"/>
                <w:szCs w:val="18"/>
                <w:lang w:val="es-ES"/>
              </w:rPr>
              <w:t xml:space="preserve">English </w:t>
            </w:r>
          </w:p>
        </w:tc>
        <w:tc>
          <w:tcPr>
            <w:tcW w:w="4943" w:type="dxa"/>
          </w:tcPr>
          <w:p w14:paraId="5E63107D" w14:textId="7237ECD2" w:rsidR="00A62A31" w:rsidRPr="00A62A31" w:rsidRDefault="00A62A31" w:rsidP="00B93410">
            <w:pPr>
              <w:rPr>
                <w:rFonts w:ascii="Aptos" w:hAnsi="Aptos"/>
                <w:bCs/>
                <w:sz w:val="18"/>
                <w:szCs w:val="18"/>
                <w:lang w:val="es-ES"/>
              </w:rPr>
            </w:pPr>
            <w:r w:rsidRPr="00A62A31">
              <w:rPr>
                <w:rFonts w:ascii="Aptos" w:hAnsi="Aptos"/>
                <w:bCs/>
                <w:sz w:val="18"/>
                <w:szCs w:val="18"/>
                <w:lang w:val="es-ES"/>
              </w:rPr>
              <w:t>Español</w:t>
            </w:r>
          </w:p>
        </w:tc>
      </w:tr>
      <w:tr w:rsidR="00A62A31" w:rsidRPr="00A62A31" w14:paraId="2227B388" w14:textId="77777777" w:rsidTr="00A62A31">
        <w:tc>
          <w:tcPr>
            <w:tcW w:w="4500" w:type="dxa"/>
          </w:tcPr>
          <w:p w14:paraId="55E0276D" w14:textId="77777777" w:rsidR="00A62A31" w:rsidRPr="00A62A31" w:rsidRDefault="00A62A31" w:rsidP="00B93410">
            <w:pPr>
              <w:rPr>
                <w:rFonts w:ascii="Aptos" w:hAnsi="Aptos"/>
                <w:sz w:val="18"/>
                <w:szCs w:val="18"/>
                <w:lang w:val="es-ES"/>
              </w:rPr>
            </w:pPr>
            <w:proofErr w:type="spellStart"/>
            <w:r w:rsidRPr="00A62A31">
              <w:rPr>
                <w:rFonts w:ascii="Aptos" w:hAnsi="Aptos"/>
                <w:sz w:val="18"/>
                <w:szCs w:val="18"/>
                <w:lang w:val="es-ES"/>
              </w:rPr>
              <w:t>Goal</w:t>
            </w:r>
            <w:proofErr w:type="spellEnd"/>
            <w:r w:rsidRPr="00A62A31">
              <w:rPr>
                <w:rFonts w:ascii="Aptos" w:hAnsi="Aptos"/>
                <w:sz w:val="18"/>
                <w:szCs w:val="18"/>
                <w:lang w:val="es-ES"/>
              </w:rPr>
              <w:t xml:space="preserve"> C</w:t>
            </w:r>
          </w:p>
        </w:tc>
        <w:tc>
          <w:tcPr>
            <w:tcW w:w="4943" w:type="dxa"/>
          </w:tcPr>
          <w:p w14:paraId="161441A9" w14:textId="77777777" w:rsidR="00A62A31" w:rsidRPr="00A62A31" w:rsidRDefault="00A62A31" w:rsidP="00B93410">
            <w:pPr>
              <w:rPr>
                <w:rFonts w:ascii="Aptos" w:hAnsi="Aptos"/>
                <w:sz w:val="18"/>
                <w:szCs w:val="18"/>
                <w:lang w:val="es-ES"/>
              </w:rPr>
            </w:pPr>
            <w:r w:rsidRPr="00A62A31">
              <w:rPr>
                <w:rFonts w:ascii="Aptos" w:hAnsi="Aptos"/>
                <w:sz w:val="18"/>
                <w:szCs w:val="18"/>
                <w:lang w:val="es-ES"/>
              </w:rPr>
              <w:t>Objetivo C</w:t>
            </w:r>
          </w:p>
        </w:tc>
      </w:tr>
      <w:tr w:rsidR="00A62A31" w:rsidRPr="00A62A31" w14:paraId="510E9CA0" w14:textId="77777777" w:rsidTr="00A62A31">
        <w:tc>
          <w:tcPr>
            <w:tcW w:w="4500" w:type="dxa"/>
          </w:tcPr>
          <w:p w14:paraId="681F38A7" w14:textId="77777777" w:rsidR="00A62A31" w:rsidRPr="00A62A31" w:rsidRDefault="00A62A31" w:rsidP="00B93410">
            <w:pPr>
              <w:rPr>
                <w:rFonts w:ascii="Aptos" w:hAnsi="Aptos"/>
                <w:sz w:val="18"/>
                <w:szCs w:val="18"/>
                <w:lang w:val="es-ES"/>
              </w:rPr>
            </w:pPr>
            <w:r w:rsidRPr="00A62A31">
              <w:rPr>
                <w:rFonts w:ascii="Aptos" w:hAnsi="Aptos"/>
                <w:sz w:val="18"/>
                <w:szCs w:val="18"/>
                <w:lang w:val="es-ES"/>
              </w:rPr>
              <w:t xml:space="preserve">T13: </w:t>
            </w:r>
            <w:proofErr w:type="spellStart"/>
            <w:r w:rsidRPr="00A62A31">
              <w:rPr>
                <w:rFonts w:ascii="Aptos" w:hAnsi="Aptos"/>
                <w:sz w:val="18"/>
                <w:szCs w:val="18"/>
                <w:lang w:val="es-ES"/>
              </w:rPr>
              <w:t>Increase</w:t>
            </w:r>
            <w:proofErr w:type="spellEnd"/>
            <w:r w:rsidRPr="00A62A31">
              <w:rPr>
                <w:rFonts w:ascii="Aptos" w:hAnsi="Aptos"/>
                <w:sz w:val="18"/>
                <w:szCs w:val="18"/>
                <w:lang w:val="es-ES"/>
              </w:rPr>
              <w:t xml:space="preserve"> </w:t>
            </w:r>
            <w:proofErr w:type="spellStart"/>
            <w:r w:rsidRPr="00A62A31">
              <w:rPr>
                <w:rFonts w:ascii="Aptos" w:hAnsi="Aptos"/>
                <w:sz w:val="18"/>
                <w:szCs w:val="18"/>
                <w:lang w:val="es-ES"/>
              </w:rPr>
              <w:t>benefit</w:t>
            </w:r>
            <w:proofErr w:type="spellEnd"/>
            <w:r w:rsidRPr="00A62A31">
              <w:rPr>
                <w:rFonts w:ascii="Aptos" w:hAnsi="Aptos"/>
                <w:sz w:val="18"/>
                <w:szCs w:val="18"/>
                <w:lang w:val="es-ES"/>
              </w:rPr>
              <w:t xml:space="preserve">- </w:t>
            </w:r>
            <w:proofErr w:type="spellStart"/>
            <w:r w:rsidRPr="00A62A31">
              <w:rPr>
                <w:rFonts w:ascii="Aptos" w:hAnsi="Aptos"/>
                <w:sz w:val="18"/>
                <w:szCs w:val="18"/>
                <w:lang w:val="es-ES"/>
              </w:rPr>
              <w:t>sharing</w:t>
            </w:r>
            <w:proofErr w:type="spellEnd"/>
          </w:p>
        </w:tc>
        <w:tc>
          <w:tcPr>
            <w:tcW w:w="4943" w:type="dxa"/>
          </w:tcPr>
          <w:p w14:paraId="09A3194F" w14:textId="77777777" w:rsidR="00A62A31" w:rsidRPr="00A62A31" w:rsidRDefault="00A62A31" w:rsidP="00B93410">
            <w:pPr>
              <w:rPr>
                <w:rFonts w:ascii="Aptos" w:hAnsi="Aptos"/>
                <w:sz w:val="18"/>
                <w:szCs w:val="18"/>
                <w:lang w:val="es-ES"/>
              </w:rPr>
            </w:pPr>
            <w:r w:rsidRPr="00A62A31">
              <w:rPr>
                <w:rFonts w:ascii="Aptos" w:hAnsi="Aptos"/>
                <w:sz w:val="18"/>
                <w:szCs w:val="18"/>
                <w:lang w:val="es-ES"/>
              </w:rPr>
              <w:t>M13: Aumentar la participación en los beneficios</w:t>
            </w:r>
          </w:p>
        </w:tc>
      </w:tr>
      <w:tr w:rsidR="00A62A31" w:rsidRPr="00A62A31" w14:paraId="56AD3EB7" w14:textId="77777777" w:rsidTr="00A62A31">
        <w:tc>
          <w:tcPr>
            <w:tcW w:w="4500" w:type="dxa"/>
          </w:tcPr>
          <w:p w14:paraId="389B976B" w14:textId="77777777" w:rsidR="00A62A31" w:rsidRPr="00A62A31" w:rsidRDefault="00A62A31" w:rsidP="00B93410">
            <w:pPr>
              <w:rPr>
                <w:rFonts w:ascii="Aptos" w:hAnsi="Aptos"/>
                <w:sz w:val="18"/>
                <w:szCs w:val="18"/>
                <w:lang w:val="es-ES"/>
              </w:rPr>
            </w:pPr>
            <w:r w:rsidRPr="00A62A31">
              <w:rPr>
                <w:rFonts w:ascii="Aptos" w:hAnsi="Aptos"/>
                <w:sz w:val="18"/>
                <w:szCs w:val="18"/>
                <w:lang w:val="es-ES"/>
              </w:rPr>
              <w:t xml:space="preserve">T17: </w:t>
            </w:r>
            <w:proofErr w:type="spellStart"/>
            <w:r w:rsidRPr="00A62A31">
              <w:rPr>
                <w:rFonts w:ascii="Aptos" w:hAnsi="Aptos"/>
                <w:sz w:val="18"/>
                <w:szCs w:val="18"/>
                <w:lang w:val="es-ES"/>
              </w:rPr>
              <w:t>Strengthen</w:t>
            </w:r>
            <w:proofErr w:type="spellEnd"/>
            <w:r w:rsidRPr="00A62A31">
              <w:rPr>
                <w:rFonts w:ascii="Aptos" w:hAnsi="Aptos"/>
                <w:sz w:val="18"/>
                <w:szCs w:val="18"/>
                <w:lang w:val="es-ES"/>
              </w:rPr>
              <w:t xml:space="preserve"> </w:t>
            </w:r>
            <w:proofErr w:type="spellStart"/>
            <w:r w:rsidRPr="00A62A31">
              <w:rPr>
                <w:rFonts w:ascii="Aptos" w:hAnsi="Aptos"/>
                <w:sz w:val="18"/>
                <w:szCs w:val="18"/>
                <w:lang w:val="es-ES"/>
              </w:rPr>
              <w:t>biosafety</w:t>
            </w:r>
            <w:proofErr w:type="spellEnd"/>
            <w:r w:rsidRPr="00A62A31">
              <w:rPr>
                <w:rFonts w:ascii="Aptos" w:hAnsi="Aptos"/>
                <w:sz w:val="18"/>
                <w:szCs w:val="18"/>
                <w:lang w:val="es-ES"/>
              </w:rPr>
              <w:t xml:space="preserve"> </w:t>
            </w:r>
          </w:p>
        </w:tc>
        <w:tc>
          <w:tcPr>
            <w:tcW w:w="4943" w:type="dxa"/>
          </w:tcPr>
          <w:p w14:paraId="2D349E64" w14:textId="77777777" w:rsidR="00A62A31" w:rsidRPr="00A62A31" w:rsidRDefault="00A62A31" w:rsidP="00B93410">
            <w:pPr>
              <w:rPr>
                <w:rFonts w:ascii="Aptos" w:hAnsi="Aptos"/>
                <w:sz w:val="18"/>
                <w:szCs w:val="18"/>
                <w:lang w:val="es-ES"/>
              </w:rPr>
            </w:pPr>
            <w:r w:rsidRPr="00A62A31">
              <w:rPr>
                <w:rFonts w:ascii="Aptos" w:hAnsi="Aptos"/>
                <w:sz w:val="18"/>
                <w:szCs w:val="18"/>
                <w:lang w:val="es-ES"/>
              </w:rPr>
              <w:t xml:space="preserve">M17: Reforzar la seguridad de la biotecnología </w:t>
            </w:r>
          </w:p>
        </w:tc>
      </w:tr>
    </w:tbl>
    <w:p w14:paraId="5606C3E5" w14:textId="77777777" w:rsidR="008F15F1" w:rsidRPr="005E3D50" w:rsidRDefault="008F15F1" w:rsidP="008F15F1">
      <w:pPr>
        <w:rPr>
          <w:lang w:val="es-ES" w:eastAsia="ja-JP"/>
        </w:rPr>
      </w:pPr>
    </w:p>
    <w:p w14:paraId="5C9611D7" w14:textId="77777777" w:rsidR="008F15F1" w:rsidRPr="005E3D50" w:rsidRDefault="008F15F1" w:rsidP="008F15F1">
      <w:pPr>
        <w:rPr>
          <w:sz w:val="20"/>
          <w:szCs w:val="20"/>
          <w:lang w:val="es-ES"/>
        </w:rPr>
      </w:pPr>
      <w:r w:rsidRPr="005E3D50">
        <w:rPr>
          <w:sz w:val="20"/>
          <w:lang w:val="es-ES"/>
        </w:rPr>
        <w:t>Figura 104</w:t>
      </w:r>
    </w:p>
    <w:p w14:paraId="0437434B" w14:textId="77777777" w:rsidR="008F15F1" w:rsidRPr="005E3D50" w:rsidRDefault="008F15F1" w:rsidP="008F15F1">
      <w:pPr>
        <w:rPr>
          <w:sz w:val="20"/>
          <w:szCs w:val="20"/>
          <w:lang w:val="es-ES"/>
        </w:rPr>
      </w:pPr>
      <w:r w:rsidRPr="005E3D50">
        <w:rPr>
          <w:rFonts w:ascii="Aptos" w:hAnsi="Aptos"/>
          <w:b/>
          <w:sz w:val="20"/>
          <w:lang w:val="es-ES"/>
        </w:rPr>
        <w:t>Porcentaje de todos los indicadores cuantitativos (indicadores de cabecera, de componentes, complementarios y nacionales combinados) armonizados con cada meta relacionada con el Objetivo C que sugieren tendencias de mejora, estables y negativas</w:t>
      </w:r>
    </w:p>
    <w:p w14:paraId="571D5415"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599" w:name="_Ref230639171"/>
      <w:r w:rsidRPr="005E3D50">
        <w:rPr>
          <w:rFonts w:eastAsiaTheme="minorEastAsia"/>
          <w:i/>
          <w:iCs/>
          <w:noProof/>
          <w:color w:val="0E2841" w:themeColor="text2"/>
          <w:kern w:val="0"/>
          <w:sz w:val="18"/>
          <w:szCs w:val="18"/>
          <w:lang w:val="en-US"/>
          <w14:ligatures w14:val="none"/>
        </w:rPr>
        <w:drawing>
          <wp:inline distT="0" distB="0" distL="0" distR="0" wp14:anchorId="61C4A9C2" wp14:editId="50B16219">
            <wp:extent cx="4299826" cy="1335819"/>
            <wp:effectExtent l="0" t="0" r="0" b="0"/>
            <wp:docPr id="5756474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7474" name="Picture 575647474"/>
                    <pic:cNvPicPr/>
                  </pic:nvPicPr>
                  <pic:blipFill rotWithShape="1">
                    <a:blip r:embed="rId231" cstate="print">
                      <a:extLst>
                        <a:ext uri="{28A0092B-C50C-407E-A947-70E740481C1C}">
                          <a14:useLocalDpi xmlns:a14="http://schemas.microsoft.com/office/drawing/2010/main" val="0"/>
                        </a:ext>
                      </a:extLst>
                    </a:blip>
                    <a:srcRect t="15058"/>
                    <a:stretch>
                      <a:fillRect/>
                    </a:stretch>
                  </pic:blipFill>
                  <pic:spPr bwMode="auto">
                    <a:xfrm>
                      <a:off x="0" y="0"/>
                      <a:ext cx="4356512" cy="1353429"/>
                    </a:xfrm>
                    <a:prstGeom prst="rect">
                      <a:avLst/>
                    </a:prstGeom>
                    <a:ln>
                      <a:noFill/>
                    </a:ln>
                    <a:extLst>
                      <a:ext uri="{53640926-AAD7-44D8-BBD7-CCE9431645EC}">
                        <a14:shadowObscured xmlns:a14="http://schemas.microsoft.com/office/drawing/2010/main"/>
                      </a:ext>
                    </a:extLst>
                  </pic:spPr>
                </pic:pic>
              </a:graphicData>
            </a:graphic>
          </wp:inline>
        </w:drawing>
      </w:r>
    </w:p>
    <w:bookmarkEnd w:id="599"/>
    <w:p w14:paraId="1B2FA08B" w14:textId="77777777" w:rsidR="008F15F1" w:rsidRDefault="008F15F1" w:rsidP="008F15F1">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Puede consultarse información sobre la representatividad regional y los tipos de indicadores incluidos en las descripciones de cada una de las metas pertinentes que figuran en la sección II.B.</w:t>
      </w:r>
    </w:p>
    <w:tbl>
      <w:tblPr>
        <w:tblStyle w:val="TableGrid"/>
        <w:tblW w:w="9320" w:type="dxa"/>
        <w:tblLook w:val="04A0" w:firstRow="1" w:lastRow="0" w:firstColumn="1" w:lastColumn="0" w:noHBand="0" w:noVBand="1"/>
      </w:tblPr>
      <w:tblGrid>
        <w:gridCol w:w="4924"/>
        <w:gridCol w:w="4396"/>
      </w:tblGrid>
      <w:tr w:rsidR="006B0AE2" w:rsidRPr="006B0AE2" w14:paraId="22880A0F" w14:textId="77777777" w:rsidTr="006B0AE2">
        <w:tc>
          <w:tcPr>
            <w:tcW w:w="9320" w:type="dxa"/>
            <w:gridSpan w:val="2"/>
          </w:tcPr>
          <w:p w14:paraId="32272375" w14:textId="67CCDCF5" w:rsidR="006B0AE2" w:rsidRPr="006B0AE2" w:rsidRDefault="006B0AE2" w:rsidP="00B93410">
            <w:pPr>
              <w:rPr>
                <w:rFonts w:ascii="Aptos" w:hAnsi="Aptos"/>
                <w:bCs/>
                <w:sz w:val="18"/>
                <w:szCs w:val="18"/>
                <w:lang w:val="es-ES"/>
              </w:rPr>
            </w:pPr>
            <w:r w:rsidRPr="006B0AE2">
              <w:rPr>
                <w:rFonts w:ascii="Aptos" w:hAnsi="Aptos"/>
                <w:bCs/>
                <w:sz w:val="18"/>
                <w:szCs w:val="18"/>
                <w:lang w:val="es-ES"/>
              </w:rPr>
              <w:t>Figura 104</w:t>
            </w:r>
          </w:p>
        </w:tc>
      </w:tr>
      <w:tr w:rsidR="006B0AE2" w:rsidRPr="006B0AE2" w14:paraId="7107F7B8" w14:textId="77777777" w:rsidTr="006B0AE2">
        <w:tc>
          <w:tcPr>
            <w:tcW w:w="4924" w:type="dxa"/>
          </w:tcPr>
          <w:p w14:paraId="3BEE15E4" w14:textId="77777777" w:rsidR="006B0AE2" w:rsidRPr="006B0AE2" w:rsidRDefault="006B0AE2" w:rsidP="00B93410">
            <w:pPr>
              <w:rPr>
                <w:rFonts w:ascii="Aptos" w:hAnsi="Aptos"/>
                <w:bCs/>
                <w:sz w:val="18"/>
                <w:szCs w:val="18"/>
                <w:lang w:val="es-ES"/>
              </w:rPr>
            </w:pPr>
            <w:r w:rsidRPr="006B0AE2">
              <w:rPr>
                <w:rFonts w:ascii="Aptos" w:hAnsi="Aptos"/>
                <w:bCs/>
                <w:sz w:val="18"/>
                <w:szCs w:val="18"/>
                <w:lang w:val="es-ES"/>
              </w:rPr>
              <w:t xml:space="preserve">English </w:t>
            </w:r>
          </w:p>
        </w:tc>
        <w:tc>
          <w:tcPr>
            <w:tcW w:w="4396" w:type="dxa"/>
          </w:tcPr>
          <w:p w14:paraId="5E1BF161" w14:textId="51687B9E" w:rsidR="006B0AE2" w:rsidRPr="006B0AE2" w:rsidRDefault="006B0AE2" w:rsidP="00B93410">
            <w:pPr>
              <w:rPr>
                <w:rFonts w:ascii="Aptos" w:hAnsi="Aptos"/>
                <w:bCs/>
                <w:sz w:val="18"/>
                <w:szCs w:val="18"/>
                <w:lang w:val="es-ES"/>
              </w:rPr>
            </w:pPr>
            <w:r w:rsidRPr="006B0AE2">
              <w:rPr>
                <w:rFonts w:ascii="Aptos" w:hAnsi="Aptos"/>
                <w:bCs/>
                <w:sz w:val="18"/>
                <w:szCs w:val="18"/>
                <w:lang w:val="es-ES"/>
              </w:rPr>
              <w:t>Español</w:t>
            </w:r>
          </w:p>
        </w:tc>
      </w:tr>
      <w:tr w:rsidR="006B0AE2" w:rsidRPr="006B0AE2" w14:paraId="38EBF147" w14:textId="77777777" w:rsidTr="006B0AE2">
        <w:tc>
          <w:tcPr>
            <w:tcW w:w="4924" w:type="dxa"/>
          </w:tcPr>
          <w:p w14:paraId="59B733BF"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Target</w:t>
            </w:r>
          </w:p>
        </w:tc>
        <w:tc>
          <w:tcPr>
            <w:tcW w:w="4396" w:type="dxa"/>
          </w:tcPr>
          <w:p w14:paraId="5D5249F4"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Meta</w:t>
            </w:r>
          </w:p>
        </w:tc>
      </w:tr>
      <w:tr w:rsidR="006B0AE2" w:rsidRPr="006B0AE2" w14:paraId="4E29FDA6" w14:textId="77777777" w:rsidTr="006B0AE2">
        <w:tc>
          <w:tcPr>
            <w:tcW w:w="4924" w:type="dxa"/>
          </w:tcPr>
          <w:p w14:paraId="4E941040"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GBF-T13</w:t>
            </w:r>
          </w:p>
        </w:tc>
        <w:tc>
          <w:tcPr>
            <w:tcW w:w="4396" w:type="dxa"/>
          </w:tcPr>
          <w:p w14:paraId="664A5EF6"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M13 del MMB</w:t>
            </w:r>
          </w:p>
        </w:tc>
      </w:tr>
      <w:tr w:rsidR="006B0AE2" w:rsidRPr="006B0AE2" w14:paraId="3BA62975" w14:textId="77777777" w:rsidTr="006B0AE2">
        <w:tc>
          <w:tcPr>
            <w:tcW w:w="4924" w:type="dxa"/>
          </w:tcPr>
          <w:p w14:paraId="3BF4B3EE"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GBF-T17</w:t>
            </w:r>
          </w:p>
        </w:tc>
        <w:tc>
          <w:tcPr>
            <w:tcW w:w="4396" w:type="dxa"/>
          </w:tcPr>
          <w:p w14:paraId="2846B54E"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M17 del MMB</w:t>
            </w:r>
          </w:p>
        </w:tc>
      </w:tr>
      <w:tr w:rsidR="006B0AE2" w:rsidRPr="006B0AE2" w14:paraId="705A1B11" w14:textId="77777777" w:rsidTr="006B0AE2">
        <w:tc>
          <w:tcPr>
            <w:tcW w:w="4924" w:type="dxa"/>
          </w:tcPr>
          <w:p w14:paraId="70914937" w14:textId="77777777" w:rsidR="006B0AE2" w:rsidRPr="006B0AE2" w:rsidRDefault="006B0AE2" w:rsidP="00B93410">
            <w:pPr>
              <w:rPr>
                <w:rFonts w:ascii="Aptos" w:hAnsi="Aptos"/>
                <w:sz w:val="18"/>
                <w:szCs w:val="18"/>
                <w:lang w:val="es-ES"/>
              </w:rPr>
            </w:pPr>
            <w:proofErr w:type="spellStart"/>
            <w:r w:rsidRPr="006B0AE2">
              <w:rPr>
                <w:rFonts w:ascii="Aptos" w:hAnsi="Aptos"/>
                <w:sz w:val="18"/>
                <w:szCs w:val="18"/>
                <w:lang w:val="es-ES"/>
              </w:rPr>
              <w:t>Percentage</w:t>
            </w:r>
            <w:proofErr w:type="spellEnd"/>
          </w:p>
        </w:tc>
        <w:tc>
          <w:tcPr>
            <w:tcW w:w="4396" w:type="dxa"/>
          </w:tcPr>
          <w:p w14:paraId="2F587A57"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Porcentaje</w:t>
            </w:r>
          </w:p>
        </w:tc>
      </w:tr>
      <w:tr w:rsidR="006B0AE2" w:rsidRPr="006B0AE2" w14:paraId="3E137EA3" w14:textId="77777777" w:rsidTr="006B0AE2">
        <w:tc>
          <w:tcPr>
            <w:tcW w:w="4924" w:type="dxa"/>
          </w:tcPr>
          <w:p w14:paraId="4BCD559C"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Trend</w:t>
            </w:r>
          </w:p>
        </w:tc>
        <w:tc>
          <w:tcPr>
            <w:tcW w:w="4396" w:type="dxa"/>
          </w:tcPr>
          <w:p w14:paraId="5D0258BF"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Tendencia</w:t>
            </w:r>
          </w:p>
        </w:tc>
      </w:tr>
      <w:tr w:rsidR="006B0AE2" w:rsidRPr="006B0AE2" w14:paraId="54722658" w14:textId="77777777" w:rsidTr="006B0AE2">
        <w:tc>
          <w:tcPr>
            <w:tcW w:w="4924" w:type="dxa"/>
          </w:tcPr>
          <w:p w14:paraId="0CEE1899" w14:textId="77777777" w:rsidR="006B0AE2" w:rsidRPr="006B0AE2" w:rsidRDefault="006B0AE2" w:rsidP="00B93410">
            <w:pPr>
              <w:rPr>
                <w:rFonts w:ascii="Aptos" w:hAnsi="Aptos"/>
                <w:sz w:val="18"/>
                <w:szCs w:val="18"/>
                <w:lang w:val="es-ES"/>
              </w:rPr>
            </w:pPr>
            <w:proofErr w:type="spellStart"/>
            <w:r w:rsidRPr="006B0AE2">
              <w:rPr>
                <w:rFonts w:ascii="Aptos" w:hAnsi="Aptos"/>
                <w:sz w:val="18"/>
                <w:szCs w:val="18"/>
                <w:lang w:val="es-ES"/>
              </w:rPr>
              <w:t>improving</w:t>
            </w:r>
            <w:proofErr w:type="spellEnd"/>
          </w:p>
        </w:tc>
        <w:tc>
          <w:tcPr>
            <w:tcW w:w="4396" w:type="dxa"/>
          </w:tcPr>
          <w:p w14:paraId="225C92A2"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mejorando</w:t>
            </w:r>
          </w:p>
        </w:tc>
      </w:tr>
      <w:tr w:rsidR="006B0AE2" w:rsidRPr="006B0AE2" w14:paraId="326D1F76" w14:textId="77777777" w:rsidTr="006B0AE2">
        <w:tc>
          <w:tcPr>
            <w:tcW w:w="4924" w:type="dxa"/>
          </w:tcPr>
          <w:p w14:paraId="3A35E179" w14:textId="77777777" w:rsidR="006B0AE2" w:rsidRPr="006B0AE2" w:rsidRDefault="006B0AE2" w:rsidP="00B93410">
            <w:pPr>
              <w:rPr>
                <w:rFonts w:ascii="Aptos" w:hAnsi="Aptos"/>
                <w:sz w:val="18"/>
                <w:szCs w:val="18"/>
                <w:lang w:val="es-ES"/>
              </w:rPr>
            </w:pPr>
            <w:proofErr w:type="spellStart"/>
            <w:r w:rsidRPr="006B0AE2">
              <w:rPr>
                <w:rFonts w:ascii="Aptos" w:hAnsi="Aptos"/>
                <w:sz w:val="18"/>
                <w:szCs w:val="18"/>
                <w:lang w:val="es-ES"/>
              </w:rPr>
              <w:t>stable</w:t>
            </w:r>
            <w:proofErr w:type="spellEnd"/>
          </w:p>
        </w:tc>
        <w:tc>
          <w:tcPr>
            <w:tcW w:w="4396" w:type="dxa"/>
          </w:tcPr>
          <w:p w14:paraId="04EA7A93"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estable</w:t>
            </w:r>
          </w:p>
        </w:tc>
      </w:tr>
      <w:tr w:rsidR="006B0AE2" w:rsidRPr="006B0AE2" w14:paraId="548B2FCB" w14:textId="77777777" w:rsidTr="006B0AE2">
        <w:tc>
          <w:tcPr>
            <w:tcW w:w="4924" w:type="dxa"/>
          </w:tcPr>
          <w:p w14:paraId="1F5CC557" w14:textId="77777777" w:rsidR="006B0AE2" w:rsidRPr="006B0AE2" w:rsidRDefault="006B0AE2" w:rsidP="00B93410">
            <w:pPr>
              <w:rPr>
                <w:rFonts w:ascii="Aptos" w:hAnsi="Aptos"/>
                <w:sz w:val="18"/>
                <w:szCs w:val="18"/>
                <w:lang w:val="es-ES"/>
              </w:rPr>
            </w:pPr>
            <w:proofErr w:type="spellStart"/>
            <w:r w:rsidRPr="006B0AE2">
              <w:rPr>
                <w:rFonts w:ascii="Aptos" w:hAnsi="Aptos"/>
                <w:sz w:val="18"/>
                <w:szCs w:val="18"/>
                <w:lang w:val="es-ES"/>
              </w:rPr>
              <w:t>moving</w:t>
            </w:r>
            <w:proofErr w:type="spellEnd"/>
            <w:r w:rsidRPr="006B0AE2">
              <w:rPr>
                <w:rFonts w:ascii="Aptos" w:hAnsi="Aptos"/>
                <w:sz w:val="18"/>
                <w:szCs w:val="18"/>
                <w:lang w:val="es-ES"/>
              </w:rPr>
              <w:t xml:space="preserve"> </w:t>
            </w:r>
            <w:proofErr w:type="spellStart"/>
            <w:r w:rsidRPr="006B0AE2">
              <w:rPr>
                <w:rFonts w:ascii="Aptos" w:hAnsi="Aptos"/>
                <w:sz w:val="18"/>
                <w:szCs w:val="18"/>
                <w:lang w:val="es-ES"/>
              </w:rPr>
              <w:t>away</w:t>
            </w:r>
            <w:proofErr w:type="spellEnd"/>
          </w:p>
        </w:tc>
        <w:tc>
          <w:tcPr>
            <w:tcW w:w="4396" w:type="dxa"/>
          </w:tcPr>
          <w:p w14:paraId="6BEF4085" w14:textId="77777777" w:rsidR="006B0AE2" w:rsidRPr="006B0AE2" w:rsidRDefault="006B0AE2" w:rsidP="00B93410">
            <w:pPr>
              <w:rPr>
                <w:rFonts w:ascii="Aptos" w:hAnsi="Aptos"/>
                <w:sz w:val="18"/>
                <w:szCs w:val="18"/>
                <w:lang w:val="es-ES"/>
              </w:rPr>
            </w:pPr>
            <w:r w:rsidRPr="006B0AE2">
              <w:rPr>
                <w:rFonts w:ascii="Aptos" w:hAnsi="Aptos"/>
                <w:sz w:val="18"/>
                <w:szCs w:val="18"/>
                <w:lang w:val="es-ES"/>
              </w:rPr>
              <w:t>alejándose</w:t>
            </w:r>
          </w:p>
        </w:tc>
      </w:tr>
    </w:tbl>
    <w:p w14:paraId="22D3984C" w14:textId="77777777" w:rsidR="006B0AE2" w:rsidRPr="005E3D50" w:rsidRDefault="006B0AE2" w:rsidP="008F15F1">
      <w:pPr>
        <w:spacing w:after="200" w:line="240" w:lineRule="auto"/>
        <w:rPr>
          <w:rFonts w:ascii="Aptos" w:eastAsiaTheme="minorEastAsia" w:hAnsi="Aptos"/>
          <w:color w:val="0E2841" w:themeColor="text2"/>
          <w:kern w:val="0"/>
          <w:sz w:val="18"/>
          <w:szCs w:val="18"/>
          <w:lang w:val="es-ES" w:eastAsia="ja-JP"/>
          <w14:ligatures w14:val="none"/>
        </w:rPr>
      </w:pPr>
    </w:p>
    <w:p w14:paraId="0D2EB217"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372DBAB"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600" w:name="_Toc235821355"/>
      <w:r w:rsidRPr="005E3D50">
        <w:rPr>
          <w:rFonts w:eastAsiaTheme="majorEastAsia" w:cstheme="majorBidi"/>
          <w:color w:val="0F4761" w:themeColor="accent1" w:themeShade="BF"/>
          <w:lang w:val="es-ES"/>
        </w:rPr>
        <w:t>Indicadores de progresos</w:t>
      </w:r>
      <w:bookmarkEnd w:id="600"/>
    </w:p>
    <w:p w14:paraId="78621B9D" w14:textId="77777777" w:rsidR="008F15F1" w:rsidRPr="005E3D50" w:rsidRDefault="008F15F1" w:rsidP="008F15F1">
      <w:pPr>
        <w:spacing w:after="200" w:line="276" w:lineRule="auto"/>
        <w:rPr>
          <w:rFonts w:eastAsiaTheme="minorEastAsia"/>
          <w:i/>
          <w:iCs/>
          <w:color w:val="0E2841" w:themeColor="text2"/>
          <w:kern w:val="0"/>
          <w:sz w:val="18"/>
          <w:szCs w:val="18"/>
          <w:lang w:val="es-ES" w:eastAsia="ja-JP"/>
          <w14:ligatures w14:val="none"/>
        </w:rPr>
      </w:pPr>
    </w:p>
    <w:p w14:paraId="66CA56D6" w14:textId="77777777" w:rsidR="008F15F1" w:rsidRPr="005E3D50" w:rsidRDefault="008F15F1" w:rsidP="008F15F1">
      <w:pPr>
        <w:spacing w:after="200" w:line="276" w:lineRule="auto"/>
        <w:rPr>
          <w:rFonts w:eastAsiaTheme="minorEastAsia"/>
          <w:i/>
          <w:iCs/>
          <w:color w:val="0E2841" w:themeColor="text2"/>
          <w:kern w:val="0"/>
          <w:sz w:val="18"/>
          <w:szCs w:val="18"/>
          <w:lang w:val="es-ES" w:eastAsia="ja-JP"/>
          <w14:ligatures w14:val="none"/>
        </w:rPr>
      </w:pPr>
      <w:bookmarkStart w:id="601" w:name="_Ref238835346"/>
      <w:r w:rsidRPr="005E3D50">
        <w:rPr>
          <w:rFonts w:eastAsiaTheme="minorEastAsia"/>
          <w:iCs/>
          <w:color w:val="0E2841" w:themeColor="text2"/>
          <w:kern w:val="0"/>
          <w:sz w:val="20"/>
          <w:szCs w:val="18"/>
          <w:lang w:val="es-ES" w:eastAsia="ja-JP"/>
          <w14:ligatures w14:val="none"/>
        </w:rPr>
        <w:t>Cuadro 53</w:t>
      </w:r>
      <w:bookmarkEnd w:id="601"/>
      <w:r w:rsidRPr="005E3D50">
        <w:rPr>
          <w:rFonts w:eastAsiaTheme="minorEastAsia"/>
          <w:i/>
          <w:iCs/>
          <w:color w:val="0E2841" w:themeColor="text2"/>
          <w:kern w:val="0"/>
          <w:sz w:val="18"/>
          <w:szCs w:val="18"/>
          <w:lang w:val="es-ES" w:eastAsia="ja-JP"/>
          <w14:ligatures w14:val="none"/>
        </w:rPr>
        <w:t xml:space="preserve"> </w:t>
      </w:r>
    </w:p>
    <w:p w14:paraId="7B7232DE" w14:textId="77777777" w:rsidR="008F15F1" w:rsidRPr="005E3D50" w:rsidRDefault="008F15F1" w:rsidP="008F15F1">
      <w:pPr>
        <w:spacing w:after="200" w:line="276" w:lineRule="auto"/>
        <w:rPr>
          <w:rFonts w:eastAsiaTheme="minorEastAsia"/>
          <w:color w:val="0E2841" w:themeColor="text2"/>
          <w:kern w:val="0"/>
          <w:sz w:val="18"/>
          <w:szCs w:val="18"/>
          <w:lang w:val="es-ES" w:eastAsia="ja-JP"/>
          <w14:ligatures w14:val="none"/>
        </w:rPr>
      </w:pPr>
      <w:r w:rsidRPr="005E3D50">
        <w:rPr>
          <w:rFonts w:eastAsiaTheme="minorEastAsia"/>
          <w:b/>
          <w:iCs/>
          <w:color w:val="0E2841" w:themeColor="text2"/>
          <w:kern w:val="0"/>
          <w:sz w:val="18"/>
          <w:szCs w:val="18"/>
          <w:lang w:val="es-ES" w:eastAsia="ja-JP"/>
          <w14:ligatures w14:val="none"/>
        </w:rPr>
        <w:t>Tablero de puntuación de los indicadores para el Objetivo C</w:t>
      </w:r>
      <w:r w:rsidRPr="005E3D50">
        <w:rPr>
          <w:rFonts w:eastAsiaTheme="minorEastAsia"/>
          <w:iCs/>
          <w:color w:val="0E2841" w:themeColor="text2"/>
          <w:kern w:val="0"/>
          <w:sz w:val="18"/>
          <w:szCs w:val="18"/>
          <w:lang w:val="es-ES" w:eastAsia="ja-JP"/>
          <w14:ligatures w14:val="none"/>
        </w:rPr>
        <w:t xml:space="preserve"> </w:t>
      </w:r>
    </w:p>
    <w:p w14:paraId="67167AC3" w14:textId="77777777" w:rsidR="008F15F1" w:rsidRPr="005E3D50" w:rsidRDefault="008F15F1" w:rsidP="008F15F1">
      <w:pPr>
        <w:rPr>
          <w:lang w:val="es-ES" w:eastAsia="ja-JP"/>
        </w:rPr>
      </w:pPr>
    </w:p>
    <w:tbl>
      <w:tblPr>
        <w:tblW w:w="10300" w:type="dxa"/>
        <w:tblLook w:val="04A0" w:firstRow="1" w:lastRow="0" w:firstColumn="1" w:lastColumn="0" w:noHBand="0" w:noVBand="1"/>
      </w:tblPr>
      <w:tblGrid>
        <w:gridCol w:w="3240"/>
        <w:gridCol w:w="2851"/>
        <w:gridCol w:w="708"/>
        <w:gridCol w:w="2835"/>
        <w:gridCol w:w="666"/>
      </w:tblGrid>
      <w:tr w:rsidR="008F15F1" w:rsidRPr="005E3D50" w14:paraId="2CFCE8C0"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4707E74"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4AB00C65"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501" w:type="dxa"/>
            <w:gridSpan w:val="2"/>
            <w:tcBorders>
              <w:top w:val="single" w:sz="4" w:space="0" w:color="auto"/>
              <w:left w:val="nil"/>
              <w:bottom w:val="single" w:sz="4" w:space="0" w:color="auto"/>
              <w:right w:val="single" w:sz="4" w:space="0" w:color="auto"/>
            </w:tcBorders>
            <w:vAlign w:val="center"/>
          </w:tcPr>
          <w:p w14:paraId="5ED859E1"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8F15F1" w:rsidRPr="005E3D50" w14:paraId="3EB43195"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79E9AF"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C.1: beneficios monetarios percibidos de conformidad con instrumentos aplicables de acceso y participación en los beneficios acordados internacionalmente</w:t>
            </w:r>
          </w:p>
        </w:tc>
        <w:tc>
          <w:tcPr>
            <w:tcW w:w="2851" w:type="dxa"/>
            <w:tcBorders>
              <w:top w:val="single" w:sz="4" w:space="0" w:color="auto"/>
              <w:left w:val="nil"/>
              <w:bottom w:val="single" w:sz="4" w:space="0" w:color="auto"/>
              <w:right w:val="single" w:sz="4" w:space="0" w:color="auto"/>
            </w:tcBorders>
            <w:vAlign w:val="center"/>
            <w:hideMark/>
          </w:tcPr>
          <w:p w14:paraId="4906D9E8"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11 % de las Partes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26E27286"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58503EF8"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 xml:space="preserve">Un total de 6,9 millones de dólares de los </w:t>
            </w:r>
            <w:proofErr w:type="gramStart"/>
            <w:r w:rsidRPr="005E3D50">
              <w:rPr>
                <w:rFonts w:ascii="Aptos" w:hAnsi="Aptos"/>
                <w:color w:val="000000"/>
                <w:sz w:val="20"/>
                <w:lang w:val="es-ES"/>
              </w:rPr>
              <w:t>EE.UU.</w:t>
            </w:r>
            <w:proofErr w:type="gramEnd"/>
            <w:r w:rsidRPr="005E3D50">
              <w:rPr>
                <w:rFonts w:ascii="Aptos" w:hAnsi="Aptos"/>
                <w:color w:val="000000"/>
                <w:sz w:val="20"/>
                <w:lang w:val="es-ES"/>
              </w:rPr>
              <w:t xml:space="preserve"> en beneficios monetarios durante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198C8417"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r w:rsidR="008F15F1" w:rsidRPr="005E3D50" w14:paraId="30C18F03" w14:textId="77777777" w:rsidTr="006E6831">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DF090E"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Indicador de cabecera C.2: beneficios no monetarios derivados de instrumentos internacionales aplicables de acceso y participación en los beneficios</w:t>
            </w:r>
          </w:p>
        </w:tc>
        <w:tc>
          <w:tcPr>
            <w:tcW w:w="2851" w:type="dxa"/>
            <w:tcBorders>
              <w:top w:val="single" w:sz="4" w:space="0" w:color="auto"/>
              <w:left w:val="nil"/>
              <w:bottom w:val="single" w:sz="4" w:space="0" w:color="auto"/>
              <w:right w:val="single" w:sz="4" w:space="0" w:color="auto"/>
            </w:tcBorders>
            <w:vAlign w:val="center"/>
            <w:hideMark/>
          </w:tcPr>
          <w:p w14:paraId="046B3575"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14 % de las Partes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1FEE750A"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1A0CC891"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Un total de 960 beneficios no monetarios durante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7772489"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bl>
    <w:p w14:paraId="0C9827A8" w14:textId="77777777" w:rsidR="008F15F1" w:rsidRPr="005E3D50" w:rsidRDefault="008F15F1" w:rsidP="008F15F1">
      <w:pPr>
        <w:rPr>
          <w:lang w:val="es-ES"/>
        </w:rPr>
      </w:pPr>
    </w:p>
    <w:p w14:paraId="44360909" w14:textId="77777777" w:rsidR="008F15F1" w:rsidRPr="005E3D50" w:rsidRDefault="008F15F1" w:rsidP="008F15F1">
      <w:pPr>
        <w:rPr>
          <w:rFonts w:ascii="Aptos" w:hAnsi="Aptos"/>
          <w:lang w:val="es-ES"/>
        </w:rPr>
      </w:pPr>
      <w:r w:rsidRPr="005E3D50">
        <w:rPr>
          <w:lang w:val="es-ES"/>
        </w:rPr>
        <w:t>Muy pocas Partes informaron sobre beneficios monetarios o no monetarios derivados de acuerdos de acceso y participación en los beneficios utilizando los dos indicadores de cabecera vinculados con el Objetivo C (véase el cuadro 53).</w:t>
      </w:r>
      <w:r w:rsidRPr="005E3D50">
        <w:rPr>
          <w:rFonts w:ascii="Aptos" w:hAnsi="Aptos"/>
          <w:lang w:val="es-ES"/>
        </w:rPr>
        <w:t xml:space="preserve"> Muchas Partes comentaron acerca de la dificultad para hacer un seguimiento de los beneficios tanto monetarios como no monetarios en el contexto de sistemas de permisos descentralizados a los que no se da seguimiento a nivel nacional. Como resultado, las Partes informaron muchos tipos diferentes de beneficios no monetarios, incluidos, entre otros, resultados científicos, participación en investigación, capacitación técnica, transferencia de tecnología, bases de datos y participación comunitaria. Además, varias Partes señalaron que aún estaban ultimando su legislación sobre acceso y participación en los beneficios y que se encontraban en vías de aplicar el Protocolo de Nagoya sobre Acceso a los Recursos Genéticos y Participación Justa y Equitativa en los Beneficios que se Deriven de su Utilización al Convenio sobre la Diversidad Biológica. Además, algunas Partes no exigen la participación en los beneficios derivados de la utilización de sus recursos genéticos. </w:t>
      </w:r>
    </w:p>
    <w:p w14:paraId="6805702A" w14:textId="77777777" w:rsidR="008F15F1" w:rsidRPr="005E3D50" w:rsidRDefault="008F15F1" w:rsidP="008F15F1">
      <w:pPr>
        <w:rPr>
          <w:lang w:val="es-ES"/>
        </w:rPr>
      </w:pPr>
      <w:r w:rsidRPr="005E3D50">
        <w:rPr>
          <w:lang w:val="es-ES"/>
        </w:rPr>
        <w:t>Hasta la fecha, no ha sido posible determinar si los beneficios se están compartiendo de manera justa y equitativa, ni cuál es el papel que desempeñan los conocimientos tradicionales y los pueblos indígenas y las comunidades locales. Por lo tanto, no resulta posible aún evaluar los progresos hacia la consecución del Objetivo C.</w:t>
      </w:r>
    </w:p>
    <w:p w14:paraId="33ACE98E" w14:textId="77777777" w:rsidR="008F15F1" w:rsidRPr="005E3D50" w:rsidRDefault="008F15F1" w:rsidP="008F15F1">
      <w:pPr>
        <w:rPr>
          <w:lang w:val="es-ES"/>
        </w:rPr>
      </w:pPr>
      <w:r w:rsidRPr="005E3D50">
        <w:rPr>
          <w:lang w:val="es-ES"/>
        </w:rPr>
        <w:t xml:space="preserve">Los datos del Instituto Leibniz DSMZ (German </w:t>
      </w:r>
      <w:proofErr w:type="spellStart"/>
      <w:r w:rsidRPr="005E3D50">
        <w:rPr>
          <w:lang w:val="es-ES"/>
        </w:rPr>
        <w:t>Collection</w:t>
      </w:r>
      <w:proofErr w:type="spellEnd"/>
      <w:r w:rsidRPr="005E3D50">
        <w:rPr>
          <w:lang w:val="es-ES"/>
        </w:rPr>
        <w:t xml:space="preserve"> of </w:t>
      </w:r>
      <w:proofErr w:type="spellStart"/>
      <w:r w:rsidRPr="005E3D50">
        <w:rPr>
          <w:lang w:val="es-ES"/>
        </w:rPr>
        <w:t>Microorganisms</w:t>
      </w:r>
      <w:proofErr w:type="spellEnd"/>
      <w:r w:rsidRPr="005E3D50">
        <w:rPr>
          <w:lang w:val="es-ES"/>
        </w:rPr>
        <w:t xml:space="preserve"> and Cell Cultures </w:t>
      </w:r>
      <w:proofErr w:type="spellStart"/>
      <w:r w:rsidRPr="005E3D50">
        <w:rPr>
          <w:lang w:val="es-ES"/>
        </w:rPr>
        <w:t>GmbH</w:t>
      </w:r>
      <w:proofErr w:type="spellEnd"/>
      <w:r w:rsidRPr="005E3D50">
        <w:rPr>
          <w:lang w:val="es-ES"/>
        </w:rPr>
        <w:t xml:space="preserve">) que hacen un seguimiento del número de publicaciones que citan permisos de acceso y participación en los beneficios (Instituto Leibniz DSMZ, 2025) muestran que el número de esas publicaciones ha aumentado con el tiempo y ha </w:t>
      </w:r>
      <w:r w:rsidRPr="005E3D50">
        <w:rPr>
          <w:lang w:val="es-ES"/>
        </w:rPr>
        <w:lastRenderedPageBreak/>
        <w:t>alcanzado 228 publicaciones en 2025 (véase la figura 105). Estos datos ponen de relieve que, en el contexto de los permisos de acceso y participación en los beneficios, las Partes de todas las regiones colaboran entre sí. Considerando que solo unas pocas Partes informaron sobre beneficios no monetarios utilizando la metodología definida en los metadatos del indicador (Núñez-Vega y otros, 2025), esas cifras no son directamente comparables. Los indicadores de cabecera C.1 y C.2, dado que también hacen un seguimiento de los progresos en la consecución de la meta 13 del Marco, se tratan más detalladamente en la sección II.B del informe.</w:t>
      </w:r>
    </w:p>
    <w:p w14:paraId="0B88AE74" w14:textId="77777777" w:rsidR="008F15F1" w:rsidRPr="005E3D50" w:rsidRDefault="008F15F1" w:rsidP="008F15F1">
      <w:pPr>
        <w:rPr>
          <w:sz w:val="20"/>
          <w:szCs w:val="20"/>
          <w:lang w:val="es-ES"/>
        </w:rPr>
      </w:pPr>
    </w:p>
    <w:p w14:paraId="15993EA8" w14:textId="77777777" w:rsidR="008F15F1" w:rsidRPr="005E3D50" w:rsidRDefault="008F15F1" w:rsidP="008F15F1">
      <w:pPr>
        <w:rPr>
          <w:sz w:val="20"/>
          <w:szCs w:val="20"/>
          <w:lang w:val="es-ES"/>
        </w:rPr>
      </w:pPr>
      <w:r w:rsidRPr="005E3D50">
        <w:rPr>
          <w:sz w:val="20"/>
          <w:lang w:val="es-ES"/>
        </w:rPr>
        <w:t>Figura 105</w:t>
      </w:r>
    </w:p>
    <w:p w14:paraId="33057472" w14:textId="77777777" w:rsidR="008F15F1" w:rsidRPr="005E3D50" w:rsidRDefault="008F15F1" w:rsidP="008F15F1">
      <w:pPr>
        <w:spacing w:after="200" w:line="240" w:lineRule="auto"/>
        <w:rPr>
          <w:rFonts w:ascii="Aptos" w:eastAsiaTheme="minorEastAsia" w:hAnsi="Aptos" w:cs="Segoe UI"/>
          <w:color w:val="0E2841" w:themeColor="text2"/>
          <w:kern w:val="0"/>
          <w:sz w:val="18"/>
          <w:szCs w:val="18"/>
          <w:lang w:val="es-ES" w:eastAsia="ja-JP"/>
          <w14:ligatures w14:val="none"/>
        </w:rPr>
      </w:pPr>
      <w:r w:rsidRPr="005E3D50">
        <w:rPr>
          <w:rFonts w:ascii="Aptos" w:eastAsiaTheme="minorEastAsia" w:hAnsi="Aptos"/>
          <w:b/>
          <w:iCs/>
          <w:color w:val="0E2841" w:themeColor="text2"/>
          <w:kern w:val="0"/>
          <w:sz w:val="18"/>
          <w:szCs w:val="18"/>
          <w:lang w:val="es-ES" w:eastAsia="ja-JP"/>
          <w14:ligatures w14:val="none"/>
        </w:rPr>
        <w:t>Indicador de cabecera C.2: beneficios no monetarios derivados de instrumentos internacionales aplicables de acceso y participación en los beneficios (sobre la base de datos del Instituto Leibniz DSMZ)</w:t>
      </w:r>
    </w:p>
    <w:p w14:paraId="735102D7" w14:textId="77777777" w:rsidR="008F15F1" w:rsidRPr="005E3D50" w:rsidRDefault="008F15F1" w:rsidP="008F15F1">
      <w:pPr>
        <w:rPr>
          <w:sz w:val="20"/>
          <w:szCs w:val="20"/>
          <w:lang w:val="es-ES"/>
        </w:rPr>
      </w:pPr>
    </w:p>
    <w:p w14:paraId="05E6F29D"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602" w:name="_Ref230716762"/>
      <w:r w:rsidRPr="005E3D50">
        <w:rPr>
          <w:rFonts w:ascii="Aptos" w:eastAsiaTheme="minorEastAsia" w:hAnsi="Aptos"/>
          <w:i/>
          <w:iCs/>
          <w:noProof/>
          <w:color w:val="0E2841" w:themeColor="text2"/>
          <w:kern w:val="0"/>
          <w:sz w:val="18"/>
          <w:szCs w:val="18"/>
          <w:lang w:val="en-US"/>
          <w14:ligatures w14:val="none"/>
        </w:rPr>
        <w:drawing>
          <wp:inline distT="0" distB="0" distL="0" distR="0" wp14:anchorId="400D4521" wp14:editId="5821D9FB">
            <wp:extent cx="5731510" cy="3820795"/>
            <wp:effectExtent l="0" t="0" r="0" b="1905"/>
            <wp:docPr id="10705806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80669" name="Picture 1070580669"/>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bookmarkEnd w:id="602"/>
    <w:p w14:paraId="07F611EF" w14:textId="77777777" w:rsidR="008F15F1" w:rsidRDefault="008F15F1" w:rsidP="008F15F1">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 xml:space="preserve">Nota: </w:t>
      </w:r>
      <w:r w:rsidRPr="005E3D50">
        <w:rPr>
          <w:rFonts w:ascii="Aptos" w:eastAsiaTheme="minorEastAsia" w:hAnsi="Aptos"/>
          <w:iCs/>
          <w:color w:val="0E2841" w:themeColor="text2"/>
          <w:kern w:val="0"/>
          <w:sz w:val="18"/>
          <w:szCs w:val="18"/>
          <w:lang w:val="es-ES" w:eastAsia="ja-JP"/>
          <w14:ligatures w14:val="none"/>
        </w:rPr>
        <w:t>Izquierda: los valores del indicador muestran el número total de beneficios no monetarios percibidos por todas las Partes cada año. Derecha: representatividad regional del conjunto de datos (los tonos más oscuros muestran las comunicaciones de una región determinada).</w:t>
      </w:r>
      <w:r w:rsidRPr="005E3D50">
        <w:rPr>
          <w:rFonts w:ascii="Aptos" w:eastAsiaTheme="minorEastAsia" w:hAnsi="Aptos"/>
          <w:iCs/>
          <w:kern w:val="0"/>
          <w:szCs w:val="18"/>
          <w:lang w:val="es-ES" w:eastAsia="ja-JP"/>
          <w14:ligatures w14:val="none"/>
        </w:rPr>
        <w:t xml:space="preserve"> </w:t>
      </w:r>
      <w:r w:rsidRPr="005E3D50">
        <w:rPr>
          <w:rFonts w:ascii="Aptos" w:eastAsiaTheme="minorEastAsia" w:hAnsi="Aptos"/>
          <w:iCs/>
          <w:color w:val="0E2841" w:themeColor="text2"/>
          <w:kern w:val="0"/>
          <w:sz w:val="18"/>
          <w:szCs w:val="18"/>
          <w:lang w:val="es-ES" w:eastAsia="ja-JP"/>
          <w14:ligatures w14:val="none"/>
        </w:rPr>
        <w:t>La relación entre los colores y las regiones se indica en la leyenda de la figura: los tonos más oscuros representan la proporción de Partes de una región dada para la que se incluyen datos en el gráfico; los tonos más claros representan la proporción de Partes de la misma región para la que no se incluyen datos en la figura. </w:t>
      </w:r>
    </w:p>
    <w:tbl>
      <w:tblPr>
        <w:tblStyle w:val="TableGrid"/>
        <w:tblW w:w="9287" w:type="dxa"/>
        <w:tblLook w:val="04A0" w:firstRow="1" w:lastRow="0" w:firstColumn="1" w:lastColumn="0" w:noHBand="0" w:noVBand="1"/>
      </w:tblPr>
      <w:tblGrid>
        <w:gridCol w:w="4817"/>
        <w:gridCol w:w="4470"/>
      </w:tblGrid>
      <w:tr w:rsidR="00F83AA0" w:rsidRPr="00F83AA0" w14:paraId="59707D2E" w14:textId="77777777" w:rsidTr="00F83AA0">
        <w:tc>
          <w:tcPr>
            <w:tcW w:w="9287" w:type="dxa"/>
            <w:gridSpan w:val="2"/>
          </w:tcPr>
          <w:p w14:paraId="494E3C6A" w14:textId="7A568EC6" w:rsidR="00F83AA0" w:rsidRPr="00F83AA0" w:rsidRDefault="00F83AA0" w:rsidP="00B93410">
            <w:pPr>
              <w:rPr>
                <w:rFonts w:ascii="Aptos" w:hAnsi="Aptos"/>
                <w:bCs/>
                <w:sz w:val="18"/>
                <w:szCs w:val="18"/>
                <w:lang w:val="es-ES"/>
              </w:rPr>
            </w:pPr>
            <w:r w:rsidRPr="00F83AA0">
              <w:rPr>
                <w:rFonts w:ascii="Aptos" w:hAnsi="Aptos"/>
                <w:bCs/>
                <w:sz w:val="18"/>
                <w:szCs w:val="18"/>
                <w:lang w:val="es-ES"/>
              </w:rPr>
              <w:t>Figura 105</w:t>
            </w:r>
          </w:p>
        </w:tc>
      </w:tr>
      <w:tr w:rsidR="00F83AA0" w:rsidRPr="00F83AA0" w14:paraId="620993EA" w14:textId="77777777" w:rsidTr="00F83AA0">
        <w:tc>
          <w:tcPr>
            <w:tcW w:w="4817" w:type="dxa"/>
          </w:tcPr>
          <w:p w14:paraId="38A58ABA" w14:textId="77777777" w:rsidR="00F83AA0" w:rsidRPr="00F83AA0" w:rsidRDefault="00F83AA0" w:rsidP="00B93410">
            <w:pPr>
              <w:rPr>
                <w:rFonts w:ascii="Aptos" w:hAnsi="Aptos"/>
                <w:bCs/>
                <w:sz w:val="18"/>
                <w:szCs w:val="18"/>
                <w:lang w:val="es-ES"/>
              </w:rPr>
            </w:pPr>
            <w:r w:rsidRPr="00F83AA0">
              <w:rPr>
                <w:rFonts w:ascii="Aptos" w:hAnsi="Aptos"/>
                <w:bCs/>
                <w:sz w:val="18"/>
                <w:szCs w:val="18"/>
                <w:lang w:val="es-ES"/>
              </w:rPr>
              <w:lastRenderedPageBreak/>
              <w:t xml:space="preserve">English </w:t>
            </w:r>
          </w:p>
        </w:tc>
        <w:tc>
          <w:tcPr>
            <w:tcW w:w="4469" w:type="dxa"/>
          </w:tcPr>
          <w:p w14:paraId="3C674D34" w14:textId="1DA5755F" w:rsidR="00F83AA0" w:rsidRPr="00F83AA0" w:rsidRDefault="00F83AA0" w:rsidP="00B93410">
            <w:pPr>
              <w:rPr>
                <w:rFonts w:ascii="Aptos" w:hAnsi="Aptos"/>
                <w:bCs/>
                <w:sz w:val="18"/>
                <w:szCs w:val="18"/>
                <w:lang w:val="es-ES"/>
              </w:rPr>
            </w:pPr>
            <w:r w:rsidRPr="00F83AA0">
              <w:rPr>
                <w:rFonts w:ascii="Aptos" w:hAnsi="Aptos"/>
                <w:bCs/>
                <w:sz w:val="18"/>
                <w:szCs w:val="18"/>
                <w:lang w:val="es-ES"/>
              </w:rPr>
              <w:t>Español</w:t>
            </w:r>
          </w:p>
        </w:tc>
      </w:tr>
      <w:tr w:rsidR="00F83AA0" w:rsidRPr="00F83AA0" w14:paraId="43E155D2" w14:textId="77777777" w:rsidTr="00F83AA0">
        <w:tc>
          <w:tcPr>
            <w:tcW w:w="4817" w:type="dxa"/>
          </w:tcPr>
          <w:p w14:paraId="247C518D" w14:textId="77777777" w:rsidR="00F83AA0" w:rsidRPr="00F83AA0" w:rsidRDefault="00F83AA0" w:rsidP="00B93410">
            <w:pPr>
              <w:rPr>
                <w:rFonts w:ascii="Aptos" w:hAnsi="Aptos"/>
                <w:sz w:val="18"/>
                <w:szCs w:val="18"/>
                <w:lang w:val="en-US"/>
              </w:rPr>
            </w:pPr>
            <w:r w:rsidRPr="00F83AA0">
              <w:rPr>
                <w:rFonts w:ascii="Aptos" w:hAnsi="Aptos"/>
                <w:sz w:val="18"/>
                <w:szCs w:val="18"/>
                <w:lang w:val="en-US"/>
              </w:rPr>
              <w:t>Non-monetary benefits from ABS (count)</w:t>
            </w:r>
          </w:p>
        </w:tc>
        <w:tc>
          <w:tcPr>
            <w:tcW w:w="4469" w:type="dxa"/>
          </w:tcPr>
          <w:p w14:paraId="09740B47"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Beneficios no monetarios de APB (número de beneficios)</w:t>
            </w:r>
          </w:p>
        </w:tc>
      </w:tr>
      <w:tr w:rsidR="00F83AA0" w:rsidRPr="00F83AA0" w14:paraId="5076C84A" w14:textId="77777777" w:rsidTr="00F83AA0">
        <w:tc>
          <w:tcPr>
            <w:tcW w:w="4817" w:type="dxa"/>
          </w:tcPr>
          <w:p w14:paraId="36A62784" w14:textId="77777777" w:rsidR="00F83AA0" w:rsidRPr="00F83AA0" w:rsidRDefault="00F83AA0" w:rsidP="00B93410">
            <w:pPr>
              <w:rPr>
                <w:rFonts w:ascii="Aptos" w:hAnsi="Aptos"/>
                <w:sz w:val="18"/>
                <w:szCs w:val="18"/>
                <w:lang w:val="es-ES"/>
              </w:rPr>
            </w:pPr>
            <w:proofErr w:type="spellStart"/>
            <w:r w:rsidRPr="00F83AA0">
              <w:rPr>
                <w:rFonts w:ascii="Aptos" w:hAnsi="Aptos"/>
                <w:sz w:val="18"/>
                <w:szCs w:val="18"/>
                <w:lang w:val="es-ES"/>
              </w:rPr>
              <w:t>Year</w:t>
            </w:r>
            <w:proofErr w:type="spellEnd"/>
          </w:p>
        </w:tc>
        <w:tc>
          <w:tcPr>
            <w:tcW w:w="4469" w:type="dxa"/>
          </w:tcPr>
          <w:p w14:paraId="4E4BE401"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Año</w:t>
            </w:r>
          </w:p>
        </w:tc>
      </w:tr>
      <w:tr w:rsidR="00F83AA0" w:rsidRPr="00F83AA0" w14:paraId="7BB0E9A2" w14:textId="77777777" w:rsidTr="00F83AA0">
        <w:tc>
          <w:tcPr>
            <w:tcW w:w="4817" w:type="dxa"/>
          </w:tcPr>
          <w:p w14:paraId="77EE951F"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 xml:space="preserve">Party </w:t>
            </w:r>
            <w:proofErr w:type="spellStart"/>
            <w:r w:rsidRPr="00F83AA0">
              <w:rPr>
                <w:rFonts w:ascii="Aptos" w:hAnsi="Aptos"/>
                <w:sz w:val="18"/>
                <w:szCs w:val="18"/>
                <w:lang w:val="es-ES"/>
              </w:rPr>
              <w:t>count</w:t>
            </w:r>
            <w:proofErr w:type="spellEnd"/>
            <w:r w:rsidRPr="00F83AA0">
              <w:rPr>
                <w:rFonts w:ascii="Aptos" w:hAnsi="Aptos"/>
                <w:sz w:val="18"/>
                <w:szCs w:val="18"/>
                <w:lang w:val="es-ES"/>
              </w:rPr>
              <w:t>: 33</w:t>
            </w:r>
          </w:p>
        </w:tc>
        <w:tc>
          <w:tcPr>
            <w:tcW w:w="4469" w:type="dxa"/>
          </w:tcPr>
          <w:p w14:paraId="5791492B"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Número de Partes: 33</w:t>
            </w:r>
          </w:p>
        </w:tc>
      </w:tr>
      <w:tr w:rsidR="00F83AA0" w:rsidRPr="00F83AA0" w14:paraId="46252D23" w14:textId="77777777" w:rsidTr="00F83AA0">
        <w:tc>
          <w:tcPr>
            <w:tcW w:w="4817" w:type="dxa"/>
          </w:tcPr>
          <w:p w14:paraId="4CFFE516" w14:textId="77777777" w:rsidR="00F83AA0" w:rsidRPr="00F83AA0" w:rsidRDefault="00F83AA0" w:rsidP="00B93410">
            <w:pPr>
              <w:rPr>
                <w:rFonts w:ascii="Aptos" w:hAnsi="Aptos"/>
                <w:sz w:val="18"/>
                <w:szCs w:val="18"/>
                <w:lang w:val="es-ES"/>
              </w:rPr>
            </w:pPr>
            <w:proofErr w:type="spellStart"/>
            <w:r w:rsidRPr="00F83AA0">
              <w:rPr>
                <w:rFonts w:ascii="Aptos" w:hAnsi="Aptos"/>
                <w:sz w:val="18"/>
                <w:szCs w:val="18"/>
                <w:lang w:val="es-ES"/>
              </w:rPr>
              <w:t>Parties</w:t>
            </w:r>
            <w:proofErr w:type="spellEnd"/>
            <w:r w:rsidRPr="00F83AA0">
              <w:rPr>
                <w:rFonts w:ascii="Aptos" w:hAnsi="Aptos"/>
                <w:sz w:val="18"/>
                <w:szCs w:val="18"/>
                <w:lang w:val="es-ES"/>
              </w:rPr>
              <w:t xml:space="preserve"> </w:t>
            </w:r>
            <w:proofErr w:type="spellStart"/>
            <w:r w:rsidRPr="00F83AA0">
              <w:rPr>
                <w:rFonts w:ascii="Aptos" w:hAnsi="Aptos"/>
                <w:sz w:val="18"/>
                <w:szCs w:val="18"/>
                <w:lang w:val="es-ES"/>
              </w:rPr>
              <w:t>covered</w:t>
            </w:r>
            <w:proofErr w:type="spellEnd"/>
          </w:p>
        </w:tc>
        <w:tc>
          <w:tcPr>
            <w:tcW w:w="4469" w:type="dxa"/>
          </w:tcPr>
          <w:p w14:paraId="57432667"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Partes cubiertas</w:t>
            </w:r>
          </w:p>
        </w:tc>
      </w:tr>
      <w:tr w:rsidR="00F83AA0" w:rsidRPr="00F83AA0" w14:paraId="5E09B15D" w14:textId="77777777" w:rsidTr="00F83AA0">
        <w:tc>
          <w:tcPr>
            <w:tcW w:w="4817" w:type="dxa"/>
          </w:tcPr>
          <w:p w14:paraId="1B416AE3" w14:textId="77777777" w:rsidR="00F83AA0" w:rsidRPr="00F83AA0" w:rsidRDefault="00F83AA0" w:rsidP="00B93410">
            <w:pPr>
              <w:rPr>
                <w:rFonts w:ascii="Aptos" w:hAnsi="Aptos"/>
                <w:sz w:val="18"/>
                <w:szCs w:val="18"/>
                <w:lang w:val="es-ES"/>
              </w:rPr>
            </w:pPr>
            <w:proofErr w:type="spellStart"/>
            <w:r w:rsidRPr="00F83AA0">
              <w:rPr>
                <w:rFonts w:ascii="Aptos" w:hAnsi="Aptos"/>
                <w:sz w:val="18"/>
                <w:szCs w:val="18"/>
                <w:lang w:val="es-ES"/>
              </w:rPr>
              <w:t>Region</w:t>
            </w:r>
            <w:proofErr w:type="spellEnd"/>
          </w:p>
        </w:tc>
        <w:tc>
          <w:tcPr>
            <w:tcW w:w="4469" w:type="dxa"/>
          </w:tcPr>
          <w:p w14:paraId="394D1ACB"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Región</w:t>
            </w:r>
          </w:p>
        </w:tc>
      </w:tr>
      <w:tr w:rsidR="00F83AA0" w:rsidRPr="00F83AA0" w14:paraId="0E9AC660" w14:textId="77777777" w:rsidTr="00F83AA0">
        <w:tc>
          <w:tcPr>
            <w:tcW w:w="4817" w:type="dxa"/>
          </w:tcPr>
          <w:p w14:paraId="34E631E6"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African States</w:t>
            </w:r>
          </w:p>
        </w:tc>
        <w:tc>
          <w:tcPr>
            <w:tcW w:w="4469" w:type="dxa"/>
          </w:tcPr>
          <w:p w14:paraId="2F69F2F7"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Estados de África</w:t>
            </w:r>
          </w:p>
        </w:tc>
      </w:tr>
      <w:tr w:rsidR="00F83AA0" w:rsidRPr="00F83AA0" w14:paraId="4A3DCB9D" w14:textId="77777777" w:rsidTr="00F83AA0">
        <w:tc>
          <w:tcPr>
            <w:tcW w:w="4817" w:type="dxa"/>
          </w:tcPr>
          <w:p w14:paraId="62B8FFC7"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Asia-Pacific States</w:t>
            </w:r>
          </w:p>
        </w:tc>
        <w:tc>
          <w:tcPr>
            <w:tcW w:w="4469" w:type="dxa"/>
          </w:tcPr>
          <w:p w14:paraId="30A52309"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Estados de Asia y el Pacífico</w:t>
            </w:r>
          </w:p>
        </w:tc>
      </w:tr>
      <w:tr w:rsidR="00F83AA0" w:rsidRPr="00F83AA0" w14:paraId="40571A00" w14:textId="77777777" w:rsidTr="00F83AA0">
        <w:tc>
          <w:tcPr>
            <w:tcW w:w="4817" w:type="dxa"/>
          </w:tcPr>
          <w:p w14:paraId="3FB91A7B" w14:textId="77777777" w:rsidR="00F83AA0" w:rsidRPr="00F83AA0" w:rsidRDefault="00F83AA0" w:rsidP="00B93410">
            <w:pPr>
              <w:rPr>
                <w:rFonts w:ascii="Aptos" w:hAnsi="Aptos"/>
                <w:sz w:val="18"/>
                <w:szCs w:val="18"/>
                <w:lang w:val="en-US"/>
              </w:rPr>
            </w:pPr>
            <w:r w:rsidRPr="00F83AA0">
              <w:rPr>
                <w:rFonts w:ascii="Aptos" w:hAnsi="Aptos"/>
                <w:sz w:val="18"/>
                <w:szCs w:val="18"/>
                <w:lang w:val="en-US"/>
              </w:rPr>
              <w:t>Latin American and Caribbean States</w:t>
            </w:r>
          </w:p>
        </w:tc>
        <w:tc>
          <w:tcPr>
            <w:tcW w:w="4469" w:type="dxa"/>
          </w:tcPr>
          <w:p w14:paraId="7CA4261D"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Estados de América Latina y el Caribe</w:t>
            </w:r>
          </w:p>
        </w:tc>
      </w:tr>
      <w:tr w:rsidR="00F83AA0" w:rsidRPr="00F83AA0" w14:paraId="4C369923" w14:textId="77777777" w:rsidTr="00F83AA0">
        <w:tc>
          <w:tcPr>
            <w:tcW w:w="4817" w:type="dxa"/>
          </w:tcPr>
          <w:p w14:paraId="688D4864"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Eastern European States</w:t>
            </w:r>
          </w:p>
        </w:tc>
        <w:tc>
          <w:tcPr>
            <w:tcW w:w="4469" w:type="dxa"/>
          </w:tcPr>
          <w:p w14:paraId="0C9F095B"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Estados de Europa Oriental</w:t>
            </w:r>
          </w:p>
        </w:tc>
      </w:tr>
      <w:tr w:rsidR="00F83AA0" w:rsidRPr="00F83AA0" w14:paraId="47F4992E" w14:textId="77777777" w:rsidTr="00F83AA0">
        <w:tc>
          <w:tcPr>
            <w:tcW w:w="4817" w:type="dxa"/>
          </w:tcPr>
          <w:p w14:paraId="659DAC94" w14:textId="77777777" w:rsidR="00F83AA0" w:rsidRPr="00F83AA0" w:rsidRDefault="00F83AA0" w:rsidP="00B93410">
            <w:pPr>
              <w:rPr>
                <w:rFonts w:ascii="Aptos" w:hAnsi="Aptos"/>
                <w:sz w:val="18"/>
                <w:szCs w:val="18"/>
                <w:lang w:val="en-US"/>
              </w:rPr>
            </w:pPr>
            <w:r w:rsidRPr="00F83AA0">
              <w:rPr>
                <w:rFonts w:ascii="Aptos" w:hAnsi="Aptos"/>
                <w:sz w:val="18"/>
                <w:szCs w:val="18"/>
                <w:lang w:val="en-US"/>
              </w:rPr>
              <w:t>Western European and other States</w:t>
            </w:r>
          </w:p>
        </w:tc>
        <w:tc>
          <w:tcPr>
            <w:tcW w:w="4469" w:type="dxa"/>
          </w:tcPr>
          <w:p w14:paraId="131C83AF" w14:textId="77777777" w:rsidR="00F83AA0" w:rsidRPr="00F83AA0" w:rsidRDefault="00F83AA0" w:rsidP="00B93410">
            <w:pPr>
              <w:rPr>
                <w:rFonts w:ascii="Aptos" w:hAnsi="Aptos"/>
                <w:sz w:val="18"/>
                <w:szCs w:val="18"/>
                <w:lang w:val="es-ES"/>
              </w:rPr>
            </w:pPr>
            <w:r w:rsidRPr="00F83AA0">
              <w:rPr>
                <w:rFonts w:ascii="Aptos" w:hAnsi="Aptos"/>
                <w:sz w:val="18"/>
                <w:szCs w:val="18"/>
                <w:lang w:val="es-ES"/>
              </w:rPr>
              <w:t>Estados de Europa Occidental y otros Estados</w:t>
            </w:r>
          </w:p>
        </w:tc>
      </w:tr>
    </w:tbl>
    <w:p w14:paraId="0EA4E88C" w14:textId="77777777" w:rsidR="00F83AA0" w:rsidRPr="005E3D50" w:rsidRDefault="00F83AA0" w:rsidP="008F15F1">
      <w:pPr>
        <w:spacing w:after="200" w:line="240" w:lineRule="auto"/>
        <w:rPr>
          <w:rFonts w:ascii="Segoe UI" w:eastAsiaTheme="minorEastAsia" w:hAnsi="Segoe UI" w:cs="Segoe UI"/>
          <w:color w:val="0E2841" w:themeColor="text2"/>
          <w:kern w:val="0"/>
          <w:sz w:val="18"/>
          <w:szCs w:val="18"/>
          <w:lang w:val="es-ES" w:eastAsia="ja-JP"/>
          <w14:ligatures w14:val="none"/>
        </w:rPr>
      </w:pPr>
    </w:p>
    <w:p w14:paraId="061AA757" w14:textId="77777777" w:rsidR="008F15F1" w:rsidRPr="005E3D50" w:rsidRDefault="008F15F1" w:rsidP="008F15F1">
      <w:pPr>
        <w:rPr>
          <w:lang w:val="es-ES"/>
        </w:rPr>
      </w:pPr>
    </w:p>
    <w:p w14:paraId="479259D8"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Resumen de las medidas adoptadas para promover los progresos hacia la consecución del Objetivo C</w:t>
      </w:r>
    </w:p>
    <w:p w14:paraId="548D97DF" w14:textId="77777777" w:rsidR="008F15F1" w:rsidRPr="005E3D50" w:rsidRDefault="008F15F1" w:rsidP="008F15F1">
      <w:pPr>
        <w:rPr>
          <w:lang w:val="es-ES"/>
        </w:rPr>
      </w:pPr>
    </w:p>
    <w:p w14:paraId="57082F23" w14:textId="77777777" w:rsidR="008F15F1" w:rsidRPr="005E3D50" w:rsidRDefault="008F15F1" w:rsidP="008F15F1">
      <w:pPr>
        <w:rPr>
          <w:lang w:val="es-ES"/>
        </w:rPr>
      </w:pPr>
      <w:r w:rsidRPr="005E3D50">
        <w:rPr>
          <w:lang w:val="es-ES"/>
        </w:rPr>
        <w:t xml:space="preserve">El Objetivo C fue el objetivo sobre el que menos informaron las Partes en sus informes nacionales. Si bien muchas Partes se han adherido al Protocolo de Nagoya, estas señalaron que carecían de legislación secundaria, mecanismos institucionales de control y mecanismos de cumplimiento necesarios para hacer un seguimiento de la participación en los beneficios y garantizarla. No obstante, algunas medidas específicas adoptadas por las Partes e incluidas en sus informes nacionales ponen de relieve oportunidades para abordar las deficiencias relacionadas con la puesta en práctica del Objetivo C. </w:t>
      </w:r>
    </w:p>
    <w:p w14:paraId="7005257B" w14:textId="77777777" w:rsidR="008F15F1" w:rsidRPr="005E3D50" w:rsidRDefault="008F15F1" w:rsidP="008F15F1">
      <w:pPr>
        <w:rPr>
          <w:lang w:val="es-ES"/>
        </w:rPr>
      </w:pPr>
      <w:r w:rsidRPr="005E3D50">
        <w:rPr>
          <w:lang w:val="es-ES"/>
        </w:rPr>
        <w:t xml:space="preserve">El indicio de progresos hacia la consecución del Objetivo C más generalizado sobre el que se informó fue la ratificación del Protocolo de Nagoya y el posterior establecimiento de marcos jurídicos nacionales de acceso y participación en los beneficios. Las Partes sugirieron que la formalización de los contratos de acceso y participación en los beneficios, en lugar de la aplicación general de los principios del Protocolo de Nagoya, era una forma eficaz de garantizar la participación justa y equitativa en los beneficios, así como de apoyar el seguimiento de esos beneficios. En cuanto al apoyo a las iniciativas de seguimiento, se destacó el establecimiento del mecanismo del Centro de Intercambio de Información sobre Acceso y Participación en los Beneficios como un medio eficaz para hacer un seguimiento de la expedición de permisos y los beneficios relacionados. Las Partes afirmaron que, en el plano institucional, la </w:t>
      </w:r>
      <w:proofErr w:type="gramStart"/>
      <w:r w:rsidRPr="005E3D50">
        <w:rPr>
          <w:lang w:val="es-ES"/>
        </w:rPr>
        <w:t>participación activa</w:t>
      </w:r>
      <w:proofErr w:type="gramEnd"/>
      <w:r w:rsidRPr="005E3D50">
        <w:rPr>
          <w:lang w:val="es-ES"/>
        </w:rPr>
        <w:t xml:space="preserve"> en el Tratado Internacional sobre los Recursos Fitogenéticos para la Alimentación y la Agricultura respalda los esfuerzos relacionados con el acceso y la participación en los beneficios, aprovechando las sinergias entre el Tratado, el Convenio y el Protocolo de Nagoya. Además, se informó que la adopción de medidas directas para hacer cumplir la normativa y enjuiciar el tráfico ilegal de recursos genéticos había contribuido a reforzar la </w:t>
      </w:r>
      <w:r w:rsidRPr="005E3D50">
        <w:rPr>
          <w:lang w:val="es-ES"/>
        </w:rPr>
        <w:lastRenderedPageBreak/>
        <w:t>participación justa y equitativa en los beneficios. Más allá de las medidas gubernamentales, las alianzas entre múltiples interesados que involucran a profesionales tradicionales y el desarrollo de cadenas de valor conformes con el acceso y la participación en los beneficios, en asociación con los pueblos indígenas y las comunidades locales, se consideraron formas de fortalecer el cumplimiento de los elementos del Objetivo C. Dichas alianzas se centrarían en los conocimientos tradicionales, el aumento de la transversalización del acceso y la participación en los beneficios, y el logro de beneficios tangibles y visibles para los pueblos indígenas y las comunidades locales, respetando al mismo tiempo sus derechos.</w:t>
      </w:r>
    </w:p>
    <w:p w14:paraId="107BE2BD" w14:textId="77777777" w:rsidR="008F15F1" w:rsidRPr="005E3D50" w:rsidRDefault="008F15F1" w:rsidP="008F15F1">
      <w:pPr>
        <w:spacing w:line="279" w:lineRule="auto"/>
        <w:rPr>
          <w:lang w:val="es-ES"/>
        </w:rPr>
      </w:pPr>
    </w:p>
    <w:p w14:paraId="7BB6144B" w14:textId="77777777" w:rsidR="008F15F1" w:rsidRPr="005E3D50" w:rsidRDefault="008F15F1" w:rsidP="008F15F1">
      <w:pPr>
        <w:spacing w:line="279" w:lineRule="auto"/>
        <w:rPr>
          <w:lang w:val="es-ES"/>
        </w:rPr>
      </w:pPr>
    </w:p>
    <w:p w14:paraId="133584D3" w14:textId="77777777" w:rsidR="008F15F1" w:rsidRPr="005E3D50" w:rsidRDefault="008F15F1" w:rsidP="008F15F1">
      <w:pPr>
        <w:keepNext/>
        <w:keepLines/>
        <w:spacing w:before="80" w:after="40"/>
        <w:outlineLvl w:val="3"/>
        <w:rPr>
          <w:rFonts w:eastAsiaTheme="majorEastAsia" w:cstheme="majorBidi"/>
          <w:color w:val="0F4761" w:themeColor="accent1" w:themeShade="BF"/>
          <w:lang w:val="es-ES"/>
        </w:rPr>
      </w:pPr>
      <w:bookmarkStart w:id="603" w:name="_Toc235821357"/>
      <w:bookmarkStart w:id="604" w:name="_Toc239069224"/>
      <w:bookmarkStart w:id="605" w:name="_Toc854706487"/>
      <w:bookmarkStart w:id="606" w:name="_Toc242883002"/>
      <w:r w:rsidRPr="005E3D50">
        <w:rPr>
          <w:rFonts w:eastAsiaTheme="majorEastAsia" w:cstheme="majorBidi"/>
          <w:b/>
          <w:iCs/>
          <w:color w:val="0F4761" w:themeColor="accent1" w:themeShade="BF"/>
          <w:lang w:val="es-ES"/>
        </w:rPr>
        <w:t>Objetivo D.</w:t>
      </w:r>
      <w:r w:rsidRPr="005E3D50">
        <w:rPr>
          <w:rFonts w:eastAsiaTheme="majorEastAsia" w:cstheme="majorBidi"/>
          <w:iCs/>
          <w:color w:val="0F4761" w:themeColor="accent1" w:themeShade="BF"/>
          <w:lang w:val="es-ES"/>
        </w:rPr>
        <w:t xml:space="preserve"> Invertir y colaborar</w:t>
      </w:r>
      <w:bookmarkEnd w:id="603"/>
      <w:bookmarkEnd w:id="604"/>
      <w:bookmarkEnd w:id="605"/>
      <w:bookmarkEnd w:id="606"/>
    </w:p>
    <w:p w14:paraId="073544A2" w14:textId="77777777" w:rsidR="008F15F1" w:rsidRPr="005E3D50" w:rsidRDefault="008F15F1" w:rsidP="008F15F1">
      <w:pPr>
        <w:rPr>
          <w:lang w:val="es-ES"/>
        </w:rPr>
      </w:pPr>
    </w:p>
    <w:p w14:paraId="2196B440" w14:textId="77777777" w:rsidR="008F15F1" w:rsidRPr="005E3D50" w:rsidRDefault="008F15F1" w:rsidP="008F15F1">
      <w:pPr>
        <w:rPr>
          <w:lang w:val="es-ES"/>
        </w:rPr>
      </w:pPr>
    </w:p>
    <w:p w14:paraId="2D8DB3F9" w14:textId="77777777" w:rsidR="008F15F1" w:rsidRPr="005E3D50" w:rsidRDefault="008F15F1" w:rsidP="008F15F1">
      <w:pPr>
        <w:rPr>
          <w:b/>
          <w:bCs/>
          <w:i/>
          <w:iCs/>
          <w:sz w:val="22"/>
          <w:szCs w:val="22"/>
          <w:lang w:val="es-ES"/>
        </w:rPr>
      </w:pPr>
      <w:r w:rsidRPr="005E3D50">
        <w:rPr>
          <w:b/>
          <w:sz w:val="22"/>
          <w:lang w:val="es-ES"/>
        </w:rPr>
        <w:t>Texto del objetivo.</w:t>
      </w:r>
      <w:r w:rsidRPr="005E3D50">
        <w:rPr>
          <w:b/>
          <w:i/>
          <w:sz w:val="22"/>
          <w:lang w:val="es-ES"/>
        </w:rPr>
        <w:t xml:space="preserve"> </w:t>
      </w:r>
      <w:r w:rsidRPr="005E3D50">
        <w:rPr>
          <w:rFonts w:ascii="Aptos" w:hAnsi="Aptos"/>
          <w:i/>
          <w:color w:val="000000"/>
          <w:sz w:val="22"/>
          <w:shd w:val="clear" w:color="auto" w:fill="FFFFFF"/>
          <w:lang w:val="es-ES"/>
        </w:rPr>
        <w:t>Se obtienen medios de implementación adecuados, incluidos recursos financieros, creación de capacidad, cooperación científica y técnica y acceso a la tecnología y su transferencia, para implementar plenamente el Marco Mundial de Biodiversidad de Kunming-Montreal y estos resultan igualmente accesibles para todas las Partes, especialmente las Partes que son países en desarrollo, en particular los países menos adelantados y los pequeños Estados insulares en desarrollo, así como los países con economías en transición, reduciendo progresivamente el déficit de financiación de la biodiversidad de 700.000 millones de dólares de los Estados Unidos al año, y armonizando las corrientes financieras con el Marco Mundial de Biodiversidad de Kunming-Montreal y la Visión de la Diversidad Biológica para 2050.</w:t>
      </w:r>
    </w:p>
    <w:p w14:paraId="303E1E31" w14:textId="77777777" w:rsidR="008F15F1" w:rsidRPr="005E3D50" w:rsidRDefault="008F15F1" w:rsidP="008F15F1">
      <w:pPr>
        <w:rPr>
          <w:lang w:val="es-ES"/>
        </w:rPr>
      </w:pPr>
    </w:p>
    <w:p w14:paraId="5A190342"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607" w:name="_Toc235821358"/>
      <w:r w:rsidRPr="005E3D50">
        <w:rPr>
          <w:rFonts w:eastAsiaTheme="majorEastAsia" w:cstheme="majorBidi"/>
          <w:color w:val="0F4761" w:themeColor="accent1" w:themeShade="BF"/>
          <w:lang w:val="es-ES"/>
        </w:rPr>
        <w:t>Panorama general del objetivo</w:t>
      </w:r>
      <w:bookmarkEnd w:id="607"/>
    </w:p>
    <w:p w14:paraId="0C9EE36E" w14:textId="77777777" w:rsidR="008F15F1" w:rsidRPr="005E3D50" w:rsidRDefault="008F15F1" w:rsidP="008F15F1">
      <w:pPr>
        <w:rPr>
          <w:lang w:val="es-ES"/>
        </w:rPr>
      </w:pPr>
    </w:p>
    <w:tbl>
      <w:tblPr>
        <w:tblStyle w:val="TableGrid1"/>
        <w:tblW w:w="0" w:type="auto"/>
        <w:tblLook w:val="04A0" w:firstRow="1" w:lastRow="0" w:firstColumn="1" w:lastColumn="0" w:noHBand="0" w:noVBand="1"/>
      </w:tblPr>
      <w:tblGrid>
        <w:gridCol w:w="9016"/>
      </w:tblGrid>
      <w:tr w:rsidR="008F15F1" w:rsidRPr="005E3D50" w14:paraId="7CC43147" w14:textId="77777777" w:rsidTr="006E6831">
        <w:tc>
          <w:tcPr>
            <w:tcW w:w="9016" w:type="dxa"/>
            <w:shd w:val="clear" w:color="auto" w:fill="D1D1D1" w:themeFill="background2" w:themeFillShade="E6"/>
          </w:tcPr>
          <w:p w14:paraId="4687AE61" w14:textId="77777777" w:rsidR="008F15F1" w:rsidRPr="005E3D50" w:rsidRDefault="008F15F1" w:rsidP="008F15F1">
            <w:pPr>
              <w:rPr>
                <w:rFonts w:eastAsia="Aptos"/>
              </w:rPr>
            </w:pPr>
          </w:p>
          <w:p w14:paraId="5E399AA6" w14:textId="77777777" w:rsidR="008F15F1" w:rsidRPr="005E3D50" w:rsidRDefault="008F15F1" w:rsidP="008F15F1">
            <w:pPr>
              <w:rPr>
                <w:rFonts w:eastAsia="Aptos"/>
              </w:rPr>
            </w:pPr>
            <w:r w:rsidRPr="005E3D50">
              <w:t>Las Partes relacionaron 10 de las 23 metas del Marco con el Objetivo D. Esas 10 metas correspondían exactamente a las metas comprendidas en el epígrafe “Herramientas y soluciones para la implementación y la integración” (metas 14 a 23). Las metas 18, 19 y 20 muestran la vinculación más estrecha con el Objetivo D. Los progresos colectivos hacia la consecución de varias de las metas relacionadas con el Objetivo D hacen frente a importantes dificultades de implementación.</w:t>
            </w:r>
          </w:p>
          <w:p w14:paraId="62EEC338" w14:textId="77777777" w:rsidR="008F15F1" w:rsidRPr="005E3D50" w:rsidRDefault="008F15F1" w:rsidP="008F15F1">
            <w:pPr>
              <w:rPr>
                <w:rFonts w:eastAsia="Aptos"/>
              </w:rPr>
            </w:pPr>
          </w:p>
        </w:tc>
      </w:tr>
    </w:tbl>
    <w:p w14:paraId="0DA36D41" w14:textId="77777777" w:rsidR="008F15F1" w:rsidRPr="005E3D50" w:rsidRDefault="008F15F1" w:rsidP="008F15F1">
      <w:pPr>
        <w:rPr>
          <w:b/>
          <w:bCs/>
          <w:i/>
          <w:iCs/>
          <w:sz w:val="22"/>
          <w:szCs w:val="22"/>
          <w:lang w:val="es-ES"/>
        </w:rPr>
      </w:pPr>
    </w:p>
    <w:p w14:paraId="51A2FED9"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517B96C"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608" w:name="_Toc235821359"/>
      <w:r w:rsidRPr="005E3D50">
        <w:rPr>
          <w:rFonts w:eastAsiaTheme="majorEastAsia" w:cstheme="majorBidi"/>
          <w:color w:val="0F4761" w:themeColor="accent1" w:themeShade="BF"/>
          <w:lang w:val="es-ES"/>
        </w:rPr>
        <w:t>Progresos en las metas relacionadas</w:t>
      </w:r>
      <w:bookmarkEnd w:id="608"/>
    </w:p>
    <w:p w14:paraId="2A316856" w14:textId="77777777" w:rsidR="008F15F1" w:rsidRPr="005E3D50" w:rsidRDefault="008F15F1" w:rsidP="008F15F1">
      <w:pPr>
        <w:rPr>
          <w:lang w:val="es-ES"/>
        </w:rPr>
      </w:pPr>
    </w:p>
    <w:p w14:paraId="447C67B6" w14:textId="77777777" w:rsidR="008F15F1" w:rsidRPr="005E3D50" w:rsidRDefault="008F15F1" w:rsidP="008F15F1">
      <w:pPr>
        <w:spacing w:after="200" w:line="240" w:lineRule="auto"/>
        <w:rPr>
          <w:rFonts w:eastAsiaTheme="minorEastAsia"/>
          <w:iCs/>
          <w:color w:val="000000" w:themeColor="text1"/>
          <w:kern w:val="0"/>
          <w:lang w:val="es-ES" w:eastAsia="ja-JP"/>
          <w14:ligatures w14:val="none"/>
        </w:rPr>
      </w:pPr>
      <w:r w:rsidRPr="005E3D50">
        <w:rPr>
          <w:rFonts w:eastAsiaTheme="minorEastAsia"/>
          <w:iCs/>
          <w:color w:val="000000" w:themeColor="text1"/>
          <w:kern w:val="0"/>
          <w:szCs w:val="18"/>
          <w:lang w:val="es-ES" w:eastAsia="ja-JP"/>
          <w14:ligatures w14:val="none"/>
        </w:rPr>
        <w:t xml:space="preserve">Mediante el uso del método descrito anteriormente, las 10 metas comprendidas en el epígrafe “Herramientas y soluciones para la implementación y la integración” se relacionaron con el Objetivo D (véase la figura 106). De esas metas, todas excepto la meta 16 se relacionaron más estrechamente con el Objetivo D que con cualquier otro objetivo. </w:t>
      </w:r>
      <w:r w:rsidRPr="005E3D50">
        <w:rPr>
          <w:rFonts w:eastAsiaTheme="minorEastAsia"/>
          <w:iCs/>
          <w:color w:val="0E2841" w:themeColor="text2"/>
          <w:kern w:val="0"/>
          <w:szCs w:val="18"/>
          <w:lang w:val="es-ES" w:eastAsia="ja-JP"/>
          <w14:ligatures w14:val="none"/>
        </w:rPr>
        <w:t>La vinculación fue más estrecha en el caso de las metas 18, 19 y 20, que representan las metas que las Partes relacionaron más estrechamente con los medios de implementación (véanse la figura 95 y la secc. II.D).</w:t>
      </w:r>
      <w:r w:rsidRPr="005E3D50">
        <w:rPr>
          <w:rFonts w:eastAsiaTheme="minorEastAsia"/>
          <w:iCs/>
          <w:color w:val="000000" w:themeColor="text1"/>
          <w:kern w:val="0"/>
          <w:szCs w:val="18"/>
          <w:lang w:val="es-ES" w:eastAsia="ja-JP"/>
          <w14:ligatures w14:val="none"/>
        </w:rPr>
        <w:t xml:space="preserve"> </w:t>
      </w:r>
    </w:p>
    <w:p w14:paraId="73A37AFE" w14:textId="77777777" w:rsidR="008F15F1" w:rsidRPr="005E3D50" w:rsidRDefault="008F15F1" w:rsidP="008F15F1">
      <w:pPr>
        <w:rPr>
          <w:lang w:val="es-ES"/>
        </w:rPr>
      </w:pPr>
      <w:r w:rsidRPr="005E3D50">
        <w:rPr>
          <w:lang w:val="es-ES"/>
        </w:rPr>
        <w:t>Para cada una de las 10 metas relacionadas con el Objetivo D, la tendencia media se resume utilizando las tendencias de los indicadores que se presentan en la sección II.B (véase la figura 107).</w:t>
      </w:r>
      <w:r w:rsidRPr="005E3D50">
        <w:rPr>
          <w:i/>
          <w:color w:val="000000" w:themeColor="text1"/>
          <w:lang w:val="es-ES"/>
        </w:rPr>
        <w:t xml:space="preserve"> </w:t>
      </w:r>
      <w:r w:rsidRPr="005E3D50">
        <w:rPr>
          <w:color w:val="000000" w:themeColor="text1"/>
          <w:lang w:val="es-ES"/>
        </w:rPr>
        <w:t>Las cinco metas más estrechamente relacionadas con el Objetivo D (metas 14, 15, 19, 20 y 21) tienen muchos más indicadores que muestran indicios de mejora que indicios de deterioro. Por otro lado, las tres metas más estrechamente relacionadas con el Objetivo D (metas 17, 22 y 23) tienen más indicadores que muestran indicios de deterioro que indicios de mejora. En el conjunto de todas las metas relacionadas, el 35 % de los indicadores muestra mejoras, el 49 % está estable y el 16 % está alejándose de la meta. Estos resultados preliminares sugieren una tendencia en general mixta pero alentadora hacia la consecución del Objetivo D, observándose progresos y deterioro con respecto a las metas relacionadas con los impulsores indirectos del cambio en la biodiversidad. Sin embargo, dado que la mayoría de estos indicadores no fueron concebidos para hacer un seguimiento de los progresos hacia la consecución del Objetivo D y no son equivalentes en cuanto a las escalas, los períodos y las variables que registran, la tendencia general debería considerarse solo una imagen indicativa, indirecta e imperfecta de los progresos.</w:t>
      </w:r>
    </w:p>
    <w:p w14:paraId="61B26638" w14:textId="77777777" w:rsidR="008F15F1" w:rsidRPr="005E3D50" w:rsidRDefault="008F15F1" w:rsidP="008F15F1">
      <w:pPr>
        <w:rPr>
          <w:sz w:val="20"/>
          <w:szCs w:val="20"/>
          <w:lang w:val="es-ES"/>
        </w:rPr>
      </w:pPr>
    </w:p>
    <w:p w14:paraId="14086D9B" w14:textId="77777777" w:rsidR="008F15F1" w:rsidRPr="005E3D50" w:rsidRDefault="008F15F1" w:rsidP="008F15F1">
      <w:pPr>
        <w:rPr>
          <w:sz w:val="20"/>
          <w:szCs w:val="20"/>
          <w:lang w:val="es-ES"/>
        </w:rPr>
      </w:pPr>
      <w:r w:rsidRPr="005E3D50">
        <w:rPr>
          <w:sz w:val="20"/>
          <w:lang w:val="es-ES"/>
        </w:rPr>
        <w:t>Figura 106</w:t>
      </w:r>
    </w:p>
    <w:p w14:paraId="22617F12"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b/>
          <w:iCs/>
          <w:color w:val="0E2841" w:themeColor="text2"/>
          <w:kern w:val="0"/>
          <w:sz w:val="18"/>
          <w:szCs w:val="18"/>
          <w:lang w:val="es-ES" w:eastAsia="ja-JP"/>
          <w14:ligatures w14:val="none"/>
        </w:rPr>
        <w:t>Metas del Marco relacionadas con el Objetivo D en las metas nacionales presentadas por las Partes</w:t>
      </w:r>
      <w:r w:rsidRPr="005E3D50">
        <w:rPr>
          <w:rFonts w:eastAsiaTheme="minorEastAsia"/>
          <w:iCs/>
          <w:color w:val="0E2841" w:themeColor="text2"/>
          <w:kern w:val="0"/>
          <w:sz w:val="18"/>
          <w:szCs w:val="18"/>
          <w:lang w:val="es-ES" w:eastAsia="ja-JP"/>
          <w14:ligatures w14:val="none"/>
        </w:rPr>
        <w:t xml:space="preserve"> </w:t>
      </w:r>
    </w:p>
    <w:p w14:paraId="11548C04" w14:textId="77777777" w:rsidR="008F15F1" w:rsidRPr="005E3D50" w:rsidRDefault="008F15F1" w:rsidP="008F15F1">
      <w:pPr>
        <w:rPr>
          <w:sz w:val="20"/>
          <w:szCs w:val="20"/>
          <w:lang w:val="es-ES" w:eastAsia="ja-JP"/>
        </w:rPr>
      </w:pPr>
    </w:p>
    <w:p w14:paraId="738C2AF3"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lastRenderedPageBreak/>
        <w:drawing>
          <wp:inline distT="0" distB="0" distL="0" distR="0" wp14:anchorId="25B4479B" wp14:editId="102BBB7C">
            <wp:extent cx="4261485" cy="3289289"/>
            <wp:effectExtent l="0" t="0" r="0" b="635"/>
            <wp:docPr id="879504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4022" name="Picture 879504022"/>
                    <pic:cNvPicPr/>
                  </pic:nvPicPr>
                  <pic:blipFill rotWithShape="1">
                    <a:blip r:embed="rId233" cstate="print">
                      <a:extLst>
                        <a:ext uri="{28A0092B-C50C-407E-A947-70E740481C1C}">
                          <a14:useLocalDpi xmlns:a14="http://schemas.microsoft.com/office/drawing/2010/main" val="0"/>
                        </a:ext>
                      </a:extLst>
                    </a:blip>
                    <a:srcRect l="9832" t="31463" b="31419"/>
                    <a:stretch>
                      <a:fillRect/>
                    </a:stretch>
                  </pic:blipFill>
                  <pic:spPr bwMode="auto">
                    <a:xfrm>
                      <a:off x="0" y="0"/>
                      <a:ext cx="4262223" cy="3289859"/>
                    </a:xfrm>
                    <a:prstGeom prst="rect">
                      <a:avLst/>
                    </a:prstGeom>
                    <a:ln>
                      <a:noFill/>
                    </a:ln>
                    <a:extLst>
                      <a:ext uri="{53640926-AAD7-44D8-BBD7-CCE9431645EC}">
                        <a14:shadowObscured xmlns:a14="http://schemas.microsoft.com/office/drawing/2010/main"/>
                      </a:ext>
                    </a:extLst>
                  </pic:spPr>
                </pic:pic>
              </a:graphicData>
            </a:graphic>
          </wp:inline>
        </w:drawing>
      </w:r>
    </w:p>
    <w:p w14:paraId="6358A0A4"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Nota</w:t>
      </w:r>
      <w:r w:rsidRPr="005E3D50">
        <w:rPr>
          <w:rFonts w:eastAsiaTheme="minorEastAsia"/>
          <w:iCs/>
          <w:color w:val="0E2841" w:themeColor="text2"/>
          <w:kern w:val="0"/>
          <w:sz w:val="18"/>
          <w:szCs w:val="18"/>
          <w:lang w:val="es-ES" w:eastAsia="ja-JP"/>
          <w14:ligatures w14:val="none"/>
        </w:rPr>
        <w:t>: Se establece un vínculo entre una meta y el objetivo si al menos un tercio de todas las metas nacionales establecidas por las Partes de cualquier grupo regional de Estados Miembros de las Naciones Unidas relacionaron una meta con el objetivo. Los colores empleados destacan cada meta de acuerdo con las directrices oficiales de marca del Marco y no tienen ningún significado adicional.</w:t>
      </w:r>
    </w:p>
    <w:tbl>
      <w:tblPr>
        <w:tblStyle w:val="TableGrid"/>
        <w:tblW w:w="9471" w:type="dxa"/>
        <w:tblLook w:val="04A0" w:firstRow="1" w:lastRow="0" w:firstColumn="1" w:lastColumn="0" w:noHBand="0" w:noVBand="1"/>
      </w:tblPr>
      <w:tblGrid>
        <w:gridCol w:w="4707"/>
        <w:gridCol w:w="4764"/>
      </w:tblGrid>
      <w:tr w:rsidR="00D06FD4" w:rsidRPr="00D06FD4" w14:paraId="25ED8C50" w14:textId="77777777" w:rsidTr="00D06FD4">
        <w:tc>
          <w:tcPr>
            <w:tcW w:w="9471" w:type="dxa"/>
            <w:gridSpan w:val="2"/>
          </w:tcPr>
          <w:p w14:paraId="57EFCF38" w14:textId="6143A9DC" w:rsidR="00D06FD4" w:rsidRPr="00D06FD4" w:rsidRDefault="00D06FD4" w:rsidP="00B93410">
            <w:pPr>
              <w:rPr>
                <w:rFonts w:ascii="Aptos" w:hAnsi="Aptos"/>
                <w:bCs/>
                <w:sz w:val="18"/>
                <w:szCs w:val="18"/>
                <w:lang w:val="es-ES"/>
              </w:rPr>
            </w:pPr>
            <w:r w:rsidRPr="00D06FD4">
              <w:rPr>
                <w:rFonts w:ascii="Aptos" w:hAnsi="Aptos"/>
                <w:bCs/>
                <w:sz w:val="18"/>
                <w:szCs w:val="18"/>
                <w:lang w:val="es-ES"/>
              </w:rPr>
              <w:t>Figura 106</w:t>
            </w:r>
          </w:p>
        </w:tc>
      </w:tr>
      <w:tr w:rsidR="00D06FD4" w:rsidRPr="00D06FD4" w14:paraId="37EC6D42" w14:textId="77777777" w:rsidTr="00D06FD4">
        <w:tc>
          <w:tcPr>
            <w:tcW w:w="4707" w:type="dxa"/>
          </w:tcPr>
          <w:p w14:paraId="14D66218" w14:textId="77777777" w:rsidR="00D06FD4" w:rsidRPr="00D06FD4" w:rsidRDefault="00D06FD4" w:rsidP="00B93410">
            <w:pPr>
              <w:rPr>
                <w:rFonts w:ascii="Aptos" w:hAnsi="Aptos"/>
                <w:bCs/>
                <w:sz w:val="18"/>
                <w:szCs w:val="18"/>
                <w:lang w:val="es-ES"/>
              </w:rPr>
            </w:pPr>
            <w:r w:rsidRPr="00D06FD4">
              <w:rPr>
                <w:rFonts w:ascii="Aptos" w:hAnsi="Aptos"/>
                <w:bCs/>
                <w:sz w:val="18"/>
                <w:szCs w:val="18"/>
                <w:lang w:val="es-ES"/>
              </w:rPr>
              <w:t xml:space="preserve">English </w:t>
            </w:r>
          </w:p>
        </w:tc>
        <w:tc>
          <w:tcPr>
            <w:tcW w:w="4764" w:type="dxa"/>
          </w:tcPr>
          <w:p w14:paraId="3BE0BE2C" w14:textId="3591B9B3" w:rsidR="00D06FD4" w:rsidRPr="00D06FD4" w:rsidRDefault="00D06FD4" w:rsidP="00B93410">
            <w:pPr>
              <w:rPr>
                <w:rFonts w:ascii="Aptos" w:hAnsi="Aptos"/>
                <w:bCs/>
                <w:sz w:val="18"/>
                <w:szCs w:val="18"/>
                <w:lang w:val="es-ES"/>
              </w:rPr>
            </w:pPr>
            <w:r w:rsidRPr="00D06FD4">
              <w:rPr>
                <w:rFonts w:ascii="Aptos" w:hAnsi="Aptos"/>
                <w:bCs/>
                <w:sz w:val="18"/>
                <w:szCs w:val="18"/>
                <w:lang w:val="es-ES"/>
              </w:rPr>
              <w:t>Español</w:t>
            </w:r>
          </w:p>
        </w:tc>
      </w:tr>
      <w:tr w:rsidR="00D06FD4" w:rsidRPr="00D06FD4" w14:paraId="47EB6C96" w14:textId="77777777" w:rsidTr="00D06FD4">
        <w:tc>
          <w:tcPr>
            <w:tcW w:w="4707" w:type="dxa"/>
          </w:tcPr>
          <w:p w14:paraId="04285D90" w14:textId="77777777" w:rsidR="00D06FD4" w:rsidRPr="00D06FD4" w:rsidRDefault="00D06FD4" w:rsidP="00B93410">
            <w:pPr>
              <w:rPr>
                <w:rFonts w:ascii="Aptos" w:hAnsi="Aptos"/>
                <w:sz w:val="18"/>
                <w:szCs w:val="18"/>
                <w:lang w:val="es-ES"/>
              </w:rPr>
            </w:pPr>
            <w:proofErr w:type="spellStart"/>
            <w:r w:rsidRPr="00D06FD4">
              <w:rPr>
                <w:rFonts w:ascii="Aptos" w:hAnsi="Aptos"/>
                <w:sz w:val="18"/>
                <w:szCs w:val="18"/>
                <w:lang w:val="es-ES"/>
              </w:rPr>
              <w:t>Goal</w:t>
            </w:r>
            <w:proofErr w:type="spellEnd"/>
            <w:r w:rsidRPr="00D06FD4">
              <w:rPr>
                <w:rFonts w:ascii="Aptos" w:hAnsi="Aptos"/>
                <w:sz w:val="18"/>
                <w:szCs w:val="18"/>
                <w:lang w:val="es-ES"/>
              </w:rPr>
              <w:t xml:space="preserve"> D</w:t>
            </w:r>
          </w:p>
        </w:tc>
        <w:tc>
          <w:tcPr>
            <w:tcW w:w="4764" w:type="dxa"/>
          </w:tcPr>
          <w:p w14:paraId="5D7761AF"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Objetivo D</w:t>
            </w:r>
          </w:p>
        </w:tc>
      </w:tr>
      <w:tr w:rsidR="00D06FD4" w:rsidRPr="00D06FD4" w14:paraId="4C1A36EE" w14:textId="77777777" w:rsidTr="00D06FD4">
        <w:tc>
          <w:tcPr>
            <w:tcW w:w="4707" w:type="dxa"/>
          </w:tcPr>
          <w:p w14:paraId="2DB1938E"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T14: Mainstream </w:t>
            </w:r>
            <w:proofErr w:type="spellStart"/>
            <w:r w:rsidRPr="00D06FD4">
              <w:rPr>
                <w:rFonts w:ascii="Aptos" w:hAnsi="Aptos"/>
                <w:sz w:val="18"/>
                <w:szCs w:val="18"/>
                <w:lang w:val="es-ES"/>
              </w:rPr>
              <w:t>biodiversity</w:t>
            </w:r>
            <w:proofErr w:type="spellEnd"/>
          </w:p>
        </w:tc>
        <w:tc>
          <w:tcPr>
            <w:tcW w:w="4764" w:type="dxa"/>
          </w:tcPr>
          <w:p w14:paraId="68B03CD2"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M14: Integrar la biodiversidad</w:t>
            </w:r>
          </w:p>
        </w:tc>
      </w:tr>
      <w:tr w:rsidR="00D06FD4" w:rsidRPr="00D06FD4" w14:paraId="0E256AAA" w14:textId="77777777" w:rsidTr="00D06FD4">
        <w:tc>
          <w:tcPr>
            <w:tcW w:w="4707" w:type="dxa"/>
          </w:tcPr>
          <w:p w14:paraId="24BA1EDB" w14:textId="77777777" w:rsidR="00D06FD4" w:rsidRPr="00D06FD4" w:rsidRDefault="00D06FD4" w:rsidP="00B93410">
            <w:pPr>
              <w:rPr>
                <w:rFonts w:ascii="Aptos" w:hAnsi="Aptos"/>
                <w:sz w:val="18"/>
                <w:szCs w:val="18"/>
                <w:lang w:val="en-US"/>
              </w:rPr>
            </w:pPr>
            <w:r w:rsidRPr="00D06FD4">
              <w:rPr>
                <w:rFonts w:ascii="Aptos" w:hAnsi="Aptos"/>
                <w:sz w:val="18"/>
                <w:szCs w:val="18"/>
                <w:lang w:val="en-US"/>
              </w:rPr>
              <w:t>T15: Businesses assess and disclose</w:t>
            </w:r>
          </w:p>
        </w:tc>
        <w:tc>
          <w:tcPr>
            <w:tcW w:w="4764" w:type="dxa"/>
          </w:tcPr>
          <w:p w14:paraId="69D43C97"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M15: Evaluación y divulgación por las empresas</w:t>
            </w:r>
          </w:p>
        </w:tc>
      </w:tr>
      <w:tr w:rsidR="00D06FD4" w:rsidRPr="00D06FD4" w14:paraId="1C39E2D7" w14:textId="77777777" w:rsidTr="00D06FD4">
        <w:tc>
          <w:tcPr>
            <w:tcW w:w="4707" w:type="dxa"/>
          </w:tcPr>
          <w:p w14:paraId="4C79AE42"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T16: </w:t>
            </w:r>
            <w:proofErr w:type="spellStart"/>
            <w:r w:rsidRPr="00D06FD4">
              <w:rPr>
                <w:rFonts w:ascii="Aptos" w:hAnsi="Aptos"/>
                <w:sz w:val="18"/>
                <w:szCs w:val="18"/>
                <w:lang w:val="es-ES"/>
              </w:rPr>
              <w:t>Enable</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sustainable</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consumption</w:t>
            </w:r>
            <w:proofErr w:type="spellEnd"/>
          </w:p>
        </w:tc>
        <w:tc>
          <w:tcPr>
            <w:tcW w:w="4764" w:type="dxa"/>
          </w:tcPr>
          <w:p w14:paraId="3049D9EB"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M16: Facilitar el consumo sostenible</w:t>
            </w:r>
          </w:p>
        </w:tc>
      </w:tr>
      <w:tr w:rsidR="00D06FD4" w:rsidRPr="00D06FD4" w14:paraId="17F9544C" w14:textId="77777777" w:rsidTr="00D06FD4">
        <w:tc>
          <w:tcPr>
            <w:tcW w:w="4707" w:type="dxa"/>
          </w:tcPr>
          <w:p w14:paraId="73C01D1B"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T17: </w:t>
            </w:r>
            <w:proofErr w:type="spellStart"/>
            <w:r w:rsidRPr="00D06FD4">
              <w:rPr>
                <w:rFonts w:ascii="Aptos" w:hAnsi="Aptos"/>
                <w:sz w:val="18"/>
                <w:szCs w:val="18"/>
                <w:lang w:val="es-ES"/>
              </w:rPr>
              <w:t>Strengthen</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biosafety</w:t>
            </w:r>
            <w:proofErr w:type="spellEnd"/>
          </w:p>
        </w:tc>
        <w:tc>
          <w:tcPr>
            <w:tcW w:w="4764" w:type="dxa"/>
          </w:tcPr>
          <w:p w14:paraId="77EE9C91"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M17: Reforzar la seguridad de la biotecnología</w:t>
            </w:r>
          </w:p>
        </w:tc>
      </w:tr>
      <w:tr w:rsidR="00D06FD4" w:rsidRPr="00D06FD4" w14:paraId="058A4817" w14:textId="77777777" w:rsidTr="00D06FD4">
        <w:tc>
          <w:tcPr>
            <w:tcW w:w="4707" w:type="dxa"/>
          </w:tcPr>
          <w:p w14:paraId="5323B78F"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T18: Reduce </w:t>
            </w:r>
            <w:proofErr w:type="spellStart"/>
            <w:r w:rsidRPr="00D06FD4">
              <w:rPr>
                <w:rFonts w:ascii="Aptos" w:hAnsi="Aptos"/>
                <w:sz w:val="18"/>
                <w:szCs w:val="18"/>
                <w:lang w:val="es-ES"/>
              </w:rPr>
              <w:t>harmful</w:t>
            </w:r>
            <w:proofErr w:type="spellEnd"/>
            <w:r w:rsidRPr="00D06FD4">
              <w:rPr>
                <w:rFonts w:ascii="Aptos" w:hAnsi="Aptos"/>
                <w:sz w:val="18"/>
                <w:szCs w:val="18"/>
                <w:lang w:val="es-ES"/>
              </w:rPr>
              <w:t xml:space="preserve"> incentives</w:t>
            </w:r>
          </w:p>
        </w:tc>
        <w:tc>
          <w:tcPr>
            <w:tcW w:w="4764" w:type="dxa"/>
          </w:tcPr>
          <w:p w14:paraId="71F600D1"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M18: Reducir los incentivos perjudiciales</w:t>
            </w:r>
          </w:p>
        </w:tc>
      </w:tr>
      <w:tr w:rsidR="00D06FD4" w:rsidRPr="00D06FD4" w14:paraId="5E5D08BB" w14:textId="77777777" w:rsidTr="00D06FD4">
        <w:tc>
          <w:tcPr>
            <w:tcW w:w="4707" w:type="dxa"/>
          </w:tcPr>
          <w:p w14:paraId="24FC5F11"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T19: </w:t>
            </w:r>
            <w:proofErr w:type="spellStart"/>
            <w:r w:rsidRPr="00D06FD4">
              <w:rPr>
                <w:rFonts w:ascii="Aptos" w:hAnsi="Aptos"/>
                <w:sz w:val="18"/>
                <w:szCs w:val="18"/>
                <w:lang w:val="es-ES"/>
              </w:rPr>
              <w:t>Mobilize</w:t>
            </w:r>
            <w:proofErr w:type="spellEnd"/>
            <w:r w:rsidRPr="00D06FD4">
              <w:rPr>
                <w:rFonts w:ascii="Aptos" w:hAnsi="Aptos"/>
                <w:sz w:val="18"/>
                <w:szCs w:val="18"/>
                <w:lang w:val="es-ES"/>
              </w:rPr>
              <w:t xml:space="preserve"> $200 </w:t>
            </w:r>
            <w:proofErr w:type="spellStart"/>
            <w:r w:rsidRPr="00D06FD4">
              <w:rPr>
                <w:rFonts w:ascii="Aptos" w:hAnsi="Aptos"/>
                <w:sz w:val="18"/>
                <w:szCs w:val="18"/>
                <w:lang w:val="es-ES"/>
              </w:rPr>
              <w:t>billion</w:t>
            </w:r>
            <w:proofErr w:type="spellEnd"/>
          </w:p>
        </w:tc>
        <w:tc>
          <w:tcPr>
            <w:tcW w:w="4764" w:type="dxa"/>
          </w:tcPr>
          <w:p w14:paraId="6D7937C2"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M19: Movilizar 200.000 millones de dólares</w:t>
            </w:r>
          </w:p>
        </w:tc>
      </w:tr>
      <w:tr w:rsidR="00D06FD4" w:rsidRPr="00D06FD4" w14:paraId="24D529E9" w14:textId="77777777" w:rsidTr="00D06FD4">
        <w:tc>
          <w:tcPr>
            <w:tcW w:w="4707" w:type="dxa"/>
          </w:tcPr>
          <w:p w14:paraId="3224E67F"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T20: </w:t>
            </w:r>
            <w:proofErr w:type="spellStart"/>
            <w:r w:rsidRPr="00D06FD4">
              <w:rPr>
                <w:rFonts w:ascii="Aptos" w:hAnsi="Aptos"/>
                <w:sz w:val="18"/>
                <w:szCs w:val="18"/>
                <w:lang w:val="es-ES"/>
              </w:rPr>
              <w:t>Strengthen</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capacity-building</w:t>
            </w:r>
            <w:proofErr w:type="spellEnd"/>
          </w:p>
        </w:tc>
        <w:tc>
          <w:tcPr>
            <w:tcW w:w="4764" w:type="dxa"/>
          </w:tcPr>
          <w:p w14:paraId="4E7976F3"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M20: Reforzar la creación de capacidad</w:t>
            </w:r>
          </w:p>
        </w:tc>
      </w:tr>
      <w:tr w:rsidR="00D06FD4" w:rsidRPr="00D06FD4" w14:paraId="6E97E5C2" w14:textId="77777777" w:rsidTr="00D06FD4">
        <w:tc>
          <w:tcPr>
            <w:tcW w:w="4707" w:type="dxa"/>
          </w:tcPr>
          <w:p w14:paraId="20B59D1F"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T21: Knowledge </w:t>
            </w:r>
            <w:proofErr w:type="spellStart"/>
            <w:r w:rsidRPr="00D06FD4">
              <w:rPr>
                <w:rFonts w:ascii="Aptos" w:hAnsi="Aptos"/>
                <w:sz w:val="18"/>
                <w:szCs w:val="18"/>
                <w:lang w:val="es-ES"/>
              </w:rPr>
              <w:t>is</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available</w:t>
            </w:r>
            <w:proofErr w:type="spellEnd"/>
          </w:p>
        </w:tc>
        <w:tc>
          <w:tcPr>
            <w:tcW w:w="4764" w:type="dxa"/>
          </w:tcPr>
          <w:p w14:paraId="1262AD1D"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M21: Disponibilidad de conocimientos</w:t>
            </w:r>
          </w:p>
        </w:tc>
      </w:tr>
      <w:tr w:rsidR="00D06FD4" w:rsidRPr="00D06FD4" w14:paraId="372EA4E2" w14:textId="77777777" w:rsidTr="00D06FD4">
        <w:tc>
          <w:tcPr>
            <w:tcW w:w="4707" w:type="dxa"/>
          </w:tcPr>
          <w:p w14:paraId="54563478" w14:textId="77777777" w:rsidR="00D06FD4" w:rsidRPr="00D06FD4" w:rsidRDefault="00D06FD4" w:rsidP="00B93410">
            <w:pPr>
              <w:rPr>
                <w:rFonts w:ascii="Aptos" w:hAnsi="Aptos"/>
                <w:sz w:val="18"/>
                <w:szCs w:val="18"/>
                <w:lang w:val="en-US"/>
              </w:rPr>
            </w:pPr>
            <w:r w:rsidRPr="00D06FD4">
              <w:rPr>
                <w:rFonts w:ascii="Aptos" w:hAnsi="Aptos"/>
                <w:sz w:val="18"/>
                <w:szCs w:val="18"/>
                <w:lang w:val="en-US"/>
              </w:rPr>
              <w:t>T22: Ensure participation for all</w:t>
            </w:r>
          </w:p>
        </w:tc>
        <w:tc>
          <w:tcPr>
            <w:tcW w:w="4764" w:type="dxa"/>
          </w:tcPr>
          <w:p w14:paraId="10195716"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M22: Garantizar la participación para todos</w:t>
            </w:r>
          </w:p>
        </w:tc>
      </w:tr>
      <w:tr w:rsidR="00D06FD4" w:rsidRPr="00D06FD4" w14:paraId="77F0C58F" w14:textId="77777777" w:rsidTr="00D06FD4">
        <w:tc>
          <w:tcPr>
            <w:tcW w:w="4707" w:type="dxa"/>
          </w:tcPr>
          <w:p w14:paraId="13784D4B"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 xml:space="preserve">T23: </w:t>
            </w:r>
            <w:proofErr w:type="spellStart"/>
            <w:r w:rsidRPr="00D06FD4">
              <w:rPr>
                <w:rFonts w:ascii="Aptos" w:hAnsi="Aptos"/>
                <w:sz w:val="18"/>
                <w:szCs w:val="18"/>
                <w:lang w:val="es-ES"/>
              </w:rPr>
              <w:t>Ensure</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gender</w:t>
            </w:r>
            <w:proofErr w:type="spellEnd"/>
            <w:r w:rsidRPr="00D06FD4">
              <w:rPr>
                <w:rFonts w:ascii="Aptos" w:hAnsi="Aptos"/>
                <w:sz w:val="18"/>
                <w:szCs w:val="18"/>
                <w:lang w:val="es-ES"/>
              </w:rPr>
              <w:t xml:space="preserve"> </w:t>
            </w:r>
            <w:proofErr w:type="spellStart"/>
            <w:r w:rsidRPr="00D06FD4">
              <w:rPr>
                <w:rFonts w:ascii="Aptos" w:hAnsi="Aptos"/>
                <w:sz w:val="18"/>
                <w:szCs w:val="18"/>
                <w:lang w:val="es-ES"/>
              </w:rPr>
              <w:t>equality</w:t>
            </w:r>
            <w:proofErr w:type="spellEnd"/>
          </w:p>
        </w:tc>
        <w:tc>
          <w:tcPr>
            <w:tcW w:w="4764" w:type="dxa"/>
          </w:tcPr>
          <w:p w14:paraId="217DF370" w14:textId="77777777" w:rsidR="00D06FD4" w:rsidRPr="00D06FD4" w:rsidRDefault="00D06FD4" w:rsidP="00B93410">
            <w:pPr>
              <w:rPr>
                <w:rFonts w:ascii="Aptos" w:hAnsi="Aptos"/>
                <w:sz w:val="18"/>
                <w:szCs w:val="18"/>
                <w:lang w:val="es-ES"/>
              </w:rPr>
            </w:pPr>
            <w:r w:rsidRPr="00D06FD4">
              <w:rPr>
                <w:rFonts w:ascii="Aptos" w:hAnsi="Aptos"/>
                <w:sz w:val="18"/>
                <w:szCs w:val="18"/>
                <w:lang w:val="es-ES"/>
              </w:rPr>
              <w:t>M23: Garantizar la igualdad de género</w:t>
            </w:r>
          </w:p>
        </w:tc>
      </w:tr>
    </w:tbl>
    <w:p w14:paraId="5A1790DD"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551D4D98" w14:textId="77777777" w:rsidR="008F15F1" w:rsidRPr="005E3D50" w:rsidRDefault="008F15F1" w:rsidP="008F15F1">
      <w:pPr>
        <w:rPr>
          <w:sz w:val="20"/>
          <w:szCs w:val="20"/>
          <w:lang w:val="es-ES"/>
        </w:rPr>
      </w:pPr>
      <w:r w:rsidRPr="005E3D50">
        <w:rPr>
          <w:sz w:val="20"/>
          <w:lang w:val="es-ES"/>
        </w:rPr>
        <w:t>Figura 107</w:t>
      </w:r>
    </w:p>
    <w:p w14:paraId="60369BDB" w14:textId="77777777" w:rsidR="008F15F1" w:rsidRPr="005E3D50" w:rsidRDefault="008F15F1" w:rsidP="008F15F1">
      <w:pPr>
        <w:rPr>
          <w:sz w:val="20"/>
          <w:szCs w:val="20"/>
          <w:lang w:val="es-ES"/>
        </w:rPr>
      </w:pPr>
      <w:r w:rsidRPr="005E3D50">
        <w:rPr>
          <w:rFonts w:ascii="Aptos" w:hAnsi="Aptos"/>
          <w:b/>
          <w:sz w:val="20"/>
          <w:lang w:val="es-ES"/>
        </w:rPr>
        <w:t>Porcentaje de todos los indicadores cuantitativos (indicadores de cabecera, de componentes, complementarios y nacionales combinados) armonizados con cada meta relacionada con el Objetivo D que sugieren tendencias de mejora, estables y negativas</w:t>
      </w:r>
    </w:p>
    <w:p w14:paraId="2A060005"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bookmarkStart w:id="609" w:name="_Ref230639453"/>
      <w:r w:rsidRPr="005E3D50">
        <w:rPr>
          <w:rFonts w:eastAsiaTheme="minorEastAsia"/>
          <w:i/>
          <w:iCs/>
          <w:noProof/>
          <w:color w:val="0E2841" w:themeColor="text2"/>
          <w:kern w:val="0"/>
          <w:sz w:val="18"/>
          <w:szCs w:val="18"/>
          <w:lang w:val="en-US"/>
          <w14:ligatures w14:val="none"/>
        </w:rPr>
        <w:lastRenderedPageBreak/>
        <w:drawing>
          <wp:inline distT="0" distB="0" distL="0" distR="0" wp14:anchorId="78C44408" wp14:editId="1C72EBC2">
            <wp:extent cx="3760967" cy="2910662"/>
            <wp:effectExtent l="0" t="0" r="0" b="0"/>
            <wp:docPr id="18249170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080" name="Picture 1824917080"/>
                    <pic:cNvPicPr/>
                  </pic:nvPicPr>
                  <pic:blipFill rotWithShape="1">
                    <a:blip r:embed="rId234" cstate="print">
                      <a:extLst>
                        <a:ext uri="{28A0092B-C50C-407E-A947-70E740481C1C}">
                          <a14:useLocalDpi xmlns:a14="http://schemas.microsoft.com/office/drawing/2010/main" val="0"/>
                        </a:ext>
                      </a:extLst>
                    </a:blip>
                    <a:srcRect t="7131"/>
                    <a:stretch>
                      <a:fillRect/>
                    </a:stretch>
                  </pic:blipFill>
                  <pic:spPr bwMode="auto">
                    <a:xfrm>
                      <a:off x="0" y="0"/>
                      <a:ext cx="3786356" cy="2930311"/>
                    </a:xfrm>
                    <a:prstGeom prst="rect">
                      <a:avLst/>
                    </a:prstGeom>
                    <a:ln>
                      <a:noFill/>
                    </a:ln>
                    <a:extLst>
                      <a:ext uri="{53640926-AAD7-44D8-BBD7-CCE9431645EC}">
                        <a14:shadowObscured xmlns:a14="http://schemas.microsoft.com/office/drawing/2010/main"/>
                      </a:ext>
                    </a:extLst>
                  </pic:spPr>
                </pic:pic>
              </a:graphicData>
            </a:graphic>
          </wp:inline>
        </w:drawing>
      </w:r>
    </w:p>
    <w:bookmarkEnd w:id="609"/>
    <w:p w14:paraId="433B8307" w14:textId="77777777" w:rsidR="008F15F1" w:rsidRDefault="008F15F1" w:rsidP="008F15F1">
      <w:pPr>
        <w:spacing w:after="200" w:line="240" w:lineRule="auto"/>
        <w:rPr>
          <w:rFonts w:ascii="Aptos" w:eastAsiaTheme="minorEastAsia" w:hAnsi="Aptos"/>
          <w:iCs/>
          <w:color w:val="0E2841" w:themeColor="text2"/>
          <w:kern w:val="0"/>
          <w:sz w:val="18"/>
          <w:szCs w:val="18"/>
          <w:lang w:val="es-ES" w:eastAsia="ja-JP"/>
          <w14:ligatures w14:val="none"/>
        </w:rPr>
      </w:pPr>
      <w:r w:rsidRPr="005E3D50">
        <w:rPr>
          <w:rFonts w:ascii="Aptos" w:eastAsiaTheme="minorEastAsia" w:hAnsi="Aptos"/>
          <w:i/>
          <w:iCs/>
          <w:color w:val="0E2841" w:themeColor="text2"/>
          <w:kern w:val="0"/>
          <w:sz w:val="18"/>
          <w:szCs w:val="18"/>
          <w:lang w:val="es-ES" w:eastAsia="ja-JP"/>
          <w14:ligatures w14:val="none"/>
        </w:rPr>
        <w:t>Nota</w:t>
      </w:r>
      <w:r w:rsidRPr="005E3D50">
        <w:rPr>
          <w:rFonts w:ascii="Aptos" w:eastAsiaTheme="minorEastAsia" w:hAnsi="Aptos"/>
          <w:iCs/>
          <w:color w:val="0E2841" w:themeColor="text2"/>
          <w:kern w:val="0"/>
          <w:sz w:val="18"/>
          <w:szCs w:val="18"/>
          <w:lang w:val="es-ES" w:eastAsia="ja-JP"/>
          <w14:ligatures w14:val="none"/>
        </w:rPr>
        <w:t>: Las proporciones están ponderadas por Parte. Puede consultarse información sobre la representatividad regional y los tipos de indicadores incluidos en las descripciones de cada una de las metas pertinentes que figuran en la sección II.B.</w:t>
      </w:r>
    </w:p>
    <w:tbl>
      <w:tblPr>
        <w:tblStyle w:val="TableGrid"/>
        <w:tblW w:w="9317" w:type="dxa"/>
        <w:tblLook w:val="04A0" w:firstRow="1" w:lastRow="0" w:firstColumn="1" w:lastColumn="0" w:noHBand="0" w:noVBand="1"/>
      </w:tblPr>
      <w:tblGrid>
        <w:gridCol w:w="4871"/>
        <w:gridCol w:w="4446"/>
      </w:tblGrid>
      <w:tr w:rsidR="000F5B66" w:rsidRPr="000F5B66" w14:paraId="4CA7ECE2" w14:textId="77777777" w:rsidTr="000F5B66">
        <w:tc>
          <w:tcPr>
            <w:tcW w:w="9317" w:type="dxa"/>
            <w:gridSpan w:val="2"/>
          </w:tcPr>
          <w:p w14:paraId="62A0C4BA" w14:textId="7FECD17D" w:rsidR="000F5B66" w:rsidRPr="000F5B66" w:rsidRDefault="000F5B66" w:rsidP="00B93410">
            <w:pPr>
              <w:rPr>
                <w:rFonts w:ascii="Aptos" w:hAnsi="Aptos"/>
                <w:bCs/>
                <w:sz w:val="18"/>
                <w:szCs w:val="18"/>
                <w:lang w:val="es-ES"/>
              </w:rPr>
            </w:pPr>
            <w:r w:rsidRPr="000F5B66">
              <w:rPr>
                <w:rFonts w:ascii="Aptos" w:hAnsi="Aptos"/>
                <w:bCs/>
                <w:sz w:val="18"/>
                <w:szCs w:val="18"/>
                <w:lang w:val="es-ES"/>
              </w:rPr>
              <w:t>Figura 107</w:t>
            </w:r>
          </w:p>
        </w:tc>
      </w:tr>
      <w:tr w:rsidR="000F5B66" w:rsidRPr="000F5B66" w14:paraId="03017F28" w14:textId="77777777" w:rsidTr="000F5B66">
        <w:tc>
          <w:tcPr>
            <w:tcW w:w="4871" w:type="dxa"/>
          </w:tcPr>
          <w:p w14:paraId="5D0C790C" w14:textId="77777777" w:rsidR="000F5B66" w:rsidRPr="000F5B66" w:rsidRDefault="000F5B66" w:rsidP="00B93410">
            <w:pPr>
              <w:rPr>
                <w:rFonts w:ascii="Aptos" w:hAnsi="Aptos"/>
                <w:bCs/>
                <w:sz w:val="18"/>
                <w:szCs w:val="18"/>
                <w:lang w:val="es-ES"/>
              </w:rPr>
            </w:pPr>
            <w:r w:rsidRPr="000F5B66">
              <w:rPr>
                <w:rFonts w:ascii="Aptos" w:hAnsi="Aptos"/>
                <w:bCs/>
                <w:sz w:val="18"/>
                <w:szCs w:val="18"/>
                <w:lang w:val="es-ES"/>
              </w:rPr>
              <w:t xml:space="preserve">English </w:t>
            </w:r>
          </w:p>
        </w:tc>
        <w:tc>
          <w:tcPr>
            <w:tcW w:w="4445" w:type="dxa"/>
          </w:tcPr>
          <w:p w14:paraId="13ECEB09" w14:textId="761613B2" w:rsidR="000F5B66" w:rsidRPr="000F5B66" w:rsidRDefault="000F5B66" w:rsidP="00B93410">
            <w:pPr>
              <w:rPr>
                <w:rFonts w:ascii="Aptos" w:hAnsi="Aptos"/>
                <w:bCs/>
                <w:sz w:val="18"/>
                <w:szCs w:val="18"/>
                <w:lang w:val="es-ES"/>
              </w:rPr>
            </w:pPr>
            <w:r w:rsidRPr="000F5B66">
              <w:rPr>
                <w:rFonts w:ascii="Aptos" w:hAnsi="Aptos"/>
                <w:bCs/>
                <w:sz w:val="18"/>
                <w:szCs w:val="18"/>
                <w:lang w:val="es-ES"/>
              </w:rPr>
              <w:t>Español</w:t>
            </w:r>
          </w:p>
        </w:tc>
      </w:tr>
      <w:tr w:rsidR="000F5B66" w:rsidRPr="000F5B66" w14:paraId="6D795602" w14:textId="77777777" w:rsidTr="000F5B66">
        <w:tc>
          <w:tcPr>
            <w:tcW w:w="4871" w:type="dxa"/>
          </w:tcPr>
          <w:p w14:paraId="6B77CE90"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Target</w:t>
            </w:r>
          </w:p>
        </w:tc>
        <w:tc>
          <w:tcPr>
            <w:tcW w:w="4445" w:type="dxa"/>
          </w:tcPr>
          <w:p w14:paraId="38D20E3F"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Meta</w:t>
            </w:r>
          </w:p>
        </w:tc>
      </w:tr>
      <w:tr w:rsidR="000F5B66" w:rsidRPr="000F5B66" w14:paraId="4B632D91" w14:textId="77777777" w:rsidTr="000F5B66">
        <w:tc>
          <w:tcPr>
            <w:tcW w:w="4871" w:type="dxa"/>
          </w:tcPr>
          <w:p w14:paraId="62E583BC" w14:textId="77777777" w:rsidR="000F5B66" w:rsidRPr="000F5B66" w:rsidRDefault="000F5B66" w:rsidP="00B93410">
            <w:pPr>
              <w:rPr>
                <w:rFonts w:ascii="Aptos" w:hAnsi="Aptos"/>
                <w:sz w:val="18"/>
                <w:szCs w:val="18"/>
                <w:lang w:val="es-ES"/>
              </w:rPr>
            </w:pPr>
            <w:proofErr w:type="spellStart"/>
            <w:r w:rsidRPr="000F5B66">
              <w:rPr>
                <w:rFonts w:ascii="Aptos" w:hAnsi="Aptos"/>
                <w:sz w:val="18"/>
                <w:szCs w:val="18"/>
                <w:lang w:val="es-ES"/>
              </w:rPr>
              <w:t>Percentage</w:t>
            </w:r>
            <w:proofErr w:type="spellEnd"/>
          </w:p>
        </w:tc>
        <w:tc>
          <w:tcPr>
            <w:tcW w:w="4445" w:type="dxa"/>
          </w:tcPr>
          <w:p w14:paraId="39F01BB1"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Porcentaje</w:t>
            </w:r>
          </w:p>
        </w:tc>
      </w:tr>
      <w:tr w:rsidR="000F5B66" w:rsidRPr="000F5B66" w14:paraId="5255F7F9" w14:textId="77777777" w:rsidTr="000F5B66">
        <w:tc>
          <w:tcPr>
            <w:tcW w:w="4871" w:type="dxa"/>
          </w:tcPr>
          <w:p w14:paraId="36D7EC77"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Trend</w:t>
            </w:r>
          </w:p>
        </w:tc>
        <w:tc>
          <w:tcPr>
            <w:tcW w:w="4445" w:type="dxa"/>
          </w:tcPr>
          <w:p w14:paraId="33D01F85"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Tendencia</w:t>
            </w:r>
          </w:p>
        </w:tc>
      </w:tr>
      <w:tr w:rsidR="000F5B66" w:rsidRPr="000F5B66" w14:paraId="0309ED44" w14:textId="77777777" w:rsidTr="000F5B66">
        <w:tc>
          <w:tcPr>
            <w:tcW w:w="4871" w:type="dxa"/>
          </w:tcPr>
          <w:p w14:paraId="4716F04F" w14:textId="77777777" w:rsidR="000F5B66" w:rsidRPr="000F5B66" w:rsidRDefault="000F5B66" w:rsidP="00B93410">
            <w:pPr>
              <w:rPr>
                <w:rFonts w:ascii="Aptos" w:hAnsi="Aptos"/>
                <w:sz w:val="18"/>
                <w:szCs w:val="18"/>
                <w:lang w:val="es-ES"/>
              </w:rPr>
            </w:pPr>
            <w:proofErr w:type="spellStart"/>
            <w:r w:rsidRPr="000F5B66">
              <w:rPr>
                <w:rFonts w:ascii="Aptos" w:hAnsi="Aptos"/>
                <w:sz w:val="18"/>
                <w:szCs w:val="18"/>
                <w:lang w:val="es-ES"/>
              </w:rPr>
              <w:t>improving</w:t>
            </w:r>
            <w:proofErr w:type="spellEnd"/>
          </w:p>
        </w:tc>
        <w:tc>
          <w:tcPr>
            <w:tcW w:w="4445" w:type="dxa"/>
          </w:tcPr>
          <w:p w14:paraId="3655577B"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mejorando</w:t>
            </w:r>
          </w:p>
        </w:tc>
      </w:tr>
      <w:tr w:rsidR="000F5B66" w:rsidRPr="000F5B66" w14:paraId="70CE47AE" w14:textId="77777777" w:rsidTr="000F5B66">
        <w:tc>
          <w:tcPr>
            <w:tcW w:w="4871" w:type="dxa"/>
          </w:tcPr>
          <w:p w14:paraId="2EE00C8A" w14:textId="77777777" w:rsidR="000F5B66" w:rsidRPr="000F5B66" w:rsidRDefault="000F5B66" w:rsidP="00B93410">
            <w:pPr>
              <w:rPr>
                <w:rFonts w:ascii="Aptos" w:hAnsi="Aptos"/>
                <w:sz w:val="18"/>
                <w:szCs w:val="18"/>
                <w:lang w:val="es-ES"/>
              </w:rPr>
            </w:pPr>
            <w:proofErr w:type="spellStart"/>
            <w:r w:rsidRPr="000F5B66">
              <w:rPr>
                <w:rFonts w:ascii="Aptos" w:hAnsi="Aptos"/>
                <w:sz w:val="18"/>
                <w:szCs w:val="18"/>
                <w:lang w:val="es-ES"/>
              </w:rPr>
              <w:t>stable</w:t>
            </w:r>
            <w:proofErr w:type="spellEnd"/>
          </w:p>
        </w:tc>
        <w:tc>
          <w:tcPr>
            <w:tcW w:w="4445" w:type="dxa"/>
          </w:tcPr>
          <w:p w14:paraId="7252E2A8"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estable</w:t>
            </w:r>
          </w:p>
        </w:tc>
      </w:tr>
      <w:tr w:rsidR="000F5B66" w:rsidRPr="000F5B66" w14:paraId="02B659AC" w14:textId="77777777" w:rsidTr="000F5B66">
        <w:tc>
          <w:tcPr>
            <w:tcW w:w="4871" w:type="dxa"/>
          </w:tcPr>
          <w:p w14:paraId="34A0D9C5" w14:textId="77777777" w:rsidR="000F5B66" w:rsidRPr="000F5B66" w:rsidRDefault="000F5B66" w:rsidP="00B93410">
            <w:pPr>
              <w:rPr>
                <w:rFonts w:ascii="Aptos" w:hAnsi="Aptos"/>
                <w:sz w:val="18"/>
                <w:szCs w:val="18"/>
                <w:lang w:val="es-ES"/>
              </w:rPr>
            </w:pPr>
            <w:proofErr w:type="spellStart"/>
            <w:r w:rsidRPr="000F5B66">
              <w:rPr>
                <w:rFonts w:ascii="Aptos" w:hAnsi="Aptos"/>
                <w:sz w:val="18"/>
                <w:szCs w:val="18"/>
                <w:lang w:val="es-ES"/>
              </w:rPr>
              <w:t>moving</w:t>
            </w:r>
            <w:proofErr w:type="spellEnd"/>
            <w:r w:rsidRPr="000F5B66">
              <w:rPr>
                <w:rFonts w:ascii="Aptos" w:hAnsi="Aptos"/>
                <w:sz w:val="18"/>
                <w:szCs w:val="18"/>
                <w:lang w:val="es-ES"/>
              </w:rPr>
              <w:t xml:space="preserve"> </w:t>
            </w:r>
            <w:proofErr w:type="spellStart"/>
            <w:r w:rsidRPr="000F5B66">
              <w:rPr>
                <w:rFonts w:ascii="Aptos" w:hAnsi="Aptos"/>
                <w:sz w:val="18"/>
                <w:szCs w:val="18"/>
                <w:lang w:val="es-ES"/>
              </w:rPr>
              <w:t>away</w:t>
            </w:r>
            <w:proofErr w:type="spellEnd"/>
          </w:p>
        </w:tc>
        <w:tc>
          <w:tcPr>
            <w:tcW w:w="4445" w:type="dxa"/>
          </w:tcPr>
          <w:p w14:paraId="4D885875"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alejándose</w:t>
            </w:r>
          </w:p>
        </w:tc>
      </w:tr>
      <w:tr w:rsidR="000F5B66" w:rsidRPr="000F5B66" w14:paraId="6C1BF099" w14:textId="77777777" w:rsidTr="000F5B66">
        <w:tc>
          <w:tcPr>
            <w:tcW w:w="4871" w:type="dxa"/>
          </w:tcPr>
          <w:p w14:paraId="289AD4CE"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GBF-T14</w:t>
            </w:r>
          </w:p>
        </w:tc>
        <w:tc>
          <w:tcPr>
            <w:tcW w:w="4445" w:type="dxa"/>
          </w:tcPr>
          <w:p w14:paraId="498AC7B3"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M14 del MMB</w:t>
            </w:r>
          </w:p>
        </w:tc>
      </w:tr>
      <w:tr w:rsidR="000F5B66" w:rsidRPr="000F5B66" w14:paraId="2E2EC1FC" w14:textId="77777777" w:rsidTr="000F5B66">
        <w:tc>
          <w:tcPr>
            <w:tcW w:w="4871" w:type="dxa"/>
          </w:tcPr>
          <w:p w14:paraId="06E9FDDE"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GBF-T15</w:t>
            </w:r>
          </w:p>
        </w:tc>
        <w:tc>
          <w:tcPr>
            <w:tcW w:w="4445" w:type="dxa"/>
          </w:tcPr>
          <w:p w14:paraId="060CA551"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M15 del MMB</w:t>
            </w:r>
          </w:p>
        </w:tc>
      </w:tr>
      <w:tr w:rsidR="000F5B66" w:rsidRPr="000F5B66" w14:paraId="5C207F6E" w14:textId="77777777" w:rsidTr="000F5B66">
        <w:tc>
          <w:tcPr>
            <w:tcW w:w="4871" w:type="dxa"/>
          </w:tcPr>
          <w:p w14:paraId="52D4A4CE"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GBF-T16</w:t>
            </w:r>
          </w:p>
        </w:tc>
        <w:tc>
          <w:tcPr>
            <w:tcW w:w="4445" w:type="dxa"/>
          </w:tcPr>
          <w:p w14:paraId="246BF19B"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M16 del MMB</w:t>
            </w:r>
          </w:p>
        </w:tc>
      </w:tr>
      <w:tr w:rsidR="000F5B66" w:rsidRPr="000F5B66" w14:paraId="20109205" w14:textId="77777777" w:rsidTr="000F5B66">
        <w:tc>
          <w:tcPr>
            <w:tcW w:w="4871" w:type="dxa"/>
          </w:tcPr>
          <w:p w14:paraId="65C57AAC"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GBF-T17</w:t>
            </w:r>
          </w:p>
        </w:tc>
        <w:tc>
          <w:tcPr>
            <w:tcW w:w="4445" w:type="dxa"/>
          </w:tcPr>
          <w:p w14:paraId="5438BF52"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M17 del MMB</w:t>
            </w:r>
          </w:p>
        </w:tc>
      </w:tr>
      <w:tr w:rsidR="000F5B66" w:rsidRPr="000F5B66" w14:paraId="3FA593ED" w14:textId="77777777" w:rsidTr="000F5B66">
        <w:tc>
          <w:tcPr>
            <w:tcW w:w="4871" w:type="dxa"/>
          </w:tcPr>
          <w:p w14:paraId="36BE8C81"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GBF-T18</w:t>
            </w:r>
          </w:p>
        </w:tc>
        <w:tc>
          <w:tcPr>
            <w:tcW w:w="4445" w:type="dxa"/>
          </w:tcPr>
          <w:p w14:paraId="0CCA1573"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M18 del MMB</w:t>
            </w:r>
          </w:p>
        </w:tc>
      </w:tr>
      <w:tr w:rsidR="000F5B66" w:rsidRPr="000F5B66" w14:paraId="13B11224" w14:textId="77777777" w:rsidTr="000F5B66">
        <w:tc>
          <w:tcPr>
            <w:tcW w:w="4871" w:type="dxa"/>
          </w:tcPr>
          <w:p w14:paraId="4E28B8F3"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GBF-T19</w:t>
            </w:r>
          </w:p>
        </w:tc>
        <w:tc>
          <w:tcPr>
            <w:tcW w:w="4445" w:type="dxa"/>
          </w:tcPr>
          <w:p w14:paraId="34F0C48D"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M19 del MMB</w:t>
            </w:r>
          </w:p>
        </w:tc>
      </w:tr>
      <w:tr w:rsidR="000F5B66" w:rsidRPr="000F5B66" w14:paraId="0F5C3D67" w14:textId="77777777" w:rsidTr="000F5B66">
        <w:tc>
          <w:tcPr>
            <w:tcW w:w="4871" w:type="dxa"/>
          </w:tcPr>
          <w:p w14:paraId="0B11BC68"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GBF-T20</w:t>
            </w:r>
          </w:p>
        </w:tc>
        <w:tc>
          <w:tcPr>
            <w:tcW w:w="4445" w:type="dxa"/>
          </w:tcPr>
          <w:p w14:paraId="2C63E530"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M20 del MMB</w:t>
            </w:r>
          </w:p>
        </w:tc>
      </w:tr>
      <w:tr w:rsidR="000F5B66" w:rsidRPr="000F5B66" w14:paraId="7B8909F2" w14:textId="77777777" w:rsidTr="000F5B66">
        <w:tc>
          <w:tcPr>
            <w:tcW w:w="4871" w:type="dxa"/>
          </w:tcPr>
          <w:p w14:paraId="60AC5F86"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GBF-T21</w:t>
            </w:r>
          </w:p>
        </w:tc>
        <w:tc>
          <w:tcPr>
            <w:tcW w:w="4445" w:type="dxa"/>
          </w:tcPr>
          <w:p w14:paraId="37E8DD92"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M21 del MMB</w:t>
            </w:r>
          </w:p>
        </w:tc>
      </w:tr>
      <w:tr w:rsidR="000F5B66" w:rsidRPr="000F5B66" w14:paraId="463BE78A" w14:textId="77777777" w:rsidTr="000F5B66">
        <w:tc>
          <w:tcPr>
            <w:tcW w:w="4871" w:type="dxa"/>
          </w:tcPr>
          <w:p w14:paraId="534F75EF"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GBF-T22</w:t>
            </w:r>
          </w:p>
        </w:tc>
        <w:tc>
          <w:tcPr>
            <w:tcW w:w="4445" w:type="dxa"/>
          </w:tcPr>
          <w:p w14:paraId="5771DD19"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M22 del MMB</w:t>
            </w:r>
          </w:p>
        </w:tc>
      </w:tr>
      <w:tr w:rsidR="000F5B66" w:rsidRPr="000F5B66" w14:paraId="4BAD613F" w14:textId="77777777" w:rsidTr="000F5B66">
        <w:tc>
          <w:tcPr>
            <w:tcW w:w="4871" w:type="dxa"/>
          </w:tcPr>
          <w:p w14:paraId="032E82B6"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GBF-T23</w:t>
            </w:r>
          </w:p>
        </w:tc>
        <w:tc>
          <w:tcPr>
            <w:tcW w:w="4445" w:type="dxa"/>
          </w:tcPr>
          <w:p w14:paraId="6C5D204F" w14:textId="77777777" w:rsidR="000F5B66" w:rsidRPr="000F5B66" w:rsidRDefault="000F5B66" w:rsidP="00B93410">
            <w:pPr>
              <w:rPr>
                <w:rFonts w:ascii="Aptos" w:hAnsi="Aptos"/>
                <w:sz w:val="18"/>
                <w:szCs w:val="18"/>
                <w:lang w:val="es-ES"/>
              </w:rPr>
            </w:pPr>
            <w:r w:rsidRPr="000F5B66">
              <w:rPr>
                <w:rFonts w:ascii="Aptos" w:hAnsi="Aptos"/>
                <w:sz w:val="18"/>
                <w:szCs w:val="18"/>
                <w:lang w:val="es-ES"/>
              </w:rPr>
              <w:t>M23 del MMB</w:t>
            </w:r>
          </w:p>
        </w:tc>
      </w:tr>
    </w:tbl>
    <w:p w14:paraId="5FA666C9" w14:textId="77777777" w:rsidR="000F5B66" w:rsidRPr="005E3D50" w:rsidRDefault="000F5B66" w:rsidP="008F15F1">
      <w:pPr>
        <w:spacing w:after="200" w:line="240" w:lineRule="auto"/>
        <w:rPr>
          <w:rFonts w:ascii="Aptos" w:eastAsiaTheme="minorEastAsia" w:hAnsi="Aptos"/>
          <w:color w:val="0E2841" w:themeColor="text2"/>
          <w:kern w:val="0"/>
          <w:sz w:val="18"/>
          <w:szCs w:val="18"/>
          <w:lang w:val="es-ES" w:eastAsia="ja-JP"/>
          <w14:ligatures w14:val="none"/>
        </w:rPr>
      </w:pPr>
    </w:p>
    <w:p w14:paraId="5D1E7AC2"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5584ECC"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610" w:name="_Toc235821360"/>
      <w:r w:rsidRPr="005E3D50">
        <w:rPr>
          <w:rFonts w:eastAsiaTheme="majorEastAsia" w:cstheme="majorBidi"/>
          <w:color w:val="0F4761" w:themeColor="accent1" w:themeShade="BF"/>
          <w:lang w:val="es-ES"/>
        </w:rPr>
        <w:t>Indicadores de progresos</w:t>
      </w:r>
      <w:bookmarkEnd w:id="610"/>
    </w:p>
    <w:p w14:paraId="57D3DEA5" w14:textId="77777777" w:rsidR="008F15F1" w:rsidRPr="005E3D50" w:rsidRDefault="008F15F1" w:rsidP="008F15F1">
      <w:pPr>
        <w:rPr>
          <w:i/>
          <w:color w:val="0E2841" w:themeColor="text2"/>
          <w:sz w:val="18"/>
          <w:szCs w:val="18"/>
          <w:lang w:val="es-ES"/>
        </w:rPr>
      </w:pPr>
    </w:p>
    <w:p w14:paraId="76114790" w14:textId="77777777" w:rsidR="008F15F1" w:rsidRPr="005E3D50" w:rsidRDefault="008F15F1" w:rsidP="008F15F1">
      <w:pPr>
        <w:rPr>
          <w:iCs/>
          <w:color w:val="0E2841" w:themeColor="text2"/>
          <w:sz w:val="20"/>
          <w:szCs w:val="20"/>
          <w:lang w:val="es-ES"/>
        </w:rPr>
      </w:pPr>
      <w:r w:rsidRPr="005E3D50">
        <w:rPr>
          <w:color w:val="0E2841" w:themeColor="text2"/>
          <w:sz w:val="20"/>
          <w:lang w:val="es-ES"/>
        </w:rPr>
        <w:t xml:space="preserve">Cuadro 54 </w:t>
      </w:r>
    </w:p>
    <w:p w14:paraId="0FF36789" w14:textId="77777777" w:rsidR="008F15F1" w:rsidRPr="005E3D50" w:rsidRDefault="008F15F1" w:rsidP="008F15F1">
      <w:pPr>
        <w:rPr>
          <w:iCs/>
          <w:color w:val="0E2841" w:themeColor="text2"/>
          <w:sz w:val="20"/>
          <w:szCs w:val="20"/>
          <w:lang w:val="es-ES"/>
        </w:rPr>
      </w:pPr>
      <w:r w:rsidRPr="005E3D50">
        <w:rPr>
          <w:b/>
          <w:color w:val="0E2841" w:themeColor="text2"/>
          <w:sz w:val="20"/>
          <w:lang w:val="es-ES"/>
        </w:rPr>
        <w:t>Tablero de puntuación de los indicadores para el Objetivo D</w:t>
      </w:r>
    </w:p>
    <w:p w14:paraId="07D7AEF1" w14:textId="77777777" w:rsidR="008F15F1" w:rsidRPr="005E3D50" w:rsidRDefault="008F15F1" w:rsidP="008F15F1">
      <w:pPr>
        <w:rPr>
          <w:lang w:val="es-ES"/>
        </w:rPr>
      </w:pPr>
    </w:p>
    <w:tbl>
      <w:tblPr>
        <w:tblW w:w="10201" w:type="dxa"/>
        <w:tblLook w:val="04A0" w:firstRow="1" w:lastRow="0" w:firstColumn="1" w:lastColumn="0" w:noHBand="0" w:noVBand="1"/>
      </w:tblPr>
      <w:tblGrid>
        <w:gridCol w:w="3240"/>
        <w:gridCol w:w="2284"/>
        <w:gridCol w:w="708"/>
        <w:gridCol w:w="3261"/>
        <w:gridCol w:w="708"/>
      </w:tblGrid>
      <w:tr w:rsidR="008F15F1" w:rsidRPr="005E3D50" w14:paraId="1B8AD7E2" w14:textId="77777777" w:rsidTr="006E6831">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785F018E" w14:textId="77777777" w:rsidR="008F15F1" w:rsidRPr="005E3D50" w:rsidRDefault="008F15F1" w:rsidP="008F15F1">
            <w:pPr>
              <w:spacing w:after="0" w:line="240" w:lineRule="auto"/>
              <w:rPr>
                <w:rFonts w:ascii="Aptos" w:eastAsia="Times New Roman" w:hAnsi="Aptos" w:cs="Times New Roman"/>
                <w:color w:val="242424"/>
                <w:kern w:val="0"/>
                <w:sz w:val="20"/>
                <w:szCs w:val="20"/>
                <w:lang w:val="es-ES"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6FCB92A7"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14:ligatures w14:val="none"/>
              </w:rPr>
            </w:pPr>
            <w:r w:rsidRPr="005E3D50">
              <w:rPr>
                <w:rFonts w:ascii="Aptos" w:hAnsi="Aptos"/>
                <w:color w:val="000000"/>
                <w:sz w:val="20"/>
                <w:lang w:val="es-ES"/>
              </w:rPr>
              <w:t>Uso del indicador</w:t>
            </w:r>
          </w:p>
        </w:tc>
        <w:tc>
          <w:tcPr>
            <w:tcW w:w="3969" w:type="dxa"/>
            <w:gridSpan w:val="2"/>
            <w:tcBorders>
              <w:top w:val="single" w:sz="4" w:space="0" w:color="auto"/>
              <w:left w:val="nil"/>
              <w:bottom w:val="single" w:sz="4" w:space="0" w:color="auto"/>
              <w:right w:val="single" w:sz="4" w:space="0" w:color="auto"/>
            </w:tcBorders>
            <w:vAlign w:val="center"/>
          </w:tcPr>
          <w:p w14:paraId="6FC60A6D"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Resultados del indicador</w:t>
            </w:r>
          </w:p>
        </w:tc>
      </w:tr>
      <w:tr w:rsidR="008F15F1" w:rsidRPr="005E3D50" w14:paraId="4561B643" w14:textId="77777777" w:rsidTr="006E6831">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3888BC50" w14:textId="77777777" w:rsidR="008F15F1" w:rsidRPr="005E3D50" w:rsidRDefault="008F15F1" w:rsidP="008F15F1">
            <w:pPr>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t>Indicador de cabecera D.1: financiación pública internacional, incluida asistencia oficial para el desarrollo para la conservación y la utilización sostenible de la diversidad biológica y los ecosistemas</w:t>
            </w:r>
          </w:p>
        </w:tc>
        <w:tc>
          <w:tcPr>
            <w:tcW w:w="2284" w:type="dxa"/>
            <w:tcBorders>
              <w:top w:val="single" w:sz="4" w:space="0" w:color="auto"/>
              <w:left w:val="nil"/>
              <w:bottom w:val="single" w:sz="4" w:space="0" w:color="auto"/>
              <w:right w:val="single" w:sz="4" w:space="0" w:color="auto"/>
            </w:tcBorders>
            <w:vAlign w:val="center"/>
            <w:hideMark/>
          </w:tcPr>
          <w:p w14:paraId="70AD2047"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61 % de las Partes</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3CBC2E1E"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1A420526"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Promedio de 2020-2023: 4.400 millones de dólares de los EE. UU. al año</w:t>
            </w:r>
          </w:p>
        </w:tc>
        <w:tc>
          <w:tcPr>
            <w:tcW w:w="708" w:type="dxa"/>
            <w:tcBorders>
              <w:top w:val="single" w:sz="4" w:space="0" w:color="auto"/>
              <w:left w:val="nil"/>
              <w:bottom w:val="single" w:sz="4" w:space="0" w:color="auto"/>
              <w:right w:val="single" w:sz="4" w:space="0" w:color="auto"/>
            </w:tcBorders>
            <w:shd w:val="clear" w:color="auto" w:fill="EE0000"/>
            <w:vAlign w:val="center"/>
            <w:hideMark/>
          </w:tcPr>
          <w:p w14:paraId="71CC4AE2"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r w:rsidR="008F15F1" w:rsidRPr="005E3D50" w14:paraId="4AB39DD0" w14:textId="77777777" w:rsidTr="006E6831">
        <w:trPr>
          <w:trHeight w:val="1120"/>
        </w:trPr>
        <w:tc>
          <w:tcPr>
            <w:tcW w:w="3240" w:type="dxa"/>
            <w:tcBorders>
              <w:top w:val="nil"/>
              <w:left w:val="single" w:sz="4" w:space="0" w:color="auto"/>
              <w:bottom w:val="single" w:sz="4" w:space="0" w:color="auto"/>
              <w:right w:val="single" w:sz="4" w:space="0" w:color="auto"/>
            </w:tcBorders>
            <w:vAlign w:val="center"/>
            <w:hideMark/>
          </w:tcPr>
          <w:p w14:paraId="509A1369" w14:textId="77777777" w:rsidR="008F15F1" w:rsidRPr="005E3D50" w:rsidRDefault="008F15F1" w:rsidP="008F15F1">
            <w:pPr>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t>Indicador de cabecera D.2: financiación pública nacional para la conservación y la utilización sostenible de la diversidad biológica y los ecosistemas</w:t>
            </w:r>
          </w:p>
        </w:tc>
        <w:tc>
          <w:tcPr>
            <w:tcW w:w="2284" w:type="dxa"/>
            <w:tcBorders>
              <w:top w:val="nil"/>
              <w:left w:val="nil"/>
              <w:bottom w:val="single" w:sz="4" w:space="0" w:color="auto"/>
              <w:right w:val="single" w:sz="4" w:space="0" w:color="auto"/>
            </w:tcBorders>
            <w:vAlign w:val="center"/>
            <w:hideMark/>
          </w:tcPr>
          <w:p w14:paraId="41E792A3"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54 % de las Partes</w:t>
            </w:r>
          </w:p>
        </w:tc>
        <w:tc>
          <w:tcPr>
            <w:tcW w:w="708" w:type="dxa"/>
            <w:tcBorders>
              <w:top w:val="nil"/>
              <w:left w:val="nil"/>
              <w:bottom w:val="single" w:sz="4" w:space="0" w:color="auto"/>
              <w:right w:val="single" w:sz="4" w:space="0" w:color="auto"/>
            </w:tcBorders>
            <w:shd w:val="clear" w:color="000000" w:fill="92D050"/>
            <w:vAlign w:val="center"/>
            <w:hideMark/>
          </w:tcPr>
          <w:p w14:paraId="6BF15BD7"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nil"/>
              <w:bottom w:val="single" w:sz="4" w:space="0" w:color="auto"/>
              <w:right w:val="single" w:sz="4" w:space="0" w:color="auto"/>
            </w:tcBorders>
            <w:vAlign w:val="center"/>
            <w:hideMark/>
          </w:tcPr>
          <w:p w14:paraId="255D4523"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Promedio de 2020-2023: 34.000 millones de dólares de los EE. UU. al año</w:t>
            </w:r>
          </w:p>
        </w:tc>
        <w:tc>
          <w:tcPr>
            <w:tcW w:w="708" w:type="dxa"/>
            <w:tcBorders>
              <w:top w:val="nil"/>
              <w:left w:val="nil"/>
              <w:bottom w:val="single" w:sz="4" w:space="0" w:color="auto"/>
              <w:right w:val="single" w:sz="4" w:space="0" w:color="auto"/>
            </w:tcBorders>
            <w:shd w:val="clear" w:color="auto" w:fill="EE0000"/>
            <w:vAlign w:val="center"/>
            <w:hideMark/>
          </w:tcPr>
          <w:p w14:paraId="06321746"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r w:rsidR="008F15F1" w:rsidRPr="005E3D50" w14:paraId="50EF96D1" w14:textId="77777777" w:rsidTr="006E6831">
        <w:trPr>
          <w:trHeight w:val="1200"/>
        </w:trPr>
        <w:tc>
          <w:tcPr>
            <w:tcW w:w="3240" w:type="dxa"/>
            <w:tcBorders>
              <w:top w:val="nil"/>
              <w:left w:val="single" w:sz="4" w:space="0" w:color="auto"/>
              <w:bottom w:val="nil"/>
              <w:right w:val="single" w:sz="4" w:space="0" w:color="auto"/>
            </w:tcBorders>
            <w:vAlign w:val="center"/>
            <w:hideMark/>
          </w:tcPr>
          <w:p w14:paraId="67BA160B" w14:textId="77777777" w:rsidR="008F15F1" w:rsidRPr="005E3D50" w:rsidRDefault="008F15F1" w:rsidP="008F15F1">
            <w:pPr>
              <w:spacing w:after="0" w:line="240" w:lineRule="auto"/>
              <w:jc w:val="center"/>
              <w:rPr>
                <w:rFonts w:ascii="Aptos" w:eastAsia="Times New Roman" w:hAnsi="Aptos" w:cs="Times New Roman"/>
                <w:color w:val="242424"/>
                <w:kern w:val="0"/>
                <w:sz w:val="20"/>
                <w:szCs w:val="20"/>
                <w:lang w:val="es-ES"/>
                <w14:ligatures w14:val="none"/>
              </w:rPr>
            </w:pPr>
            <w:r w:rsidRPr="005E3D50">
              <w:rPr>
                <w:rFonts w:ascii="Aptos" w:hAnsi="Aptos"/>
                <w:color w:val="242424"/>
                <w:sz w:val="20"/>
                <w:lang w:val="es-ES"/>
              </w:rPr>
              <w:t>Indicador de cabecera D.3: financiación privada (nacional e internacional) para la conservación y la utilización sostenible de la diversidad biológica y los ecosistemas</w:t>
            </w:r>
          </w:p>
        </w:tc>
        <w:tc>
          <w:tcPr>
            <w:tcW w:w="2284" w:type="dxa"/>
            <w:tcBorders>
              <w:top w:val="nil"/>
              <w:left w:val="nil"/>
              <w:bottom w:val="nil"/>
              <w:right w:val="single" w:sz="4" w:space="0" w:color="auto"/>
            </w:tcBorders>
            <w:vAlign w:val="center"/>
            <w:hideMark/>
          </w:tcPr>
          <w:p w14:paraId="68EC89E5"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26 % de las Partes</w:t>
            </w:r>
          </w:p>
        </w:tc>
        <w:tc>
          <w:tcPr>
            <w:tcW w:w="708" w:type="dxa"/>
            <w:tcBorders>
              <w:top w:val="nil"/>
              <w:left w:val="nil"/>
              <w:bottom w:val="nil"/>
              <w:right w:val="nil"/>
            </w:tcBorders>
            <w:shd w:val="clear" w:color="000000" w:fill="FFC000"/>
            <w:vAlign w:val="center"/>
            <w:hideMark/>
          </w:tcPr>
          <w:p w14:paraId="55731797"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single" w:sz="4" w:space="0" w:color="auto"/>
              <w:bottom w:val="nil"/>
              <w:right w:val="single" w:sz="4" w:space="0" w:color="auto"/>
            </w:tcBorders>
            <w:vAlign w:val="center"/>
            <w:hideMark/>
          </w:tcPr>
          <w:p w14:paraId="3B5CF04B"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14:ligatures w14:val="none"/>
              </w:rPr>
            </w:pPr>
            <w:r w:rsidRPr="005E3D50">
              <w:rPr>
                <w:rFonts w:ascii="Aptos" w:hAnsi="Aptos"/>
                <w:color w:val="000000"/>
                <w:sz w:val="20"/>
                <w:lang w:val="es-ES"/>
              </w:rPr>
              <w:t>Promedio de 2020-2023: 8.200 millones de dólares de los EE. UU. al año</w:t>
            </w:r>
          </w:p>
        </w:tc>
        <w:tc>
          <w:tcPr>
            <w:tcW w:w="708" w:type="dxa"/>
            <w:tcBorders>
              <w:top w:val="nil"/>
              <w:left w:val="nil"/>
              <w:bottom w:val="nil"/>
              <w:right w:val="single" w:sz="4" w:space="0" w:color="auto"/>
            </w:tcBorders>
            <w:shd w:val="clear" w:color="auto" w:fill="EE0000"/>
            <w:vAlign w:val="center"/>
            <w:hideMark/>
          </w:tcPr>
          <w:p w14:paraId="777B516C"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r w:rsidR="008F15F1" w:rsidRPr="005E3D50" w14:paraId="1949C93C" w14:textId="77777777" w:rsidTr="006E6831">
        <w:trPr>
          <w:trHeight w:val="1200"/>
        </w:trPr>
        <w:tc>
          <w:tcPr>
            <w:tcW w:w="3240" w:type="dxa"/>
            <w:tcBorders>
              <w:top w:val="nil"/>
              <w:left w:val="single" w:sz="4" w:space="0" w:color="auto"/>
              <w:bottom w:val="single" w:sz="4" w:space="0" w:color="auto"/>
              <w:right w:val="single" w:sz="4" w:space="0" w:color="auto"/>
            </w:tcBorders>
            <w:vAlign w:val="center"/>
          </w:tcPr>
          <w:p w14:paraId="1279B010" w14:textId="77777777" w:rsidR="008F15F1" w:rsidRPr="005E3D50" w:rsidRDefault="008F15F1" w:rsidP="008F15F1">
            <w:pPr>
              <w:spacing w:after="0" w:line="240" w:lineRule="auto"/>
              <w:rPr>
                <w:rFonts w:ascii="Aptos" w:eastAsia="Times New Roman" w:hAnsi="Aptos" w:cs="Times New Roman"/>
                <w:color w:val="242424"/>
                <w:kern w:val="0"/>
                <w:sz w:val="20"/>
                <w:szCs w:val="20"/>
                <w:lang w:val="es-ES" w:eastAsia="en-CA"/>
                <w14:ligatures w14:val="none"/>
              </w:rPr>
            </w:pPr>
          </w:p>
          <w:p w14:paraId="61640B03" w14:textId="77777777" w:rsidR="008F15F1" w:rsidRPr="005E3D50" w:rsidRDefault="008F15F1" w:rsidP="008F15F1">
            <w:pPr>
              <w:spacing w:after="0" w:line="240" w:lineRule="auto"/>
              <w:rPr>
                <w:rFonts w:ascii="Aptos" w:eastAsia="Times New Roman" w:hAnsi="Aptos" w:cs="Times New Roman"/>
                <w:color w:val="242424"/>
                <w:kern w:val="0"/>
                <w:sz w:val="20"/>
                <w:szCs w:val="20"/>
                <w:lang w:val="es-ES" w:eastAsia="en-CA"/>
                <w14:ligatures w14:val="none"/>
              </w:rPr>
            </w:pPr>
          </w:p>
        </w:tc>
        <w:tc>
          <w:tcPr>
            <w:tcW w:w="2284" w:type="dxa"/>
            <w:tcBorders>
              <w:top w:val="nil"/>
              <w:left w:val="nil"/>
              <w:bottom w:val="single" w:sz="4" w:space="0" w:color="auto"/>
              <w:right w:val="single" w:sz="4" w:space="0" w:color="auto"/>
            </w:tcBorders>
            <w:vAlign w:val="center"/>
          </w:tcPr>
          <w:p w14:paraId="56074A94"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c>
          <w:tcPr>
            <w:tcW w:w="708" w:type="dxa"/>
            <w:tcBorders>
              <w:top w:val="nil"/>
              <w:left w:val="nil"/>
              <w:bottom w:val="single" w:sz="4" w:space="0" w:color="auto"/>
              <w:right w:val="nil"/>
            </w:tcBorders>
            <w:shd w:val="clear" w:color="000000" w:fill="FFC000"/>
            <w:vAlign w:val="center"/>
          </w:tcPr>
          <w:p w14:paraId="70C4FD75" w14:textId="77777777" w:rsidR="008F15F1" w:rsidRPr="005E3D50" w:rsidRDefault="008F15F1" w:rsidP="008F15F1">
            <w:pPr>
              <w:spacing w:after="0" w:line="240" w:lineRule="auto"/>
              <w:jc w:val="center"/>
              <w:rPr>
                <w:rFonts w:ascii="Aptos" w:eastAsia="Times New Roman" w:hAnsi="Aptos" w:cs="Times New Roman"/>
                <w:color w:val="000000"/>
                <w:kern w:val="0"/>
                <w:sz w:val="20"/>
                <w:szCs w:val="20"/>
                <w:lang w:val="es-ES"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503C6EB5"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c>
          <w:tcPr>
            <w:tcW w:w="708" w:type="dxa"/>
            <w:tcBorders>
              <w:top w:val="nil"/>
              <w:left w:val="nil"/>
              <w:bottom w:val="single" w:sz="4" w:space="0" w:color="auto"/>
              <w:right w:val="single" w:sz="4" w:space="0" w:color="auto"/>
            </w:tcBorders>
            <w:shd w:val="clear" w:color="auto" w:fill="EE0000"/>
            <w:vAlign w:val="center"/>
          </w:tcPr>
          <w:p w14:paraId="397003AD" w14:textId="77777777" w:rsidR="008F15F1" w:rsidRPr="005E3D50" w:rsidRDefault="008F15F1" w:rsidP="008F15F1">
            <w:pPr>
              <w:spacing w:after="0" w:line="240" w:lineRule="auto"/>
              <w:jc w:val="center"/>
              <w:rPr>
                <w:rFonts w:ascii="Aptos" w:eastAsia="Times New Roman" w:hAnsi="Aptos" w:cs="Calibri"/>
                <w:color w:val="000000"/>
                <w:kern w:val="0"/>
                <w:sz w:val="20"/>
                <w:szCs w:val="20"/>
                <w:lang w:val="es-ES" w:eastAsia="en-CA"/>
                <w14:ligatures w14:val="none"/>
              </w:rPr>
            </w:pPr>
          </w:p>
        </w:tc>
      </w:tr>
    </w:tbl>
    <w:p w14:paraId="3EB9BDEA"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76B79FE8"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7D7E88AE" w14:textId="77777777" w:rsidR="008F15F1" w:rsidRPr="005E3D50" w:rsidRDefault="008F15F1" w:rsidP="008F15F1">
      <w:pPr>
        <w:rPr>
          <w:rFonts w:ascii="Aptos" w:hAnsi="Aptos"/>
          <w:sz w:val="16"/>
          <w:szCs w:val="16"/>
          <w:lang w:val="es-ES"/>
        </w:rPr>
      </w:pPr>
      <w:r w:rsidRPr="005E3D50">
        <w:rPr>
          <w:rFonts w:ascii="Aptos" w:hAnsi="Aptos"/>
          <w:i/>
          <w:sz w:val="16"/>
          <w:lang w:val="es-ES"/>
        </w:rPr>
        <w:t>Nota:</w:t>
      </w:r>
      <w:r w:rsidRPr="005E3D50">
        <w:rPr>
          <w:rFonts w:ascii="Aptos" w:hAnsi="Aptos"/>
          <w:sz w:val="16"/>
          <w:lang w:val="es-ES"/>
        </w:rPr>
        <w:t xml:space="preserve"> El código de colores tiene que ver con la evaluación general de los progresos en todas las metas, cuya metodología está explicada en el tablero de puntuación general resumido (véase el cuadro 3). Los colores correspondientes al uso de datos de los indicadores y las tendencias de todos los indicadores cuantitativos reflejan la posición que ocupa un valor en cada meta respecto de las puntuaciones </w:t>
      </w:r>
      <w:proofErr w:type="gramStart"/>
      <w:r w:rsidRPr="005E3D50">
        <w:rPr>
          <w:rFonts w:ascii="Aptos" w:hAnsi="Aptos"/>
          <w:sz w:val="16"/>
          <w:lang w:val="es-ES"/>
        </w:rPr>
        <w:t>más altas y más bajas</w:t>
      </w:r>
      <w:proofErr w:type="gramEnd"/>
      <w:r w:rsidRPr="005E3D50">
        <w:rPr>
          <w:rFonts w:ascii="Aptos" w:hAnsi="Aptos"/>
          <w:sz w:val="16"/>
          <w:lang w:val="es-ES"/>
        </w:rPr>
        <w:t xml:space="preserve"> alcanzadas en el conjunto de las metas del Marco (se asigna el color verde a los valores porcentuales situados en el tercio superior de todo el intervalo, el amarillo a los del tercio medio y el rojo a los del tercio inferior). La determinación de los colores de los resultados de los indicadores de cabecera se basa en los progresos alcanzados en la consecución de la meta (se asigna el color verde a los casos en que se están logrando progresos, amarillo cuando los progresos son dispares, rojo cuando los progresos son insuficientes y gris cuando no se pueden evaluar progresos). Cabe señalar que, debido a diferencias metodológicas en la forma en que se emplearon los datos, el porcentaje de Partes que presentaron datos sobre los indicadores de cabecera puede no coincidir con el utilizado en los resultados agregados tanto del indicador de cabecera como de todos los indicadores cuantitativos combinados.</w:t>
      </w:r>
    </w:p>
    <w:p w14:paraId="7A4E6FB9" w14:textId="77777777" w:rsidR="008F15F1" w:rsidRPr="005E3D50" w:rsidRDefault="008F15F1" w:rsidP="008F15F1">
      <w:pPr>
        <w:spacing w:after="0" w:line="240" w:lineRule="auto"/>
        <w:rPr>
          <w:rFonts w:ascii="Aptos" w:eastAsia="Times New Roman" w:hAnsi="Aptos" w:cs="Times New Roman"/>
          <w:color w:val="000000"/>
          <w:kern w:val="0"/>
          <w:lang w:val="es-ES" w:eastAsia="en-GB"/>
          <w14:ligatures w14:val="none"/>
        </w:rPr>
      </w:pPr>
    </w:p>
    <w:p w14:paraId="2E20F76E" w14:textId="77777777" w:rsidR="008F15F1" w:rsidRPr="005E3D50" w:rsidRDefault="008F15F1" w:rsidP="008F15F1">
      <w:pPr>
        <w:spacing w:line="279" w:lineRule="auto"/>
        <w:rPr>
          <w:rFonts w:ascii="Aptos" w:hAnsi="Aptos"/>
          <w:lang w:val="es-ES"/>
        </w:rPr>
      </w:pPr>
      <w:r w:rsidRPr="005E3D50">
        <w:rPr>
          <w:lang w:val="es-ES"/>
        </w:rPr>
        <w:t>Todos los indicadores de cabecera relacionados con el Objetivo D se centran en el seguimiento de la movilización de recursos financieros.</w:t>
      </w:r>
      <w:r w:rsidRPr="005E3D50">
        <w:rPr>
          <w:rFonts w:ascii="Aptos" w:hAnsi="Aptos"/>
          <w:lang w:val="es-ES"/>
        </w:rPr>
        <w:t xml:space="preserve"> Las Partes informaron haber movilizado considerablemente más fondos para la biodiversidad procedentes de la financiación pública nacional que de la financiación pública internacional o la financiación privada (véanse el cuadro 54 y la figura 108). Aunque todavía es demasiado pronto para extraer conclusiones sobre los progresos hacia la consecución del Objetivo D, el monto total movilizado hasta ahora dista mucho de ser suficiente para reducir progresivamente el déficit de financiación de la biodiversidad de 700.000 millones de </w:t>
      </w:r>
      <w:r w:rsidRPr="005E3D50">
        <w:rPr>
          <w:rFonts w:ascii="Aptos" w:hAnsi="Aptos"/>
          <w:lang w:val="es-ES"/>
        </w:rPr>
        <w:lastRenderedPageBreak/>
        <w:t xml:space="preserve">dólares al año. Los indicadores de cabecera D.1, D.2 y D.3, dado que también hacen un seguimiento de los progresos en la consecución de la meta 19 del Marco, se tratan más detalladamente en la sección II.B del informe. </w:t>
      </w:r>
    </w:p>
    <w:p w14:paraId="41C10E1A" w14:textId="77777777" w:rsidR="008F15F1" w:rsidRPr="005E3D50" w:rsidRDefault="008F15F1" w:rsidP="008F15F1">
      <w:pPr>
        <w:spacing w:line="279" w:lineRule="auto"/>
        <w:rPr>
          <w:rFonts w:ascii="Aptos" w:hAnsi="Aptos"/>
          <w:lang w:val="es-ES"/>
        </w:rPr>
      </w:pPr>
      <w:r w:rsidRPr="005E3D50">
        <w:rPr>
          <w:rFonts w:ascii="Aptos" w:hAnsi="Aptos"/>
          <w:lang w:val="es-ES"/>
        </w:rPr>
        <w:t>Los indicadores de cabecera para el Objetivo D, dado que no evalúan si las corrientes financieras se están armonizando con el Marco, no indican si se está reduciendo o redirigiendo la financiación de actividades perjudiciales para la biodiversidad y, en consecuencia, ofrecen solo un panorama parcial de los progresos hacia la consecución del Objetivo D.</w:t>
      </w:r>
    </w:p>
    <w:p w14:paraId="2646DECD" w14:textId="77777777" w:rsidR="008F15F1" w:rsidRPr="005E3D50" w:rsidRDefault="008F15F1" w:rsidP="008F15F1">
      <w:pPr>
        <w:spacing w:after="0"/>
        <w:rPr>
          <w:sz w:val="20"/>
          <w:szCs w:val="20"/>
          <w:lang w:val="es-ES"/>
        </w:rPr>
      </w:pPr>
      <w:r w:rsidRPr="005E3D50">
        <w:rPr>
          <w:sz w:val="20"/>
          <w:lang w:val="es-ES"/>
        </w:rPr>
        <w:t>Figura 108</w:t>
      </w:r>
    </w:p>
    <w:p w14:paraId="07DE32C5" w14:textId="77777777" w:rsidR="008F15F1" w:rsidRPr="005E3D50" w:rsidRDefault="008F15F1" w:rsidP="008F15F1">
      <w:pPr>
        <w:spacing w:after="200" w:line="240" w:lineRule="auto"/>
        <w:rPr>
          <w:rFonts w:eastAsiaTheme="minorEastAsia"/>
          <w:color w:val="0E2841" w:themeColor="text2"/>
          <w:kern w:val="0"/>
          <w:sz w:val="18"/>
          <w:szCs w:val="18"/>
          <w:lang w:val="es-ES" w:eastAsia="ja-JP"/>
          <w14:ligatures w14:val="none"/>
        </w:rPr>
      </w:pPr>
      <w:r w:rsidRPr="005E3D50">
        <w:rPr>
          <w:rFonts w:eastAsiaTheme="minorEastAsia"/>
          <w:b/>
          <w:iCs/>
          <w:color w:val="0E2841" w:themeColor="text2"/>
          <w:kern w:val="0"/>
          <w:sz w:val="18"/>
          <w:szCs w:val="18"/>
          <w:lang w:val="es-ES" w:eastAsia="ja-JP"/>
          <w14:ligatures w14:val="none"/>
        </w:rPr>
        <w:t>Financiación total informada por las Partes, en miles de millones de dólares, en el período 2020-2023</w:t>
      </w:r>
    </w:p>
    <w:p w14:paraId="724E704D" w14:textId="77777777" w:rsidR="008F15F1" w:rsidRPr="005E3D50" w:rsidRDefault="008F15F1" w:rsidP="008F15F1">
      <w:pPr>
        <w:spacing w:after="0"/>
        <w:rPr>
          <w:sz w:val="20"/>
          <w:szCs w:val="20"/>
          <w:lang w:val="es-ES"/>
        </w:rPr>
      </w:pPr>
    </w:p>
    <w:p w14:paraId="463737C7"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ascii="Aptos" w:eastAsiaTheme="minorEastAsia" w:hAnsi="Aptos"/>
          <w:i/>
          <w:iCs/>
          <w:noProof/>
          <w:color w:val="0E2841" w:themeColor="text2"/>
          <w:kern w:val="0"/>
          <w:sz w:val="18"/>
          <w:szCs w:val="18"/>
          <w:shd w:val="clear" w:color="auto" w:fill="FFFFFF"/>
          <w:lang w:val="en-US"/>
          <w14:ligatures w14:val="none"/>
        </w:rPr>
        <w:drawing>
          <wp:inline distT="0" distB="0" distL="0" distR="0" wp14:anchorId="7FCB26E6" wp14:editId="2FA032F4">
            <wp:extent cx="3200188" cy="3223736"/>
            <wp:effectExtent l="0" t="0" r="635" b="2540"/>
            <wp:docPr id="1050059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59555" name="Picture 1050059555"/>
                    <pic:cNvPicPr/>
                  </pic:nvPicPr>
                  <pic:blipFill rotWithShape="1">
                    <a:blip r:embed="rId235" cstate="print">
                      <a:extLst>
                        <a:ext uri="{28A0092B-C50C-407E-A947-70E740481C1C}">
                          <a14:useLocalDpi xmlns:a14="http://schemas.microsoft.com/office/drawing/2010/main" val="0"/>
                        </a:ext>
                      </a:extLst>
                    </a:blip>
                    <a:srcRect l="19206" r="24957"/>
                    <a:stretch>
                      <a:fillRect/>
                    </a:stretch>
                  </pic:blipFill>
                  <pic:spPr bwMode="auto">
                    <a:xfrm>
                      <a:off x="0" y="0"/>
                      <a:ext cx="3200346" cy="3223895"/>
                    </a:xfrm>
                    <a:prstGeom prst="rect">
                      <a:avLst/>
                    </a:prstGeom>
                    <a:ln>
                      <a:noFill/>
                    </a:ln>
                    <a:extLst>
                      <a:ext uri="{53640926-AAD7-44D8-BBD7-CCE9431645EC}">
                        <a14:shadowObscured xmlns:a14="http://schemas.microsoft.com/office/drawing/2010/main"/>
                      </a:ext>
                    </a:extLst>
                  </pic:spPr>
                </pic:pic>
              </a:graphicData>
            </a:graphic>
          </wp:inline>
        </w:drawing>
      </w:r>
    </w:p>
    <w:p w14:paraId="4F63A63B" w14:textId="77777777" w:rsidR="008F15F1" w:rsidRDefault="008F15F1" w:rsidP="008F15F1">
      <w:pPr>
        <w:autoSpaceDE w:val="0"/>
        <w:autoSpaceDN w:val="0"/>
        <w:adjustRightInd w:val="0"/>
        <w:spacing w:after="0" w:line="240" w:lineRule="auto"/>
        <w:rPr>
          <w:rFonts w:cs="Times New Roman"/>
          <w:color w:val="000000"/>
          <w:kern w:val="0"/>
          <w:sz w:val="18"/>
          <w:shd w:val="clear" w:color="auto" w:fill="FFFFFF"/>
          <w:lang w:val="es-ES"/>
        </w:rPr>
      </w:pPr>
      <w:r w:rsidRPr="005E3D50">
        <w:rPr>
          <w:rFonts w:cs="Times New Roman"/>
          <w:i/>
          <w:color w:val="000000"/>
          <w:kern w:val="0"/>
          <w:sz w:val="18"/>
          <w:lang w:val="es-ES"/>
        </w:rPr>
        <w:t>Nota:</w:t>
      </w:r>
      <w:r w:rsidRPr="005E3D50">
        <w:rPr>
          <w:rFonts w:cs="Times New Roman"/>
          <w:color w:val="000000"/>
          <w:kern w:val="0"/>
          <w:sz w:val="18"/>
          <w:lang w:val="es-ES"/>
        </w:rPr>
        <w:t xml:space="preserve"> Cada una de las tres barras representa el total acumulativo de uno de los tres indicadores de cabecera siguientes: D.1 (financiación pública internacional, incluida asistencia oficial para el desarrollo para la conservación y la utilización sostenible de la diversidad biológica y los ecosistemas); D.2 (financiación pública nacional para la conservación y la utilización sostenible de la diversidad biológica y los ecosistemas); y D.3 (financiación privada [nacional e internacional] para la conservación y la utilización sostenible de la diversidad biológica y los ecosistemas).</w:t>
      </w:r>
      <w:r w:rsidRPr="005E3D50">
        <w:rPr>
          <w:rFonts w:cs="Times New Roman"/>
          <w:color w:val="000000"/>
          <w:kern w:val="0"/>
          <w:sz w:val="18"/>
          <w:shd w:val="clear" w:color="auto" w:fill="FFFFFF"/>
          <w:lang w:val="es-ES"/>
        </w:rPr>
        <w:t xml:space="preserve"> Cabe señalar que el número de Partes difiere del que aparece en las figuras sobre los indicadores de cabecera para la meta 19, ya que las sumas que se muestran aquí incluyen a las Partes con series temporales incompletas entre 2020 y 2023.</w:t>
      </w:r>
    </w:p>
    <w:p w14:paraId="4C832D80" w14:textId="77777777" w:rsidR="005817FA" w:rsidRDefault="005817FA" w:rsidP="008F15F1">
      <w:pPr>
        <w:autoSpaceDE w:val="0"/>
        <w:autoSpaceDN w:val="0"/>
        <w:adjustRightInd w:val="0"/>
        <w:spacing w:after="0" w:line="240" w:lineRule="auto"/>
        <w:rPr>
          <w:rFonts w:cs="Times New Roman"/>
          <w:color w:val="000000"/>
          <w:kern w:val="0"/>
          <w:sz w:val="18"/>
          <w:shd w:val="clear" w:color="auto" w:fill="FFFFFF"/>
          <w:lang w:val="es-ES"/>
        </w:rPr>
      </w:pPr>
    </w:p>
    <w:tbl>
      <w:tblPr>
        <w:tblStyle w:val="TableGrid"/>
        <w:tblW w:w="9444" w:type="dxa"/>
        <w:tblLook w:val="04A0" w:firstRow="1" w:lastRow="0" w:firstColumn="1" w:lastColumn="0" w:noHBand="0" w:noVBand="1"/>
      </w:tblPr>
      <w:tblGrid>
        <w:gridCol w:w="4963"/>
        <w:gridCol w:w="4481"/>
      </w:tblGrid>
      <w:tr w:rsidR="005817FA" w:rsidRPr="005817FA" w14:paraId="295C6DC3" w14:textId="77777777" w:rsidTr="005817FA">
        <w:tc>
          <w:tcPr>
            <w:tcW w:w="9444" w:type="dxa"/>
            <w:gridSpan w:val="2"/>
          </w:tcPr>
          <w:p w14:paraId="40F8F1AE" w14:textId="393D00EE" w:rsidR="005817FA" w:rsidRPr="005817FA" w:rsidRDefault="005817FA" w:rsidP="00B93410">
            <w:pPr>
              <w:rPr>
                <w:rFonts w:ascii="Aptos" w:hAnsi="Aptos"/>
                <w:bCs/>
                <w:sz w:val="18"/>
                <w:szCs w:val="18"/>
                <w:lang w:val="es-ES"/>
              </w:rPr>
            </w:pPr>
            <w:r w:rsidRPr="005817FA">
              <w:rPr>
                <w:rFonts w:ascii="Aptos" w:hAnsi="Aptos"/>
                <w:bCs/>
                <w:sz w:val="18"/>
                <w:szCs w:val="18"/>
                <w:lang w:val="es-ES"/>
              </w:rPr>
              <w:t>Figura 108</w:t>
            </w:r>
          </w:p>
        </w:tc>
      </w:tr>
      <w:tr w:rsidR="005817FA" w:rsidRPr="005817FA" w14:paraId="23E3413A" w14:textId="77777777" w:rsidTr="005817FA">
        <w:tc>
          <w:tcPr>
            <w:tcW w:w="4963" w:type="dxa"/>
          </w:tcPr>
          <w:p w14:paraId="0A72E0F2" w14:textId="77777777" w:rsidR="005817FA" w:rsidRPr="005817FA" w:rsidRDefault="005817FA" w:rsidP="00B93410">
            <w:pPr>
              <w:rPr>
                <w:rFonts w:ascii="Aptos" w:hAnsi="Aptos"/>
                <w:bCs/>
                <w:sz w:val="18"/>
                <w:szCs w:val="18"/>
                <w:lang w:val="es-ES"/>
              </w:rPr>
            </w:pPr>
            <w:r w:rsidRPr="005817FA">
              <w:rPr>
                <w:rFonts w:ascii="Aptos" w:hAnsi="Aptos"/>
                <w:bCs/>
                <w:sz w:val="18"/>
                <w:szCs w:val="18"/>
                <w:lang w:val="es-ES"/>
              </w:rPr>
              <w:t xml:space="preserve">English </w:t>
            </w:r>
          </w:p>
        </w:tc>
        <w:tc>
          <w:tcPr>
            <w:tcW w:w="4480" w:type="dxa"/>
          </w:tcPr>
          <w:p w14:paraId="1346F2F4" w14:textId="488F3C8E" w:rsidR="005817FA" w:rsidRPr="005817FA" w:rsidRDefault="005817FA" w:rsidP="00B93410">
            <w:pPr>
              <w:rPr>
                <w:rFonts w:ascii="Aptos" w:hAnsi="Aptos"/>
                <w:bCs/>
                <w:sz w:val="18"/>
                <w:szCs w:val="18"/>
                <w:lang w:val="es-ES"/>
              </w:rPr>
            </w:pPr>
            <w:r w:rsidRPr="005817FA">
              <w:rPr>
                <w:rFonts w:ascii="Aptos" w:hAnsi="Aptos"/>
                <w:bCs/>
                <w:sz w:val="18"/>
                <w:szCs w:val="18"/>
                <w:lang w:val="es-ES"/>
              </w:rPr>
              <w:t>Español</w:t>
            </w:r>
          </w:p>
        </w:tc>
      </w:tr>
      <w:tr w:rsidR="005817FA" w:rsidRPr="005817FA" w14:paraId="086B7743" w14:textId="77777777" w:rsidTr="005817FA">
        <w:tc>
          <w:tcPr>
            <w:tcW w:w="4963" w:type="dxa"/>
          </w:tcPr>
          <w:p w14:paraId="604A0597"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 xml:space="preserve">US$ </w:t>
            </w:r>
            <w:proofErr w:type="spellStart"/>
            <w:r w:rsidRPr="005817FA">
              <w:rPr>
                <w:rFonts w:ascii="Aptos" w:hAnsi="Aptos"/>
                <w:sz w:val="18"/>
                <w:szCs w:val="18"/>
                <w:lang w:val="es-ES"/>
              </w:rPr>
              <w:t>billion</w:t>
            </w:r>
            <w:proofErr w:type="spellEnd"/>
            <w:r w:rsidRPr="005817FA">
              <w:rPr>
                <w:rFonts w:ascii="Aptos" w:hAnsi="Aptos"/>
                <w:sz w:val="18"/>
                <w:szCs w:val="18"/>
                <w:lang w:val="es-ES"/>
              </w:rPr>
              <w:t xml:space="preserve"> </w:t>
            </w:r>
          </w:p>
        </w:tc>
        <w:tc>
          <w:tcPr>
            <w:tcW w:w="4480" w:type="dxa"/>
          </w:tcPr>
          <w:p w14:paraId="39BC5090"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 xml:space="preserve">Miles de millones de dólares de los </w:t>
            </w:r>
            <w:proofErr w:type="gramStart"/>
            <w:r w:rsidRPr="005817FA">
              <w:rPr>
                <w:rFonts w:ascii="Aptos" w:hAnsi="Aptos"/>
                <w:sz w:val="18"/>
                <w:szCs w:val="18"/>
                <w:lang w:val="es-ES"/>
              </w:rPr>
              <w:t>EE.UU.</w:t>
            </w:r>
            <w:proofErr w:type="gramEnd"/>
          </w:p>
        </w:tc>
      </w:tr>
      <w:tr w:rsidR="005817FA" w:rsidRPr="005817FA" w14:paraId="20AC0E87" w14:textId="77777777" w:rsidTr="005817FA">
        <w:tc>
          <w:tcPr>
            <w:tcW w:w="4963" w:type="dxa"/>
          </w:tcPr>
          <w:p w14:paraId="1DCB0734"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D.1</w:t>
            </w:r>
          </w:p>
        </w:tc>
        <w:tc>
          <w:tcPr>
            <w:tcW w:w="4480" w:type="dxa"/>
          </w:tcPr>
          <w:p w14:paraId="7CBE03FD"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D.1</w:t>
            </w:r>
          </w:p>
        </w:tc>
      </w:tr>
      <w:tr w:rsidR="005817FA" w:rsidRPr="005817FA" w14:paraId="454FF188" w14:textId="77777777" w:rsidTr="005817FA">
        <w:tc>
          <w:tcPr>
            <w:tcW w:w="4963" w:type="dxa"/>
          </w:tcPr>
          <w:p w14:paraId="03B61036"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D.2</w:t>
            </w:r>
          </w:p>
        </w:tc>
        <w:tc>
          <w:tcPr>
            <w:tcW w:w="4480" w:type="dxa"/>
          </w:tcPr>
          <w:p w14:paraId="5C2CFF6D"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D.2</w:t>
            </w:r>
          </w:p>
        </w:tc>
      </w:tr>
      <w:tr w:rsidR="005817FA" w:rsidRPr="005817FA" w14:paraId="01D653AF" w14:textId="77777777" w:rsidTr="005817FA">
        <w:tc>
          <w:tcPr>
            <w:tcW w:w="4963" w:type="dxa"/>
          </w:tcPr>
          <w:p w14:paraId="26F1CEB1"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D.3</w:t>
            </w:r>
          </w:p>
        </w:tc>
        <w:tc>
          <w:tcPr>
            <w:tcW w:w="4480" w:type="dxa"/>
          </w:tcPr>
          <w:p w14:paraId="666D1548"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D.3</w:t>
            </w:r>
          </w:p>
        </w:tc>
      </w:tr>
      <w:tr w:rsidR="005817FA" w:rsidRPr="005817FA" w14:paraId="61341267" w14:textId="77777777" w:rsidTr="005817FA">
        <w:tc>
          <w:tcPr>
            <w:tcW w:w="4963" w:type="dxa"/>
          </w:tcPr>
          <w:p w14:paraId="165522F7"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 xml:space="preserve">Party </w:t>
            </w:r>
            <w:proofErr w:type="spellStart"/>
            <w:r w:rsidRPr="005817FA">
              <w:rPr>
                <w:rFonts w:ascii="Aptos" w:hAnsi="Aptos"/>
                <w:sz w:val="18"/>
                <w:szCs w:val="18"/>
                <w:lang w:val="es-ES"/>
              </w:rPr>
              <w:t>count</w:t>
            </w:r>
            <w:proofErr w:type="spellEnd"/>
            <w:r w:rsidRPr="005817FA">
              <w:rPr>
                <w:rFonts w:ascii="Aptos" w:hAnsi="Aptos"/>
                <w:sz w:val="18"/>
                <w:szCs w:val="18"/>
                <w:lang w:val="es-ES"/>
              </w:rPr>
              <w:t>: 22</w:t>
            </w:r>
          </w:p>
        </w:tc>
        <w:tc>
          <w:tcPr>
            <w:tcW w:w="4480" w:type="dxa"/>
          </w:tcPr>
          <w:p w14:paraId="2EB141BF"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Número de Partes: 22</w:t>
            </w:r>
          </w:p>
        </w:tc>
      </w:tr>
      <w:tr w:rsidR="005817FA" w:rsidRPr="005817FA" w14:paraId="58F552F4" w14:textId="77777777" w:rsidTr="005817FA">
        <w:tc>
          <w:tcPr>
            <w:tcW w:w="4963" w:type="dxa"/>
          </w:tcPr>
          <w:p w14:paraId="25B2E757"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 xml:space="preserve">Party </w:t>
            </w:r>
            <w:proofErr w:type="spellStart"/>
            <w:r w:rsidRPr="005817FA">
              <w:rPr>
                <w:rFonts w:ascii="Aptos" w:hAnsi="Aptos"/>
                <w:sz w:val="18"/>
                <w:szCs w:val="18"/>
                <w:lang w:val="es-ES"/>
              </w:rPr>
              <w:t>count</w:t>
            </w:r>
            <w:proofErr w:type="spellEnd"/>
            <w:r w:rsidRPr="005817FA">
              <w:rPr>
                <w:rFonts w:ascii="Aptos" w:hAnsi="Aptos"/>
                <w:sz w:val="18"/>
                <w:szCs w:val="18"/>
                <w:lang w:val="es-ES"/>
              </w:rPr>
              <w:t>: 58</w:t>
            </w:r>
          </w:p>
        </w:tc>
        <w:tc>
          <w:tcPr>
            <w:tcW w:w="4480" w:type="dxa"/>
          </w:tcPr>
          <w:p w14:paraId="3AF80C1C"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Número de Partes: 58</w:t>
            </w:r>
          </w:p>
        </w:tc>
      </w:tr>
      <w:tr w:rsidR="005817FA" w:rsidRPr="005817FA" w14:paraId="7CC22F13" w14:textId="77777777" w:rsidTr="005817FA">
        <w:tc>
          <w:tcPr>
            <w:tcW w:w="4963" w:type="dxa"/>
          </w:tcPr>
          <w:p w14:paraId="567C511A"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lastRenderedPageBreak/>
              <w:t xml:space="preserve">Party </w:t>
            </w:r>
            <w:proofErr w:type="spellStart"/>
            <w:r w:rsidRPr="005817FA">
              <w:rPr>
                <w:rFonts w:ascii="Aptos" w:hAnsi="Aptos"/>
                <w:sz w:val="18"/>
                <w:szCs w:val="18"/>
                <w:lang w:val="es-ES"/>
              </w:rPr>
              <w:t>count</w:t>
            </w:r>
            <w:proofErr w:type="spellEnd"/>
            <w:r w:rsidRPr="005817FA">
              <w:rPr>
                <w:rFonts w:ascii="Aptos" w:hAnsi="Aptos"/>
                <w:sz w:val="18"/>
                <w:szCs w:val="18"/>
                <w:lang w:val="es-ES"/>
              </w:rPr>
              <w:t>: 28</w:t>
            </w:r>
          </w:p>
        </w:tc>
        <w:tc>
          <w:tcPr>
            <w:tcW w:w="4480" w:type="dxa"/>
          </w:tcPr>
          <w:p w14:paraId="025B1F08" w14:textId="77777777" w:rsidR="005817FA" w:rsidRPr="005817FA" w:rsidRDefault="005817FA" w:rsidP="00B93410">
            <w:pPr>
              <w:rPr>
                <w:rFonts w:ascii="Aptos" w:hAnsi="Aptos"/>
                <w:sz w:val="18"/>
                <w:szCs w:val="18"/>
                <w:lang w:val="es-ES"/>
              </w:rPr>
            </w:pPr>
            <w:r w:rsidRPr="005817FA">
              <w:rPr>
                <w:rFonts w:ascii="Aptos" w:hAnsi="Aptos"/>
                <w:sz w:val="18"/>
                <w:szCs w:val="18"/>
                <w:lang w:val="es-ES"/>
              </w:rPr>
              <w:t>Número de Partes: 28</w:t>
            </w:r>
          </w:p>
        </w:tc>
      </w:tr>
    </w:tbl>
    <w:p w14:paraId="3C50FFAC" w14:textId="77777777" w:rsidR="005817FA" w:rsidRPr="005E3D50" w:rsidRDefault="005817FA" w:rsidP="008F15F1">
      <w:pPr>
        <w:autoSpaceDE w:val="0"/>
        <w:autoSpaceDN w:val="0"/>
        <w:adjustRightInd w:val="0"/>
        <w:spacing w:after="0" w:line="240" w:lineRule="auto"/>
        <w:rPr>
          <w:rFonts w:cs="Times New Roman"/>
          <w:color w:val="000000"/>
          <w:kern w:val="0"/>
          <w:sz w:val="18"/>
          <w:szCs w:val="18"/>
          <w:lang w:val="es-ES"/>
        </w:rPr>
      </w:pPr>
    </w:p>
    <w:p w14:paraId="3CED1693"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6E87E9E1"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Resumen de las medidas adoptadas para promover los progresos hacia la consecución del Objetivo D</w:t>
      </w:r>
    </w:p>
    <w:p w14:paraId="6F244CD4"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EA45707" w14:textId="77777777" w:rsidR="008F15F1" w:rsidRPr="005E3D50" w:rsidRDefault="008F15F1" w:rsidP="008F15F1">
      <w:pPr>
        <w:spacing w:line="279" w:lineRule="auto"/>
        <w:rPr>
          <w:lang w:val="es-ES"/>
        </w:rPr>
      </w:pPr>
      <w:r w:rsidRPr="005E3D50">
        <w:rPr>
          <w:lang w:val="es-ES"/>
        </w:rPr>
        <w:t>El Objetivo D constituye la base para la implementación del Marco en su conjunto, incluidos sus objetivos y metas. Al informar sobre los progresos en la consecución del Objetivo D en sus informes nacionales, las Partes se centraron principalmente, aunque no de manera exclusiva, en la movilización de recursos financieros. Se señalaron varias opciones para movilizar tales recursos, entre ellas la financiación y utilización del Fondo de Kunming para la Diversidad Biológica; el uso de enfoques extrapresupuestarios (por ejemplo, tarifas de licencia, pagos por servicios de los ecosistemas, canjes de deuda por naturaleza y bonos verdes) para movilizar fondos adicionales; el establecimiento, la financiación y el uso de fondos de dotación de capital para generar financiación fiable a largo plazo para iniciativas de conservación; y el uso de bonos soberanos estructurados en torno a metas específicas de protección y gestión eficaz de la biodiversidad. Una opción clave, además de la movilización de recursos, que sugirieron varias Partes fue la elaboración de un plan nacional de financiación de la biodiversidad, incluida una evaluación del déficit de financiación, a través de la Iniciativa para la Financiación de la Biodiversidad (BIOFIN) del Programa de las Naciones Unidas para el Desarrollo (PNUD). Todas esas opciones respaldan la finalidad, comprendida en el Objetivo D de reducir el déficit de financiación de la biodiversidad para 2050.</w:t>
      </w:r>
    </w:p>
    <w:p w14:paraId="61AB84AD" w14:textId="77777777" w:rsidR="008F15F1" w:rsidRPr="005E3D50" w:rsidRDefault="008F15F1" w:rsidP="008F15F1">
      <w:pPr>
        <w:spacing w:line="279" w:lineRule="auto"/>
        <w:rPr>
          <w:lang w:val="es-ES"/>
        </w:rPr>
      </w:pPr>
      <w:r w:rsidRPr="005E3D50">
        <w:rPr>
          <w:lang w:val="es-ES"/>
        </w:rPr>
        <w:t>Además, varias Partes señalaron que la armonización de las corrientes financieras con el Marco, especialmente mediante la reorientación de los subsidios perjudiciales, era un componente esencial de los progresos en la consecución del Objetivo D.</w:t>
      </w:r>
    </w:p>
    <w:p w14:paraId="0C0DD896" w14:textId="77777777" w:rsidR="008F15F1" w:rsidRPr="005E3D50" w:rsidRDefault="008F15F1" w:rsidP="008F15F1">
      <w:pPr>
        <w:spacing w:line="279" w:lineRule="auto"/>
        <w:rPr>
          <w:lang w:val="es-ES"/>
        </w:rPr>
      </w:pPr>
      <w:r w:rsidRPr="005E3D50">
        <w:rPr>
          <w:lang w:val="es-ES"/>
        </w:rPr>
        <w:t xml:space="preserve">Algunas Partes sugirieron que fomentar la cooperación científica y política transfronteriza, la participación a través de los centros de apoyo a la cooperación científica y técnica, y el desarrollo de infraestructura técnica de información geoespacial que integre recursos internacionales, por </w:t>
      </w:r>
      <w:proofErr w:type="gramStart"/>
      <w:r w:rsidRPr="005E3D50">
        <w:rPr>
          <w:lang w:val="es-ES"/>
        </w:rPr>
        <w:t>ejemplo</w:t>
      </w:r>
      <w:proofErr w:type="gramEnd"/>
      <w:r w:rsidRPr="005E3D50">
        <w:rPr>
          <w:lang w:val="es-ES"/>
        </w:rPr>
        <w:t xml:space="preserve"> a través del Sistema Global de Información sobre Biodiversidad (GBIF), podrían ser opciones eficaces para garantizar medios de implementación adecuados (véase también la secc. II.D).</w:t>
      </w:r>
    </w:p>
    <w:p w14:paraId="0A3AB003"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p>
    <w:p w14:paraId="087F1B71"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bookmarkStart w:id="611" w:name="_Toc235821362"/>
      <w:bookmarkStart w:id="612" w:name="_Ref236397868"/>
      <w:bookmarkStart w:id="613" w:name="_Toc239069225"/>
      <w:bookmarkStart w:id="614" w:name="_Toc198516150"/>
      <w:bookmarkStart w:id="615" w:name="_Toc242883003"/>
      <w:r w:rsidRPr="005E3D50">
        <w:rPr>
          <w:rFonts w:asciiTheme="majorHAnsi" w:eastAsiaTheme="majorEastAsia" w:hAnsiTheme="majorHAnsi" w:cstheme="majorBidi"/>
          <w:color w:val="0F4761" w:themeColor="accent1" w:themeShade="BF"/>
          <w:sz w:val="32"/>
          <w:szCs w:val="32"/>
          <w:lang w:val="es-ES"/>
        </w:rPr>
        <w:t>II.D Provisión de medios de implementación</w:t>
      </w:r>
      <w:bookmarkEnd w:id="611"/>
      <w:bookmarkEnd w:id="612"/>
      <w:bookmarkEnd w:id="613"/>
      <w:bookmarkEnd w:id="614"/>
      <w:bookmarkEnd w:id="615"/>
    </w:p>
    <w:p w14:paraId="0F4C61F2"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616" w:name="_Toc235521193"/>
    </w:p>
    <w:p w14:paraId="0056349E"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617" w:name="_Toc239069226"/>
      <w:bookmarkStart w:id="618" w:name="_Toc1282347414"/>
      <w:bookmarkStart w:id="619" w:name="_Toc242883004"/>
      <w:r w:rsidRPr="005E3D50">
        <w:rPr>
          <w:rFonts w:eastAsiaTheme="majorEastAsia" w:cstheme="majorBidi"/>
          <w:color w:val="0F4761" w:themeColor="accent1" w:themeShade="BF"/>
          <w:sz w:val="28"/>
          <w:szCs w:val="28"/>
          <w:lang w:val="es-ES"/>
        </w:rPr>
        <w:t>Introducción</w:t>
      </w:r>
      <w:bookmarkEnd w:id="616"/>
      <w:bookmarkEnd w:id="617"/>
      <w:bookmarkEnd w:id="618"/>
      <w:bookmarkEnd w:id="619"/>
    </w:p>
    <w:p w14:paraId="062D519E" w14:textId="77777777" w:rsidR="008F15F1" w:rsidRPr="005E3D50" w:rsidRDefault="008F15F1" w:rsidP="008F15F1">
      <w:pPr>
        <w:rPr>
          <w:rFonts w:eastAsia="Times New Roman" w:cs="Times New Roman"/>
          <w:lang w:val="es-ES"/>
        </w:rPr>
      </w:pPr>
    </w:p>
    <w:p w14:paraId="13A0C111" w14:textId="77777777" w:rsidR="008F15F1" w:rsidRPr="005E3D50" w:rsidRDefault="008F15F1" w:rsidP="008F15F1">
      <w:pPr>
        <w:rPr>
          <w:lang w:val="es-ES"/>
        </w:rPr>
      </w:pPr>
      <w:r w:rsidRPr="005E3D50">
        <w:rPr>
          <w:lang w:val="es-ES"/>
        </w:rPr>
        <w:t xml:space="preserve">Si bien el Marco Mundial de Biodiversidad de Kunming-Montreal no proporciona una definición formal del término “medios de implementación”, en el Objetivo D se establece un hito general que enmarca el concepto a los efectos del Marco (secc. G de la </w:t>
      </w:r>
      <w:proofErr w:type="spellStart"/>
      <w:r w:rsidRPr="005E3D50">
        <w:rPr>
          <w:lang w:val="es-ES"/>
        </w:rPr>
        <w:t>dec</w:t>
      </w:r>
      <w:proofErr w:type="spellEnd"/>
      <w:r w:rsidRPr="005E3D50">
        <w:rPr>
          <w:lang w:val="es-ES"/>
        </w:rPr>
        <w:t>. 15/4 en CDB, 2023):</w:t>
      </w:r>
    </w:p>
    <w:p w14:paraId="191B6089" w14:textId="77777777" w:rsidR="008F15F1" w:rsidRPr="005E3D50" w:rsidRDefault="008F15F1" w:rsidP="008F15F1">
      <w:pPr>
        <w:rPr>
          <w:lang w:val="es-ES"/>
        </w:rPr>
      </w:pPr>
      <w:r w:rsidRPr="005E3D50">
        <w:rPr>
          <w:i/>
          <w:lang w:val="es-ES"/>
        </w:rPr>
        <w:t>“Se obtienen medios de implementación adecuados, incluidos recursos financieros, creación de capacidad, cooperación científica y técnica y acceso a la tecnología y su transferencia, para implementar plenamente el Marco Mundial de Biodiversidad de Kunming-Montreal y estos resultan igualmente accesibles para todas las Partes, especialmente las Partes que son países en desarrollo, en particular los países menos adelantados y los pequeños Estados insulares en desarrollo, así como los países con economías en transición, reduciendo progresivamente el déficit de financiación de la biodiversidad de 700.000 millones de dólares de los Estados Unidos al año, y armonizando las corrientes financieras con el Marco Mundial de Biodiversidad de Kunming-Montreal y la Visión de la Diversidad Biológica para 2050.”</w:t>
      </w:r>
    </w:p>
    <w:p w14:paraId="4A5333A2" w14:textId="77777777" w:rsidR="008F15F1" w:rsidRPr="005E3D50" w:rsidRDefault="008F15F1" w:rsidP="008F15F1">
      <w:pPr>
        <w:rPr>
          <w:rFonts w:eastAsia="Times New Roman" w:cs="Times New Roman"/>
          <w:lang w:val="es-ES"/>
        </w:rPr>
      </w:pPr>
      <w:r w:rsidRPr="005E3D50">
        <w:rPr>
          <w:lang w:val="es-ES"/>
        </w:rPr>
        <w:t>Teniendo esto en cuenta, en el informe mundial se entiende que los medios de implementación comprenden cuatro componentes: recursos financieros, capacidad, cooperación científica y técnica y acceso a la tecnología y su transferencia. Aunque, a los efectos de la claridad del análisis, esos cuatro componentes se presentan por separado, en la práctica estos se superponen y se refuerzan mutuamente, lo que no siempre permite delimitarlos con claridad. La Conferencia de las Partes, reconociendo el estrecho vínculo entre los componentes, ha subrayado la necesidad de que las Partes los consideren como un conjunto y no de manera aislada (</w:t>
      </w:r>
      <w:proofErr w:type="spellStart"/>
      <w:r w:rsidRPr="005E3D50">
        <w:rPr>
          <w:lang w:val="es-ES"/>
        </w:rPr>
        <w:t>dec</w:t>
      </w:r>
      <w:proofErr w:type="spellEnd"/>
      <w:r w:rsidRPr="005E3D50">
        <w:rPr>
          <w:lang w:val="es-ES"/>
        </w:rPr>
        <w:t>. 15/8 en CDB, 2023).</w:t>
      </w:r>
    </w:p>
    <w:p w14:paraId="74F0B776" w14:textId="77777777" w:rsidR="008F15F1" w:rsidRPr="005E3D50" w:rsidRDefault="008F15F1" w:rsidP="008F15F1">
      <w:pPr>
        <w:rPr>
          <w:rFonts w:eastAsia="Times New Roman" w:cs="Times New Roman"/>
          <w:lang w:val="es-ES"/>
        </w:rPr>
      </w:pPr>
      <w:r w:rsidRPr="005E3D50">
        <w:rPr>
          <w:lang w:val="es-ES"/>
        </w:rPr>
        <w:t xml:space="preserve">Las dificultades específicas señaladas por las Partes en relación con metas concretas del Marco se examinan en detalle en el análisis de cada una de las metas que figura en la sección II.B. En la presente sección, se adopta una visión más amplia y transversal de los medios de implementación y se centra la atención en las dificultades sistémicas y estructurales que afectan a todas las metas. Entre esas dificultades se incluyen la previsibilidad y la suficiencia de las corrientes financieras, las carencias persistentes en </w:t>
      </w:r>
      <w:r w:rsidRPr="005E3D50">
        <w:rPr>
          <w:lang w:val="es-ES"/>
        </w:rPr>
        <w:lastRenderedPageBreak/>
        <w:t>materia de capacidad y transferencia de tecnología, la desigualdad en el acceso a los mecanismos de apoyo y las limitaciones en cuanto a la adopción efectiva y la utilización del apoyo por las Partes. Este enfoque complementa las conclusiones respecto de las metas con una evaluación general del funcionamiento de la arquitectura de los medios de implementación en apoyo del Marco.</w:t>
      </w:r>
    </w:p>
    <w:p w14:paraId="51BB17B6" w14:textId="77777777" w:rsidR="008F15F1" w:rsidRPr="005E3D50" w:rsidRDefault="008F15F1" w:rsidP="008F15F1">
      <w:pPr>
        <w:rPr>
          <w:lang w:val="es-ES"/>
        </w:rPr>
      </w:pPr>
    </w:p>
    <w:p w14:paraId="1189860C" w14:textId="77777777" w:rsidR="008F15F1" w:rsidRPr="005E3D50" w:rsidRDefault="008F15F1" w:rsidP="008F15F1">
      <w:pPr>
        <w:keepNext/>
        <w:keepLines/>
        <w:spacing w:before="160" w:after="80"/>
        <w:outlineLvl w:val="2"/>
        <w:rPr>
          <w:rFonts w:eastAsia="Times New Roman" w:cstheme="majorBidi"/>
          <w:color w:val="0F4761" w:themeColor="accent1" w:themeShade="BF"/>
          <w:sz w:val="28"/>
          <w:szCs w:val="28"/>
          <w:lang w:val="es-ES"/>
        </w:rPr>
      </w:pPr>
      <w:bookmarkStart w:id="620" w:name="_Toc235521194"/>
      <w:bookmarkStart w:id="621" w:name="_Toc239069227"/>
      <w:bookmarkStart w:id="622" w:name="_Toc190805539"/>
      <w:bookmarkStart w:id="623" w:name="_Toc242883005"/>
      <w:r w:rsidRPr="005E3D50">
        <w:rPr>
          <w:rFonts w:eastAsiaTheme="majorEastAsia" w:cstheme="majorBidi"/>
          <w:color w:val="0F4761" w:themeColor="accent1" w:themeShade="BF"/>
          <w:sz w:val="28"/>
          <w:szCs w:val="28"/>
          <w:lang w:val="es-ES"/>
        </w:rPr>
        <w:t>Análisis de las necesidades</w:t>
      </w:r>
      <w:bookmarkEnd w:id="620"/>
      <w:bookmarkEnd w:id="621"/>
      <w:bookmarkEnd w:id="622"/>
      <w:bookmarkEnd w:id="623"/>
    </w:p>
    <w:p w14:paraId="63E84789" w14:textId="77777777" w:rsidR="008F15F1" w:rsidRPr="005E3D50" w:rsidRDefault="008F15F1" w:rsidP="008F15F1">
      <w:pPr>
        <w:rPr>
          <w:lang w:val="es-ES"/>
        </w:rPr>
      </w:pPr>
    </w:p>
    <w:p w14:paraId="610D300E" w14:textId="77777777" w:rsidR="008F15F1" w:rsidRPr="005E3D50" w:rsidRDefault="008F15F1" w:rsidP="008F15F1">
      <w:pPr>
        <w:rPr>
          <w:rFonts w:eastAsia="Times New Roman" w:cs="Times New Roman"/>
          <w:lang w:val="es-ES"/>
        </w:rPr>
      </w:pPr>
      <w:r w:rsidRPr="005E3D50">
        <w:rPr>
          <w:lang w:val="es-ES"/>
        </w:rPr>
        <w:t>Las necesidades descritas a continuación, extraídas de los informes nacionales que estuvieron disponibles para ser considerados en el informe mundial, se organizan de acuerdo con los cuatro componentes de los medios de implementación establecidos en el Objetivo D. El análisis se basa en la metodología empleada para el análisis de las metas nacionales, y se presentan más detalles en la descripción de las metodologías empleadas en la preparación del informe mundial (</w:t>
      </w:r>
      <w:hyperlink r:id="rId236" w:history="1">
        <w:r w:rsidRPr="005E3D50">
          <w:rPr>
            <w:color w:val="000000" w:themeColor="text1"/>
            <w:lang w:val="es-ES"/>
          </w:rPr>
          <w:t>CBD/SBI/7/INF/22</w:t>
        </w:r>
      </w:hyperlink>
      <w:r w:rsidRPr="005E3D50">
        <w:rPr>
          <w:lang w:val="es-ES"/>
        </w:rPr>
        <w:t xml:space="preserve"> y </w:t>
      </w:r>
      <w:hyperlink r:id="rId237" w:history="1">
        <w:r w:rsidRPr="005E3D50">
          <w:rPr>
            <w:color w:val="000000" w:themeColor="text1"/>
            <w:lang w:val="es-ES"/>
          </w:rPr>
          <w:t>CBD/SBSTTA/28/INF/9</w:t>
        </w:r>
      </w:hyperlink>
      <w:r w:rsidRPr="005E3D50">
        <w:rPr>
          <w:lang w:val="es-ES"/>
        </w:rPr>
        <w:t xml:space="preserve">). </w:t>
      </w:r>
    </w:p>
    <w:p w14:paraId="7E1A59FA" w14:textId="77777777" w:rsidR="00E9637F" w:rsidRDefault="00E9637F" w:rsidP="008F15F1">
      <w:pPr>
        <w:keepNext/>
        <w:keepLines/>
        <w:spacing w:before="80" w:after="40"/>
        <w:outlineLvl w:val="3"/>
        <w:rPr>
          <w:rFonts w:eastAsiaTheme="majorEastAsia" w:cstheme="majorBidi"/>
          <w:i/>
          <w:iCs/>
          <w:color w:val="0F4761" w:themeColor="accent1" w:themeShade="BF"/>
          <w:lang w:val="es-ES"/>
        </w:rPr>
      </w:pPr>
      <w:bookmarkStart w:id="624" w:name="_Toc235521195"/>
      <w:bookmarkStart w:id="625" w:name="_Ref236139874"/>
      <w:bookmarkStart w:id="626" w:name="_Toc239069228"/>
      <w:bookmarkStart w:id="627" w:name="_Toc1324423162"/>
    </w:p>
    <w:p w14:paraId="51F96865" w14:textId="58382CC5"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628" w:name="_Toc242883006"/>
      <w:r w:rsidRPr="005E3D50">
        <w:rPr>
          <w:rFonts w:eastAsiaTheme="majorEastAsia" w:cstheme="majorBidi"/>
          <w:i/>
          <w:iCs/>
          <w:color w:val="0F4761" w:themeColor="accent1" w:themeShade="BF"/>
          <w:lang w:val="es-ES"/>
        </w:rPr>
        <w:t>Recursos financieros</w:t>
      </w:r>
      <w:bookmarkEnd w:id="624"/>
      <w:bookmarkEnd w:id="625"/>
      <w:bookmarkEnd w:id="626"/>
      <w:bookmarkEnd w:id="627"/>
      <w:bookmarkEnd w:id="628"/>
    </w:p>
    <w:p w14:paraId="6826C654" w14:textId="77777777" w:rsidR="008F15F1" w:rsidRPr="005E3D50" w:rsidRDefault="008F15F1" w:rsidP="008F15F1">
      <w:pPr>
        <w:rPr>
          <w:lang w:val="es-ES"/>
        </w:rPr>
      </w:pPr>
    </w:p>
    <w:p w14:paraId="329363FA" w14:textId="77777777" w:rsidR="008F15F1" w:rsidRPr="005E3D50" w:rsidRDefault="008F15F1" w:rsidP="008F15F1">
      <w:pPr>
        <w:rPr>
          <w:rFonts w:ascii="Aptos" w:eastAsia="Aptos" w:hAnsi="Aptos" w:cs="Aptos"/>
          <w:lang w:val="es-ES"/>
        </w:rPr>
      </w:pPr>
      <w:r w:rsidRPr="005E3D50">
        <w:rPr>
          <w:lang w:val="es-ES"/>
        </w:rPr>
        <w:t xml:space="preserve">Las carencias de recursos financieros se señalan de manera constante y explícita como una limitación para la implementación en todos los informes nacionales. </w:t>
      </w:r>
      <w:r w:rsidRPr="005E3D50">
        <w:rPr>
          <w:rFonts w:ascii="Aptos" w:hAnsi="Aptos"/>
          <w:lang w:val="es-ES"/>
        </w:rPr>
        <w:t>La planificación financiera respalda la cuantificación y priorización de las necesidades de financiación, y los progresos informados a este respecto han sido desiguales. Si bien muchas Partes han comenzado a elaborar esa planificación, en la mayoría de los casos utilizando la metodología de BIOFIN, varias Partes informan que su evaluación de necesidades financieras y su análisis del gasto en biodiversidad siguen estando incompletos. Se trata de una deficiencia importante, ya que esos análisis son un requisito previo para realizar una cuantificación fiable de las necesidades de financiación. Además, varias Partes han informado que sus planes o estrategias nacionales de financiación de la biodiversidad aún se están elaborando o no se han elaborado.</w:t>
      </w:r>
    </w:p>
    <w:p w14:paraId="5B6F3108"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3B8D71F"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Financiación nacional</w:t>
      </w:r>
    </w:p>
    <w:p w14:paraId="7521AA95" w14:textId="77777777" w:rsidR="008F15F1" w:rsidRPr="005E3D50" w:rsidRDefault="008F15F1" w:rsidP="008F15F1">
      <w:pPr>
        <w:rPr>
          <w:lang w:val="es-ES"/>
        </w:rPr>
      </w:pPr>
    </w:p>
    <w:p w14:paraId="279A0CAB" w14:textId="77777777" w:rsidR="008F15F1" w:rsidRPr="005E3D50" w:rsidRDefault="008F15F1" w:rsidP="008F15F1">
      <w:pPr>
        <w:rPr>
          <w:rFonts w:ascii="Aptos" w:eastAsia="Aptos" w:hAnsi="Aptos" w:cs="Aptos"/>
          <w:lang w:val="es-ES"/>
        </w:rPr>
      </w:pPr>
      <w:r w:rsidRPr="005E3D50">
        <w:rPr>
          <w:rFonts w:ascii="Aptos" w:hAnsi="Aptos"/>
          <w:lang w:val="es-ES"/>
        </w:rPr>
        <w:t xml:space="preserve">Muchas Partes han informado de una diferencia sustancial entre el gasto público interno actual en biodiversidad y el nivel de gasto necesario para implementar el Marco de aquí a </w:t>
      </w:r>
      <w:r w:rsidRPr="005E3D50">
        <w:rPr>
          <w:rFonts w:ascii="Aptos" w:hAnsi="Aptos"/>
          <w:lang w:val="es-ES"/>
        </w:rPr>
        <w:lastRenderedPageBreak/>
        <w:t>2030. En varios casos, el déficit se ha cuantificado a través de BIOFIN o procesos nacionales equivalentes, y se han informado carencias sustanciales para el período hasta 2030. Algunas Partes han informado que la financiación de la biodiversidad está fragmentada, lo que limita aún más su eficacia en relación con las necesidades identificadas.</w:t>
      </w:r>
    </w:p>
    <w:p w14:paraId="5BE4BD62" w14:textId="77777777" w:rsidR="008F15F1" w:rsidRPr="005E3D50" w:rsidRDefault="008F15F1" w:rsidP="008F15F1">
      <w:pPr>
        <w:rPr>
          <w:rFonts w:ascii="Aptos" w:eastAsia="Aptos" w:hAnsi="Aptos" w:cs="Aptos"/>
          <w:lang w:val="es-ES"/>
        </w:rPr>
      </w:pPr>
      <w:r w:rsidRPr="005E3D50">
        <w:rPr>
          <w:rFonts w:ascii="Aptos" w:hAnsi="Aptos"/>
          <w:lang w:val="es-ES"/>
        </w:rPr>
        <w:t>Las Partes han informado que el apoyo a los objetivos a largo plazo se ve dificultado por el hecho de que la financiación de la biodiversidad a menudo se aprueba únicamente de manera anual, en consonancia con los ciclos presupuestarios nacionales habituales. Además, esto socava la continuidad del seguimiento: si los recursos no se mantienen a lo largo de varios años, las series temporales de datos se interrumpen y los resultados dejan de ser comparables, lo que dificulta evaluar las tendencias o demostrar el progreso con respecto a los valores de referencia. Un desafío relacionado es la dificultad para consolidar el gasto en biodiversidad en estructuras de gobernanza de múltiples niveles. La fragmentación de la financiación relacionada con la biodiversidad entre ministerios, organismos y niveles de gobierno, así como la ausencia, en la mayoría de las Partes, de sistemas de asignaciones presupuestarias específicas para la biodiversidad, dificultan el seguimiento sistemático. Además, las Partes informaron los siguientes obstáculos adicionales: ciclos de desembolso imprevisibles y basados en proyectos; la falta generalizada de partidas presupuestarias nacionales para la biodiversidad; barreras estructurales que impiden a los interesados acceder a los instrumentos financieros disponibles (que se examinan más adelante); y capacidad institucional limitada para diseñar propuestas o poner en marcha mecanismos financieros innovadores, como pagos por los servicios de los ecosistemas, créditos de biodiversidad o financiación combinada.</w:t>
      </w:r>
    </w:p>
    <w:p w14:paraId="71423A75"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14C97CE3"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Financiación internacional</w:t>
      </w:r>
    </w:p>
    <w:p w14:paraId="10C8D6FA" w14:textId="77777777" w:rsidR="008F15F1" w:rsidRPr="005E3D50" w:rsidRDefault="008F15F1" w:rsidP="008F15F1">
      <w:pPr>
        <w:spacing w:line="276" w:lineRule="auto"/>
        <w:rPr>
          <w:lang w:val="es-ES"/>
        </w:rPr>
      </w:pPr>
    </w:p>
    <w:p w14:paraId="03EBE561" w14:textId="77777777" w:rsidR="008F15F1" w:rsidRPr="005E3D50" w:rsidRDefault="008F15F1" w:rsidP="008F15F1">
      <w:pPr>
        <w:spacing w:line="276" w:lineRule="auto"/>
        <w:rPr>
          <w:rFonts w:ascii="Aptos" w:eastAsia="Aptos" w:hAnsi="Aptos" w:cs="Aptos"/>
          <w:lang w:val="es-ES"/>
        </w:rPr>
      </w:pPr>
      <w:r w:rsidRPr="005E3D50">
        <w:rPr>
          <w:rFonts w:ascii="Aptos" w:hAnsi="Aptos"/>
          <w:lang w:val="es-ES"/>
        </w:rPr>
        <w:t xml:space="preserve">Las Partes que son países en desarrollo, incluidos los países menos adelantados y los pequeños Estados insulares en desarrollo, han informado sobre la dependencia de la financiación internacional y la AOD, así como sobre limitaciones conexas. Se informó que la dependencia de los ciclos de los donantes y los proyectos ha generado discontinuidad en la implementación una vez concluidos los proyectos. </w:t>
      </w:r>
    </w:p>
    <w:p w14:paraId="0BCB6254" w14:textId="77777777" w:rsidR="008F15F1" w:rsidRPr="005E3D50" w:rsidRDefault="008F15F1" w:rsidP="008F15F1">
      <w:pPr>
        <w:spacing w:line="276" w:lineRule="auto"/>
        <w:rPr>
          <w:rFonts w:eastAsia="Times New Roman" w:cs="Times New Roman"/>
          <w:lang w:val="es-ES"/>
        </w:rPr>
      </w:pPr>
      <w:r w:rsidRPr="005E3D50">
        <w:rPr>
          <w:rFonts w:ascii="Aptos" w:hAnsi="Aptos"/>
          <w:lang w:val="es-ES"/>
        </w:rPr>
        <w:t xml:space="preserve">Además de detallar las dificultades relacionadas con el nivel general de financiación, las Partes han informado sobre dificultades para acceder a la financiación internacional disponible. </w:t>
      </w:r>
    </w:p>
    <w:p w14:paraId="1487EAD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3D47ED2D"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bookmarkStart w:id="629" w:name="_Ref236139924"/>
      <w:r w:rsidRPr="005E3D50">
        <w:rPr>
          <w:rFonts w:eastAsiaTheme="majorEastAsia" w:cstheme="majorBidi"/>
          <w:color w:val="0F4761" w:themeColor="accent1" w:themeShade="BF"/>
          <w:lang w:val="es-ES"/>
        </w:rPr>
        <w:t>Financiación privada</w:t>
      </w:r>
      <w:bookmarkEnd w:id="629"/>
    </w:p>
    <w:p w14:paraId="0B62B95B" w14:textId="77777777" w:rsidR="008F15F1" w:rsidRPr="005E3D50" w:rsidRDefault="008F15F1" w:rsidP="008F15F1">
      <w:pPr>
        <w:rPr>
          <w:rFonts w:ascii="Aptos" w:eastAsia="Aptos" w:hAnsi="Aptos" w:cs="Aptos"/>
          <w:lang w:val="es-ES"/>
        </w:rPr>
      </w:pPr>
    </w:p>
    <w:p w14:paraId="656DA203" w14:textId="77777777" w:rsidR="008F15F1" w:rsidRPr="005E3D50" w:rsidRDefault="008F15F1" w:rsidP="008F15F1">
      <w:pPr>
        <w:rPr>
          <w:rFonts w:ascii="Aptos" w:eastAsia="Aptos" w:hAnsi="Aptos" w:cs="Aptos"/>
          <w:lang w:val="es-ES"/>
        </w:rPr>
      </w:pPr>
      <w:r w:rsidRPr="005E3D50">
        <w:rPr>
          <w:rFonts w:ascii="Aptos" w:hAnsi="Aptos"/>
          <w:lang w:val="es-ES"/>
        </w:rPr>
        <w:t xml:space="preserve">La financiación privada de la biodiversidad se describe ampliamente como poco desarrollada, con una participación limitada y solo una pequeña proporción del total de la financiación de la biodiversidad disponible para algunas Partes. Las Partes han informado que los entornos normativos y regulatorios existentes dificultan la ampliación de los modelos de inversión ajustados a la biodiversidad. </w:t>
      </w:r>
    </w:p>
    <w:p w14:paraId="39ED31A5" w14:textId="77777777" w:rsidR="008F15F1" w:rsidRPr="005E3D50" w:rsidRDefault="008F15F1" w:rsidP="008F15F1">
      <w:pPr>
        <w:spacing w:before="240" w:after="240"/>
        <w:rPr>
          <w:rFonts w:ascii="Aptos" w:eastAsia="Aptos" w:hAnsi="Aptos" w:cs="Aptos"/>
          <w:lang w:val="es-ES"/>
        </w:rPr>
      </w:pPr>
      <w:r w:rsidRPr="005E3D50">
        <w:rPr>
          <w:rFonts w:ascii="Aptos" w:hAnsi="Aptos"/>
          <w:lang w:val="es-ES"/>
        </w:rPr>
        <w:t>La información presentada sobre financiación privada se ve además limitada por el entorno de divulgación de información. Varias Partes han señalado la ausencia de requisitos de divulgación obligatoria para los riesgos relacionados con la biodiversidad, y ninguna Parte informó de una institución financiera nacional registrada que haya adoptado formalmente las recomendaciones del Grupo de Trabajo sobre Divulgaciones Financieras relacionadas con la Naturaleza. La adopción más amplia de marcos de divulgación voluntaria se evalúa en el análisis anterior de la meta 15.</w:t>
      </w:r>
    </w:p>
    <w:p w14:paraId="5B9657A3" w14:textId="77777777" w:rsidR="008F15F1" w:rsidRPr="005E3D50" w:rsidRDefault="008F15F1" w:rsidP="008F15F1">
      <w:pPr>
        <w:spacing w:before="240" w:after="240"/>
        <w:rPr>
          <w:rFonts w:ascii="Aptos" w:eastAsia="Aptos" w:hAnsi="Aptos" w:cs="Aptos"/>
          <w:lang w:val="es-ES"/>
        </w:rPr>
      </w:pPr>
      <w:r w:rsidRPr="005E3D50">
        <w:rPr>
          <w:rFonts w:ascii="Aptos" w:hAnsi="Aptos"/>
          <w:lang w:val="es-ES"/>
        </w:rPr>
        <w:t>De los tres indicadores de cabecera relacionados con el Objetivo D del Marco, se ha señalado de manera sistemática que el indicador de cabecera D.3 (</w:t>
      </w:r>
      <w:r w:rsidRPr="005E3D50">
        <w:rPr>
          <w:rFonts w:ascii="Aptos" w:hAnsi="Aptos"/>
          <w:color w:val="242424"/>
          <w:lang w:val="es-ES"/>
        </w:rPr>
        <w:t>financiación privada [nacional e internacional] para la conservación y la utilización sostenible de la diversidad biológica y los ecosistemas</w:t>
      </w:r>
      <w:r w:rsidRPr="005E3D50">
        <w:rPr>
          <w:rFonts w:ascii="Aptos" w:hAnsi="Aptos"/>
          <w:lang w:val="es-ES"/>
        </w:rPr>
        <w:t>) es el que mayores dificultades conlleva para presentar información. A este respecto, muchas contribuciones del sector privado no se registran, la presentación de informes empresariales no es obligatoria en la mayoría de las jurisdicciones y otras fuentes de financiación privada, incluidas la filantropía y las contribuciones individuales, rara vez quedan registradas.</w:t>
      </w:r>
    </w:p>
    <w:p w14:paraId="31ACFA1B"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403BB3E"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Incentivos, incluidos los subsidios, que son perjudiciales para la diversidad biológica e incentivos positivos</w:t>
      </w:r>
    </w:p>
    <w:p w14:paraId="2E3326C5" w14:textId="77777777" w:rsidR="008F15F1" w:rsidRPr="005E3D50" w:rsidRDefault="008F15F1" w:rsidP="008F15F1">
      <w:pPr>
        <w:rPr>
          <w:lang w:val="es-ES"/>
        </w:rPr>
      </w:pPr>
    </w:p>
    <w:p w14:paraId="7B6326F5" w14:textId="77777777" w:rsidR="008F15F1" w:rsidRPr="005E3D50" w:rsidRDefault="008F15F1" w:rsidP="008F15F1">
      <w:pPr>
        <w:rPr>
          <w:rFonts w:eastAsia="Times New Roman" w:cs="Times New Roman"/>
          <w:lang w:val="es-ES"/>
        </w:rPr>
      </w:pPr>
      <w:bookmarkStart w:id="630" w:name="_Toc235521196"/>
      <w:r w:rsidRPr="005E3D50">
        <w:rPr>
          <w:lang w:val="es-ES"/>
        </w:rPr>
        <w:t>El Objetivo D del Marco se refiere tanto a la reducción progresiva del déficit de financiación de la biodiversidad de 700.000 millones de dólares al año como a la armonización de las corrientes financieras con el Marco. La reducción de los incentivos, incluidos los subsidios, que son perjudiciales para la diversidad biológica en al menos 500.000 millones de dólares al año para 2030, junto con la ampliación de los incentivos positivos, vinculada con la meta 18, se relaciona en particular con esa armonización (véase el resumen anterior de la meta 18).</w:t>
      </w:r>
    </w:p>
    <w:p w14:paraId="25DA8B94" w14:textId="77777777" w:rsidR="008F15F1" w:rsidRPr="005E3D50" w:rsidRDefault="008F15F1" w:rsidP="008F15F1">
      <w:pPr>
        <w:rPr>
          <w:lang w:val="es-ES"/>
        </w:rPr>
      </w:pPr>
      <w:r w:rsidRPr="005E3D50">
        <w:rPr>
          <w:lang w:val="es-ES"/>
        </w:rPr>
        <w:lastRenderedPageBreak/>
        <w:t>La identificación, cuantificación y reforma de los incentivos perjudiciales se describen como tareas que resultan complejas desde el punto de vista metodológico y político. Varias Partes informan que carecen de un inventario nacional de subsidios relacionados con la biodiversidad y el hecho de que la falta de valores de monetarios referencia dificulta la medición de la reducción que se requiere para 2030. Varias Partes han informado que no existe un registro centralizado de subsidios y exenciones fiscales, y que los incentivos pueden estar incorporados en diferentes partidas presupuestarias o gastos fiscales.</w:t>
      </w:r>
    </w:p>
    <w:p w14:paraId="4C2968EF" w14:textId="77777777" w:rsidR="008F15F1" w:rsidRPr="005E3D50" w:rsidRDefault="008F15F1" w:rsidP="008F15F1">
      <w:pPr>
        <w:rPr>
          <w:lang w:val="es-ES"/>
        </w:rPr>
      </w:pPr>
      <w:r w:rsidRPr="005E3D50">
        <w:rPr>
          <w:lang w:val="es-ES"/>
        </w:rPr>
        <w:t>Se ha informado que la coordinación intersectorial para la reforma de los incentivos perjudiciales está institucionalmente fragmentada y constituye un tema sensible desde el punto de vista político. Los incentivos perjudiciales pueden originarse en impuestos o en marcos que abarcan sectores como la agricultura, el transporte o la energía que quedan fuera del mandato de los ministerios de medio ambiente.</w:t>
      </w:r>
    </w:p>
    <w:p w14:paraId="6BAB6D31"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2A88DEDF" w14:textId="77777777" w:rsidR="008F15F1" w:rsidRPr="005E3D50" w:rsidRDefault="008F15F1" w:rsidP="008F15F1">
      <w:pPr>
        <w:keepNext/>
        <w:keepLines/>
        <w:spacing w:before="80" w:after="40"/>
        <w:outlineLvl w:val="3"/>
        <w:rPr>
          <w:rFonts w:eastAsiaTheme="majorEastAsia" w:cstheme="majorBidi"/>
          <w:i/>
          <w:iCs/>
          <w:lang w:val="es-ES"/>
        </w:rPr>
      </w:pPr>
      <w:bookmarkStart w:id="631" w:name="_Toc239069229"/>
      <w:bookmarkStart w:id="632" w:name="_Toc947796173"/>
      <w:bookmarkStart w:id="633" w:name="_Toc242883007"/>
      <w:r w:rsidRPr="005E3D50">
        <w:rPr>
          <w:rFonts w:eastAsiaTheme="majorEastAsia" w:cstheme="majorBidi"/>
          <w:i/>
          <w:iCs/>
          <w:color w:val="0F4761" w:themeColor="accent1" w:themeShade="BF"/>
          <w:lang w:val="es-ES"/>
        </w:rPr>
        <w:t>Capacidad</w:t>
      </w:r>
      <w:bookmarkEnd w:id="630"/>
      <w:bookmarkEnd w:id="631"/>
      <w:bookmarkEnd w:id="632"/>
      <w:bookmarkEnd w:id="633"/>
    </w:p>
    <w:p w14:paraId="5FDAE468" w14:textId="77777777" w:rsidR="008F15F1" w:rsidRPr="005E3D50" w:rsidRDefault="008F15F1" w:rsidP="008F15F1">
      <w:pPr>
        <w:rPr>
          <w:lang w:val="es-ES"/>
        </w:rPr>
      </w:pPr>
    </w:p>
    <w:p w14:paraId="6B7949FD" w14:textId="77777777" w:rsidR="008F15F1" w:rsidRPr="005E3D50" w:rsidRDefault="008F15F1" w:rsidP="008F15F1">
      <w:pPr>
        <w:rPr>
          <w:lang w:val="es-ES"/>
        </w:rPr>
      </w:pPr>
      <w:r w:rsidRPr="005E3D50">
        <w:rPr>
          <w:lang w:val="es-ES"/>
        </w:rPr>
        <w:t>Casi todas las Partes que presentaron informes señalan necesidades en materia de capacidad. Las necesidades van desde capacidad institucional básica en los países menos adelantados y los pequeños Estados insulares en desarrollo hasta capacidad técnica especializada en las Partes que son países desarrollados. Las necesidades de apoyo informadas abarcan desde apoyo para actualizar las EPANB y preparar los informes nacionales hasta apoyo para diseñar y poner en práctica planes de financiación de la biodiversidad, aplicar herramientas de planificación espacial y gestionar áreas protegidas y OMEC, entre muchas otras.</w:t>
      </w:r>
    </w:p>
    <w:p w14:paraId="27185171" w14:textId="77777777" w:rsidR="008F15F1" w:rsidRPr="005E3D50" w:rsidRDefault="008F15F1" w:rsidP="008F15F1">
      <w:pPr>
        <w:rPr>
          <w:lang w:val="es-ES"/>
        </w:rPr>
      </w:pPr>
      <w:r w:rsidRPr="005E3D50">
        <w:rPr>
          <w:lang w:val="es-ES"/>
        </w:rPr>
        <w:t xml:space="preserve">La capacidad de los recursos humanos sustenta las demás dimensiones de la capacidad, y la escasez de personal capacitado para la labor relacionada con la biodiversidad es transversal a todas las necesidades descritas por las Partes. Entre las esferas en las que se informa escasez de competencias figuran la taxonomía, la ecología, el análisis mediante sistemas de información geográfica (SIG), la informática de la biodiversidad, la seguridad de la biotecnología y las ciencias marinas y del agua dulce, así como las competencias híbridas relacionadas con las finanzas y la ecología que son pertinentes para la movilización de la financiación privada señalada anteriormente. Se informa que las necesidades persistentes de capacidad en materia de seguridad de la biotecnología, incluidas la evaluación y gestión de riesgos, el muestreo, la detección y la transferencia de la tecnología relacionada, siguen sin satisfacerse, debido a los continuos avances científicos que requieren una actualización constante de los conocimientos especializados. </w:t>
      </w:r>
    </w:p>
    <w:p w14:paraId="6AF9307E" w14:textId="77777777" w:rsidR="008F15F1" w:rsidRPr="005E3D50" w:rsidRDefault="008F15F1" w:rsidP="008F15F1">
      <w:pPr>
        <w:rPr>
          <w:lang w:val="es-ES"/>
        </w:rPr>
      </w:pPr>
      <w:r w:rsidRPr="005E3D50">
        <w:rPr>
          <w:lang w:val="es-ES"/>
        </w:rPr>
        <w:lastRenderedPageBreak/>
        <w:t>La falta de conocimientos especializados sobre biodiversidad en los ministerios que abarcan los sectores pertinentes se describe como una limitación para la integración de las cuestiones relacionadas con la biodiversidad a nivel nacional. En las Partes afectadas por conflictos o fragilidad institucional, se informa que la pérdida de personal capacitado agrava las limitaciones estructurales para la implementación y, en algunos casos, decenios de conflictos han provocado un vacío de datos y la pérdida de memoria institucional y personal capacitado.</w:t>
      </w:r>
    </w:p>
    <w:p w14:paraId="74C646CF"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59768E9"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Comunicación y sensibilización</w:t>
      </w:r>
    </w:p>
    <w:p w14:paraId="4CA09A45" w14:textId="77777777" w:rsidR="008F15F1" w:rsidRPr="005E3D50" w:rsidRDefault="008F15F1" w:rsidP="008F15F1">
      <w:pPr>
        <w:rPr>
          <w:lang w:val="es-ES"/>
        </w:rPr>
      </w:pPr>
    </w:p>
    <w:p w14:paraId="484B2AFF" w14:textId="77777777" w:rsidR="008F15F1" w:rsidRPr="005E3D50" w:rsidRDefault="008F15F1" w:rsidP="008F15F1">
      <w:pPr>
        <w:rPr>
          <w:lang w:val="es-ES"/>
        </w:rPr>
      </w:pPr>
      <w:r w:rsidRPr="005E3D50">
        <w:rPr>
          <w:lang w:val="es-ES"/>
        </w:rPr>
        <w:t xml:space="preserve">Se informa que la comunicación sobre biodiversidad a menudo no llega a las comunidades rurales, a los responsables de la toma de decisiones ajenos al sector ambiental ni al público en general, y que la sensibilización pública sobre los vínculos entre la biodiversidad y el cambio climático es insuficiente. Los sistemas educativos, en general, no incorporan adecuadamente la alfabetización en materia de biodiversidad y medio ambiente, aunque algunas Partes han informado de progresos en ese ámbito (véase más adelante). Las normas relativas al consumo sostenible rara vez están integradas en los planes de estudios o en los marcos de información al consumidor, y se informa que el etiquetado de productos relacionado con la biodiversidad, por </w:t>
      </w:r>
      <w:proofErr w:type="gramStart"/>
      <w:r w:rsidRPr="005E3D50">
        <w:rPr>
          <w:lang w:val="es-ES"/>
        </w:rPr>
        <w:t>ejemplo</w:t>
      </w:r>
      <w:proofErr w:type="gramEnd"/>
      <w:r w:rsidRPr="005E3D50">
        <w:rPr>
          <w:lang w:val="es-ES"/>
        </w:rPr>
        <w:t xml:space="preserve"> mediante sistemas de certificación, es limitado y está poco reconocido. Además, se ha señalado que la ciencia ciudadana constituye una herramienta de participación infrautilizada. </w:t>
      </w:r>
    </w:p>
    <w:p w14:paraId="06BD61FD"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2A64E939"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Marcos normativos y jurídicos</w:t>
      </w:r>
    </w:p>
    <w:p w14:paraId="7C540007" w14:textId="77777777" w:rsidR="008F15F1" w:rsidRPr="005E3D50" w:rsidRDefault="008F15F1" w:rsidP="008F15F1">
      <w:pPr>
        <w:rPr>
          <w:rFonts w:eastAsia="Times New Roman" w:cs="Times New Roman"/>
          <w:lang w:val="es-ES"/>
        </w:rPr>
      </w:pPr>
    </w:p>
    <w:p w14:paraId="3D9201F5" w14:textId="77777777" w:rsidR="008F15F1" w:rsidRPr="005E3D50" w:rsidRDefault="008F15F1" w:rsidP="008F15F1">
      <w:pPr>
        <w:rPr>
          <w:lang w:val="es-ES"/>
        </w:rPr>
      </w:pPr>
      <w:r w:rsidRPr="005E3D50">
        <w:rPr>
          <w:lang w:val="es-ES"/>
        </w:rPr>
        <w:t>Las Partes identifican necesidades persistentes en el contexto de la aplicación, el cumplimiento y la observancia de la legislación relacionada con la biodiversidad. Entre las necesidades informadas figuran el apoyo para actualizar la legislación obsoleta (que, en algunos casos, tiene varios decenios de antigüedad), el fortalecimiento de la capacidad de observancia, la resolución de vacíos jurídicos como la falta de protección jurídica especial para las personas defensoras del medio ambiente, y la armonización de la legislación nacional con las obligaciones internacionales derivadas del Protocolo de Nagoya, el Protocolo de Cartagena sobre Seguridad de la Biotecnología y otros instrumentos relacionados. Varias Partes han señalado explícitamente que, si bien existen derechos y marcos en la documentación, su aplicación en la práctica es dispar.</w:t>
      </w:r>
    </w:p>
    <w:p w14:paraId="2561DFC2"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36D1E174"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Gobernanza ambiental y políticas sobre el medio ambiente</w:t>
      </w:r>
    </w:p>
    <w:p w14:paraId="2CC30006" w14:textId="77777777" w:rsidR="008F15F1" w:rsidRPr="005E3D50" w:rsidRDefault="008F15F1" w:rsidP="008F15F1">
      <w:pPr>
        <w:rPr>
          <w:rFonts w:eastAsia="Times New Roman" w:cs="Times New Roman"/>
          <w:lang w:val="es-ES"/>
        </w:rPr>
      </w:pPr>
    </w:p>
    <w:p w14:paraId="4FE4BAB3" w14:textId="77777777" w:rsidR="008F15F1" w:rsidRPr="005E3D50" w:rsidRDefault="008F15F1" w:rsidP="008F15F1">
      <w:pPr>
        <w:rPr>
          <w:lang w:val="es-ES"/>
        </w:rPr>
      </w:pPr>
      <w:bookmarkStart w:id="634" w:name="_Toc235521198"/>
      <w:r w:rsidRPr="005E3D50">
        <w:rPr>
          <w:lang w:val="es-ES"/>
        </w:rPr>
        <w:t>Las Partes han identificado necesidades relacionadas con mecanismos institucionales y procesos de integración de políticas que permitan abordar la biodiversidad de manera coherente en todo el gobierno. Un obstáculo importante para la implementación, señalado entre las dificultades relacionadas con muchas metas, es la fragmentación de la gobernanza en múltiples niveles. Un aspecto de ese obstáculo es la fragmentación e incoherencia de los datos entre jurisdicciones, cada una de las cuales puede utilizar métodos de recopilación de datos, normas y metadatos diferentes, lo que complica la consolidación para la presentación de los informes nacionales. Se informa de carencias en materia de capacidad en particular a nivel subnacional, donde es mayor la responsabilidad sobre las decisiones relativas al uso de la tierra.</w:t>
      </w:r>
    </w:p>
    <w:p w14:paraId="14DB3AAC" w14:textId="77777777" w:rsidR="008F15F1" w:rsidRPr="005E3D50" w:rsidRDefault="008F15F1" w:rsidP="008F15F1">
      <w:pPr>
        <w:rPr>
          <w:lang w:val="es-ES"/>
        </w:rPr>
      </w:pPr>
      <w:r w:rsidRPr="005E3D50">
        <w:rPr>
          <w:lang w:val="es-ES"/>
        </w:rPr>
        <w:t>Las necesidades informadas en materia de coherencia de la gobernanza incluyen mecanismos de coordinación interministerial, la integración de la biodiversidad en la planificación nacional del desarrollo y las estrategias sectoriales (especialmente en materia de finanzas, agricultura, silvicultura, agua, adaptación al cambio climático y uso de la tierra) y, entre un número menor de Partes, el establecimiento o fortalecimiento de estructuras de asesoramiento científico que vinculen la ciencia de la biodiversidad con las políticas.</w:t>
      </w:r>
    </w:p>
    <w:p w14:paraId="3966A390"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319DA54D" w14:textId="77777777" w:rsidR="008F15F1" w:rsidRPr="005E3D50" w:rsidRDefault="008F15F1" w:rsidP="008F15F1">
      <w:pPr>
        <w:keepNext/>
        <w:keepLines/>
        <w:spacing w:before="80" w:after="40"/>
        <w:outlineLvl w:val="3"/>
        <w:rPr>
          <w:rFonts w:eastAsiaTheme="majorEastAsia" w:cstheme="majorBidi"/>
          <w:i/>
          <w:iCs/>
          <w:lang w:val="es-ES"/>
        </w:rPr>
      </w:pPr>
      <w:bookmarkStart w:id="635" w:name="_Toc239069230"/>
      <w:bookmarkStart w:id="636" w:name="_Toc317813137"/>
      <w:bookmarkStart w:id="637" w:name="_Toc242883008"/>
      <w:r w:rsidRPr="005E3D50">
        <w:rPr>
          <w:rFonts w:eastAsiaTheme="majorEastAsia" w:cstheme="majorBidi"/>
          <w:i/>
          <w:iCs/>
          <w:color w:val="0F4761" w:themeColor="accent1" w:themeShade="BF"/>
          <w:lang w:val="es-ES"/>
        </w:rPr>
        <w:t>Cooperación científica y técnica</w:t>
      </w:r>
      <w:bookmarkEnd w:id="634"/>
      <w:bookmarkEnd w:id="635"/>
      <w:bookmarkEnd w:id="636"/>
      <w:bookmarkEnd w:id="637"/>
    </w:p>
    <w:p w14:paraId="07DB5A96" w14:textId="77777777" w:rsidR="008F15F1" w:rsidRPr="005E3D50" w:rsidRDefault="008F15F1" w:rsidP="008F15F1">
      <w:pPr>
        <w:rPr>
          <w:rFonts w:eastAsia="Times New Roman" w:cs="Times New Roman"/>
          <w:lang w:val="es-ES"/>
        </w:rPr>
      </w:pPr>
    </w:p>
    <w:p w14:paraId="052ED748" w14:textId="77777777" w:rsidR="008F15F1" w:rsidRPr="005E3D50" w:rsidRDefault="008F15F1" w:rsidP="008F15F1">
      <w:pPr>
        <w:rPr>
          <w:lang w:val="es-ES"/>
        </w:rPr>
      </w:pPr>
      <w:r w:rsidRPr="005E3D50">
        <w:rPr>
          <w:lang w:val="es-ES"/>
        </w:rPr>
        <w:t>Los informes nacionales indican que la cooperación científica y técnica necesaria para aplicar el Marco se ve limitada por deficiencias en los siguientes ámbitos: la investigación científica; los sistemas de datos e información mediante los cuales se pone a disposición de los responsables de la toma de decisiones el conocimiento científico; la cooperación entre actores nacionales y locales; y la cooperación internacional y la transferencia de conocimientos.</w:t>
      </w:r>
    </w:p>
    <w:p w14:paraId="71058DC4"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7D1C8346"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Investigación científica</w:t>
      </w:r>
    </w:p>
    <w:p w14:paraId="49E503FF" w14:textId="77777777" w:rsidR="008F15F1" w:rsidRPr="005E3D50" w:rsidRDefault="008F15F1" w:rsidP="008F15F1">
      <w:pPr>
        <w:rPr>
          <w:lang w:val="es-ES"/>
        </w:rPr>
      </w:pPr>
    </w:p>
    <w:p w14:paraId="71D7394E" w14:textId="77777777" w:rsidR="008F15F1" w:rsidRPr="005E3D50" w:rsidRDefault="008F15F1" w:rsidP="008F15F1">
      <w:pPr>
        <w:rPr>
          <w:lang w:val="es-ES"/>
        </w:rPr>
      </w:pPr>
      <w:r w:rsidRPr="005E3D50">
        <w:rPr>
          <w:lang w:val="es-ES"/>
        </w:rPr>
        <w:t xml:space="preserve">Se informó que el número de miembros de personal disponible para la investigación en biodiversidad está muy por debajo de los niveles requeridos para la implementación en el </w:t>
      </w:r>
      <w:r w:rsidRPr="005E3D50">
        <w:rPr>
          <w:lang w:val="es-ES"/>
        </w:rPr>
        <w:lastRenderedPageBreak/>
        <w:t>plano nacional. Además, a menudo se informa que la investigación sobre biodiversidad no está suficientemente conectada con campos afines, lo que dificulta la coordinación de las respuestas. Las Partes señalan, en particular, que las ciencias sociales, incluida la economía, aún no están plenamente integradas en la investigación sobre biodiversidad o en el seguimiento de las EPANB y las metas nacionales. La investigación sobre cambio climático y biodiversidad se describe con frecuencia como una actividad compartimentada, con mecanismos limitados para traducir las pruebas interdisciplinarias en políticas. Se informan carencias similares en relación diversidad biológica marina, ya que la investigación científica no siempre está adecuadamente vinculada a la gestión de la pesca o la gobernanza de los océanos. Además, las Partes han señala do que se requiere una cooperación intersectorial más sólida en materia de enfermedades zoonóticas, conflictos entre los seres humanos y fauna y flora silvestres y seguridad de la biotecnología.</w:t>
      </w:r>
    </w:p>
    <w:p w14:paraId="68BE6636"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6B640FA3"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Información y datos</w:t>
      </w:r>
    </w:p>
    <w:p w14:paraId="78B8E13D" w14:textId="77777777" w:rsidR="008F15F1" w:rsidRPr="005E3D50" w:rsidRDefault="008F15F1" w:rsidP="008F15F1">
      <w:pPr>
        <w:rPr>
          <w:rFonts w:eastAsia="Times New Roman" w:cs="Times New Roman"/>
          <w:lang w:val="es-ES"/>
        </w:rPr>
      </w:pPr>
    </w:p>
    <w:p w14:paraId="67A5D945" w14:textId="77777777" w:rsidR="008F15F1" w:rsidRPr="005E3D50" w:rsidRDefault="008F15F1" w:rsidP="008F15F1">
      <w:pPr>
        <w:rPr>
          <w:lang w:val="es-ES"/>
        </w:rPr>
      </w:pPr>
      <w:r w:rsidRPr="005E3D50">
        <w:rPr>
          <w:lang w:val="es-ES"/>
        </w:rPr>
        <w:t>Una de las necesidades más comúnmente mencionadas por las Partes se refiere a la falta de conjuntos de datos nacionales o armonizados que puedan respaldar los indicadores de cabecera del Marco. Varias Partes han descrito la presentación rigurosa de informes sobre los indicadores de cabecera como una importante carga técnica y financiera. Una dimensión estructural de esa deficiencia está relacionada con el hecho de que los datos requeridos para los indicadores de cabecera del Marco a menudo no son el tipo de datos que los sistemas estadísticos nacionales recopilan como parte de su labor habitual. En consecuencia, varias Partes informan que, en lugar de constituir un compromiso nacional permanente, la recopilación de datos sobre biodiversidad sigue dependiendo de la financiación de donantes.</w:t>
      </w:r>
    </w:p>
    <w:p w14:paraId="608D0C7F" w14:textId="77777777" w:rsidR="008F15F1" w:rsidRPr="005E3D50" w:rsidRDefault="008F15F1" w:rsidP="008F15F1">
      <w:pPr>
        <w:rPr>
          <w:lang w:val="es-ES"/>
        </w:rPr>
      </w:pPr>
    </w:p>
    <w:p w14:paraId="1E255B93" w14:textId="77777777" w:rsidR="008F15F1" w:rsidRPr="005E3D50" w:rsidRDefault="008F15F1" w:rsidP="008F15F1">
      <w:pPr>
        <w:rPr>
          <w:rFonts w:eastAsia="Times New Roman" w:cs="Times New Roman"/>
          <w:lang w:val="es-ES"/>
        </w:rPr>
      </w:pPr>
      <w:r w:rsidRPr="005E3D50">
        <w:rPr>
          <w:lang w:val="es-ES"/>
        </w:rPr>
        <w:t xml:space="preserve">Entre las necesidades relacionadas con los datos informadas por las Partes figuran un sistema para recopilar datos de biodiversidad desglosados por sexo y edad, el fortalecimiento de la interoperabilidad de las bases de datos y un sistema nacional unificado de registros de biodiversidad entre instituciones y plataformas. Se informa que la agregación de los datos subnacionales en nivel nacional es incoherente. Las Partes informan que se carece de valores de referencia con respecto a los cuales evaluar los progresos, por ejemplo, en relación con la cubierta de coral, la extensión y el estado de las zonas degradadas y el desperdicio de alimentos. Varias Partes informan que los valores de </w:t>
      </w:r>
      <w:r w:rsidRPr="005E3D50">
        <w:rPr>
          <w:lang w:val="es-ES"/>
        </w:rPr>
        <w:lastRenderedPageBreak/>
        <w:t>referencia para las zonas marinas y costeras, en particular, se han establecido solo recientemente o se están elaborando.</w:t>
      </w:r>
    </w:p>
    <w:p w14:paraId="1A36DE69" w14:textId="77777777" w:rsidR="008F15F1" w:rsidRPr="005E3D50" w:rsidRDefault="008F15F1" w:rsidP="008F15F1">
      <w:pPr>
        <w:rPr>
          <w:lang w:val="es-ES"/>
        </w:rPr>
      </w:pPr>
    </w:p>
    <w:p w14:paraId="45FF2AFA"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Cooperación internacional y transferencia de conocimientos</w:t>
      </w:r>
    </w:p>
    <w:p w14:paraId="69208193" w14:textId="77777777" w:rsidR="008F15F1" w:rsidRPr="005E3D50" w:rsidRDefault="008F15F1" w:rsidP="008F15F1">
      <w:pPr>
        <w:rPr>
          <w:lang w:val="es-ES"/>
        </w:rPr>
      </w:pPr>
    </w:p>
    <w:p w14:paraId="1F17CC8E" w14:textId="77777777" w:rsidR="008F15F1" w:rsidRPr="005E3D50" w:rsidRDefault="008F15F1" w:rsidP="008F15F1">
      <w:pPr>
        <w:rPr>
          <w:rFonts w:eastAsia="Times New Roman" w:cs="Times New Roman"/>
          <w:lang w:val="es-ES"/>
        </w:rPr>
      </w:pPr>
      <w:r w:rsidRPr="005E3D50">
        <w:rPr>
          <w:lang w:val="es-ES"/>
        </w:rPr>
        <w:t>En el ámbito de la cooperación internacional y la transferencia de conocimientos, algunas Partes han mencionado vínculos operacionales débiles entre la Secretaría del Convenio y otros órganos internacionales. Se informó que las sinergias entre las convenciones de Río están infrautilizadas (véase la secc. II.E más adelante). La cooperación transfronteriza se describe como esencial y a la vez poco desarrollada, incluso en relación con el movimiento transfronterizo de especies exóticas invasoras, las aguas transfronterizas compartidas, las especies migratorias y la aplicación de marcos de seguridad de la biotecnología en virtud del Protocolo de Cartagena para el movimiento transfronterizo de organismos vivos modificados.</w:t>
      </w:r>
    </w:p>
    <w:p w14:paraId="6F0F297E" w14:textId="77777777" w:rsidR="008F15F1" w:rsidRPr="005E3D50" w:rsidRDefault="008F15F1" w:rsidP="008F15F1">
      <w:pPr>
        <w:rPr>
          <w:lang w:val="es-ES"/>
        </w:rPr>
      </w:pPr>
    </w:p>
    <w:p w14:paraId="33B7B2AC"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Cooperación y transferencia de conocimientos a nivel nacional y local</w:t>
      </w:r>
    </w:p>
    <w:p w14:paraId="294E398B" w14:textId="77777777" w:rsidR="008F15F1" w:rsidRPr="005E3D50" w:rsidRDefault="008F15F1" w:rsidP="008F15F1">
      <w:pPr>
        <w:rPr>
          <w:lang w:val="es-ES"/>
        </w:rPr>
      </w:pPr>
    </w:p>
    <w:p w14:paraId="390240CB" w14:textId="77777777" w:rsidR="008F15F1" w:rsidRPr="005E3D50" w:rsidRDefault="008F15F1" w:rsidP="008F15F1">
      <w:pPr>
        <w:rPr>
          <w:rFonts w:eastAsia="Times New Roman" w:cs="Times New Roman"/>
          <w:lang w:val="es-ES"/>
        </w:rPr>
      </w:pPr>
      <w:r w:rsidRPr="005E3D50">
        <w:rPr>
          <w:lang w:val="es-ES"/>
        </w:rPr>
        <w:t>Las Partes informan que no logran agregar sistemáticamente los datos subnacionales de biodiversidad a los efectos de la presentación de los informes nacionales. Se informa que la coordinación entre los organismos federales, regionales y locales es insuficiente para la gobernanza de la biodiversidad entre jurisdicciones. Se han identificado como principales dificultades la débil coordinación interinstitucional, la ausencia de financiación sostenible para mantener los sistemas de datos, la baja participación de los pueblos indígenas y las comunidades locales y el acceso desigual a las tecnologías. Se informa que el intercambio de datos entre las instituciones de investigación y los ministerios responsables se ve obstaculizado por compartimentos institucionales y, en algunos casos, por barreras financiera.</w:t>
      </w:r>
    </w:p>
    <w:p w14:paraId="267C8789" w14:textId="77777777" w:rsidR="008F15F1" w:rsidRPr="005E3D50" w:rsidRDefault="008F15F1" w:rsidP="008F15F1">
      <w:pPr>
        <w:rPr>
          <w:lang w:val="es-ES"/>
        </w:rPr>
      </w:pPr>
    </w:p>
    <w:p w14:paraId="126859CE"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38" w:name="_Toc235521199"/>
      <w:bookmarkStart w:id="639" w:name="_Toc239069231"/>
      <w:bookmarkStart w:id="640" w:name="_Toc363016533"/>
      <w:bookmarkStart w:id="641" w:name="_Toc242883009"/>
      <w:r w:rsidRPr="005E3D50">
        <w:rPr>
          <w:rFonts w:eastAsiaTheme="majorEastAsia" w:cstheme="majorBidi"/>
          <w:i/>
          <w:iCs/>
          <w:color w:val="0F4761" w:themeColor="accent1" w:themeShade="BF"/>
          <w:lang w:val="es-ES"/>
        </w:rPr>
        <w:t>Acceso a la tecnología y su transferencia</w:t>
      </w:r>
      <w:bookmarkEnd w:id="638"/>
      <w:bookmarkEnd w:id="639"/>
      <w:bookmarkEnd w:id="640"/>
      <w:bookmarkEnd w:id="641"/>
    </w:p>
    <w:p w14:paraId="4849EECE" w14:textId="77777777" w:rsidR="008F15F1" w:rsidRPr="005E3D50" w:rsidRDefault="008F15F1" w:rsidP="008F15F1">
      <w:pPr>
        <w:rPr>
          <w:lang w:val="es-ES"/>
        </w:rPr>
      </w:pPr>
    </w:p>
    <w:p w14:paraId="575B2CCD"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Seguimiento y vigilancia</w:t>
      </w:r>
    </w:p>
    <w:p w14:paraId="5FD297C0" w14:textId="77777777" w:rsidR="008F15F1" w:rsidRPr="005E3D50" w:rsidRDefault="008F15F1" w:rsidP="008F15F1">
      <w:pPr>
        <w:rPr>
          <w:rFonts w:eastAsia="Times New Roman" w:cs="Times New Roman"/>
          <w:lang w:val="es-ES"/>
        </w:rPr>
      </w:pPr>
    </w:p>
    <w:p w14:paraId="2D149471" w14:textId="77777777" w:rsidR="008F15F1" w:rsidRPr="005E3D50" w:rsidRDefault="008F15F1" w:rsidP="008F15F1">
      <w:pPr>
        <w:rPr>
          <w:lang w:val="es-ES"/>
        </w:rPr>
      </w:pPr>
      <w:r w:rsidRPr="005E3D50">
        <w:rPr>
          <w:lang w:val="es-ES"/>
        </w:rPr>
        <w:lastRenderedPageBreak/>
        <w:t>Muchas Partes informan que, si bien pueden existir sistemas de seguimiento, estos carecen de recursos suficientes, presentan deficiencias de funcionalidad y son geográficamente incompletos. Las necesidades tecnológicas identificadas por las Partes incluyen SIG, teledetección, análisis asistido por inteligencia artificial y plataformas digitales integradas. En las Partes afectadas por conflictos o fragilidad institucional, el seguimiento se ve además limitado por la inaccesibilidad física a las zonas de biodiversidad, la pérdida de personal técnico capacitado y la fragmentación de los registros administrativos.</w:t>
      </w:r>
    </w:p>
    <w:p w14:paraId="098F77EA"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5FF7FCB6"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Otras tecnologías e infraestructura</w:t>
      </w:r>
    </w:p>
    <w:p w14:paraId="47A6AE81" w14:textId="77777777" w:rsidR="008F15F1" w:rsidRPr="005E3D50" w:rsidRDefault="008F15F1" w:rsidP="008F15F1">
      <w:pPr>
        <w:rPr>
          <w:rFonts w:eastAsia="Times New Roman" w:cs="Times New Roman"/>
          <w:lang w:val="es-ES"/>
        </w:rPr>
      </w:pPr>
    </w:p>
    <w:p w14:paraId="60816347" w14:textId="77777777" w:rsidR="008F15F1" w:rsidRPr="005E3D50" w:rsidRDefault="008F15F1" w:rsidP="008F15F1">
      <w:pPr>
        <w:rPr>
          <w:lang w:val="es-ES"/>
        </w:rPr>
      </w:pPr>
      <w:r w:rsidRPr="005E3D50">
        <w:rPr>
          <w:lang w:val="es-ES"/>
        </w:rPr>
        <w:t>Los informes nacionales indican que la infraestructura digital es insuficiente para la gestión y el intercambio de datos sobre biodiversidad. En algunas Partes aún no se ha establecido un sistema nacional de información sobre biodiversidad y, en algunos casos, se informa que los ajustes presupuestarios han limitado la modernización de las plataformas digitales y la supervisión sobre el terreno. Además, se informa que la transferencia de tecnología de los países desarrollados a los países en desarrollo requiere un apoyo estructural más sólido y un apoyo financiero previsible.</w:t>
      </w:r>
    </w:p>
    <w:p w14:paraId="5ECA8185" w14:textId="77777777" w:rsidR="008F15F1" w:rsidRPr="005E3D50" w:rsidRDefault="008F15F1" w:rsidP="008F15F1">
      <w:pPr>
        <w:rPr>
          <w:rFonts w:eastAsia="Times New Roman" w:cs="Times New Roman"/>
          <w:lang w:val="es-ES"/>
        </w:rPr>
      </w:pPr>
      <w:r w:rsidRPr="005E3D50">
        <w:rPr>
          <w:lang w:val="es-ES"/>
        </w:rPr>
        <w:t>Varias Partes informaron que la infraestructura de los bancos de genes, bancos de semillas y laboratorios está poco desarrollada o está disminuyendo. Asimismo, varias Partes informaron que debe reforzarse la capacidad de supervisión en materia de seguridad de la biotecnología de los organismos vivos modificados, señalándose entre las actividades que necesitan reforzarse los procedimientos de evaluación de riesgos, la capacidad de control fronterizo y de las aduanas para detectar el movimiento transfronterizo de organismos vivos modificados y la capacitación del personal encargado de aplicar la reglamentación.</w:t>
      </w:r>
    </w:p>
    <w:p w14:paraId="19D7A648" w14:textId="77777777" w:rsidR="008F15F1" w:rsidRPr="005E3D50" w:rsidRDefault="008F15F1" w:rsidP="008F15F1">
      <w:pPr>
        <w:rPr>
          <w:rFonts w:eastAsia="Times New Roman" w:cs="Times New Roman"/>
          <w:lang w:val="es-ES"/>
        </w:rPr>
      </w:pPr>
      <w:r w:rsidRPr="005E3D50">
        <w:rPr>
          <w:lang w:val="es-ES"/>
        </w:rPr>
        <w:t>Se informó que, en varios contextos remotos e insulares, el acceso digital básico en las zonas rurales y entre los pueblos indígenas y las comunidades locales constituye una limitación para la implementación del Marco a través de la tecnología.</w:t>
      </w:r>
    </w:p>
    <w:p w14:paraId="0112DF44" w14:textId="77777777" w:rsidR="008F15F1" w:rsidRPr="005E3D50" w:rsidRDefault="008F15F1" w:rsidP="008F15F1">
      <w:pPr>
        <w:rPr>
          <w:lang w:val="es-ES"/>
        </w:rPr>
      </w:pPr>
    </w:p>
    <w:p w14:paraId="4C0BF5A4" w14:textId="77777777" w:rsidR="008F15F1" w:rsidRPr="005E3D50" w:rsidRDefault="008F15F1" w:rsidP="008F15F1">
      <w:pPr>
        <w:keepNext/>
        <w:keepLines/>
        <w:spacing w:before="80" w:after="40"/>
        <w:outlineLvl w:val="3"/>
        <w:rPr>
          <w:rFonts w:eastAsiaTheme="majorEastAsia" w:cstheme="majorBidi"/>
          <w:i/>
          <w:iCs/>
          <w:lang w:val="es-ES"/>
        </w:rPr>
      </w:pPr>
      <w:bookmarkStart w:id="642" w:name="_Toc239069232"/>
      <w:bookmarkStart w:id="643" w:name="_Toc61411933"/>
      <w:bookmarkStart w:id="644" w:name="_Toc242883010"/>
      <w:r w:rsidRPr="005E3D50">
        <w:rPr>
          <w:rFonts w:eastAsiaTheme="majorEastAsia" w:cstheme="majorBidi"/>
          <w:i/>
          <w:iCs/>
          <w:color w:val="0F4761" w:themeColor="accent1" w:themeShade="BF"/>
          <w:lang w:val="es-ES"/>
        </w:rPr>
        <w:t>Panorama general de las necesidades relacionadas con los medios de implementación</w:t>
      </w:r>
      <w:bookmarkEnd w:id="642"/>
      <w:bookmarkEnd w:id="643"/>
      <w:bookmarkEnd w:id="644"/>
    </w:p>
    <w:p w14:paraId="01DB686E" w14:textId="77777777" w:rsidR="008F15F1" w:rsidRPr="005E3D50" w:rsidRDefault="008F15F1" w:rsidP="008F15F1">
      <w:pPr>
        <w:rPr>
          <w:lang w:val="es-ES"/>
        </w:rPr>
      </w:pPr>
    </w:p>
    <w:p w14:paraId="5941E65A" w14:textId="77777777" w:rsidR="008F15F1" w:rsidRPr="005E3D50" w:rsidRDefault="008F15F1" w:rsidP="008F15F1">
      <w:pPr>
        <w:rPr>
          <w:lang w:val="es-ES"/>
        </w:rPr>
      </w:pPr>
      <w:r w:rsidRPr="005E3D50">
        <w:rPr>
          <w:lang w:val="es-ES"/>
        </w:rPr>
        <w:t xml:space="preserve">Cinco limitaciones se repiten de manera recurrente en las necesidades que se describieron anteriormente: financiación inadecuada, capacidad institucional y de </w:t>
      </w:r>
      <w:r w:rsidRPr="005E3D50">
        <w:rPr>
          <w:lang w:val="es-ES"/>
        </w:rPr>
        <w:lastRenderedPageBreak/>
        <w:t>recursos humanos insuficiente, gobernanza y coordinación fragmentadas, sistemas de seguimiento y datos deficientes y marcos jurídicos incompletos o que no se aplican. Esas limitaciones se informan en relación con casi todas las metas examinadas y son transversales a los cuatro componentes de los medios de implementación.</w:t>
      </w:r>
    </w:p>
    <w:p w14:paraId="502EF2D9" w14:textId="77777777" w:rsidR="008F15F1" w:rsidRPr="005E3D50" w:rsidRDefault="008F15F1" w:rsidP="008F15F1">
      <w:pPr>
        <w:rPr>
          <w:lang w:val="es-ES"/>
        </w:rPr>
      </w:pPr>
      <w:r w:rsidRPr="005E3D50">
        <w:rPr>
          <w:lang w:val="es-ES"/>
        </w:rPr>
        <w:t>Además, las limitaciones están interconectadas. Los déficits de financiación pueden limitar la capacidad para fortalecer las instituciones, mientras que las debilidades institucionales pueden reducir la capacidad de las Partes para acceder a la financiación disponible. Asimismo, los sistemas de seguimiento parciales debilitan la base empírica necesaria para las decisiones en materia de políticas, por lo que es poco probable que las respuestas aisladas permitan desbloquear la implementación a gran escala. Un apoyo eficaz para la implementación del Marco requiere intervenciones que reconozcan estas interdependencias.</w:t>
      </w:r>
    </w:p>
    <w:p w14:paraId="34274BBF" w14:textId="77777777" w:rsidR="008F15F1" w:rsidRPr="005E3D50" w:rsidRDefault="008F15F1" w:rsidP="008F15F1">
      <w:pPr>
        <w:keepNext/>
        <w:keepLines/>
        <w:spacing w:before="160" w:after="80"/>
        <w:outlineLvl w:val="2"/>
        <w:rPr>
          <w:rFonts w:eastAsia="Times New Roman" w:cstheme="majorBidi"/>
          <w:color w:val="0F4761" w:themeColor="accent1" w:themeShade="BF"/>
          <w:sz w:val="28"/>
          <w:szCs w:val="28"/>
          <w:lang w:val="es-ES"/>
        </w:rPr>
      </w:pPr>
    </w:p>
    <w:p w14:paraId="62919ADA" w14:textId="77777777" w:rsidR="008F15F1" w:rsidRPr="005E3D50" w:rsidRDefault="008F15F1" w:rsidP="008F15F1">
      <w:pPr>
        <w:keepNext/>
        <w:keepLines/>
        <w:spacing w:before="160" w:after="80"/>
        <w:outlineLvl w:val="2"/>
        <w:rPr>
          <w:rFonts w:eastAsiaTheme="majorEastAsia" w:cstheme="majorBidi"/>
          <w:lang w:val="es-ES"/>
        </w:rPr>
      </w:pPr>
      <w:bookmarkStart w:id="645" w:name="_Toc235521201"/>
      <w:bookmarkStart w:id="646" w:name="_Ref236147307"/>
      <w:bookmarkStart w:id="647" w:name="_Toc239069233"/>
      <w:bookmarkStart w:id="648" w:name="_Toc716146892"/>
      <w:bookmarkStart w:id="649" w:name="_Toc242883011"/>
      <w:r w:rsidRPr="005E3D50">
        <w:rPr>
          <w:rFonts w:eastAsiaTheme="majorEastAsia" w:cstheme="majorBidi"/>
          <w:color w:val="0F4761" w:themeColor="accent1" w:themeShade="BF"/>
          <w:sz w:val="28"/>
          <w:szCs w:val="28"/>
          <w:lang w:val="es-ES"/>
        </w:rPr>
        <w:t>Análisis de la provisión de los medios de implementación</w:t>
      </w:r>
      <w:bookmarkEnd w:id="645"/>
      <w:bookmarkEnd w:id="646"/>
      <w:bookmarkEnd w:id="647"/>
      <w:bookmarkEnd w:id="648"/>
      <w:bookmarkEnd w:id="649"/>
    </w:p>
    <w:p w14:paraId="06EE8D71" w14:textId="77777777" w:rsidR="008F15F1" w:rsidRPr="005E3D50" w:rsidRDefault="008F15F1" w:rsidP="008F15F1">
      <w:pPr>
        <w:spacing w:before="240" w:after="240"/>
        <w:rPr>
          <w:rFonts w:eastAsia="Times New Roman" w:cs="Times New Roman"/>
          <w:lang w:val="es-ES"/>
        </w:rPr>
      </w:pPr>
      <w:r w:rsidRPr="005E3D50">
        <w:rPr>
          <w:lang w:val="es-ES"/>
        </w:rPr>
        <w:t>El análisis de la provisión de los medios de implementación en el informe mundial se organiza en torno a sus cuatro componentes: recursos financieros, capacidad, cooperación científica y técnica y acceso a la tecnología y su transferencia. El análisis se ve limitado por las diferencias en cuanto a la profundidad, el nivel de detalle y la metodología de los informes.</w:t>
      </w:r>
    </w:p>
    <w:p w14:paraId="08B4DF47"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1DE65540"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50" w:name="_Toc239069234"/>
      <w:bookmarkStart w:id="651" w:name="_Toc545811409"/>
      <w:bookmarkStart w:id="652" w:name="_Toc242883012"/>
      <w:r w:rsidRPr="005E3D50">
        <w:rPr>
          <w:rFonts w:eastAsiaTheme="majorEastAsia" w:cstheme="majorBidi"/>
          <w:i/>
          <w:iCs/>
          <w:color w:val="0F4761" w:themeColor="accent1" w:themeShade="BF"/>
          <w:lang w:val="es-ES"/>
        </w:rPr>
        <w:t>Recursos financieros</w:t>
      </w:r>
      <w:bookmarkEnd w:id="650"/>
      <w:bookmarkEnd w:id="651"/>
      <w:bookmarkEnd w:id="652"/>
    </w:p>
    <w:p w14:paraId="28614368" w14:textId="77777777" w:rsidR="008F15F1" w:rsidRPr="005E3D50" w:rsidRDefault="008F15F1" w:rsidP="008F15F1">
      <w:pPr>
        <w:rPr>
          <w:lang w:val="es-ES"/>
        </w:rPr>
      </w:pPr>
    </w:p>
    <w:p w14:paraId="3663A760" w14:textId="77777777" w:rsidR="008F15F1" w:rsidRPr="005E3D50" w:rsidRDefault="008F15F1" w:rsidP="008F15F1">
      <w:pPr>
        <w:spacing w:after="200"/>
        <w:rPr>
          <w:lang w:val="es-ES"/>
        </w:rPr>
      </w:pPr>
      <w:r w:rsidRPr="005E3D50">
        <w:rPr>
          <w:lang w:val="es-ES"/>
        </w:rPr>
        <w:t>La provisión de recursos financieros ha mostrado una tendencia general ascendente en los últimos años. Esa tendencia se refleja en el análisis anterior de la meta 19, que indica aumentos tanto de la financiación internacional como de la financiación nacional para la biodiversidad entre las Partes cuyos informes nacionales se consideraron en el informe mundial. Si bien la tendencia es alentadora, los datos disponibles sugieren que se necesitarán nuevos aumentos, una mayor previsibilidad y un acceso más eficaz a los recursos para apoyar la plena implementación del Marco.</w:t>
      </w:r>
    </w:p>
    <w:p w14:paraId="2818E95D" w14:textId="77777777" w:rsidR="008F15F1" w:rsidRPr="005E3D50" w:rsidRDefault="008F15F1" w:rsidP="008F15F1">
      <w:pPr>
        <w:spacing w:after="200"/>
        <w:rPr>
          <w:rFonts w:eastAsia="Times New Roman" w:cs="Times New Roman"/>
          <w:lang w:val="es-ES"/>
        </w:rPr>
      </w:pPr>
      <w:r w:rsidRPr="005E3D50">
        <w:rPr>
          <w:lang w:val="es-ES"/>
        </w:rPr>
        <w:t xml:space="preserve">En la meta 19 a) del Marco se requiere que se aumente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w:t>
      </w:r>
      <w:r w:rsidRPr="005E3D50">
        <w:rPr>
          <w:lang w:val="es-ES"/>
        </w:rPr>
        <w:lastRenderedPageBreak/>
        <w:t>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 (</w:t>
      </w:r>
      <w:proofErr w:type="spellStart"/>
      <w:r w:rsidRPr="005E3D50">
        <w:rPr>
          <w:lang w:val="es-ES"/>
        </w:rPr>
        <w:t>dec</w:t>
      </w:r>
      <w:proofErr w:type="spellEnd"/>
      <w:r w:rsidRPr="005E3D50">
        <w:rPr>
          <w:lang w:val="es-ES"/>
        </w:rPr>
        <w:t>. 15/4 en CDB, 2023).</w:t>
      </w:r>
    </w:p>
    <w:p w14:paraId="5EBD664E" w14:textId="77777777" w:rsidR="008F15F1" w:rsidRPr="005E3D50" w:rsidRDefault="008F15F1" w:rsidP="008F15F1">
      <w:pPr>
        <w:spacing w:after="200"/>
        <w:rPr>
          <w:rFonts w:eastAsia="Times New Roman" w:cs="Times New Roman"/>
          <w:lang w:val="es-ES"/>
        </w:rPr>
      </w:pPr>
      <w:r w:rsidRPr="005E3D50">
        <w:rPr>
          <w:lang w:val="es-ES"/>
        </w:rPr>
        <w:t>Las Partes que presentaron datos para el indicador de cabecera D.1 (financiación pública internacional, incluida asistencia oficial para el desarrollo para la conservación y la utilización sostenible de la diversidad biológica y los ecosistemas), es decir, las Partes que son países desarrollados y las Partes que han asumido voluntariamente esas obligaciones, informaron un total acumulativo de 17.700 millones de dólares en financiación pública internacional entre 2020 y 2023, siendo el total anual más alto el que se registró en 2023, con 5.200 millones de dólares. Esa cifra debe entenderse como un mínimo, ya que puede no reflejar la variedad completa de las corrientes comprendidas en la meta 19 a). La Organización de Cooperación y Desarrollo Económicos (OCDE), cuyo análisis abarca la gama más amplia de corrientes que se mencionan en la meta 19 a), estima que la financiación internacional total para la biodiversidad ascendía a aproximadamente 16.800 millones de dólares en 2023. Ambas estimaciones se sitúan por debajo del hito de 20.000 millones de dólares incluido en la meta 19. En el análisis anterior de la meta 19 se presenta un examen más detallado. Si bien los datos disponibles sugieren que probablemente no se alcanzó el hito establecido para 2025, solo será posible realizar una evaluación definitiva una vez que se hayan informado datos completos para 2024 y 2025</w:t>
      </w:r>
      <w:r w:rsidRPr="005E3D50">
        <w:rPr>
          <w:rFonts w:eastAsia="Times New Roman" w:cs="Times New Roman"/>
          <w:vertAlign w:val="superscript"/>
          <w:lang w:val="es-ES"/>
        </w:rPr>
        <w:footnoteReference w:id="46"/>
      </w:r>
      <w:r w:rsidRPr="005E3D50">
        <w:rPr>
          <w:lang w:val="es-ES"/>
        </w:rPr>
        <w:t>.</w:t>
      </w:r>
    </w:p>
    <w:p w14:paraId="230AB027" w14:textId="77777777" w:rsidR="008F15F1" w:rsidRPr="005E3D50" w:rsidRDefault="008F15F1" w:rsidP="008F15F1">
      <w:pPr>
        <w:rPr>
          <w:lang w:val="es-ES"/>
        </w:rPr>
      </w:pPr>
      <w:r w:rsidRPr="005E3D50">
        <w:rPr>
          <w:lang w:val="es-ES"/>
        </w:rPr>
        <w:t xml:space="preserve">En consonancia con evaluaciones anteriores, la financiación nacional sigue siendo la principal fuente de financiación para las Partes. Para la mayoría de las Partes que son países en desarrollo cuyos informes nacionales se tuvieron en cuenta en el informe mundial, el gasto en biodiversidad depende de ciclos presupuestarios anuales o del apoyo de donantes basado en proyectos, y está por lo tanto sujeto a cambios en las políticas fiscales, las prioridades sectoriales o las decisiones respecto a la financiación externa. Las Partes informan que, debido a estas dificultades, existe un interés creciente en instrumentos que podrían diversificar las fuentes de financiación y reducir la dependencia de las asignaciones presupuestarias anuales o del apoyo basado en proyectos. Algunos de los instrumentos mencionados por las Partes incluyen pagos por los servicios de los </w:t>
      </w:r>
      <w:r w:rsidRPr="005E3D50">
        <w:rPr>
          <w:lang w:val="es-ES"/>
        </w:rPr>
        <w:lastRenderedPageBreak/>
        <w:t>ecosistemas, bonos verdes y azules, canjes de deuda por naturaleza y créditos de biodiversidad.</w:t>
      </w:r>
    </w:p>
    <w:p w14:paraId="6C149EA2" w14:textId="77777777" w:rsidR="008F15F1" w:rsidRPr="005E3D50" w:rsidRDefault="008F15F1" w:rsidP="008F15F1">
      <w:pPr>
        <w:spacing w:after="200"/>
        <w:rPr>
          <w:lang w:val="es-ES"/>
        </w:rPr>
      </w:pPr>
      <w:r w:rsidRPr="005E3D50">
        <w:rPr>
          <w:lang w:val="es-ES"/>
        </w:rPr>
        <w:t>El acceso a la financiación sigue siendo desigual tanto dentro de los países como entre ellos. En varios casos, la accesibilidad de los fondos constituye una dificultad relacionada con la gobernanza interna: la financiación no llega de manera constante a los gobiernos subnacionales, a los pueblos indígenas y las comunidades locales, ni a los actores directamente responsables de la gestión de las áreas protegidas.</w:t>
      </w:r>
    </w:p>
    <w:p w14:paraId="6E169E37" w14:textId="77777777" w:rsidR="008F15F1" w:rsidRPr="005E3D50" w:rsidRDefault="008F15F1" w:rsidP="008F15F1">
      <w:pPr>
        <w:spacing w:after="200"/>
        <w:rPr>
          <w:lang w:val="es-ES"/>
        </w:rPr>
      </w:pPr>
      <w:r w:rsidRPr="005E3D50">
        <w:rPr>
          <w:lang w:val="es-ES"/>
        </w:rPr>
        <w:t>La tendencia positiva más constante es la adopción de la planificación nacional de financiación de la biodiversidad, en la mayoría de los casos en el marco de la metodología de BIOFIN, con evaluaciones del gasto en biodiversidad y las necesidades e insuficiencias de financiación como base para la movilización de recursos. Esos procesos están mejorando la previsibilidad del entorno de planificación, incluso en los casos en que aún no ha mejorado la previsibilidad de los desembolsos. Los progresos siguen siendo desiguales, y los países menos adelantados y los pequeños Estados insulares en desarrollo informan a menudo que sus sistemas de financiación de la biodiversidad, incluida la presentación de informes financieros, se encuentran todavía en una etapa incipiente.</w:t>
      </w:r>
    </w:p>
    <w:p w14:paraId="74C09D70" w14:textId="77777777" w:rsidR="008F15F1" w:rsidRPr="005E3D50" w:rsidRDefault="008F15F1" w:rsidP="008F15F1">
      <w:pPr>
        <w:spacing w:after="200"/>
        <w:rPr>
          <w:lang w:val="es-ES"/>
        </w:rPr>
      </w:pPr>
      <w:r w:rsidRPr="005E3D50">
        <w:rPr>
          <w:lang w:val="es-ES"/>
        </w:rPr>
        <w:t>Se observa una falta de presentación de informes cuantitativos sobre las contribuciones del sector privado a la biodiversidad, que varias Partes han señalado como una dificultad. Cuando las Partes informan sobre la eficacia de la financiación, tienden a hacerlo a través de instrumentos específicos y estudios de caso, en lugar de mediante mediciones sistemáticas de resultados.</w:t>
      </w:r>
    </w:p>
    <w:p w14:paraId="1C64BC76" w14:textId="77777777" w:rsidR="008F15F1" w:rsidRPr="005E3D50" w:rsidRDefault="008F15F1" w:rsidP="008F15F1">
      <w:pPr>
        <w:spacing w:after="200"/>
        <w:rPr>
          <w:rFonts w:eastAsia="Times New Roman" w:cs="Times New Roman"/>
          <w:lang w:val="es-ES"/>
        </w:rPr>
      </w:pPr>
      <w:r w:rsidRPr="005E3D50">
        <w:rPr>
          <w:lang w:val="es-ES"/>
        </w:rPr>
        <w:t>Las Partes que han completado análisis del gasto documentan sistemáticamente las brechas entre las necesidades estimadas y el gasto previsto. La información proporcionada por los países menos adelantados y los pequeños Estados insulares en desarrollo es particularmente uniforme a este respecto: incluso cuando la financiación internacional ha aumentado, esta sigue siendo insuficiente en relación con la magnitud de las necesidades señaladas en las EPANB en materia de conservación, restauración y utilización sostenible.</w:t>
      </w:r>
    </w:p>
    <w:p w14:paraId="5F9ECE8F" w14:textId="77777777" w:rsidR="008F15F1" w:rsidRPr="005E3D50" w:rsidRDefault="008F15F1" w:rsidP="008F15F1">
      <w:pPr>
        <w:spacing w:after="200"/>
        <w:rPr>
          <w:rFonts w:eastAsia="Times New Roman" w:cs="Times New Roman"/>
          <w:lang w:val="es-ES"/>
        </w:rPr>
      </w:pPr>
    </w:p>
    <w:p w14:paraId="6A674007"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Incentivos, incluidos los subsidios, que son perjudiciales para la diversidad biológica e incentivos positivos</w:t>
      </w:r>
    </w:p>
    <w:p w14:paraId="161044F5" w14:textId="77777777" w:rsidR="008F15F1" w:rsidRPr="005E3D50" w:rsidRDefault="008F15F1" w:rsidP="008F15F1">
      <w:pPr>
        <w:rPr>
          <w:lang w:val="es-ES"/>
        </w:rPr>
      </w:pPr>
    </w:p>
    <w:p w14:paraId="09321A83" w14:textId="77777777" w:rsidR="008F15F1" w:rsidRPr="005E3D50" w:rsidRDefault="008F15F1" w:rsidP="008F15F1">
      <w:pPr>
        <w:spacing w:after="200"/>
        <w:rPr>
          <w:lang w:val="es-ES"/>
        </w:rPr>
      </w:pPr>
      <w:r w:rsidRPr="005E3D50">
        <w:rPr>
          <w:lang w:val="es-ES"/>
        </w:rPr>
        <w:lastRenderedPageBreak/>
        <w:t>En la meta 18, se fijó un plazo hasta 2025 para la identificación de los incentivos, incluidos los subsidios, que son perjudiciales para la diversidad biológica, y se estableció que debían eliminarse, eliminarse gradualmente o reformarse esos incentivos, así como que estos debían reducirse en al menos 500.000 millones de dólares al año para 2030. Además, en la meta se pide que se amplíen los incentivos positivos para la conservación y la utilización sostenible de la diversidad biológica. La información presentada sobre la meta 18 en los séptimos informes nacionales no proporciona una base suficiente para determinar si se alcanzó el hito establecido para 2025. Además, pocas Partes presentaron informes sobre los indicadores de cabecera pertinentes, a saber, el indicador 18.1 relativo a los incentivos positivos y el indicador 18.2 relativo al valor de los subsidios perjudiciales. En el análisis de cada una de las metas presentado anteriormente se ofrece un análisis más detallado de la meta 18.</w:t>
      </w:r>
    </w:p>
    <w:p w14:paraId="622FCD35" w14:textId="77777777" w:rsidR="008F15F1" w:rsidRPr="005E3D50" w:rsidRDefault="008F15F1" w:rsidP="008F15F1">
      <w:pPr>
        <w:spacing w:after="200"/>
        <w:rPr>
          <w:lang w:val="es-ES"/>
        </w:rPr>
      </w:pPr>
      <w:r w:rsidRPr="005E3D50">
        <w:rPr>
          <w:lang w:val="es-ES"/>
        </w:rPr>
        <w:t xml:space="preserve">En cuanto a los elementos de la meta 18 relativos a los incentivos, incluidos los subsidios, que son perjudiciales para la diversidad biológica, la información presentada por la mayoría de las Partes se encuentra en la etapa de elaboración de mapas de subsidios e identificación de sectores prioritarios para la reforma, más que en la etapa de reducciones cuantificadas o eliminaciones graduales completadas. En los casos en que las Partes han comenzado a cuantificar sus subsidios perjudiciales, las magnitudes informadas son </w:t>
      </w:r>
      <w:proofErr w:type="gramStart"/>
      <w:r w:rsidRPr="005E3D50">
        <w:rPr>
          <w:lang w:val="es-ES"/>
        </w:rPr>
        <w:t>considerables</w:t>
      </w:r>
      <w:proofErr w:type="gramEnd"/>
      <w:r w:rsidRPr="005E3D50">
        <w:rPr>
          <w:lang w:val="es-ES"/>
        </w:rPr>
        <w:t xml:space="preserve"> pero, en la mayoría de los casos, la identificación de todas las corrientes pertinentes aún está en curso. Entre los primeros ejemplos concretos de medidas adoptadas a este respecto figura la ratificación del Acuerdo de la OMC sobre Subvenciones a la Pesca, en virtud del cual se prohíben las subvenciones a la pesca ilegal, no declarada y no reglamentada, a la pesca de poblaciones sobreexplotadas y a la pesca en alta mar no reglamentada, abordándose así una de las categorías de incentivos perjudiciales más reconocidas en el plano internacional (OMC, 2022).</w:t>
      </w:r>
    </w:p>
    <w:p w14:paraId="5EE05E3E" w14:textId="77777777" w:rsidR="008F15F1" w:rsidRPr="005E3D50" w:rsidRDefault="008F15F1" w:rsidP="008F15F1">
      <w:pPr>
        <w:rPr>
          <w:lang w:val="es-ES"/>
        </w:rPr>
      </w:pPr>
      <w:r w:rsidRPr="005E3D50">
        <w:rPr>
          <w:lang w:val="es-ES"/>
        </w:rPr>
        <w:t xml:space="preserve">En cuanto al elemento de la meta 18 relativo a los incentivos positivos para la conservación y la utilización sostenible de la diversidad biológica, las Partes informan de una variedad de compromisos normativos más amplia que la variedad de medidas aplicadas. Entre los instrumentos específicos informados por las Partes que proporcionan incentivos positivos figuran los programas agroambientales, los sistemas de pagos por los servicios de los ecosistemas, los proyectos piloto exploratorios sobre créditos de biodiversidad y mercados armonizados con la biodiversidad, los instrumentos financieros verdes y vinculados a la sostenibilidad, y los programas de economía armonizada con la biodiversidad. Sin embargo, para la mayoría de las Partes que presentaron informes, las referencias a la ampliación de los incentivos positivos tendieron a centrarse en compromisos orientados al futuro más que en descripciones de instrumentos que ya se están aplicando. Varios de esos instrumentos, en particular los pagos por los servicios de </w:t>
      </w:r>
      <w:r w:rsidRPr="005E3D50">
        <w:rPr>
          <w:lang w:val="es-ES"/>
        </w:rPr>
        <w:lastRenderedPageBreak/>
        <w:t>los ecosistemas y los créditos de biodiversidad, también se mencionan en el marco de la meta 19, lo que refleja su doble función como incentivos positivos y mecanismos de movilización de recursos.</w:t>
      </w:r>
    </w:p>
    <w:p w14:paraId="608C5141"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p>
    <w:p w14:paraId="02161790" w14:textId="77777777" w:rsidR="008F15F1" w:rsidRPr="005E3D50" w:rsidRDefault="008F15F1" w:rsidP="008F15F1">
      <w:pPr>
        <w:keepNext/>
        <w:keepLines/>
        <w:spacing w:before="80" w:after="40"/>
        <w:outlineLvl w:val="4"/>
        <w:rPr>
          <w:rFonts w:eastAsiaTheme="majorEastAsia" w:cstheme="majorBidi"/>
          <w:color w:val="0F4761" w:themeColor="accent1" w:themeShade="BF"/>
          <w:lang w:val="es-ES"/>
        </w:rPr>
      </w:pPr>
      <w:r w:rsidRPr="005E3D50">
        <w:rPr>
          <w:rFonts w:eastAsiaTheme="majorEastAsia" w:cstheme="majorBidi"/>
          <w:color w:val="0F4761" w:themeColor="accent1" w:themeShade="BF"/>
          <w:lang w:val="es-ES"/>
        </w:rPr>
        <w:t>Financiación a través del Fondo para el Medio Ambiente Mundial</w:t>
      </w:r>
    </w:p>
    <w:p w14:paraId="2492A6D6" w14:textId="77777777" w:rsidR="008F15F1" w:rsidRPr="005E3D50" w:rsidRDefault="008F15F1" w:rsidP="008F15F1">
      <w:pPr>
        <w:rPr>
          <w:lang w:val="es-ES"/>
        </w:rPr>
      </w:pPr>
    </w:p>
    <w:p w14:paraId="29172A13" w14:textId="77777777" w:rsidR="008F15F1" w:rsidRPr="005E3D50" w:rsidRDefault="008F15F1" w:rsidP="008F15F1">
      <w:pPr>
        <w:spacing w:after="200"/>
        <w:rPr>
          <w:rFonts w:eastAsia="Times New Roman" w:cs="Times New Roman"/>
          <w:lang w:val="es-ES"/>
        </w:rPr>
      </w:pPr>
      <w:r w:rsidRPr="005E3D50">
        <w:rPr>
          <w:lang w:val="es-ES"/>
        </w:rPr>
        <w:t xml:space="preserve">El Fondo para el Medio Ambiente Mundial (FMAM) constituye la estructura institucional encargada del funcionamiento del mecanismo financiero del Convenio. Durante el período de 2022 a 2026, el FMAM incluyó en su programación 4.200 millones de dólares destinados a su familia de fondos de financiación nueva y adicional en apoyo del Marco, con los que se movilizaron 26.850 millones de dólares de cofinanciación, de los cuales 2.130 millones de dólares procedían del sector privado. Esa financiación está prestando apoyo a 560 proyectos en 142 países y hará una contribución importante a las metas del Marco, entre otras cosas mediante los efectos previstos en más de 1.400 millones de hectáreas de tierras y mares (meta 1), 2 millones de toneladas de desechos plásticos residuales evitados (meta 7) y beneficios para casi 40 millones de personas. Esos efectos se sumarán a la importante contribución de los proyectos que ya se están ejecutando y que han logrado resultados sustanciales en los últimos cuatro años; entre ellos cabe citar la restauración de 25 millones de hectáreas de tierras y ecosistemas (meta 2), la creación de áreas protegidas que abarcan 287 millones de hectáreas y la protección de 170 millones de hectáreas de áreas protegidas existentes sujetas a una gestión mejorada (meta 3). </w:t>
      </w:r>
    </w:p>
    <w:p w14:paraId="78B5EC92" w14:textId="77777777" w:rsidR="008F15F1" w:rsidRPr="005E3D50" w:rsidRDefault="008F15F1" w:rsidP="008F15F1">
      <w:pPr>
        <w:spacing w:after="200"/>
        <w:rPr>
          <w:lang w:val="es-ES"/>
        </w:rPr>
      </w:pPr>
      <w:r w:rsidRPr="005E3D50">
        <w:rPr>
          <w:lang w:val="es-ES"/>
        </w:rPr>
        <w:t xml:space="preserve">Mediante el rápido establecimiento y puesta en funcionamiento del Fondo para el Marco Mundial de Biodiversidad, se movilizaron 387 millones de dólares de 12 contribuyentes y se programaron 362,1 millones de dólares en 87 países, centrando la atención en el apoyo a los pequeños Estados insulares en desarrollo, los países menos adelantados y los pueblos indígenas y las comunidades locales, así como en la colaboración con instituciones financieras internacionales. </w:t>
      </w:r>
    </w:p>
    <w:p w14:paraId="76419CCA" w14:textId="77777777" w:rsidR="008F15F1" w:rsidRPr="005E3D50" w:rsidRDefault="008F15F1" w:rsidP="008F15F1">
      <w:pPr>
        <w:spacing w:after="200"/>
        <w:rPr>
          <w:lang w:val="es-ES"/>
        </w:rPr>
      </w:pPr>
      <w:r w:rsidRPr="005E3D50">
        <w:rPr>
          <w:lang w:val="es-ES"/>
        </w:rPr>
        <w:t xml:space="preserve">El FMAM respondió a la evaluación de las necesidades de financiación adoptada por la Conferencia de las Partes mediante la novena reposición del Fondo Fiduciario del FMAM. Las instituciones que participan en la reposición se han comprometido a aportar inicialmente 3.850 millones de dólares al Fondo Fiduciario del FMAM durante el período comprendido entre el 1 de julio de 2026 y el 30 de junio de 2030. Decidieron asignar el 35 % a la esfera de actividad de la biodiversidad y especificaron además que el 70 % de la programación total de la novena reposición debería contribuir a los objetivos del Convenio </w:t>
      </w:r>
      <w:r w:rsidRPr="005E3D50">
        <w:rPr>
          <w:lang w:val="es-ES"/>
        </w:rPr>
        <w:lastRenderedPageBreak/>
        <w:t>sobre la Diversidad Biológica, utilizando la metodología del marcador de Río del Comité de Asistencia para el Desarrollo de la OCDE, que hace un seguimiento de los proyectos de cualquier esfera de actividad en la que la biodiversidad sea un objetivo principal o significativo. Puede consultarse más información en el proyecto preliminar del informe del Consejo del FMAM a la 17ª reunión de la Conferencia de las Partes en el Convenio (</w:t>
      </w:r>
      <w:hyperlink r:id="rId238" w:history="1">
        <w:r w:rsidRPr="005E3D50">
          <w:rPr>
            <w:color w:val="000000" w:themeColor="text1"/>
            <w:lang w:val="es-ES"/>
          </w:rPr>
          <w:t>CBD/SBI/7/INF/13</w:t>
        </w:r>
      </w:hyperlink>
      <w:r w:rsidRPr="005E3D50">
        <w:rPr>
          <w:lang w:val="es-ES"/>
        </w:rPr>
        <w:t>).</w:t>
      </w:r>
    </w:p>
    <w:p w14:paraId="4E28E60C"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53" w:name="_Toc235521203"/>
    </w:p>
    <w:p w14:paraId="120E2D29" w14:textId="77777777" w:rsidR="008F15F1" w:rsidRPr="005E3D50" w:rsidRDefault="008F15F1" w:rsidP="008F15F1">
      <w:pPr>
        <w:keepNext/>
        <w:keepLines/>
        <w:spacing w:before="80" w:after="40"/>
        <w:outlineLvl w:val="3"/>
        <w:rPr>
          <w:rFonts w:eastAsiaTheme="majorEastAsia" w:cstheme="majorBidi"/>
          <w:i/>
          <w:iCs/>
          <w:lang w:val="es-ES"/>
        </w:rPr>
      </w:pPr>
      <w:bookmarkStart w:id="654" w:name="_Toc239069235"/>
      <w:bookmarkStart w:id="655" w:name="_Toc1150641766"/>
      <w:bookmarkStart w:id="656" w:name="_Toc242883013"/>
      <w:r w:rsidRPr="005E3D50">
        <w:rPr>
          <w:rFonts w:eastAsiaTheme="majorEastAsia" w:cstheme="majorBidi"/>
          <w:i/>
          <w:iCs/>
          <w:color w:val="0F4761" w:themeColor="accent1" w:themeShade="BF"/>
          <w:lang w:val="es-ES"/>
        </w:rPr>
        <w:t>Capacidad</w:t>
      </w:r>
      <w:bookmarkEnd w:id="653"/>
      <w:bookmarkEnd w:id="654"/>
      <w:bookmarkEnd w:id="655"/>
      <w:bookmarkEnd w:id="656"/>
    </w:p>
    <w:p w14:paraId="44E7265B" w14:textId="77777777" w:rsidR="008F15F1" w:rsidRPr="005E3D50" w:rsidRDefault="008F15F1" w:rsidP="008F15F1">
      <w:pPr>
        <w:spacing w:after="200"/>
        <w:rPr>
          <w:rFonts w:eastAsia="Times New Roman" w:cs="Times New Roman"/>
          <w:lang w:val="es-ES"/>
        </w:rPr>
      </w:pPr>
    </w:p>
    <w:p w14:paraId="72B74E31" w14:textId="77777777" w:rsidR="008F15F1" w:rsidRPr="005E3D50" w:rsidRDefault="008F15F1" w:rsidP="008F15F1">
      <w:pPr>
        <w:spacing w:after="200"/>
        <w:rPr>
          <w:lang w:val="es-ES"/>
        </w:rPr>
      </w:pPr>
      <w:r w:rsidRPr="005E3D50">
        <w:rPr>
          <w:lang w:val="es-ES"/>
        </w:rPr>
        <w:t xml:space="preserve">Las Partes informaron que las actividades de creación de capacidad se realizan cada vez más a través de la cooperación entre pares, junto con transferencias tradicionales entre donantes y beneficiarios, y describieron los programas de capacitación en curso y los programas recurrentes de cooperación internacional. Se ofreció información sobre cooperación Sur-Sur, Norte-Sur y triangular entre Partes de todos los niveles de ingresos. </w:t>
      </w:r>
    </w:p>
    <w:p w14:paraId="7D3FA588" w14:textId="77777777" w:rsidR="008F15F1" w:rsidRPr="005E3D50" w:rsidRDefault="008F15F1" w:rsidP="008F15F1">
      <w:pPr>
        <w:spacing w:after="200"/>
        <w:rPr>
          <w:lang w:val="es-ES"/>
        </w:rPr>
      </w:pPr>
      <w:r w:rsidRPr="005E3D50">
        <w:rPr>
          <w:lang w:val="es-ES"/>
        </w:rPr>
        <w:t>Las Partes han identificado algunas de las deficiencias estructurales para la creación y el desarrollo de capacidad, entre ellas el bajo nivel de inversión nacional en investigación y desarrollo como proporción del PIB, la escasez persistente de conocimientos taxonómicos especializados y la integración limitada de los resultados de la investigación en las políticas y la gestión. Muchas Partes comentaron que la infraestructura necesaria para absorber la transferencia de tecnología se encuentra en preparación y aún no está en funcionamiento.</w:t>
      </w:r>
    </w:p>
    <w:p w14:paraId="0DBE5CCD" w14:textId="77777777" w:rsidR="008F15F1" w:rsidRPr="005E3D50" w:rsidRDefault="008F15F1" w:rsidP="008F15F1">
      <w:pPr>
        <w:spacing w:after="200"/>
        <w:rPr>
          <w:lang w:val="es-ES"/>
        </w:rPr>
      </w:pPr>
      <w:r w:rsidRPr="005E3D50">
        <w:rPr>
          <w:lang w:val="es-ES"/>
        </w:rPr>
        <w:t>Como aspecto positivo, las Partes han informado que los aumentos en las publicaciones de investigación sobre biodiversidad revisadas por pares y la ampliación de los herbarios nacionales y las colecciones de bancos de genes han fomentado la capacidad.</w:t>
      </w:r>
    </w:p>
    <w:p w14:paraId="5AFAEAD4" w14:textId="77777777" w:rsidR="008F15F1" w:rsidRPr="005E3D50" w:rsidRDefault="008F15F1" w:rsidP="008F15F1">
      <w:pPr>
        <w:spacing w:after="200"/>
        <w:rPr>
          <w:rFonts w:eastAsia="Times New Roman" w:cs="Times New Roman"/>
          <w:lang w:val="es-ES"/>
        </w:rPr>
      </w:pPr>
      <w:r w:rsidRPr="005E3D50">
        <w:rPr>
          <w:lang w:val="es-ES"/>
        </w:rPr>
        <w:t>En relación con varias metas, las Partes han informado sobre la adopción o el fortalecimiento de marcos jurídicos como una forma fundamental de creación de capacidad, como lo ilustra, por ejemplo, la legislación sobre evaluaciones de impacto ambiental que exige un examen obligatorio de la biodiversidad. La mayoría de las Partes han informado sobre marcos jurídicos e institucionales fundamentados en disposiciones constitucionales, leyes ambientales nacionales y la ratificación de convenios regionales pertinentes que respaldan la participación, el acceso a información ambiental y el acceso a la justicia. Varias Partes que presentaron informes mencionaron los enfoques con perspectiva de género, la participación de los pueblos indígenas y las comunidades locales y la participación de la juventud como temas transversales prioritarios.</w:t>
      </w:r>
    </w:p>
    <w:p w14:paraId="670FB65B" w14:textId="77777777" w:rsidR="008F15F1" w:rsidRPr="005E3D50" w:rsidRDefault="008F15F1" w:rsidP="008F15F1">
      <w:pPr>
        <w:spacing w:after="200"/>
        <w:rPr>
          <w:lang w:val="es-ES"/>
        </w:rPr>
      </w:pPr>
      <w:r w:rsidRPr="005E3D50">
        <w:rPr>
          <w:lang w:val="es-ES"/>
        </w:rPr>
        <w:lastRenderedPageBreak/>
        <w:t>Sin embargo, un tema recurrente es la brecha entre esos marcos y su aplicación en la práctica. Varias Partes reconocieron explícitamente vacíos jurídicos, tales como la falta de protección jurídica especial para las personas defensoras del medio ambiente y deficiencias más generales en los marcos normativos. Varias Partes reconocieron explícitamente deficiencias relacionadas con la adopción de marcos de políticas y su aplicación en la práctica.</w:t>
      </w:r>
    </w:p>
    <w:p w14:paraId="60D3BE1D" w14:textId="77777777" w:rsidR="008F15F1" w:rsidRPr="005E3D50" w:rsidRDefault="008F15F1" w:rsidP="008F15F1">
      <w:pPr>
        <w:spacing w:after="200"/>
        <w:rPr>
          <w:lang w:val="es-ES"/>
        </w:rPr>
      </w:pPr>
      <w:r w:rsidRPr="005E3D50">
        <w:rPr>
          <w:lang w:val="es-ES"/>
        </w:rPr>
        <w:t>Si bien se informó ampliamente sobre estrategias de comunicación y campañas de sensibilización, sigue careciéndose de una medición sistemática de los resultados relacionados con el comportamiento y la toma de decisiones. Se informa que se están llevando a la práctica actividades de educación ambiental en muchas Partes.</w:t>
      </w:r>
    </w:p>
    <w:p w14:paraId="36313E72" w14:textId="77777777" w:rsidR="008F15F1" w:rsidRPr="005E3D50" w:rsidRDefault="008F15F1" w:rsidP="008F15F1">
      <w:pPr>
        <w:spacing w:after="200"/>
        <w:rPr>
          <w:lang w:val="es-ES"/>
        </w:rPr>
      </w:pPr>
      <w:r w:rsidRPr="005E3D50">
        <w:rPr>
          <w:lang w:val="es-ES"/>
        </w:rPr>
        <w:t>Varias Partes están reforzando su compromiso con la igualdad de género en el contexto de la biodiversidad y la gestión ambiental. Algunos de los enfoques empleados incluyen la elaboración de estrategias nacionales que vinculan la igualdad de género con la gobernanza de la biodiversidad, el establecimiento de cuotas obligatorias para garantizar la participación de las mujeres en la capacitación en temas ambientales y en funciones de liderazgo y la incorporación de criterios de género en las decisiones sobre gestión de recursos. Además, los países están apoyando a las empresas dirigidas por mujeres en los sectores ambientales, ofreciendo capacitación a los puntos focales de género especiales e invirtiendo en análisis de género para utilizarlos en la elaboración de futuros planes de acción. Sin embargo, el hecho de que la disponibilidad de datos desglosados por sexo siga siendo limitada restringe la capacidad para evaluar en qué grado esas medidas se están traduciendo en resultados mensurables para las mujeres y las niñas.</w:t>
      </w:r>
    </w:p>
    <w:p w14:paraId="1A356213" w14:textId="77777777" w:rsidR="008F15F1" w:rsidRPr="005E3D50" w:rsidRDefault="008F15F1" w:rsidP="008F15F1">
      <w:pPr>
        <w:spacing w:after="200"/>
        <w:rPr>
          <w:rFonts w:eastAsia="Times New Roman" w:cs="Times New Roman"/>
          <w:lang w:val="es-ES"/>
        </w:rPr>
      </w:pPr>
      <w:r w:rsidRPr="005E3D50">
        <w:rPr>
          <w:lang w:val="es-ES"/>
        </w:rPr>
        <w:t>En general, la información presentada sobre los resultados en materia de capacidad, en contraposición a la información sobre aportaciones, es limitada, y pocas Partes miden cuán eficaz resulta la capacitación para modificar las decisiones o el comportamiento.</w:t>
      </w:r>
    </w:p>
    <w:p w14:paraId="0D003165" w14:textId="77777777" w:rsidR="008F15F1" w:rsidRPr="005E3D50" w:rsidRDefault="008F15F1" w:rsidP="008F15F1">
      <w:pPr>
        <w:spacing w:after="200"/>
        <w:rPr>
          <w:lang w:val="es-ES"/>
        </w:rPr>
      </w:pPr>
    </w:p>
    <w:p w14:paraId="5B73B5E6"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57" w:name="_Toc235521204"/>
      <w:bookmarkStart w:id="658" w:name="_Toc239069236"/>
      <w:bookmarkStart w:id="659" w:name="_Toc1147357771"/>
      <w:bookmarkStart w:id="660" w:name="_Toc242883014"/>
      <w:r w:rsidRPr="005E3D50">
        <w:rPr>
          <w:rFonts w:eastAsiaTheme="majorEastAsia" w:cstheme="majorBidi"/>
          <w:i/>
          <w:iCs/>
          <w:color w:val="0F4761" w:themeColor="accent1" w:themeShade="BF"/>
          <w:lang w:val="es-ES"/>
        </w:rPr>
        <w:t>Cooperación científica y técnica</w:t>
      </w:r>
      <w:bookmarkEnd w:id="657"/>
      <w:bookmarkEnd w:id="658"/>
      <w:bookmarkEnd w:id="659"/>
      <w:bookmarkEnd w:id="660"/>
    </w:p>
    <w:p w14:paraId="011619F7" w14:textId="77777777" w:rsidR="008F15F1" w:rsidRPr="005E3D50" w:rsidRDefault="008F15F1" w:rsidP="008F15F1">
      <w:pPr>
        <w:rPr>
          <w:lang w:val="es-ES"/>
        </w:rPr>
      </w:pPr>
    </w:p>
    <w:p w14:paraId="47EED14D" w14:textId="279F54BB" w:rsidR="008F15F1" w:rsidRPr="005E3D50" w:rsidRDefault="008F15F1" w:rsidP="008F15F1">
      <w:pPr>
        <w:spacing w:after="200"/>
        <w:rPr>
          <w:lang w:val="es-ES"/>
        </w:rPr>
      </w:pPr>
      <w:r w:rsidRPr="005E3D50">
        <w:rPr>
          <w:lang w:val="es-ES"/>
        </w:rPr>
        <w:t>Mediante decisiones de la Conferencia de las Partes, se ha establecido un mecanismo formal de cooperación científica y técnica para apoyar la implementación del Marco. El mecanismo comprende centros regionales y subregionales de apoyo a la cooperación científica y técnica y se sustenta en una entidad de coordinación mundial (</w:t>
      </w:r>
      <w:proofErr w:type="spellStart"/>
      <w:r w:rsidRPr="005E3D50">
        <w:rPr>
          <w:lang w:val="es-ES"/>
        </w:rPr>
        <w:t>dec</w:t>
      </w:r>
      <w:proofErr w:type="spellEnd"/>
      <w:r w:rsidRPr="005E3D50">
        <w:rPr>
          <w:lang w:val="es-ES"/>
        </w:rPr>
        <w:t xml:space="preserve">. 15/8 en CDB, 2023; y </w:t>
      </w:r>
      <w:proofErr w:type="spellStart"/>
      <w:r w:rsidRPr="005E3D50">
        <w:rPr>
          <w:lang w:val="es-ES"/>
        </w:rPr>
        <w:t>dec</w:t>
      </w:r>
      <w:proofErr w:type="spellEnd"/>
      <w:r w:rsidRPr="005E3D50">
        <w:rPr>
          <w:lang w:val="es-ES"/>
        </w:rPr>
        <w:t xml:space="preserve">. 16/3 en CDB, 2026). </w:t>
      </w:r>
    </w:p>
    <w:p w14:paraId="2FE05622" w14:textId="77777777" w:rsidR="008F15F1" w:rsidRPr="005E3D50" w:rsidRDefault="008F15F1" w:rsidP="008F15F1">
      <w:pPr>
        <w:spacing w:after="200"/>
        <w:rPr>
          <w:lang w:val="es-ES"/>
        </w:rPr>
      </w:pPr>
      <w:r w:rsidRPr="005E3D50">
        <w:rPr>
          <w:lang w:val="es-ES"/>
        </w:rPr>
        <w:lastRenderedPageBreak/>
        <w:t>La previsibilidad de la provisión de datos está mejorando entre las Partes, y varias de ellas están estableciendo, actualizando o formalizando sistemas nacionales de información sobre biodiversidad y portales de datos. Cuando existen sistemas, estos suelen estar relacionados con mandatos institucionales permanentes.</w:t>
      </w:r>
    </w:p>
    <w:p w14:paraId="4C552F84" w14:textId="77777777" w:rsidR="008F15F1" w:rsidRPr="005E3D50" w:rsidRDefault="008F15F1" w:rsidP="008F15F1">
      <w:pPr>
        <w:spacing w:after="200"/>
        <w:rPr>
          <w:lang w:val="es-ES"/>
        </w:rPr>
      </w:pPr>
      <w:r w:rsidRPr="005E3D50">
        <w:rPr>
          <w:lang w:val="es-ES"/>
        </w:rPr>
        <w:t xml:space="preserve">Algunas Partes han informado de un incremento de la productividad de la investigación, con aumentos en las publicaciones científicas, los descubrimientos de especies y las iniciativas de investigación colaborativa que incluyen alianzas con instituciones internacionales. Unas pocas Partes han mencionado que reforzaron su capacidad de investigación avanzada mediante la ampliación de redes de laboratorios equipados con tecnologías como investigación con drones y teledetección. </w:t>
      </w:r>
    </w:p>
    <w:p w14:paraId="7B0CBAA2" w14:textId="77777777" w:rsidR="008F15F1" w:rsidRPr="005E3D50" w:rsidRDefault="008F15F1" w:rsidP="008F15F1">
      <w:pPr>
        <w:spacing w:after="200"/>
        <w:rPr>
          <w:lang w:val="es-ES"/>
        </w:rPr>
      </w:pPr>
      <w:r w:rsidRPr="005E3D50">
        <w:rPr>
          <w:lang w:val="es-ES"/>
        </w:rPr>
        <w:t>Según informan algunas Partes, ha mejorado la accesibilidad de los datos sobre biodiversidad. Las plataformas de ciencia ciudadana y los sistemas abiertos de datos sobre biodiversidad brindan cada vez más apoyo complementario al seguimiento, incluso a través de nodos de la GBIF y del Sistema de Información sobre la Biodiversidad del Océano (OBIS), así como de la Red de Observación de la Diversidad Biológica del Grupo de Observaciones de la Tierra (GEO BON) (véase también el resumen anterior de la meta 21).</w:t>
      </w:r>
    </w:p>
    <w:p w14:paraId="3260D755" w14:textId="77777777" w:rsidR="008F15F1" w:rsidRPr="005E3D50" w:rsidRDefault="008F15F1" w:rsidP="008F15F1">
      <w:pPr>
        <w:spacing w:after="200"/>
        <w:rPr>
          <w:lang w:val="es-ES"/>
        </w:rPr>
      </w:pPr>
      <w:r w:rsidRPr="005E3D50">
        <w:rPr>
          <w:lang w:val="es-ES"/>
        </w:rPr>
        <w:t xml:space="preserve">Varias Partes han mencionado que la cooperación técnica internacional las ha ayudado a promover la capacidad de conservación e investigación en materia de biodiversidad. Las alianzas Norte-Sur están facilitando la transferencia de conocimientos a través de iniciativas multilaterales centradas en desafíos ambientales relacionados, por ejemplo, con la degradación de las tierras y los ecosistemas de agua dulce, así como a través de programas específicos de creación de capacidad que se están ejecutando en varios países. Los intercambios Sur-Sur revisten igual importancia, ya que permiten a las Partes compartir experiencias y conocimientos pertinentes adaptados a contextos ecológicos y de desarrollo similares. Esas iniciativas de colaboración se extienden a alianzas de investigación, acuerdos de transferencia de tecnología y participación en redes y bases de datos científicas mundiales. </w:t>
      </w:r>
    </w:p>
    <w:p w14:paraId="4831A2BB" w14:textId="77777777" w:rsidR="008F15F1" w:rsidRPr="005E3D50" w:rsidRDefault="008F15F1" w:rsidP="008F15F1">
      <w:pPr>
        <w:rPr>
          <w:rFonts w:eastAsia="Times New Roman" w:cs="Times New Roman"/>
          <w:i/>
          <w:iCs/>
          <w:lang w:val="es-ES"/>
        </w:rPr>
      </w:pPr>
      <w:bookmarkStart w:id="661" w:name="_Toc235521205"/>
      <w:r w:rsidRPr="005E3D50">
        <w:rPr>
          <w:lang w:val="es-ES"/>
        </w:rPr>
        <w:t xml:space="preserve">Los arreglos de cooperación entre los acuerdos ambientales multilaterales (AAM) constituyen una contribución importante a </w:t>
      </w:r>
      <w:r w:rsidRPr="005E3D50">
        <w:rPr>
          <w:i/>
          <w:lang w:val="es-ES"/>
        </w:rPr>
        <w:t>la provisión de medios de implementación, como se detalla en la sección II.E más adelante</w:t>
      </w:r>
      <w:r w:rsidRPr="005E3D50">
        <w:rPr>
          <w:lang w:val="es-ES"/>
        </w:rPr>
        <w:t>.</w:t>
      </w:r>
      <w:r w:rsidRPr="005E3D50">
        <w:rPr>
          <w:i/>
          <w:lang w:val="es-ES"/>
        </w:rPr>
        <w:t xml:space="preserve"> Por ejemplo, el sexto plan de trabajo conjunto del Convenio sobre la Diversidad Biológica y la Convención sobre los Humedales de Importancia Internacional especialmente como Hábitat de Aves Acuáticas (2024-2030) incluye una esfera de actividad dedicada a la aplicación y el seguimiento y la provisión de orientación técnica relativa a la incorporación de los humedales en las EPANB en cada una de las 23 metas del Marco. El Plan de acción estratégica de Hangzhou para el Programa </w:t>
      </w:r>
      <w:r w:rsidRPr="005E3D50">
        <w:rPr>
          <w:i/>
          <w:lang w:val="es-ES"/>
        </w:rPr>
        <w:lastRenderedPageBreak/>
        <w:t>sobre el Hombre y la Biosfera (MAB) de la Organización de las Naciones Unidas para la Educación, la Ciencia y la Cultura y su Red Mundial de Reservas de Biosfera (2026-2035), que incluye la meta de que todas las reservas de biosfera hayan identificado para 2028 sus contribuciones al Marco, ilustra cómo se está canalizando cooperación técnica en apoyo de la implementación en el plano nacional a través de programas de las Naciones Unidas de larga data.</w:t>
      </w:r>
    </w:p>
    <w:p w14:paraId="333CCB62" w14:textId="77777777" w:rsidR="008F15F1" w:rsidRPr="005E3D50" w:rsidRDefault="008F15F1" w:rsidP="008F15F1">
      <w:pPr>
        <w:keepNext/>
        <w:keepLines/>
        <w:spacing w:before="80" w:after="40"/>
        <w:outlineLvl w:val="3"/>
        <w:rPr>
          <w:rFonts w:eastAsia="Times New Roman" w:cs="Times New Roman"/>
          <w:lang w:val="es-ES"/>
        </w:rPr>
      </w:pPr>
    </w:p>
    <w:p w14:paraId="3E533436"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662" w:name="_Toc239069237"/>
      <w:bookmarkStart w:id="663" w:name="_Toc1964995961"/>
      <w:bookmarkStart w:id="664" w:name="_Toc242883015"/>
      <w:r w:rsidRPr="005E3D50">
        <w:rPr>
          <w:rFonts w:eastAsiaTheme="majorEastAsia" w:cstheme="majorBidi"/>
          <w:i/>
          <w:iCs/>
          <w:color w:val="0F4761" w:themeColor="accent1" w:themeShade="BF"/>
          <w:lang w:val="es-ES"/>
        </w:rPr>
        <w:t>Acceso a la tecnología y su transferencia</w:t>
      </w:r>
      <w:bookmarkEnd w:id="661"/>
      <w:bookmarkEnd w:id="662"/>
      <w:bookmarkEnd w:id="663"/>
      <w:bookmarkEnd w:id="664"/>
      <w:r w:rsidRPr="005E3D50">
        <w:rPr>
          <w:rFonts w:eastAsiaTheme="majorEastAsia" w:cstheme="majorBidi"/>
          <w:i/>
          <w:iCs/>
          <w:color w:val="0F4761" w:themeColor="accent1" w:themeShade="BF"/>
          <w:lang w:val="es-ES"/>
        </w:rPr>
        <w:t xml:space="preserve"> </w:t>
      </w:r>
    </w:p>
    <w:p w14:paraId="1906CBA5" w14:textId="77777777" w:rsidR="008F15F1" w:rsidRPr="005E3D50" w:rsidRDefault="008F15F1" w:rsidP="008F15F1">
      <w:pPr>
        <w:spacing w:after="200"/>
        <w:rPr>
          <w:rFonts w:ascii="Aptos" w:eastAsia="Aptos" w:hAnsi="Aptos" w:cs="Aptos"/>
          <w:lang w:val="es-ES"/>
        </w:rPr>
      </w:pPr>
    </w:p>
    <w:p w14:paraId="34BF2C1E" w14:textId="77777777" w:rsidR="008F15F1" w:rsidRPr="005E3D50" w:rsidRDefault="008F15F1" w:rsidP="008F15F1">
      <w:pPr>
        <w:spacing w:after="200"/>
        <w:rPr>
          <w:rFonts w:ascii="Aptos" w:eastAsia="Aptos" w:hAnsi="Aptos" w:cs="Aptos"/>
          <w:lang w:val="es-ES"/>
        </w:rPr>
      </w:pPr>
      <w:bookmarkStart w:id="665" w:name="_Toc235521206"/>
      <w:r w:rsidRPr="005E3D50">
        <w:rPr>
          <w:rFonts w:ascii="Aptos" w:hAnsi="Aptos"/>
          <w:lang w:val="es-ES"/>
        </w:rPr>
        <w:t xml:space="preserve">Las Partes han informado de inversiones en sistemas tecnológicos para apoyar el seguimiento, la gestión y el cumplimiento en materia de biodiversidad. Se han logrado progresos en la transferencia de tecnología para el seguimiento de la biodiversidad, con marcos de seguimiento integrados que combinan teledetección mediante imágenes satelitales y vigilancia con drones, recopilación de datos sobre el terreno y SIG para permitir el seguimiento en tiempo real en diversos hábitats terrestres y de aguas continentales, así como en ecosistemas marinos y costeros. Las tecnologías moleculares y genómicas, entre ellas los códigos de barras de ADN y el análisis del ADN ambiental, están mejorando las capacidades de identificación y descubrimiento de especies. La creciente disponibilidad de herramientas eficaces en función del costo está reduciendo aún más el costo unitario de la generación de datos para algunas de esas aplicaciones. Paralelamente, unas pocas Partes están estableciendo infraestructura digital para aplicar marcos de acceso y participación en los beneficios, incluidos sistemas de seguimiento, puntos de verificación nacionales y acuerdos comunitarios de participación en los beneficios armonizados con los protocolos internacionales. Algunas Partes han informado sobre la modernización de los sistemas de información sobre biodiversidad mediante inversiones en plataformas geoespaciales, mecanismos de intercambio de información y sistemas digitales de indicadores que facilitan el intercambio de datos y la toma de decisiones basada en datos empíricos. Si bien ha habido avances en la provisión de medios de implementación en este contexto, las Partes indican que la transferencia de tecnología para el seguimiento es una prioridad continua que debe reforzarse aún más, en consonancia con las necesidades tecnológicas informadas. </w:t>
      </w:r>
    </w:p>
    <w:p w14:paraId="250C5710"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6574C452"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66" w:name="_Toc239069238"/>
      <w:bookmarkStart w:id="667" w:name="_Toc1702187559"/>
      <w:bookmarkStart w:id="668" w:name="_Toc242883016"/>
      <w:r w:rsidRPr="005E3D50">
        <w:rPr>
          <w:rFonts w:eastAsiaTheme="majorEastAsia" w:cstheme="majorBidi"/>
          <w:i/>
          <w:iCs/>
          <w:color w:val="0F4761" w:themeColor="accent1" w:themeShade="BF"/>
          <w:lang w:val="es-ES"/>
        </w:rPr>
        <w:t>Observaciones finales</w:t>
      </w:r>
      <w:bookmarkEnd w:id="665"/>
      <w:bookmarkEnd w:id="666"/>
      <w:bookmarkEnd w:id="667"/>
      <w:bookmarkEnd w:id="668"/>
    </w:p>
    <w:p w14:paraId="4B9C70E1" w14:textId="77777777" w:rsidR="008F15F1" w:rsidRPr="005E3D50" w:rsidRDefault="008F15F1" w:rsidP="008F15F1">
      <w:pPr>
        <w:rPr>
          <w:lang w:val="es-ES"/>
        </w:rPr>
      </w:pPr>
    </w:p>
    <w:p w14:paraId="4BA34194" w14:textId="77777777" w:rsidR="008F15F1" w:rsidRPr="005E3D50" w:rsidRDefault="008F15F1" w:rsidP="008F15F1">
      <w:pPr>
        <w:spacing w:after="200"/>
        <w:rPr>
          <w:lang w:val="es-ES"/>
        </w:rPr>
      </w:pPr>
      <w:r w:rsidRPr="005E3D50">
        <w:rPr>
          <w:lang w:val="es-ES"/>
        </w:rPr>
        <w:lastRenderedPageBreak/>
        <w:t xml:space="preserve">La provisión de medios de implementación no solo depende del lado de la oferta, sino también de la capacidad de las instituciones receptoras. La preparación institucional —incluida la existencia de unidades especiales, personal cualificado y procedimientos operativos estándar para recibir y desplegar recursos— varía considerablemente, especialmente en los países en desarrollo y los países menos adelantados. La accesibilidad de los procedimientos de los instrumentos multilaterales sigue figurando entre las limitaciones informadas, en particular para las Partes que requieren apoyo adicional para reforzar su propia capacidad para preparar proyectos. Los requisitos de cofinanciación pueden limitar el acceso de los actores que no cuentan con recursos nacionales suficientes para aportar fondos de contraparte. Además, el corto plazo de algunos instrumentos de financiación puede no ajustarse bien a la índole de las inversiones en conservación, que son a largo plazo. </w:t>
      </w:r>
    </w:p>
    <w:p w14:paraId="51179C70" w14:textId="77777777" w:rsidR="008F15F1" w:rsidRPr="005E3D50" w:rsidRDefault="008F15F1" w:rsidP="008F15F1">
      <w:pPr>
        <w:spacing w:after="200"/>
        <w:rPr>
          <w:lang w:val="es-ES"/>
        </w:rPr>
      </w:pPr>
      <w:r w:rsidRPr="005E3D50">
        <w:rPr>
          <w:lang w:val="es-ES"/>
        </w:rPr>
        <w:t xml:space="preserve">Varias Partes, en particular Partes que son países desarrollados, informan que están mejorando la implementación organizando sus instituciones de manera que puedan abordar conjuntamente objetivos ambientales relacionados. Los arreglos incluyen comités de coordinación interministerial, sistemas de seguimiento compartidos que respaldan la presentación de informes ante varios convenios, y mecanismos para fomentar la coherencia entre las políticas que vinculan la acción en materia de biodiversidad con el clima, la degradación de las tierras, los humedales y la gobernanza ambiental más amplia. Algunas Partes que son países en desarrollo han mencionado el Fondo de Adaptación de la Convención Marco de las Naciones Unidas sobre el Cambio Climático como un canal de cofinanciación para las soluciones basadas en la naturaleza. Las Partes reconocen que las oportunidades futuras incluyen el fortalecimiento de esas sinergias mediante la armonización de los indicadores y los flujos de presentación de informes, de modo que los datos ya recopilados puedan ser utilizados para varios convenios. Además, cuando los resultados se superponen, los instrumentos financieros pueden diseñarse de manera que aborden más de un conjunto de compromisos. </w:t>
      </w:r>
    </w:p>
    <w:p w14:paraId="11D94E15"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p>
    <w:p w14:paraId="5895237D" w14:textId="77777777" w:rsidR="008F15F1" w:rsidRPr="005E3D50" w:rsidRDefault="008F15F1" w:rsidP="008F15F1">
      <w:pPr>
        <w:keepNext/>
        <w:keepLines/>
        <w:spacing w:before="160" w:after="80"/>
        <w:outlineLvl w:val="2"/>
        <w:rPr>
          <w:rFonts w:ascii="Aptos" w:eastAsia="Aptos" w:hAnsi="Aptos" w:cs="Aptos"/>
          <w:color w:val="008080"/>
          <w:u w:val="single"/>
          <w:lang w:val="es-ES"/>
        </w:rPr>
      </w:pPr>
      <w:bookmarkStart w:id="669" w:name="_Toc235521207"/>
      <w:bookmarkStart w:id="670" w:name="_Ref236133068"/>
      <w:bookmarkStart w:id="671" w:name="_Toc239069239"/>
      <w:bookmarkStart w:id="672" w:name="_Toc48468068"/>
      <w:bookmarkStart w:id="673" w:name="_Toc242883017"/>
      <w:r w:rsidRPr="005E3D50">
        <w:rPr>
          <w:rFonts w:eastAsiaTheme="majorEastAsia" w:cstheme="majorBidi"/>
          <w:color w:val="0F4761" w:themeColor="accent1" w:themeShade="BF"/>
          <w:sz w:val="28"/>
          <w:szCs w:val="28"/>
          <w:lang w:val="es-ES"/>
        </w:rPr>
        <w:t>Medios de implementación</w:t>
      </w:r>
      <w:bookmarkEnd w:id="669"/>
      <w:r w:rsidRPr="005E3D50">
        <w:rPr>
          <w:rFonts w:eastAsiaTheme="majorEastAsia" w:cstheme="majorBidi"/>
          <w:color w:val="0F4761" w:themeColor="accent1" w:themeShade="BF"/>
          <w:sz w:val="28"/>
          <w:szCs w:val="28"/>
          <w:lang w:val="es-ES"/>
        </w:rPr>
        <w:t xml:space="preserve"> para los pueblos indígenas y las comunidades locales, las mujeres, la juventud y otros interesados</w:t>
      </w:r>
      <w:bookmarkEnd w:id="670"/>
      <w:bookmarkEnd w:id="671"/>
      <w:bookmarkEnd w:id="672"/>
      <w:bookmarkEnd w:id="673"/>
    </w:p>
    <w:p w14:paraId="6C7F6486" w14:textId="77777777" w:rsidR="008F15F1" w:rsidRPr="005E3D50" w:rsidRDefault="008F15F1" w:rsidP="008F15F1">
      <w:pPr>
        <w:spacing w:before="80" w:after="120"/>
        <w:rPr>
          <w:rFonts w:eastAsia="Times New Roman" w:cs="Times New Roman"/>
          <w:lang w:val="es-ES"/>
        </w:rPr>
      </w:pPr>
    </w:p>
    <w:p w14:paraId="6E405B05" w14:textId="77777777" w:rsidR="008F15F1" w:rsidRPr="005E3D50" w:rsidRDefault="008F15F1" w:rsidP="008F15F1">
      <w:pPr>
        <w:spacing w:before="80" w:after="120"/>
        <w:rPr>
          <w:lang w:val="es-ES"/>
        </w:rPr>
      </w:pPr>
      <w:r w:rsidRPr="005E3D50">
        <w:rPr>
          <w:lang w:val="es-ES"/>
        </w:rPr>
        <w:t xml:space="preserve">En la presente sección del informe mundial se examinan los logros, dificultades y deficiencias relacionados con la provisión de los medios de implementación del Marco, de manera que se llegue a los pueblos indígenas y las comunidades locales, las mujeres, la juventud, los gobiernos subnacionales y locales y otros interesados. </w:t>
      </w:r>
    </w:p>
    <w:p w14:paraId="35F0AFD9" w14:textId="77777777" w:rsidR="008F15F1" w:rsidRPr="005E3D50" w:rsidRDefault="008F15F1" w:rsidP="008F15F1">
      <w:pPr>
        <w:spacing w:before="80" w:after="120"/>
        <w:rPr>
          <w:lang w:val="es-ES"/>
        </w:rPr>
      </w:pPr>
      <w:r w:rsidRPr="005E3D50">
        <w:rPr>
          <w:lang w:val="es-ES"/>
        </w:rPr>
        <w:lastRenderedPageBreak/>
        <w:t xml:space="preserve">En la actualidad, la mayoría de las Partes reconocen ampliamente las contribuciones de esos actores al Marco. En el Objetivo D y en las metas 22 y 23 se mencionan explícitamente la participación, los derechos y la implementación con perspectiva de género como condiciones para el cumplimiento, mientras que en la meta 19 f) se reconocen las acciones colectivas de los pueblos indígenas y las comunidades locales como una corriente diferenciada de movilización de recursos. </w:t>
      </w:r>
      <w:r w:rsidRPr="005E3D50">
        <w:rPr>
          <w:rFonts w:ascii="Aptos" w:hAnsi="Aptos"/>
          <w:lang w:val="es-ES"/>
        </w:rPr>
        <w:t xml:space="preserve">La sección C del Marco, en la que se establecen las consideraciones para su implementación, refuerza además ese reconocimiento mediante un enfoque de toda la sociedad y hace hincapié en la participación plena y efectiva de los pueblos indígenas y las comunidades locales, las mujeres y la juventud y la equidad intergeneracional. </w:t>
      </w:r>
      <w:r w:rsidRPr="005E3D50">
        <w:rPr>
          <w:lang w:val="es-ES"/>
        </w:rPr>
        <w:t>El Órgano Subsidiario sobre el Artículo 8 j) y Otras Disposiciones del Convenio sobre la Diversidad Biológica Relativas a los Pueblos Indígenas y las Comunidades Locales, establecido por la Conferencia de las Partes en el Convenio mediante su decisión 16/5, ha proporcionado asesoramiento y aportaciones sobre los conocimientos tradicionales, innovaciones y prácticas de los pueblos indígenas y las comunidades locales para que fueran considerados en la preparación del informe mundial. En la recomendación adoptada por el Órgano Subsidiario (</w:t>
      </w:r>
      <w:proofErr w:type="spellStart"/>
      <w:r w:rsidRPr="005E3D50">
        <w:rPr>
          <w:lang w:val="es-ES"/>
        </w:rPr>
        <w:t>rec.</w:t>
      </w:r>
      <w:proofErr w:type="spellEnd"/>
      <w:r w:rsidRPr="005E3D50">
        <w:rPr>
          <w:lang w:val="es-ES"/>
        </w:rPr>
        <w:t xml:space="preserve"> 1/5, en CDB, 2025b)</w:t>
      </w:r>
      <w:bookmarkStart w:id="674" w:name="_Toc235521208"/>
      <w:r w:rsidRPr="005E3D50">
        <w:rPr>
          <w:lang w:val="es-ES"/>
        </w:rPr>
        <w:t>, se destacó la necesidad de apoyar la participación de los pueblos indígenas y las comunidades locales, incluidas las mujeres y la juventud entre ellos, en los informes nacionales y en el informe mundial, entre otras cosas proporcionando creación de capacidad y apoyo financiero y técnico.</w:t>
      </w:r>
    </w:p>
    <w:p w14:paraId="6D96FA5C" w14:textId="77777777" w:rsidR="008F15F1" w:rsidRPr="005E3D50" w:rsidRDefault="008F15F1" w:rsidP="008F15F1">
      <w:pPr>
        <w:spacing w:before="80" w:after="120"/>
        <w:rPr>
          <w:lang w:val="es-ES"/>
        </w:rPr>
      </w:pPr>
      <w:r w:rsidRPr="005E3D50">
        <w:rPr>
          <w:lang w:val="es-ES"/>
        </w:rPr>
        <w:t>Sin embargo, las comunicaciones examinadas para este informe indican que los mecanismos de apoyo que llegan a esos actores siguen siendo desiguales y que, en muchos casos, los datos empíricos sobre los flujos de esos mecanismos están de por sí incompletos.</w:t>
      </w:r>
    </w:p>
    <w:p w14:paraId="540F9627" w14:textId="77777777" w:rsidR="008F15F1" w:rsidRPr="005E3D50" w:rsidRDefault="008F15F1" w:rsidP="008F15F1">
      <w:pPr>
        <w:spacing w:before="80" w:after="120"/>
        <w:rPr>
          <w:rFonts w:eastAsia="Times New Roman"/>
          <w:lang w:val="es-ES"/>
        </w:rPr>
      </w:pPr>
    </w:p>
    <w:p w14:paraId="75004462"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75" w:name="_Toc239069240"/>
      <w:bookmarkStart w:id="676" w:name="_Toc515641224"/>
      <w:bookmarkStart w:id="677" w:name="_Toc242883018"/>
      <w:r w:rsidRPr="005E3D50">
        <w:rPr>
          <w:rFonts w:eastAsiaTheme="majorEastAsia" w:cstheme="majorBidi"/>
          <w:i/>
          <w:iCs/>
          <w:color w:val="0F4761" w:themeColor="accent1" w:themeShade="BF"/>
          <w:lang w:val="es-ES"/>
        </w:rPr>
        <w:t>Recursos financieros</w:t>
      </w:r>
      <w:bookmarkEnd w:id="674"/>
      <w:bookmarkEnd w:id="675"/>
      <w:bookmarkEnd w:id="676"/>
      <w:bookmarkEnd w:id="677"/>
    </w:p>
    <w:p w14:paraId="264C6B39" w14:textId="77777777" w:rsidR="008F15F1" w:rsidRPr="005E3D50" w:rsidRDefault="008F15F1" w:rsidP="008F15F1">
      <w:pPr>
        <w:spacing w:before="80" w:after="120"/>
        <w:rPr>
          <w:rFonts w:eastAsia="Times New Roman" w:cs="Times New Roman"/>
          <w:lang w:val="es-ES"/>
        </w:rPr>
      </w:pPr>
    </w:p>
    <w:p w14:paraId="5CBA3ADA" w14:textId="77777777" w:rsidR="008F15F1" w:rsidRPr="005E3D50" w:rsidRDefault="008F15F1" w:rsidP="008F15F1">
      <w:pPr>
        <w:spacing w:before="80" w:after="120"/>
        <w:rPr>
          <w:lang w:val="es-ES"/>
        </w:rPr>
      </w:pPr>
      <w:r w:rsidRPr="005E3D50">
        <w:rPr>
          <w:lang w:val="es-ES"/>
        </w:rPr>
        <w:t>De los cuatro componentes de los medios de implementación, el ámbito de los recursos financieros es el que con mayor frecuencia se menciona en el contexto del apoyo a los actores distintos de los Gobiernos nacionales. Por otra parte, este es también el ámbito en que la brecha entre el reconocimiento y la ejecución resulta más visible. De las medidas informadas en relación con la meta 19 del Marco, solo una minoría hace referencia explícita a flujos que llegan a los pueblos indígenas y las comunidades locales, las mujeres, la juventud o los gobiernos subnacionales y locales.</w:t>
      </w:r>
    </w:p>
    <w:p w14:paraId="6F70B288" w14:textId="77777777" w:rsidR="008F15F1" w:rsidRPr="005E3D50" w:rsidRDefault="008F15F1" w:rsidP="008F15F1">
      <w:pPr>
        <w:spacing w:before="80" w:after="120"/>
        <w:rPr>
          <w:lang w:val="es-ES"/>
        </w:rPr>
      </w:pPr>
      <w:r w:rsidRPr="005E3D50">
        <w:rPr>
          <w:lang w:val="es-ES"/>
        </w:rPr>
        <w:t xml:space="preserve">Pocas Partes informan de mecanismos financieros específicos, sustanciales y previsibles para los pueblos indígenas y las comunidades locales. Con mayor frecuencia, el apoyo </w:t>
      </w:r>
      <w:r w:rsidRPr="005E3D50">
        <w:rPr>
          <w:lang w:val="es-ES"/>
        </w:rPr>
        <w:lastRenderedPageBreak/>
        <w:t xml:space="preserve">llega a esos actores de manera indirecta, por ejemplo, a través de arreglos de gestión conjunta dentro de los sistemas de áreas protegidas, fondos ambientales de disponibilidad general o proyectos financiados por donantes y ejecutados por organizaciones no gubernamentales nacionales. Las modalidades para el acceso directo a apoyo financiero por los pueblos indígenas y las comunidades locales siguen siendo poco frecuentes, y la mayoría de esos flujos se producen de manera indirecta a través de organismos nacionales o asociados en la implementación de nivel internacional. El resultado es que los plazos de desembolso, las normas relativas a la admisibilidad y las cargas de presentación de informes rara vez se adaptan a las realidades operacionales de los pueblos indígenas y las comunidades locales y las organizaciones relacionadas. La información presentada en relación con la meta 19 f) relativa a las acciones colectivas es demasiado limitada como para evaluar el volumen o la proporción de dichos flujos, y cuando se dispone de información, esta suele referirse a proyectos individuales y no reviste un carácter sistémico. </w:t>
      </w:r>
    </w:p>
    <w:p w14:paraId="517DF67A" w14:textId="77777777" w:rsidR="008F15F1" w:rsidRPr="005E3D50" w:rsidRDefault="008F15F1" w:rsidP="008F15F1">
      <w:pPr>
        <w:spacing w:before="80" w:after="120"/>
        <w:rPr>
          <w:rFonts w:eastAsia="Times New Roman" w:cs="Times New Roman"/>
          <w:lang w:val="es-ES"/>
        </w:rPr>
      </w:pPr>
    </w:p>
    <w:p w14:paraId="686595E3" w14:textId="77777777" w:rsidR="008F15F1" w:rsidRPr="005E3D50" w:rsidRDefault="008F15F1" w:rsidP="008F15F1">
      <w:pPr>
        <w:spacing w:before="80" w:after="120"/>
        <w:rPr>
          <w:lang w:val="es-ES"/>
        </w:rPr>
      </w:pPr>
      <w:r w:rsidRPr="005E3D50">
        <w:rPr>
          <w:lang w:val="es-ES"/>
        </w:rPr>
        <w:t xml:space="preserve">La información presentada sobre los recursos financieros que llegan a las mujeres como actores en relación con la biodiversidad es incluso más limitada que aquella relativa al apoyo destinado a los pueblos indígenas y las comunidades locales. Los requisitos relativos a la perspectiva de género incorporados en la financiación internacional y multilateral y en el apoyo específico a los medios de vida y las empresas de las mujeres a través de programas nacionales y proyectos financiados por donantes suelen informarse como recursos financieros que llegan a las mujeres. Si bien la presupuestación con perspectiva de género y los marcos de igualdad de género de nivel nacional han comenzado a influir en la financiación de la biodiversidad, pocas Partes los han incluido en sus informes nacionales. Varias Partes señalan que, a pesar de los progresos logrados en la presupuestación con perspectiva de género en general, esta no suele traducirse en asignaciones específicas para la biodiversidad. Una dificultad persistente se debe a que pocas Partes informan sobre financiación desglosada por sexo, por lo que sigue sin haber datos sobre la proporción del gasto nacional en biodiversidad que se canaliza a través de organizaciones dirigidas por mujeres o hacia actividades con perspectiva de género. </w:t>
      </w:r>
    </w:p>
    <w:p w14:paraId="1C341110" w14:textId="77777777" w:rsidR="008F15F1" w:rsidRPr="005E3D50" w:rsidRDefault="008F15F1" w:rsidP="008F15F1">
      <w:pPr>
        <w:spacing w:before="80" w:after="120"/>
        <w:rPr>
          <w:rFonts w:eastAsia="Times New Roman" w:cs="Times New Roman"/>
          <w:lang w:val="es-ES"/>
        </w:rPr>
      </w:pPr>
    </w:p>
    <w:p w14:paraId="147F665C" w14:textId="77777777" w:rsidR="008F15F1" w:rsidRPr="005E3D50" w:rsidRDefault="008F15F1" w:rsidP="008F15F1">
      <w:pPr>
        <w:spacing w:before="80" w:after="120"/>
        <w:rPr>
          <w:lang w:val="es-ES"/>
        </w:rPr>
      </w:pPr>
      <w:r w:rsidRPr="005E3D50">
        <w:rPr>
          <w:lang w:val="es-ES"/>
        </w:rPr>
        <w:t xml:space="preserve">El apoyo financiero dirigido específicamente a la juventud, cuando se informa, suele adoptar la forma de subvenciones para proyectos de pequeña escala administradas a través de organismos nacionales, ministerios de la juventud u organizaciones no gubernamentales dedicadas al medio ambiente, o de apoyo indirecto que incluye becas, pasantías y estipendios. Un pequeño número de Partes ha informado sobre iniciativas </w:t>
      </w:r>
      <w:r w:rsidRPr="005E3D50">
        <w:rPr>
          <w:lang w:val="es-ES"/>
        </w:rPr>
        <w:lastRenderedPageBreak/>
        <w:t>específicas dirigidas a la juventud, que incluyen apoyo a proyectos de biodiversidad dirigidos por personas jóvenes, capacitación profesional como los programas para guías de turismo en la naturaleza y la colaboración con capítulos nacionales de la Red Mundial de Jóvenes por la Biodiversidad (GYBN), aunque los compromisos financieros informados que se destinan a esas iniciativas suelen ser modestos.</w:t>
      </w:r>
      <w:r w:rsidRPr="005E3D50">
        <w:rPr>
          <w:b/>
          <w:lang w:val="es-ES"/>
        </w:rPr>
        <w:t xml:space="preserve"> </w:t>
      </w:r>
      <w:r w:rsidRPr="005E3D50">
        <w:rPr>
          <w:lang w:val="es-ES"/>
        </w:rPr>
        <w:t>Los capítulos nacionales de la GYBN y plataformas equivalentes dirigidas por la juventud están surgiendo como canales de participación, y varias Partes informan del reconocimiento formal de la participación de la juventud en la gobernanza de la biodiversidad.</w:t>
      </w:r>
      <w:r w:rsidRPr="005E3D50">
        <w:rPr>
          <w:b/>
          <w:lang w:val="es-ES"/>
        </w:rPr>
        <w:t xml:space="preserve"> </w:t>
      </w:r>
      <w:r w:rsidRPr="005E3D50">
        <w:rPr>
          <w:lang w:val="es-ES"/>
        </w:rPr>
        <w:t>Las corrientes financieras informadas suelen basarse en proyectos y estar sujetas a ciclos de financiación a corto plazo, y hay escasos datos sobre apoyo plurianual o institucional a las organizaciones juveniles.</w:t>
      </w:r>
    </w:p>
    <w:p w14:paraId="76869F33" w14:textId="77777777" w:rsidR="008F15F1" w:rsidRPr="005E3D50" w:rsidRDefault="008F15F1" w:rsidP="008F15F1">
      <w:pPr>
        <w:spacing w:before="80" w:after="120"/>
        <w:rPr>
          <w:lang w:val="es-ES"/>
        </w:rPr>
      </w:pPr>
      <w:bookmarkStart w:id="678" w:name="_Toc235521209"/>
      <w:r w:rsidRPr="005E3D50">
        <w:rPr>
          <w:lang w:val="es-ES"/>
        </w:rPr>
        <w:t xml:space="preserve">Los gobiernos subnacionales y locales se mencionan en varios informes nacionales, con referencias a la colaboración con gobiernos provinciales, estatales, regionales, municipales y locales. Un pequeño número de Partes que son países desarrollados y algunas Partes que son países en desarrollo informan de un apoyo fiscal directo de los gobiernos nacionales a los gobiernos subnacionales para la acción en materia de biodiversidad, incluidos fondos especiales de biodiversidad a los que pueden acceder los municipios, financiación de medidas relacionadas con los ecosistemas con cofinanciación de los gobiernos provinciales, y fondos específicos de restauración de la naturaleza que proporcionan recursos directamente a los presupuestos de los gobiernos locales. Unas pocas Partes que son países en desarrollo han mencionado la integración de la biodiversidad en los sistemas de planificación y presupuestación subnacionales —como lo demuestra la incorporación de medidas comunitarias de gestión de los recursos naturales, por </w:t>
      </w:r>
      <w:proofErr w:type="gramStart"/>
      <w:r w:rsidRPr="005E3D50">
        <w:rPr>
          <w:lang w:val="es-ES"/>
        </w:rPr>
        <w:t>ejemplo</w:t>
      </w:r>
      <w:proofErr w:type="gramEnd"/>
      <w:r w:rsidRPr="005E3D50">
        <w:rPr>
          <w:lang w:val="es-ES"/>
        </w:rPr>
        <w:t xml:space="preserve"> a través de OMEC, en los planes locales de desarrollo e inversión— y por la integración de consideraciones sobre biodiversidad en la reducción del riesgo de desastres a nivel municipal y la planificación territorial.</w:t>
      </w:r>
    </w:p>
    <w:p w14:paraId="2596682E" w14:textId="77777777" w:rsidR="008F15F1" w:rsidRPr="005E3D50" w:rsidRDefault="008F15F1" w:rsidP="008F15F1">
      <w:pPr>
        <w:spacing w:before="80" w:after="120"/>
        <w:rPr>
          <w:lang w:val="es-ES"/>
        </w:rPr>
      </w:pPr>
      <w:r w:rsidRPr="005E3D50">
        <w:rPr>
          <w:lang w:val="es-ES"/>
        </w:rPr>
        <w:t>Si bien en los informes nacionales se incluyen algunos ejemplos de sistemas federales y descentralizados, transferencias fiscales subnacionales y fondos subnacionales especiales que ya se han puesto en marcha, y unas pocas Partes informaron sobre la integración de la diversidad biológica en los instrumentos de planificación y presupuestación locales, en muchas comunicaciones los gobiernos subnacionales y locales figuran como asociados en la implementación más que como actores que proporcionan financiación previsible para la biodiversidad. En los informes nacionales se observa una falta generalizada de datos empíricos sobre la proporción del gasto nacional en biodiversidad que llega al nivel subnacional, incluidos los gobiernos locales.</w:t>
      </w:r>
    </w:p>
    <w:p w14:paraId="162781E8" w14:textId="77777777" w:rsidR="008F15F1" w:rsidRPr="005E3D50" w:rsidRDefault="008F15F1" w:rsidP="008F15F1">
      <w:pPr>
        <w:spacing w:before="80" w:after="120"/>
        <w:rPr>
          <w:lang w:val="es-ES"/>
        </w:rPr>
      </w:pPr>
      <w:r w:rsidRPr="005E3D50">
        <w:rPr>
          <w:lang w:val="es-ES"/>
        </w:rPr>
        <w:t xml:space="preserve">Las personas con discapacidad y </w:t>
      </w:r>
      <w:proofErr w:type="gramStart"/>
      <w:r w:rsidRPr="005E3D50">
        <w:rPr>
          <w:lang w:val="es-ES"/>
        </w:rPr>
        <w:t>los defensores y las defensoras</w:t>
      </w:r>
      <w:proofErr w:type="gramEnd"/>
      <w:r w:rsidRPr="005E3D50">
        <w:rPr>
          <w:lang w:val="es-ES"/>
        </w:rPr>
        <w:t xml:space="preserve"> del medio ambiente, que se mencionan explícitamente en la meta 22, se citan en un número mucho menor de </w:t>
      </w:r>
      <w:r w:rsidRPr="005E3D50">
        <w:rPr>
          <w:lang w:val="es-ES"/>
        </w:rPr>
        <w:lastRenderedPageBreak/>
        <w:t xml:space="preserve">medidas que los demás grupos mencionados en esa meta, y prácticamente no se ha presentado información al respecto. </w:t>
      </w:r>
    </w:p>
    <w:p w14:paraId="04AF68EB"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5858A55C" w14:textId="77777777" w:rsidR="008F15F1" w:rsidRPr="005E3D50" w:rsidRDefault="008F15F1" w:rsidP="008F15F1">
      <w:pPr>
        <w:keepNext/>
        <w:keepLines/>
        <w:spacing w:before="80" w:after="40"/>
        <w:outlineLvl w:val="3"/>
        <w:rPr>
          <w:rFonts w:eastAsiaTheme="majorEastAsia" w:cstheme="majorBidi"/>
          <w:i/>
          <w:iCs/>
          <w:lang w:val="es-ES"/>
        </w:rPr>
      </w:pPr>
      <w:bookmarkStart w:id="679" w:name="_Toc239069241"/>
      <w:bookmarkStart w:id="680" w:name="_Toc2081818844"/>
      <w:bookmarkStart w:id="681" w:name="_Toc242883019"/>
      <w:r w:rsidRPr="005E3D50">
        <w:rPr>
          <w:rFonts w:eastAsiaTheme="majorEastAsia" w:cstheme="majorBidi"/>
          <w:i/>
          <w:iCs/>
          <w:color w:val="0F4761" w:themeColor="accent1" w:themeShade="BF"/>
          <w:lang w:val="es-ES"/>
        </w:rPr>
        <w:t>Capacidad</w:t>
      </w:r>
      <w:bookmarkEnd w:id="678"/>
      <w:bookmarkEnd w:id="679"/>
      <w:bookmarkEnd w:id="680"/>
      <w:bookmarkEnd w:id="681"/>
    </w:p>
    <w:p w14:paraId="5BCC97C8" w14:textId="77777777" w:rsidR="008F15F1" w:rsidRPr="005E3D50" w:rsidRDefault="008F15F1" w:rsidP="008F15F1">
      <w:pPr>
        <w:spacing w:before="80" w:after="120"/>
        <w:rPr>
          <w:rFonts w:eastAsia="Times New Roman" w:cs="Times New Roman"/>
          <w:lang w:val="es-ES"/>
        </w:rPr>
      </w:pPr>
    </w:p>
    <w:p w14:paraId="52E7B9EF" w14:textId="77777777" w:rsidR="008F15F1" w:rsidRPr="005E3D50" w:rsidRDefault="008F15F1" w:rsidP="008F15F1">
      <w:pPr>
        <w:spacing w:before="80" w:after="120"/>
        <w:rPr>
          <w:lang w:val="es-ES"/>
        </w:rPr>
      </w:pPr>
      <w:r w:rsidRPr="005E3D50">
        <w:rPr>
          <w:lang w:val="es-ES"/>
        </w:rPr>
        <w:t xml:space="preserve">Varias Partes describen arreglos en los que los propios pueblos indígenas y las comunidades locales actúan como proveedores de capacidad, por ejemplo, mediante la gestión conjunta de las áreas las protegidas, el diseño conjunto de planes de gestión y órganos de gobernanza conjunta. Unas pocas Partes han informado sobre la institucionalización de los conocimientos tradicionales mediante programas nacionales de divulgación e iniciativas que empoderan a las mujeres y la juventud como custodios de esos conocimientos en la planificación de la conservación, lo que implica la creación de órganos de expertos independientes con representación indígena o el establecimiento de arreglos de gestión conjunta que reconocen los sistemas de conocimiento indígena y las prácticas de utilización consuetudinaria sostenible. </w:t>
      </w:r>
    </w:p>
    <w:p w14:paraId="1ED4DD58" w14:textId="77777777" w:rsidR="008F15F1" w:rsidRPr="005E3D50" w:rsidRDefault="008F15F1" w:rsidP="008F15F1">
      <w:pPr>
        <w:spacing w:before="80" w:after="120"/>
        <w:rPr>
          <w:lang w:val="es-ES"/>
        </w:rPr>
      </w:pPr>
      <w:r w:rsidRPr="005E3D50">
        <w:rPr>
          <w:lang w:val="es-ES"/>
        </w:rPr>
        <w:t>Se ha informado acerca de creación de capacidad dirigida a las mujeres en la gobernanza de la biodiversidad mediante una combinación de enfoques. Estos incluyen elaboración de estrategias nacionales que vinculan la igualdad de género con la gobernanza de la biodiversidad, establecimiento de cuotas obligatorias para garantizar la participación de las mujeres en la capacitación en temas ambientales y en funciones de liderazgo, incorporación de criterios de género en las decisiones sobre la gestión de los recursos, apoyo a las empresas dirigidas por mujeres en los sectores ambientales, capacitación de puntos focales de género específicos y las inversiones en análisis de género para orientar futuros planes de acción.</w:t>
      </w:r>
    </w:p>
    <w:p w14:paraId="673C3270" w14:textId="77777777" w:rsidR="008F15F1" w:rsidRPr="005E3D50" w:rsidRDefault="008F15F1" w:rsidP="008F15F1">
      <w:pPr>
        <w:spacing w:before="80" w:after="120"/>
        <w:rPr>
          <w:lang w:val="es-ES"/>
        </w:rPr>
      </w:pPr>
      <w:r w:rsidRPr="005E3D50">
        <w:rPr>
          <w:lang w:val="es-ES"/>
        </w:rPr>
        <w:t>Varias Partes informaron acerca de actividades de creación de capacidad dirigidas a la juventud. Un pequeño número de Partes describieron instrumentos específicos, como plataformas nacionales de educación a distancia sobre gestión ambiental y gobernanza territorial, y laboratorios vivientes ambientales dirigidos a la juventud. Muchas Partes informan sobre la integración de la alfabetización en materia de biodiversidad en los planes de estudios de las escuelas y los programas de formación docente.</w:t>
      </w:r>
    </w:p>
    <w:p w14:paraId="0B67D8BE" w14:textId="77777777" w:rsidR="008F15F1" w:rsidRPr="005E3D50" w:rsidRDefault="008F15F1" w:rsidP="008F15F1">
      <w:pPr>
        <w:spacing w:before="80" w:after="120"/>
        <w:rPr>
          <w:rFonts w:eastAsia="Times New Roman" w:cs="Times New Roman"/>
          <w:lang w:val="es-ES"/>
        </w:rPr>
      </w:pPr>
      <w:r w:rsidRPr="005E3D50">
        <w:rPr>
          <w:lang w:val="es-ES"/>
        </w:rPr>
        <w:t>En relación con los gobiernos subnacionales y locales, la creación de capacidad informada se ofrece en la forma de programas de capacitación para el personal de las autoridades locales, la elaboración y aplicación de planes de creación de capacidad relacionados con la gestión de las áreas protegidas y la inclusión de representantes de las autoridades locales en los procesos de formulación de las EPANB.</w:t>
      </w:r>
    </w:p>
    <w:p w14:paraId="29F2B3A3" w14:textId="77777777" w:rsidR="008F15F1" w:rsidRPr="005E3D50" w:rsidRDefault="008F15F1" w:rsidP="008F15F1">
      <w:pPr>
        <w:spacing w:before="80" w:after="120"/>
        <w:rPr>
          <w:lang w:val="es-ES"/>
        </w:rPr>
      </w:pPr>
    </w:p>
    <w:p w14:paraId="5EE23A0C"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82" w:name="_Toc235521210"/>
      <w:bookmarkStart w:id="683" w:name="_Toc239069242"/>
      <w:bookmarkStart w:id="684" w:name="_Toc4731364"/>
      <w:bookmarkStart w:id="685" w:name="_Toc242883020"/>
      <w:r w:rsidRPr="005E3D50">
        <w:rPr>
          <w:rFonts w:eastAsiaTheme="majorEastAsia" w:cstheme="majorBidi"/>
          <w:i/>
          <w:iCs/>
          <w:color w:val="0F4761" w:themeColor="accent1" w:themeShade="BF"/>
          <w:lang w:val="es-ES"/>
        </w:rPr>
        <w:t>Cooperación científica y técnica</w:t>
      </w:r>
      <w:bookmarkEnd w:id="682"/>
      <w:bookmarkEnd w:id="683"/>
      <w:bookmarkEnd w:id="684"/>
      <w:bookmarkEnd w:id="685"/>
    </w:p>
    <w:p w14:paraId="27D9C34A" w14:textId="77777777" w:rsidR="008F15F1" w:rsidRPr="005E3D50" w:rsidRDefault="008F15F1" w:rsidP="008F15F1">
      <w:pPr>
        <w:rPr>
          <w:lang w:val="es-ES"/>
        </w:rPr>
      </w:pPr>
    </w:p>
    <w:p w14:paraId="6825BB0F" w14:textId="77777777" w:rsidR="008F15F1" w:rsidRPr="005E3D50" w:rsidRDefault="008F15F1" w:rsidP="008F15F1">
      <w:pPr>
        <w:spacing w:before="80" w:after="120"/>
        <w:rPr>
          <w:lang w:val="es-ES"/>
        </w:rPr>
      </w:pPr>
      <w:r w:rsidRPr="005E3D50">
        <w:rPr>
          <w:lang w:val="es-ES"/>
        </w:rPr>
        <w:t>La información presentada sobre la cooperación científica y técnica que llega a esos actores es más limitada que aquella relativa a la financiación o la capacidad. Un pequeño número de Partes informa sobre la inclusión de los pueblos indígenas y las comunidades locales en la investigación, los sistemas de información y la planificación de la biodiversidad. Entre los ejemplos informados en ese contexto figuran la inclusión de conocimientos tradicionales en la planificación nacional de la biodiversidad y, en algunos casos, en los marcos de seguimiento. Son menos generalizados los ejemplos más específicos que ilustran prácticas incipientes. A este respecto, una Parte informó sobre el desglose de los datos relacionados con la biodiversidad según la propiedad forestal, incluidas las tierras gestionadas por los pueblos indígenas y las comunidades locales, mientras que otra informó sobre consultas subnacionales participativas para la revisión de la EPANB en las que participan autoridades locales, la sociedad civil, organizaciones de mujeres, instituciones de investigación y representantes de los pueblos indígenas y las comunidades locales.</w:t>
      </w:r>
    </w:p>
    <w:p w14:paraId="0A860BBD" w14:textId="77777777" w:rsidR="008F15F1" w:rsidRPr="005E3D50" w:rsidRDefault="008F15F1" w:rsidP="008F15F1">
      <w:pPr>
        <w:spacing w:before="80" w:after="120"/>
        <w:rPr>
          <w:lang w:val="es-ES"/>
        </w:rPr>
      </w:pPr>
      <w:r w:rsidRPr="005E3D50">
        <w:rPr>
          <w:lang w:val="es-ES"/>
        </w:rPr>
        <w:t>Un número limitado de Partes informó sobre la participación de las mujeres y la juventud en órganos científicos y técnicos, comités asesores y consejos consultivos, generalmente como un elemento de un marco más amplio de participación inclusiva y no como una disposición autónoma.</w:t>
      </w:r>
    </w:p>
    <w:p w14:paraId="537D0A9B" w14:textId="77777777" w:rsidR="008F15F1" w:rsidRPr="005E3D50" w:rsidRDefault="008F15F1" w:rsidP="008F15F1">
      <w:pPr>
        <w:spacing w:before="80" w:after="120"/>
        <w:rPr>
          <w:lang w:val="es-ES"/>
        </w:rPr>
      </w:pPr>
      <w:r w:rsidRPr="005E3D50">
        <w:rPr>
          <w:lang w:val="es-ES"/>
        </w:rPr>
        <w:t xml:space="preserve">Las infraestructuras de datos subnacionales son desiguales entre las Partes. En relación con los sistemas federales y descentralizados, se informó que la agregación de datos subnacionales para la presentación de los informes nacionales constituye un desafío técnico e institucional persistente. </w:t>
      </w:r>
    </w:p>
    <w:p w14:paraId="7F0CB7F1" w14:textId="77777777" w:rsidR="008F15F1" w:rsidRPr="005E3D50" w:rsidRDefault="008F15F1" w:rsidP="008F15F1">
      <w:pPr>
        <w:spacing w:before="80" w:after="120"/>
        <w:rPr>
          <w:lang w:val="es-ES"/>
        </w:rPr>
      </w:pPr>
      <w:r w:rsidRPr="005E3D50">
        <w:rPr>
          <w:lang w:val="es-ES"/>
        </w:rPr>
        <w:t>Un pequeño número de Partes informó sobre programas de cooperación internacional y regional dirigidos explícitamente a esos grupos de actores. Entre los ejemplos figuran iniciativas de larga data sobre clima y bosques que destinan apoyo específico a los pueblos indígenas y las comunidades locales, y conferencias juveniles internacionales sobre biodiversidad.</w:t>
      </w:r>
    </w:p>
    <w:p w14:paraId="25F99E60" w14:textId="77777777" w:rsidR="008F15F1" w:rsidRPr="005E3D50" w:rsidRDefault="008F15F1" w:rsidP="008F15F1">
      <w:pPr>
        <w:spacing w:before="80" w:after="120"/>
        <w:rPr>
          <w:rFonts w:eastAsia="Times New Roman" w:cs="Times New Roman"/>
          <w:lang w:val="es-ES"/>
        </w:rPr>
      </w:pPr>
      <w:r w:rsidRPr="005E3D50">
        <w:rPr>
          <w:lang w:val="es-ES"/>
        </w:rPr>
        <w:t xml:space="preserve">En todos los grupos, las Partes no han informado de manera sistemática datos sobre biodiversidad desglosados por sexo y edad, y aún se están desarrollando mecanismos operacionales que permitan a los pueblos indígenas y las comunidades locales controlar la forma en que se recopilan, almacenan y utilizan los datos sobre sus territorios. Si bien un pequeño número de Partes hace referencia a la soberanía sobre los datos de los </w:t>
      </w:r>
      <w:r w:rsidRPr="005E3D50">
        <w:rPr>
          <w:lang w:val="es-ES"/>
        </w:rPr>
        <w:lastRenderedPageBreak/>
        <w:t xml:space="preserve">pueblos indígenas y las comunidades locales como una prioridad incipiente, a menudo aún no existen arreglos operacionales al respecto. </w:t>
      </w:r>
    </w:p>
    <w:p w14:paraId="743D8C3C" w14:textId="77777777" w:rsidR="008F15F1" w:rsidRPr="005E3D50" w:rsidRDefault="008F15F1" w:rsidP="008F15F1">
      <w:pPr>
        <w:spacing w:before="80" w:after="120"/>
        <w:rPr>
          <w:lang w:val="es-ES"/>
        </w:rPr>
      </w:pPr>
    </w:p>
    <w:p w14:paraId="7839BEF2"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86" w:name="_Toc235521211"/>
      <w:bookmarkStart w:id="687" w:name="_Toc239069243"/>
      <w:bookmarkStart w:id="688" w:name="_Toc897220001"/>
      <w:bookmarkStart w:id="689" w:name="_Toc242883021"/>
      <w:r w:rsidRPr="005E3D50">
        <w:rPr>
          <w:rFonts w:eastAsiaTheme="majorEastAsia" w:cstheme="majorBidi"/>
          <w:i/>
          <w:iCs/>
          <w:color w:val="0F4761" w:themeColor="accent1" w:themeShade="BF"/>
          <w:lang w:val="es-ES"/>
        </w:rPr>
        <w:t>Acceso a la tecnología y su transferencia</w:t>
      </w:r>
      <w:bookmarkEnd w:id="686"/>
      <w:bookmarkEnd w:id="687"/>
      <w:bookmarkEnd w:id="688"/>
      <w:bookmarkEnd w:id="689"/>
      <w:r w:rsidRPr="005E3D50">
        <w:rPr>
          <w:rFonts w:eastAsiaTheme="majorEastAsia" w:cstheme="majorBidi"/>
          <w:i/>
          <w:iCs/>
          <w:color w:val="0F4761" w:themeColor="accent1" w:themeShade="BF"/>
          <w:lang w:val="es-ES"/>
        </w:rPr>
        <w:t xml:space="preserve"> </w:t>
      </w:r>
    </w:p>
    <w:p w14:paraId="5A5F5282" w14:textId="77777777" w:rsidR="008F15F1" w:rsidRPr="005E3D50" w:rsidRDefault="008F15F1" w:rsidP="008F15F1">
      <w:pPr>
        <w:spacing w:before="80" w:after="120"/>
        <w:rPr>
          <w:lang w:val="es-ES"/>
        </w:rPr>
      </w:pPr>
      <w:bookmarkStart w:id="690" w:name="_Toc235521212"/>
      <w:r w:rsidRPr="005E3D50">
        <w:rPr>
          <w:lang w:val="es-ES"/>
        </w:rPr>
        <w:t>La transferencia de tecnología a los pueblos indígenas y las comunidades locales se expresa generalmente en términos aspiracionales más que como algo incorporado en políticas y medidas prácticas, especialmente en lo que respecta al respeto de los derechos y los conocimientos tradicionales. En relación con las mujeres, la juventud y muchos actores subnacionales, el acceso a tecnologías avanzadas pertinentes para la biodiversidad, incluidas, por ejemplo, la teledetección y las plataformas de datos sobre biodiversidad, se informa en el contexto de proyectos individuales más que como procesos sistémicos. En aquellos casos en que las Partes informan sobre la transferencia de tecnología a esos actores, esta suele describirse como un componente de proyectos financiados por donantes con una continuidad limitada después del ciclo del proyecto.</w:t>
      </w:r>
    </w:p>
    <w:p w14:paraId="15ED242A" w14:textId="77777777" w:rsidR="008F15F1" w:rsidRPr="005E3D50" w:rsidRDefault="008F15F1" w:rsidP="008F15F1">
      <w:pPr>
        <w:spacing w:before="80" w:after="120"/>
        <w:rPr>
          <w:rFonts w:eastAsia="Times New Roman" w:cs="Times New Roman"/>
          <w:lang w:val="es-ES"/>
        </w:rPr>
      </w:pPr>
      <w:r w:rsidRPr="005E3D50">
        <w:rPr>
          <w:lang w:val="es-ES"/>
        </w:rPr>
        <w:t>Varias Partes han informado sobre el seguimiento comunitario como una disposición que extiende la tecnología a los actores locales. En lo que respecta a la ciencia ciudadana, varias Partes describen iniciativas de seguimiento de la biodiversidad diseñadas expresamente para implicar a la juventud y a la sociedad civil, las cuales dependen a su vez de aplicaciones tecnológicas como herramientas de registro, normas de datos e infraestructura. Algunas Partes han informado sobre la integración de los conocimientos tradicionales, el seguimiento comunitario y la ciencia ciudadana en los sistemas nacionales de datos sobre biodiversidad.</w:t>
      </w:r>
    </w:p>
    <w:p w14:paraId="4591180E" w14:textId="77777777" w:rsidR="008F15F1" w:rsidRPr="005E3D50" w:rsidRDefault="008F15F1" w:rsidP="008F15F1">
      <w:pPr>
        <w:spacing w:before="80" w:after="120"/>
        <w:rPr>
          <w:rFonts w:eastAsia="Times New Roman" w:cs="Times New Roman"/>
          <w:lang w:val="es-ES"/>
        </w:rPr>
      </w:pPr>
    </w:p>
    <w:p w14:paraId="6A549EC9"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691" w:name="_Toc242883022"/>
      <w:r w:rsidRPr="005E3D50">
        <w:rPr>
          <w:rFonts w:eastAsia="Times New Roman" w:cstheme="majorBidi"/>
          <w:i/>
          <w:iCs/>
          <w:color w:val="0F4761" w:themeColor="accent1" w:themeShade="BF"/>
          <w:lang w:val="es-ES"/>
        </w:rPr>
        <w:t>Observaciones finales</w:t>
      </w:r>
      <w:bookmarkEnd w:id="690"/>
      <w:bookmarkEnd w:id="691"/>
    </w:p>
    <w:p w14:paraId="4B5C6CB8" w14:textId="77777777" w:rsidR="008F15F1" w:rsidRPr="005E3D50" w:rsidRDefault="008F15F1" w:rsidP="008F15F1">
      <w:pPr>
        <w:spacing w:before="80" w:after="120"/>
        <w:rPr>
          <w:rFonts w:eastAsia="Times New Roman" w:cs="Times New Roman"/>
          <w:lang w:val="es-ES"/>
        </w:rPr>
      </w:pPr>
    </w:p>
    <w:p w14:paraId="33C3B7AB" w14:textId="77777777" w:rsidR="008F15F1" w:rsidRPr="005E3D50" w:rsidRDefault="008F15F1" w:rsidP="008F15F1">
      <w:pPr>
        <w:spacing w:before="80" w:after="120"/>
        <w:rPr>
          <w:rFonts w:eastAsia="Times New Roman" w:cs="Times New Roman"/>
          <w:lang w:val="es-ES"/>
        </w:rPr>
      </w:pPr>
      <w:bookmarkStart w:id="692" w:name="_Toc235521213"/>
      <w:r w:rsidRPr="005E3D50">
        <w:rPr>
          <w:lang w:val="es-ES"/>
        </w:rPr>
        <w:t>Si bien se reconoce a todos los actores en el contexto de las metas y medidas nacionales, el volumen de apoyo que, según se informa, llega a ellos de manera directa sigue siendo modesto. Los ejemplos más sólidos de apoyo directo, previsible y adaptado se concentran en un número relativamente pequeño de Partes y suelen referirse a los pueblos indígenas y las comunidades locales.</w:t>
      </w:r>
    </w:p>
    <w:p w14:paraId="7669F961" w14:textId="77777777" w:rsidR="008F15F1" w:rsidRPr="005E3D50" w:rsidRDefault="008F15F1" w:rsidP="008F15F1">
      <w:pPr>
        <w:spacing w:before="80" w:after="120"/>
        <w:rPr>
          <w:rFonts w:eastAsia="Times New Roman" w:cs="Times New Roman"/>
          <w:lang w:val="es-ES"/>
        </w:rPr>
      </w:pPr>
      <w:r w:rsidRPr="005E3D50">
        <w:rPr>
          <w:lang w:val="es-ES"/>
        </w:rPr>
        <w:t xml:space="preserve">El acceso a la justicia, el acceso a la información y el consentimiento libre, previo e informado, que se abordan anteriormente en el análisis de la meta 22, funcionan como condiciones propicias para los medios de implementación. Si bien los marcos de responsabilidad ambiental, muchos de los cuales se basan en el principio de quien contamina paga, se mencionan en algunos informes nacionales, las Partes indican que su </w:t>
      </w:r>
      <w:r w:rsidRPr="005E3D50">
        <w:rPr>
          <w:lang w:val="es-ES"/>
        </w:rPr>
        <w:lastRenderedPageBreak/>
        <w:t>aplicación en la práctica sigue siendo dispar o se encuentra en etapas iniciales de implementación. El acceso público a la información ambiental se describe como limitado en la práctica en varias Partes, incluso cuando se han establecido legislación sobre acceso a la información o marcos de transparencia. Varias Partes informaron que o bien no cuentan con procedimientos de consentimiento libre, previo e informado, o bien que estos son de carácter consultivo más que vinculante y su aplicación es deficiente o incoherente.</w:t>
      </w:r>
    </w:p>
    <w:p w14:paraId="5A90EB68" w14:textId="77777777" w:rsidR="008F15F1" w:rsidRPr="005E3D50" w:rsidRDefault="008F15F1" w:rsidP="008F15F1">
      <w:pPr>
        <w:spacing w:before="80" w:after="120"/>
        <w:rPr>
          <w:rFonts w:ascii="Aptos" w:eastAsia="Aptos" w:hAnsi="Aptos" w:cs="Aptos"/>
          <w:color w:val="008080"/>
          <w:u w:val="single"/>
          <w:lang w:val="es-ES"/>
        </w:rPr>
      </w:pPr>
      <w:r w:rsidRPr="005E3D50">
        <w:rPr>
          <w:lang w:val="es-ES"/>
        </w:rPr>
        <w:t>Otro resultado constante en los distintos medios de implementación es la falta de datos desglosados. Dado que no se han informado datos desglosados por sexo y edad, partidas específicas para las acciones colectivas en el contexto de la meta 19 f) e indicadores normalizados sobre la financiación y la capacidad subnacionales en materia de biodiversidad, incluso las Partes que están logrando verdaderos progresos no pueden demostrarlos en términos plenamente comparables. Mejorar la base empírica es una de las oportunidades que se señalan en los informes nacionales.</w:t>
      </w:r>
    </w:p>
    <w:p w14:paraId="04A3E7A6" w14:textId="77777777" w:rsidR="008F15F1" w:rsidRPr="005E3D50" w:rsidRDefault="008F15F1" w:rsidP="008F15F1">
      <w:pPr>
        <w:keepNext/>
        <w:keepLines/>
        <w:spacing w:before="160" w:after="80"/>
        <w:outlineLvl w:val="2"/>
        <w:rPr>
          <w:rFonts w:eastAsia="Times New Roman" w:cstheme="majorBidi"/>
          <w:color w:val="0F4761" w:themeColor="accent1" w:themeShade="BF"/>
          <w:sz w:val="28"/>
          <w:szCs w:val="28"/>
          <w:lang w:val="es-ES"/>
        </w:rPr>
      </w:pPr>
    </w:p>
    <w:p w14:paraId="1EFA903E" w14:textId="77777777" w:rsidR="008F15F1" w:rsidRPr="005E3D50" w:rsidRDefault="008F15F1" w:rsidP="008F15F1">
      <w:pPr>
        <w:keepNext/>
        <w:keepLines/>
        <w:spacing w:before="160" w:after="80"/>
        <w:outlineLvl w:val="2"/>
        <w:rPr>
          <w:rFonts w:eastAsia="Times New Roman" w:cstheme="majorBidi"/>
          <w:color w:val="0F4761" w:themeColor="accent1" w:themeShade="BF"/>
          <w:sz w:val="28"/>
          <w:szCs w:val="28"/>
          <w:lang w:val="es-ES"/>
        </w:rPr>
      </w:pPr>
      <w:bookmarkStart w:id="693" w:name="_Toc239069244"/>
      <w:bookmarkStart w:id="694" w:name="_Toc1935466435"/>
      <w:bookmarkStart w:id="695" w:name="_Toc242883023"/>
      <w:r w:rsidRPr="005E3D50">
        <w:rPr>
          <w:rFonts w:eastAsiaTheme="majorEastAsia" w:cstheme="majorBidi"/>
          <w:color w:val="0F4761" w:themeColor="accent1" w:themeShade="BF"/>
          <w:sz w:val="28"/>
          <w:szCs w:val="28"/>
          <w:lang w:val="es-ES"/>
        </w:rPr>
        <w:t>Resumen de los medios de implementación y principales observaciones</w:t>
      </w:r>
      <w:bookmarkEnd w:id="692"/>
      <w:bookmarkEnd w:id="693"/>
      <w:bookmarkEnd w:id="694"/>
      <w:bookmarkEnd w:id="695"/>
    </w:p>
    <w:p w14:paraId="0D7C5233" w14:textId="77777777" w:rsidR="008F15F1" w:rsidRPr="005E3D50" w:rsidRDefault="008F15F1" w:rsidP="008F15F1">
      <w:pPr>
        <w:rPr>
          <w:rFonts w:eastAsia="Times New Roman" w:cs="Times New Roman"/>
          <w:lang w:val="es-ES"/>
        </w:rPr>
      </w:pPr>
    </w:p>
    <w:p w14:paraId="756A206D"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696" w:name="_Toc239069245"/>
      <w:bookmarkStart w:id="697" w:name="_Toc667297100"/>
      <w:bookmarkStart w:id="698" w:name="_Toc242883024"/>
      <w:r w:rsidRPr="005E3D50">
        <w:rPr>
          <w:rFonts w:eastAsiaTheme="majorEastAsia" w:cstheme="majorBidi"/>
          <w:i/>
          <w:iCs/>
          <w:color w:val="0F4761" w:themeColor="accent1" w:themeShade="BF"/>
          <w:lang w:val="es-ES"/>
        </w:rPr>
        <w:t>Resumen</w:t>
      </w:r>
      <w:bookmarkEnd w:id="696"/>
      <w:bookmarkEnd w:id="697"/>
      <w:bookmarkEnd w:id="698"/>
    </w:p>
    <w:p w14:paraId="036AF4C1" w14:textId="77777777" w:rsidR="008F15F1" w:rsidRPr="005E3D50" w:rsidRDefault="008F15F1" w:rsidP="008F15F1">
      <w:pPr>
        <w:rPr>
          <w:rFonts w:eastAsia="Times New Roman" w:cs="Times New Roman"/>
          <w:lang w:val="es-ES"/>
        </w:rPr>
      </w:pPr>
    </w:p>
    <w:p w14:paraId="393C4D08" w14:textId="77777777" w:rsidR="008F15F1" w:rsidRPr="005E3D50" w:rsidRDefault="008F15F1" w:rsidP="008F15F1">
      <w:pPr>
        <w:rPr>
          <w:lang w:val="es-ES"/>
        </w:rPr>
      </w:pPr>
      <w:bookmarkStart w:id="699" w:name="_Toc235521214"/>
      <w:r w:rsidRPr="005E3D50">
        <w:rPr>
          <w:lang w:val="es-ES"/>
        </w:rPr>
        <w:t xml:space="preserve">El patrón de necesidades relacionadas con los medios de implementación del Marco es, en términos generales, similar entre las Partes que son países desarrollados y las que son países en desarrollo, aunque la forma y el alcance de esas necesidades varían. Una gran proporción de Partes informó sobre la provisión de los cuatro componentes, y la mayoría de las Partes ha informado sobre planificación de la financiación de la biodiversidad, actividades para abordar las carencias en materia de capacidad, sistemas de datos e información y tecnologías de seguimiento. En general, la provisión de los medios de implementación informada por las Partes en sus medidas no está a la altura de las necesidades que ellas mismas han señalado. </w:t>
      </w:r>
    </w:p>
    <w:p w14:paraId="5963F93B" w14:textId="77777777" w:rsidR="008F15F1" w:rsidRPr="005E3D50" w:rsidRDefault="008F15F1" w:rsidP="008F15F1">
      <w:pPr>
        <w:rPr>
          <w:lang w:val="es-ES"/>
        </w:rPr>
      </w:pPr>
      <w:r w:rsidRPr="005E3D50">
        <w:rPr>
          <w:lang w:val="es-ES"/>
        </w:rPr>
        <w:t xml:space="preserve">En el marco de la meta 19 se informan aumentos en la financiación internacional y nacional para la biodiversidad, y la planificación de la financiación de la biodiversidad en el marco de BIOFIN se ha extendido a una gran mayoría de Partes. No obstante, se han informado déficits de financiación nacional, mientras que la financiación basada en proyectos y de carácter anual sigue predominando. Además, la identificación y reforma de los incentivos, incluidos los subsidios que son perjudiciales para la diversidad biológica en </w:t>
      </w:r>
      <w:r w:rsidRPr="005E3D50">
        <w:rPr>
          <w:lang w:val="es-ES"/>
        </w:rPr>
        <w:lastRenderedPageBreak/>
        <w:t xml:space="preserve">el marco de la meta 18 se encuentra en una etapa incipiente, y no se han informado reformas completadas y reducciones cuantificadas. La financiación privada está poco desarrollada, con una participación limitada, falta de divulgación obligatoria entre la mayoría de las Partes y un pequeño número de entidades que han adoptado de manera temprana la presentación de informes de sostenibilidad empresarial armonizados con marcos internacionales. </w:t>
      </w:r>
    </w:p>
    <w:p w14:paraId="6B5D37A7" w14:textId="77777777" w:rsidR="008F15F1" w:rsidRPr="005E3D50" w:rsidRDefault="008F15F1" w:rsidP="008F15F1">
      <w:pPr>
        <w:rPr>
          <w:lang w:val="es-ES"/>
        </w:rPr>
      </w:pPr>
      <w:r w:rsidRPr="005E3D50">
        <w:rPr>
          <w:lang w:val="es-ES"/>
        </w:rPr>
        <w:t xml:space="preserve">Las carencias en materia de capacidad son la necesidad más ampliamente informada y, aunque representan la provisión de medios de implementación más ampliamente informada, persisten deficiencias estructurales. Se ha informado acerca de escasez de personal capacitado, incluso en esferas como taxonomía, ecología, ciencias geoespaciales, informática de la biodiversidad, seguridad de la biotecnología y formulación de proyectos, en casi todas las Partes. Se ha informado ampliamente acerca de una importante necesidad de capacidad en relación con deficiencias en cuanto a comunicación y sensibilización, en particular en relación con las comunidades rurales y remotas. En la provisión de medios de implementación informada se incluyó la cooperación Sur-Sur, Norte-Sur y triangular. Entre las dificultades estructurales que se reconocieron figuran la baja inversión nacional en investigación y desarrollo, la escasez persistente de conocimientos especializados, la fragmentación de la gobernanza entre ministerios y niveles de gobierno y una infraestructura incipiente. </w:t>
      </w:r>
    </w:p>
    <w:p w14:paraId="722CFF18" w14:textId="77777777" w:rsidR="008F15F1" w:rsidRPr="005E3D50" w:rsidRDefault="008F15F1" w:rsidP="008F15F1">
      <w:pPr>
        <w:rPr>
          <w:lang w:val="es-ES"/>
        </w:rPr>
      </w:pPr>
      <w:r w:rsidRPr="005E3D50">
        <w:rPr>
          <w:lang w:val="es-ES"/>
        </w:rPr>
        <w:t>En la cooperación científica y técnica, predominan los datos y la información. Todas las Partes representadas en el análisis mencionaron necesidades relacionadas con la información y los datos, como la falta de valores de referencia y conjuntos de datos armonizados para respaldar los indicadores de cabecera y la fragmentación de la información entre ministerios y jurisdicciones. Una gran mayoría de Partes está estableciendo o formalizando sistemas nacionales de información sobre biodiversidad, portales de datos centralizados y mecanismos de intercambio de información, y las contribuciones nacionales a las infraestructuras mundiales de datos sobre biodiversidad han aumentado. Se señaló el establecimiento de centros regionales y subregionales de apoyo a la cooperación científica y técnica como un avance significativo. La amplitud de esta actividad representa una base importante para abordar una deficiencia frecuentemente citada, al tiempo que señala la necesidad de un apoyo continuo y sostenido. La provisión de investigación científica se concentra en un número menor de Partes, y las principales deficiencias señaladas son la falta de personal de investigación, la escasez de capacidad taxonómica y la compartimentación de la investigación interdisciplinaria.</w:t>
      </w:r>
    </w:p>
    <w:p w14:paraId="43433E9E" w14:textId="77777777" w:rsidR="008F15F1" w:rsidRPr="005E3D50" w:rsidRDefault="008F15F1" w:rsidP="008F15F1">
      <w:pPr>
        <w:rPr>
          <w:lang w:val="es-ES"/>
        </w:rPr>
      </w:pPr>
      <w:r w:rsidRPr="005E3D50">
        <w:rPr>
          <w:lang w:val="es-ES"/>
        </w:rPr>
        <w:lastRenderedPageBreak/>
        <w:t>Si bien en muchas Partes se han implementado ampliamente tecnologías de seguimiento actualizadas, el acceso adecuado a esas tecnologías sigue siendo una importante necesidad no satisfecha. Además, la infraestructura digital necesaria para apoyar el acceso y la participación en los beneficios se encuentra en una etapa incipiente de uso operacional.</w:t>
      </w:r>
    </w:p>
    <w:p w14:paraId="05C619D4" w14:textId="77777777" w:rsidR="008F15F1" w:rsidRPr="005E3D50" w:rsidRDefault="008F15F1" w:rsidP="008F15F1">
      <w:pPr>
        <w:rPr>
          <w:lang w:val="es-ES"/>
        </w:rPr>
      </w:pPr>
      <w:r w:rsidRPr="005E3D50">
        <w:rPr>
          <w:lang w:val="es-ES"/>
        </w:rPr>
        <w:t xml:space="preserve">La información presentada sobre las formas en que los medios de implementación llegan a actores distintos de los Gobiernos nacionales sigue siendo dispar. La mayoría de las referencias a esos grupos en los informes nacionales los describen como beneficiarios previstos o participantes en consultas, más que como actores dotados de recursos que reciben apoyo específico y previsible. El acceso directo a las modalidades financieras por los pueblos indígenas y las comunidades locales sigue siendo poco frecuente, la información presentada en relación con la meta 19 f) relativa a las acciones colectivas es escasa, pocas Partes proporcionaron datos de financiación desglosados por sexo, y el apoyo específico y previsible a los gobiernos subnacionales y locales se concentra en un pequeño número de Partes, en su mayoría países desarrollados. Las personas con discapacidad y </w:t>
      </w:r>
      <w:proofErr w:type="gramStart"/>
      <w:r w:rsidRPr="005E3D50">
        <w:rPr>
          <w:lang w:val="es-ES"/>
        </w:rPr>
        <w:t>los defensores y las defensoras</w:t>
      </w:r>
      <w:proofErr w:type="gramEnd"/>
      <w:r w:rsidRPr="005E3D50">
        <w:rPr>
          <w:lang w:val="es-ES"/>
        </w:rPr>
        <w:t xml:space="preserve"> del medio ambiente, que se mencionan explícitamente en la meta 22, se citan en un número mucho menor de medidas, y prácticamente no se ha presentado información respecto del apoyo que llega a esas personas.</w:t>
      </w:r>
    </w:p>
    <w:p w14:paraId="1BD9991C" w14:textId="77777777" w:rsidR="008F15F1" w:rsidRPr="005E3D50" w:rsidRDefault="008F15F1" w:rsidP="008F15F1">
      <w:pPr>
        <w:rPr>
          <w:lang w:val="es-ES"/>
        </w:rPr>
      </w:pPr>
      <w:r w:rsidRPr="005E3D50">
        <w:rPr>
          <w:lang w:val="es-ES"/>
        </w:rPr>
        <w:t>Dado que no se han informado datos desglosados, armonizados y comparables al respecto, incluso las Partes que están logrando verdaderos progresos no pueden demostrarlos en términos plenamente comparables. Las Partes han señalado como un área de oportunidad la mejora de la base empírica mediante financiación desglosada por sexo, edad y nivel subnacional, apoyo directo a los pueblos indígenas y las comunidades locales y el uso de indicadores normalizados para el gasto en biodiversidad.</w:t>
      </w:r>
    </w:p>
    <w:p w14:paraId="05D37867"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p>
    <w:p w14:paraId="1CBEC7DC" w14:textId="77777777" w:rsidR="008F15F1" w:rsidRPr="005E3D50" w:rsidRDefault="008F15F1" w:rsidP="008F15F1">
      <w:pPr>
        <w:keepNext/>
        <w:keepLines/>
        <w:spacing w:before="80" w:after="40"/>
        <w:outlineLvl w:val="3"/>
        <w:rPr>
          <w:rFonts w:eastAsia="Times New Roman" w:cstheme="majorBidi"/>
          <w:i/>
          <w:iCs/>
          <w:color w:val="0F4761" w:themeColor="accent1" w:themeShade="BF"/>
          <w:lang w:val="es-ES"/>
        </w:rPr>
      </w:pPr>
      <w:bookmarkStart w:id="700" w:name="_Toc239069246"/>
      <w:bookmarkStart w:id="701" w:name="_Toc1376851021"/>
      <w:bookmarkStart w:id="702" w:name="_Toc242883025"/>
      <w:r w:rsidRPr="005E3D50">
        <w:rPr>
          <w:rFonts w:eastAsiaTheme="majorEastAsia" w:cstheme="majorBidi"/>
          <w:i/>
          <w:iCs/>
          <w:color w:val="0F4761" w:themeColor="accent1" w:themeShade="BF"/>
          <w:lang w:val="es-ES"/>
        </w:rPr>
        <w:t>Observaciones finales</w:t>
      </w:r>
      <w:bookmarkEnd w:id="699"/>
      <w:bookmarkEnd w:id="700"/>
      <w:bookmarkEnd w:id="701"/>
      <w:bookmarkEnd w:id="702"/>
    </w:p>
    <w:p w14:paraId="5E05FE7D" w14:textId="77777777" w:rsidR="008F15F1" w:rsidRPr="005E3D50" w:rsidRDefault="008F15F1" w:rsidP="008F15F1">
      <w:pPr>
        <w:rPr>
          <w:rFonts w:eastAsia="Times New Roman" w:cs="Times New Roman"/>
          <w:lang w:val="es-ES"/>
        </w:rPr>
      </w:pPr>
    </w:p>
    <w:p w14:paraId="2700EAC3" w14:textId="77777777" w:rsidR="008F15F1" w:rsidRPr="005E3D50" w:rsidRDefault="008F15F1" w:rsidP="008F15F1">
      <w:pPr>
        <w:rPr>
          <w:lang w:val="es-ES"/>
        </w:rPr>
      </w:pPr>
      <w:r w:rsidRPr="005E3D50">
        <w:rPr>
          <w:lang w:val="es-ES"/>
        </w:rPr>
        <w:t xml:space="preserve">Se informó que la provisión de los cuatro componentes de los medios de implementación se está incrementando, y las Partes informaron de un aumento en la planificación de la financiación de la biodiversidad, el establecimiento de sistemas nacionales de información sobre biodiversidad y la implementación de tecnologías digitales y geoespaciales de seguimiento. Al mismo tiempo, persisten necesidades insatisfechas en todos los componentes: casi todas las Partes informaron carencias de datos e información, la gran mayoría informó acerca de deficiencias en materia de gobernanza y coordinación, y más de tres cuartos de las Partes informaron acerca de carencias en </w:t>
      </w:r>
      <w:r w:rsidRPr="005E3D50">
        <w:rPr>
          <w:lang w:val="es-ES"/>
        </w:rPr>
        <w:lastRenderedPageBreak/>
        <w:t xml:space="preserve">materia de capacidad, seguimiento y marcos jurídicos. Además, la escala informada de la provisión de recursos financieros sigue siendo inferior a la requerida para cumplir las ambiciones cuantificadas del Marco, en particular la reforma de los incentivos perjudiciales en el contexto de la meta 18 y los compromisos de movilización de recursos en el contexto de la meta 19. </w:t>
      </w:r>
    </w:p>
    <w:p w14:paraId="693AFD26" w14:textId="77777777" w:rsidR="008F15F1" w:rsidRPr="005E3D50" w:rsidRDefault="008F15F1" w:rsidP="008F15F1">
      <w:pPr>
        <w:rPr>
          <w:lang w:val="es-ES"/>
        </w:rPr>
      </w:pPr>
      <w:r w:rsidRPr="005E3D50">
        <w:rPr>
          <w:lang w:val="es-ES"/>
        </w:rPr>
        <w:t xml:space="preserve">La provisión de los medios de implementación necesarios, como se establece en la misión del Marco para 2030, requerirá no solo una mayor ampliación del apoyo en cada categoría, sino también una armonización estructural de la financiación, la capacidad, la cooperación científica y técnica y la transferencia de tecnología, de manera que estas lleguen a los actores pertinentes en el momento oportuno y se refuercen mutuamente en la práctica. A fin de subsanar las deficiencias señaladas en el informe mundial, las Partes deberán colaborar </w:t>
      </w:r>
      <w:proofErr w:type="gramStart"/>
      <w:r w:rsidRPr="005E3D50">
        <w:rPr>
          <w:lang w:val="es-ES"/>
        </w:rPr>
        <w:t>conjuntamente con</w:t>
      </w:r>
      <w:proofErr w:type="gramEnd"/>
      <w:r w:rsidRPr="005E3D50">
        <w:rPr>
          <w:lang w:val="es-ES"/>
        </w:rPr>
        <w:t xml:space="preserve"> todos los ministerios y niveles de gobierno, y entre los Gobiernos y el conjunto de actores de la sociedad, con miras a proporcionar los medios necesarios de los que depende la implementación del Marco. </w:t>
      </w:r>
    </w:p>
    <w:p w14:paraId="170E917E" w14:textId="77777777" w:rsidR="008F15F1" w:rsidRPr="005E3D50" w:rsidRDefault="008F15F1" w:rsidP="008F15F1">
      <w:pPr>
        <w:rPr>
          <w:lang w:val="es-ES"/>
        </w:rPr>
      </w:pPr>
    </w:p>
    <w:p w14:paraId="24F05DD3"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bookmarkStart w:id="703" w:name="_Toc235821383"/>
      <w:bookmarkStart w:id="704" w:name="_Ref236149954"/>
      <w:bookmarkStart w:id="705" w:name="_Toc239069247"/>
      <w:bookmarkStart w:id="706" w:name="_Toc2038448745"/>
      <w:bookmarkStart w:id="707" w:name="_Toc242883026"/>
      <w:r w:rsidRPr="005E3D50">
        <w:rPr>
          <w:rFonts w:asciiTheme="majorHAnsi" w:eastAsiaTheme="majorEastAsia" w:hAnsiTheme="majorHAnsi" w:cstheme="majorBidi"/>
          <w:color w:val="0F4761" w:themeColor="accent1" w:themeShade="BF"/>
          <w:sz w:val="32"/>
          <w:szCs w:val="32"/>
          <w:lang w:val="es-ES"/>
        </w:rPr>
        <w:t xml:space="preserve">II.E </w:t>
      </w:r>
      <w:bookmarkStart w:id="708" w:name="_Hlk231029355"/>
      <w:r w:rsidRPr="005E3D50">
        <w:rPr>
          <w:rFonts w:asciiTheme="majorHAnsi" w:eastAsiaTheme="majorEastAsia" w:hAnsiTheme="majorHAnsi" w:cstheme="majorBidi"/>
          <w:color w:val="0F4761" w:themeColor="accent1" w:themeShade="BF"/>
          <w:sz w:val="32"/>
          <w:szCs w:val="32"/>
          <w:lang w:val="es-ES"/>
        </w:rPr>
        <w:t>Contribuciones de los acuerdos ambientales multilaterales, las organizaciones internacionales y los procesos pertinentes</w:t>
      </w:r>
      <w:bookmarkEnd w:id="703"/>
      <w:bookmarkEnd w:id="704"/>
      <w:bookmarkEnd w:id="705"/>
      <w:bookmarkEnd w:id="706"/>
      <w:bookmarkEnd w:id="707"/>
      <w:bookmarkEnd w:id="708"/>
    </w:p>
    <w:p w14:paraId="344C3355"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709" w:name="_Toc235821384"/>
    </w:p>
    <w:p w14:paraId="6A5A08E3"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710" w:name="_Toc239069248"/>
      <w:bookmarkStart w:id="711" w:name="_Toc364867422"/>
      <w:bookmarkStart w:id="712" w:name="_Toc242883027"/>
      <w:r w:rsidRPr="005E3D50">
        <w:rPr>
          <w:rFonts w:eastAsiaTheme="majorEastAsia" w:cstheme="majorBidi"/>
          <w:color w:val="0F4761" w:themeColor="accent1" w:themeShade="BF"/>
          <w:sz w:val="28"/>
          <w:szCs w:val="28"/>
          <w:lang w:val="es-ES"/>
        </w:rPr>
        <w:t>Introducción</w:t>
      </w:r>
      <w:bookmarkEnd w:id="709"/>
      <w:bookmarkEnd w:id="710"/>
      <w:bookmarkEnd w:id="711"/>
      <w:bookmarkEnd w:id="712"/>
    </w:p>
    <w:p w14:paraId="1B13D179" w14:textId="77777777" w:rsidR="008F15F1" w:rsidRPr="005E3D50" w:rsidRDefault="008F15F1" w:rsidP="008F15F1">
      <w:pPr>
        <w:rPr>
          <w:lang w:val="es-ES"/>
        </w:rPr>
      </w:pPr>
    </w:p>
    <w:p w14:paraId="6257BCBD" w14:textId="77777777" w:rsidR="008F15F1" w:rsidRPr="005E3D50" w:rsidRDefault="008F15F1" w:rsidP="008F15F1">
      <w:pPr>
        <w:rPr>
          <w:lang w:val="es-ES"/>
        </w:rPr>
      </w:pPr>
      <w:r w:rsidRPr="005E3D50">
        <w:rPr>
          <w:lang w:val="es-ES"/>
        </w:rPr>
        <w:t>A lo largo de los años, los Gobiernos han suscrito un amplio abanico de acuerdos multilaterales que, de diferentes maneras, pueden contribuir a la consecución de los objetivos y metas del Marco Mundial de Biodiversidad de Kunming-Montreal. Esto se ha reconocido a través de decisiones y medidas que han armonizado la labor de esos acuerdos con el Marco desde su adopción en 2022. El hecho de que muchas Partes en el Convenio también sean partes en otros acuerdos pertinentes crea oportunidades de sinergias y cooperación.</w:t>
      </w:r>
    </w:p>
    <w:p w14:paraId="5AF077D3" w14:textId="77777777" w:rsidR="008F15F1" w:rsidRPr="005E3D50" w:rsidRDefault="008F15F1" w:rsidP="008F15F1">
      <w:pPr>
        <w:rPr>
          <w:lang w:val="es-ES"/>
        </w:rPr>
      </w:pPr>
      <w:r w:rsidRPr="005E3D50">
        <w:rPr>
          <w:lang w:val="es-ES"/>
        </w:rPr>
        <w:t xml:space="preserve">En la presente sección del informe mundial se resumen las medidas recientes adoptadas en apoyo del Marco a través de los acuerdos ambientales multilaterales (AAM), así como de otras organizaciones y procesos, tanto dentro como fuera del sistema de las Naciones Unidas. Esta sección complementa los ejemplos de vínculos, sinergias y cooperación que </w:t>
      </w:r>
      <w:r w:rsidRPr="005E3D50">
        <w:rPr>
          <w:lang w:val="es-ES"/>
        </w:rPr>
        <w:lastRenderedPageBreak/>
        <w:t xml:space="preserve">se proporcionan en los resúmenes de los progresos colectivos en la consecución de cada una de las metas del Marco expuestos en la sección </w:t>
      </w:r>
      <w:proofErr w:type="gramStart"/>
      <w:r w:rsidRPr="005E3D50">
        <w:rPr>
          <w:lang w:val="es-ES"/>
        </w:rPr>
        <w:t>II.B</w:t>
      </w:r>
      <w:proofErr w:type="gramEnd"/>
      <w:r w:rsidRPr="005E3D50">
        <w:rPr>
          <w:vertAlign w:val="superscript"/>
          <w:lang w:val="es-ES"/>
        </w:rPr>
        <w:footnoteReference w:id="47"/>
      </w:r>
      <w:r w:rsidRPr="005E3D50">
        <w:rPr>
          <w:lang w:val="es-ES"/>
        </w:rPr>
        <w:t>.</w:t>
      </w:r>
    </w:p>
    <w:p w14:paraId="5631B956" w14:textId="77777777" w:rsidR="008F15F1" w:rsidRPr="005E3D50" w:rsidRDefault="008F15F1" w:rsidP="008F15F1">
      <w:pPr>
        <w:rPr>
          <w:lang w:val="es-ES"/>
        </w:rPr>
      </w:pPr>
      <w:r w:rsidRPr="005E3D50">
        <w:rPr>
          <w:lang w:val="es-ES"/>
        </w:rPr>
        <w:t>El Marco, concebido para impulsar la acción coordinada en todos los niveles, tiene por objeto servir como el plan mundial de biodiversidad a nivel global. La necesidad de aumentar la coherencia se reconoce en la sección C del Marco, en la que se señala que “[l]a intensificación de la colaboración, la cooperación y las sinergias entre el Convenio sobre la Diversidad Biológica y sus Protocolos, otros convenios relacionados con la diversidad biológica, otros acuerdos multilaterales y organizaciones y procesos internacionales pertinentes, en consonancia con sus respectivos mandatos, tanto a nivel mundial, regional y subregional como nacional, contribuiría a la implementación del Marco y la promovería de manera más eficiente y eficaz” (</w:t>
      </w:r>
      <w:proofErr w:type="spellStart"/>
      <w:r w:rsidRPr="005E3D50">
        <w:rPr>
          <w:lang w:val="es-ES"/>
        </w:rPr>
        <w:t>dec</w:t>
      </w:r>
      <w:proofErr w:type="spellEnd"/>
      <w:r w:rsidRPr="005E3D50">
        <w:rPr>
          <w:lang w:val="es-ES"/>
        </w:rPr>
        <w:t>. 15/4 en CDB, 2023).</w:t>
      </w:r>
    </w:p>
    <w:p w14:paraId="4C9FF05B" w14:textId="77777777" w:rsidR="008F15F1" w:rsidRPr="005E3D50" w:rsidRDefault="008F15F1" w:rsidP="008F15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cs="Helvetica"/>
          <w:kern w:val="0"/>
          <w:lang w:val="es-ES"/>
        </w:rPr>
      </w:pPr>
      <w:r w:rsidRPr="005E3D50">
        <w:rPr>
          <w:lang w:val="es-ES"/>
        </w:rPr>
        <w:t>En su resolución 78/155, de 19 de diciembre de 2023, la Asamblea General de las Naciones Unidas, al acoger con beneplácito la adopción del Marco, instó a las Partes en el Convenio “a que velen por la coherencia y complementariedad del Marco Mundial de Biodiversidad de Kunming-Montreal con otros procesos internacionales en curso o de próximo inicio, en particular con respecto a la Agenda 2030 [para el Desarrollo Sostenible], el Acuerdo de París y otros procesos, marcos y estrategias conexos”, y reiteró “la invitación a los demás acuerdos ambientales multilaterales, incluidas las convenciones relacionadas con la diversidad biológica y las convenciones de Río, las organizaciones internacionales competentes y sus programas y otros procesos pertinentes a que participen activamente en su aplicación” (Asamblea General de las Naciones Unidas, 2023a).</w:t>
      </w:r>
    </w:p>
    <w:p w14:paraId="2ED4C447" w14:textId="77777777" w:rsidR="008F15F1" w:rsidRPr="005E3D50" w:rsidRDefault="008F15F1" w:rsidP="008F15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es-ES"/>
        </w:rPr>
      </w:pPr>
    </w:p>
    <w:p w14:paraId="337A9CE1" w14:textId="77777777" w:rsidR="008F15F1" w:rsidRPr="005E3D50" w:rsidRDefault="008F15F1" w:rsidP="008F15F1">
      <w:pPr>
        <w:rPr>
          <w:lang w:val="es-ES"/>
        </w:rPr>
      </w:pPr>
      <w:r w:rsidRPr="005E3D50">
        <w:rPr>
          <w:lang w:val="es-ES"/>
        </w:rPr>
        <w:t>El trabajo conjunto entre convenios y acuerdos puede resultar difícil debido, por ejemplo, a la diversidad de mandatos, plazos, indicadores y fuentes de financiación. Resulta esencial superar estos obstáculos para materializar los objetivos y la visión del Marco, y se están logrando progresos a este respecto. Se han desplegado esfuerzos para generar un mayor nivel de colaboración y comunicación entre los AAM a través de varios procesos e iniciativas, entre ellos:</w:t>
      </w:r>
    </w:p>
    <w:p w14:paraId="01E1295A" w14:textId="77777777" w:rsidR="008F15F1" w:rsidRPr="005E3D50" w:rsidRDefault="008F15F1" w:rsidP="008F15F1">
      <w:pPr>
        <w:numPr>
          <w:ilvl w:val="0"/>
          <w:numId w:val="51"/>
        </w:numPr>
        <w:contextualSpacing/>
        <w:rPr>
          <w:lang w:val="es-ES"/>
        </w:rPr>
      </w:pPr>
      <w:r w:rsidRPr="005E3D50">
        <w:rPr>
          <w:lang w:val="es-ES"/>
        </w:rPr>
        <w:t xml:space="preserve">La Asamblea de las Naciones Unidas sobre el Medio Ambiente. En su calidad de máximo órgano de adopción de decisiones en materia ambiental, la Asamblea </w:t>
      </w:r>
      <w:r w:rsidRPr="005E3D50">
        <w:rPr>
          <w:lang w:val="es-ES"/>
        </w:rPr>
        <w:lastRenderedPageBreak/>
        <w:t>sobre el Medio Ambiente reúne bajo sus auspicios a todos los AAM, tanto mundiales como regionales, para examinar cuestiones relacionadas con las sinergias y la cooperación. El séptimo período de sesiones de la Asamblea, celebrado del 8 al 12 de diciembre de 2025, incluyó un Día de los Acuerdos Ambientales Multilaterales, que ofreció a los países una importante plataforma para compartir sus experiencias a nivel nacional, incluidos casos de éxito, dificultades, ideas y soluciones innovadoras</w:t>
      </w:r>
      <w:r w:rsidRPr="005E3D50">
        <w:rPr>
          <w:vertAlign w:val="superscript"/>
          <w:lang w:val="es-ES"/>
        </w:rPr>
        <w:footnoteReference w:id="48"/>
      </w:r>
      <w:r w:rsidRPr="005E3D50">
        <w:rPr>
          <w:lang w:val="es-ES"/>
        </w:rPr>
        <w:t>. Esa plataforma ha constituido un importante punto de conexión para los marcos mundiales, entre ellos el Marco Mundial de Biodiversidad de Kunming-Montreal, ya que se centra en cuestiones, enfoques y puntos de entrada comunes a los convenios que pueden acelerar su aplicación (PNUMA, 2025d y 2025e).</w:t>
      </w:r>
    </w:p>
    <w:p w14:paraId="35FC0B5B" w14:textId="77777777" w:rsidR="008F15F1" w:rsidRPr="005E3D50" w:rsidRDefault="008F15F1" w:rsidP="008F15F1">
      <w:pPr>
        <w:numPr>
          <w:ilvl w:val="0"/>
          <w:numId w:val="51"/>
        </w:numPr>
        <w:contextualSpacing/>
        <w:rPr>
          <w:lang w:val="es-ES"/>
        </w:rPr>
      </w:pPr>
      <w:r w:rsidRPr="005E3D50">
        <w:rPr>
          <w:lang w:val="es-ES"/>
        </w:rPr>
        <w:t xml:space="preserve">El Proceso de Berna, convocado por primera vez en 2019 a través del Programa de las Naciones Unidas para el Medio Ambiente (PNUMA). El Proceso de Berna ha impulsado una cooperación y colaboración eficaces entre las Partes en más de 16 AAM y sus interesados, promoviendo sinergias entre las esferas temáticas de la biodiversidad y la desertificación, los productos químicos y los desechos y el cambio climático. En la Conferencia de Berna III, sobre cooperación entre los convenios relacionados con la diversidad biológica para la implementación del Marco Mundial de Biodiversidad de Kunming-Montreal, celebrada en Berna (Suiza) del 23 al 25 de enero de 2024, se abordó específicamente la cooperación entre los convenios relacionados con la diversidad biológica con vistas a la implementación del Marco (PNUMA, 2023 y 2024c). </w:t>
      </w:r>
    </w:p>
    <w:p w14:paraId="214C7B9A" w14:textId="77777777" w:rsidR="008F15F1" w:rsidRPr="005E3D50" w:rsidRDefault="008F15F1" w:rsidP="008F15F1">
      <w:pPr>
        <w:numPr>
          <w:ilvl w:val="0"/>
          <w:numId w:val="51"/>
        </w:numPr>
        <w:contextualSpacing/>
        <w:rPr>
          <w:lang w:val="es-ES"/>
        </w:rPr>
      </w:pPr>
      <w:r w:rsidRPr="005E3D50">
        <w:rPr>
          <w:lang w:val="es-ES"/>
        </w:rPr>
        <w:t>El Grupo de Enlace de los Convenios Relacionados con la Diversidad Biológica, establecido en 2002 y actualizado en 2014. El Grupo de Enlace está integrado por los jefes ejecutivos de ocho convenios, entre los que se incluye el Convenio sobre la Diversidad Biológica. El Grupo analiza y promueve opciones para fomentar la cooperación entre los convenios (</w:t>
      </w:r>
      <w:proofErr w:type="spellStart"/>
      <w:r w:rsidRPr="005E3D50">
        <w:rPr>
          <w:lang w:val="es-ES"/>
        </w:rPr>
        <w:t>dec</w:t>
      </w:r>
      <w:proofErr w:type="spellEnd"/>
      <w:r w:rsidRPr="005E3D50">
        <w:rPr>
          <w:lang w:val="es-ES"/>
        </w:rPr>
        <w:t>. 16/35 en CDB, 2026)</w:t>
      </w:r>
      <w:r w:rsidRPr="005E3D50">
        <w:rPr>
          <w:vertAlign w:val="superscript"/>
          <w:lang w:val="es-ES"/>
        </w:rPr>
        <w:footnoteReference w:id="49"/>
      </w:r>
      <w:r w:rsidRPr="005E3D50">
        <w:rPr>
          <w:lang w:val="es-ES"/>
        </w:rPr>
        <w:t xml:space="preserve">. </w:t>
      </w:r>
    </w:p>
    <w:p w14:paraId="0E2E8FC0" w14:textId="77777777" w:rsidR="008F15F1" w:rsidRPr="005E3D50" w:rsidRDefault="008F15F1" w:rsidP="008F15F1">
      <w:pPr>
        <w:rPr>
          <w:lang w:val="es-ES"/>
        </w:rPr>
      </w:pPr>
    </w:p>
    <w:p w14:paraId="2B4D7332"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713" w:name="_Toc235821385"/>
      <w:bookmarkStart w:id="714" w:name="_Toc239069249"/>
      <w:bookmarkStart w:id="715" w:name="_Toc2132573879"/>
      <w:bookmarkStart w:id="716" w:name="_Toc242883028"/>
      <w:r w:rsidRPr="005E3D50">
        <w:rPr>
          <w:rFonts w:eastAsiaTheme="majorEastAsia" w:cstheme="majorBidi"/>
          <w:color w:val="0F4761" w:themeColor="accent1" w:themeShade="BF"/>
          <w:sz w:val="28"/>
          <w:szCs w:val="28"/>
          <w:lang w:val="es-ES"/>
        </w:rPr>
        <w:lastRenderedPageBreak/>
        <w:t>Apoyo al Marco por los acuerdos ambientales multilaterales</w:t>
      </w:r>
      <w:bookmarkEnd w:id="713"/>
      <w:bookmarkEnd w:id="714"/>
      <w:bookmarkEnd w:id="715"/>
      <w:bookmarkEnd w:id="716"/>
    </w:p>
    <w:p w14:paraId="554912B7"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p>
    <w:p w14:paraId="6F5FD03E"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717" w:name="_Toc239069250"/>
      <w:bookmarkStart w:id="718" w:name="_Toc847384473"/>
      <w:bookmarkStart w:id="719" w:name="_Toc242883029"/>
      <w:r w:rsidRPr="005E3D50">
        <w:rPr>
          <w:rFonts w:eastAsiaTheme="majorEastAsia" w:cstheme="majorBidi"/>
          <w:i/>
          <w:iCs/>
          <w:color w:val="0F4761" w:themeColor="accent1" w:themeShade="BF"/>
          <w:lang w:val="es-ES"/>
        </w:rPr>
        <w:t>Las convenciones de Río</w:t>
      </w:r>
      <w:bookmarkEnd w:id="717"/>
      <w:bookmarkEnd w:id="718"/>
      <w:bookmarkEnd w:id="719"/>
    </w:p>
    <w:p w14:paraId="49C4CB97" w14:textId="77777777" w:rsidR="008F15F1" w:rsidRPr="005E3D50" w:rsidRDefault="008F15F1" w:rsidP="008F15F1">
      <w:pPr>
        <w:rPr>
          <w:lang w:val="es-ES"/>
        </w:rPr>
      </w:pPr>
    </w:p>
    <w:p w14:paraId="1DC33D71" w14:textId="77777777" w:rsidR="008F15F1" w:rsidRPr="005E3D50" w:rsidRDefault="008F15F1" w:rsidP="008F15F1">
      <w:pPr>
        <w:rPr>
          <w:lang w:val="es-ES"/>
        </w:rPr>
      </w:pPr>
      <w:r w:rsidRPr="005E3D50">
        <w:rPr>
          <w:lang w:val="es-ES"/>
        </w:rPr>
        <w:t xml:space="preserve">El Grupo de Enlace Mixto de las Convenciones de Río se estableció en 2001 con la finalidad de fortalecer la colaboración entre las secretarías de los tres tratados surgidos de la Conferencia de las Naciones Unidas sobre el Medio Ambiente y el Desarrollo (la “Cumbre para la Tierra”), celebrada en Río de Janeiro (Brasil) en 1992: la Convención de las Naciones Unidas de Lucha contra la Desertificación en los Países Afectados por Sequía Grave o Desertificación, en Particular en África (CLD), la Convención Marco de las Naciones Unidas sobre el Cambio Climático (CMNUCC) y el Convenio sobre la Diversidad Biológica. </w:t>
      </w:r>
      <w:r w:rsidRPr="005E3D50">
        <w:rPr>
          <w:color w:val="333333"/>
          <w:shd w:val="clear" w:color="auto" w:fill="FFFFFF"/>
          <w:lang w:val="es-ES"/>
        </w:rPr>
        <w:t>El Grupo promueve la coordinación, el intercambio de información y la acción conjunta sobre las prioridades comunes de los convenios. Reúne a los secretarios ejecutivos, los oficiales de asuntos científicos y otros funcionarios de las secretarías a fin de promover soluciones integradas a los problemas ambientales mundiales</w:t>
      </w:r>
      <w:r w:rsidRPr="005E3D50">
        <w:rPr>
          <w:color w:val="333333"/>
          <w:shd w:val="clear" w:color="auto" w:fill="FFFFFF"/>
          <w:vertAlign w:val="superscript"/>
          <w:lang w:val="es-ES"/>
        </w:rPr>
        <w:footnoteReference w:id="50"/>
      </w:r>
      <w:r w:rsidRPr="005E3D50">
        <w:rPr>
          <w:color w:val="333333"/>
          <w:shd w:val="clear" w:color="auto" w:fill="FFFFFF"/>
          <w:lang w:val="es-ES"/>
        </w:rPr>
        <w:t>.</w:t>
      </w:r>
    </w:p>
    <w:p w14:paraId="6618ECDE" w14:textId="77777777" w:rsidR="008F15F1" w:rsidRPr="005E3D50" w:rsidRDefault="008F15F1" w:rsidP="008F15F1">
      <w:pPr>
        <w:autoSpaceDE w:val="0"/>
        <w:autoSpaceDN w:val="0"/>
        <w:adjustRightInd w:val="0"/>
        <w:spacing w:after="0" w:line="276" w:lineRule="auto"/>
        <w:rPr>
          <w:lang w:val="es-ES"/>
        </w:rPr>
      </w:pPr>
      <w:r w:rsidRPr="005E3D50">
        <w:rPr>
          <w:lang w:val="es-ES"/>
        </w:rPr>
        <w:t>El trabajo conjunto entre las convenciones de Río ha ofrecido oportunidades para reconocer las conexiones inseparables entre las soluciones que abordan la pérdida de diversidad biológica, el cambio climático, la desertificación y la degradación de las tierras, tanto a escala nacional como mundial (véase el recuadro 57)</w:t>
      </w:r>
      <w:r w:rsidRPr="005E3D50">
        <w:rPr>
          <w:vertAlign w:val="superscript"/>
          <w:lang w:val="es-ES"/>
        </w:rPr>
        <w:footnoteReference w:id="51"/>
      </w:r>
      <w:r w:rsidRPr="005E3D50">
        <w:rPr>
          <w:lang w:val="es-ES"/>
        </w:rPr>
        <w:t>. Por ejemplo, en el resultado del primer balance mundial del Acuerdo de París sobre el cambio climático se destacó explícitamente la importancia de la conservación, protección y restauración de la naturaleza, de detener e invertir la deforestación y de la conservación de la biodiversidad en consonancia con el Marco Mundial de Biodiversidad de Kunming-Montreal, y se alentó la cooperación entre las convenciones de Río (CMNUCC, 2024b). En el Marco de los Emiratos Árabes Unidos para la Resiliencia Climática Mundial se estableció una meta destinada a reducir los efectos del clima en los ecosistemas y la biodiversidad y acelerar la adaptación basada en los ecosistemas y las soluciones basadas en la naturaleza, lo que respaldó firmemente elementos de la meta 8 del Marco (CMNUCC, 2024b). Esos vínculos se vieron reforzados por la Declaración Conjunta sobre el Clima, la Naturaleza y las Personas, aprobada en el 28º período de sesiones de la Conferencia de las Partes en la Convención Marco de las Naciones Unidas sobre el Cambio Climático en 2023</w:t>
      </w:r>
      <w:r w:rsidRPr="005E3D50">
        <w:rPr>
          <w:vertAlign w:val="superscript"/>
          <w:lang w:val="es-ES"/>
        </w:rPr>
        <w:footnoteReference w:id="52"/>
      </w:r>
      <w:r w:rsidRPr="005E3D50">
        <w:rPr>
          <w:lang w:val="es-ES"/>
        </w:rPr>
        <w:t xml:space="preserve">, y la Declaración Conjunta de Belém sobre las convenciones de Río, aprobada en el 30º período de sesiones de la Conferencia de las Partes en la Convención Marco de las </w:t>
      </w:r>
      <w:r w:rsidRPr="005E3D50">
        <w:rPr>
          <w:lang w:val="es-ES"/>
        </w:rPr>
        <w:lastRenderedPageBreak/>
        <w:t>Naciones Unidas sobre el Cambio Climático en 2025</w:t>
      </w:r>
      <w:r w:rsidRPr="005E3D50">
        <w:rPr>
          <w:vertAlign w:val="superscript"/>
          <w:lang w:val="es-ES"/>
        </w:rPr>
        <w:footnoteReference w:id="53"/>
      </w:r>
      <w:r w:rsidRPr="005E3D50">
        <w:rPr>
          <w:lang w:val="es-ES"/>
        </w:rPr>
        <w:t>, que promovieron una mayor armonización y coordinación en la aplicación de los planes nacionales sobre el clima, la biodiversidad y la restauración de las tierras (véase también el resumen de la meta 8 en la secc. II B). La contribución de las medidas adoptadas por conducto de la CLD para abordar la neutralización de la degradación de las tierras como un componente de la planificación espacial que tiene en cuenta la diversidad biológica, apoyar el seguimiento de la restauración de los ecosistemas, mejorar la conectividad ecológica y promover prácticas agrícolas sostenibles se examina más detalladamente en los resúmenes relativos a las metas 1, 2, 3 y 10, respectivamente, en la sección II.B (CLD, 2025).</w:t>
      </w:r>
    </w:p>
    <w:p w14:paraId="6543F22A" w14:textId="77777777" w:rsidR="008F15F1" w:rsidRPr="005E3D50" w:rsidRDefault="008F15F1" w:rsidP="008F15F1">
      <w:pPr>
        <w:autoSpaceDE w:val="0"/>
        <w:autoSpaceDN w:val="0"/>
        <w:adjustRightInd w:val="0"/>
        <w:spacing w:after="0" w:line="276" w:lineRule="auto"/>
        <w:rPr>
          <w:lang w:val="es-ES"/>
        </w:rPr>
      </w:pPr>
    </w:p>
    <w:p w14:paraId="7AAE1636" w14:textId="77777777" w:rsidR="008F15F1" w:rsidRPr="005E3D50" w:rsidRDefault="008F15F1" w:rsidP="008F15F1">
      <w:pPr>
        <w:spacing w:after="0" w:line="276" w:lineRule="auto"/>
        <w:rPr>
          <w:lang w:val="es-ES"/>
        </w:rPr>
      </w:pPr>
    </w:p>
    <w:tbl>
      <w:tblPr>
        <w:tblStyle w:val="TableGrid1"/>
        <w:tblW w:w="0" w:type="auto"/>
        <w:tblLook w:val="04A0" w:firstRow="1" w:lastRow="0" w:firstColumn="1" w:lastColumn="0" w:noHBand="0" w:noVBand="1"/>
      </w:tblPr>
      <w:tblGrid>
        <w:gridCol w:w="9016"/>
      </w:tblGrid>
      <w:tr w:rsidR="008F15F1" w:rsidRPr="005E3D50" w14:paraId="181EBA61" w14:textId="77777777" w:rsidTr="006E6831">
        <w:tc>
          <w:tcPr>
            <w:tcW w:w="9016" w:type="dxa"/>
            <w:shd w:val="clear" w:color="auto" w:fill="D1D1D1" w:themeFill="background2" w:themeFillShade="E6"/>
          </w:tcPr>
          <w:p w14:paraId="03971779" w14:textId="77777777" w:rsidR="008F15F1" w:rsidRPr="005E3D50" w:rsidRDefault="008F15F1" w:rsidP="008F15F1">
            <w:pPr>
              <w:keepNext/>
              <w:rPr>
                <w:sz w:val="20"/>
                <w:szCs w:val="20"/>
              </w:rPr>
            </w:pPr>
            <w:bookmarkStart w:id="720" w:name="_Ref236395038"/>
            <w:r w:rsidRPr="005E3D50">
              <w:rPr>
                <w:sz w:val="20"/>
              </w:rPr>
              <w:t>Recuadro 57</w:t>
            </w:r>
            <w:bookmarkEnd w:id="720"/>
          </w:p>
          <w:p w14:paraId="566C2831" w14:textId="77777777" w:rsidR="008F15F1" w:rsidRPr="005E3D50" w:rsidRDefault="008F15F1" w:rsidP="008F15F1">
            <w:pPr>
              <w:rPr>
                <w:b/>
                <w:bCs/>
                <w:sz w:val="20"/>
                <w:szCs w:val="20"/>
              </w:rPr>
            </w:pPr>
            <w:r w:rsidRPr="005E3D50">
              <w:rPr>
                <w:b/>
                <w:sz w:val="20"/>
              </w:rPr>
              <w:t>Coordinación de la acción relativa a las convenciones de Río a nivel nacional: el Pacto de Panamá con la Naturaleza</w:t>
            </w:r>
          </w:p>
          <w:p w14:paraId="0E4EB23A" w14:textId="77777777" w:rsidR="008F15F1" w:rsidRPr="005E3D50" w:rsidRDefault="008F15F1" w:rsidP="008F15F1">
            <w:pPr>
              <w:rPr>
                <w:sz w:val="20"/>
                <w:szCs w:val="20"/>
              </w:rPr>
            </w:pPr>
          </w:p>
          <w:p w14:paraId="7C18070D" w14:textId="77777777" w:rsidR="008F15F1" w:rsidRPr="005E3D50" w:rsidRDefault="008F15F1" w:rsidP="008F15F1">
            <w:pPr>
              <w:rPr>
                <w:sz w:val="20"/>
                <w:szCs w:val="20"/>
              </w:rPr>
            </w:pPr>
            <w:r w:rsidRPr="005E3D50">
              <w:rPr>
                <w:sz w:val="20"/>
              </w:rPr>
              <w:t xml:space="preserve">El Pacto de Panamá con la Naturaleza (Nature Pledge) es un marco de políticas estratégico en el que se combinan los compromisos contraídos en virtud de las tres convenciones de Río que abordan la pérdida de diversidad biológica, el cambio climático y la desertificación. El Pacto, anunciado por el </w:t>
            </w:r>
            <w:proofErr w:type="gramStart"/>
            <w:r w:rsidRPr="005E3D50">
              <w:rPr>
                <w:sz w:val="20"/>
              </w:rPr>
              <w:t>Presidente</w:t>
            </w:r>
            <w:proofErr w:type="gramEnd"/>
            <w:r w:rsidRPr="005E3D50">
              <w:rPr>
                <w:sz w:val="20"/>
              </w:rPr>
              <w:t xml:space="preserve"> de Panamá en el 80º período de sesiones de la Asamblea General de las Naciones Unidas en 2025, proporciona un marco para un conjunto coherente de políticas que sustentan las actualizaciones de la EPANB de Panamá en el contexto del Convenio sobre la Diversidad Biológica, la contribución determinada a nivel nacional del país en el contexto de la CMNUCC y sus metas de neutralización de la degradación de las tierras en el contexto de la CLD. Al reunir esos compromisos bajo una visión única de acción coordinada entre sectores, Panamá busca superar la fragmentación institucional y reforzar la coherencia de las políticas públicas que abordan múltiples objetivos ambientales, con metas cuantificables que deberán alcanzarse para 2035.</w:t>
            </w:r>
          </w:p>
          <w:p w14:paraId="40D36F77" w14:textId="77777777" w:rsidR="008F15F1" w:rsidRPr="005E3D50" w:rsidRDefault="008F15F1" w:rsidP="008F15F1">
            <w:pPr>
              <w:rPr>
                <w:sz w:val="20"/>
                <w:szCs w:val="20"/>
              </w:rPr>
            </w:pPr>
          </w:p>
          <w:p w14:paraId="0A67F7E2" w14:textId="77777777" w:rsidR="008F15F1" w:rsidRPr="005E3D50" w:rsidRDefault="008F15F1" w:rsidP="008F15F1">
            <w:pPr>
              <w:keepNext/>
            </w:pPr>
          </w:p>
          <w:p w14:paraId="519D4FCC" w14:textId="77777777" w:rsidR="008F15F1" w:rsidRPr="005E3D50" w:rsidRDefault="008F15F1" w:rsidP="008F15F1">
            <w:pPr>
              <w:keepNext/>
              <w:rPr>
                <w:i/>
                <w:sz w:val="20"/>
                <w:szCs w:val="20"/>
              </w:rPr>
            </w:pPr>
            <w:r w:rsidRPr="005E3D50">
              <w:rPr>
                <w:i/>
                <w:sz w:val="20"/>
              </w:rPr>
              <w:t xml:space="preserve">Fuentes: </w:t>
            </w:r>
            <w:r w:rsidRPr="005E3D50">
              <w:rPr>
                <w:rFonts w:ascii="Aptos"/>
                <w:sz w:val="20"/>
              </w:rPr>
              <w:t>Ministerio de Ambiente de Panamá (</w:t>
            </w:r>
            <w:proofErr w:type="spellStart"/>
            <w:r w:rsidRPr="005E3D50">
              <w:rPr>
                <w:rFonts w:ascii="Aptos"/>
                <w:sz w:val="20"/>
              </w:rPr>
              <w:t>MiAMBIENTE</w:t>
            </w:r>
            <w:proofErr w:type="spellEnd"/>
            <w:r w:rsidRPr="005E3D50">
              <w:rPr>
                <w:rFonts w:ascii="Aptos"/>
                <w:sz w:val="20"/>
              </w:rPr>
              <w:t>), 2025; y CLD, 2025.</w:t>
            </w:r>
          </w:p>
          <w:p w14:paraId="1B0B35E1" w14:textId="77777777" w:rsidR="008F15F1" w:rsidRPr="005E3D50" w:rsidRDefault="008F15F1" w:rsidP="008F15F1">
            <w:pPr>
              <w:keepNext/>
            </w:pPr>
          </w:p>
        </w:tc>
      </w:tr>
    </w:tbl>
    <w:p w14:paraId="6DE0D335" w14:textId="77777777" w:rsidR="008F15F1" w:rsidRPr="005E3D50" w:rsidRDefault="008F15F1" w:rsidP="008F15F1">
      <w:pPr>
        <w:autoSpaceDE w:val="0"/>
        <w:autoSpaceDN w:val="0"/>
        <w:adjustRightInd w:val="0"/>
        <w:spacing w:after="0" w:line="276" w:lineRule="auto"/>
        <w:rPr>
          <w:lang w:val="es-ES"/>
        </w:rPr>
      </w:pPr>
    </w:p>
    <w:p w14:paraId="65138C64"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721" w:name="_Toc239069251"/>
      <w:bookmarkStart w:id="722" w:name="_Toc2007741527"/>
      <w:bookmarkStart w:id="723" w:name="_Toc242883030"/>
      <w:r w:rsidRPr="005E3D50">
        <w:rPr>
          <w:rFonts w:eastAsiaTheme="majorEastAsia" w:cstheme="majorBidi"/>
          <w:i/>
          <w:iCs/>
          <w:color w:val="0F4761" w:themeColor="accent1" w:themeShade="BF"/>
          <w:lang w:val="es-ES"/>
        </w:rPr>
        <w:t>Convenios relacionados con la diversidad biológica</w:t>
      </w:r>
      <w:bookmarkEnd w:id="721"/>
      <w:bookmarkEnd w:id="722"/>
      <w:bookmarkEnd w:id="723"/>
    </w:p>
    <w:p w14:paraId="39FDC726" w14:textId="77777777" w:rsidR="008F15F1" w:rsidRPr="005E3D50" w:rsidRDefault="008F15F1" w:rsidP="008F15F1">
      <w:pPr>
        <w:autoSpaceDE w:val="0"/>
        <w:autoSpaceDN w:val="0"/>
        <w:adjustRightInd w:val="0"/>
        <w:spacing w:after="0" w:line="276" w:lineRule="auto"/>
        <w:rPr>
          <w:rFonts w:cs="Times New Roman"/>
          <w:color w:val="000000"/>
          <w:lang w:val="es-ES"/>
        </w:rPr>
      </w:pPr>
    </w:p>
    <w:p w14:paraId="57CDC915" w14:textId="77777777" w:rsidR="008F15F1" w:rsidRPr="005E3D50" w:rsidRDefault="008F15F1" w:rsidP="008F15F1">
      <w:pPr>
        <w:spacing w:after="0" w:line="276" w:lineRule="auto"/>
        <w:rPr>
          <w:lang w:val="es-ES"/>
        </w:rPr>
      </w:pPr>
      <w:r w:rsidRPr="005E3D50">
        <w:rPr>
          <w:color w:val="000000" w:themeColor="text1"/>
          <w:lang w:val="es-ES"/>
        </w:rPr>
        <w:t xml:space="preserve">Todos los convenios relacionados con la diversidad biológica han reconocido el Marco Mundial de Biodiversidad de Kunming-Montreal dentro de sus propios procesos y procedimientos, ofreciendo así importantes oportunidades para que las Partes identifiquen medidas sinérgicas que respalden los compromisos en el contexto de cada convenio, contribuyendo al mismo tiempo a la implementación del Marco. Por ejemplo: </w:t>
      </w:r>
    </w:p>
    <w:p w14:paraId="0CA80106" w14:textId="77777777" w:rsidR="008F15F1" w:rsidRPr="005E3D50" w:rsidRDefault="008F15F1" w:rsidP="008F15F1">
      <w:pPr>
        <w:spacing w:after="0" w:line="276" w:lineRule="auto"/>
        <w:rPr>
          <w:lang w:val="es-ES"/>
        </w:rPr>
      </w:pPr>
    </w:p>
    <w:p w14:paraId="243C0737" w14:textId="77777777" w:rsidR="008F15F1" w:rsidRPr="005E3D50" w:rsidRDefault="008F15F1" w:rsidP="008F15F1">
      <w:pPr>
        <w:numPr>
          <w:ilvl w:val="0"/>
          <w:numId w:val="35"/>
        </w:numPr>
        <w:autoSpaceDE w:val="0"/>
        <w:autoSpaceDN w:val="0"/>
        <w:adjustRightInd w:val="0"/>
        <w:spacing w:after="0" w:line="276" w:lineRule="auto"/>
        <w:contextualSpacing/>
        <w:rPr>
          <w:rFonts w:cs="Times New Roman"/>
          <w:color w:val="000000"/>
          <w:lang w:val="es-ES"/>
        </w:rPr>
      </w:pPr>
      <w:r w:rsidRPr="005E3D50">
        <w:rPr>
          <w:lang w:val="es-ES"/>
        </w:rPr>
        <w:t xml:space="preserve">La Conferencia de las Partes en la Convención sobre el Comercio Internacional de Especies Amenazadas de Fauna y Flora Silvestres (CITES) ha subrayado que se requiere </w:t>
      </w:r>
      <w:r w:rsidRPr="005E3D50">
        <w:rPr>
          <w:lang w:val="es-ES"/>
        </w:rPr>
        <w:lastRenderedPageBreak/>
        <w:t>una aplicación eficaz de la CITES para apoyar la implementación del Marco, y ha subrayado el compromiso de la CITES de demostrar su contribución al Marco (CITES, 2025c). En la Visión Estratégica de la CITES: 2021-2030 se reconoce la contribución de la CITES al Marco, y la CITES ha publicado una correlación de los objetivos de la visión estratégica con objetivos y metas concretos del Marco (CITES, 2025d)</w:t>
      </w:r>
      <w:r w:rsidRPr="005E3D50">
        <w:rPr>
          <w:vertAlign w:val="superscript"/>
          <w:lang w:val="es-ES"/>
        </w:rPr>
        <w:footnoteReference w:id="54"/>
      </w:r>
      <w:r w:rsidRPr="005E3D50">
        <w:rPr>
          <w:lang w:val="es-ES"/>
        </w:rPr>
        <w:t>. Las Partes mencionan ampliamente en sus EPANB e informes nacionales las medidas relacionadas con el cumplimiento de la CITES, especialmente en lo que se refiere a las medidas relativas a la recuperación, conservación y utilización sostenible de las especies amenazadas en el contexto de la consecución de las metas 4, 5 y 9 del Marco (véanse el cuadro 55 y las secciones pertinentes en los respectivos resúmenes de las metas en la secc. II.B).</w:t>
      </w:r>
    </w:p>
    <w:p w14:paraId="2DEDA020" w14:textId="77777777" w:rsidR="008F15F1" w:rsidRPr="005E3D50" w:rsidRDefault="008F15F1" w:rsidP="008F15F1">
      <w:pPr>
        <w:autoSpaceDE w:val="0"/>
        <w:autoSpaceDN w:val="0"/>
        <w:adjustRightInd w:val="0"/>
        <w:spacing w:after="0" w:line="276" w:lineRule="auto"/>
        <w:rPr>
          <w:rFonts w:cs="Times New Roman"/>
          <w:color w:val="000000"/>
          <w:lang w:val="es-ES"/>
        </w:rPr>
      </w:pPr>
    </w:p>
    <w:p w14:paraId="1024A89F" w14:textId="77777777" w:rsidR="008F15F1" w:rsidRPr="005E3D50" w:rsidRDefault="008F15F1" w:rsidP="008F15F1">
      <w:pPr>
        <w:numPr>
          <w:ilvl w:val="0"/>
          <w:numId w:val="35"/>
        </w:numPr>
        <w:autoSpaceDE w:val="0"/>
        <w:autoSpaceDN w:val="0"/>
        <w:adjustRightInd w:val="0"/>
        <w:spacing w:after="0" w:line="276" w:lineRule="auto"/>
        <w:contextualSpacing/>
        <w:rPr>
          <w:rFonts w:cs="Times New Roman"/>
          <w:color w:val="000000"/>
          <w:lang w:val="es-ES"/>
        </w:rPr>
      </w:pPr>
      <w:r w:rsidRPr="005E3D50">
        <w:rPr>
          <w:lang w:val="es-ES"/>
        </w:rPr>
        <w:t>La Convención sobre los Humedales de Importancia Internacional Especialmente como Hábitat de Aves Acuáticas ha adoptado un plan de trabajo conjunto con el Convenio sobre la Diversidad Biológica, que abarca el período 2024-2030, con el fin de armonizar los esfuerzos tendientes al logro de los objetivos de los dos tratados.</w:t>
      </w:r>
      <w:r w:rsidRPr="005E3D50">
        <w:rPr>
          <w:color w:val="000000" w:themeColor="text1"/>
          <w:lang w:val="es-ES"/>
        </w:rPr>
        <w:t xml:space="preserve"> </w:t>
      </w:r>
      <w:r w:rsidRPr="005E3D50">
        <w:rPr>
          <w:color w:val="242424"/>
          <w:lang w:val="es-ES"/>
        </w:rPr>
        <w:t>El plan proporciona orientación de carácter voluntario, e incluye una esfera de actividad sobre aplicación y seguimiento que vincula el quinto plan estratégico de la Convención sobre los Humedales (2025-2034) con el Marco. Esa armonización se ve reforzada por una resolución adoptada en la 15ª reunión de la Conferencia de las Partes Contratantes en la Convención sobre los Humedales, relativa al plan estratégico, que tiende un puente entre los dos tratados, ya que promueve la integración de los datos sobre humedales en las EPANB, así como el fortalecimiento del uso de las designaciones de sitios Ramsar y los datos sobre el agua dulce para respaldar las metas mundiales de conservación y restauración (véanse también las secciones pertinentes en los resúmenes de las metas 2 y 3 en la secc. II.B). La Convención sobre los Humedales ha elaborado orientación técnica detallada para las Partes en el Convenio sobre la Diversidad Biológica acerca de la integración de los humedales en todas las metas del Marco en sus EPANB</w:t>
      </w:r>
      <w:r w:rsidRPr="005E3D50">
        <w:rPr>
          <w:color w:val="000000" w:themeColor="text1"/>
          <w:lang w:val="es-ES"/>
        </w:rPr>
        <w:t xml:space="preserve"> </w:t>
      </w:r>
      <w:r w:rsidRPr="005E3D50">
        <w:rPr>
          <w:color w:val="242424"/>
          <w:lang w:val="es-ES"/>
        </w:rPr>
        <w:t>(</w:t>
      </w:r>
      <w:proofErr w:type="spellStart"/>
      <w:r w:rsidRPr="005E3D50">
        <w:rPr>
          <w:color w:val="242424"/>
          <w:lang w:val="es-ES"/>
        </w:rPr>
        <w:t>dec</w:t>
      </w:r>
      <w:proofErr w:type="spellEnd"/>
      <w:r w:rsidRPr="005E3D50">
        <w:rPr>
          <w:color w:val="242424"/>
          <w:lang w:val="es-ES"/>
        </w:rPr>
        <w:t>. 16/35 en CDB, 2026;</w:t>
      </w:r>
      <w:r w:rsidRPr="005E3D50">
        <w:rPr>
          <w:color w:val="000000" w:themeColor="text1"/>
          <w:lang w:val="es-ES"/>
        </w:rPr>
        <w:t xml:space="preserve"> </w:t>
      </w:r>
      <w:r w:rsidRPr="005E3D50">
        <w:rPr>
          <w:rFonts w:ascii="Aptos"/>
          <w:color w:val="000000" w:themeColor="text1"/>
          <w:lang w:val="es-ES"/>
        </w:rPr>
        <w:t>CDB y Convención sobre los Humedales, 2024; y Convención sobre los Humedales, 2024, 2025a, 2025f y 2025g).</w:t>
      </w:r>
    </w:p>
    <w:p w14:paraId="696589B1" w14:textId="77777777" w:rsidR="008F15F1" w:rsidRPr="005E3D50" w:rsidRDefault="008F15F1" w:rsidP="008F15F1">
      <w:pPr>
        <w:autoSpaceDE w:val="0"/>
        <w:autoSpaceDN w:val="0"/>
        <w:adjustRightInd w:val="0"/>
        <w:spacing w:after="0" w:line="276" w:lineRule="auto"/>
        <w:ind w:left="360"/>
        <w:contextualSpacing/>
        <w:rPr>
          <w:rFonts w:cs="Times New Roman"/>
          <w:color w:val="000000"/>
          <w:lang w:val="es-ES"/>
        </w:rPr>
      </w:pPr>
    </w:p>
    <w:p w14:paraId="77603266" w14:textId="77777777" w:rsidR="008F15F1" w:rsidRPr="005E3D50" w:rsidRDefault="008F15F1" w:rsidP="008F15F1">
      <w:pPr>
        <w:numPr>
          <w:ilvl w:val="0"/>
          <w:numId w:val="35"/>
        </w:numPr>
        <w:autoSpaceDE w:val="0"/>
        <w:autoSpaceDN w:val="0"/>
        <w:adjustRightInd w:val="0"/>
        <w:spacing w:after="0" w:line="276" w:lineRule="auto"/>
        <w:contextualSpacing/>
        <w:rPr>
          <w:rFonts w:cs="Times New Roman"/>
          <w:color w:val="000000"/>
          <w:lang w:val="es-ES"/>
        </w:rPr>
      </w:pPr>
      <w:r w:rsidRPr="005E3D50">
        <w:rPr>
          <w:lang w:val="es-ES"/>
        </w:rPr>
        <w:t xml:space="preserve">La Convención sobre la Conservación de las Especies Migratorias de Animales Silvestres (CMS) adoptó un plan estratégico para las especies migratorias para 2024-2030 en el que se demostraron explícitamente los vínculos entre sus propias metas y las metas del Marco. En el plan, se destacó la necesidad de colaboración en cuanto a la armonización de los indicadores del plan estratégico de la CMS con aquellos del </w:t>
      </w:r>
      <w:r w:rsidRPr="005E3D50">
        <w:rPr>
          <w:lang w:val="es-ES"/>
        </w:rPr>
        <w:lastRenderedPageBreak/>
        <w:t>marco de seguimiento (CMS, 2023, 2025a y 2025b). Las contribuciones específicas a las metas del Marco incluyeron medidas para mejorar la conectividad ecológica y programas de conservación relativos a las amenazas a las especies, como la contaminación, a lo largo de su área de distribución migratoria (véanse las secciones pertinentes en los resúmenes de las metas 3, 4 y 7 en la sección II.B).</w:t>
      </w:r>
    </w:p>
    <w:p w14:paraId="407A70DC" w14:textId="77777777" w:rsidR="008F15F1" w:rsidRPr="005E3D50" w:rsidRDefault="008F15F1" w:rsidP="008F15F1">
      <w:pPr>
        <w:autoSpaceDE w:val="0"/>
        <w:autoSpaceDN w:val="0"/>
        <w:adjustRightInd w:val="0"/>
        <w:spacing w:after="0" w:line="276" w:lineRule="auto"/>
        <w:ind w:left="360"/>
        <w:contextualSpacing/>
        <w:rPr>
          <w:rFonts w:cs="Times New Roman"/>
          <w:color w:val="000000"/>
          <w:lang w:val="es-ES"/>
        </w:rPr>
      </w:pPr>
    </w:p>
    <w:p w14:paraId="344880DD" w14:textId="77777777" w:rsidR="008F15F1" w:rsidRPr="005E3D50" w:rsidRDefault="008F15F1" w:rsidP="008F15F1">
      <w:pPr>
        <w:numPr>
          <w:ilvl w:val="0"/>
          <w:numId w:val="35"/>
        </w:numPr>
        <w:shd w:val="clear" w:color="auto" w:fill="FFFFFF"/>
        <w:spacing w:after="0" w:line="276" w:lineRule="auto"/>
        <w:contextualSpacing/>
        <w:rPr>
          <w:rFonts w:ascii="Arial" w:eastAsia="Times New Roman" w:hAnsi="Arial" w:cs="Arial"/>
          <w:color w:val="000000"/>
          <w:kern w:val="0"/>
          <w:sz w:val="20"/>
          <w:szCs w:val="20"/>
          <w:lang w:val="es-ES"/>
          <w14:ligatures w14:val="none"/>
        </w:rPr>
      </w:pPr>
      <w:r w:rsidRPr="005E3D50">
        <w:rPr>
          <w:color w:val="000000"/>
          <w:lang w:val="es-ES"/>
        </w:rPr>
        <w:t>En su reunión de 2024, la Comisión Ballenera Internacional (CBI) expresó su compromiso de contribuir al Marco, en particular en materia de aplicación, seguimiento y creación de capacidad pertinente. El Comité de Conservación de la CBI está elaborando un nuevo plan estratégico armonizado con las metas del Marco a fin de garantizar que sus actividades contribuyan de manera eficaz.</w:t>
      </w:r>
      <w:r w:rsidRPr="005E3D50">
        <w:rPr>
          <w:rFonts w:ascii="Arial" w:hAnsi="Arial"/>
          <w:i/>
          <w:color w:val="000000"/>
          <w:sz w:val="20"/>
          <w:lang w:val="es-ES"/>
        </w:rPr>
        <w:t xml:space="preserve"> </w:t>
      </w:r>
      <w:r w:rsidRPr="005E3D50">
        <w:rPr>
          <w:lang w:val="es-ES"/>
        </w:rPr>
        <w:t>El programa de planes de gestión de la conservación de la CBI proporciona un marco para que los países dentro de las áreas de distribución de poblaciones vulnerables de cetáceos cooperen en la protección de esas especies y la restauración de sus hábitats. El programa aborda múltiples metas del Marco (véanse las secciones pertinentes en los resúmenes de las metas 4 y 7 en la secc. II.B) (CBI, 2024 y 2025).</w:t>
      </w:r>
    </w:p>
    <w:p w14:paraId="5C846910" w14:textId="77777777" w:rsidR="008F15F1" w:rsidRPr="005E3D50" w:rsidRDefault="008F15F1" w:rsidP="008F15F1">
      <w:pPr>
        <w:shd w:val="clear" w:color="auto" w:fill="FFFFFF"/>
        <w:spacing w:after="0" w:line="276" w:lineRule="auto"/>
        <w:ind w:left="360"/>
        <w:contextualSpacing/>
        <w:rPr>
          <w:rFonts w:ascii="Arial" w:eastAsia="Times New Roman" w:hAnsi="Arial" w:cs="Arial"/>
          <w:color w:val="000000"/>
          <w:kern w:val="0"/>
          <w:sz w:val="20"/>
          <w:szCs w:val="20"/>
          <w:lang w:val="es-ES" w:eastAsia="en-GB"/>
          <w14:ligatures w14:val="none"/>
        </w:rPr>
      </w:pPr>
    </w:p>
    <w:p w14:paraId="5EBF6F4A" w14:textId="77777777" w:rsidR="008F15F1" w:rsidRPr="005E3D50" w:rsidRDefault="008F15F1" w:rsidP="008F15F1">
      <w:pPr>
        <w:numPr>
          <w:ilvl w:val="0"/>
          <w:numId w:val="35"/>
        </w:numPr>
        <w:spacing w:line="279" w:lineRule="auto"/>
        <w:contextualSpacing/>
        <w:rPr>
          <w:b/>
          <w:bCs/>
          <w:lang w:val="es-ES"/>
        </w:rPr>
      </w:pPr>
      <w:r w:rsidRPr="005E3D50">
        <w:rPr>
          <w:lang w:val="es-ES"/>
        </w:rPr>
        <w:t>El órgano rector de la Convención del Patrimonio Mundial subrayó en su reunión de 2025 la importancia de armonizar la Convención con el Marco. El órgano rector tomó nota de las recomendaciones de una reunión de expertos celebrada en noviembre de 2024 que confirmaron la pertinencia de la Convención para casi todas las 23 metas del Marco (UNESCO, 2024). Entre las medidas recomendadas figuraba la integración de los objetivos de la Convención del Patrimonio Mundial en las EPANB. En la decisión, se hizo hincapié en los vínculos entre la diversidad cultural y la diversidad biológica y el papel fundamental que pueden desempeñar los sitios del Patrimonio Mundial de la UNESCO en los resultados mundiales en materia de biodiversidad (véanse las secciones pertinentes en los resúmenes de las metas 5 y 8 en la secc. II.B) (UNESCO, 2025a; y Comité del Patrimonio Mundial, 2023, 2025).</w:t>
      </w:r>
    </w:p>
    <w:p w14:paraId="711D59F9" w14:textId="77777777" w:rsidR="008F15F1" w:rsidRPr="005E3D50" w:rsidRDefault="008F15F1" w:rsidP="008F15F1">
      <w:pPr>
        <w:spacing w:line="279" w:lineRule="auto"/>
        <w:ind w:left="360"/>
        <w:contextualSpacing/>
        <w:rPr>
          <w:b/>
          <w:bCs/>
          <w:lang w:val="es-ES"/>
        </w:rPr>
      </w:pPr>
    </w:p>
    <w:p w14:paraId="0E119B79" w14:textId="77777777" w:rsidR="008F15F1" w:rsidRPr="005E3D50" w:rsidRDefault="008F15F1" w:rsidP="008F15F1">
      <w:pPr>
        <w:numPr>
          <w:ilvl w:val="0"/>
          <w:numId w:val="35"/>
        </w:numPr>
        <w:spacing w:line="279" w:lineRule="auto"/>
        <w:contextualSpacing/>
        <w:rPr>
          <w:b/>
          <w:bCs/>
          <w:lang w:val="es-ES"/>
        </w:rPr>
      </w:pPr>
      <w:r w:rsidRPr="005E3D50">
        <w:rPr>
          <w:lang w:val="es-ES"/>
        </w:rPr>
        <w:t xml:space="preserve">El Órgano Rector del Tratado Internacional sobre los Recursos Fitogenéticos para la Alimentación y la Agricultura (TIRFAA) acogió el Marco con agrado y destacó que la aplicación del Tratado Internacional haría una contribución importante al logro de la visión, los objetivos y las metas del Marco, en particular en relación con los sistemas alimentarios sostenibles. El Órgano Rector, entre otras cuestiones, invitó a las Partes Contratantes a incorporar la aplicación del Tratado Internacional en las EPANB a fin de apoyar la implementación del Marco. El Órgano Rector reconoció la importancia de integrar los recursos fitogenéticos para la alimentación y la agricultura en los planes de financiación de la biodiversidad (TIRFAA, 2023 y 2025b). Los órganos auxiliares entre </w:t>
      </w:r>
      <w:r w:rsidRPr="005E3D50">
        <w:rPr>
          <w:lang w:val="es-ES"/>
        </w:rPr>
        <w:lastRenderedPageBreak/>
        <w:t xml:space="preserve">reuniones del Órgano Rector del Tratado Internacional han señalado reiteradamente que las metas 4, 10, 13, 15 y 19 son especialmente importantes para los recursos fitogenéticos para la alimentación y la agricultura y para la labor del Tratado Internacional (véanse las secciones pertinentes en los resúmenes de las metas 10 y 13 en la secc. II.B) (TIRFAA, 2026). </w:t>
      </w:r>
    </w:p>
    <w:p w14:paraId="548627BB" w14:textId="77777777" w:rsidR="008F15F1" w:rsidRPr="005E3D50" w:rsidRDefault="008F15F1" w:rsidP="008F15F1">
      <w:p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El Acuerdo en el marco de la Convención de las Naciones Unidas sobre el Derecho del Mar relativo a la Conservación y el Uso Sostenible de la Diversidad Biológica Marina de las Zonas Situadas Fuera de la Jurisdicción Nacional entró en vigor en enero de 2026. Si bien es prematuro evaluar la armonización formal con el Marco, cabe esperar que las disposiciones del Acuerdo respalden los objetivos y metas del Marco en varias esferas clave. En particular:</w:t>
      </w:r>
    </w:p>
    <w:p w14:paraId="39AF024E" w14:textId="77777777" w:rsidR="008F15F1" w:rsidRPr="005E3D50" w:rsidRDefault="008F15F1" w:rsidP="008F15F1">
      <w:pPr>
        <w:autoSpaceDE w:val="0"/>
        <w:autoSpaceDN w:val="0"/>
        <w:adjustRightInd w:val="0"/>
        <w:spacing w:after="0" w:line="276" w:lineRule="auto"/>
        <w:rPr>
          <w:rFonts w:cs="Times New Roman"/>
          <w:color w:val="000000"/>
          <w:kern w:val="0"/>
          <w:lang w:val="es-ES"/>
        </w:rPr>
      </w:pPr>
    </w:p>
    <w:p w14:paraId="09F84E38" w14:textId="77777777" w:rsidR="008F15F1" w:rsidRPr="005E3D50" w:rsidRDefault="008F15F1" w:rsidP="008F15F1">
      <w:pPr>
        <w:numPr>
          <w:ilvl w:val="0"/>
          <w:numId w:val="36"/>
        </w:num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El Acuerdo, dado que centra la atención en la participación justa y equitativa en los beneficios que se deriven de los recursos genéticos marinos, incluida la información digital sobre secuencias asociada, puede respaldar el Objetivo C y la meta 13 del Marco</w:t>
      </w:r>
    </w:p>
    <w:p w14:paraId="15DD72B1" w14:textId="77777777" w:rsidR="008F15F1" w:rsidRPr="005E3D50" w:rsidRDefault="008F15F1" w:rsidP="008F15F1">
      <w:pPr>
        <w:numPr>
          <w:ilvl w:val="0"/>
          <w:numId w:val="36"/>
        </w:num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Las disposiciones del Acuerdo sobre mecanismos de gestión basados en áreas, incluidas las áreas marinas protegidas situadas fuera de la jurisdicción nacional, pueden respaldar la meta 3 del Marco</w:t>
      </w:r>
    </w:p>
    <w:p w14:paraId="6B85BA8D" w14:textId="77777777" w:rsidR="008F15F1" w:rsidRPr="005E3D50" w:rsidRDefault="008F15F1" w:rsidP="008F15F1">
      <w:pPr>
        <w:numPr>
          <w:ilvl w:val="0"/>
          <w:numId w:val="36"/>
        </w:num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Las disposiciones del Acuerdo sobre evaluaciones de impacto ambiental de las actividades pertinentes en las zonas situadas fuera de la jurisdicción nacional están armonizadas con la meta 14 del Marco relativa a la integración de la diversidad biológica y sus múltiples valores</w:t>
      </w:r>
    </w:p>
    <w:p w14:paraId="0452B3A7" w14:textId="77777777" w:rsidR="008F15F1" w:rsidRPr="005E3D50" w:rsidRDefault="008F15F1" w:rsidP="008F15F1">
      <w:pPr>
        <w:numPr>
          <w:ilvl w:val="0"/>
          <w:numId w:val="36"/>
        </w:num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El compromiso formulado en el Acuerdo con respecto a la creación de capacidad y la transferencia de tecnología marina puede respaldar la meta 20 del Marco</w:t>
      </w:r>
    </w:p>
    <w:p w14:paraId="73C2CE07" w14:textId="77777777" w:rsidR="008F15F1" w:rsidRPr="005E3D50" w:rsidRDefault="008F15F1" w:rsidP="008F15F1">
      <w:pPr>
        <w:numPr>
          <w:ilvl w:val="0"/>
          <w:numId w:val="36"/>
        </w:numPr>
        <w:autoSpaceDE w:val="0"/>
        <w:autoSpaceDN w:val="0"/>
        <w:adjustRightInd w:val="0"/>
        <w:spacing w:after="0" w:line="276" w:lineRule="auto"/>
        <w:rPr>
          <w:rFonts w:cs="Times New Roman"/>
          <w:color w:val="000000"/>
          <w:kern w:val="0"/>
          <w:lang w:val="es-ES"/>
        </w:rPr>
      </w:pPr>
      <w:r w:rsidRPr="005E3D50">
        <w:rPr>
          <w:rFonts w:cs="Times New Roman"/>
          <w:color w:val="000000"/>
          <w:kern w:val="0"/>
          <w:lang w:val="es-ES"/>
        </w:rPr>
        <w:t>En general, el Acuerdo puede impulsar aún más la colaboración intersectorial en apoyo de la conservación y la utilización sostenible de la biodiversidad marina a través de su enfoque en la cooperación con los órganos y procesos intergubernamentales pertinentes.</w:t>
      </w:r>
    </w:p>
    <w:p w14:paraId="1366E3DF" w14:textId="77777777" w:rsidR="008F15F1" w:rsidRPr="005E3D50" w:rsidRDefault="008F15F1" w:rsidP="008F15F1">
      <w:pPr>
        <w:autoSpaceDE w:val="0"/>
        <w:autoSpaceDN w:val="0"/>
        <w:adjustRightInd w:val="0"/>
        <w:spacing w:after="0" w:line="276" w:lineRule="auto"/>
        <w:ind w:left="720"/>
        <w:rPr>
          <w:rFonts w:cs="Times New Roman"/>
          <w:color w:val="000000"/>
          <w:kern w:val="0"/>
          <w:lang w:val="es-ES"/>
        </w:rPr>
      </w:pPr>
    </w:p>
    <w:p w14:paraId="6D40A944" w14:textId="77777777" w:rsidR="008F15F1" w:rsidRPr="005E3D50" w:rsidRDefault="008F15F1" w:rsidP="008F15F1">
      <w:pPr>
        <w:autoSpaceDE w:val="0"/>
        <w:autoSpaceDN w:val="0"/>
        <w:adjustRightInd w:val="0"/>
        <w:spacing w:after="0" w:line="276" w:lineRule="auto"/>
        <w:ind w:left="720"/>
        <w:rPr>
          <w:rFonts w:cs="Times New Roman"/>
          <w:color w:val="000000"/>
          <w:kern w:val="0"/>
          <w:lang w:val="es-ES"/>
        </w:rPr>
      </w:pPr>
    </w:p>
    <w:p w14:paraId="64AA8BF0" w14:textId="77777777" w:rsidR="008F15F1" w:rsidRPr="005E3D50" w:rsidRDefault="008F15F1" w:rsidP="008F15F1">
      <w:pPr>
        <w:rPr>
          <w:lang w:val="es-ES"/>
        </w:rPr>
      </w:pPr>
      <w:hyperlink r:id="rId239" w:history="1">
        <w:r w:rsidRPr="005E3D50">
          <w:rPr>
            <w:rFonts w:ascii="Aptos"/>
            <w:color w:val="000000" w:themeColor="text1"/>
            <w:lang w:val="es-ES"/>
          </w:rPr>
          <w:t>CBD/SBSTTA/26/INF/9/Rev.1</w:t>
        </w:r>
      </w:hyperlink>
      <w:r w:rsidRPr="005E3D50">
        <w:rPr>
          <w:rFonts w:ascii="Aptos"/>
          <w:color w:val="156082" w:themeColor="accent1"/>
          <w:lang w:val="es-ES"/>
        </w:rPr>
        <w:t xml:space="preserve"> </w:t>
      </w:r>
      <w:r w:rsidRPr="005E3D50">
        <w:rPr>
          <w:rFonts w:ascii="Aptos"/>
          <w:lang w:val="es-ES"/>
        </w:rPr>
        <w:t xml:space="preserve">(Blasiak y </w:t>
      </w:r>
      <w:proofErr w:type="spellStart"/>
      <w:r w:rsidRPr="005E3D50">
        <w:rPr>
          <w:rFonts w:ascii="Aptos"/>
          <w:lang w:val="es-ES"/>
        </w:rPr>
        <w:t>Jouffray</w:t>
      </w:r>
      <w:proofErr w:type="spellEnd"/>
      <w:r w:rsidRPr="005E3D50">
        <w:rPr>
          <w:rFonts w:ascii="Aptos"/>
          <w:lang w:val="es-ES"/>
        </w:rPr>
        <w:t>, 2024; CDB, 2025c; División de Asuntos Oceánicos y del Derecho del Mar de las Naciones Unidas, 2025; PNUMA, 2025f; Ricard, 2024)</w:t>
      </w:r>
    </w:p>
    <w:p w14:paraId="7DC7684D" w14:textId="77777777" w:rsidR="008F15F1" w:rsidRPr="005E3D50" w:rsidRDefault="008F15F1" w:rsidP="008F15F1">
      <w:pPr>
        <w:rPr>
          <w:lang w:val="es-ES"/>
        </w:rPr>
      </w:pPr>
    </w:p>
    <w:p w14:paraId="65F94450" w14:textId="77777777" w:rsidR="008F15F1" w:rsidRPr="005E3D50" w:rsidRDefault="008F15F1" w:rsidP="008F15F1">
      <w:pPr>
        <w:keepNext/>
        <w:keepLines/>
        <w:spacing w:before="80" w:after="40"/>
        <w:outlineLvl w:val="3"/>
        <w:rPr>
          <w:rFonts w:eastAsiaTheme="majorEastAsia" w:cstheme="majorBidi"/>
          <w:i/>
          <w:iCs/>
          <w:color w:val="0F4761" w:themeColor="accent1" w:themeShade="BF"/>
          <w:lang w:val="es-ES"/>
        </w:rPr>
      </w:pPr>
      <w:bookmarkStart w:id="724" w:name="_Toc239069252"/>
      <w:bookmarkStart w:id="725" w:name="_Toc917011867"/>
      <w:bookmarkStart w:id="726" w:name="_Toc242883031"/>
      <w:r w:rsidRPr="005E3D50">
        <w:rPr>
          <w:rFonts w:eastAsiaTheme="majorEastAsia" w:cstheme="majorBidi"/>
          <w:i/>
          <w:iCs/>
          <w:color w:val="0F4761" w:themeColor="accent1" w:themeShade="BF"/>
          <w:lang w:val="es-ES"/>
        </w:rPr>
        <w:t>Otros acuerdos ambientales multilaterales pertinentes</w:t>
      </w:r>
      <w:bookmarkEnd w:id="724"/>
      <w:bookmarkEnd w:id="725"/>
      <w:bookmarkEnd w:id="726"/>
    </w:p>
    <w:p w14:paraId="26BE9219" w14:textId="77777777" w:rsidR="008F15F1" w:rsidRPr="005E3D50" w:rsidRDefault="008F15F1" w:rsidP="008F15F1">
      <w:pPr>
        <w:rPr>
          <w:lang w:val="es-ES"/>
        </w:rPr>
      </w:pPr>
    </w:p>
    <w:p w14:paraId="77F7852C" w14:textId="77777777" w:rsidR="008F15F1" w:rsidRPr="005E3D50" w:rsidRDefault="008F15F1" w:rsidP="008F15F1">
      <w:pPr>
        <w:rPr>
          <w:lang w:val="es-ES"/>
        </w:rPr>
      </w:pPr>
      <w:r w:rsidRPr="005E3D50">
        <w:rPr>
          <w:lang w:val="es-ES"/>
        </w:rPr>
        <w:lastRenderedPageBreak/>
        <w:t>Además de las convenciones de Río y los convenios relacionados con la diversidad biológica, los AAM más estrechamente relacionados con la implementación del Marco son los que abordan la acción y la cooperación internacionales en el ámbito de los productos químicos y los desechos. En particular, en la sección II.B se describen las contribuciones de los siguientes AAM a la consecución de metas específicas del Marco:</w:t>
      </w:r>
    </w:p>
    <w:p w14:paraId="6DBCDCBF" w14:textId="77777777" w:rsidR="008F15F1" w:rsidRPr="005E3D50" w:rsidRDefault="008F15F1" w:rsidP="008F15F1">
      <w:pPr>
        <w:numPr>
          <w:ilvl w:val="0"/>
          <w:numId w:val="56"/>
        </w:numPr>
        <w:contextualSpacing/>
        <w:rPr>
          <w:lang w:val="es-ES"/>
        </w:rPr>
      </w:pPr>
      <w:r w:rsidRPr="005E3D50">
        <w:rPr>
          <w:lang w:val="es-ES"/>
        </w:rPr>
        <w:t>Convenio de Basilea sobre el Control de los Movimientos Transfronterizos de los Desechos Peligrosos y su Eliminación (metas 7, 10, 12, 16, 18 y 23) (Secretaría de los Convenios de Basilea, Estocolmo y Rotterdam, 2025)</w:t>
      </w:r>
    </w:p>
    <w:p w14:paraId="016D7DA8" w14:textId="77777777" w:rsidR="008F15F1" w:rsidRPr="005E3D50" w:rsidRDefault="008F15F1" w:rsidP="008F15F1">
      <w:pPr>
        <w:numPr>
          <w:ilvl w:val="0"/>
          <w:numId w:val="56"/>
        </w:numPr>
        <w:contextualSpacing/>
        <w:rPr>
          <w:lang w:val="es-ES"/>
        </w:rPr>
      </w:pPr>
      <w:r w:rsidRPr="005E3D50">
        <w:rPr>
          <w:lang w:val="es-ES"/>
        </w:rPr>
        <w:t>Convenio de Estocolmo sobre Contaminantes Orgánicos Persistentes (metas 7, 8, 10, 12, 16, 18 y 23) (Secretaría de los Convenios de Basilea, Estocolmo y Rotterdam, 2025)</w:t>
      </w:r>
    </w:p>
    <w:p w14:paraId="607A49A8" w14:textId="77777777" w:rsidR="008F15F1" w:rsidRPr="005E3D50" w:rsidRDefault="008F15F1" w:rsidP="008F15F1">
      <w:pPr>
        <w:numPr>
          <w:ilvl w:val="0"/>
          <w:numId w:val="56"/>
        </w:numPr>
        <w:contextualSpacing/>
        <w:rPr>
          <w:lang w:val="es-ES"/>
        </w:rPr>
      </w:pPr>
      <w:r w:rsidRPr="005E3D50">
        <w:rPr>
          <w:color w:val="000000" w:themeColor="text1"/>
          <w:shd w:val="clear" w:color="auto" w:fill="FFFFFF"/>
          <w:lang w:val="es-ES"/>
        </w:rPr>
        <w:t>Convenio de Rotterdam sobre el Procedimiento de Consentimiento Fundamentado Previo Aplicable a Ciertos Plaguicidas y Productos Químicos Peligrosos Objeto de Comercio Internacional (metas 7, 8 y 18) (Secretaría de los Convenios de Basilea, Estocolmo y Rotterdam, 2025)</w:t>
      </w:r>
    </w:p>
    <w:p w14:paraId="4E6891A4" w14:textId="77777777" w:rsidR="008F15F1" w:rsidRPr="005E3D50" w:rsidRDefault="008F15F1" w:rsidP="008F15F1">
      <w:pPr>
        <w:numPr>
          <w:ilvl w:val="0"/>
          <w:numId w:val="56"/>
        </w:numPr>
        <w:contextualSpacing/>
        <w:rPr>
          <w:lang w:val="es-ES"/>
        </w:rPr>
      </w:pPr>
      <w:r w:rsidRPr="005E3D50">
        <w:rPr>
          <w:lang w:val="es-ES"/>
        </w:rPr>
        <w:t>Convenio de Minamata sobre el Mercurio (metas 7 y 22)</w:t>
      </w:r>
    </w:p>
    <w:p w14:paraId="1CA81D31" w14:textId="77777777" w:rsidR="008F15F1" w:rsidRPr="005E3D50" w:rsidRDefault="008F15F1" w:rsidP="008F15F1">
      <w:pPr>
        <w:rPr>
          <w:lang w:val="es-ES"/>
        </w:rPr>
      </w:pPr>
    </w:p>
    <w:p w14:paraId="7874A7C1"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727" w:name="_Toc235821386"/>
      <w:bookmarkStart w:id="728" w:name="_Toc239069253"/>
      <w:bookmarkStart w:id="729" w:name="_Toc359932031"/>
      <w:bookmarkStart w:id="730" w:name="_Toc227079278"/>
      <w:bookmarkStart w:id="731" w:name="_Toc242883032"/>
      <w:r w:rsidRPr="005E3D50">
        <w:rPr>
          <w:rFonts w:eastAsiaTheme="majorEastAsia" w:cstheme="majorBidi"/>
          <w:color w:val="0F4761" w:themeColor="accent1" w:themeShade="BF"/>
          <w:sz w:val="28"/>
          <w:szCs w:val="28"/>
          <w:lang w:val="es-ES"/>
        </w:rPr>
        <w:t>Acuerdos ambientales multilaterales y otros acuerdos y convenios mencionados en las estrategias y planes de acción nacionales en materia de biodiversidad</w:t>
      </w:r>
      <w:bookmarkEnd w:id="727"/>
      <w:bookmarkEnd w:id="728"/>
      <w:bookmarkEnd w:id="729"/>
      <w:bookmarkEnd w:id="731"/>
      <w:r w:rsidRPr="005E3D50">
        <w:rPr>
          <w:rFonts w:eastAsiaTheme="majorEastAsia" w:cstheme="majorBidi"/>
          <w:color w:val="0F4761" w:themeColor="accent1" w:themeShade="BF"/>
          <w:sz w:val="28"/>
          <w:szCs w:val="28"/>
          <w:lang w:val="es-ES"/>
        </w:rPr>
        <w:t xml:space="preserve"> </w:t>
      </w:r>
      <w:bookmarkEnd w:id="730"/>
    </w:p>
    <w:p w14:paraId="2E5497D7" w14:textId="77777777" w:rsidR="008F15F1" w:rsidRPr="005E3D50" w:rsidRDefault="008F15F1" w:rsidP="008F15F1">
      <w:pPr>
        <w:keepNext/>
        <w:spacing w:after="200" w:line="240" w:lineRule="auto"/>
        <w:rPr>
          <w:rFonts w:eastAsiaTheme="minorEastAsia"/>
          <w:color w:val="0E2841" w:themeColor="text2"/>
          <w:kern w:val="0"/>
          <w:lang w:val="es-ES" w:eastAsia="ja-JP"/>
          <w14:ligatures w14:val="none"/>
        </w:rPr>
      </w:pPr>
    </w:p>
    <w:p w14:paraId="7E51EF57" w14:textId="77777777" w:rsidR="008F15F1" w:rsidRPr="005E3D50" w:rsidRDefault="008F15F1" w:rsidP="008F15F1">
      <w:pPr>
        <w:keepNext/>
        <w:spacing w:after="200" w:line="240" w:lineRule="auto"/>
        <w:rPr>
          <w:rFonts w:eastAsiaTheme="minorEastAsia"/>
          <w:color w:val="0E2841" w:themeColor="text2"/>
          <w:kern w:val="0"/>
          <w:lang w:val="es-ES" w:eastAsia="ja-JP"/>
          <w14:ligatures w14:val="none"/>
        </w:rPr>
      </w:pPr>
      <w:r w:rsidRPr="005E3D50">
        <w:rPr>
          <w:rFonts w:eastAsiaTheme="minorEastAsia"/>
          <w:iCs/>
          <w:color w:val="0E2841" w:themeColor="text2"/>
          <w:kern w:val="0"/>
          <w:szCs w:val="18"/>
          <w:lang w:val="es-ES" w:eastAsia="ja-JP"/>
          <w14:ligatures w14:val="none"/>
        </w:rPr>
        <w:t>Como se señaló en la sección II.A, en muchas de las estrategias y planes de acción nacionales en materia de biodiversidad (EPANB) que se analizaron para este informe se señalan vínculos y sinergias entre la implementación del Marco y las medidas adoptadas en el contexto de otros acuerdos ambientales multilaterales y otros acuerdos y convenios. En el cuadro 55 se presenta una lista de los acuerdos mencionados en las EPANB, ordenados según la frecuencia con que se mencionan.</w:t>
      </w:r>
    </w:p>
    <w:p w14:paraId="2857CD73" w14:textId="77777777" w:rsidR="008F15F1" w:rsidRPr="005E3D50" w:rsidRDefault="008F15F1" w:rsidP="008F15F1">
      <w:pPr>
        <w:keepNext/>
        <w:spacing w:after="200" w:line="240" w:lineRule="auto"/>
        <w:rPr>
          <w:rFonts w:eastAsiaTheme="minorEastAsia"/>
          <w:iCs/>
          <w:color w:val="0E2841" w:themeColor="text2"/>
          <w:kern w:val="0"/>
          <w:sz w:val="18"/>
          <w:szCs w:val="18"/>
          <w:lang w:val="es-ES" w:eastAsia="ja-JP"/>
          <w14:ligatures w14:val="none"/>
        </w:rPr>
      </w:pPr>
    </w:p>
    <w:p w14:paraId="4B717D88" w14:textId="77777777" w:rsidR="008F15F1" w:rsidRPr="005E3D50" w:rsidRDefault="008F15F1" w:rsidP="008F15F1">
      <w:pPr>
        <w:keepNext/>
        <w:spacing w:after="200" w:line="240" w:lineRule="auto"/>
        <w:rPr>
          <w:rFonts w:eastAsiaTheme="minorEastAsia"/>
          <w:color w:val="0E2841" w:themeColor="text2"/>
          <w:kern w:val="0"/>
          <w:sz w:val="20"/>
          <w:szCs w:val="20"/>
          <w:lang w:val="es-ES" w:eastAsia="ja-JP"/>
          <w14:ligatures w14:val="none"/>
        </w:rPr>
      </w:pPr>
      <w:bookmarkStart w:id="732" w:name="_Ref231280727"/>
      <w:r w:rsidRPr="005E3D50">
        <w:rPr>
          <w:rFonts w:eastAsiaTheme="minorEastAsia"/>
          <w:iCs/>
          <w:color w:val="0E2841" w:themeColor="text2"/>
          <w:kern w:val="0"/>
          <w:sz w:val="20"/>
          <w:szCs w:val="18"/>
          <w:lang w:val="es-ES" w:eastAsia="ja-JP"/>
          <w14:ligatures w14:val="none"/>
        </w:rPr>
        <w:t>Cuadro 55</w:t>
      </w:r>
      <w:bookmarkEnd w:id="732"/>
    </w:p>
    <w:p w14:paraId="5BE9B28E" w14:textId="77777777" w:rsidR="008F15F1" w:rsidRPr="005E3D50" w:rsidRDefault="008F15F1" w:rsidP="008F15F1">
      <w:pPr>
        <w:rPr>
          <w:sz w:val="20"/>
          <w:szCs w:val="20"/>
          <w:lang w:val="es-ES"/>
        </w:rPr>
      </w:pPr>
      <w:r w:rsidRPr="005E3D50">
        <w:rPr>
          <w:b/>
          <w:sz w:val="20"/>
          <w:lang w:val="es-ES"/>
        </w:rPr>
        <w:t>Número de EPANB que mencionan acuerdos ambientales multilaterales y otros acuerdos y convenios, ordenados según el número de EPANB en las que se menciona el acuerdo respectivo</w:t>
      </w:r>
    </w:p>
    <w:tbl>
      <w:tblPr>
        <w:tblStyle w:val="TableGrid1"/>
        <w:tblW w:w="9639" w:type="dxa"/>
        <w:tblInd w:w="-289" w:type="dxa"/>
        <w:tblLook w:val="04A0" w:firstRow="1" w:lastRow="0" w:firstColumn="1" w:lastColumn="0" w:noHBand="0" w:noVBand="1"/>
      </w:tblPr>
      <w:tblGrid>
        <w:gridCol w:w="8194"/>
        <w:gridCol w:w="1445"/>
      </w:tblGrid>
      <w:tr w:rsidR="008F15F1" w:rsidRPr="005E3D50" w14:paraId="73EB7F8E" w14:textId="77777777" w:rsidTr="006E6831">
        <w:tc>
          <w:tcPr>
            <w:tcW w:w="8194" w:type="dxa"/>
            <w:shd w:val="clear" w:color="auto" w:fill="D1D1D1" w:themeFill="background2" w:themeFillShade="E6"/>
          </w:tcPr>
          <w:p w14:paraId="2F73DDDC" w14:textId="77777777" w:rsidR="008F15F1" w:rsidRPr="005E3D50" w:rsidRDefault="008F15F1" w:rsidP="008F15F1">
            <w:pPr>
              <w:spacing w:before="120" w:after="120"/>
              <w:rPr>
                <w:b/>
                <w:bCs/>
                <w:sz w:val="20"/>
                <w:szCs w:val="20"/>
              </w:rPr>
            </w:pPr>
            <w:r w:rsidRPr="005E3D50">
              <w:rPr>
                <w:b/>
                <w:sz w:val="20"/>
              </w:rPr>
              <w:t>Convenio/acuerdo</w:t>
            </w:r>
          </w:p>
        </w:tc>
        <w:tc>
          <w:tcPr>
            <w:tcW w:w="1445" w:type="dxa"/>
            <w:shd w:val="clear" w:color="auto" w:fill="D1D1D1" w:themeFill="background2" w:themeFillShade="E6"/>
          </w:tcPr>
          <w:p w14:paraId="0B130675" w14:textId="77777777" w:rsidR="008F15F1" w:rsidRPr="005E3D50" w:rsidRDefault="008F15F1" w:rsidP="008F15F1">
            <w:pPr>
              <w:spacing w:before="120" w:after="120"/>
              <w:rPr>
                <w:b/>
                <w:sz w:val="20"/>
                <w:szCs w:val="20"/>
              </w:rPr>
            </w:pPr>
            <w:r w:rsidRPr="005E3D50">
              <w:rPr>
                <w:b/>
                <w:sz w:val="20"/>
              </w:rPr>
              <w:t>EPANB (Partes)</w:t>
            </w:r>
          </w:p>
        </w:tc>
      </w:tr>
      <w:tr w:rsidR="008F15F1" w:rsidRPr="005E3D50" w14:paraId="58535FA4" w14:textId="77777777" w:rsidTr="006E6831">
        <w:tc>
          <w:tcPr>
            <w:tcW w:w="8194" w:type="dxa"/>
          </w:tcPr>
          <w:p w14:paraId="2C896E9C" w14:textId="77777777" w:rsidR="008F15F1" w:rsidRPr="005E3D50" w:rsidRDefault="008F15F1" w:rsidP="008F15F1">
            <w:pPr>
              <w:spacing w:before="120" w:after="120"/>
              <w:rPr>
                <w:sz w:val="20"/>
                <w:szCs w:val="20"/>
              </w:rPr>
            </w:pPr>
            <w:r w:rsidRPr="005E3D50">
              <w:rPr>
                <w:sz w:val="20"/>
              </w:rPr>
              <w:t>Convención sobre el Comercio Internacional de Especies Amenazadas de Fauna y Flora Silvestres</w:t>
            </w:r>
          </w:p>
        </w:tc>
        <w:tc>
          <w:tcPr>
            <w:tcW w:w="1445" w:type="dxa"/>
          </w:tcPr>
          <w:p w14:paraId="2F65329C" w14:textId="77777777" w:rsidR="008F15F1" w:rsidRPr="005E3D50" w:rsidRDefault="008F15F1" w:rsidP="008F15F1">
            <w:pPr>
              <w:spacing w:before="120" w:after="120"/>
              <w:rPr>
                <w:sz w:val="20"/>
                <w:szCs w:val="20"/>
              </w:rPr>
            </w:pPr>
            <w:r w:rsidRPr="005E3D50">
              <w:rPr>
                <w:sz w:val="20"/>
              </w:rPr>
              <w:t>65 (64)</w:t>
            </w:r>
          </w:p>
        </w:tc>
      </w:tr>
      <w:tr w:rsidR="008F15F1" w:rsidRPr="005E3D50" w14:paraId="5BED2CFA" w14:textId="77777777" w:rsidTr="006E6831">
        <w:tc>
          <w:tcPr>
            <w:tcW w:w="8194" w:type="dxa"/>
          </w:tcPr>
          <w:p w14:paraId="1188EFAC" w14:textId="77777777" w:rsidR="008F15F1" w:rsidRPr="005E3D50" w:rsidRDefault="008F15F1" w:rsidP="008F15F1">
            <w:pPr>
              <w:spacing w:before="120" w:after="120"/>
              <w:rPr>
                <w:sz w:val="20"/>
                <w:szCs w:val="20"/>
              </w:rPr>
            </w:pPr>
            <w:r w:rsidRPr="005E3D50">
              <w:rPr>
                <w:color w:val="000000" w:themeColor="text1"/>
                <w:sz w:val="20"/>
                <w:shd w:val="clear" w:color="auto" w:fill="FFFFFF"/>
              </w:rPr>
              <w:lastRenderedPageBreak/>
              <w:t xml:space="preserve">Convención relativa a los Humedales de Importancia Internacional Especialmente como Hábitat de Aves Acuáticas </w:t>
            </w:r>
          </w:p>
        </w:tc>
        <w:tc>
          <w:tcPr>
            <w:tcW w:w="1445" w:type="dxa"/>
          </w:tcPr>
          <w:p w14:paraId="4D5F4BD6" w14:textId="77777777" w:rsidR="008F15F1" w:rsidRPr="005E3D50" w:rsidRDefault="008F15F1" w:rsidP="008F15F1">
            <w:pPr>
              <w:spacing w:before="120" w:after="120"/>
              <w:rPr>
                <w:sz w:val="20"/>
                <w:szCs w:val="20"/>
              </w:rPr>
            </w:pPr>
            <w:r w:rsidRPr="005E3D50">
              <w:rPr>
                <w:sz w:val="20"/>
              </w:rPr>
              <w:t xml:space="preserve">64 (62) </w:t>
            </w:r>
          </w:p>
        </w:tc>
      </w:tr>
      <w:tr w:rsidR="008F15F1" w:rsidRPr="005E3D50" w14:paraId="696C7EFF" w14:textId="77777777" w:rsidTr="006E6831">
        <w:tc>
          <w:tcPr>
            <w:tcW w:w="8194" w:type="dxa"/>
          </w:tcPr>
          <w:p w14:paraId="34E363AA" w14:textId="77777777" w:rsidR="008F15F1" w:rsidRPr="005E3D50" w:rsidRDefault="008F15F1" w:rsidP="008F15F1">
            <w:pPr>
              <w:spacing w:before="120" w:after="120"/>
              <w:rPr>
                <w:sz w:val="20"/>
                <w:szCs w:val="20"/>
              </w:rPr>
            </w:pPr>
            <w:r w:rsidRPr="005E3D50">
              <w:rPr>
                <w:sz w:val="20"/>
              </w:rPr>
              <w:t>Convención Marco de las Naciones Unidas sobre el Cambio Climático</w:t>
            </w:r>
          </w:p>
        </w:tc>
        <w:tc>
          <w:tcPr>
            <w:tcW w:w="1445" w:type="dxa"/>
          </w:tcPr>
          <w:p w14:paraId="1273395E" w14:textId="77777777" w:rsidR="008F15F1" w:rsidRPr="005E3D50" w:rsidRDefault="008F15F1" w:rsidP="008F15F1">
            <w:pPr>
              <w:spacing w:before="120" w:after="120"/>
              <w:rPr>
                <w:sz w:val="20"/>
                <w:szCs w:val="20"/>
              </w:rPr>
            </w:pPr>
            <w:r w:rsidRPr="005E3D50">
              <w:rPr>
                <w:sz w:val="20"/>
              </w:rPr>
              <w:t>53</w:t>
            </w:r>
          </w:p>
        </w:tc>
      </w:tr>
      <w:tr w:rsidR="008F15F1" w:rsidRPr="005E3D50" w14:paraId="169645BF" w14:textId="77777777" w:rsidTr="006E6831">
        <w:tc>
          <w:tcPr>
            <w:tcW w:w="8194" w:type="dxa"/>
          </w:tcPr>
          <w:p w14:paraId="0250F128" w14:textId="77777777" w:rsidR="008F15F1" w:rsidRPr="005E3D50" w:rsidRDefault="008F15F1" w:rsidP="008F15F1">
            <w:pPr>
              <w:spacing w:before="120" w:after="120"/>
              <w:rPr>
                <w:sz w:val="20"/>
                <w:szCs w:val="20"/>
              </w:rPr>
            </w:pPr>
            <w:r w:rsidRPr="005E3D50">
              <w:rPr>
                <w:sz w:val="20"/>
              </w:rPr>
              <w:t>Convención de las Naciones Unidas de Lucha contra la Desertificación en los Países Afectados por Sequía Grave o Desertificación, en Particular en África</w:t>
            </w:r>
          </w:p>
        </w:tc>
        <w:tc>
          <w:tcPr>
            <w:tcW w:w="1445" w:type="dxa"/>
          </w:tcPr>
          <w:p w14:paraId="764029F3" w14:textId="77777777" w:rsidR="008F15F1" w:rsidRPr="005E3D50" w:rsidRDefault="008F15F1" w:rsidP="008F15F1">
            <w:pPr>
              <w:spacing w:before="120" w:after="120"/>
              <w:rPr>
                <w:sz w:val="20"/>
                <w:szCs w:val="20"/>
              </w:rPr>
            </w:pPr>
            <w:r w:rsidRPr="005E3D50">
              <w:rPr>
                <w:sz w:val="20"/>
              </w:rPr>
              <w:t>47</w:t>
            </w:r>
          </w:p>
        </w:tc>
      </w:tr>
      <w:tr w:rsidR="008F15F1" w:rsidRPr="005E3D50" w14:paraId="0D462314" w14:textId="77777777" w:rsidTr="006E6831">
        <w:tc>
          <w:tcPr>
            <w:tcW w:w="8194" w:type="dxa"/>
          </w:tcPr>
          <w:p w14:paraId="1DFE5B2C" w14:textId="77777777" w:rsidR="008F15F1" w:rsidRPr="005E3D50" w:rsidRDefault="008F15F1" w:rsidP="008F15F1">
            <w:pPr>
              <w:spacing w:before="120" w:after="120"/>
              <w:rPr>
                <w:sz w:val="20"/>
                <w:szCs w:val="20"/>
              </w:rPr>
            </w:pPr>
            <w:r w:rsidRPr="005E3D50">
              <w:rPr>
                <w:sz w:val="20"/>
              </w:rPr>
              <w:t>Convención sobre la Conservación de las Especies Migratorias de Animales Silvestres</w:t>
            </w:r>
          </w:p>
        </w:tc>
        <w:tc>
          <w:tcPr>
            <w:tcW w:w="1445" w:type="dxa"/>
          </w:tcPr>
          <w:p w14:paraId="41FC75F6" w14:textId="77777777" w:rsidR="008F15F1" w:rsidRPr="005E3D50" w:rsidRDefault="008F15F1" w:rsidP="008F15F1">
            <w:pPr>
              <w:spacing w:before="120" w:after="120"/>
              <w:rPr>
                <w:sz w:val="20"/>
                <w:szCs w:val="20"/>
              </w:rPr>
            </w:pPr>
            <w:r w:rsidRPr="005E3D50">
              <w:rPr>
                <w:sz w:val="20"/>
              </w:rPr>
              <w:t>37 (36)</w:t>
            </w:r>
          </w:p>
        </w:tc>
      </w:tr>
      <w:tr w:rsidR="008F15F1" w:rsidRPr="005E3D50" w14:paraId="22146375" w14:textId="77777777" w:rsidTr="006E6831">
        <w:tc>
          <w:tcPr>
            <w:tcW w:w="8194" w:type="dxa"/>
          </w:tcPr>
          <w:p w14:paraId="56BC7F65" w14:textId="77777777" w:rsidR="008F15F1" w:rsidRPr="005E3D50" w:rsidRDefault="008F15F1" w:rsidP="008F15F1">
            <w:pPr>
              <w:spacing w:before="120" w:after="120"/>
              <w:rPr>
                <w:sz w:val="20"/>
                <w:szCs w:val="20"/>
              </w:rPr>
            </w:pPr>
            <w:r w:rsidRPr="005E3D50">
              <w:rPr>
                <w:sz w:val="20"/>
              </w:rPr>
              <w:t>Acuerdo de París</w:t>
            </w:r>
          </w:p>
        </w:tc>
        <w:tc>
          <w:tcPr>
            <w:tcW w:w="1445" w:type="dxa"/>
          </w:tcPr>
          <w:p w14:paraId="18702A53" w14:textId="77777777" w:rsidR="008F15F1" w:rsidRPr="005E3D50" w:rsidRDefault="008F15F1" w:rsidP="008F15F1">
            <w:pPr>
              <w:spacing w:before="120" w:after="120"/>
              <w:rPr>
                <w:sz w:val="20"/>
                <w:szCs w:val="20"/>
              </w:rPr>
            </w:pPr>
            <w:r w:rsidRPr="005E3D50">
              <w:rPr>
                <w:sz w:val="20"/>
              </w:rPr>
              <w:t>32</w:t>
            </w:r>
          </w:p>
        </w:tc>
      </w:tr>
      <w:tr w:rsidR="008F15F1" w:rsidRPr="005E3D50" w14:paraId="6006E9DD" w14:textId="77777777" w:rsidTr="006E6831">
        <w:tc>
          <w:tcPr>
            <w:tcW w:w="8194" w:type="dxa"/>
          </w:tcPr>
          <w:p w14:paraId="033846EA" w14:textId="77777777" w:rsidR="008F15F1" w:rsidRPr="005E3D50" w:rsidRDefault="008F15F1" w:rsidP="008F15F1">
            <w:pPr>
              <w:spacing w:before="120" w:after="120"/>
              <w:rPr>
                <w:sz w:val="20"/>
                <w:szCs w:val="20"/>
              </w:rPr>
            </w:pPr>
            <w:r w:rsidRPr="005E3D50">
              <w:rPr>
                <w:sz w:val="20"/>
              </w:rPr>
              <w:t>Tratado Internacional sobre los Recursos Fitogenéticos para la Alimentación y la Agricultura</w:t>
            </w:r>
          </w:p>
        </w:tc>
        <w:tc>
          <w:tcPr>
            <w:tcW w:w="1445" w:type="dxa"/>
          </w:tcPr>
          <w:p w14:paraId="21053675" w14:textId="77777777" w:rsidR="008F15F1" w:rsidRPr="005E3D50" w:rsidRDefault="008F15F1" w:rsidP="008F15F1">
            <w:pPr>
              <w:spacing w:before="120" w:after="120"/>
              <w:rPr>
                <w:sz w:val="20"/>
                <w:szCs w:val="20"/>
              </w:rPr>
            </w:pPr>
            <w:r w:rsidRPr="005E3D50">
              <w:rPr>
                <w:sz w:val="20"/>
              </w:rPr>
              <w:t>30</w:t>
            </w:r>
          </w:p>
        </w:tc>
      </w:tr>
      <w:tr w:rsidR="008F15F1" w:rsidRPr="005E3D50" w14:paraId="781FFCEB" w14:textId="77777777" w:rsidTr="006E6831">
        <w:tc>
          <w:tcPr>
            <w:tcW w:w="8194" w:type="dxa"/>
          </w:tcPr>
          <w:p w14:paraId="0446BF72" w14:textId="77777777" w:rsidR="008F15F1" w:rsidRPr="005E3D50" w:rsidRDefault="008F15F1" w:rsidP="008F15F1">
            <w:pPr>
              <w:spacing w:before="120" w:after="120"/>
              <w:rPr>
                <w:sz w:val="20"/>
                <w:szCs w:val="20"/>
              </w:rPr>
            </w:pPr>
            <w:r w:rsidRPr="005E3D50">
              <w:rPr>
                <w:sz w:val="20"/>
              </w:rPr>
              <w:t>Convención del Patrimonio Mundial</w:t>
            </w:r>
          </w:p>
        </w:tc>
        <w:tc>
          <w:tcPr>
            <w:tcW w:w="1445" w:type="dxa"/>
          </w:tcPr>
          <w:p w14:paraId="292B2B11" w14:textId="77777777" w:rsidR="008F15F1" w:rsidRPr="005E3D50" w:rsidRDefault="008F15F1" w:rsidP="008F15F1">
            <w:pPr>
              <w:spacing w:before="120" w:after="120"/>
              <w:rPr>
                <w:sz w:val="20"/>
                <w:szCs w:val="20"/>
              </w:rPr>
            </w:pPr>
            <w:r w:rsidRPr="005E3D50">
              <w:rPr>
                <w:sz w:val="20"/>
              </w:rPr>
              <w:t>25</w:t>
            </w:r>
          </w:p>
        </w:tc>
      </w:tr>
      <w:tr w:rsidR="008F15F1" w:rsidRPr="005E3D50" w14:paraId="20D85E99" w14:textId="77777777" w:rsidTr="006E6831">
        <w:tc>
          <w:tcPr>
            <w:tcW w:w="8194" w:type="dxa"/>
          </w:tcPr>
          <w:p w14:paraId="7E36CA17" w14:textId="77777777" w:rsidR="008F15F1" w:rsidRPr="005E3D50" w:rsidRDefault="008F15F1" w:rsidP="008F15F1">
            <w:pPr>
              <w:spacing w:before="120" w:after="120"/>
              <w:rPr>
                <w:b/>
                <w:bCs/>
                <w:sz w:val="20"/>
                <w:szCs w:val="20"/>
              </w:rPr>
            </w:pPr>
            <w:r w:rsidRPr="005E3D50">
              <w:rPr>
                <w:bCs/>
                <w:sz w:val="20"/>
                <w:szCs w:val="20"/>
              </w:rPr>
              <w:t>Acuerdo en el marco de la Convención de las Naciones Unidas sobre el Derecho del Mar relativo a la Conservación y el Uso Sostenible de la Diversidad Biológica Marina de las Zonas Situadas Fuera de la Jurisdicción Nacional</w:t>
            </w:r>
          </w:p>
        </w:tc>
        <w:tc>
          <w:tcPr>
            <w:tcW w:w="1445" w:type="dxa"/>
          </w:tcPr>
          <w:p w14:paraId="16F3C4FA" w14:textId="77777777" w:rsidR="008F15F1" w:rsidRPr="005E3D50" w:rsidRDefault="008F15F1" w:rsidP="008F15F1">
            <w:pPr>
              <w:spacing w:before="120" w:after="120"/>
              <w:rPr>
                <w:sz w:val="20"/>
                <w:szCs w:val="20"/>
              </w:rPr>
            </w:pPr>
            <w:r w:rsidRPr="005E3D50">
              <w:rPr>
                <w:sz w:val="20"/>
              </w:rPr>
              <w:t>18</w:t>
            </w:r>
          </w:p>
        </w:tc>
      </w:tr>
      <w:tr w:rsidR="008F15F1" w:rsidRPr="005E3D50" w14:paraId="59E7B3E5" w14:textId="77777777" w:rsidTr="006E6831">
        <w:tc>
          <w:tcPr>
            <w:tcW w:w="8194" w:type="dxa"/>
          </w:tcPr>
          <w:p w14:paraId="27B1DAC4" w14:textId="77777777" w:rsidR="008F15F1" w:rsidRPr="005E3D50" w:rsidRDefault="008F15F1" w:rsidP="008F15F1">
            <w:pPr>
              <w:spacing w:before="120" w:after="120"/>
              <w:rPr>
                <w:sz w:val="20"/>
                <w:szCs w:val="20"/>
              </w:rPr>
            </w:pPr>
            <w:r w:rsidRPr="005E3D50">
              <w:rPr>
                <w:sz w:val="20"/>
              </w:rPr>
              <w:t>Convención Internacional de Protección Fitosanitaria</w:t>
            </w:r>
          </w:p>
        </w:tc>
        <w:tc>
          <w:tcPr>
            <w:tcW w:w="1445" w:type="dxa"/>
          </w:tcPr>
          <w:p w14:paraId="6D225A1B" w14:textId="77777777" w:rsidR="008F15F1" w:rsidRPr="005E3D50" w:rsidRDefault="008F15F1" w:rsidP="008F15F1">
            <w:pPr>
              <w:spacing w:before="120" w:after="120"/>
              <w:rPr>
                <w:sz w:val="20"/>
                <w:szCs w:val="20"/>
              </w:rPr>
            </w:pPr>
            <w:r w:rsidRPr="005E3D50">
              <w:rPr>
                <w:sz w:val="20"/>
              </w:rPr>
              <w:t>14</w:t>
            </w:r>
          </w:p>
        </w:tc>
      </w:tr>
      <w:tr w:rsidR="008F15F1" w:rsidRPr="005E3D50" w14:paraId="2760FE49" w14:textId="77777777" w:rsidTr="006E6831">
        <w:tc>
          <w:tcPr>
            <w:tcW w:w="8194" w:type="dxa"/>
          </w:tcPr>
          <w:p w14:paraId="28ED3C39" w14:textId="77777777" w:rsidR="008F15F1" w:rsidRPr="005E3D50" w:rsidRDefault="008F15F1" w:rsidP="008F15F1">
            <w:pPr>
              <w:spacing w:before="120" w:after="120"/>
              <w:rPr>
                <w:sz w:val="20"/>
                <w:szCs w:val="20"/>
              </w:rPr>
            </w:pPr>
            <w:bookmarkStart w:id="733" w:name="_Hlk238905540"/>
            <w:r w:rsidRPr="005E3D50">
              <w:rPr>
                <w:sz w:val="20"/>
              </w:rPr>
              <w:t>Convenio de Estocolmo sobre Contaminantes Orgánicos Persistentes</w:t>
            </w:r>
            <w:bookmarkEnd w:id="733"/>
          </w:p>
        </w:tc>
        <w:tc>
          <w:tcPr>
            <w:tcW w:w="1445" w:type="dxa"/>
          </w:tcPr>
          <w:p w14:paraId="302C1CFE" w14:textId="77777777" w:rsidR="008F15F1" w:rsidRPr="005E3D50" w:rsidRDefault="008F15F1" w:rsidP="008F15F1">
            <w:pPr>
              <w:spacing w:before="120" w:after="120"/>
              <w:rPr>
                <w:sz w:val="20"/>
                <w:szCs w:val="20"/>
              </w:rPr>
            </w:pPr>
            <w:r w:rsidRPr="005E3D50">
              <w:rPr>
                <w:sz w:val="20"/>
              </w:rPr>
              <w:t>13</w:t>
            </w:r>
          </w:p>
        </w:tc>
      </w:tr>
      <w:tr w:rsidR="008F15F1" w:rsidRPr="005E3D50" w14:paraId="7174B1AF" w14:textId="77777777" w:rsidTr="006E6831">
        <w:tc>
          <w:tcPr>
            <w:tcW w:w="8194" w:type="dxa"/>
          </w:tcPr>
          <w:p w14:paraId="4F081155" w14:textId="77777777" w:rsidR="008F15F1" w:rsidRPr="005E3D50" w:rsidRDefault="008F15F1" w:rsidP="008F15F1">
            <w:pPr>
              <w:spacing w:before="120" w:after="120"/>
              <w:rPr>
                <w:sz w:val="20"/>
                <w:szCs w:val="20"/>
              </w:rPr>
            </w:pPr>
            <w:r w:rsidRPr="005E3D50">
              <w:rPr>
                <w:sz w:val="20"/>
              </w:rPr>
              <w:t xml:space="preserve">Convenio de Basilea sobre el Control de los Movimientos Transfronterizos de los Desechos Peligrosos y su Eliminación </w:t>
            </w:r>
          </w:p>
        </w:tc>
        <w:tc>
          <w:tcPr>
            <w:tcW w:w="1445" w:type="dxa"/>
          </w:tcPr>
          <w:p w14:paraId="038DC96B" w14:textId="77777777" w:rsidR="008F15F1" w:rsidRPr="005E3D50" w:rsidRDefault="008F15F1" w:rsidP="008F15F1">
            <w:pPr>
              <w:spacing w:before="120" w:after="120"/>
              <w:rPr>
                <w:sz w:val="20"/>
                <w:szCs w:val="20"/>
              </w:rPr>
            </w:pPr>
            <w:r w:rsidRPr="005E3D50">
              <w:rPr>
                <w:sz w:val="20"/>
              </w:rPr>
              <w:t>13</w:t>
            </w:r>
          </w:p>
        </w:tc>
      </w:tr>
      <w:tr w:rsidR="008F15F1" w:rsidRPr="005E3D50" w14:paraId="1B92EFD5" w14:textId="77777777" w:rsidTr="006E6831">
        <w:tc>
          <w:tcPr>
            <w:tcW w:w="8194" w:type="dxa"/>
          </w:tcPr>
          <w:p w14:paraId="24D18009" w14:textId="77777777" w:rsidR="008F15F1" w:rsidRPr="005E3D50" w:rsidRDefault="008F15F1" w:rsidP="008F15F1">
            <w:pPr>
              <w:spacing w:before="120" w:after="120"/>
              <w:rPr>
                <w:sz w:val="20"/>
                <w:szCs w:val="20"/>
              </w:rPr>
            </w:pPr>
            <w:r w:rsidRPr="005E3D50">
              <w:rPr>
                <w:color w:val="000000" w:themeColor="text1"/>
                <w:sz w:val="20"/>
                <w:shd w:val="clear" w:color="auto" w:fill="FFFFFF"/>
              </w:rPr>
              <w:t>Convenio de Rotterdam sobre el Procedimiento de Consentimiento Fundamentado Previo Aplicable a Ciertos Plaguicidas y Productos Químicos Peligrosos Objeto de Comercio Internacional</w:t>
            </w:r>
          </w:p>
        </w:tc>
        <w:tc>
          <w:tcPr>
            <w:tcW w:w="1445" w:type="dxa"/>
          </w:tcPr>
          <w:p w14:paraId="14299DAF" w14:textId="77777777" w:rsidR="008F15F1" w:rsidRPr="005E3D50" w:rsidRDefault="008F15F1" w:rsidP="008F15F1">
            <w:pPr>
              <w:spacing w:before="120" w:after="120"/>
              <w:rPr>
                <w:sz w:val="20"/>
                <w:szCs w:val="20"/>
              </w:rPr>
            </w:pPr>
            <w:r w:rsidRPr="005E3D50">
              <w:rPr>
                <w:sz w:val="20"/>
              </w:rPr>
              <w:t>12</w:t>
            </w:r>
          </w:p>
        </w:tc>
      </w:tr>
      <w:tr w:rsidR="008F15F1" w:rsidRPr="005E3D50" w14:paraId="073F312E" w14:textId="77777777" w:rsidTr="006E6831">
        <w:tc>
          <w:tcPr>
            <w:tcW w:w="8194" w:type="dxa"/>
          </w:tcPr>
          <w:p w14:paraId="6F078D20" w14:textId="77777777" w:rsidR="008F15F1" w:rsidRPr="005E3D50" w:rsidRDefault="008F15F1" w:rsidP="008F15F1">
            <w:pPr>
              <w:spacing w:before="120" w:after="120"/>
              <w:rPr>
                <w:sz w:val="20"/>
                <w:szCs w:val="20"/>
              </w:rPr>
            </w:pPr>
            <w:r w:rsidRPr="005E3D50">
              <w:rPr>
                <w:sz w:val="20"/>
              </w:rPr>
              <w:t>Convención de las Naciones Unidas sobre el Derecho del Mar</w:t>
            </w:r>
          </w:p>
        </w:tc>
        <w:tc>
          <w:tcPr>
            <w:tcW w:w="1445" w:type="dxa"/>
          </w:tcPr>
          <w:p w14:paraId="0FBE0129" w14:textId="77777777" w:rsidR="008F15F1" w:rsidRPr="005E3D50" w:rsidRDefault="008F15F1" w:rsidP="008F15F1">
            <w:pPr>
              <w:spacing w:before="120" w:after="120"/>
              <w:rPr>
                <w:sz w:val="20"/>
                <w:szCs w:val="20"/>
              </w:rPr>
            </w:pPr>
            <w:r w:rsidRPr="005E3D50">
              <w:rPr>
                <w:sz w:val="20"/>
              </w:rPr>
              <w:t>11</w:t>
            </w:r>
          </w:p>
        </w:tc>
      </w:tr>
      <w:tr w:rsidR="008F15F1" w:rsidRPr="005E3D50" w14:paraId="14B6F31B" w14:textId="77777777" w:rsidTr="006E6831">
        <w:tc>
          <w:tcPr>
            <w:tcW w:w="8194" w:type="dxa"/>
          </w:tcPr>
          <w:p w14:paraId="1E4E566E" w14:textId="77777777" w:rsidR="008F15F1" w:rsidRPr="005E3D50" w:rsidRDefault="008F15F1" w:rsidP="008F15F1">
            <w:pPr>
              <w:spacing w:before="120" w:after="120"/>
              <w:rPr>
                <w:sz w:val="20"/>
                <w:szCs w:val="20"/>
              </w:rPr>
            </w:pPr>
            <w:r w:rsidRPr="005E3D50">
              <w:rPr>
                <w:sz w:val="20"/>
              </w:rPr>
              <w:t>Comisión Ballenera Internacional/Convenio Internacional para la Regulación de la Pesca de la Ballena</w:t>
            </w:r>
          </w:p>
        </w:tc>
        <w:tc>
          <w:tcPr>
            <w:tcW w:w="1445" w:type="dxa"/>
          </w:tcPr>
          <w:p w14:paraId="3E566D96" w14:textId="77777777" w:rsidR="008F15F1" w:rsidRPr="005E3D50" w:rsidRDefault="008F15F1" w:rsidP="008F15F1">
            <w:pPr>
              <w:spacing w:before="120" w:after="120"/>
              <w:rPr>
                <w:sz w:val="20"/>
                <w:szCs w:val="20"/>
              </w:rPr>
            </w:pPr>
            <w:r w:rsidRPr="005E3D50">
              <w:rPr>
                <w:sz w:val="20"/>
              </w:rPr>
              <w:t>7</w:t>
            </w:r>
          </w:p>
        </w:tc>
      </w:tr>
      <w:tr w:rsidR="008F15F1" w:rsidRPr="005E3D50" w14:paraId="3E2D65E0" w14:textId="77777777" w:rsidTr="006E6831">
        <w:tc>
          <w:tcPr>
            <w:tcW w:w="8194" w:type="dxa"/>
          </w:tcPr>
          <w:p w14:paraId="4998FD98" w14:textId="77777777" w:rsidR="008F15F1" w:rsidRPr="005E3D50" w:rsidRDefault="008F15F1" w:rsidP="008F15F1">
            <w:pPr>
              <w:spacing w:before="120" w:after="120"/>
              <w:rPr>
                <w:sz w:val="20"/>
                <w:szCs w:val="20"/>
              </w:rPr>
            </w:pPr>
            <w:r w:rsidRPr="005E3D50">
              <w:rPr>
                <w:sz w:val="20"/>
              </w:rPr>
              <w:t>Convenio de Minamata sobre el Mercurio</w:t>
            </w:r>
          </w:p>
        </w:tc>
        <w:tc>
          <w:tcPr>
            <w:tcW w:w="1445" w:type="dxa"/>
          </w:tcPr>
          <w:p w14:paraId="0D457F32" w14:textId="77777777" w:rsidR="008F15F1" w:rsidRPr="005E3D50" w:rsidRDefault="008F15F1" w:rsidP="008F15F1">
            <w:pPr>
              <w:spacing w:before="120" w:after="120"/>
              <w:rPr>
                <w:sz w:val="20"/>
                <w:szCs w:val="20"/>
              </w:rPr>
            </w:pPr>
            <w:r w:rsidRPr="005E3D50">
              <w:rPr>
                <w:sz w:val="20"/>
              </w:rPr>
              <w:t>9</w:t>
            </w:r>
          </w:p>
        </w:tc>
      </w:tr>
      <w:tr w:rsidR="008F15F1" w:rsidRPr="005E3D50" w14:paraId="60EC1183" w14:textId="77777777" w:rsidTr="006E6831">
        <w:tc>
          <w:tcPr>
            <w:tcW w:w="8194" w:type="dxa"/>
          </w:tcPr>
          <w:p w14:paraId="6EAA0B81" w14:textId="77777777" w:rsidR="008F15F1" w:rsidRPr="005E3D50" w:rsidRDefault="008F15F1" w:rsidP="008F15F1">
            <w:pPr>
              <w:spacing w:before="120" w:after="120"/>
              <w:rPr>
                <w:sz w:val="20"/>
                <w:szCs w:val="20"/>
              </w:rPr>
            </w:pPr>
            <w:r w:rsidRPr="005E3D50">
              <w:rPr>
                <w:sz w:val="20"/>
              </w:rPr>
              <w:t>Protocolo de Montreal relativo a las Sustancias que Agotan la Capa de Ozono</w:t>
            </w:r>
          </w:p>
        </w:tc>
        <w:tc>
          <w:tcPr>
            <w:tcW w:w="1445" w:type="dxa"/>
          </w:tcPr>
          <w:p w14:paraId="0C88387F" w14:textId="77777777" w:rsidR="008F15F1" w:rsidRPr="005E3D50" w:rsidRDefault="008F15F1" w:rsidP="008F15F1">
            <w:pPr>
              <w:spacing w:before="120" w:after="120"/>
              <w:rPr>
                <w:sz w:val="20"/>
                <w:szCs w:val="20"/>
              </w:rPr>
            </w:pPr>
            <w:r w:rsidRPr="005E3D50">
              <w:rPr>
                <w:sz w:val="20"/>
              </w:rPr>
              <w:t>9</w:t>
            </w:r>
          </w:p>
        </w:tc>
      </w:tr>
      <w:tr w:rsidR="008F15F1" w:rsidRPr="005E3D50" w14:paraId="542A7FFD" w14:textId="77777777" w:rsidTr="006E6831">
        <w:tc>
          <w:tcPr>
            <w:tcW w:w="8194" w:type="dxa"/>
          </w:tcPr>
          <w:p w14:paraId="5B68C354" w14:textId="77777777" w:rsidR="008F15F1" w:rsidRPr="005E3D50" w:rsidRDefault="008F15F1" w:rsidP="008F15F1">
            <w:pPr>
              <w:autoSpaceDE w:val="0"/>
              <w:autoSpaceDN w:val="0"/>
              <w:adjustRightInd w:val="0"/>
              <w:spacing w:before="120" w:after="120"/>
              <w:rPr>
                <w:rFonts w:ascii="Times New Roman" w:hAnsi="Times New Roman" w:cs="Times New Roman"/>
                <w:color w:val="000000"/>
                <w:kern w:val="0"/>
                <w:sz w:val="20"/>
                <w:szCs w:val="20"/>
              </w:rPr>
            </w:pPr>
            <w:r w:rsidRPr="005E3D50">
              <w:rPr>
                <w:rFonts w:cs="Times New Roman"/>
                <w:color w:val="000000"/>
                <w:kern w:val="0"/>
                <w:sz w:val="20"/>
              </w:rPr>
              <w:t>Convención sobre la Eliminación de Todas las Formas de Discriminación contra la Mujer</w:t>
            </w:r>
          </w:p>
        </w:tc>
        <w:tc>
          <w:tcPr>
            <w:tcW w:w="1445" w:type="dxa"/>
          </w:tcPr>
          <w:p w14:paraId="5D1A4734" w14:textId="77777777" w:rsidR="008F15F1" w:rsidRPr="005E3D50" w:rsidRDefault="008F15F1" w:rsidP="008F15F1">
            <w:pPr>
              <w:spacing w:before="120" w:after="120"/>
              <w:rPr>
                <w:sz w:val="20"/>
                <w:szCs w:val="20"/>
              </w:rPr>
            </w:pPr>
            <w:r w:rsidRPr="005E3D50">
              <w:rPr>
                <w:sz w:val="20"/>
              </w:rPr>
              <w:t>7</w:t>
            </w:r>
          </w:p>
        </w:tc>
      </w:tr>
      <w:tr w:rsidR="008F15F1" w:rsidRPr="005E3D50" w14:paraId="491C7E67" w14:textId="77777777" w:rsidTr="006E6831">
        <w:tc>
          <w:tcPr>
            <w:tcW w:w="8194" w:type="dxa"/>
          </w:tcPr>
          <w:p w14:paraId="7D7CEE8A" w14:textId="77777777" w:rsidR="008F15F1" w:rsidRPr="005E3D50" w:rsidRDefault="008F15F1" w:rsidP="008F15F1">
            <w:pPr>
              <w:spacing w:before="120" w:after="120"/>
              <w:rPr>
                <w:sz w:val="20"/>
                <w:szCs w:val="20"/>
              </w:rPr>
            </w:pPr>
            <w:r w:rsidRPr="005E3D50">
              <w:rPr>
                <w:sz w:val="20"/>
              </w:rPr>
              <w:t>Convenio internacional para el control y la gestión del agua de lastre y los sedimentos de los buques</w:t>
            </w:r>
          </w:p>
        </w:tc>
        <w:tc>
          <w:tcPr>
            <w:tcW w:w="1445" w:type="dxa"/>
          </w:tcPr>
          <w:p w14:paraId="3CD817F9" w14:textId="77777777" w:rsidR="008F15F1" w:rsidRPr="005E3D50" w:rsidRDefault="008F15F1" w:rsidP="008F15F1">
            <w:pPr>
              <w:spacing w:before="120" w:after="120"/>
              <w:rPr>
                <w:sz w:val="20"/>
                <w:szCs w:val="20"/>
              </w:rPr>
            </w:pPr>
            <w:r w:rsidRPr="005E3D50">
              <w:rPr>
                <w:sz w:val="20"/>
              </w:rPr>
              <w:t>5</w:t>
            </w:r>
          </w:p>
        </w:tc>
      </w:tr>
    </w:tbl>
    <w:p w14:paraId="652A122D" w14:textId="77777777" w:rsidR="008F15F1" w:rsidRPr="005E3D50" w:rsidRDefault="008F15F1" w:rsidP="008F15F1">
      <w:pPr>
        <w:spacing w:before="120"/>
        <w:rPr>
          <w:color w:val="0F4761" w:themeColor="accent1" w:themeShade="BF"/>
          <w:sz w:val="18"/>
          <w:szCs w:val="18"/>
          <w:lang w:val="es-ES"/>
        </w:rPr>
      </w:pPr>
      <w:bookmarkStart w:id="734" w:name="_Toc239069254"/>
      <w:bookmarkStart w:id="735" w:name="_Toc2082394028"/>
      <w:bookmarkStart w:id="736" w:name="_Toc226619228"/>
      <w:bookmarkStart w:id="737" w:name="_Toc227079279"/>
      <w:bookmarkStart w:id="738" w:name="_Toc235821387"/>
      <w:r w:rsidRPr="005E3D50">
        <w:rPr>
          <w:i/>
          <w:color w:val="0F4761" w:themeColor="accent1" w:themeShade="BF"/>
          <w:sz w:val="18"/>
          <w:szCs w:val="18"/>
          <w:lang w:val="es-ES"/>
        </w:rPr>
        <w:t>Nota:</w:t>
      </w:r>
      <w:r w:rsidRPr="005E3D50">
        <w:rPr>
          <w:color w:val="0F4761" w:themeColor="accent1" w:themeShade="BF"/>
          <w:sz w:val="18"/>
          <w:szCs w:val="18"/>
          <w:lang w:val="es-ES"/>
        </w:rPr>
        <w:t xml:space="preserve"> Solo se enumeran los acuerdos de nivel mundial. En los casos en que una Parte ha presentado más de una EPANB (por ejemplo, cuando se han presentado EPANB separadas para territorios de ultramar), el número de Partes se indica entre paréntesis.</w:t>
      </w:r>
      <w:bookmarkEnd w:id="734"/>
      <w:bookmarkEnd w:id="735"/>
    </w:p>
    <w:p w14:paraId="1A08439B" w14:textId="77777777" w:rsidR="008F15F1" w:rsidRPr="005E3D50" w:rsidRDefault="008F15F1" w:rsidP="008F15F1">
      <w:pPr>
        <w:rPr>
          <w:sz w:val="18"/>
          <w:szCs w:val="18"/>
          <w:lang w:val="es-ES"/>
        </w:rPr>
      </w:pPr>
      <w:r w:rsidRPr="005E3D50">
        <w:rPr>
          <w:i/>
          <w:sz w:val="18"/>
          <w:lang w:val="es-ES"/>
        </w:rPr>
        <w:t xml:space="preserve">Fuente: </w:t>
      </w:r>
      <w:r w:rsidRPr="005E3D50">
        <w:rPr>
          <w:sz w:val="18"/>
          <w:lang w:val="es-ES"/>
        </w:rPr>
        <w:t xml:space="preserve">Anexo II del documento </w:t>
      </w:r>
      <w:hyperlink r:id="rId240" w:history="1">
        <w:r w:rsidRPr="005E3D50">
          <w:rPr>
            <w:color w:val="000000" w:themeColor="text1"/>
            <w:sz w:val="18"/>
            <w:lang w:val="es-ES"/>
          </w:rPr>
          <w:t>CBD/SBI/7/INF/22</w:t>
        </w:r>
      </w:hyperlink>
      <w:r w:rsidRPr="005E3D50">
        <w:rPr>
          <w:sz w:val="18"/>
          <w:lang w:val="es-ES"/>
        </w:rPr>
        <w:t>.</w:t>
      </w:r>
    </w:p>
    <w:p w14:paraId="4A16636E"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p>
    <w:p w14:paraId="57F14FCC" w14:textId="77777777" w:rsidR="008F15F1" w:rsidRPr="005E3D50" w:rsidRDefault="008F15F1" w:rsidP="008F15F1">
      <w:pPr>
        <w:keepNext/>
        <w:keepLines/>
        <w:spacing w:before="160" w:after="80"/>
        <w:outlineLvl w:val="2"/>
        <w:rPr>
          <w:rFonts w:eastAsiaTheme="majorEastAsia" w:cstheme="majorBidi"/>
          <w:color w:val="0F4761" w:themeColor="accent1" w:themeShade="BF"/>
          <w:sz w:val="28"/>
          <w:szCs w:val="28"/>
          <w:lang w:val="es-ES"/>
        </w:rPr>
      </w:pPr>
      <w:bookmarkStart w:id="739" w:name="_Toc239069255"/>
      <w:bookmarkStart w:id="740" w:name="_Toc1131906471"/>
      <w:bookmarkStart w:id="741" w:name="_Toc242883033"/>
      <w:r w:rsidRPr="005E3D50">
        <w:rPr>
          <w:rFonts w:eastAsiaTheme="majorEastAsia" w:cstheme="majorBidi"/>
          <w:color w:val="0F4761" w:themeColor="accent1" w:themeShade="BF"/>
          <w:sz w:val="28"/>
          <w:szCs w:val="28"/>
          <w:lang w:val="es-ES"/>
        </w:rPr>
        <w:t>Otras organizaciones y procesos internacionales pertinentes</w:t>
      </w:r>
      <w:bookmarkEnd w:id="736"/>
      <w:bookmarkEnd w:id="737"/>
      <w:bookmarkEnd w:id="738"/>
      <w:bookmarkEnd w:id="739"/>
      <w:bookmarkEnd w:id="740"/>
      <w:bookmarkEnd w:id="741"/>
    </w:p>
    <w:p w14:paraId="5F8F20F8" w14:textId="77777777" w:rsidR="008F15F1" w:rsidRPr="005E3D50" w:rsidRDefault="008F15F1" w:rsidP="008F15F1">
      <w:pPr>
        <w:rPr>
          <w:lang w:val="es-ES"/>
        </w:rPr>
      </w:pPr>
    </w:p>
    <w:p w14:paraId="10F0BE76" w14:textId="77777777" w:rsidR="008F15F1" w:rsidRPr="005E3D50" w:rsidRDefault="008F15F1" w:rsidP="008F15F1">
      <w:pPr>
        <w:rPr>
          <w:lang w:val="es-ES"/>
        </w:rPr>
      </w:pPr>
      <w:r w:rsidRPr="005E3D50">
        <w:rPr>
          <w:lang w:val="es-ES"/>
        </w:rPr>
        <w:t>Además de los compromisos gubernamentales formulados en el contexto de acuerdos multilaterales formales, las actividades de un abanico más amplio de organizaciones y procesos internacionales pueden respaldar la implementación del Marco. En respuesta al pedido de información para este informe, varias organizaciones y organismos de las Naciones Unidas, además de las secretarías de los AAM, informaron sobre su labor armonizada con el Marco. Otras organizaciones y procesos intergubernamentales que no pertenecen al sistema de las Naciones Unidas, de nivel tanto mundial como regional, están contribuyendo a la implementación del Marco, y en esta sección se ofrece un resumen de algunas de sus actividades.</w:t>
      </w:r>
    </w:p>
    <w:p w14:paraId="7EC76BB6" w14:textId="77777777" w:rsidR="008F15F1" w:rsidRPr="005E3D50" w:rsidRDefault="008F15F1" w:rsidP="008F15F1">
      <w:pPr>
        <w:rPr>
          <w:lang w:val="es-ES"/>
        </w:rPr>
      </w:pPr>
      <w:r w:rsidRPr="005E3D50">
        <w:rPr>
          <w:lang w:val="es-ES"/>
        </w:rPr>
        <w:t>Varias organizaciones de las Naciones Unidas han elaborado hojas de ruta u orientaciones para integrar el Marco en su labor. Entre ellas figuran las siguientes:</w:t>
      </w:r>
    </w:p>
    <w:p w14:paraId="437C23D2" w14:textId="77777777" w:rsidR="008F15F1" w:rsidRPr="005E3D50" w:rsidRDefault="008F15F1" w:rsidP="008F15F1">
      <w:pPr>
        <w:numPr>
          <w:ilvl w:val="0"/>
          <w:numId w:val="38"/>
        </w:numPr>
        <w:contextualSpacing/>
        <w:rPr>
          <w:lang w:val="es-ES"/>
        </w:rPr>
      </w:pPr>
      <w:r w:rsidRPr="005E3D50">
        <w:rPr>
          <w:lang w:val="es-ES"/>
        </w:rPr>
        <w:t xml:space="preserve">La Organización de las Naciones Unidas para la Alimentación y la Agricultura (FAO), que contribuye directamente a la implementación del Marco prestando apoyo a los países en materia de seguimiento y presentación de informes, incluso como organismo responsable de varios indicadores del Marco y de los Objetivos de Desarrollo Sostenible, o que contribuye a ellos, como se refleja en los resúmenes de las metas 2, 5 y 10 en la sección II.B, y ayudando a fortalecer los sistemas nacionales de seguimiento de la biodiversidad. Además, la FAO proporciona datos comprobados para orientar la implementación, en particular a través de su análisis mundial de cómo se reflejan los sistemas agroalimentarios en las EPANB revisadas y actualizadas, que contribuye a identificar vías de implementación, deficiencias y prioridades en los sectores de la agricultura, la silvicultura, la pesca y la acuicultura. Además, la FAO proporciona orientación práctica, herramientas, recursos de aprendizaje y apoyo en materia de políticas, por </w:t>
      </w:r>
      <w:proofErr w:type="gramStart"/>
      <w:r w:rsidRPr="005E3D50">
        <w:rPr>
          <w:lang w:val="es-ES"/>
        </w:rPr>
        <w:t>ejemplo</w:t>
      </w:r>
      <w:proofErr w:type="gramEnd"/>
      <w:r w:rsidRPr="005E3D50">
        <w:rPr>
          <w:lang w:val="es-ES"/>
        </w:rPr>
        <w:t xml:space="preserve"> a través de su Centro de Conocimientos sobre Biodiversidad</w:t>
      </w:r>
      <w:r w:rsidRPr="005E3D50">
        <w:rPr>
          <w:rFonts w:cs="Helvetica"/>
          <w:vertAlign w:val="superscript"/>
          <w:lang w:val="es-ES"/>
        </w:rPr>
        <w:footnoteReference w:id="55"/>
      </w:r>
      <w:r w:rsidRPr="005E3D50">
        <w:rPr>
          <w:lang w:val="es-ES"/>
        </w:rPr>
        <w:t>, con la finalidad de ayudar a los países a traducir las metas del Marco en medidas concretas impulsadas a nivel nacional. Esas contribuciones se sustentan en la Estrategia de la FAO para la integración de la biodiversidad en los distintos sectores agrícolas y el Plan de Acción para su aplicación, una estrategia institucional negociada por los miembros de la FAO y armonizada con el Marco en el nivel de las metas (FAO, 2024b y 2025a).</w:t>
      </w:r>
    </w:p>
    <w:p w14:paraId="0C770F20" w14:textId="77777777" w:rsidR="008F15F1" w:rsidRPr="005E3D50" w:rsidRDefault="008F15F1" w:rsidP="008F15F1">
      <w:pPr>
        <w:ind w:left="720"/>
        <w:contextualSpacing/>
        <w:rPr>
          <w:lang w:val="es-ES"/>
        </w:rPr>
      </w:pPr>
    </w:p>
    <w:p w14:paraId="4E8BFE50" w14:textId="77777777" w:rsidR="008F15F1" w:rsidRPr="005E3D50" w:rsidRDefault="008F15F1" w:rsidP="008F15F1">
      <w:pPr>
        <w:numPr>
          <w:ilvl w:val="0"/>
          <w:numId w:val="38"/>
        </w:numPr>
        <w:contextualSpacing/>
        <w:rPr>
          <w:lang w:val="es-ES"/>
        </w:rPr>
      </w:pPr>
      <w:r w:rsidRPr="005E3D50">
        <w:rPr>
          <w:lang w:val="es-ES"/>
        </w:rPr>
        <w:lastRenderedPageBreak/>
        <w:t>El Programa sobre el Hombre y la Biosfera (MAB) de la UNESCO, que ha acordado un plan de acción estratégico o una hoja de ruta para 2026-2035, donde destaca el papel de su red de casi 800 reservas de biosfera para ayudar a implementar el Marco, así como la Agenda 2030 para el Desarrollo Sostenible. La hoja de ruta, aprobada por el Consejo del MAB de la UNESCO en Hangzhou (China) en septiembre de 2025, incluye una meta para 2028 que consiste en que todas las reservas de biosfera de más de 140 países identifiquen sus contribuciones individuales al Marco y las integren en sus planes o estrategias de gestión. Otra de las metas apunta a que, para 2030, todas las reservas de biosfera estén integradas en la planificación nacional en materia de biodiversidad y desarrollo sostenible, incluidas las estrategias y planes de acción nacionales y locales en materia de biodiversidad, los informes nacionales y los sistemas de seguimiento (UNESCO, 2025c, 2025d y 2025e).</w:t>
      </w:r>
    </w:p>
    <w:p w14:paraId="6BA82C09" w14:textId="77777777" w:rsidR="008F15F1" w:rsidRPr="005E3D50" w:rsidRDefault="008F15F1" w:rsidP="008F15F1">
      <w:pPr>
        <w:ind w:left="720"/>
        <w:contextualSpacing/>
        <w:rPr>
          <w:lang w:val="es-ES"/>
        </w:rPr>
      </w:pPr>
    </w:p>
    <w:p w14:paraId="2DAE4178" w14:textId="77777777" w:rsidR="008F15F1" w:rsidRPr="005E3D50" w:rsidRDefault="008F15F1" w:rsidP="008F15F1">
      <w:pPr>
        <w:numPr>
          <w:ilvl w:val="0"/>
          <w:numId w:val="38"/>
        </w:numPr>
        <w:contextualSpacing/>
        <w:rPr>
          <w:lang w:val="es-ES"/>
        </w:rPr>
      </w:pPr>
      <w:r w:rsidRPr="005E3D50">
        <w:rPr>
          <w:lang w:val="es-ES"/>
        </w:rPr>
        <w:t xml:space="preserve">La Oficina de las Naciones Unidas para la Reducción del Riesgo de Desastres (UNDRR), que ha elaborado orientación para los Gobiernos, publicada en 2025, sobre la integración de la reducción del riesgo de desastres en las EPANB. La orientación se basa en el examen de mitad de período de la aplicación del Marco de </w:t>
      </w:r>
      <w:proofErr w:type="spellStart"/>
      <w:r w:rsidRPr="005E3D50">
        <w:rPr>
          <w:lang w:val="es-ES"/>
        </w:rPr>
        <w:t>Sendái</w:t>
      </w:r>
      <w:proofErr w:type="spellEnd"/>
      <w:r w:rsidRPr="005E3D50">
        <w:rPr>
          <w:lang w:val="es-ES"/>
        </w:rPr>
        <w:t xml:space="preserve"> para la Reducción del Riesgo de Desastres 2015-2030, elaborado en 2023, que reforzó el papel fundamental de los ecosistemas sanos y resilientes en la reducción del riesgo de desastres. Las metas 8 y 11 del Marco se refieren explícitamente a la reducción del riesgo de desastres, y el Objetivo A aborda la resiliencia de los ecosistemas. Además, la orientación promueve sinergias entre la conservación de la biodiversidad, la reducción del riesgo de desastres y la adaptación al cambio climático. En el período de sesiones de 2025 de la Plataforma Mundial para la Reducción del Riesgo de Desastres se reafirmó la importancia de armonizar la reducción del riesgo de desastres con el Marco, reconociendo los múltiples beneficios de las soluciones basadas en la naturaleza y el enfoque ecosistémico, y se destacó el papel de la infraestructura verde y la protección de la biodiversidad como estrategias eficaces en función del costo y que ofrecen múltiples beneficios para fomentar la resiliencia (UNDRR, 2015, 2025a, 2025b, 2025c; y Asamblea General de las Naciones Unidas, 2023b).</w:t>
      </w:r>
    </w:p>
    <w:p w14:paraId="11125729" w14:textId="77777777" w:rsidR="008F15F1" w:rsidRPr="005E3D50" w:rsidRDefault="008F15F1" w:rsidP="008F15F1">
      <w:pPr>
        <w:rPr>
          <w:lang w:val="es-ES"/>
        </w:rPr>
      </w:pPr>
    </w:p>
    <w:p w14:paraId="07A68D13" w14:textId="77777777" w:rsidR="008F15F1" w:rsidRPr="005E3D50" w:rsidRDefault="008F15F1" w:rsidP="008F15F1">
      <w:pPr>
        <w:rPr>
          <w:lang w:val="es-ES"/>
        </w:rPr>
      </w:pPr>
      <w:r w:rsidRPr="005E3D50">
        <w:rPr>
          <w:lang w:val="es-ES"/>
        </w:rPr>
        <w:t>En la sección II.B se presentan otros ejemplos de contribuciones de organizaciones de las Naciones Unidas a metas específicas del Marco.</w:t>
      </w:r>
    </w:p>
    <w:p w14:paraId="1B7EC8D4" w14:textId="77777777" w:rsidR="008F15F1" w:rsidRPr="005E3D50" w:rsidRDefault="008F15F1" w:rsidP="008F15F1">
      <w:pPr>
        <w:rPr>
          <w:lang w:val="es-ES"/>
        </w:rPr>
      </w:pPr>
      <w:r w:rsidRPr="005E3D50">
        <w:rPr>
          <w:lang w:val="es-ES"/>
        </w:rPr>
        <w:t xml:space="preserve">Algunas organizaciones internacionales que no pertenecen al sistema de las Naciones Unidas, incluso aquellas que no centran especialmente la atención en la biodiversidad o el </w:t>
      </w:r>
      <w:r w:rsidRPr="005E3D50">
        <w:rPr>
          <w:lang w:val="es-ES"/>
        </w:rPr>
        <w:lastRenderedPageBreak/>
        <w:t>desarrollo sostenible, desempeñan no obstante un papel importante en la implementación del Marco. Un ejemplo a este respecto es la Organización Internacional de Normalización (ISO), una red mundial de organismos nacionales de normalización, con un miembro por país. En 2024, la ISO encargó un estudio de investigación para facilitar una mejor comprensión de la manera en que sus normas podrían contribuir al Marco. Se encontró un total de 549 normas ISO relacionadas con la biodiversidad que son pertinentes para cada una de las 23 metas del Marco</w:t>
      </w:r>
      <w:r w:rsidRPr="005E3D50">
        <w:rPr>
          <w:vertAlign w:val="superscript"/>
          <w:lang w:val="es-ES"/>
        </w:rPr>
        <w:footnoteReference w:id="56"/>
      </w:r>
      <w:r w:rsidRPr="005E3D50">
        <w:rPr>
          <w:lang w:val="es-ES"/>
        </w:rPr>
        <w:t>. En 2020 se creó un comité técnico de la ISO centrado específicamente en la biodiversidad (ISO TC331 Biodiversity) para elaborar un conjunto básico de normas internacionales destinadas a integrar la biodiversidad en las prácticas económicas y organizacionales. Dos normas relacionadas con el Marco aprobadas recientemente son la norma ISO 17298, relativa a los requisitos y las directrices para la consideración de la biodiversidad en la estrategia y las operaciones de las organizaciones, y la norma ISO 17620, relativa al proceso de diseño y aplicación de la ganancia neta de biodiversidad en proyectos de desarrollo (ISO, 2025).</w:t>
      </w:r>
    </w:p>
    <w:p w14:paraId="69EB25F5" w14:textId="77777777" w:rsidR="008F15F1" w:rsidRPr="005E3D50" w:rsidRDefault="008F15F1" w:rsidP="008F15F1">
      <w:pPr>
        <w:rPr>
          <w:lang w:val="es-ES"/>
        </w:rPr>
      </w:pPr>
      <w:r w:rsidRPr="005E3D50">
        <w:rPr>
          <w:lang w:val="es-ES"/>
        </w:rPr>
        <w:t>Diferentes organizaciones y procesos intergubernamentales trabajan en el plano regional y subregional con vistas a apoyar la implementación del Marco. Por ejemplo:</w:t>
      </w:r>
    </w:p>
    <w:p w14:paraId="7D1C2A00" w14:textId="77777777" w:rsidR="008F15F1" w:rsidRPr="005E3D50" w:rsidRDefault="008F15F1" w:rsidP="008F15F1">
      <w:pPr>
        <w:numPr>
          <w:ilvl w:val="0"/>
          <w:numId w:val="39"/>
        </w:numPr>
        <w:spacing w:line="279" w:lineRule="auto"/>
        <w:contextualSpacing/>
        <w:rPr>
          <w:b/>
          <w:bCs/>
          <w:lang w:val="es-ES"/>
        </w:rPr>
      </w:pPr>
      <w:r w:rsidRPr="005E3D50">
        <w:rPr>
          <w:lang w:val="es-ES"/>
        </w:rPr>
        <w:t>El Consejo Ártico, un proceso regional, a través de su grupo de trabajo sobre biodiversidad (Conservación de la Flora y Fauna del Ártico), está elaborando una estrategia decenal para 2025-2035 sobre medidas destinadas a la biodiversidad del Ártico. Establece cuatro temas generales y 16 esferas subyacentes para responder a los cambios sin precedentes en el medio ambiente del Ártico. Los temas generales, ampliamente armonizados con el Marco, son los siguientes:</w:t>
      </w:r>
    </w:p>
    <w:p w14:paraId="3C8447D3" w14:textId="77777777" w:rsidR="008F15F1" w:rsidRPr="005E3D50" w:rsidRDefault="008F15F1" w:rsidP="008F15F1">
      <w:pPr>
        <w:numPr>
          <w:ilvl w:val="1"/>
          <w:numId w:val="37"/>
        </w:numPr>
        <w:spacing w:line="279" w:lineRule="auto"/>
        <w:contextualSpacing/>
        <w:rPr>
          <w:b/>
          <w:bCs/>
          <w:lang w:val="es-ES"/>
        </w:rPr>
      </w:pPr>
      <w:r w:rsidRPr="005E3D50">
        <w:rPr>
          <w:lang w:val="es-ES"/>
        </w:rPr>
        <w:t>Abordar los efectos individuales y acumulativos de los factores de perturbaciones y los impulsores de la pérdida de diversidad biológica en el Ártico</w:t>
      </w:r>
    </w:p>
    <w:p w14:paraId="39C42D03" w14:textId="77777777" w:rsidR="008F15F1" w:rsidRPr="005E3D50" w:rsidRDefault="008F15F1" w:rsidP="008F15F1">
      <w:pPr>
        <w:numPr>
          <w:ilvl w:val="1"/>
          <w:numId w:val="37"/>
        </w:numPr>
        <w:spacing w:line="279" w:lineRule="auto"/>
        <w:contextualSpacing/>
        <w:rPr>
          <w:b/>
          <w:bCs/>
          <w:lang w:val="es-ES"/>
        </w:rPr>
      </w:pPr>
      <w:r w:rsidRPr="005E3D50">
        <w:rPr>
          <w:lang w:val="es-ES"/>
        </w:rPr>
        <w:t>Promover la utilización sostenible de la biodiversidad del Ártico</w:t>
      </w:r>
    </w:p>
    <w:p w14:paraId="35FFB13E" w14:textId="77777777" w:rsidR="008F15F1" w:rsidRPr="005E3D50" w:rsidRDefault="008F15F1" w:rsidP="008F15F1">
      <w:pPr>
        <w:numPr>
          <w:ilvl w:val="1"/>
          <w:numId w:val="37"/>
        </w:numPr>
        <w:spacing w:line="279" w:lineRule="auto"/>
        <w:contextualSpacing/>
        <w:rPr>
          <w:b/>
          <w:bCs/>
          <w:lang w:val="es-ES"/>
        </w:rPr>
      </w:pPr>
      <w:r w:rsidRPr="005E3D50">
        <w:rPr>
          <w:lang w:val="es-ES"/>
        </w:rPr>
        <w:t>Fomentar condiciones propicias para apoyar la aplicación de las medidas</w:t>
      </w:r>
    </w:p>
    <w:p w14:paraId="2D3F799B" w14:textId="77777777" w:rsidR="008F15F1" w:rsidRPr="005E3D50" w:rsidRDefault="008F15F1" w:rsidP="008F15F1">
      <w:pPr>
        <w:numPr>
          <w:ilvl w:val="1"/>
          <w:numId w:val="37"/>
        </w:numPr>
        <w:spacing w:line="279" w:lineRule="auto"/>
        <w:contextualSpacing/>
        <w:rPr>
          <w:b/>
          <w:bCs/>
          <w:lang w:val="es-ES"/>
        </w:rPr>
      </w:pPr>
      <w:r w:rsidRPr="005E3D50">
        <w:rPr>
          <w:lang w:val="es-ES"/>
        </w:rPr>
        <w:t>Establecer un marco de seguimiento y evaluación para la aplicación</w:t>
      </w:r>
    </w:p>
    <w:p w14:paraId="7729003A" w14:textId="77777777" w:rsidR="008F15F1" w:rsidRPr="005E3D50" w:rsidRDefault="008F15F1" w:rsidP="008F15F1">
      <w:pPr>
        <w:ind w:left="360"/>
        <w:rPr>
          <w:lang w:val="es-ES"/>
        </w:rPr>
      </w:pPr>
      <w:r w:rsidRPr="005E3D50">
        <w:rPr>
          <w:lang w:val="es-ES"/>
        </w:rPr>
        <w:t>Se está elaborando un conjunto de medidas específicas centradas en estos temas, cuya finalización está prevista para mayo de 2027 (CAFF, 2025a y 2025b).</w:t>
      </w:r>
    </w:p>
    <w:p w14:paraId="7AFAB7DD" w14:textId="77777777" w:rsidR="008F15F1" w:rsidRPr="005E3D50" w:rsidRDefault="008F15F1" w:rsidP="008F15F1">
      <w:pPr>
        <w:numPr>
          <w:ilvl w:val="0"/>
          <w:numId w:val="39"/>
        </w:numPr>
        <w:spacing w:line="279" w:lineRule="auto"/>
        <w:contextualSpacing/>
        <w:rPr>
          <w:b/>
          <w:bCs/>
          <w:lang w:val="es-ES"/>
        </w:rPr>
      </w:pPr>
      <w:r w:rsidRPr="005E3D50">
        <w:rPr>
          <w:lang w:val="es-ES"/>
        </w:rPr>
        <w:t xml:space="preserve">La Iniciativa del Corredor Biológico en el Caribe, en la que participan las autoridades ambientales de los cinco países y territorios de las Antillas Mayores (Cuba, Haití, Jamaica, Puerto Rico y República Dominicana) está promoviendo, a través de un plan estratégico para 2022-2030, medidas de cooperación en toda la subregión, que forma parte de la zona crítica para la biodiversidad de las islas del </w:t>
      </w:r>
      <w:r w:rsidRPr="005E3D50">
        <w:rPr>
          <w:lang w:val="es-ES"/>
        </w:rPr>
        <w:lastRenderedPageBreak/>
        <w:t>Caribe. Entre las medidas directamente armonizadas con las metas del Marco figuran un enfoque espacial, holístico y cooperativo para la planificación del desarrollo en paisajes terrestres y marinos clave (meta 1); la restauración de manglares en Haití y Cuba (meta 2); y la ampliación y el fortalecimiento de la conservación eficaz de ecosistemas y especies prioritarios mediante áreas protegidas y otras medidas de conservación eficaces basadas en áreas, con especial atención a la diversidad biológica costera y marina, donde persisten las mayores deficiencias (meta 3) (Secretaría del Corredor Biológico en el Caribe, 2025).</w:t>
      </w:r>
    </w:p>
    <w:p w14:paraId="7F6C90CB" w14:textId="77777777" w:rsidR="008F15F1" w:rsidRPr="005E3D50" w:rsidRDefault="008F15F1" w:rsidP="008F15F1">
      <w:pPr>
        <w:spacing w:line="279" w:lineRule="auto"/>
        <w:ind w:left="720"/>
        <w:contextualSpacing/>
        <w:rPr>
          <w:b/>
          <w:bCs/>
          <w:lang w:val="es-ES"/>
        </w:rPr>
      </w:pPr>
    </w:p>
    <w:p w14:paraId="02FBB12A" w14:textId="77777777" w:rsidR="008F15F1" w:rsidRPr="005E3D50" w:rsidRDefault="008F15F1" w:rsidP="008F15F1">
      <w:pPr>
        <w:numPr>
          <w:ilvl w:val="0"/>
          <w:numId w:val="39"/>
        </w:numPr>
        <w:spacing w:line="279" w:lineRule="auto"/>
        <w:contextualSpacing/>
        <w:rPr>
          <w:b/>
          <w:lang w:val="es-ES"/>
        </w:rPr>
      </w:pPr>
      <w:r w:rsidRPr="005E3D50">
        <w:rPr>
          <w:lang w:val="es-ES"/>
        </w:rPr>
        <w:t>La Comisión para la Protección del Medio Marino del Mar Báltico (HELCOM) ha correlacionado 199 medidas del Plan de Acción del Báltico para 2021-2030 con las metas del Marco. Las medidas, que se relacionan con 14 de las 23 metas del Marco, abarcan desde la mejora de las medidas de conservación para las poblaciones en peligro crítico de marsopa común (</w:t>
      </w:r>
      <w:proofErr w:type="spellStart"/>
      <w:r w:rsidRPr="005E3D50">
        <w:rPr>
          <w:i/>
          <w:iCs/>
          <w:lang w:val="es-ES"/>
        </w:rPr>
        <w:t>Phocoena</w:t>
      </w:r>
      <w:proofErr w:type="spellEnd"/>
      <w:r w:rsidRPr="005E3D50">
        <w:rPr>
          <w:i/>
          <w:iCs/>
          <w:lang w:val="es-ES"/>
        </w:rPr>
        <w:t xml:space="preserve"> </w:t>
      </w:r>
      <w:proofErr w:type="spellStart"/>
      <w:r w:rsidRPr="005E3D50">
        <w:rPr>
          <w:i/>
          <w:iCs/>
          <w:lang w:val="es-ES"/>
        </w:rPr>
        <w:t>phocoena</w:t>
      </w:r>
      <w:proofErr w:type="spellEnd"/>
      <w:r w:rsidRPr="005E3D50">
        <w:rPr>
          <w:lang w:val="es-ES"/>
        </w:rPr>
        <w:t>) del Báltico (meta 4) hasta la mejora de la eficacia de las medidas para prevenir la introducción de especies exóticas invasoras en el Báltico a través de las incrustaciones biológicas y el agua de lastre de los buques (meta 6). La finalidad es prestar apoyo a los Gobiernos de la región en la elaboración de sus EPANB, destacando los compromisos ya asumidos a través del Convenio sobre la Protección del Medio Marino de la Zona del Mar Báltico (Convenio de Helsinki) (HELCOM, 2024 y 2025).</w:t>
      </w:r>
    </w:p>
    <w:p w14:paraId="0CC83DA7" w14:textId="77777777" w:rsidR="008F15F1" w:rsidRPr="005E3D50" w:rsidRDefault="008F15F1" w:rsidP="008F15F1">
      <w:pPr>
        <w:rPr>
          <w:rFonts w:asciiTheme="majorHAnsi" w:eastAsiaTheme="majorEastAsia" w:hAnsiTheme="majorHAnsi" w:cstheme="majorBidi"/>
          <w:color w:val="0F4761" w:themeColor="accent1" w:themeShade="BF"/>
          <w:sz w:val="40"/>
          <w:szCs w:val="40"/>
          <w:lang w:val="es-ES"/>
        </w:rPr>
      </w:pPr>
      <w:r w:rsidRPr="005E3D50">
        <w:rPr>
          <w:lang w:val="es-ES"/>
        </w:rPr>
        <w:br w:type="page"/>
      </w:r>
    </w:p>
    <w:p w14:paraId="78F1D548" w14:textId="77777777" w:rsidR="008F15F1" w:rsidRPr="005E3D50" w:rsidRDefault="008F15F1" w:rsidP="008F15F1">
      <w:pPr>
        <w:keepNext/>
        <w:keepLines/>
        <w:spacing w:before="360" w:after="80"/>
        <w:outlineLvl w:val="0"/>
        <w:rPr>
          <w:rFonts w:asciiTheme="majorHAnsi" w:eastAsiaTheme="majorEastAsia" w:hAnsiTheme="majorHAnsi" w:cstheme="majorBidi"/>
          <w:color w:val="0F4761" w:themeColor="accent1" w:themeShade="BF"/>
          <w:sz w:val="40"/>
          <w:szCs w:val="40"/>
          <w:lang w:val="es-ES"/>
        </w:rPr>
      </w:pPr>
      <w:bookmarkStart w:id="742" w:name="_Toc235821388"/>
      <w:bookmarkStart w:id="743" w:name="_Toc239069256"/>
      <w:bookmarkStart w:id="744" w:name="_Toc1809999361"/>
      <w:bookmarkStart w:id="745" w:name="_Toc242883034"/>
      <w:r w:rsidRPr="005E3D50">
        <w:rPr>
          <w:rFonts w:asciiTheme="majorHAnsi" w:eastAsiaTheme="majorEastAsia" w:hAnsiTheme="majorHAnsi" w:cstheme="majorBidi"/>
          <w:color w:val="0F4761" w:themeColor="accent1" w:themeShade="BF"/>
          <w:sz w:val="40"/>
          <w:szCs w:val="40"/>
          <w:lang w:val="es-ES"/>
        </w:rPr>
        <w:lastRenderedPageBreak/>
        <w:t>Parte III: Conclusiones y mensajes principales</w:t>
      </w:r>
      <w:bookmarkEnd w:id="742"/>
      <w:bookmarkEnd w:id="743"/>
      <w:bookmarkEnd w:id="744"/>
      <w:bookmarkEnd w:id="745"/>
    </w:p>
    <w:p w14:paraId="70902308" w14:textId="77777777" w:rsidR="008F15F1" w:rsidRPr="005E3D50" w:rsidRDefault="008F15F1" w:rsidP="008F15F1">
      <w:pPr>
        <w:tabs>
          <w:tab w:val="left" w:pos="567"/>
          <w:tab w:val="left" w:pos="1134"/>
          <w:tab w:val="left" w:pos="1701"/>
          <w:tab w:val="left" w:pos="2268"/>
          <w:tab w:val="left" w:pos="2835"/>
          <w:tab w:val="left" w:pos="3402"/>
        </w:tabs>
        <w:spacing w:after="120" w:line="259" w:lineRule="auto"/>
        <w:jc w:val="both"/>
        <w:rPr>
          <w:rFonts w:ascii="Aptos" w:eastAsia="SimSun" w:hAnsi="Aptos" w:cs="Times New Roman"/>
          <w:kern w:val="0"/>
          <w:lang w:val="es-ES"/>
          <w14:ligatures w14:val="none"/>
        </w:rPr>
      </w:pPr>
    </w:p>
    <w:p w14:paraId="649CCC96" w14:textId="77777777" w:rsidR="008F15F1" w:rsidRPr="005E3D50" w:rsidRDefault="008F15F1" w:rsidP="008F15F1">
      <w:pPr>
        <w:tabs>
          <w:tab w:val="left" w:pos="567"/>
          <w:tab w:val="left" w:pos="1134"/>
          <w:tab w:val="left" w:pos="1701"/>
          <w:tab w:val="left" w:pos="2268"/>
          <w:tab w:val="left" w:pos="2835"/>
          <w:tab w:val="left" w:pos="3402"/>
        </w:tabs>
        <w:spacing w:after="120" w:line="259"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En el presente informe se ofrece un análisis del compromiso y los progresos colectivos en la implementación del Marco, en el punto intermedio entre su adopción en 2022 y la fecha límite para alcanzar sus metas para 2030. Es importante señalar que, aunque está previsto que las Partes informen sobre los progresos en la implementación en relación con sus metas nacionales y no sobre los progresos en la consecución de las metas mundiales del Marco, las propias Partes definen su visión en cuanto a la armonización entre sus metas nacionales y las metas mundiales. En el análisis que se recoge en el informe mundial se ha utilizado esta armonización para resumir el compromiso y los progresos colectivos en la consecución de cada una de las metas mundiales del Marco, basándose en las metas nacionales y las EPANB, así como en los progresos informados por las Partes en relación con sus metas nacionales, muchas de las cuales se establecieron muy recientemente, durante el período 2023-2026. Además, el análisis tiene en cuenta la información presentada por las Partes sobre el conjunto común de indicadores adoptado en el marco de seguimiento, donde cada uno de los indicadores está relacionado con los objetivos y metas del Marco. Sobre esta base, el informe mundial permite proporcionar una evaluación relativa del compromiso y los progresos colectivos de las Partes en relación con cada meta mundial del Marco sobre la base de los informes nacionales y los datos presentados hasta el momento de la elaboración del informe. La metodología aplicada para este enfoque se explica brevemente en la sección I.A, y la metodología completa está disponible en el documento complementario sobre las metodologías empleadas en la preparación del informe mundial (</w:t>
      </w:r>
      <w:hyperlink r:id="rId241" w:history="1">
        <w:r w:rsidRPr="005E3D50">
          <w:rPr>
            <w:rFonts w:ascii="Aptos" w:eastAsia="SimSun" w:hAnsi="Aptos" w:cs="Times New Roman"/>
            <w:color w:val="000000" w:themeColor="text1"/>
            <w:kern w:val="0"/>
            <w:szCs w:val="22"/>
            <w:lang w:val="es-ES"/>
            <w14:ligatures w14:val="none"/>
          </w:rPr>
          <w:t>CBD/SBSTTA/28/INF/9</w:t>
        </w:r>
      </w:hyperlink>
      <w:r w:rsidRPr="005E3D50">
        <w:rPr>
          <w:rFonts w:ascii="Aptos" w:eastAsia="SimSun" w:hAnsi="Aptos" w:cs="Times New Roman"/>
          <w:kern w:val="0"/>
          <w:szCs w:val="22"/>
          <w:lang w:val="es-ES"/>
          <w14:ligatures w14:val="none"/>
        </w:rPr>
        <w:t>).</w:t>
      </w:r>
    </w:p>
    <w:p w14:paraId="6E6178DF" w14:textId="77777777" w:rsidR="008F15F1" w:rsidRPr="005E3D50" w:rsidRDefault="008F15F1" w:rsidP="008F15F1">
      <w:pPr>
        <w:tabs>
          <w:tab w:val="left" w:pos="567"/>
          <w:tab w:val="left" w:pos="1134"/>
          <w:tab w:val="left" w:pos="1701"/>
          <w:tab w:val="left" w:pos="2268"/>
          <w:tab w:val="left" w:pos="2835"/>
          <w:tab w:val="left" w:pos="3402"/>
        </w:tabs>
        <w:spacing w:after="120" w:line="259" w:lineRule="auto"/>
        <w:jc w:val="both"/>
        <w:rPr>
          <w:rFonts w:ascii="Aptos" w:eastAsia="SimSun" w:hAnsi="Aptos" w:cs="Times New Roman"/>
          <w:kern w:val="0"/>
          <w:lang w:val="es-ES"/>
          <w14:ligatures w14:val="none"/>
        </w:rPr>
      </w:pPr>
    </w:p>
    <w:p w14:paraId="2C66EFCF"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bookmarkStart w:id="746" w:name="_Toc235821389"/>
      <w:bookmarkStart w:id="747" w:name="_Toc239069257"/>
      <w:bookmarkStart w:id="748" w:name="_Toc671961541"/>
      <w:bookmarkStart w:id="749" w:name="_Toc242883035"/>
      <w:r w:rsidRPr="005E3D50">
        <w:rPr>
          <w:rFonts w:asciiTheme="majorHAnsi" w:eastAsiaTheme="majorEastAsia" w:hAnsiTheme="majorHAnsi" w:cstheme="majorBidi"/>
          <w:color w:val="0F4761" w:themeColor="accent1" w:themeShade="BF"/>
          <w:sz w:val="32"/>
          <w:szCs w:val="32"/>
          <w:lang w:val="es-ES"/>
        </w:rPr>
        <w:t>III.A Síntesis de los progresos colectivos en la implementación del Marco Mundial de Biodiversidad de Kunming-Montreal, incluidas la misión para 2030 y la visión para 2050</w:t>
      </w:r>
      <w:bookmarkEnd w:id="746"/>
      <w:bookmarkEnd w:id="747"/>
      <w:bookmarkEnd w:id="748"/>
      <w:bookmarkEnd w:id="749"/>
    </w:p>
    <w:p w14:paraId="040AA827" w14:textId="77777777" w:rsidR="008F15F1" w:rsidRPr="005E3D50" w:rsidRDefault="008F15F1" w:rsidP="008F15F1">
      <w:pPr>
        <w:spacing w:before="120" w:after="120"/>
        <w:rPr>
          <w:rFonts w:ascii="Aptos" w:eastAsia="Times New Roman" w:hAnsi="Aptos"/>
          <w:b/>
          <w:bCs/>
          <w:lang w:val="es-ES"/>
        </w:rPr>
      </w:pPr>
      <w:r w:rsidRPr="005E3D50">
        <w:rPr>
          <w:rFonts w:ascii="Aptos" w:hAnsi="Aptos"/>
          <w:b/>
          <w:u w:val="single"/>
          <w:lang w:val="es-ES"/>
        </w:rPr>
        <w:t>Mensaje general</w:t>
      </w:r>
      <w:r w:rsidRPr="005E3D50">
        <w:rPr>
          <w:rFonts w:ascii="Aptos" w:hAnsi="Aptos"/>
          <w:b/>
          <w:lang w:val="es-ES"/>
        </w:rPr>
        <w:t xml:space="preserve">. El Marco Mundial de Biodiversidad de Kunming-Montreal ha generado una participación mundial sin precedentes y ha impulsado la acción, la innovación, la colaboración y experiencias de aprendizaje en relación con todas sus 23 metas. Sin embargo, a menos que la implementación colectiva se acelere rápidamente, no se cumplirán las metas y la misión para 2030. Aunque aún es demasiado pronto para detectar cambios en los resultados en materia de biodiversidad, el lento ritmo de los progresos actuales supone un riesgo a largo plazo, ya que la consecución de las metas y la misión para 2030 constituye la base para encauzar al mundo hacia los objetivos y la visión para 2050. </w:t>
      </w:r>
    </w:p>
    <w:p w14:paraId="27E18C61" w14:textId="77777777" w:rsidR="008F15F1" w:rsidRPr="005E3D50" w:rsidRDefault="008F15F1" w:rsidP="008F15F1">
      <w:pPr>
        <w:spacing w:before="120" w:after="120"/>
        <w:rPr>
          <w:rFonts w:ascii="Aptos" w:hAnsi="Aptos"/>
          <w:lang w:val="es-ES"/>
        </w:rPr>
      </w:pPr>
      <w:r w:rsidRPr="005E3D50">
        <w:rPr>
          <w:rFonts w:ascii="Aptos" w:hAnsi="Aptos"/>
          <w:lang w:val="es-ES"/>
        </w:rPr>
        <w:lastRenderedPageBreak/>
        <w:t xml:space="preserve">Las Partes y otros actores han adoptado medidas para abordar todas las 23 metas del Marco; no obstante, ninguna de las metas presenta un panorama totalmente positivo. Los datos disponibles indican que existen deficiencias en los progresos colectivos realizados y que hay obstáculos que dificultan el progreso (véase el </w:t>
      </w:r>
      <w:r w:rsidRPr="005E3D50">
        <w:rPr>
          <w:rFonts w:ascii="Aptos" w:hAnsi="Aptos"/>
          <w:color w:val="0E2841" w:themeColor="text2"/>
          <w:lang w:val="es-ES"/>
        </w:rPr>
        <w:t>cuadro 56</w:t>
      </w:r>
      <w:r w:rsidRPr="005E3D50">
        <w:rPr>
          <w:rFonts w:ascii="Aptos" w:hAnsi="Aptos"/>
          <w:lang w:val="es-ES"/>
        </w:rPr>
        <w:t>). Si no se abordan con urgencia estas deficiencias y obstáculos, no será posible alcanzar las metas y la misión para 2030, lo que, por ende, pone en peligro la consecución de los objetivos y la visión para 2050 (véanse la figura 109 y el recuadro 58).</w:t>
      </w:r>
    </w:p>
    <w:p w14:paraId="12D31F29" w14:textId="77777777" w:rsidR="008F15F1" w:rsidRPr="005E3D50" w:rsidRDefault="008F15F1" w:rsidP="008F15F1">
      <w:pPr>
        <w:tabs>
          <w:tab w:val="left" w:pos="567"/>
          <w:tab w:val="left" w:pos="1134"/>
          <w:tab w:val="left" w:pos="1701"/>
          <w:tab w:val="left" w:pos="2268"/>
          <w:tab w:val="left" w:pos="2835"/>
          <w:tab w:val="left" w:pos="3402"/>
        </w:tabs>
        <w:spacing w:after="120" w:line="240" w:lineRule="auto"/>
        <w:ind w:left="567"/>
        <w:jc w:val="both"/>
        <w:rPr>
          <w:rFonts w:ascii="Times New Roman" w:eastAsia="Times New Roman" w:hAnsi="Times New Roman" w:cs="Times New Roman"/>
          <w:kern w:val="0"/>
          <w:sz w:val="22"/>
          <w:szCs w:val="22"/>
          <w:lang w:val="es-ES"/>
          <w14:ligatures w14:val="none"/>
        </w:rPr>
      </w:pPr>
    </w:p>
    <w:p w14:paraId="485F2B08" w14:textId="77777777" w:rsidR="008F15F1" w:rsidRPr="005E3D50" w:rsidRDefault="008F15F1" w:rsidP="008F15F1">
      <w:pPr>
        <w:spacing w:line="276" w:lineRule="auto"/>
        <w:rPr>
          <w:color w:val="0E2841" w:themeColor="text2"/>
          <w:sz w:val="20"/>
          <w:szCs w:val="20"/>
          <w:lang w:val="es-ES"/>
        </w:rPr>
      </w:pPr>
      <w:r w:rsidRPr="005E3D50">
        <w:rPr>
          <w:lang w:val="es-ES"/>
        </w:rPr>
        <w:br w:type="page"/>
      </w:r>
      <w:bookmarkStart w:id="750" w:name="_Ref235609008"/>
      <w:r w:rsidRPr="005E3D50">
        <w:rPr>
          <w:color w:val="0E2841" w:themeColor="text2"/>
          <w:sz w:val="20"/>
          <w:lang w:val="es-ES"/>
        </w:rPr>
        <w:lastRenderedPageBreak/>
        <w:t xml:space="preserve">Cuadro </w:t>
      </w:r>
      <w:bookmarkEnd w:id="750"/>
      <w:r w:rsidRPr="005E3D50">
        <w:rPr>
          <w:color w:val="0E2841" w:themeColor="text2"/>
          <w:sz w:val="20"/>
          <w:lang w:val="es-ES"/>
        </w:rPr>
        <w:t>56</w:t>
      </w:r>
    </w:p>
    <w:p w14:paraId="0602A229" w14:textId="77777777" w:rsidR="008F15F1" w:rsidRPr="005E3D50" w:rsidRDefault="008F15F1" w:rsidP="008F15F1">
      <w:pPr>
        <w:spacing w:line="276" w:lineRule="auto"/>
        <w:rPr>
          <w:color w:val="0E2841" w:themeColor="text2"/>
          <w:sz w:val="20"/>
          <w:szCs w:val="20"/>
          <w:lang w:val="es-ES"/>
        </w:rPr>
      </w:pPr>
      <w:r w:rsidRPr="005E3D50">
        <w:rPr>
          <w:b/>
          <w:color w:val="0E2841" w:themeColor="text2"/>
          <w:sz w:val="20"/>
          <w:lang w:val="es-ES"/>
        </w:rPr>
        <w:t>Tablero de puntuación de los progresos colectivos en la consecución de cada una de las metas del Marco</w:t>
      </w:r>
      <w:r w:rsidRPr="005E3D50">
        <w:rPr>
          <w:color w:val="0E2841" w:themeColor="text2"/>
          <w:sz w:val="20"/>
          <w:lang w:val="es-ES"/>
        </w:rPr>
        <w:t xml:space="preserve"> </w:t>
      </w:r>
    </w:p>
    <w:p w14:paraId="2E13A09D" w14:textId="77777777" w:rsidR="008F15F1" w:rsidRPr="005E3D50" w:rsidRDefault="008F15F1" w:rsidP="008F15F1">
      <w:pPr>
        <w:spacing w:line="276" w:lineRule="auto"/>
        <w:rPr>
          <w:bCs/>
          <w:i/>
          <w:iCs/>
          <w:color w:val="0E2841" w:themeColor="text2"/>
          <w:sz w:val="18"/>
          <w:szCs w:val="18"/>
          <w:lang w:val="es-ES"/>
        </w:rPr>
      </w:pPr>
    </w:p>
    <w:tbl>
      <w:tblPr>
        <w:tblW w:w="10065" w:type="dxa"/>
        <w:tblLook w:val="04A0" w:firstRow="1" w:lastRow="0" w:firstColumn="1" w:lastColumn="0" w:noHBand="0" w:noVBand="1"/>
      </w:tblPr>
      <w:tblGrid>
        <w:gridCol w:w="993"/>
        <w:gridCol w:w="636"/>
        <w:gridCol w:w="607"/>
        <w:gridCol w:w="609"/>
        <w:gridCol w:w="607"/>
        <w:gridCol w:w="1200"/>
        <w:gridCol w:w="5413"/>
      </w:tblGrid>
      <w:tr w:rsidR="008F15F1" w:rsidRPr="005E3D50" w14:paraId="6B3AC5F9" w14:textId="77777777" w:rsidTr="006E6831">
        <w:trPr>
          <w:trHeight w:val="558"/>
        </w:trPr>
        <w:tc>
          <w:tcPr>
            <w:tcW w:w="993" w:type="dxa"/>
            <w:tcBorders>
              <w:top w:val="single" w:sz="4" w:space="0" w:color="auto"/>
              <w:bottom w:val="single" w:sz="4" w:space="0" w:color="auto"/>
            </w:tcBorders>
            <w:shd w:val="clear" w:color="auto" w:fill="FFFFFF" w:themeFill="background1"/>
            <w:noWrap/>
            <w:vAlign w:val="center"/>
          </w:tcPr>
          <w:p w14:paraId="420576D6"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sz w:val="20"/>
                <w:lang w:val="es-ES"/>
              </w:rPr>
              <w:t>Meta</w:t>
            </w:r>
          </w:p>
        </w:tc>
        <w:tc>
          <w:tcPr>
            <w:tcW w:w="595" w:type="dxa"/>
            <w:tcBorders>
              <w:top w:val="single" w:sz="4" w:space="0" w:color="auto"/>
              <w:bottom w:val="single" w:sz="4" w:space="0" w:color="auto"/>
            </w:tcBorders>
            <w:shd w:val="clear" w:color="auto" w:fill="FFFFFF" w:themeFill="background1"/>
            <w:noWrap/>
            <w:vAlign w:val="center"/>
          </w:tcPr>
          <w:p w14:paraId="66ACB460"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themeColor="text1"/>
                <w:sz w:val="20"/>
                <w:lang w:val="es-ES"/>
              </w:rPr>
              <w:t>1</w:t>
            </w:r>
          </w:p>
        </w:tc>
        <w:tc>
          <w:tcPr>
            <w:tcW w:w="562" w:type="dxa"/>
            <w:tcBorders>
              <w:top w:val="single" w:sz="4" w:space="0" w:color="auto"/>
              <w:bottom w:val="single" w:sz="4" w:space="0" w:color="auto"/>
            </w:tcBorders>
            <w:shd w:val="clear" w:color="auto" w:fill="FFFFFF" w:themeFill="background1"/>
            <w:noWrap/>
            <w:vAlign w:val="center"/>
          </w:tcPr>
          <w:p w14:paraId="0A90AF67"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sz w:val="20"/>
                <w:lang w:val="es-ES"/>
              </w:rPr>
              <w:t>2</w:t>
            </w:r>
          </w:p>
        </w:tc>
        <w:tc>
          <w:tcPr>
            <w:tcW w:w="571" w:type="dxa"/>
            <w:tcBorders>
              <w:top w:val="single" w:sz="4" w:space="0" w:color="auto"/>
              <w:bottom w:val="single" w:sz="4" w:space="0" w:color="auto"/>
            </w:tcBorders>
            <w:shd w:val="clear" w:color="auto" w:fill="FFFFFF" w:themeFill="background1"/>
            <w:noWrap/>
            <w:vAlign w:val="center"/>
          </w:tcPr>
          <w:p w14:paraId="6BA5C4CD" w14:textId="77777777" w:rsidR="008F15F1" w:rsidRPr="005E3D50" w:rsidRDefault="008F15F1" w:rsidP="008F15F1">
            <w:pPr>
              <w:jc w:val="center"/>
              <w:rPr>
                <w:rFonts w:ascii="Aptos" w:eastAsia="Times New Roman" w:hAnsi="Aptos" w:cs="Calibri"/>
                <w:i/>
                <w:iCs/>
                <w:sz w:val="20"/>
                <w:szCs w:val="20"/>
                <w:lang w:val="es-ES"/>
              </w:rPr>
            </w:pPr>
            <w:r w:rsidRPr="005E3D50">
              <w:rPr>
                <w:rFonts w:ascii="Aptos" w:hAnsi="Aptos"/>
                <w:i/>
                <w:sz w:val="20"/>
                <w:lang w:val="es-ES"/>
              </w:rPr>
              <w:t>3</w:t>
            </w:r>
          </w:p>
        </w:tc>
        <w:tc>
          <w:tcPr>
            <w:tcW w:w="562" w:type="dxa"/>
            <w:tcBorders>
              <w:top w:val="single" w:sz="4" w:space="0" w:color="auto"/>
              <w:bottom w:val="single" w:sz="4" w:space="0" w:color="auto"/>
            </w:tcBorders>
            <w:shd w:val="clear" w:color="auto" w:fill="FFFFFF" w:themeFill="background1"/>
            <w:noWrap/>
            <w:vAlign w:val="center"/>
          </w:tcPr>
          <w:p w14:paraId="517BEA20"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themeColor="text1"/>
                <w:sz w:val="20"/>
                <w:lang w:val="es-ES"/>
              </w:rPr>
              <w:t>4</w:t>
            </w:r>
          </w:p>
        </w:tc>
        <w:tc>
          <w:tcPr>
            <w:tcW w:w="830" w:type="dxa"/>
            <w:tcBorders>
              <w:top w:val="single" w:sz="4" w:space="0" w:color="auto"/>
              <w:bottom w:val="single" w:sz="4" w:space="0" w:color="auto"/>
            </w:tcBorders>
            <w:noWrap/>
            <w:vAlign w:val="center"/>
          </w:tcPr>
          <w:p w14:paraId="19D1BEFF"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sz w:val="20"/>
                <w:lang w:val="es-ES"/>
              </w:rPr>
              <w:t>Puntuación general</w:t>
            </w:r>
          </w:p>
        </w:tc>
        <w:tc>
          <w:tcPr>
            <w:tcW w:w="5952" w:type="dxa"/>
            <w:tcBorders>
              <w:top w:val="single" w:sz="4" w:space="0" w:color="auto"/>
              <w:bottom w:val="single" w:sz="4" w:space="0" w:color="auto"/>
            </w:tcBorders>
            <w:vAlign w:val="center"/>
          </w:tcPr>
          <w:p w14:paraId="1E98E94C" w14:textId="77777777" w:rsidR="008F15F1" w:rsidRPr="005E3D50" w:rsidRDefault="008F15F1" w:rsidP="008F15F1">
            <w:pPr>
              <w:jc w:val="center"/>
              <w:rPr>
                <w:rFonts w:ascii="Aptos" w:eastAsia="Times New Roman" w:hAnsi="Aptos" w:cs="Calibri"/>
                <w:i/>
                <w:iCs/>
                <w:color w:val="000000"/>
                <w:sz w:val="20"/>
                <w:szCs w:val="20"/>
                <w:lang w:val="es-ES"/>
              </w:rPr>
            </w:pPr>
            <w:r w:rsidRPr="005E3D50">
              <w:rPr>
                <w:rFonts w:ascii="Aptos" w:hAnsi="Aptos"/>
                <w:i/>
                <w:color w:val="000000"/>
                <w:sz w:val="20"/>
                <w:lang w:val="es-ES"/>
              </w:rPr>
              <w:t>Descripción resumida de los progresos</w:t>
            </w:r>
          </w:p>
        </w:tc>
      </w:tr>
      <w:tr w:rsidR="008F15F1" w:rsidRPr="005E3D50" w14:paraId="7B92178D" w14:textId="77777777" w:rsidTr="006E6831">
        <w:trPr>
          <w:trHeight w:val="2935"/>
        </w:trPr>
        <w:tc>
          <w:tcPr>
            <w:tcW w:w="993" w:type="dxa"/>
            <w:tcBorders>
              <w:top w:val="single" w:sz="4" w:space="0" w:color="auto"/>
            </w:tcBorders>
            <w:shd w:val="clear" w:color="auto" w:fill="FFFFFF" w:themeFill="background1"/>
            <w:noWrap/>
            <w:vAlign w:val="center"/>
            <w:hideMark/>
          </w:tcPr>
          <w:p w14:paraId="48C9D898"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w:t>
            </w:r>
          </w:p>
        </w:tc>
        <w:tc>
          <w:tcPr>
            <w:tcW w:w="595" w:type="dxa"/>
            <w:tcBorders>
              <w:top w:val="single" w:sz="4" w:space="0" w:color="auto"/>
            </w:tcBorders>
            <w:shd w:val="clear" w:color="auto" w:fill="FFFFFF" w:themeFill="background1"/>
            <w:noWrap/>
            <w:vAlign w:val="center"/>
            <w:hideMark/>
          </w:tcPr>
          <w:p w14:paraId="028711DE"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12C5328A" w14:textId="77777777" w:rsidR="008F15F1" w:rsidRPr="005E3D50" w:rsidRDefault="008F15F1" w:rsidP="008F15F1">
            <w:pPr>
              <w:jc w:val="center"/>
              <w:rPr>
                <w:rFonts w:ascii="Calibri" w:eastAsia="Times New Roman" w:hAnsi="Calibri" w:cs="Calibri"/>
                <w:color w:val="000000"/>
                <w:sz w:val="20"/>
                <w:szCs w:val="20"/>
                <w:lang w:val="es-ES"/>
              </w:rPr>
            </w:pPr>
            <w:r w:rsidRPr="005E3D50">
              <w:rPr>
                <w:rFonts w:ascii="Calibri" w:hAnsi="Calibri"/>
                <w:color w:val="000000"/>
                <w:sz w:val="20"/>
                <w:lang w:val="es-ES"/>
              </w:rPr>
              <w:t>47 %</w:t>
            </w:r>
          </w:p>
        </w:tc>
        <w:tc>
          <w:tcPr>
            <w:tcW w:w="562" w:type="dxa"/>
            <w:tcBorders>
              <w:top w:val="single" w:sz="4" w:space="0" w:color="auto"/>
            </w:tcBorders>
            <w:shd w:val="clear" w:color="auto" w:fill="FFFFFF" w:themeFill="background1"/>
            <w:noWrap/>
            <w:vAlign w:val="center"/>
            <w:hideMark/>
          </w:tcPr>
          <w:p w14:paraId="32309727"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0D23746F" w14:textId="77777777" w:rsidR="008F15F1" w:rsidRPr="005E3D50" w:rsidRDefault="008F15F1" w:rsidP="008F15F1">
            <w:pPr>
              <w:jc w:val="center"/>
              <w:rPr>
                <w:rFonts w:ascii="Calibri" w:eastAsia="Times New Roman" w:hAnsi="Calibri" w:cs="Calibri"/>
                <w:color w:val="000000"/>
                <w:sz w:val="20"/>
                <w:szCs w:val="20"/>
                <w:lang w:val="es-ES"/>
              </w:rPr>
            </w:pPr>
            <w:r w:rsidRPr="005E3D50">
              <w:rPr>
                <w:rFonts w:ascii="Calibri" w:hAnsi="Calibri"/>
                <w:color w:val="000000"/>
                <w:sz w:val="20"/>
                <w:lang w:val="es-ES"/>
              </w:rPr>
              <w:t>49 %</w:t>
            </w:r>
          </w:p>
        </w:tc>
        <w:tc>
          <w:tcPr>
            <w:tcW w:w="571" w:type="dxa"/>
            <w:tcBorders>
              <w:top w:val="single" w:sz="4" w:space="0" w:color="auto"/>
            </w:tcBorders>
            <w:shd w:val="clear" w:color="auto" w:fill="FFFFFF" w:themeFill="background1"/>
            <w:noWrap/>
            <w:vAlign w:val="center"/>
            <w:hideMark/>
          </w:tcPr>
          <w:p w14:paraId="243681D2"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5A1F114E" w14:textId="77777777" w:rsidR="008F15F1" w:rsidRPr="005E3D50" w:rsidRDefault="008F15F1" w:rsidP="008F15F1">
            <w:pPr>
              <w:jc w:val="center"/>
              <w:rPr>
                <w:rFonts w:ascii="Calibri" w:eastAsia="Times New Roman" w:hAnsi="Calibri" w:cs="Calibri"/>
                <w:sz w:val="20"/>
                <w:szCs w:val="20"/>
                <w:lang w:val="es-ES"/>
              </w:rPr>
            </w:pPr>
            <w:r w:rsidRPr="005E3D50">
              <w:rPr>
                <w:rFonts w:ascii="Calibri" w:hAnsi="Calibri"/>
                <w:color w:val="000000"/>
                <w:sz w:val="20"/>
                <w:lang w:val="es-ES"/>
              </w:rPr>
              <w:t>50 %</w:t>
            </w:r>
          </w:p>
        </w:tc>
        <w:tc>
          <w:tcPr>
            <w:tcW w:w="562" w:type="dxa"/>
            <w:tcBorders>
              <w:top w:val="single" w:sz="4" w:space="0" w:color="auto"/>
            </w:tcBorders>
            <w:shd w:val="clear" w:color="auto" w:fill="FFFFFF" w:themeFill="background1"/>
            <w:noWrap/>
            <w:vAlign w:val="center"/>
            <w:hideMark/>
          </w:tcPr>
          <w:p w14:paraId="74E7CA21"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B424A4C" w14:textId="77777777" w:rsidR="008F15F1" w:rsidRPr="005E3D50" w:rsidRDefault="008F15F1" w:rsidP="008F15F1">
            <w:pPr>
              <w:jc w:val="center"/>
              <w:rPr>
                <w:rFonts w:ascii="Calibri" w:eastAsia="Times New Roman" w:hAnsi="Calibri" w:cs="Calibri"/>
                <w:color w:val="000000"/>
                <w:sz w:val="20"/>
                <w:szCs w:val="20"/>
                <w:lang w:val="es-ES"/>
              </w:rPr>
            </w:pPr>
            <w:r w:rsidRPr="005E3D50">
              <w:rPr>
                <w:rFonts w:ascii="Calibri" w:hAnsi="Calibri"/>
                <w:color w:val="000000"/>
                <w:sz w:val="20"/>
                <w:lang w:val="es-ES"/>
              </w:rPr>
              <w:t>44 %</w:t>
            </w:r>
          </w:p>
        </w:tc>
        <w:tc>
          <w:tcPr>
            <w:tcW w:w="830" w:type="dxa"/>
            <w:tcBorders>
              <w:top w:val="single" w:sz="4" w:space="0" w:color="auto"/>
            </w:tcBorders>
            <w:shd w:val="clear" w:color="auto" w:fill="FC8D59"/>
            <w:noWrap/>
            <w:vAlign w:val="center"/>
            <w:hideMark/>
          </w:tcPr>
          <w:p w14:paraId="39293E9F"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tcBorders>
              <w:top w:val="single" w:sz="4" w:space="0" w:color="auto"/>
            </w:tcBorders>
            <w:vAlign w:val="center"/>
            <w:hideMark/>
          </w:tcPr>
          <w:p w14:paraId="7E541AB9"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han logrado progresos en la elaboración de enfoques de planificación espacial y de gestión que tengan en cuenta la biodiversidad, pero siguen existiendo importantes deficiencias en la integración de la biodiversidad en los procesos de planificación más amplios y en las formas de garantizar una implementación participativa. Las metas nacionales a menudo no abordan plenamente los requisitos de la meta en materia de planificación integrada y participación, y los niveles actuales de implementación siguen estando muy por debajo de los necesarios para lograr una cobertura completa de los planes espaciales que tengan en cuenta la biodiversidad, minimizar la pérdida de zonas de suma importancia para la biodiversidad y garantizar procesos integrados y participativos. Las Partes están experimentando dificultades vinculadas con la mejora de la participación de los interesados y los titulares de derechos, la ampliación de la implementación más allá de las áreas protegidas y el logro de la integración entre sectores.</w:t>
            </w:r>
          </w:p>
        </w:tc>
      </w:tr>
      <w:tr w:rsidR="008F15F1" w:rsidRPr="005E3D50" w14:paraId="58846737" w14:textId="77777777" w:rsidTr="006E6831">
        <w:trPr>
          <w:trHeight w:val="699"/>
        </w:trPr>
        <w:tc>
          <w:tcPr>
            <w:tcW w:w="993" w:type="dxa"/>
            <w:shd w:val="clear" w:color="auto" w:fill="FFFFFF" w:themeFill="background1"/>
            <w:noWrap/>
            <w:vAlign w:val="center"/>
            <w:hideMark/>
          </w:tcPr>
          <w:p w14:paraId="2E9E6F3D"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2</w:t>
            </w:r>
          </w:p>
        </w:tc>
        <w:tc>
          <w:tcPr>
            <w:tcW w:w="595" w:type="dxa"/>
            <w:shd w:val="clear" w:color="auto" w:fill="FFFFFF" w:themeFill="background1"/>
            <w:noWrap/>
            <w:vAlign w:val="center"/>
            <w:hideMark/>
          </w:tcPr>
          <w:p w14:paraId="0F1E4A1C"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180DCA93"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56 %</w:t>
            </w:r>
          </w:p>
        </w:tc>
        <w:tc>
          <w:tcPr>
            <w:tcW w:w="562" w:type="dxa"/>
            <w:shd w:val="clear" w:color="auto" w:fill="FFFFFF" w:themeFill="background1"/>
            <w:noWrap/>
            <w:vAlign w:val="center"/>
            <w:hideMark/>
          </w:tcPr>
          <w:p w14:paraId="642117EE"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649FFDF2"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46 %</w:t>
            </w:r>
          </w:p>
        </w:tc>
        <w:tc>
          <w:tcPr>
            <w:tcW w:w="571" w:type="dxa"/>
            <w:shd w:val="clear" w:color="auto" w:fill="FFFFFF" w:themeFill="background1"/>
            <w:noWrap/>
            <w:vAlign w:val="center"/>
            <w:hideMark/>
          </w:tcPr>
          <w:p w14:paraId="68DE09C0"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928E69D"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hideMark/>
          </w:tcPr>
          <w:p w14:paraId="2123E30A"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8C9AD7A"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39 %</w:t>
            </w:r>
          </w:p>
        </w:tc>
        <w:tc>
          <w:tcPr>
            <w:tcW w:w="830" w:type="dxa"/>
            <w:shd w:val="clear" w:color="auto" w:fill="FEE08B"/>
            <w:noWrap/>
            <w:vAlign w:val="center"/>
            <w:hideMark/>
          </w:tcPr>
          <w:p w14:paraId="6C112006"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0,50</w:t>
            </w:r>
          </w:p>
        </w:tc>
        <w:tc>
          <w:tcPr>
            <w:tcW w:w="5952" w:type="dxa"/>
            <w:vAlign w:val="center"/>
            <w:hideMark/>
          </w:tcPr>
          <w:p w14:paraId="68066603"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Las iniciativas de restauración se están ampliando, pero los compromisos actuales para restaurar las zonas, así como su implementación, siguen estando por debajo del nivel necesario para restaurar el 30 % de los ecosistemas degradados para 2030. En este contexto, se han logrado menos progresos en las zonas marinas, costeras y de agua dulce que en las terrestres. En general, las metas nacionales están bien armonizadas con la meta 2, aunque a menudo carecen de elementos relacionados con la consideración de la eficacia de las iniciativas de restauración. El seguimiento de los progresos se ve limitado por la falta de uniformidad en las definiciones y los enfoques de seguimiento para evaluar la degradación y la restauración de los ecosistemas. Un obstáculo importante sigue siendo la necesidad de abordar los desafíos tanto de implementación como de seguimiento mediante un </w:t>
            </w:r>
            <w:r w:rsidRPr="005E3D50">
              <w:rPr>
                <w:rFonts w:ascii="Aptos" w:hAnsi="Aptos"/>
                <w:color w:val="000000"/>
                <w:sz w:val="20"/>
                <w:lang w:val="es-ES"/>
              </w:rPr>
              <w:lastRenderedPageBreak/>
              <w:t>aumento de la provisión fiable de recursos para las iniciativas de restauración.</w:t>
            </w:r>
          </w:p>
        </w:tc>
      </w:tr>
      <w:tr w:rsidR="008F15F1" w:rsidRPr="005E3D50" w14:paraId="71C4A64B" w14:textId="77777777" w:rsidTr="006E6831">
        <w:trPr>
          <w:trHeight w:val="699"/>
        </w:trPr>
        <w:tc>
          <w:tcPr>
            <w:tcW w:w="993" w:type="dxa"/>
            <w:shd w:val="clear" w:color="auto" w:fill="FFFFFF" w:themeFill="background1"/>
            <w:noWrap/>
            <w:vAlign w:val="center"/>
            <w:hideMark/>
          </w:tcPr>
          <w:p w14:paraId="6A7898E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3</w:t>
            </w:r>
          </w:p>
        </w:tc>
        <w:tc>
          <w:tcPr>
            <w:tcW w:w="595" w:type="dxa"/>
            <w:shd w:val="clear" w:color="auto" w:fill="FFFFFF" w:themeFill="background1"/>
            <w:noWrap/>
            <w:vAlign w:val="center"/>
            <w:hideMark/>
          </w:tcPr>
          <w:p w14:paraId="2F8F7DD0"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EDA5381"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48 %</w:t>
            </w:r>
          </w:p>
        </w:tc>
        <w:tc>
          <w:tcPr>
            <w:tcW w:w="562" w:type="dxa"/>
            <w:shd w:val="clear" w:color="auto" w:fill="FFFFFF" w:themeFill="background1"/>
            <w:noWrap/>
            <w:vAlign w:val="center"/>
            <w:hideMark/>
          </w:tcPr>
          <w:p w14:paraId="08C24586"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1FF1C80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50 %</w:t>
            </w:r>
          </w:p>
        </w:tc>
        <w:tc>
          <w:tcPr>
            <w:tcW w:w="571" w:type="dxa"/>
            <w:shd w:val="clear" w:color="auto" w:fill="FFFFFF" w:themeFill="background1"/>
            <w:noWrap/>
            <w:vAlign w:val="center"/>
            <w:hideMark/>
          </w:tcPr>
          <w:p w14:paraId="199262D2"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1FE5DC52"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25 %</w:t>
            </w:r>
          </w:p>
        </w:tc>
        <w:tc>
          <w:tcPr>
            <w:tcW w:w="562" w:type="dxa"/>
            <w:shd w:val="clear" w:color="auto" w:fill="FFFFFF" w:themeFill="background1"/>
            <w:noWrap/>
            <w:vAlign w:val="center"/>
            <w:hideMark/>
          </w:tcPr>
          <w:p w14:paraId="5041FAF2"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0E4508DB"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65 %</w:t>
            </w:r>
          </w:p>
        </w:tc>
        <w:tc>
          <w:tcPr>
            <w:tcW w:w="830" w:type="dxa"/>
            <w:shd w:val="clear" w:color="auto" w:fill="FC8D59"/>
            <w:noWrap/>
            <w:vAlign w:val="center"/>
            <w:hideMark/>
          </w:tcPr>
          <w:p w14:paraId="09718577"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0,38</w:t>
            </w:r>
          </w:p>
        </w:tc>
        <w:tc>
          <w:tcPr>
            <w:tcW w:w="5952" w:type="dxa"/>
            <w:vAlign w:val="center"/>
            <w:hideMark/>
          </w:tcPr>
          <w:p w14:paraId="6319D9C8"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Las Partes siguen logrando progresos en la ampliación y la gestión de áreas protegidas, en especial en las zonas marinas y costeras, pero la ambición y la implementación actuales siguen siendo insuficientes para cumplir plenamente todos los aspectos de la meta 3. Además, las Partes siguen avanzando en la designación de zonas terrestres y de aguas continentales, así como de zonas marinas y costeras, con miras a lograr resultados eficaces de conservación y gestión, y se encuentran en una fase inicial de implementación y seguimiento de otras medidas de conservación eficaces basadas en áreas (OMEC), aunque las limitaciones metodológicas afectan la capacidad de evaluar con precisión estos progresos. Sin embargo, las metas nacionales están menos armonizadas con los aspectos cualitativos de la meta 3, y el seguimiento y la presentación de informes sobre algunos elementos de la meta siguen siendo limitados, incluidos los relacionados con la gobernanza equitativa de las áreas protegidas y otras medidas de conservación eficaces basadas en áreas, el reconocimiento de los territorios indígenas y locales y la integración en paisajes terrestres y marinos más amplios. Las Partes enfrentan importantes dificultades con respecto a la implementación, sobre todo debido a la falta de financiación y de capacidad.</w:t>
            </w:r>
          </w:p>
        </w:tc>
      </w:tr>
      <w:tr w:rsidR="008F15F1" w:rsidRPr="005E3D50" w14:paraId="5A775C64" w14:textId="77777777" w:rsidTr="006E6831">
        <w:trPr>
          <w:trHeight w:val="2689"/>
        </w:trPr>
        <w:tc>
          <w:tcPr>
            <w:tcW w:w="993" w:type="dxa"/>
            <w:shd w:val="clear" w:color="auto" w:fill="FFFFFF" w:themeFill="background1"/>
            <w:noWrap/>
            <w:vAlign w:val="center"/>
            <w:hideMark/>
          </w:tcPr>
          <w:p w14:paraId="202C86E1"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4</w:t>
            </w:r>
          </w:p>
        </w:tc>
        <w:tc>
          <w:tcPr>
            <w:tcW w:w="595" w:type="dxa"/>
            <w:shd w:val="clear" w:color="auto" w:fill="FFFFFF" w:themeFill="background1"/>
            <w:noWrap/>
            <w:vAlign w:val="center"/>
            <w:hideMark/>
          </w:tcPr>
          <w:p w14:paraId="673F347C"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7ECD7593"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70 %</w:t>
            </w:r>
          </w:p>
        </w:tc>
        <w:tc>
          <w:tcPr>
            <w:tcW w:w="562" w:type="dxa"/>
            <w:shd w:val="clear" w:color="auto" w:fill="FFFFFF" w:themeFill="background1"/>
            <w:noWrap/>
            <w:vAlign w:val="center"/>
            <w:hideMark/>
          </w:tcPr>
          <w:p w14:paraId="2B248443"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2F2BB8F"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36 %</w:t>
            </w:r>
          </w:p>
        </w:tc>
        <w:tc>
          <w:tcPr>
            <w:tcW w:w="571" w:type="dxa"/>
            <w:shd w:val="clear" w:color="auto" w:fill="FFFFFF" w:themeFill="background1"/>
            <w:noWrap/>
            <w:vAlign w:val="center"/>
            <w:hideMark/>
          </w:tcPr>
          <w:p w14:paraId="25121FCA"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435A3CC2"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0 %</w:t>
            </w:r>
          </w:p>
        </w:tc>
        <w:tc>
          <w:tcPr>
            <w:tcW w:w="562" w:type="dxa"/>
            <w:shd w:val="clear" w:color="auto" w:fill="FFFFFF" w:themeFill="background1"/>
            <w:noWrap/>
            <w:vAlign w:val="center"/>
            <w:hideMark/>
          </w:tcPr>
          <w:p w14:paraId="77D9B70A"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764FEF4B"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68 %</w:t>
            </w:r>
          </w:p>
        </w:tc>
        <w:tc>
          <w:tcPr>
            <w:tcW w:w="830" w:type="dxa"/>
            <w:shd w:val="clear" w:color="auto" w:fill="FC8D59"/>
            <w:noWrap/>
            <w:vAlign w:val="center"/>
            <w:hideMark/>
          </w:tcPr>
          <w:p w14:paraId="739C0967"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hideMark/>
          </w:tcPr>
          <w:p w14:paraId="4421A9AE"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Las pruebas disponibles indican que persisten las presiones sobre las especies amenazadas y los riesgos de extinción, pero la evaluación de los progresos colectivos sigue viéndose limitada por las desiguales capacidades nacionales de seguimiento, una cobertura taxonómica incompleta y la escasez de datos sobre la diversidad genética. Las metas nacionales abordan en general la conservación de especies; sin embargo, las cuestiones relativas al mantenimiento y la restauración de la diversidad genética entre las poblaciones de especies domesticadas y dentro de ellas, y a la gestión eficaz de las interacciones entre los seres humanos y la fauna y flora silvestres con miras a reducir al mínimo los conflictos entre los seres humanos y las especies silvestres en favor de la coexistencia, no se abordan en la misma medida. El fortalecimiento de los programas de recuperación de especies, la ampliación de los sistemas de seguimiento y el </w:t>
            </w:r>
            <w:r w:rsidRPr="005E3D50">
              <w:rPr>
                <w:rFonts w:ascii="Aptos" w:hAnsi="Aptos"/>
                <w:color w:val="000000"/>
                <w:sz w:val="20"/>
                <w:lang w:val="es-ES"/>
              </w:rPr>
              <w:lastRenderedPageBreak/>
              <w:t>abordaje de los impulsores de la disminución de especies se han identificado como prioridades.</w:t>
            </w:r>
          </w:p>
        </w:tc>
      </w:tr>
      <w:tr w:rsidR="008F15F1" w:rsidRPr="005E3D50" w14:paraId="43EA31A4" w14:textId="77777777" w:rsidTr="006E6831">
        <w:trPr>
          <w:trHeight w:val="2967"/>
        </w:trPr>
        <w:tc>
          <w:tcPr>
            <w:tcW w:w="993" w:type="dxa"/>
            <w:shd w:val="clear" w:color="auto" w:fill="FFFFFF" w:themeFill="background1"/>
            <w:noWrap/>
            <w:vAlign w:val="center"/>
            <w:hideMark/>
          </w:tcPr>
          <w:p w14:paraId="30203C8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5</w:t>
            </w:r>
          </w:p>
        </w:tc>
        <w:tc>
          <w:tcPr>
            <w:tcW w:w="595" w:type="dxa"/>
            <w:shd w:val="clear" w:color="auto" w:fill="FFFFFF" w:themeFill="background1"/>
            <w:noWrap/>
            <w:vAlign w:val="center"/>
            <w:hideMark/>
          </w:tcPr>
          <w:p w14:paraId="5FBFA6FE"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567639D6"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60 %</w:t>
            </w:r>
          </w:p>
        </w:tc>
        <w:tc>
          <w:tcPr>
            <w:tcW w:w="562" w:type="dxa"/>
            <w:shd w:val="clear" w:color="auto" w:fill="FFFFFF" w:themeFill="background1"/>
            <w:noWrap/>
            <w:vAlign w:val="center"/>
            <w:hideMark/>
          </w:tcPr>
          <w:p w14:paraId="10959F3C"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570A8821"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42 %</w:t>
            </w:r>
          </w:p>
        </w:tc>
        <w:tc>
          <w:tcPr>
            <w:tcW w:w="571" w:type="dxa"/>
            <w:shd w:val="clear" w:color="auto" w:fill="FFFFFF" w:themeFill="background1"/>
            <w:noWrap/>
            <w:vAlign w:val="center"/>
            <w:hideMark/>
          </w:tcPr>
          <w:p w14:paraId="4A1530D4"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29FF22DD"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83 %</w:t>
            </w:r>
          </w:p>
        </w:tc>
        <w:tc>
          <w:tcPr>
            <w:tcW w:w="562" w:type="dxa"/>
            <w:shd w:val="clear" w:color="auto" w:fill="FFFFFF" w:themeFill="background1"/>
            <w:noWrap/>
            <w:vAlign w:val="center"/>
            <w:hideMark/>
          </w:tcPr>
          <w:p w14:paraId="3BE936B3"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CE456A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33 %</w:t>
            </w:r>
          </w:p>
        </w:tc>
        <w:tc>
          <w:tcPr>
            <w:tcW w:w="830" w:type="dxa"/>
            <w:shd w:val="clear" w:color="auto" w:fill="FEE08B"/>
            <w:noWrap/>
            <w:vAlign w:val="center"/>
            <w:hideMark/>
          </w:tcPr>
          <w:p w14:paraId="5EDC4404"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0,67</w:t>
            </w:r>
          </w:p>
        </w:tc>
        <w:tc>
          <w:tcPr>
            <w:tcW w:w="5952" w:type="dxa"/>
            <w:vAlign w:val="center"/>
            <w:hideMark/>
          </w:tcPr>
          <w:p w14:paraId="432A2C16"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Se están logrando progresos en el fortalecimiento de los marcos jurídicos y normativos para el uso y el comercio sostenibles de las especies silvestres, pero las pruebas son insuficientes para evaluar los progresos colectivos en todos los elementos de la meta. Los progresos señalados se concentran en el comercio regulado y en las prácticas de recolección sostenible, mientras que las importantes carencias en materia de conocimientos, seguimiento y capacidad limitan la implementación y la evaluación de la recolección sostenible. Las metas nacionales en general están armonizadas con la mayoría de los aspectos de la meta, excepto en lo que respecta a la reducción del riesgo de propagación de patógenos. Las carencias considerables de conocimientos y datos y de carácter técnico obstaculizan los progresos, y siguen existiendo limitaciones jurídicas, financieras, administrativas y de capacidad que dificultan la implementación. </w:t>
            </w:r>
          </w:p>
        </w:tc>
      </w:tr>
      <w:tr w:rsidR="008F15F1" w:rsidRPr="005E3D50" w14:paraId="4C267237" w14:textId="77777777" w:rsidTr="006E6831">
        <w:trPr>
          <w:trHeight w:val="699"/>
        </w:trPr>
        <w:tc>
          <w:tcPr>
            <w:tcW w:w="993" w:type="dxa"/>
            <w:shd w:val="clear" w:color="auto" w:fill="FFFFFF" w:themeFill="background1"/>
            <w:noWrap/>
            <w:vAlign w:val="center"/>
            <w:hideMark/>
          </w:tcPr>
          <w:p w14:paraId="0A7F3EC4"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6</w:t>
            </w:r>
          </w:p>
        </w:tc>
        <w:tc>
          <w:tcPr>
            <w:tcW w:w="595" w:type="dxa"/>
            <w:shd w:val="clear" w:color="auto" w:fill="FFFFFF" w:themeFill="background1"/>
            <w:noWrap/>
            <w:vAlign w:val="center"/>
            <w:hideMark/>
          </w:tcPr>
          <w:p w14:paraId="4E97A50B"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AA3678C"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54 %</w:t>
            </w:r>
          </w:p>
        </w:tc>
        <w:tc>
          <w:tcPr>
            <w:tcW w:w="562" w:type="dxa"/>
            <w:shd w:val="clear" w:color="auto" w:fill="FFFFFF" w:themeFill="background1"/>
            <w:noWrap/>
            <w:vAlign w:val="center"/>
            <w:hideMark/>
          </w:tcPr>
          <w:p w14:paraId="59C82373"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E04D874"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32 %</w:t>
            </w:r>
          </w:p>
        </w:tc>
        <w:tc>
          <w:tcPr>
            <w:tcW w:w="571" w:type="dxa"/>
            <w:shd w:val="clear" w:color="auto" w:fill="FFFFFF" w:themeFill="background1"/>
            <w:noWrap/>
            <w:vAlign w:val="center"/>
            <w:hideMark/>
          </w:tcPr>
          <w:p w14:paraId="4AF0C6A3"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120135A8"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67 %</w:t>
            </w:r>
          </w:p>
        </w:tc>
        <w:tc>
          <w:tcPr>
            <w:tcW w:w="562" w:type="dxa"/>
            <w:shd w:val="clear" w:color="auto" w:fill="FFFFFF" w:themeFill="background1"/>
            <w:noWrap/>
            <w:vAlign w:val="center"/>
            <w:hideMark/>
          </w:tcPr>
          <w:p w14:paraId="53742AB9"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2A97D9FE"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27 %</w:t>
            </w:r>
          </w:p>
        </w:tc>
        <w:tc>
          <w:tcPr>
            <w:tcW w:w="830" w:type="dxa"/>
            <w:shd w:val="clear" w:color="auto" w:fill="FC8D59"/>
            <w:noWrap/>
            <w:vAlign w:val="center"/>
            <w:hideMark/>
          </w:tcPr>
          <w:p w14:paraId="1E92B680"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0,33</w:t>
            </w:r>
          </w:p>
        </w:tc>
        <w:tc>
          <w:tcPr>
            <w:tcW w:w="5952" w:type="dxa"/>
            <w:vAlign w:val="center"/>
            <w:hideMark/>
          </w:tcPr>
          <w:p w14:paraId="7D6FFC13"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Las Partes están tomando medidas relativas a las especies exóticas invasoras, pero sigue siendo difícil evaluar los progresos. La mayoría de las Partes señalan que no están en vías de alcanzar las metas nacionales relacionadas con la meta 6. En general, las metas nacionales no reflejan explícitamente todo el alcance de la meta, y solo una minoría de las Partes tienen elementos cuantitativos que se corresponden con el nivel de ambición mundial de la meta 6. Las Partes también señalan los desafíos asociados al seguimiento, como la escasez de datos de referencia y la limitada capacidad para detectar especies exóticas invasoras. Aunque las Partes han señalado importantes medidas adoptadas para alcanzar la meta, aún no es posible discernir los efectos a largo plazo de estos esfuerzos sobre el establecimiento o los impactos de las especies exóticas invasoras. Entre las acciones eficaces se incluyen sólidas medidas de bioseguridad centradas en la prevención, que no están establecidas de forma </w:t>
            </w:r>
            <w:r w:rsidRPr="005E3D50">
              <w:rPr>
                <w:rFonts w:ascii="Aptos" w:hAnsi="Aptos"/>
                <w:color w:val="000000"/>
                <w:sz w:val="20"/>
                <w:lang w:val="es-ES"/>
              </w:rPr>
              <w:lastRenderedPageBreak/>
              <w:t xml:space="preserve">generalizada entre las Partes debido a las diferencias en la capacidad y las circunstancias nacionales. </w:t>
            </w:r>
          </w:p>
        </w:tc>
      </w:tr>
      <w:tr w:rsidR="008F15F1" w:rsidRPr="005E3D50" w14:paraId="101D2C74" w14:textId="77777777" w:rsidTr="006E6831">
        <w:trPr>
          <w:trHeight w:val="2967"/>
        </w:trPr>
        <w:tc>
          <w:tcPr>
            <w:tcW w:w="993" w:type="dxa"/>
            <w:shd w:val="clear" w:color="auto" w:fill="FFFFFF" w:themeFill="background1"/>
            <w:noWrap/>
            <w:vAlign w:val="center"/>
            <w:hideMark/>
          </w:tcPr>
          <w:p w14:paraId="79F897FF"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7</w:t>
            </w:r>
          </w:p>
        </w:tc>
        <w:tc>
          <w:tcPr>
            <w:tcW w:w="595" w:type="dxa"/>
            <w:shd w:val="clear" w:color="auto" w:fill="FFFFFF" w:themeFill="background1"/>
            <w:noWrap/>
            <w:vAlign w:val="center"/>
            <w:hideMark/>
          </w:tcPr>
          <w:p w14:paraId="50EC00AE"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08E2F48C"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55 %</w:t>
            </w:r>
          </w:p>
        </w:tc>
        <w:tc>
          <w:tcPr>
            <w:tcW w:w="562" w:type="dxa"/>
            <w:shd w:val="clear" w:color="auto" w:fill="FFFFFF" w:themeFill="background1"/>
            <w:noWrap/>
            <w:vAlign w:val="center"/>
            <w:hideMark/>
          </w:tcPr>
          <w:p w14:paraId="05CC5077"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0A37A22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36 %</w:t>
            </w:r>
          </w:p>
        </w:tc>
        <w:tc>
          <w:tcPr>
            <w:tcW w:w="571" w:type="dxa"/>
            <w:shd w:val="clear" w:color="auto" w:fill="FFFFFF" w:themeFill="background1"/>
            <w:noWrap/>
            <w:vAlign w:val="center"/>
            <w:hideMark/>
          </w:tcPr>
          <w:p w14:paraId="13545922"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5EC3236" w14:textId="77777777" w:rsidR="008F15F1" w:rsidRPr="005E3D50" w:rsidRDefault="008F15F1" w:rsidP="008F15F1">
            <w:pPr>
              <w:rPr>
                <w:rFonts w:ascii="Aptos Narrow" w:eastAsia="Times New Roman" w:hAnsi="Aptos Narrow" w:cs="Calibri"/>
                <w:sz w:val="20"/>
                <w:szCs w:val="20"/>
                <w:lang w:val="es-ES"/>
              </w:rPr>
            </w:pPr>
            <w:r w:rsidRPr="005E3D50">
              <w:rPr>
                <w:rFonts w:ascii="Aptos Narrow" w:hAnsi="Aptos Narrow"/>
                <w:color w:val="000000"/>
                <w:sz w:val="20"/>
                <w:lang w:val="es-ES"/>
              </w:rPr>
              <w:t>50 %</w:t>
            </w:r>
          </w:p>
        </w:tc>
        <w:tc>
          <w:tcPr>
            <w:tcW w:w="562" w:type="dxa"/>
            <w:shd w:val="clear" w:color="auto" w:fill="FFFFFF" w:themeFill="background1"/>
            <w:noWrap/>
            <w:vAlign w:val="center"/>
            <w:hideMark/>
          </w:tcPr>
          <w:p w14:paraId="714F18AE"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0272CDF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30 %</w:t>
            </w:r>
          </w:p>
        </w:tc>
        <w:tc>
          <w:tcPr>
            <w:tcW w:w="830" w:type="dxa"/>
            <w:shd w:val="clear" w:color="auto" w:fill="FC8D59"/>
            <w:noWrap/>
            <w:vAlign w:val="center"/>
            <w:hideMark/>
          </w:tcPr>
          <w:p w14:paraId="09542EDC"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0,38</w:t>
            </w:r>
          </w:p>
        </w:tc>
        <w:tc>
          <w:tcPr>
            <w:tcW w:w="5952" w:type="dxa"/>
            <w:vAlign w:val="center"/>
            <w:hideMark/>
          </w:tcPr>
          <w:p w14:paraId="7D967541"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Los progresos en el abordaje de la contaminación son desiguales y las importantes carencias en la disponibilidad de datos dificultan la evaluación de los progresos. La meta 7 abarca diversas fuentes de contaminación, que las Partes han abordado de formas diferentes al establecer sus metas nacionales. Por lo tanto, las tendencias comunicadas en relación con los indicadores nacionales son divergentes, y la escasa presentación de datos sobre los indicadores de cabecera, los sistemas de seguimiento incompletos o desiguales y la comparabilidad limitada entre los indicadores restringen la evaluación agregada de los riesgos de contaminación y los progresos. Además, la mayoría de las Partes (60 %) reconocen que no están actualmente en vías de alcanzar las metas nacionales relacionadas con la meta 7. Uno de los principales obstáculos para avanzar hacia la consecución de la meta 7 consiste en asegurar que los efectos sobre la seguridad alimentaria y los medios de vida se consideren y gestionen de forma eficaz y justa.</w:t>
            </w:r>
          </w:p>
        </w:tc>
      </w:tr>
      <w:tr w:rsidR="008F15F1" w:rsidRPr="005E3D50" w14:paraId="3BF49820" w14:textId="77777777" w:rsidTr="006E6831">
        <w:trPr>
          <w:trHeight w:val="3392"/>
        </w:trPr>
        <w:tc>
          <w:tcPr>
            <w:tcW w:w="993" w:type="dxa"/>
            <w:shd w:val="clear" w:color="auto" w:fill="FFFFFF" w:themeFill="background1"/>
            <w:noWrap/>
            <w:vAlign w:val="center"/>
            <w:hideMark/>
          </w:tcPr>
          <w:p w14:paraId="4A3F0D6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8</w:t>
            </w:r>
          </w:p>
        </w:tc>
        <w:tc>
          <w:tcPr>
            <w:tcW w:w="595" w:type="dxa"/>
            <w:shd w:val="clear" w:color="auto" w:fill="FFFFFF" w:themeFill="background1"/>
            <w:noWrap/>
            <w:vAlign w:val="center"/>
            <w:hideMark/>
          </w:tcPr>
          <w:p w14:paraId="6FF2B34F"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4CD5DE0D"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62 %</w:t>
            </w:r>
          </w:p>
        </w:tc>
        <w:tc>
          <w:tcPr>
            <w:tcW w:w="562" w:type="dxa"/>
            <w:shd w:val="clear" w:color="auto" w:fill="FFFFFF" w:themeFill="background1"/>
            <w:noWrap/>
            <w:vAlign w:val="center"/>
            <w:hideMark/>
          </w:tcPr>
          <w:p w14:paraId="43B47868"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7D7C05E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43 %</w:t>
            </w:r>
          </w:p>
        </w:tc>
        <w:tc>
          <w:tcPr>
            <w:tcW w:w="571" w:type="dxa"/>
            <w:shd w:val="clear" w:color="auto" w:fill="FFFFFF" w:themeFill="background1"/>
            <w:noWrap/>
            <w:vAlign w:val="center"/>
            <w:hideMark/>
          </w:tcPr>
          <w:p w14:paraId="19FB1369"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5024684D"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hideMark/>
          </w:tcPr>
          <w:p w14:paraId="1FC244EA"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ADA90E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18 %</w:t>
            </w:r>
          </w:p>
        </w:tc>
        <w:tc>
          <w:tcPr>
            <w:tcW w:w="830" w:type="dxa"/>
            <w:shd w:val="clear" w:color="auto" w:fill="91CF60"/>
            <w:noWrap/>
            <w:vAlign w:val="center"/>
            <w:hideMark/>
          </w:tcPr>
          <w:p w14:paraId="2DF6148F"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0,75</w:t>
            </w:r>
          </w:p>
        </w:tc>
        <w:tc>
          <w:tcPr>
            <w:tcW w:w="5952" w:type="dxa"/>
            <w:vAlign w:val="center"/>
            <w:hideMark/>
          </w:tcPr>
          <w:p w14:paraId="547F8A97"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Las medidas destinadas a reforzar la resiliencia climática y la adaptación al cambio climático están avanzando, pero su implementación sigue viéndose limitada por las carencias de datos, la escasez de medios de implementación y la necesidad de una mayor coherencia de la planificación en materia de biodiversidad, clima y reducción del riesgo de desastres. En general, existe una buena armonización entre las metas nacionales y la meta 8 en todos los elementos, salvo en lo que se refiere a las metas relativas a minimizar los efectos de la acidificación de los océanos. La mitad de los indicadores comunicados por las Partes muestran tendencias positivas, lo que sugiere que las medidas aplicadas son, en general, eficaces. Sin embargo, las Partes reconocen en sus autoevaluaciones que no se está avanzando al ritmo suficiente para alcanzar la mitad de las metas. Entre los enfoques importantes señalados para abordar los elementos de la meta 8 se incluyen la restauración de los ecosistemas, que también se señala en relación con la meta 2, y las soluciones basadas en la naturaleza, pero estos no se están aplicando a una escala suficiente. </w:t>
            </w:r>
          </w:p>
        </w:tc>
      </w:tr>
      <w:tr w:rsidR="008F15F1" w:rsidRPr="005E3D50" w14:paraId="1A0A14F6" w14:textId="77777777" w:rsidTr="006E6831">
        <w:trPr>
          <w:trHeight w:val="3392"/>
        </w:trPr>
        <w:tc>
          <w:tcPr>
            <w:tcW w:w="993" w:type="dxa"/>
            <w:shd w:val="clear" w:color="auto" w:fill="FFFFFF" w:themeFill="background1"/>
            <w:noWrap/>
            <w:vAlign w:val="center"/>
            <w:hideMark/>
          </w:tcPr>
          <w:p w14:paraId="317CD23A"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9</w:t>
            </w:r>
          </w:p>
        </w:tc>
        <w:tc>
          <w:tcPr>
            <w:tcW w:w="595" w:type="dxa"/>
            <w:shd w:val="clear" w:color="auto" w:fill="FFFFFF" w:themeFill="background1"/>
            <w:noWrap/>
            <w:vAlign w:val="center"/>
            <w:hideMark/>
          </w:tcPr>
          <w:p w14:paraId="1C99C34E"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51E63EB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61 %</w:t>
            </w:r>
          </w:p>
        </w:tc>
        <w:tc>
          <w:tcPr>
            <w:tcW w:w="562" w:type="dxa"/>
            <w:shd w:val="clear" w:color="auto" w:fill="FFFFFF" w:themeFill="background1"/>
            <w:noWrap/>
            <w:vAlign w:val="center"/>
            <w:hideMark/>
          </w:tcPr>
          <w:p w14:paraId="09008883"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481CC7F"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36 %</w:t>
            </w:r>
          </w:p>
        </w:tc>
        <w:tc>
          <w:tcPr>
            <w:tcW w:w="571" w:type="dxa"/>
            <w:shd w:val="clear" w:color="auto" w:fill="FFFFFF" w:themeFill="background1"/>
            <w:noWrap/>
            <w:vAlign w:val="center"/>
            <w:hideMark/>
          </w:tcPr>
          <w:p w14:paraId="328F2C35"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99FC1B3" w14:textId="77777777" w:rsidR="008F15F1" w:rsidRPr="005E3D50" w:rsidRDefault="008F15F1" w:rsidP="008F15F1">
            <w:pPr>
              <w:rPr>
                <w:rFonts w:ascii="Aptos Narrow" w:eastAsia="Times New Roman" w:hAnsi="Aptos Narrow" w:cs="Calibri"/>
                <w:sz w:val="20"/>
                <w:szCs w:val="20"/>
                <w:lang w:val="es-ES"/>
              </w:rPr>
            </w:pPr>
            <w:r w:rsidRPr="005E3D50">
              <w:rPr>
                <w:rFonts w:ascii="Aptos Narrow" w:hAnsi="Aptos Narrow"/>
                <w:color w:val="000000"/>
                <w:sz w:val="20"/>
                <w:lang w:val="es-ES"/>
              </w:rPr>
              <w:t>33 %</w:t>
            </w:r>
          </w:p>
        </w:tc>
        <w:tc>
          <w:tcPr>
            <w:tcW w:w="562" w:type="dxa"/>
            <w:shd w:val="clear" w:color="auto" w:fill="FFFFFF" w:themeFill="background1"/>
            <w:noWrap/>
            <w:vAlign w:val="center"/>
            <w:hideMark/>
          </w:tcPr>
          <w:p w14:paraId="40D6BEB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095ECE9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25 %</w:t>
            </w:r>
          </w:p>
        </w:tc>
        <w:tc>
          <w:tcPr>
            <w:tcW w:w="830" w:type="dxa"/>
            <w:shd w:val="clear" w:color="auto" w:fill="FC8D59"/>
            <w:noWrap/>
            <w:vAlign w:val="center"/>
            <w:hideMark/>
          </w:tcPr>
          <w:p w14:paraId="15285079"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0,42</w:t>
            </w:r>
          </w:p>
        </w:tc>
        <w:tc>
          <w:tcPr>
            <w:tcW w:w="5952" w:type="dxa"/>
            <w:vAlign w:val="center"/>
            <w:hideMark/>
          </w:tcPr>
          <w:p w14:paraId="46A3EEB9"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Los progresos tendientes a garantizar la utilización sostenible de las especies silvestres y los beneficios relacionados siguen siendo desparejos, aunque varias Partes informan que han adoptado importantes políticas que promueven condiciones propicias y enfoques basados en la comunidad que sustentan medios de vida, la utilización consuetudinaria sostenible y resultados en materia de conservación. El alcance amplio de la meta 9 se aborda en metas nacionales, pero los elementos relacionados específicamente con los pueblos indígenas y las comunidades locales, así como con las personas que se encuentran en situación de vulnerabilidad, no están tan bien cubiertos. Las tendencias colectivas de los indicadores de cabecera de la meta resultan difíciles de determinar debido a carencias de datos y a su variabilidad, así como a cuestiones metodológicas. Los progresos comunicados a través del indicador binario con respecto a la aplicación de políticas fueron relativamente bajos, como también lo fueron los progresos logrados en las metas nacionales según las autoevaluaciones. Entre las dificultades de implementación que se señalaron figuran la falta de financiación, la persistencia de subsidios y otros incentivos perjudiciales para la diversidad biológica, la debilidad en la aplicación de la normativa y sistemas de seguimiento poco desarrollados.</w:t>
            </w:r>
          </w:p>
        </w:tc>
      </w:tr>
      <w:tr w:rsidR="008F15F1" w:rsidRPr="005E3D50" w14:paraId="5ACF804F" w14:textId="77777777" w:rsidTr="006E6831">
        <w:trPr>
          <w:trHeight w:val="3392"/>
        </w:trPr>
        <w:tc>
          <w:tcPr>
            <w:tcW w:w="993" w:type="dxa"/>
            <w:shd w:val="clear" w:color="auto" w:fill="FFFFFF" w:themeFill="background1"/>
            <w:noWrap/>
            <w:vAlign w:val="center"/>
          </w:tcPr>
          <w:p w14:paraId="0FD2EE79"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10</w:t>
            </w:r>
          </w:p>
        </w:tc>
        <w:tc>
          <w:tcPr>
            <w:tcW w:w="595" w:type="dxa"/>
            <w:shd w:val="clear" w:color="auto" w:fill="FFFFFF" w:themeFill="background1"/>
            <w:noWrap/>
            <w:vAlign w:val="center"/>
          </w:tcPr>
          <w:p w14:paraId="2A1347EA"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40BA9913" w14:textId="77777777" w:rsidR="008F15F1" w:rsidRPr="005E3D50" w:rsidRDefault="008F15F1" w:rsidP="008F15F1">
            <w:pPr>
              <w:rPr>
                <w:rFonts w:ascii="Calibri" w:eastAsia="Times New Roman" w:hAnsi="Calibri" w:cs="Calibri"/>
                <w:color w:val="000000"/>
                <w:sz w:val="20"/>
                <w:szCs w:val="20"/>
                <w:lang w:val="es-ES"/>
              </w:rPr>
            </w:pPr>
            <w:r w:rsidRPr="005E3D50">
              <w:rPr>
                <w:rFonts w:ascii="Aptos" w:hAnsi="Aptos"/>
                <w:color w:val="000000"/>
                <w:sz w:val="20"/>
                <w:lang w:val="es-ES"/>
              </w:rPr>
              <w:t>60 %</w:t>
            </w:r>
          </w:p>
        </w:tc>
        <w:tc>
          <w:tcPr>
            <w:tcW w:w="562" w:type="dxa"/>
            <w:shd w:val="clear" w:color="auto" w:fill="FFFFFF" w:themeFill="background1"/>
            <w:noWrap/>
            <w:vAlign w:val="center"/>
          </w:tcPr>
          <w:p w14:paraId="518F492A"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00F6B33E"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42 %</w:t>
            </w:r>
          </w:p>
        </w:tc>
        <w:tc>
          <w:tcPr>
            <w:tcW w:w="571" w:type="dxa"/>
            <w:shd w:val="clear" w:color="auto" w:fill="FFFFFF" w:themeFill="background1"/>
            <w:noWrap/>
            <w:vAlign w:val="center"/>
          </w:tcPr>
          <w:p w14:paraId="134702FB"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64A062B"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00DB5A55"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7A251B4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57 %</w:t>
            </w:r>
          </w:p>
        </w:tc>
        <w:tc>
          <w:tcPr>
            <w:tcW w:w="830" w:type="dxa"/>
            <w:shd w:val="clear" w:color="auto" w:fill="FEE08B"/>
            <w:noWrap/>
            <w:vAlign w:val="center"/>
          </w:tcPr>
          <w:p w14:paraId="7C942AF3"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0,50</w:t>
            </w:r>
          </w:p>
        </w:tc>
        <w:tc>
          <w:tcPr>
            <w:tcW w:w="5952" w:type="dxa"/>
            <w:vAlign w:val="center"/>
          </w:tcPr>
          <w:p w14:paraId="5B40AA3B"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Los progresos colectivos siguen siendo desiguales entre los distintos sectores productivos, aunque se observan tendencias positivas recientes en algunas esferas. En general, en las metas nacionales presentadas por las Partes hay una buena cobertura de todo el alcance de la meta 10. Se observan claramente mejoras recientes en las tendencias de los indicadores cuantitativos de la meta 10, lo que sugiere que ha habido progresos en el fortalecimiento de la sostenibilidad de la agricultura y la silvicultura. No obstante, en sus autoevaluaciones las Partes reconocen que en más de la mitad de las metas nacionales relacionadas con la meta 10 los progresos logrados hasta el momento indican que no se estaría en vías de alcanzar la meta. Con respecto a la acuicultura sostenible, no es posible realizar una evaluación. Persisten importantes dificultades para aumentar el empleo de prácticas favorables a la diversidad biológica, salvaguardando al mismo tiempo la seguridad alimentaria, los medios de vida y el desarrollo sostenible. En particular, la ausencia de incentivos y la persistencia de subsidios perjudiciales, la </w:t>
            </w:r>
            <w:r w:rsidRPr="005E3D50">
              <w:rPr>
                <w:rFonts w:ascii="Aptos" w:hAnsi="Aptos"/>
                <w:color w:val="000000"/>
                <w:sz w:val="20"/>
                <w:lang w:val="es-ES"/>
              </w:rPr>
              <w:lastRenderedPageBreak/>
              <w:t>falta de rigurosidad en la aplicación, la escasa capacidad de las comunidades locales y el aumento de las presiones externas, entre ellas el cambio climático, continúan obstaculizando los progresos.</w:t>
            </w:r>
          </w:p>
        </w:tc>
      </w:tr>
      <w:tr w:rsidR="008F15F1" w:rsidRPr="005E3D50" w14:paraId="4BE23CCF" w14:textId="77777777" w:rsidTr="006E6831">
        <w:trPr>
          <w:trHeight w:val="3534"/>
        </w:trPr>
        <w:tc>
          <w:tcPr>
            <w:tcW w:w="993" w:type="dxa"/>
            <w:shd w:val="clear" w:color="auto" w:fill="FFFFFF" w:themeFill="background1"/>
            <w:noWrap/>
            <w:vAlign w:val="center"/>
          </w:tcPr>
          <w:p w14:paraId="657A3F99"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11</w:t>
            </w:r>
          </w:p>
        </w:tc>
        <w:tc>
          <w:tcPr>
            <w:tcW w:w="595" w:type="dxa"/>
            <w:shd w:val="clear" w:color="auto" w:fill="FFFFFF" w:themeFill="background1"/>
            <w:noWrap/>
            <w:vAlign w:val="center"/>
          </w:tcPr>
          <w:p w14:paraId="1DE6B5D0"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36D9AF4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63 %</w:t>
            </w:r>
          </w:p>
        </w:tc>
        <w:tc>
          <w:tcPr>
            <w:tcW w:w="562" w:type="dxa"/>
            <w:shd w:val="clear" w:color="auto" w:fill="FFFFFF" w:themeFill="background1"/>
            <w:noWrap/>
            <w:vAlign w:val="center"/>
          </w:tcPr>
          <w:p w14:paraId="5824F70D"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1D268E8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37 %</w:t>
            </w:r>
          </w:p>
        </w:tc>
        <w:tc>
          <w:tcPr>
            <w:tcW w:w="571" w:type="dxa"/>
            <w:shd w:val="clear" w:color="auto" w:fill="FFFFFF" w:themeFill="background1"/>
            <w:noWrap/>
            <w:vAlign w:val="center"/>
          </w:tcPr>
          <w:p w14:paraId="6B36C4F4"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2F2EC4C5"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303F846C"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0FC7E852"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32 %</w:t>
            </w:r>
          </w:p>
        </w:tc>
        <w:tc>
          <w:tcPr>
            <w:tcW w:w="830" w:type="dxa"/>
            <w:shd w:val="clear" w:color="auto" w:fill="FEE08B"/>
            <w:noWrap/>
            <w:vAlign w:val="center"/>
          </w:tcPr>
          <w:p w14:paraId="03285767"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0,50</w:t>
            </w:r>
          </w:p>
        </w:tc>
        <w:tc>
          <w:tcPr>
            <w:tcW w:w="5952" w:type="dxa"/>
            <w:vAlign w:val="center"/>
          </w:tcPr>
          <w:p w14:paraId="3DADB414"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Los datos disponibles son aún insuficientes para poder para evaluar de forma confiable los progresos colectivos, y las autoevaluaciones de las Partes indican que la implementación aún no avanza al ritmo necesario. Las metas nacionales presentadas por las Partes ofrecen una buena cobertura de todo el alcance de la meta 11. No obstante, el número de informes nacionales que tiene datos que coinciden con el correspondiente indicador de cabecera B.1 (servicios brindados por los ecosistemas) resulta insuficiente para evaluar los progresos, por lo que en esta etapa el indicador solo puede considerarse con carácter experimental. El análisis de tendencias de todos los indicadores comunicados por un tercio de las Partes cuyos informes nacionales fueron considerados en el informe mundial arroja resultados dispares, y las autoevaluaciones indican que las Partes consideran insuficientes los progresos que han logrado en la consecución de la mayoría de las metas nacionales (64 %) relacionadas con la meta 11. Las dificultades señaladas se refieren a la aplicación de métodos de valoración de las contribuciones de la naturaleza a las personas, tanto en las políticas como en el seguimiento, así como a la falta de marcos financieros y jurídicos para la implementación de soluciones basadas en la naturaleza y la gestión de compensaciones con otros sectores de políticas.</w:t>
            </w:r>
          </w:p>
        </w:tc>
      </w:tr>
      <w:tr w:rsidR="008F15F1" w:rsidRPr="005E3D50" w14:paraId="039EE498" w14:textId="77777777" w:rsidTr="006E6831">
        <w:trPr>
          <w:trHeight w:val="2600"/>
        </w:trPr>
        <w:tc>
          <w:tcPr>
            <w:tcW w:w="993" w:type="dxa"/>
            <w:shd w:val="clear" w:color="auto" w:fill="FFFFFF" w:themeFill="background1"/>
            <w:noWrap/>
            <w:vAlign w:val="center"/>
          </w:tcPr>
          <w:p w14:paraId="41439E00"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12</w:t>
            </w:r>
          </w:p>
        </w:tc>
        <w:tc>
          <w:tcPr>
            <w:tcW w:w="595" w:type="dxa"/>
            <w:shd w:val="clear" w:color="auto" w:fill="FFFFFF" w:themeFill="background1"/>
            <w:noWrap/>
            <w:vAlign w:val="center"/>
          </w:tcPr>
          <w:p w14:paraId="5A1146CE"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63D640C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51 %</w:t>
            </w:r>
          </w:p>
        </w:tc>
        <w:tc>
          <w:tcPr>
            <w:tcW w:w="562" w:type="dxa"/>
            <w:shd w:val="clear" w:color="auto" w:fill="FFFFFF" w:themeFill="background1"/>
            <w:noWrap/>
            <w:vAlign w:val="center"/>
          </w:tcPr>
          <w:p w14:paraId="2D7EDF8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75195A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32 %</w:t>
            </w:r>
          </w:p>
        </w:tc>
        <w:tc>
          <w:tcPr>
            <w:tcW w:w="571" w:type="dxa"/>
            <w:shd w:val="clear" w:color="auto" w:fill="FFFFFF" w:themeFill="background1"/>
            <w:noWrap/>
            <w:vAlign w:val="center"/>
          </w:tcPr>
          <w:p w14:paraId="0FE72B8C"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27E4159"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309DC29C"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2F3F94E4"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21 %</w:t>
            </w:r>
          </w:p>
        </w:tc>
        <w:tc>
          <w:tcPr>
            <w:tcW w:w="830" w:type="dxa"/>
            <w:shd w:val="clear" w:color="auto" w:fill="FC8D59"/>
            <w:noWrap/>
            <w:vAlign w:val="center"/>
          </w:tcPr>
          <w:p w14:paraId="353FCDD7"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tcPr>
          <w:p w14:paraId="6BC870DE"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Persisten carencias con respecto a la armonización de las metas nacionales con el alcance total de la meta 12 y con respecto a la implementación y al seguimiento. Las metas nacionales se centran mayoritariamente en aumentar la superficie de los espacios verdes y garantizar una planificación urbana que tenga en cuenta la diversidad biológica, más que en cualquier otro aspecto de la meta. Los datos comunicados son insuficientes para evaluar tendencias, pero se indica un valor de referencia inicial de espacios verdes y azules en zonas urbanas y densamente pobladas. Una clara mayoría de Partes comunican progresos en términos de la inclusión de la diversidad biológica y los servicios de los ecosistemas en la planificación urbana. Sin embargo, otros indicadores nacionales, así como las autoevaluaciones de las Partes, sugieren que no se estaría en vías de alcanzar la mayoría de las metas nacionales. Las Partes señalaron dificultades en relación con los datos y los métodos de seguimiento, la debilidad de los marcos de planificación y la falta de rigurosidad en la aplicación de la normativa, la ineficiente coordinación entre autoridades y carencias en materia de conocimientos especializados pertinentes.</w:t>
            </w:r>
          </w:p>
        </w:tc>
      </w:tr>
      <w:tr w:rsidR="008F15F1" w:rsidRPr="005E3D50" w14:paraId="25351CD6" w14:textId="77777777" w:rsidTr="006E6831">
        <w:trPr>
          <w:trHeight w:val="3676"/>
        </w:trPr>
        <w:tc>
          <w:tcPr>
            <w:tcW w:w="993" w:type="dxa"/>
            <w:shd w:val="clear" w:color="auto" w:fill="FFFFFF" w:themeFill="background1"/>
            <w:noWrap/>
            <w:vAlign w:val="center"/>
          </w:tcPr>
          <w:p w14:paraId="01B45D16"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13</w:t>
            </w:r>
          </w:p>
        </w:tc>
        <w:tc>
          <w:tcPr>
            <w:tcW w:w="595" w:type="dxa"/>
            <w:shd w:val="clear" w:color="auto" w:fill="FFFFFF" w:themeFill="background1"/>
            <w:noWrap/>
            <w:vAlign w:val="center"/>
          </w:tcPr>
          <w:p w14:paraId="7F63BB80"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01D2BA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59 %</w:t>
            </w:r>
          </w:p>
        </w:tc>
        <w:tc>
          <w:tcPr>
            <w:tcW w:w="562" w:type="dxa"/>
            <w:shd w:val="clear" w:color="auto" w:fill="FFFFFF" w:themeFill="background1"/>
            <w:noWrap/>
            <w:vAlign w:val="center"/>
          </w:tcPr>
          <w:p w14:paraId="6A201302"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6B862B29"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44 %</w:t>
            </w:r>
          </w:p>
        </w:tc>
        <w:tc>
          <w:tcPr>
            <w:tcW w:w="571" w:type="dxa"/>
            <w:shd w:val="clear" w:color="auto" w:fill="FFFFFF" w:themeFill="background1"/>
            <w:noWrap/>
            <w:vAlign w:val="center"/>
          </w:tcPr>
          <w:p w14:paraId="1532B24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54EDA39B" w14:textId="77777777" w:rsidR="008F15F1" w:rsidRPr="005E3D50" w:rsidRDefault="008F15F1" w:rsidP="008F15F1">
            <w:pPr>
              <w:rPr>
                <w:rFonts w:ascii="Aptos Narrow" w:eastAsia="Times New Roman" w:hAnsi="Aptos Narrow" w:cs="Calibri"/>
                <w:sz w:val="20"/>
                <w:szCs w:val="20"/>
                <w:lang w:val="es-ES"/>
              </w:rPr>
            </w:pPr>
            <w:r w:rsidRPr="005E3D50">
              <w:rPr>
                <w:rFonts w:ascii="Aptos Narrow" w:hAnsi="Aptos Narrow"/>
                <w:color w:val="000000"/>
                <w:sz w:val="20"/>
                <w:lang w:val="es-ES"/>
              </w:rPr>
              <w:t>25 %</w:t>
            </w:r>
          </w:p>
        </w:tc>
        <w:tc>
          <w:tcPr>
            <w:tcW w:w="562" w:type="dxa"/>
            <w:shd w:val="clear" w:color="auto" w:fill="FFFFFF" w:themeFill="background1"/>
            <w:noWrap/>
            <w:vAlign w:val="center"/>
          </w:tcPr>
          <w:p w14:paraId="3BAA6765"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134D71B9"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24 %</w:t>
            </w:r>
          </w:p>
        </w:tc>
        <w:tc>
          <w:tcPr>
            <w:tcW w:w="830" w:type="dxa"/>
            <w:shd w:val="clear" w:color="auto" w:fill="FC8D59"/>
            <w:noWrap/>
            <w:vAlign w:val="center"/>
          </w:tcPr>
          <w:p w14:paraId="1D108C7E"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0,38</w:t>
            </w:r>
          </w:p>
        </w:tc>
        <w:tc>
          <w:tcPr>
            <w:tcW w:w="5952" w:type="dxa"/>
            <w:vAlign w:val="center"/>
          </w:tcPr>
          <w:p w14:paraId="1EEA7FCA"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están logrando progresos en el establecimiento de marcos de acceso y participación en los beneficios (APB), pero la adopción de los requisitos legislativos, de políticas y administrativos necesarios se encuentra mayormente en sus fases iniciales. En general, las metas nacionales cubren adecuadamente los elementos de la meta 13 relacionados con los recursos genéticos. Los datos sobre beneficios tanto monetarios como no monetarios derivados de los instrumentos de APB presentados por las Partes son escasos. Un análisis de los indicadores sugiere una tendencia general positiva, que coincide con las autoevaluaciones de las Partes y arroja que el 43 % de las metas nacionales estrechamente armonizadas con la meta 13 están en vías de alcanzarse. Las dificultades normativas son los obstáculos para la implementación que más se mencionan. Es necesario intensificar el seguimiento para determinar la incidencia que tienen los marcos de APB y otros marcos normativos nacionales en el aumento de la participación en los beneficios.</w:t>
            </w:r>
          </w:p>
        </w:tc>
      </w:tr>
      <w:tr w:rsidR="008F15F1" w:rsidRPr="005E3D50" w14:paraId="41724C25" w14:textId="77777777" w:rsidTr="006E6831">
        <w:trPr>
          <w:trHeight w:val="3676"/>
        </w:trPr>
        <w:tc>
          <w:tcPr>
            <w:tcW w:w="993" w:type="dxa"/>
            <w:shd w:val="clear" w:color="auto" w:fill="FFFFFF" w:themeFill="background1"/>
            <w:noWrap/>
            <w:vAlign w:val="center"/>
          </w:tcPr>
          <w:p w14:paraId="019FF6EB"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14</w:t>
            </w:r>
          </w:p>
        </w:tc>
        <w:tc>
          <w:tcPr>
            <w:tcW w:w="595" w:type="dxa"/>
            <w:shd w:val="clear" w:color="auto" w:fill="FFFFFF" w:themeFill="background1"/>
            <w:noWrap/>
            <w:vAlign w:val="center"/>
          </w:tcPr>
          <w:p w14:paraId="70D0392F"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F2EB98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43 %</w:t>
            </w:r>
          </w:p>
        </w:tc>
        <w:tc>
          <w:tcPr>
            <w:tcW w:w="562" w:type="dxa"/>
            <w:shd w:val="clear" w:color="auto" w:fill="FFFFFF" w:themeFill="background1"/>
            <w:noWrap/>
            <w:vAlign w:val="center"/>
          </w:tcPr>
          <w:p w14:paraId="3E908CB8"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4A73417D"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38 %</w:t>
            </w:r>
          </w:p>
        </w:tc>
        <w:tc>
          <w:tcPr>
            <w:tcW w:w="571" w:type="dxa"/>
            <w:shd w:val="clear" w:color="auto" w:fill="FFFFFF" w:themeFill="background1"/>
            <w:noWrap/>
            <w:vAlign w:val="center"/>
          </w:tcPr>
          <w:p w14:paraId="42A43FA9"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22B1BC6"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3AD54B8E"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23C04B26"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12 %</w:t>
            </w:r>
          </w:p>
        </w:tc>
        <w:tc>
          <w:tcPr>
            <w:tcW w:w="830" w:type="dxa"/>
            <w:shd w:val="clear" w:color="auto" w:fill="FC8D59"/>
            <w:noWrap/>
            <w:vAlign w:val="center"/>
          </w:tcPr>
          <w:p w14:paraId="230FAC00"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tcPr>
          <w:p w14:paraId="2B464282"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está avanzando en la integración de los valores de la biodiversidad en las políticas, la planificación y la toma de decisiones, pero la implementación en general se encuentra aún en una fase inicial y resulta difícil de evaluar. La mayoría de las Partes han presentado metas nacionales que abordan la integración de la biodiversidad y sus múltiples valores en las políticas, los reglamentos y los procesos de planificación y de desarrollo; sin embargo, existen importantes deficiencias en lo que respecta a los demás elementos de la meta, como, por ejemplo, la incorporación en estrategias de erradicación de la pobreza y la armonización de las corrientes fiscales y financieras. La información que se ha presentado sobre los progresos en la consecución de la meta 14 es limitada, ya que muy pocas Partes presentan indicadores cuantitativos, y muchos aspectos de la implementación medidos por el indicador binario siguen sin abordarse suficientemente. No obstante, las autoevaluaciones de las Partes indican cierta confianza de que están en vías de alcanzar las metas nacionales relacionadas con la integración. Las Partes informan que persiste una desconexión entre las políticas formales en materia de diversidad biológica y su aplicación efectiva.</w:t>
            </w:r>
          </w:p>
        </w:tc>
      </w:tr>
      <w:tr w:rsidR="008F15F1" w:rsidRPr="005E3D50" w14:paraId="792D1858" w14:textId="77777777" w:rsidTr="006E6831">
        <w:trPr>
          <w:trHeight w:val="983"/>
        </w:trPr>
        <w:tc>
          <w:tcPr>
            <w:tcW w:w="993" w:type="dxa"/>
            <w:shd w:val="clear" w:color="auto" w:fill="FFFFFF" w:themeFill="background1"/>
            <w:noWrap/>
            <w:vAlign w:val="center"/>
          </w:tcPr>
          <w:p w14:paraId="58DFF5E4"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15</w:t>
            </w:r>
          </w:p>
        </w:tc>
        <w:tc>
          <w:tcPr>
            <w:tcW w:w="595" w:type="dxa"/>
            <w:shd w:val="clear" w:color="auto" w:fill="FFFFFF" w:themeFill="background1"/>
            <w:noWrap/>
            <w:vAlign w:val="center"/>
          </w:tcPr>
          <w:p w14:paraId="22E90C7D"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190D706"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40 %</w:t>
            </w:r>
          </w:p>
        </w:tc>
        <w:tc>
          <w:tcPr>
            <w:tcW w:w="562" w:type="dxa"/>
            <w:shd w:val="clear" w:color="auto" w:fill="FFFFFF" w:themeFill="background1"/>
            <w:noWrap/>
            <w:vAlign w:val="center"/>
          </w:tcPr>
          <w:p w14:paraId="0C95E330"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D397264"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31 %</w:t>
            </w:r>
          </w:p>
        </w:tc>
        <w:tc>
          <w:tcPr>
            <w:tcW w:w="571" w:type="dxa"/>
            <w:shd w:val="clear" w:color="auto" w:fill="FFFFFF" w:themeFill="background1"/>
            <w:noWrap/>
            <w:vAlign w:val="center"/>
          </w:tcPr>
          <w:p w14:paraId="4FE64AE2"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50D390F3" w14:textId="77777777" w:rsidR="008F15F1" w:rsidRPr="005E3D50" w:rsidRDefault="008F15F1" w:rsidP="008F15F1">
            <w:pPr>
              <w:rPr>
                <w:rFonts w:ascii="Aptos Narrow" w:eastAsia="Times New Roman" w:hAnsi="Aptos Narrow" w:cs="Calibri"/>
                <w:sz w:val="20"/>
                <w:szCs w:val="20"/>
                <w:lang w:val="es-ES"/>
              </w:rPr>
            </w:pPr>
            <w:r w:rsidRPr="005E3D50">
              <w:rPr>
                <w:rFonts w:ascii="Aptos Narrow" w:hAnsi="Aptos Narrow"/>
                <w:color w:val="000000"/>
                <w:sz w:val="20"/>
                <w:lang w:val="es-ES"/>
              </w:rPr>
              <w:t>50 %</w:t>
            </w:r>
          </w:p>
        </w:tc>
        <w:tc>
          <w:tcPr>
            <w:tcW w:w="562" w:type="dxa"/>
            <w:shd w:val="clear" w:color="auto" w:fill="FFFFFF" w:themeFill="background1"/>
            <w:noWrap/>
            <w:vAlign w:val="center"/>
          </w:tcPr>
          <w:p w14:paraId="5F6C93BD"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36CB53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27 %</w:t>
            </w:r>
          </w:p>
        </w:tc>
        <w:tc>
          <w:tcPr>
            <w:tcW w:w="830" w:type="dxa"/>
            <w:shd w:val="clear" w:color="auto" w:fill="FC8D59"/>
            <w:noWrap/>
            <w:vAlign w:val="center"/>
          </w:tcPr>
          <w:p w14:paraId="5C70ECF9"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tcPr>
          <w:p w14:paraId="733FFF2B"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A pesar de que hubo un aumento en la divulgación de información por parte de las empresas, tanto la aplicación de las políticas como la cobertura de las metas nacionales siguen siendo limitadas. La mayoría de las metas nacionales no están bien armonizadas con los elementos de la meta 15. Si bien muchas Partes señalaron problemas para compilar datos para el indicador de cabecera 15.1, casi un quinto de las Partes cuyos informes estaban disponibles y pudieron ser analizados comunicaron que más de 5.000 empresas en total dieron a conocer sus riesgos relacionados con la biodiversidad, cifra que aumenta año a año. No obstante, el indicador binario revela que las medidas para cumplir la meta 15 se encuentran mayormente en etapa de elaboración y que aún no se han adoptado. En las autoevaluaciones, se reconoció que en dos tercios de las metas nacionales no se han registrado progresos o bien los progresos son insuficientes. Entre las principales dificultades señaladas figuran la ausencia de marcos obligatorios de presentación de informes, carencias en materia de capacidad y datos, la exclusión de pequeñas y medianas empresas e incentivos inadecuados.</w:t>
            </w:r>
          </w:p>
        </w:tc>
      </w:tr>
      <w:tr w:rsidR="008F15F1" w:rsidRPr="005E3D50" w14:paraId="1E0BA680" w14:textId="77777777" w:rsidTr="006E6831">
        <w:trPr>
          <w:trHeight w:val="3251"/>
        </w:trPr>
        <w:tc>
          <w:tcPr>
            <w:tcW w:w="993" w:type="dxa"/>
            <w:shd w:val="clear" w:color="auto" w:fill="FFFFFF" w:themeFill="background1"/>
            <w:noWrap/>
            <w:vAlign w:val="center"/>
          </w:tcPr>
          <w:p w14:paraId="520BCE65"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16</w:t>
            </w:r>
          </w:p>
        </w:tc>
        <w:tc>
          <w:tcPr>
            <w:tcW w:w="595" w:type="dxa"/>
            <w:shd w:val="clear" w:color="auto" w:fill="FFFFFF" w:themeFill="background1"/>
            <w:noWrap/>
            <w:vAlign w:val="center"/>
          </w:tcPr>
          <w:p w14:paraId="29F9DE39"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1CEE8E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37 %</w:t>
            </w:r>
          </w:p>
        </w:tc>
        <w:tc>
          <w:tcPr>
            <w:tcW w:w="562" w:type="dxa"/>
            <w:shd w:val="clear" w:color="auto" w:fill="FFFFFF" w:themeFill="background1"/>
            <w:noWrap/>
            <w:vAlign w:val="center"/>
          </w:tcPr>
          <w:p w14:paraId="29C9C89A"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3D2177F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29 %</w:t>
            </w:r>
          </w:p>
        </w:tc>
        <w:tc>
          <w:tcPr>
            <w:tcW w:w="571" w:type="dxa"/>
            <w:shd w:val="clear" w:color="auto" w:fill="FFFFFF" w:themeFill="background1"/>
            <w:noWrap/>
            <w:vAlign w:val="center"/>
          </w:tcPr>
          <w:p w14:paraId="4804052A"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5D46EC34"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75 %</w:t>
            </w:r>
          </w:p>
        </w:tc>
        <w:tc>
          <w:tcPr>
            <w:tcW w:w="562" w:type="dxa"/>
            <w:shd w:val="clear" w:color="auto" w:fill="FFFFFF" w:themeFill="background1"/>
            <w:noWrap/>
            <w:vAlign w:val="center"/>
          </w:tcPr>
          <w:p w14:paraId="04E07FD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3394A1F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19 %</w:t>
            </w:r>
          </w:p>
        </w:tc>
        <w:tc>
          <w:tcPr>
            <w:tcW w:w="830" w:type="dxa"/>
            <w:shd w:val="clear" w:color="auto" w:fill="FC8D59"/>
            <w:noWrap/>
            <w:vAlign w:val="center"/>
          </w:tcPr>
          <w:p w14:paraId="68153752"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0,38</w:t>
            </w:r>
          </w:p>
        </w:tc>
        <w:tc>
          <w:tcPr>
            <w:tcW w:w="5952" w:type="dxa"/>
            <w:vAlign w:val="center"/>
          </w:tcPr>
          <w:p w14:paraId="10F83B67" w14:textId="77777777" w:rsidR="008F15F1" w:rsidRPr="005E3D50" w:rsidRDefault="008F15F1" w:rsidP="008F15F1">
            <w:pPr>
              <w:spacing w:after="0" w:line="240" w:lineRule="auto"/>
              <w:rPr>
                <w:rFonts w:ascii="Aptos" w:eastAsia="Times New Roman" w:hAnsi="Aptos" w:cs="Calibri"/>
                <w:color w:val="000000"/>
                <w:kern w:val="0"/>
                <w:sz w:val="20"/>
                <w:szCs w:val="20"/>
                <w:lang w:val="es-ES" w:eastAsia="en-GB"/>
                <w14:ligatures w14:val="none"/>
              </w:rPr>
            </w:pPr>
            <w:r w:rsidRPr="005E3D50">
              <w:rPr>
                <w:rFonts w:ascii="Aptos" w:eastAsia="Times New Roman" w:hAnsi="Aptos" w:cs="Times New Roman"/>
                <w:color w:val="000000"/>
                <w:kern w:val="0"/>
                <w:sz w:val="20"/>
                <w:szCs w:val="17"/>
                <w:lang w:val="es-ES" w:eastAsia="en-GB"/>
                <w14:ligatures w14:val="none"/>
              </w:rPr>
              <w:t>La mayoría de los aspectos de la meta 16 no se abordan adecuadamente en las metas nacionales, pero se está avanzando en la implementación de instrumentos de políticas pertinentes. Menos de la mitad de las Partes cuyas metas nacionales fueron considerados en el informe mundial han abordado elementos individuales de la Meta 16. Se informa que se han logrado ciertos progresos satisfactorios en el establecimiento de políticas y mecanismos para fomentar el consumo sostenible, pero en cuanto a medidas concretas dirigidas a abordar el desperdicio de alimentos, el consumo excesivo y la gestión de desechos, estas aún se están desarrollando. En sus autoevaluaciones, las Partes cuyos informes nacionales estaban disponibles para ser analizados reconocen que hubo progresos insuficientes en la mayoría (70 %) de las metas nacionales relacionadas con la meta 16. Las Partes comunican que existen dificultades importantes, entre las que se incluyen la falta de instalaciones adecuadas para la gestión de desechos; la falta de financiación y de aplicación de la normativa; la débil aplicación del principio de responsabilidad ampliada de los productores; y la persistencia de grandes huellas materiales en algunos países.</w:t>
            </w:r>
          </w:p>
        </w:tc>
      </w:tr>
      <w:tr w:rsidR="008F15F1" w:rsidRPr="005E3D50" w14:paraId="1CFFCBC4" w14:textId="77777777" w:rsidTr="006E6831">
        <w:trPr>
          <w:trHeight w:val="2600"/>
        </w:trPr>
        <w:tc>
          <w:tcPr>
            <w:tcW w:w="993" w:type="dxa"/>
            <w:shd w:val="clear" w:color="auto" w:fill="FFFFFF" w:themeFill="background1"/>
            <w:noWrap/>
            <w:vAlign w:val="center"/>
          </w:tcPr>
          <w:p w14:paraId="3FFF4C4D"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17</w:t>
            </w:r>
          </w:p>
        </w:tc>
        <w:tc>
          <w:tcPr>
            <w:tcW w:w="595" w:type="dxa"/>
            <w:shd w:val="clear" w:color="auto" w:fill="FFFFFF" w:themeFill="background1"/>
            <w:noWrap/>
            <w:vAlign w:val="center"/>
          </w:tcPr>
          <w:p w14:paraId="401EEA9B"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D1B24D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1560E822"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41B6116E"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42 %</w:t>
            </w:r>
          </w:p>
        </w:tc>
        <w:tc>
          <w:tcPr>
            <w:tcW w:w="571" w:type="dxa"/>
            <w:shd w:val="clear" w:color="auto" w:fill="FFFFFF" w:themeFill="background1"/>
            <w:noWrap/>
            <w:vAlign w:val="center"/>
          </w:tcPr>
          <w:p w14:paraId="00C781D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00CC65D4"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25 %</w:t>
            </w:r>
          </w:p>
        </w:tc>
        <w:tc>
          <w:tcPr>
            <w:tcW w:w="562" w:type="dxa"/>
            <w:shd w:val="clear" w:color="auto" w:fill="FFFFFF" w:themeFill="background1"/>
            <w:noWrap/>
            <w:vAlign w:val="center"/>
          </w:tcPr>
          <w:p w14:paraId="3C6B3841"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859EA77"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8 %</w:t>
            </w:r>
          </w:p>
        </w:tc>
        <w:tc>
          <w:tcPr>
            <w:tcW w:w="830" w:type="dxa"/>
            <w:shd w:val="clear" w:color="auto" w:fill="FC8D59"/>
            <w:noWrap/>
            <w:vAlign w:val="center"/>
          </w:tcPr>
          <w:p w14:paraId="2C84C873"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tcPr>
          <w:p w14:paraId="7D0AA8EF"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están logrando ciertos progresos en términos del establecimiento y la aplicación de medidas de seguridad de la biotecnología, aunque estos siguen siendo desiguales y algunos elementos de la meta 17 se han abordado de manera insuficiente. Una mayoría de Partes cuentan con metas nacionales que abordan elementos relacionados con el establecimiento y la aplicación de medidas de seguridad de la biotecnología, pero siguen sin abordarse los elementos relacionados con el artículo 19, sobre gestión de la biotecnología y distribución de sus beneficios. Las Partes informan que el 37 % de las metas nacionales estrechamente armonizadas con la meta 17 están en vías de alcanzarse y que el 5 % ya se han alcanzado. Solo unas pocas Partes comunicaron datos e indicadores relacionados con esta meta. Las principales dificultades señaladas tienen que ver con la idoneidad, la aplicación y el cumplimiento de los marcos jurídicos y normativos, la capacidad y el acceso a instalaciones de laboratorio y la dependencia de financiación externa para proyectos.</w:t>
            </w:r>
          </w:p>
        </w:tc>
      </w:tr>
      <w:tr w:rsidR="008F15F1" w:rsidRPr="005E3D50" w14:paraId="578B9403" w14:textId="77777777" w:rsidTr="006E6831">
        <w:trPr>
          <w:trHeight w:val="2967"/>
        </w:trPr>
        <w:tc>
          <w:tcPr>
            <w:tcW w:w="993" w:type="dxa"/>
            <w:shd w:val="clear" w:color="auto" w:fill="FFFFFF" w:themeFill="background1"/>
            <w:noWrap/>
            <w:vAlign w:val="center"/>
          </w:tcPr>
          <w:p w14:paraId="1C38EA42"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18</w:t>
            </w:r>
          </w:p>
        </w:tc>
        <w:tc>
          <w:tcPr>
            <w:tcW w:w="595" w:type="dxa"/>
            <w:shd w:val="clear" w:color="auto" w:fill="FFFFFF" w:themeFill="background1"/>
            <w:noWrap/>
            <w:vAlign w:val="center"/>
          </w:tcPr>
          <w:p w14:paraId="4E7FA777"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124850A2"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43 %</w:t>
            </w:r>
          </w:p>
        </w:tc>
        <w:tc>
          <w:tcPr>
            <w:tcW w:w="562" w:type="dxa"/>
            <w:shd w:val="clear" w:color="auto" w:fill="FFFFFF" w:themeFill="background1"/>
            <w:noWrap/>
            <w:vAlign w:val="center"/>
          </w:tcPr>
          <w:p w14:paraId="7B4A0681"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1E870C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26 %</w:t>
            </w:r>
          </w:p>
        </w:tc>
        <w:tc>
          <w:tcPr>
            <w:tcW w:w="571" w:type="dxa"/>
            <w:shd w:val="clear" w:color="auto" w:fill="FFFFFF" w:themeFill="background1"/>
            <w:noWrap/>
            <w:vAlign w:val="center"/>
          </w:tcPr>
          <w:p w14:paraId="2D3B947B"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61BBF4C5"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33 %</w:t>
            </w:r>
          </w:p>
        </w:tc>
        <w:tc>
          <w:tcPr>
            <w:tcW w:w="562" w:type="dxa"/>
            <w:shd w:val="clear" w:color="auto" w:fill="FFFFFF" w:themeFill="background1"/>
            <w:noWrap/>
            <w:vAlign w:val="center"/>
          </w:tcPr>
          <w:p w14:paraId="02AA0B5A"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508230BE"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37 %</w:t>
            </w:r>
          </w:p>
        </w:tc>
        <w:tc>
          <w:tcPr>
            <w:tcW w:w="830" w:type="dxa"/>
            <w:shd w:val="clear" w:color="auto" w:fill="C00000"/>
            <w:noWrap/>
            <w:vAlign w:val="center"/>
          </w:tcPr>
          <w:p w14:paraId="2D94D9F2"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0,17</w:t>
            </w:r>
          </w:p>
        </w:tc>
        <w:tc>
          <w:tcPr>
            <w:tcW w:w="5952" w:type="dxa"/>
            <w:vAlign w:val="center"/>
          </w:tcPr>
          <w:p w14:paraId="4279D921"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han logrado progresos limitados en el aumento de los incentivos positivos y en la identificación y reforma de los incentivos perjudiciales. Los datos empíricos disponibles sugieren que el hito de 2025 referido a la identificación de incentivos, incluidos subsidios, que son perjudiciales para la diversidad biológica, no se habría alcanzado. Los elementos de la meta 18 se abordan en forma desigual en las metas nacionales. La información presentada para los indicadores muestra un aumento en el número de incentivos positivos, pero el valor de los subsidios y otros incentivos comunicados que son perjudiciales para la diversidad biológica sigue siendo considerable. Las autoevaluaciones indican que solo una cuarta parte de las metas nacionales presentadas como altamente armonizadas con la meta 18 están en vías de alcanzarse, mientras que en la mayoría se registran progresos insuficientes. Las principales dificultades tienen que ver con la identificación, la cuantificación y la reforma de subsidios perjudiciales.</w:t>
            </w:r>
          </w:p>
        </w:tc>
      </w:tr>
      <w:tr w:rsidR="008F15F1" w:rsidRPr="005E3D50" w14:paraId="7AA61124" w14:textId="77777777" w:rsidTr="006E6831">
        <w:trPr>
          <w:trHeight w:val="3261"/>
        </w:trPr>
        <w:tc>
          <w:tcPr>
            <w:tcW w:w="993" w:type="dxa"/>
            <w:shd w:val="clear" w:color="auto" w:fill="FFFFFF" w:themeFill="background1"/>
            <w:noWrap/>
            <w:vAlign w:val="center"/>
          </w:tcPr>
          <w:p w14:paraId="20BA2CCE"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19</w:t>
            </w:r>
          </w:p>
        </w:tc>
        <w:tc>
          <w:tcPr>
            <w:tcW w:w="595" w:type="dxa"/>
            <w:shd w:val="clear" w:color="auto" w:fill="FFFFFF" w:themeFill="background1"/>
            <w:noWrap/>
            <w:vAlign w:val="center"/>
          </w:tcPr>
          <w:p w14:paraId="21559C07"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6C4F6D11"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41 %</w:t>
            </w:r>
          </w:p>
        </w:tc>
        <w:tc>
          <w:tcPr>
            <w:tcW w:w="562" w:type="dxa"/>
            <w:shd w:val="clear" w:color="auto" w:fill="FFFFFF" w:themeFill="background1"/>
            <w:noWrap/>
            <w:vAlign w:val="center"/>
          </w:tcPr>
          <w:p w14:paraId="3E180BAE"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3B84D84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33 %</w:t>
            </w:r>
          </w:p>
        </w:tc>
        <w:tc>
          <w:tcPr>
            <w:tcW w:w="571" w:type="dxa"/>
            <w:shd w:val="clear" w:color="auto" w:fill="FFFFFF" w:themeFill="background1"/>
            <w:noWrap/>
            <w:vAlign w:val="center"/>
          </w:tcPr>
          <w:p w14:paraId="7269A289"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598D48F2"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25 %</w:t>
            </w:r>
          </w:p>
        </w:tc>
        <w:tc>
          <w:tcPr>
            <w:tcW w:w="562" w:type="dxa"/>
            <w:shd w:val="clear" w:color="auto" w:fill="FFFFFF" w:themeFill="background1"/>
            <w:noWrap/>
            <w:vAlign w:val="center"/>
          </w:tcPr>
          <w:p w14:paraId="1C344A67"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1D1706C5"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68 %</w:t>
            </w:r>
          </w:p>
        </w:tc>
        <w:tc>
          <w:tcPr>
            <w:tcW w:w="830" w:type="dxa"/>
            <w:shd w:val="clear" w:color="auto" w:fill="C00000"/>
            <w:noWrap/>
            <w:vAlign w:val="center"/>
          </w:tcPr>
          <w:p w14:paraId="176B73A2"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0,13</w:t>
            </w:r>
          </w:p>
        </w:tc>
        <w:tc>
          <w:tcPr>
            <w:tcW w:w="5952" w:type="dxa"/>
            <w:vAlign w:val="center"/>
          </w:tcPr>
          <w:p w14:paraId="103FCCF2"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La financiación de la biodiversidad está aumentando, pero los progresos siguen siendo insuficientes y es probable que no se haya alcanzado el hito de financiación fijado para 2025, aunque solo será posible realizar una evaluación definitiva una vez que se hayan comunicado datos completos para los años 2024 y 2025. Los elementos relacionados con sinergias de la financiación y el papel de las acciones colectivas están mayormente ausentes de las metas nacionales. En cuanto a la financiación internacional y nacional para la diversidad biológica, se registran en general tendencias crecientes, aunque por debajo de los niveles necesarios para alcanzar la meta, y el gasto nacional como porcentaje del PIB ha disminuido. Según los datos comunicados, la financiación privada alcanzó un punto máximo en 2021, para luego descender, y se mantiene en gran medida sin desarrollar. Las autoevaluaciones indican que solo una minoría de las metas nacionales están en vías de ser alcanzadas. Las principales dificultades que se enfrentan tienen que ver con la movilización de financiación a escala, la mejora en el acceso a financiación y el fortalecimiento de condiciones propicias para la inversión.</w:t>
            </w:r>
          </w:p>
        </w:tc>
      </w:tr>
      <w:tr w:rsidR="008F15F1" w:rsidRPr="005E3D50" w14:paraId="0E127B7B" w14:textId="77777777" w:rsidTr="006E6831">
        <w:trPr>
          <w:trHeight w:val="2600"/>
        </w:trPr>
        <w:tc>
          <w:tcPr>
            <w:tcW w:w="993" w:type="dxa"/>
            <w:shd w:val="clear" w:color="auto" w:fill="FFFFFF" w:themeFill="background1"/>
            <w:noWrap/>
            <w:vAlign w:val="center"/>
          </w:tcPr>
          <w:p w14:paraId="4FEC78E1"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20</w:t>
            </w:r>
          </w:p>
        </w:tc>
        <w:tc>
          <w:tcPr>
            <w:tcW w:w="595" w:type="dxa"/>
            <w:shd w:val="clear" w:color="auto" w:fill="FFFFFF" w:themeFill="background1"/>
            <w:noWrap/>
            <w:vAlign w:val="center"/>
          </w:tcPr>
          <w:p w14:paraId="3DE631AC"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430C567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42 %</w:t>
            </w:r>
          </w:p>
        </w:tc>
        <w:tc>
          <w:tcPr>
            <w:tcW w:w="562" w:type="dxa"/>
            <w:shd w:val="clear" w:color="auto" w:fill="FFFFFF" w:themeFill="background1"/>
            <w:noWrap/>
            <w:vAlign w:val="center"/>
          </w:tcPr>
          <w:p w14:paraId="4B5E2245"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75558163"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46 %</w:t>
            </w:r>
          </w:p>
        </w:tc>
        <w:tc>
          <w:tcPr>
            <w:tcW w:w="571" w:type="dxa"/>
            <w:shd w:val="clear" w:color="auto" w:fill="FFFFFF" w:themeFill="background1"/>
            <w:noWrap/>
            <w:vAlign w:val="center"/>
          </w:tcPr>
          <w:p w14:paraId="6C51A860"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13B55CFE"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75 %</w:t>
            </w:r>
          </w:p>
        </w:tc>
        <w:tc>
          <w:tcPr>
            <w:tcW w:w="562" w:type="dxa"/>
            <w:shd w:val="clear" w:color="auto" w:fill="FFFFFF" w:themeFill="background1"/>
            <w:noWrap/>
            <w:vAlign w:val="center"/>
          </w:tcPr>
          <w:p w14:paraId="2FBD4854"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0B8C8002"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18 %</w:t>
            </w:r>
          </w:p>
        </w:tc>
        <w:tc>
          <w:tcPr>
            <w:tcW w:w="830" w:type="dxa"/>
            <w:shd w:val="clear" w:color="auto" w:fill="FC8D59"/>
            <w:noWrap/>
            <w:vAlign w:val="center"/>
          </w:tcPr>
          <w:p w14:paraId="281776C3"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0,38</w:t>
            </w:r>
          </w:p>
        </w:tc>
        <w:tc>
          <w:tcPr>
            <w:tcW w:w="5952" w:type="dxa"/>
            <w:vAlign w:val="center"/>
          </w:tcPr>
          <w:p w14:paraId="2733ECD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Se están logrando progresos en materia de creación de capacidad y cooperación técnica, pero algunos aspectos de la meta siguen sin abordarse lo suficiente. Las Partes han abordado los elementos de la meta 20 de manera despareja, centrándose en la creación y el desarrollo de capacidad y en el acceso a la innovación más que en otros aspectos. Las tendencias en los indicadores comunicados por 24 Partes muestran mayormente una mejoría y con respecto al indicador binario las Partes informan que han logrado un nivel satisfactorio de progresos, especialmente en el establecimiento de medidas para abordar las necesidades de creación y desarrollo de capacidad; no obstante, es necesario seguir trabajando para llevar a cabo autoevaluaciones de la capacidad nacional. Las autoevaluaciones de metas nacionales relacionadas también indican que muchas Partes están logrando progresos (46 %), aunque persisten deficiencias. Entre los principales desafíos figuran la escasa cobertura en materia de cooperación científica y técnica y las dificultades para realizar un seguimiento de los resultados en materia de creación de capacidad.</w:t>
            </w:r>
          </w:p>
        </w:tc>
      </w:tr>
      <w:tr w:rsidR="008F15F1" w:rsidRPr="005E3D50" w14:paraId="73980094" w14:textId="77777777" w:rsidTr="006E6831">
        <w:trPr>
          <w:trHeight w:val="3969"/>
        </w:trPr>
        <w:tc>
          <w:tcPr>
            <w:tcW w:w="993" w:type="dxa"/>
            <w:shd w:val="clear" w:color="auto" w:fill="FFFFFF" w:themeFill="background1"/>
            <w:noWrap/>
            <w:vAlign w:val="center"/>
          </w:tcPr>
          <w:p w14:paraId="7617E310"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21</w:t>
            </w:r>
          </w:p>
        </w:tc>
        <w:tc>
          <w:tcPr>
            <w:tcW w:w="595" w:type="dxa"/>
            <w:shd w:val="clear" w:color="auto" w:fill="FFFFFF" w:themeFill="background1"/>
            <w:noWrap/>
            <w:vAlign w:val="center"/>
          </w:tcPr>
          <w:p w14:paraId="0D6EE4A9"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7246E702"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54 %</w:t>
            </w:r>
          </w:p>
        </w:tc>
        <w:tc>
          <w:tcPr>
            <w:tcW w:w="562" w:type="dxa"/>
            <w:shd w:val="clear" w:color="auto" w:fill="FFFFFF" w:themeFill="background1"/>
            <w:noWrap/>
            <w:vAlign w:val="center"/>
          </w:tcPr>
          <w:p w14:paraId="251919BC"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4EFD0B40"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44 %</w:t>
            </w:r>
          </w:p>
        </w:tc>
        <w:tc>
          <w:tcPr>
            <w:tcW w:w="571" w:type="dxa"/>
            <w:shd w:val="clear" w:color="auto" w:fill="FFFFFF" w:themeFill="background1"/>
            <w:noWrap/>
            <w:vAlign w:val="center"/>
          </w:tcPr>
          <w:p w14:paraId="5CA57ACD"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53650188"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75 %</w:t>
            </w:r>
          </w:p>
        </w:tc>
        <w:tc>
          <w:tcPr>
            <w:tcW w:w="562" w:type="dxa"/>
            <w:shd w:val="clear" w:color="auto" w:fill="FFFFFF" w:themeFill="background1"/>
            <w:noWrap/>
            <w:vAlign w:val="center"/>
          </w:tcPr>
          <w:p w14:paraId="64F8B04C"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3390310C"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24 %</w:t>
            </w:r>
          </w:p>
        </w:tc>
        <w:tc>
          <w:tcPr>
            <w:tcW w:w="830" w:type="dxa"/>
            <w:shd w:val="clear" w:color="auto" w:fill="FEE08B"/>
            <w:noWrap/>
            <w:vAlign w:val="center"/>
          </w:tcPr>
          <w:p w14:paraId="3DB6603E"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0,63</w:t>
            </w:r>
          </w:p>
        </w:tc>
        <w:tc>
          <w:tcPr>
            <w:tcW w:w="5952" w:type="dxa"/>
            <w:vAlign w:val="center"/>
          </w:tcPr>
          <w:p w14:paraId="1896FDE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Las Partes están realizando importantes esfuerzos para mejorar el acceso a datos sobre biodiversidad y su disponibilidad, aunque persisten considerables carencias. La mayoría de las Partes abordan el acceso a los datos, la información y los conocimientos sobre la biodiversidad en sus metas nacionales, aunque el acceso a los conocimientos tradicionales con consentimiento libre, previo e informado no se refleja de forma tan sistemática. El indicador de cabecera 21.1 muestra que en la actualidad son relativamente pocas las Partes que disponen de los datos nacionales necesarios para implementar el marco de seguimiento. No obstante, se comunicaron muchas mejoras en cuanto al acceso a datos y conocimientos y su disponibilidad. Las autoevaluaciones indican progresos positivos en el 43 % de las metas nacionales relacionadas. Entre las principales dificultades figuran la necesidad de subsanar carencias en materia de datos y fortalecer la comunicación, incluidas las deficiencias relacionadas con el acceso a conocimientos tradicionales con consentimiento libre, previo e informado. Dado que la implementación de todo el Marco depende de la disponibilidad y accesibilidad de datos, información y </w:t>
            </w:r>
            <w:r w:rsidRPr="005E3D50">
              <w:rPr>
                <w:rFonts w:ascii="Aptos" w:hAnsi="Aptos"/>
                <w:color w:val="000000"/>
                <w:sz w:val="20"/>
                <w:lang w:val="es-ES"/>
              </w:rPr>
              <w:lastRenderedPageBreak/>
              <w:t>conocimientos, las dificultades relacionadas con la meta 21 tienen repercusiones transversales.</w:t>
            </w:r>
          </w:p>
        </w:tc>
      </w:tr>
      <w:tr w:rsidR="008F15F1" w:rsidRPr="005E3D50" w14:paraId="521BCF6F" w14:textId="77777777" w:rsidTr="006E6831">
        <w:trPr>
          <w:trHeight w:val="3676"/>
        </w:trPr>
        <w:tc>
          <w:tcPr>
            <w:tcW w:w="993" w:type="dxa"/>
            <w:shd w:val="clear" w:color="auto" w:fill="FFFFFF" w:themeFill="background1"/>
            <w:noWrap/>
            <w:vAlign w:val="center"/>
          </w:tcPr>
          <w:p w14:paraId="295B104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lastRenderedPageBreak/>
              <w:t>Meta 22</w:t>
            </w:r>
          </w:p>
        </w:tc>
        <w:tc>
          <w:tcPr>
            <w:tcW w:w="595" w:type="dxa"/>
            <w:shd w:val="clear" w:color="auto" w:fill="FFFFFF" w:themeFill="background1"/>
            <w:noWrap/>
            <w:vAlign w:val="center"/>
          </w:tcPr>
          <w:p w14:paraId="258D080E"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2E7ACFC3"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38 %</w:t>
            </w:r>
          </w:p>
        </w:tc>
        <w:tc>
          <w:tcPr>
            <w:tcW w:w="562" w:type="dxa"/>
            <w:shd w:val="clear" w:color="auto" w:fill="FFFFFF" w:themeFill="background1"/>
            <w:noWrap/>
            <w:vAlign w:val="center"/>
          </w:tcPr>
          <w:p w14:paraId="38813B0A" w14:textId="77777777" w:rsidR="008F15F1" w:rsidRPr="005E3D50" w:rsidRDefault="008F15F1" w:rsidP="008F15F1">
            <w:pPr>
              <w:jc w:val="center"/>
              <w:rPr>
                <w:rFonts w:ascii="Calibri" w:hAnsi="Calibri" w:cs="Calibri"/>
                <w:color w:val="00B050"/>
                <w:sz w:val="20"/>
                <w:szCs w:val="20"/>
                <w:lang w:val="es-ES"/>
              </w:rPr>
            </w:pPr>
            <w:r w:rsidRPr="005E3D50">
              <w:rPr>
                <w:rFonts w:ascii="Symbol" w:hAnsi="Symbol"/>
                <w:color w:val="00B050"/>
                <w:sz w:val="20"/>
                <w:lang w:val="es-ES"/>
              </w:rPr>
              <w:t></w:t>
            </w:r>
          </w:p>
          <w:p w14:paraId="50C2C83F"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44 %</w:t>
            </w:r>
          </w:p>
        </w:tc>
        <w:tc>
          <w:tcPr>
            <w:tcW w:w="571" w:type="dxa"/>
            <w:shd w:val="clear" w:color="auto" w:fill="FFFFFF" w:themeFill="background1"/>
            <w:noWrap/>
            <w:vAlign w:val="center"/>
          </w:tcPr>
          <w:p w14:paraId="5B88FC04"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1390B35" w14:textId="77777777" w:rsidR="008F15F1" w:rsidRPr="005E3D50" w:rsidRDefault="008F15F1" w:rsidP="008F15F1">
            <w:pPr>
              <w:rPr>
                <w:rFonts w:ascii="Aptos Narrow" w:eastAsia="Times New Roman" w:hAnsi="Aptos Narrow" w:cs="Calibri"/>
                <w:sz w:val="20"/>
                <w:szCs w:val="20"/>
                <w:lang w:val="es-ES"/>
              </w:rPr>
            </w:pPr>
            <w:r w:rsidRPr="005E3D50">
              <w:rPr>
                <w:rFonts w:ascii="Calibri" w:hAnsi="Calibri"/>
                <w:color w:val="000000"/>
                <w:sz w:val="20"/>
                <w:lang w:val="es-ES"/>
              </w:rPr>
              <w:t>50 %</w:t>
            </w:r>
          </w:p>
        </w:tc>
        <w:tc>
          <w:tcPr>
            <w:tcW w:w="562" w:type="dxa"/>
            <w:shd w:val="clear" w:color="auto" w:fill="FFFFFF" w:themeFill="background1"/>
            <w:noWrap/>
            <w:vAlign w:val="center"/>
          </w:tcPr>
          <w:p w14:paraId="746FBD5A"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7DC0225F"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15 %</w:t>
            </w:r>
          </w:p>
        </w:tc>
        <w:tc>
          <w:tcPr>
            <w:tcW w:w="830" w:type="dxa"/>
            <w:shd w:val="clear" w:color="auto" w:fill="FC8D59"/>
            <w:noWrap/>
            <w:vAlign w:val="center"/>
          </w:tcPr>
          <w:p w14:paraId="4EF3A04E"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0,25</w:t>
            </w:r>
          </w:p>
        </w:tc>
        <w:tc>
          <w:tcPr>
            <w:tcW w:w="5952" w:type="dxa"/>
            <w:vAlign w:val="center"/>
          </w:tcPr>
          <w:p w14:paraId="7359ABA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 xml:space="preserve">La mayoría de las Partes han abordado algunos elementos de la meta 22, pero el alcance de las metas nacionales no está bien armonizado y los datos para evaluar los progresos siguen siendo escasos. Se están logrando progresos en el fortalecimiento de la participación, la inclusión y los enfoques basados en los derechos, pero los sistemas de seguimiento siguen sin estar lo suficientemente desarrollados. Los datos aportados no fueron suficientes para medir tendencias, y las Partes señalaron dificultades metodológicas, de definición y de datos. Algunas Partes informaron que han logrado progresos en la generación de condiciones propicias para la inclusión y la participación basada en los derechos y </w:t>
            </w:r>
            <w:proofErr w:type="gramStart"/>
            <w:r w:rsidRPr="005E3D50">
              <w:rPr>
                <w:rFonts w:ascii="Aptos" w:hAnsi="Aptos"/>
                <w:color w:val="000000"/>
                <w:sz w:val="20"/>
                <w:lang w:val="es-ES"/>
              </w:rPr>
              <w:t>realizado esfuerzos</w:t>
            </w:r>
            <w:proofErr w:type="gramEnd"/>
            <w:r w:rsidRPr="005E3D50">
              <w:rPr>
                <w:rFonts w:ascii="Aptos" w:hAnsi="Aptos"/>
                <w:color w:val="000000"/>
                <w:sz w:val="20"/>
                <w:lang w:val="es-ES"/>
              </w:rPr>
              <w:t xml:space="preserve"> para garantizar la representación de los pueblos indígenas y las comunidades locales, las mujeres, la juventud y las personas con discapacidad, además de establecer políticas relacionadas con el acceso a la justicia. Muy pocas Partes fijaron metas que incluyen la protección de </w:t>
            </w:r>
            <w:proofErr w:type="gramStart"/>
            <w:r w:rsidRPr="005E3D50">
              <w:rPr>
                <w:rFonts w:ascii="Aptos" w:hAnsi="Aptos"/>
                <w:color w:val="000000"/>
                <w:sz w:val="20"/>
                <w:lang w:val="es-ES"/>
              </w:rPr>
              <w:t>los defensores y las defensoras</w:t>
            </w:r>
            <w:proofErr w:type="gramEnd"/>
            <w:r w:rsidRPr="005E3D50">
              <w:rPr>
                <w:rFonts w:ascii="Aptos" w:hAnsi="Aptos"/>
                <w:color w:val="000000"/>
                <w:sz w:val="20"/>
                <w:lang w:val="es-ES"/>
              </w:rPr>
              <w:t xml:space="preserve"> de los derechos humanos relacionados con el medio ambiente. Según las autoevaluaciones, se habrían logrado progresos moderados. Entre las principales dificultades mencionadas figuran limitaciones metodológicas e insuficientes sistemas de seguimiento para medir los resultados. </w:t>
            </w:r>
          </w:p>
        </w:tc>
      </w:tr>
      <w:tr w:rsidR="008F15F1" w:rsidRPr="005E3D50" w14:paraId="246D390B" w14:textId="77777777" w:rsidTr="006E6831">
        <w:trPr>
          <w:trHeight w:val="1125"/>
        </w:trPr>
        <w:tc>
          <w:tcPr>
            <w:tcW w:w="993" w:type="dxa"/>
            <w:tcBorders>
              <w:bottom w:val="single" w:sz="4" w:space="0" w:color="auto"/>
            </w:tcBorders>
            <w:shd w:val="clear" w:color="auto" w:fill="FFFFFF" w:themeFill="background1"/>
            <w:noWrap/>
            <w:vAlign w:val="center"/>
          </w:tcPr>
          <w:p w14:paraId="0FF1A92C" w14:textId="77777777" w:rsidR="008F15F1" w:rsidRPr="005E3D50" w:rsidRDefault="008F15F1" w:rsidP="008F15F1">
            <w:pPr>
              <w:rPr>
                <w:rFonts w:ascii="Aptos" w:eastAsia="Times New Roman" w:hAnsi="Aptos" w:cs="Calibri"/>
                <w:color w:val="000000"/>
                <w:sz w:val="20"/>
                <w:szCs w:val="20"/>
                <w:lang w:val="es-ES"/>
              </w:rPr>
            </w:pPr>
            <w:r w:rsidRPr="005E3D50">
              <w:rPr>
                <w:rFonts w:ascii="Aptos" w:hAnsi="Aptos"/>
                <w:color w:val="000000"/>
                <w:sz w:val="20"/>
                <w:lang w:val="es-ES"/>
              </w:rPr>
              <w:t>Meta 23</w:t>
            </w:r>
          </w:p>
        </w:tc>
        <w:tc>
          <w:tcPr>
            <w:tcW w:w="595" w:type="dxa"/>
            <w:tcBorders>
              <w:bottom w:val="single" w:sz="4" w:space="0" w:color="auto"/>
            </w:tcBorders>
            <w:shd w:val="clear" w:color="auto" w:fill="FFFFFF" w:themeFill="background1"/>
            <w:noWrap/>
            <w:vAlign w:val="center"/>
          </w:tcPr>
          <w:p w14:paraId="44F3BA47"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553DFF99"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43 %</w:t>
            </w:r>
          </w:p>
        </w:tc>
        <w:tc>
          <w:tcPr>
            <w:tcW w:w="562" w:type="dxa"/>
            <w:tcBorders>
              <w:bottom w:val="single" w:sz="4" w:space="0" w:color="auto"/>
            </w:tcBorders>
            <w:shd w:val="clear" w:color="auto" w:fill="FFFFFF" w:themeFill="background1"/>
            <w:noWrap/>
            <w:vAlign w:val="center"/>
          </w:tcPr>
          <w:p w14:paraId="46836733" w14:textId="77777777" w:rsidR="008F15F1" w:rsidRPr="005E3D50" w:rsidRDefault="008F15F1" w:rsidP="008F15F1">
            <w:pPr>
              <w:jc w:val="center"/>
              <w:rPr>
                <w:rFonts w:ascii="Calibri" w:hAnsi="Calibri" w:cs="Calibri"/>
                <w:color w:val="FFE601"/>
                <w:sz w:val="20"/>
                <w:szCs w:val="20"/>
                <w:lang w:val="es-ES"/>
              </w:rPr>
            </w:pPr>
            <w:r w:rsidRPr="005E3D50">
              <w:rPr>
                <w:rFonts w:ascii="Symbol" w:hAnsi="Symbol"/>
                <w:color w:val="FFE601"/>
                <w:sz w:val="20"/>
                <w:lang w:val="es-ES"/>
              </w:rPr>
              <w:t></w:t>
            </w:r>
          </w:p>
          <w:p w14:paraId="3A1AE878"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42 %</w:t>
            </w:r>
          </w:p>
        </w:tc>
        <w:tc>
          <w:tcPr>
            <w:tcW w:w="571" w:type="dxa"/>
            <w:tcBorders>
              <w:bottom w:val="single" w:sz="4" w:space="0" w:color="auto"/>
            </w:tcBorders>
            <w:shd w:val="clear" w:color="auto" w:fill="FFFFFF" w:themeFill="background1"/>
            <w:noWrap/>
            <w:vAlign w:val="center"/>
          </w:tcPr>
          <w:p w14:paraId="35550E60"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1B1536FE" w14:textId="77777777" w:rsidR="008F15F1" w:rsidRPr="005E3D50" w:rsidRDefault="008F15F1" w:rsidP="008F15F1">
            <w:pPr>
              <w:rPr>
                <w:rFonts w:ascii="Calibri" w:eastAsia="Times New Roman" w:hAnsi="Calibri" w:cs="Calibri"/>
                <w:sz w:val="20"/>
                <w:szCs w:val="20"/>
                <w:lang w:val="es-ES"/>
              </w:rPr>
            </w:pPr>
            <w:r w:rsidRPr="005E3D50">
              <w:rPr>
                <w:rFonts w:ascii="Calibri" w:hAnsi="Calibri"/>
                <w:color w:val="000000"/>
                <w:sz w:val="20"/>
                <w:lang w:val="es-ES"/>
              </w:rPr>
              <w:t>25 %</w:t>
            </w:r>
          </w:p>
        </w:tc>
        <w:tc>
          <w:tcPr>
            <w:tcW w:w="562" w:type="dxa"/>
            <w:tcBorders>
              <w:bottom w:val="single" w:sz="4" w:space="0" w:color="auto"/>
            </w:tcBorders>
            <w:shd w:val="clear" w:color="auto" w:fill="FFFFFF" w:themeFill="background1"/>
            <w:noWrap/>
            <w:vAlign w:val="center"/>
          </w:tcPr>
          <w:p w14:paraId="17EB7801" w14:textId="77777777" w:rsidR="008F15F1" w:rsidRPr="005E3D50" w:rsidRDefault="008F15F1" w:rsidP="008F15F1">
            <w:pPr>
              <w:jc w:val="center"/>
              <w:rPr>
                <w:rFonts w:ascii="Calibri" w:hAnsi="Calibri" w:cs="Calibri"/>
                <w:color w:val="C00000"/>
                <w:sz w:val="20"/>
                <w:szCs w:val="20"/>
                <w:lang w:val="es-ES"/>
              </w:rPr>
            </w:pPr>
            <w:r w:rsidRPr="005E3D50">
              <w:rPr>
                <w:rFonts w:ascii="Symbol" w:hAnsi="Symbol"/>
                <w:color w:val="C00000"/>
                <w:sz w:val="20"/>
                <w:lang w:val="es-ES"/>
              </w:rPr>
              <w:t></w:t>
            </w:r>
          </w:p>
          <w:p w14:paraId="3F678E03" w14:textId="77777777" w:rsidR="008F15F1" w:rsidRPr="005E3D50" w:rsidRDefault="008F15F1" w:rsidP="008F15F1">
            <w:pPr>
              <w:rPr>
                <w:rFonts w:ascii="Calibri" w:eastAsia="Times New Roman" w:hAnsi="Calibri" w:cs="Calibri"/>
                <w:color w:val="000000"/>
                <w:sz w:val="20"/>
                <w:szCs w:val="20"/>
                <w:lang w:val="es-ES"/>
              </w:rPr>
            </w:pPr>
            <w:r w:rsidRPr="005E3D50">
              <w:rPr>
                <w:rFonts w:ascii="Calibri" w:hAnsi="Calibri"/>
                <w:color w:val="000000"/>
                <w:sz w:val="20"/>
                <w:lang w:val="es-ES"/>
              </w:rPr>
              <w:t>13 %</w:t>
            </w:r>
          </w:p>
        </w:tc>
        <w:tc>
          <w:tcPr>
            <w:tcW w:w="830" w:type="dxa"/>
            <w:tcBorders>
              <w:bottom w:val="single" w:sz="4" w:space="0" w:color="auto"/>
            </w:tcBorders>
            <w:shd w:val="clear" w:color="auto" w:fill="C00000"/>
            <w:noWrap/>
            <w:vAlign w:val="center"/>
          </w:tcPr>
          <w:p w14:paraId="02BFE628" w14:textId="77777777" w:rsidR="008F15F1" w:rsidRPr="005E3D50" w:rsidRDefault="008F15F1" w:rsidP="008F15F1">
            <w:pPr>
              <w:jc w:val="center"/>
              <w:rPr>
                <w:rFonts w:ascii="Aptos" w:eastAsia="Times New Roman" w:hAnsi="Aptos" w:cs="Calibri"/>
                <w:b/>
                <w:bCs/>
                <w:color w:val="FFFFFF" w:themeColor="background1"/>
                <w:sz w:val="20"/>
                <w:szCs w:val="20"/>
                <w:lang w:val="es-ES"/>
              </w:rPr>
            </w:pPr>
            <w:r w:rsidRPr="005E3D50">
              <w:rPr>
                <w:rFonts w:ascii="Aptos" w:hAnsi="Aptos"/>
                <w:b/>
                <w:color w:val="FFFFFF" w:themeColor="background1"/>
                <w:sz w:val="20"/>
                <w:lang w:val="es-ES"/>
              </w:rPr>
              <w:t>0,13</w:t>
            </w:r>
          </w:p>
        </w:tc>
        <w:tc>
          <w:tcPr>
            <w:tcW w:w="5952" w:type="dxa"/>
            <w:tcBorders>
              <w:bottom w:val="single" w:sz="4" w:space="0" w:color="auto"/>
            </w:tcBorders>
            <w:vAlign w:val="center"/>
          </w:tcPr>
          <w:p w14:paraId="16ED3093" w14:textId="77777777" w:rsidR="008F15F1" w:rsidRPr="005E3D50" w:rsidRDefault="008F15F1" w:rsidP="008F15F1">
            <w:pPr>
              <w:rPr>
                <w:rFonts w:ascii="Aptos" w:eastAsia="Times New Roman" w:hAnsi="Aptos" w:cs="Calibri"/>
                <w:color w:val="000000"/>
                <w:sz w:val="20"/>
                <w:szCs w:val="20"/>
                <w:lang w:val="es-ES"/>
              </w:rPr>
            </w:pPr>
            <w:r w:rsidRPr="005E3D50">
              <w:rPr>
                <w:sz w:val="20"/>
                <w:lang w:val="es-ES"/>
              </w:rPr>
              <w:t xml:space="preserve">Se están logrando progresos en materia de gobernanza de la biodiversidad con perspectiva de género, pero la implementación se encuentra aún en una fase inicial. Siguen existiendo importantes diferencias entre las metas nacionales y el alcance completo de la meta 23, especialmente en lo que respecta a los derechos y el acceso de las mujeres y las niñas a las tierras y los recursos </w:t>
            </w:r>
            <w:r w:rsidRPr="005E3D50">
              <w:rPr>
                <w:sz w:val="20"/>
                <w:lang w:val="es-ES"/>
              </w:rPr>
              <w:lastRenderedPageBreak/>
              <w:t>naturales. La información presentada sobre el indicador binario indica que, en el caso de muchas Partes, la implementación se encuentra en una fase inicial en lo que respecta al seguimiento, la facilitación de una participación y un liderazgo informados y la aplicación de enfoques con perspectiva de género. Las autoevaluaciones indican que se han logrado algunos progresos positivos, aunque más de la mitad de las metas nacionales estrechamente armonizadas siguen estando lejos de alcanzarse. Entre las principales dificultades figuran las deficiencias en la aplicación de las políticas, los sistemas de medición limitados, la falta de datos desglosados por sexo y la cobertura incompleta de los elementos de la meta. Existe un vínculo entre la consecución de esta meta y la aplicación del Plan de Acción sobre Género (2023-2030) en el plano nacional (</w:t>
            </w:r>
            <w:proofErr w:type="spellStart"/>
            <w:r w:rsidRPr="005E3D50">
              <w:rPr>
                <w:sz w:val="20"/>
                <w:lang w:val="es-ES"/>
              </w:rPr>
              <w:t>dec</w:t>
            </w:r>
            <w:proofErr w:type="spellEnd"/>
            <w:r w:rsidRPr="005E3D50">
              <w:rPr>
                <w:sz w:val="20"/>
                <w:lang w:val="es-ES"/>
              </w:rPr>
              <w:t>. 15/17 en CDB, 2023).</w:t>
            </w:r>
          </w:p>
        </w:tc>
      </w:tr>
    </w:tbl>
    <w:p w14:paraId="0D3229F9"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5880FA2A" w14:textId="77777777" w:rsidR="008F15F1" w:rsidRPr="005E3D50" w:rsidRDefault="008F15F1" w:rsidP="008F15F1">
      <w:pPr>
        <w:spacing w:after="200" w:line="240" w:lineRule="auto"/>
        <w:rPr>
          <w:rFonts w:eastAsiaTheme="minorEastAsia"/>
          <w:b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Nota: </w:t>
      </w:r>
      <w:r w:rsidRPr="005E3D50">
        <w:rPr>
          <w:rFonts w:eastAsiaTheme="minorEastAsia"/>
          <w:iCs/>
          <w:color w:val="0E2841" w:themeColor="text2"/>
          <w:kern w:val="0"/>
          <w:sz w:val="18"/>
          <w:szCs w:val="18"/>
          <w:lang w:val="es-ES" w:eastAsia="ja-JP"/>
          <w14:ligatures w14:val="none"/>
        </w:rPr>
        <w:t xml:space="preserve">Las entradas de las columnas para cada meta, con los valores porcentuales relacionados, ilustran las siguientes medidas importantes de los progresos en la implementación del Marco: columna 1, cobertura de los elementos de la meta del Marco en las metas nacionales de las Partes (porcentaje de Partes que cubren, en cierta medida, al menos la mitad de los elementos de la meta); columna 2, autoevaluación de las Partes de los progresos realizados en la consecución de sus metas nacionales (porcentaje de metas nacionales para las que se indicó “En vías de alcanzar la meta” o “Alcanzada”); columna 3, evaluación de los progresos realizados en la consecución de la meta del Marco en función de todos los indicadores pertinentes (porcentaje basado en la puntuación media de todos los tipos de indicadores relacionados; los detalles están disponibles en el cuadro 3); y columna 4, disponibilidad de datos en los informes nacionales (porcentaje de Partes que informaron algún dato cuantitativo sobre indicadores de cabecera, de componentes, complementarios o nacionales). Los tres colores de las columnas 1 a 4 reflejan la posición que ocupa un valor en cada meta en relación con las puntuaciones </w:t>
      </w:r>
      <w:proofErr w:type="gramStart"/>
      <w:r w:rsidRPr="005E3D50">
        <w:rPr>
          <w:rFonts w:eastAsiaTheme="minorEastAsia"/>
          <w:iCs/>
          <w:color w:val="0E2841" w:themeColor="text2"/>
          <w:kern w:val="0"/>
          <w:sz w:val="18"/>
          <w:szCs w:val="18"/>
          <w:lang w:val="es-ES" w:eastAsia="ja-JP"/>
          <w14:ligatures w14:val="none"/>
        </w:rPr>
        <w:t>más altas y más bajas</w:t>
      </w:r>
      <w:proofErr w:type="gramEnd"/>
      <w:r w:rsidRPr="005E3D50">
        <w:rPr>
          <w:rFonts w:eastAsiaTheme="minorEastAsia"/>
          <w:iCs/>
          <w:color w:val="0E2841" w:themeColor="text2"/>
          <w:kern w:val="0"/>
          <w:sz w:val="18"/>
          <w:szCs w:val="18"/>
          <w:lang w:val="es-ES" w:eastAsia="ja-JP"/>
          <w14:ligatures w14:val="none"/>
        </w:rPr>
        <w:t xml:space="preserve"> alcanzadas en el conjunto de todas las metas (se asigna el color verde a los valores situados en el tercio superior de todo el intervalo, el amarillo a los valores situados en el tercio medio y el rojo a los valores situados en el tercio inferior). La puntuación general de la evaluación se basa en una fórmula que asigna una ponderación del 50 % a la autoevaluación de los progresos en relación con la cobertura en las metas nacionales y una ponderación del 50 % a la evaluación de los progresos basada en los indicadores. Los resultados derivados de este cálculo se dividen en cuatro categorías: 0-0,25 (rojo), 0,25-0,5 (naranja), 0,5-0,75 (amarillo) y 0,75-1 (verde). Las descripciones resumidas de los progresos se basan en las conclusiones del análisis de cada una de las metas que figura en la sección II.B. La justificación de la compilación de estas puntuaciones se explica brevemente en la sección “Fuentes y metodología del informe mundial” de la sección I.A, y se detalla en una nota de la Secretaría (</w:t>
      </w:r>
      <w:hyperlink r:id="rId242" w:history="1">
        <w:r w:rsidRPr="005E3D50">
          <w:rPr>
            <w:rFonts w:eastAsiaTheme="minorEastAsia"/>
            <w:iCs/>
            <w:color w:val="000000" w:themeColor="text1"/>
            <w:kern w:val="0"/>
            <w:sz w:val="18"/>
            <w:szCs w:val="18"/>
            <w:lang w:val="es-ES" w:eastAsia="ja-JP"/>
            <w14:ligatures w14:val="none"/>
          </w:rPr>
          <w:t>CBD/SBSTTA/28/INF/9</w:t>
        </w:r>
      </w:hyperlink>
      <w:r w:rsidRPr="005E3D50">
        <w:rPr>
          <w:rFonts w:eastAsiaTheme="minorEastAsia"/>
          <w:iCs/>
          <w:color w:val="0E2841" w:themeColor="text2"/>
          <w:kern w:val="0"/>
          <w:sz w:val="18"/>
          <w:szCs w:val="18"/>
          <w:lang w:val="es-ES" w:eastAsia="ja-JP"/>
          <w14:ligatures w14:val="none"/>
        </w:rPr>
        <w:t>).</w:t>
      </w:r>
    </w:p>
    <w:p w14:paraId="670A0CC0" w14:textId="77777777" w:rsidR="008F15F1" w:rsidRPr="005E3D50" w:rsidRDefault="008F15F1" w:rsidP="008F15F1">
      <w:pPr>
        <w:spacing w:after="200" w:line="240" w:lineRule="auto"/>
        <w:rPr>
          <w:rFonts w:eastAsiaTheme="minorEastAsia"/>
          <w:bCs/>
          <w:i/>
          <w:iCs/>
          <w:color w:val="0E2841" w:themeColor="text2"/>
          <w:kern w:val="0"/>
          <w:sz w:val="18"/>
          <w:szCs w:val="18"/>
          <w:lang w:val="es-ES" w:eastAsia="ja-JP"/>
          <w14:ligatures w14:val="none"/>
        </w:rPr>
      </w:pPr>
    </w:p>
    <w:p w14:paraId="07980662" w14:textId="77777777" w:rsidR="008F15F1" w:rsidRPr="005E3D50" w:rsidRDefault="008F15F1" w:rsidP="008F15F1">
      <w:pPr>
        <w:spacing w:after="200" w:line="240" w:lineRule="auto"/>
        <w:rPr>
          <w:rFonts w:eastAsiaTheme="minorEastAsia"/>
          <w:b/>
          <w:bCs/>
          <w:color w:val="0E2841" w:themeColor="text2"/>
          <w:kern w:val="0"/>
          <w:sz w:val="18"/>
          <w:szCs w:val="18"/>
          <w:lang w:val="es-ES" w:eastAsia="ja-JP"/>
          <w14:ligatures w14:val="none"/>
        </w:rPr>
      </w:pPr>
      <w:bookmarkStart w:id="751" w:name="_Ref239057275"/>
      <w:r w:rsidRPr="005E3D50">
        <w:rPr>
          <w:rFonts w:eastAsiaTheme="minorEastAsia"/>
          <w:b/>
          <w:iCs/>
          <w:color w:val="0E2841" w:themeColor="text2"/>
          <w:kern w:val="0"/>
          <w:sz w:val="18"/>
          <w:szCs w:val="18"/>
          <w:lang w:val="es-ES" w:eastAsia="ja-JP"/>
          <w14:ligatures w14:val="none"/>
        </w:rPr>
        <w:t>Figura 109</w:t>
      </w:r>
      <w:bookmarkEnd w:id="751"/>
    </w:p>
    <w:p w14:paraId="6E398EE7" w14:textId="77777777" w:rsidR="008F15F1" w:rsidRPr="005E3D50" w:rsidRDefault="008F15F1" w:rsidP="008F15F1">
      <w:pPr>
        <w:rPr>
          <w:sz w:val="20"/>
          <w:szCs w:val="20"/>
          <w:lang w:val="es-ES"/>
        </w:rPr>
      </w:pPr>
      <w:r w:rsidRPr="005E3D50">
        <w:rPr>
          <w:b/>
          <w:sz w:val="20"/>
          <w:lang w:val="es-ES"/>
        </w:rPr>
        <w:t>Metas del Marco relacionadas con cada uno de los objetivos del Marco</w:t>
      </w:r>
    </w:p>
    <w:p w14:paraId="312C21B0"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noProof/>
          <w:color w:val="0E2841" w:themeColor="text2"/>
          <w:kern w:val="0"/>
          <w:sz w:val="18"/>
          <w:szCs w:val="18"/>
          <w:lang w:val="en-US"/>
          <w14:ligatures w14:val="none"/>
        </w:rPr>
        <w:lastRenderedPageBreak/>
        <w:drawing>
          <wp:inline distT="0" distB="0" distL="0" distR="0" wp14:anchorId="2FCF759C" wp14:editId="44DFB9A3">
            <wp:extent cx="6257657" cy="3898372"/>
            <wp:effectExtent l="0" t="0" r="0" b="0"/>
            <wp:docPr id="416613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3">
                      <a:extLst>
                        <a:ext uri="{28A0092B-C50C-407E-A947-70E740481C1C}">
                          <a14:useLocalDpi xmlns:a14="http://schemas.microsoft.com/office/drawing/2010/main"/>
                        </a:ext>
                      </a:extLst>
                    </a:blip>
                    <a:srcRect t="12050" b="14388"/>
                    <a:stretch>
                      <a:fillRect/>
                    </a:stretch>
                  </pic:blipFill>
                  <pic:spPr bwMode="auto">
                    <a:xfrm>
                      <a:off x="0" y="0"/>
                      <a:ext cx="6257657" cy="3898372"/>
                    </a:xfrm>
                    <a:prstGeom prst="rect">
                      <a:avLst/>
                    </a:prstGeom>
                    <a:noFill/>
                    <a:ln>
                      <a:noFill/>
                    </a:ln>
                  </pic:spPr>
                </pic:pic>
              </a:graphicData>
            </a:graphic>
          </wp:inline>
        </w:drawing>
      </w:r>
    </w:p>
    <w:p w14:paraId="05153AD4" w14:textId="77777777" w:rsidR="008F15F1" w:rsidRDefault="008F15F1" w:rsidP="008F15F1">
      <w:pPr>
        <w:spacing w:after="200" w:line="240" w:lineRule="auto"/>
        <w:rPr>
          <w:rFonts w:eastAsiaTheme="minorEastAsia"/>
          <w:i/>
          <w:iCs/>
          <w:color w:val="0E2841" w:themeColor="text2"/>
          <w:kern w:val="0"/>
          <w:sz w:val="18"/>
          <w:szCs w:val="18"/>
          <w:lang w:val="es-ES" w:eastAsia="ja-JP"/>
          <w14:ligatures w14:val="none"/>
        </w:rPr>
      </w:pPr>
      <w:r w:rsidRPr="005E3D50">
        <w:rPr>
          <w:rFonts w:eastAsiaTheme="minorEastAsia"/>
          <w:i/>
          <w:iCs/>
          <w:color w:val="0E2841" w:themeColor="text2"/>
          <w:kern w:val="0"/>
          <w:sz w:val="18"/>
          <w:szCs w:val="18"/>
          <w:lang w:val="es-ES" w:eastAsia="ja-JP"/>
          <w14:ligatures w14:val="none"/>
        </w:rPr>
        <w:t xml:space="preserve">Nota: </w:t>
      </w:r>
      <w:r w:rsidRPr="005E3D50">
        <w:rPr>
          <w:rFonts w:eastAsiaTheme="minorEastAsia"/>
          <w:iCs/>
          <w:color w:val="0E2841" w:themeColor="text2"/>
          <w:kern w:val="0"/>
          <w:sz w:val="18"/>
          <w:szCs w:val="18"/>
          <w:lang w:val="es-ES" w:eastAsia="ja-JP"/>
          <w14:ligatures w14:val="none"/>
        </w:rPr>
        <w:t>Las relaciones entre las metas y los objetivos se basan en las metas nacionales presentadas por las Partes. Se establece un vínculo entre una meta y el objetivo si al menos un tercio de todas las metas nacionales establecidas por las Partes de cualquier grupo regional de Estados Miembros de las Naciones Unidas relacionaron una meta con el objetivo. Dado que el Marco no incluye una correlación entre sus metas y sus objetivos, esta figura ilustra, por lo tanto, cómo perciben colectivamente las Partes la relación entre las metas y los objetivos del Marco. En la figura, se combina la información que se presenta en las cuatro figuras de la sección II.C (figuras 96, 100, 103 y 106), que muestran las metas relacionadas con cada uno de los objetivos por separado. Se basa en la manera en que las Partes han vinculado sus metas nacionales con las metas y los objetivos del Marco.</w:t>
      </w:r>
      <w:r w:rsidRPr="005E3D50">
        <w:rPr>
          <w:rFonts w:eastAsiaTheme="minorEastAsia"/>
          <w:i/>
          <w:iCs/>
          <w:color w:val="0E2841" w:themeColor="text2"/>
          <w:kern w:val="0"/>
          <w:sz w:val="18"/>
          <w:szCs w:val="18"/>
          <w:lang w:val="es-ES" w:eastAsia="ja-JP"/>
          <w14:ligatures w14:val="none"/>
        </w:rPr>
        <w:t xml:space="preserve"> </w:t>
      </w:r>
    </w:p>
    <w:tbl>
      <w:tblPr>
        <w:tblStyle w:val="TableGrid"/>
        <w:tblW w:w="9445" w:type="dxa"/>
        <w:tblLook w:val="04A0" w:firstRow="1" w:lastRow="0" w:firstColumn="1" w:lastColumn="0" w:noHBand="0" w:noVBand="1"/>
      </w:tblPr>
      <w:tblGrid>
        <w:gridCol w:w="4675"/>
        <w:gridCol w:w="4770"/>
      </w:tblGrid>
      <w:tr w:rsidR="00C12125" w:rsidRPr="00E944B1" w14:paraId="70C60848" w14:textId="77777777" w:rsidTr="00C12125">
        <w:tc>
          <w:tcPr>
            <w:tcW w:w="4675" w:type="dxa"/>
          </w:tcPr>
          <w:p w14:paraId="1FAEB563" w14:textId="4ADDF8A2" w:rsidR="00C12125" w:rsidRPr="00C12125" w:rsidRDefault="00C12125" w:rsidP="00B93410">
            <w:pPr>
              <w:rPr>
                <w:rFonts w:ascii="Aptos" w:hAnsi="Aptos"/>
                <w:bCs/>
                <w:sz w:val="18"/>
                <w:szCs w:val="18"/>
                <w:lang w:val="es-ES"/>
              </w:rPr>
            </w:pPr>
            <w:r w:rsidRPr="00C12125">
              <w:rPr>
                <w:rFonts w:ascii="Aptos" w:hAnsi="Aptos"/>
                <w:bCs/>
                <w:sz w:val="18"/>
                <w:szCs w:val="18"/>
                <w:lang w:val="es-ES"/>
              </w:rPr>
              <w:t>Figura 109</w:t>
            </w:r>
          </w:p>
        </w:tc>
        <w:tc>
          <w:tcPr>
            <w:tcW w:w="4770" w:type="dxa"/>
          </w:tcPr>
          <w:p w14:paraId="0C714739" w14:textId="77777777" w:rsidR="00C12125" w:rsidRPr="00C12125" w:rsidRDefault="00C12125" w:rsidP="00B93410">
            <w:pPr>
              <w:rPr>
                <w:rFonts w:ascii="Aptos" w:hAnsi="Aptos"/>
                <w:bCs/>
                <w:sz w:val="18"/>
                <w:szCs w:val="18"/>
                <w:lang w:val="es-ES"/>
              </w:rPr>
            </w:pPr>
          </w:p>
        </w:tc>
      </w:tr>
      <w:tr w:rsidR="00C12125" w:rsidRPr="00E944B1" w14:paraId="077AEF39" w14:textId="77777777" w:rsidTr="00C12125">
        <w:tc>
          <w:tcPr>
            <w:tcW w:w="4675" w:type="dxa"/>
          </w:tcPr>
          <w:p w14:paraId="5F63000E" w14:textId="77777777" w:rsidR="00C12125" w:rsidRPr="00C12125" w:rsidRDefault="00C12125" w:rsidP="00B93410">
            <w:pPr>
              <w:rPr>
                <w:rFonts w:ascii="Aptos" w:hAnsi="Aptos"/>
                <w:bCs/>
                <w:sz w:val="18"/>
                <w:szCs w:val="18"/>
                <w:lang w:val="es-ES"/>
              </w:rPr>
            </w:pPr>
            <w:r w:rsidRPr="00C12125">
              <w:rPr>
                <w:rFonts w:ascii="Aptos" w:hAnsi="Aptos"/>
                <w:bCs/>
                <w:sz w:val="18"/>
                <w:szCs w:val="18"/>
                <w:lang w:val="es-ES"/>
              </w:rPr>
              <w:t xml:space="preserve">English </w:t>
            </w:r>
          </w:p>
        </w:tc>
        <w:tc>
          <w:tcPr>
            <w:tcW w:w="4770" w:type="dxa"/>
          </w:tcPr>
          <w:p w14:paraId="5C8222B9" w14:textId="1D944564" w:rsidR="00C12125" w:rsidRPr="00C12125" w:rsidRDefault="00C12125" w:rsidP="00B93410">
            <w:pPr>
              <w:rPr>
                <w:rFonts w:ascii="Aptos" w:hAnsi="Aptos"/>
                <w:bCs/>
                <w:sz w:val="18"/>
                <w:szCs w:val="18"/>
                <w:lang w:val="es-ES"/>
              </w:rPr>
            </w:pPr>
            <w:r w:rsidRPr="00C12125">
              <w:rPr>
                <w:rFonts w:ascii="Aptos" w:hAnsi="Aptos"/>
                <w:bCs/>
                <w:sz w:val="18"/>
                <w:szCs w:val="18"/>
                <w:lang w:val="es-ES"/>
              </w:rPr>
              <w:t>Español</w:t>
            </w:r>
          </w:p>
        </w:tc>
      </w:tr>
      <w:tr w:rsidR="00C12125" w:rsidRPr="00E944B1" w14:paraId="58F2EA4F" w14:textId="77777777" w:rsidTr="00C12125">
        <w:tc>
          <w:tcPr>
            <w:tcW w:w="4675" w:type="dxa"/>
          </w:tcPr>
          <w:p w14:paraId="12381349"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Goal A: Protect and restore</w:t>
            </w:r>
          </w:p>
        </w:tc>
        <w:tc>
          <w:tcPr>
            <w:tcW w:w="4770" w:type="dxa"/>
          </w:tcPr>
          <w:p w14:paraId="7003B2E5"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Objetivo A: Proteger y restaurar</w:t>
            </w:r>
          </w:p>
        </w:tc>
      </w:tr>
      <w:tr w:rsidR="00C12125" w:rsidRPr="00E944B1" w14:paraId="2F53641E" w14:textId="77777777" w:rsidTr="00C12125">
        <w:tc>
          <w:tcPr>
            <w:tcW w:w="4675" w:type="dxa"/>
          </w:tcPr>
          <w:p w14:paraId="7A13C0EC"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Goal B: Prosper with nature</w:t>
            </w:r>
          </w:p>
        </w:tc>
        <w:tc>
          <w:tcPr>
            <w:tcW w:w="4770" w:type="dxa"/>
          </w:tcPr>
          <w:p w14:paraId="0FCC6535"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Objetivo B: Prosperar con la naturaleza</w:t>
            </w:r>
          </w:p>
        </w:tc>
      </w:tr>
      <w:tr w:rsidR="00C12125" w:rsidRPr="00E944B1" w14:paraId="0F7C9C0F" w14:textId="77777777" w:rsidTr="00C12125">
        <w:tc>
          <w:tcPr>
            <w:tcW w:w="4675" w:type="dxa"/>
          </w:tcPr>
          <w:p w14:paraId="2D349FC7"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Goal C: Share benefits fairly</w:t>
            </w:r>
          </w:p>
        </w:tc>
        <w:tc>
          <w:tcPr>
            <w:tcW w:w="4770" w:type="dxa"/>
          </w:tcPr>
          <w:p w14:paraId="5E557529"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Objetivo C: Compartir los beneficios de manera justa</w:t>
            </w:r>
          </w:p>
        </w:tc>
      </w:tr>
      <w:tr w:rsidR="00C12125" w:rsidRPr="00E944B1" w14:paraId="59B700C2" w14:textId="77777777" w:rsidTr="00C12125">
        <w:tc>
          <w:tcPr>
            <w:tcW w:w="4675" w:type="dxa"/>
          </w:tcPr>
          <w:p w14:paraId="3A7BB016"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Goal D: Invest and collaborate</w:t>
            </w:r>
          </w:p>
        </w:tc>
        <w:tc>
          <w:tcPr>
            <w:tcW w:w="4770" w:type="dxa"/>
          </w:tcPr>
          <w:p w14:paraId="4013FBFD"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Objetivo D: Invertir y colaborar</w:t>
            </w:r>
          </w:p>
        </w:tc>
      </w:tr>
      <w:tr w:rsidR="00C12125" w:rsidRPr="00E944B1" w14:paraId="2107E3E4" w14:textId="77777777" w:rsidTr="00C12125">
        <w:tc>
          <w:tcPr>
            <w:tcW w:w="4675" w:type="dxa"/>
          </w:tcPr>
          <w:p w14:paraId="5CA5093D"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1: Plan and manage all areas</w:t>
            </w:r>
          </w:p>
        </w:tc>
        <w:tc>
          <w:tcPr>
            <w:tcW w:w="4770" w:type="dxa"/>
          </w:tcPr>
          <w:p w14:paraId="19D52562"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 Planificar y gestionar todas las zonas</w:t>
            </w:r>
          </w:p>
        </w:tc>
      </w:tr>
      <w:tr w:rsidR="00C12125" w:rsidRPr="00E944B1" w14:paraId="15F245D3" w14:textId="77777777" w:rsidTr="00C12125">
        <w:tc>
          <w:tcPr>
            <w:tcW w:w="4675" w:type="dxa"/>
          </w:tcPr>
          <w:p w14:paraId="46BE59A6"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2: </w:t>
            </w:r>
            <w:proofErr w:type="spellStart"/>
            <w:r w:rsidRPr="00C12125">
              <w:rPr>
                <w:rFonts w:ascii="Aptos" w:hAnsi="Aptos"/>
                <w:sz w:val="18"/>
                <w:szCs w:val="18"/>
                <w:lang w:val="es-ES"/>
              </w:rPr>
              <w:t>Restore</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degraded</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ecosystems</w:t>
            </w:r>
            <w:proofErr w:type="spellEnd"/>
          </w:p>
        </w:tc>
        <w:tc>
          <w:tcPr>
            <w:tcW w:w="4770" w:type="dxa"/>
          </w:tcPr>
          <w:p w14:paraId="52655ECA"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2: Restaurar los ecosistemas degradados</w:t>
            </w:r>
          </w:p>
        </w:tc>
      </w:tr>
      <w:tr w:rsidR="00C12125" w:rsidRPr="00E944B1" w14:paraId="0029D978" w14:textId="77777777" w:rsidTr="00C12125">
        <w:tc>
          <w:tcPr>
            <w:tcW w:w="4675" w:type="dxa"/>
          </w:tcPr>
          <w:p w14:paraId="0A6D6C59"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3: Conserve land, water and seas</w:t>
            </w:r>
          </w:p>
        </w:tc>
        <w:tc>
          <w:tcPr>
            <w:tcW w:w="4770" w:type="dxa"/>
          </w:tcPr>
          <w:p w14:paraId="63FD1C0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3: Conservar las tierras, las aguas y los mares</w:t>
            </w:r>
          </w:p>
        </w:tc>
      </w:tr>
      <w:tr w:rsidR="00C12125" w:rsidRPr="00E944B1" w14:paraId="769A852D" w14:textId="77777777" w:rsidTr="00C12125">
        <w:tc>
          <w:tcPr>
            <w:tcW w:w="4675" w:type="dxa"/>
          </w:tcPr>
          <w:p w14:paraId="608893A7"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4: Halt </w:t>
            </w:r>
            <w:proofErr w:type="spellStart"/>
            <w:r w:rsidRPr="00C12125">
              <w:rPr>
                <w:rFonts w:ascii="Aptos" w:hAnsi="Aptos"/>
                <w:sz w:val="18"/>
                <w:szCs w:val="18"/>
                <w:lang w:val="es-ES"/>
              </w:rPr>
              <w:t>species</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extinctions</w:t>
            </w:r>
            <w:proofErr w:type="spellEnd"/>
          </w:p>
        </w:tc>
        <w:tc>
          <w:tcPr>
            <w:tcW w:w="4770" w:type="dxa"/>
          </w:tcPr>
          <w:p w14:paraId="0D905F09"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4: Detener las extinciones de especies</w:t>
            </w:r>
          </w:p>
        </w:tc>
      </w:tr>
      <w:tr w:rsidR="00C12125" w:rsidRPr="00E944B1" w14:paraId="2E3DEDD4" w14:textId="77777777" w:rsidTr="00C12125">
        <w:tc>
          <w:tcPr>
            <w:tcW w:w="4675" w:type="dxa"/>
          </w:tcPr>
          <w:p w14:paraId="20F4164C"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5: Sustainable harvest and trade</w:t>
            </w:r>
          </w:p>
        </w:tc>
        <w:tc>
          <w:tcPr>
            <w:tcW w:w="4770" w:type="dxa"/>
          </w:tcPr>
          <w:p w14:paraId="7424437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5: Recolección y comercio sostenibles</w:t>
            </w:r>
          </w:p>
        </w:tc>
      </w:tr>
      <w:tr w:rsidR="00C12125" w:rsidRPr="00E944B1" w14:paraId="6178FDD1" w14:textId="77777777" w:rsidTr="00C12125">
        <w:tc>
          <w:tcPr>
            <w:tcW w:w="4675" w:type="dxa"/>
          </w:tcPr>
          <w:p w14:paraId="18D99949"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6: Reduce introduction of IAS</w:t>
            </w:r>
          </w:p>
        </w:tc>
        <w:tc>
          <w:tcPr>
            <w:tcW w:w="4770" w:type="dxa"/>
          </w:tcPr>
          <w:p w14:paraId="5F15C6D0"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6: Reducir la introducción de especies exóticas invasoras</w:t>
            </w:r>
          </w:p>
        </w:tc>
      </w:tr>
      <w:tr w:rsidR="00C12125" w:rsidRPr="00E944B1" w14:paraId="7C88A5F2" w14:textId="77777777" w:rsidTr="00C12125">
        <w:tc>
          <w:tcPr>
            <w:tcW w:w="4675" w:type="dxa"/>
          </w:tcPr>
          <w:p w14:paraId="79AE161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7: Reduce </w:t>
            </w:r>
            <w:proofErr w:type="spellStart"/>
            <w:r w:rsidRPr="00C12125">
              <w:rPr>
                <w:rFonts w:ascii="Aptos" w:hAnsi="Aptos"/>
                <w:sz w:val="18"/>
                <w:szCs w:val="18"/>
                <w:lang w:val="es-ES"/>
              </w:rPr>
              <w:t>pollution</w:t>
            </w:r>
            <w:proofErr w:type="spellEnd"/>
          </w:p>
        </w:tc>
        <w:tc>
          <w:tcPr>
            <w:tcW w:w="4770" w:type="dxa"/>
          </w:tcPr>
          <w:p w14:paraId="53339284"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7: Reducir la contaminación</w:t>
            </w:r>
          </w:p>
        </w:tc>
      </w:tr>
      <w:tr w:rsidR="00C12125" w:rsidRPr="00E944B1" w14:paraId="47E33A0E" w14:textId="77777777" w:rsidTr="00C12125">
        <w:tc>
          <w:tcPr>
            <w:tcW w:w="4675" w:type="dxa"/>
          </w:tcPr>
          <w:p w14:paraId="21532682"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8: Minimize the impacts of climate change</w:t>
            </w:r>
          </w:p>
        </w:tc>
        <w:tc>
          <w:tcPr>
            <w:tcW w:w="4770" w:type="dxa"/>
          </w:tcPr>
          <w:p w14:paraId="64E53305"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8: Minimizar los impactos del cambio climático</w:t>
            </w:r>
          </w:p>
        </w:tc>
      </w:tr>
      <w:tr w:rsidR="00C12125" w:rsidRPr="00E944B1" w14:paraId="7867B01E" w14:textId="77777777" w:rsidTr="00C12125">
        <w:tc>
          <w:tcPr>
            <w:tcW w:w="4675" w:type="dxa"/>
          </w:tcPr>
          <w:p w14:paraId="733712DC"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9: Manage wild species sustainably</w:t>
            </w:r>
          </w:p>
        </w:tc>
        <w:tc>
          <w:tcPr>
            <w:tcW w:w="4770" w:type="dxa"/>
          </w:tcPr>
          <w:p w14:paraId="0F4C2D04"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9: Gestionar las especies silvestres sosteniblemente</w:t>
            </w:r>
          </w:p>
        </w:tc>
      </w:tr>
      <w:tr w:rsidR="00C12125" w:rsidRPr="00E944B1" w14:paraId="435E3FB1" w14:textId="77777777" w:rsidTr="00C12125">
        <w:tc>
          <w:tcPr>
            <w:tcW w:w="4675" w:type="dxa"/>
          </w:tcPr>
          <w:p w14:paraId="3CDC5B8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10: </w:t>
            </w:r>
            <w:proofErr w:type="spellStart"/>
            <w:r w:rsidRPr="00C12125">
              <w:rPr>
                <w:rFonts w:ascii="Aptos" w:hAnsi="Aptos"/>
                <w:sz w:val="18"/>
                <w:szCs w:val="18"/>
                <w:lang w:val="es-ES"/>
              </w:rPr>
              <w:t>Sustainable</w:t>
            </w:r>
            <w:proofErr w:type="spellEnd"/>
            <w:r w:rsidRPr="00C12125">
              <w:rPr>
                <w:rFonts w:ascii="Aptos" w:hAnsi="Aptos"/>
                <w:sz w:val="18"/>
                <w:szCs w:val="18"/>
                <w:lang w:val="es-ES"/>
              </w:rPr>
              <w:t xml:space="preserve"> productive </w:t>
            </w:r>
            <w:proofErr w:type="spellStart"/>
            <w:r w:rsidRPr="00C12125">
              <w:rPr>
                <w:rFonts w:ascii="Aptos" w:hAnsi="Aptos"/>
                <w:sz w:val="18"/>
                <w:szCs w:val="18"/>
                <w:lang w:val="es-ES"/>
              </w:rPr>
              <w:t>sectors</w:t>
            </w:r>
            <w:proofErr w:type="spellEnd"/>
          </w:p>
        </w:tc>
        <w:tc>
          <w:tcPr>
            <w:tcW w:w="4770" w:type="dxa"/>
          </w:tcPr>
          <w:p w14:paraId="4E3E3403"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10: Sectores productivos sostenibles</w:t>
            </w:r>
          </w:p>
        </w:tc>
      </w:tr>
      <w:tr w:rsidR="00C12125" w:rsidRPr="00E944B1" w14:paraId="49D3B4C8" w14:textId="77777777" w:rsidTr="00C12125">
        <w:tc>
          <w:tcPr>
            <w:tcW w:w="4675" w:type="dxa"/>
          </w:tcPr>
          <w:p w14:paraId="11BE32A9"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11: Nature’s contributions to people</w:t>
            </w:r>
          </w:p>
        </w:tc>
        <w:tc>
          <w:tcPr>
            <w:tcW w:w="4770" w:type="dxa"/>
          </w:tcPr>
          <w:p w14:paraId="12650DEB"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11: Contribuciones de la naturaleza a las personas</w:t>
            </w:r>
          </w:p>
        </w:tc>
      </w:tr>
      <w:tr w:rsidR="00C12125" w:rsidRPr="00E944B1" w14:paraId="29333DD4" w14:textId="77777777" w:rsidTr="00C12125">
        <w:tc>
          <w:tcPr>
            <w:tcW w:w="4675" w:type="dxa"/>
          </w:tcPr>
          <w:p w14:paraId="59CB3046"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12: Enhance green spaces in urban areas</w:t>
            </w:r>
          </w:p>
        </w:tc>
        <w:tc>
          <w:tcPr>
            <w:tcW w:w="4770" w:type="dxa"/>
          </w:tcPr>
          <w:p w14:paraId="0AACFB59"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12: Aumentar los espacios verdes en las zonas urbanas</w:t>
            </w:r>
          </w:p>
        </w:tc>
      </w:tr>
      <w:tr w:rsidR="00C12125" w:rsidRPr="00E944B1" w14:paraId="3D45F93C" w14:textId="77777777" w:rsidTr="00C12125">
        <w:tc>
          <w:tcPr>
            <w:tcW w:w="4675" w:type="dxa"/>
          </w:tcPr>
          <w:p w14:paraId="2DD7C635"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lastRenderedPageBreak/>
              <w:t xml:space="preserve">Target 13: </w:t>
            </w:r>
            <w:proofErr w:type="spellStart"/>
            <w:r w:rsidRPr="00C12125">
              <w:rPr>
                <w:rFonts w:ascii="Aptos" w:hAnsi="Aptos"/>
                <w:sz w:val="18"/>
                <w:szCs w:val="18"/>
                <w:lang w:val="es-ES"/>
              </w:rPr>
              <w:t>Increase</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benefit</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sharing</w:t>
            </w:r>
            <w:proofErr w:type="spellEnd"/>
          </w:p>
        </w:tc>
        <w:tc>
          <w:tcPr>
            <w:tcW w:w="4770" w:type="dxa"/>
          </w:tcPr>
          <w:p w14:paraId="7DF50ECE"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13: Aumentar la participación en los beneficios</w:t>
            </w:r>
          </w:p>
        </w:tc>
      </w:tr>
      <w:tr w:rsidR="00C12125" w:rsidRPr="00E944B1" w14:paraId="7CCDF139" w14:textId="77777777" w:rsidTr="00C12125">
        <w:tc>
          <w:tcPr>
            <w:tcW w:w="4675" w:type="dxa"/>
          </w:tcPr>
          <w:p w14:paraId="40774B23"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14: Mainstream </w:t>
            </w:r>
            <w:proofErr w:type="spellStart"/>
            <w:r w:rsidRPr="00C12125">
              <w:rPr>
                <w:rFonts w:ascii="Aptos" w:hAnsi="Aptos"/>
                <w:sz w:val="18"/>
                <w:szCs w:val="18"/>
                <w:lang w:val="es-ES"/>
              </w:rPr>
              <w:t>biodiversity</w:t>
            </w:r>
            <w:proofErr w:type="spellEnd"/>
          </w:p>
        </w:tc>
        <w:tc>
          <w:tcPr>
            <w:tcW w:w="4770" w:type="dxa"/>
          </w:tcPr>
          <w:p w14:paraId="79E261C6"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14: Integrar la biodiversidad</w:t>
            </w:r>
          </w:p>
        </w:tc>
      </w:tr>
      <w:tr w:rsidR="00C12125" w:rsidRPr="00E944B1" w14:paraId="197C221A" w14:textId="77777777" w:rsidTr="00C12125">
        <w:tc>
          <w:tcPr>
            <w:tcW w:w="4675" w:type="dxa"/>
          </w:tcPr>
          <w:p w14:paraId="03AC0123"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15: Businesses assess and disclose</w:t>
            </w:r>
          </w:p>
        </w:tc>
        <w:tc>
          <w:tcPr>
            <w:tcW w:w="4770" w:type="dxa"/>
          </w:tcPr>
          <w:p w14:paraId="78596B73"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15: Evaluación y divulgación por las empresas</w:t>
            </w:r>
          </w:p>
        </w:tc>
      </w:tr>
      <w:tr w:rsidR="00C12125" w:rsidRPr="00E944B1" w14:paraId="4238D534" w14:textId="77777777" w:rsidTr="00C12125">
        <w:tc>
          <w:tcPr>
            <w:tcW w:w="4675" w:type="dxa"/>
          </w:tcPr>
          <w:p w14:paraId="4A34F4B8"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16: </w:t>
            </w:r>
            <w:proofErr w:type="spellStart"/>
            <w:r w:rsidRPr="00C12125">
              <w:rPr>
                <w:rFonts w:ascii="Aptos" w:hAnsi="Aptos"/>
                <w:sz w:val="18"/>
                <w:szCs w:val="18"/>
                <w:lang w:val="es-ES"/>
              </w:rPr>
              <w:t>Enable</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sustainable</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consumption</w:t>
            </w:r>
            <w:proofErr w:type="spellEnd"/>
          </w:p>
        </w:tc>
        <w:tc>
          <w:tcPr>
            <w:tcW w:w="4770" w:type="dxa"/>
          </w:tcPr>
          <w:p w14:paraId="330AD923"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16: Facilitar el consumo sostenible</w:t>
            </w:r>
          </w:p>
        </w:tc>
      </w:tr>
      <w:tr w:rsidR="00C12125" w:rsidRPr="00E944B1" w14:paraId="1406D3EB" w14:textId="77777777" w:rsidTr="00C12125">
        <w:tc>
          <w:tcPr>
            <w:tcW w:w="4675" w:type="dxa"/>
          </w:tcPr>
          <w:p w14:paraId="1957FC4B"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17: </w:t>
            </w:r>
            <w:proofErr w:type="spellStart"/>
            <w:r w:rsidRPr="00C12125">
              <w:rPr>
                <w:rFonts w:ascii="Aptos" w:hAnsi="Aptos"/>
                <w:sz w:val="18"/>
                <w:szCs w:val="18"/>
                <w:lang w:val="es-ES"/>
              </w:rPr>
              <w:t>Strengthen</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biosafety</w:t>
            </w:r>
            <w:proofErr w:type="spellEnd"/>
          </w:p>
        </w:tc>
        <w:tc>
          <w:tcPr>
            <w:tcW w:w="4770" w:type="dxa"/>
          </w:tcPr>
          <w:p w14:paraId="35D3A8FD"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17: Reforzar la seguridad de la biotecnología</w:t>
            </w:r>
          </w:p>
        </w:tc>
      </w:tr>
      <w:tr w:rsidR="00C12125" w:rsidRPr="00E944B1" w14:paraId="2D0BC4ED" w14:textId="77777777" w:rsidTr="00C12125">
        <w:tc>
          <w:tcPr>
            <w:tcW w:w="4675" w:type="dxa"/>
          </w:tcPr>
          <w:p w14:paraId="64FCA853"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18: Reduce </w:t>
            </w:r>
            <w:proofErr w:type="spellStart"/>
            <w:r w:rsidRPr="00C12125">
              <w:rPr>
                <w:rFonts w:ascii="Aptos" w:hAnsi="Aptos"/>
                <w:sz w:val="18"/>
                <w:szCs w:val="18"/>
                <w:lang w:val="es-ES"/>
              </w:rPr>
              <w:t>harmful</w:t>
            </w:r>
            <w:proofErr w:type="spellEnd"/>
            <w:r w:rsidRPr="00C12125">
              <w:rPr>
                <w:rFonts w:ascii="Aptos" w:hAnsi="Aptos"/>
                <w:sz w:val="18"/>
                <w:szCs w:val="18"/>
                <w:lang w:val="es-ES"/>
              </w:rPr>
              <w:t xml:space="preserve"> incentives</w:t>
            </w:r>
          </w:p>
        </w:tc>
        <w:tc>
          <w:tcPr>
            <w:tcW w:w="4770" w:type="dxa"/>
          </w:tcPr>
          <w:p w14:paraId="689EBED4"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18: Reducir los incentivos perjudiciales</w:t>
            </w:r>
          </w:p>
        </w:tc>
      </w:tr>
      <w:tr w:rsidR="00C12125" w:rsidRPr="00E944B1" w14:paraId="10BFCD5A" w14:textId="77777777" w:rsidTr="00C12125">
        <w:tc>
          <w:tcPr>
            <w:tcW w:w="4675" w:type="dxa"/>
          </w:tcPr>
          <w:p w14:paraId="378E7FE1"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19: </w:t>
            </w:r>
            <w:proofErr w:type="spellStart"/>
            <w:r w:rsidRPr="00C12125">
              <w:rPr>
                <w:rFonts w:ascii="Aptos" w:hAnsi="Aptos"/>
                <w:sz w:val="18"/>
                <w:szCs w:val="18"/>
                <w:lang w:val="es-ES"/>
              </w:rPr>
              <w:t>Mobilize</w:t>
            </w:r>
            <w:proofErr w:type="spellEnd"/>
            <w:r w:rsidRPr="00C12125">
              <w:rPr>
                <w:rFonts w:ascii="Aptos" w:hAnsi="Aptos"/>
                <w:sz w:val="18"/>
                <w:szCs w:val="18"/>
                <w:lang w:val="es-ES"/>
              </w:rPr>
              <w:t xml:space="preserve"> $200 </w:t>
            </w:r>
            <w:proofErr w:type="spellStart"/>
            <w:r w:rsidRPr="00C12125">
              <w:rPr>
                <w:rFonts w:ascii="Aptos" w:hAnsi="Aptos"/>
                <w:sz w:val="18"/>
                <w:szCs w:val="18"/>
                <w:lang w:val="es-ES"/>
              </w:rPr>
              <w:t>billion</w:t>
            </w:r>
            <w:proofErr w:type="spellEnd"/>
          </w:p>
        </w:tc>
        <w:tc>
          <w:tcPr>
            <w:tcW w:w="4770" w:type="dxa"/>
          </w:tcPr>
          <w:p w14:paraId="7863339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19: Movilizar 200.000 millones de dólares</w:t>
            </w:r>
          </w:p>
        </w:tc>
      </w:tr>
      <w:tr w:rsidR="00C12125" w:rsidRPr="00E944B1" w14:paraId="71A3F427" w14:textId="77777777" w:rsidTr="00C12125">
        <w:tc>
          <w:tcPr>
            <w:tcW w:w="4675" w:type="dxa"/>
          </w:tcPr>
          <w:p w14:paraId="2935BBE8"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20: </w:t>
            </w:r>
            <w:proofErr w:type="spellStart"/>
            <w:r w:rsidRPr="00C12125">
              <w:rPr>
                <w:rFonts w:ascii="Aptos" w:hAnsi="Aptos"/>
                <w:sz w:val="18"/>
                <w:szCs w:val="18"/>
                <w:lang w:val="es-ES"/>
              </w:rPr>
              <w:t>Strengthen</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capacity-building</w:t>
            </w:r>
            <w:proofErr w:type="spellEnd"/>
          </w:p>
        </w:tc>
        <w:tc>
          <w:tcPr>
            <w:tcW w:w="4770" w:type="dxa"/>
          </w:tcPr>
          <w:p w14:paraId="480B3959"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20: Reforzar la creación de capacidad</w:t>
            </w:r>
          </w:p>
        </w:tc>
      </w:tr>
      <w:tr w:rsidR="00C12125" w:rsidRPr="00E944B1" w14:paraId="17262C87" w14:textId="77777777" w:rsidTr="00C12125">
        <w:tc>
          <w:tcPr>
            <w:tcW w:w="4675" w:type="dxa"/>
          </w:tcPr>
          <w:p w14:paraId="39DA80CB"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21: Knowledge </w:t>
            </w:r>
            <w:proofErr w:type="spellStart"/>
            <w:r w:rsidRPr="00C12125">
              <w:rPr>
                <w:rFonts w:ascii="Aptos" w:hAnsi="Aptos"/>
                <w:sz w:val="18"/>
                <w:szCs w:val="18"/>
                <w:lang w:val="es-ES"/>
              </w:rPr>
              <w:t>is</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available</w:t>
            </w:r>
            <w:proofErr w:type="spellEnd"/>
          </w:p>
        </w:tc>
        <w:tc>
          <w:tcPr>
            <w:tcW w:w="4770" w:type="dxa"/>
          </w:tcPr>
          <w:p w14:paraId="445BF72C"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21: Disponibilidad de conocimientos</w:t>
            </w:r>
          </w:p>
        </w:tc>
      </w:tr>
      <w:tr w:rsidR="00C12125" w:rsidRPr="00E944B1" w14:paraId="10284406" w14:textId="77777777" w:rsidTr="00C12125">
        <w:tc>
          <w:tcPr>
            <w:tcW w:w="4675" w:type="dxa"/>
          </w:tcPr>
          <w:p w14:paraId="2E86ECD8" w14:textId="77777777" w:rsidR="00C12125" w:rsidRPr="00C12125" w:rsidRDefault="00C12125" w:rsidP="00B93410">
            <w:pPr>
              <w:rPr>
                <w:rFonts w:ascii="Aptos" w:hAnsi="Aptos"/>
                <w:sz w:val="18"/>
                <w:szCs w:val="18"/>
                <w:lang w:val="en-US"/>
              </w:rPr>
            </w:pPr>
            <w:r w:rsidRPr="00C12125">
              <w:rPr>
                <w:rFonts w:ascii="Aptos" w:hAnsi="Aptos"/>
                <w:sz w:val="18"/>
                <w:szCs w:val="18"/>
                <w:lang w:val="en-US"/>
              </w:rPr>
              <w:t>Target 22: Ensure participation for all</w:t>
            </w:r>
          </w:p>
        </w:tc>
        <w:tc>
          <w:tcPr>
            <w:tcW w:w="4770" w:type="dxa"/>
          </w:tcPr>
          <w:p w14:paraId="7444D83B"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22: Garantizar la participación para todos</w:t>
            </w:r>
          </w:p>
        </w:tc>
      </w:tr>
      <w:tr w:rsidR="00C12125" w:rsidRPr="00E944B1" w14:paraId="01A2D25F" w14:textId="77777777" w:rsidTr="00C12125">
        <w:tc>
          <w:tcPr>
            <w:tcW w:w="4675" w:type="dxa"/>
          </w:tcPr>
          <w:p w14:paraId="73C665EE"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 xml:space="preserve">Target 23: </w:t>
            </w:r>
            <w:proofErr w:type="spellStart"/>
            <w:r w:rsidRPr="00C12125">
              <w:rPr>
                <w:rFonts w:ascii="Aptos" w:hAnsi="Aptos"/>
                <w:sz w:val="18"/>
                <w:szCs w:val="18"/>
                <w:lang w:val="es-ES"/>
              </w:rPr>
              <w:t>Ensure</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gender</w:t>
            </w:r>
            <w:proofErr w:type="spellEnd"/>
            <w:r w:rsidRPr="00C12125">
              <w:rPr>
                <w:rFonts w:ascii="Aptos" w:hAnsi="Aptos"/>
                <w:sz w:val="18"/>
                <w:szCs w:val="18"/>
                <w:lang w:val="es-ES"/>
              </w:rPr>
              <w:t xml:space="preserve"> </w:t>
            </w:r>
            <w:proofErr w:type="spellStart"/>
            <w:r w:rsidRPr="00C12125">
              <w:rPr>
                <w:rFonts w:ascii="Aptos" w:hAnsi="Aptos"/>
                <w:sz w:val="18"/>
                <w:szCs w:val="18"/>
                <w:lang w:val="es-ES"/>
              </w:rPr>
              <w:t>equality</w:t>
            </w:r>
            <w:proofErr w:type="spellEnd"/>
          </w:p>
        </w:tc>
        <w:tc>
          <w:tcPr>
            <w:tcW w:w="4770" w:type="dxa"/>
          </w:tcPr>
          <w:p w14:paraId="4534475F" w14:textId="77777777" w:rsidR="00C12125" w:rsidRPr="00C12125" w:rsidRDefault="00C12125" w:rsidP="00B93410">
            <w:pPr>
              <w:rPr>
                <w:rFonts w:ascii="Aptos" w:hAnsi="Aptos"/>
                <w:sz w:val="18"/>
                <w:szCs w:val="18"/>
                <w:lang w:val="es-ES"/>
              </w:rPr>
            </w:pPr>
            <w:r w:rsidRPr="00C12125">
              <w:rPr>
                <w:rFonts w:ascii="Aptos" w:hAnsi="Aptos"/>
                <w:sz w:val="18"/>
                <w:szCs w:val="18"/>
                <w:lang w:val="es-ES"/>
              </w:rPr>
              <w:t>Meta 23: Garantizar la igualdad de género</w:t>
            </w:r>
          </w:p>
        </w:tc>
      </w:tr>
    </w:tbl>
    <w:p w14:paraId="451A3A9A" w14:textId="77777777" w:rsidR="00C12125" w:rsidRPr="005E3D50" w:rsidRDefault="00C12125" w:rsidP="008F15F1">
      <w:pPr>
        <w:spacing w:after="200" w:line="240" w:lineRule="auto"/>
        <w:rPr>
          <w:rFonts w:eastAsia="Times New Roman"/>
          <w:bCs/>
          <w:iCs/>
          <w:color w:val="0E2841" w:themeColor="text2"/>
          <w:kern w:val="0"/>
          <w:sz w:val="18"/>
          <w:szCs w:val="18"/>
          <w:lang w:val="es-ES" w:eastAsia="ja-JP"/>
          <w14:ligatures w14:val="none"/>
        </w:rPr>
      </w:pPr>
    </w:p>
    <w:p w14:paraId="1A7E7AFC"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tbl>
      <w:tblPr>
        <w:tblStyle w:val="TableGrid1"/>
        <w:tblW w:w="0" w:type="auto"/>
        <w:tblLook w:val="04A0" w:firstRow="1" w:lastRow="0" w:firstColumn="1" w:lastColumn="0" w:noHBand="0" w:noVBand="1"/>
      </w:tblPr>
      <w:tblGrid>
        <w:gridCol w:w="9340"/>
      </w:tblGrid>
      <w:tr w:rsidR="008F15F1" w:rsidRPr="005E3D50" w14:paraId="1C4190EE" w14:textId="77777777" w:rsidTr="006E6831">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140D038" w14:textId="77777777" w:rsidR="008F15F1" w:rsidRPr="005E3D50" w:rsidRDefault="008F15F1" w:rsidP="008F15F1">
            <w:pPr>
              <w:rPr>
                <w:sz w:val="20"/>
                <w:szCs w:val="20"/>
              </w:rPr>
            </w:pPr>
            <w:bookmarkStart w:id="752" w:name="_Ref238908216"/>
            <w:r w:rsidRPr="005E3D50">
              <w:rPr>
                <w:sz w:val="20"/>
              </w:rPr>
              <w:t>Recuadro 58</w:t>
            </w:r>
            <w:bookmarkEnd w:id="752"/>
          </w:p>
          <w:p w14:paraId="2E80B070" w14:textId="77777777" w:rsidR="008F15F1" w:rsidRPr="005E3D50" w:rsidRDefault="008F15F1" w:rsidP="008F15F1">
            <w:pPr>
              <w:rPr>
                <w:rFonts w:eastAsia="Aptos"/>
                <w:b/>
                <w:sz w:val="20"/>
                <w:szCs w:val="20"/>
              </w:rPr>
            </w:pPr>
            <w:r w:rsidRPr="005E3D50">
              <w:rPr>
                <w:rFonts w:ascii="Aptos" w:hAnsi="Aptos"/>
                <w:b/>
                <w:sz w:val="20"/>
              </w:rPr>
              <w:t>Panoramas generales de los objetivos basados en los vínculos ilustrados en la</w:t>
            </w:r>
            <w:r w:rsidRPr="005E3D50">
              <w:rPr>
                <w:b/>
                <w:sz w:val="20"/>
              </w:rPr>
              <w:t xml:space="preserve"> figura 109</w:t>
            </w:r>
          </w:p>
          <w:p w14:paraId="19FD8618" w14:textId="77777777" w:rsidR="008F15F1" w:rsidRPr="005E3D50" w:rsidRDefault="008F15F1" w:rsidP="008F15F1">
            <w:pPr>
              <w:rPr>
                <w:rFonts w:eastAsia="Aptos"/>
                <w:b/>
                <w:bCs/>
                <w:sz w:val="20"/>
                <w:szCs w:val="20"/>
              </w:rPr>
            </w:pPr>
          </w:p>
          <w:p w14:paraId="2E0DF7B0" w14:textId="77777777" w:rsidR="008F15F1" w:rsidRPr="005E3D50" w:rsidRDefault="008F15F1" w:rsidP="008F15F1">
            <w:pPr>
              <w:rPr>
                <w:rFonts w:eastAsia="Aptos"/>
                <w:b/>
                <w:sz w:val="20"/>
                <w:szCs w:val="20"/>
              </w:rPr>
            </w:pPr>
            <w:r w:rsidRPr="005E3D50">
              <w:rPr>
                <w:b/>
                <w:sz w:val="20"/>
              </w:rPr>
              <w:t>Objetivo A – Proteger y restaurar</w:t>
            </w:r>
          </w:p>
          <w:p w14:paraId="68E3D62B" w14:textId="77777777" w:rsidR="008F15F1" w:rsidRPr="005E3D50" w:rsidRDefault="008F15F1" w:rsidP="008F15F1">
            <w:pPr>
              <w:rPr>
                <w:rFonts w:eastAsia="Aptos"/>
                <w:b/>
                <w:sz w:val="20"/>
                <w:szCs w:val="20"/>
              </w:rPr>
            </w:pPr>
          </w:p>
          <w:p w14:paraId="079C0CCC" w14:textId="77777777" w:rsidR="008F15F1" w:rsidRPr="005E3D50" w:rsidRDefault="008F15F1" w:rsidP="008F15F1">
            <w:pPr>
              <w:rPr>
                <w:rFonts w:eastAsia="Aptos"/>
                <w:sz w:val="20"/>
                <w:szCs w:val="20"/>
              </w:rPr>
            </w:pPr>
            <w:r w:rsidRPr="005E3D50">
              <w:rPr>
                <w:sz w:val="20"/>
              </w:rPr>
              <w:t xml:space="preserve">Las Partes relacionaron 15 de las 23 metas del Marco con el Objetivo A, incluidas todas las metas relacionadas con la reducción de las amenazas a la biodiversidad, excepto la meta 5, así como 4 de las 5 metas relacionadas con la utilización sostenible y la participación en los beneficios. Los progresos hacia la consecución del Objetivo A dependen, por lo tanto, de la implementación de una gran variedad de metas con repercusiones tanto directas como indirectas sobre la biodiversidad. Si bien algunas de las metas relacionadas muestran tendencias positivas, los progresos colectivos generales hacia la consecución de esas metas siguen siendo dispares. </w:t>
            </w:r>
          </w:p>
          <w:p w14:paraId="08A3AFC0" w14:textId="77777777" w:rsidR="008F15F1" w:rsidRPr="005E3D50" w:rsidRDefault="008F15F1" w:rsidP="008F15F1">
            <w:pPr>
              <w:rPr>
                <w:rFonts w:eastAsia="Aptos"/>
                <w:sz w:val="20"/>
                <w:szCs w:val="20"/>
              </w:rPr>
            </w:pPr>
          </w:p>
          <w:p w14:paraId="0A9A10BA" w14:textId="77777777" w:rsidR="008F15F1" w:rsidRPr="005E3D50" w:rsidRDefault="008F15F1" w:rsidP="008F15F1">
            <w:pPr>
              <w:rPr>
                <w:rFonts w:eastAsia="Aptos"/>
                <w:b/>
                <w:sz w:val="20"/>
                <w:szCs w:val="20"/>
              </w:rPr>
            </w:pPr>
            <w:r w:rsidRPr="005E3D50">
              <w:rPr>
                <w:b/>
                <w:sz w:val="20"/>
              </w:rPr>
              <w:t>Objetivo B – Prosperar con la naturaleza</w:t>
            </w:r>
          </w:p>
          <w:p w14:paraId="538056FB" w14:textId="77777777" w:rsidR="008F15F1" w:rsidRPr="005E3D50" w:rsidRDefault="008F15F1" w:rsidP="008F15F1">
            <w:pPr>
              <w:rPr>
                <w:rFonts w:eastAsia="Aptos"/>
                <w:b/>
                <w:sz w:val="20"/>
                <w:szCs w:val="20"/>
              </w:rPr>
            </w:pPr>
          </w:p>
          <w:p w14:paraId="7D95C9D9" w14:textId="77777777" w:rsidR="008F15F1" w:rsidRPr="005E3D50" w:rsidRDefault="008F15F1" w:rsidP="008F15F1">
            <w:pPr>
              <w:rPr>
                <w:rFonts w:eastAsia="Aptos"/>
                <w:sz w:val="20"/>
                <w:szCs w:val="20"/>
              </w:rPr>
            </w:pPr>
            <w:r w:rsidRPr="005E3D50">
              <w:rPr>
                <w:sz w:val="20"/>
              </w:rPr>
              <w:t>Las Partes relacionaron 19 de las 23 metas del Marco con el Objetivo B; esto es, más metas que las que se relacionaron con cualquier otro objetivo. Los progresos hacia la consecución del Objetivo B dependen en gran medida, por lo tanto, de la acción coordinada en lo que respecta a la mayor parte del Marco. Como se muestra en la sección II.B, los progresos colectivos en el conjunto del Marco son dispares y requieren medidas relativas a los impulsores tanto directos como indirectos del cambio en la biodiversidad.</w:t>
            </w:r>
          </w:p>
          <w:p w14:paraId="766D94E5" w14:textId="77777777" w:rsidR="008F15F1" w:rsidRPr="005E3D50" w:rsidRDefault="008F15F1" w:rsidP="008F15F1">
            <w:pPr>
              <w:rPr>
                <w:rFonts w:eastAsia="Aptos"/>
                <w:sz w:val="20"/>
                <w:szCs w:val="20"/>
              </w:rPr>
            </w:pPr>
          </w:p>
          <w:p w14:paraId="64F61A30" w14:textId="77777777" w:rsidR="008F15F1" w:rsidRPr="005E3D50" w:rsidRDefault="008F15F1" w:rsidP="008F15F1">
            <w:pPr>
              <w:rPr>
                <w:rFonts w:eastAsia="Aptos"/>
                <w:b/>
                <w:sz w:val="20"/>
                <w:szCs w:val="20"/>
              </w:rPr>
            </w:pPr>
            <w:r w:rsidRPr="005E3D50">
              <w:rPr>
                <w:b/>
                <w:sz w:val="20"/>
              </w:rPr>
              <w:t>Objetivo C – Compartir los beneficios de los recursos genéticos de manera justa</w:t>
            </w:r>
          </w:p>
          <w:p w14:paraId="50578D29" w14:textId="77777777" w:rsidR="008F15F1" w:rsidRPr="005E3D50" w:rsidRDefault="008F15F1" w:rsidP="008F15F1">
            <w:pPr>
              <w:rPr>
                <w:rFonts w:eastAsia="Aptos"/>
                <w:b/>
                <w:sz w:val="20"/>
                <w:szCs w:val="20"/>
              </w:rPr>
            </w:pPr>
          </w:p>
          <w:p w14:paraId="49CF430C" w14:textId="77777777" w:rsidR="008F15F1" w:rsidRPr="005E3D50" w:rsidRDefault="008F15F1" w:rsidP="008F15F1">
            <w:pPr>
              <w:rPr>
                <w:rFonts w:eastAsia="Aptos"/>
                <w:sz w:val="20"/>
                <w:szCs w:val="20"/>
              </w:rPr>
            </w:pPr>
            <w:r w:rsidRPr="005E3D50">
              <w:rPr>
                <w:sz w:val="20"/>
              </w:rPr>
              <w:t>Las Partes relacionaron solo dos metas del Marco con el Objetivo C: la meta 13 sobre acceso y participación en los beneficios y la meta 17 sobre seguridad de la biotecnología. Aunque no se dispone de información suficiente para hacer un seguimiento de los progresos en los resultados relacionados con esas dos metas mundiales, las Partes han informado sobre los progresos realizados en la elaboración de algunas de las medidas administrativas, legislativas y de políticas definidas en esas dos metas.</w:t>
            </w:r>
          </w:p>
          <w:p w14:paraId="2F4C0571" w14:textId="77777777" w:rsidR="008F15F1" w:rsidRPr="005E3D50" w:rsidRDefault="008F15F1" w:rsidP="008F15F1">
            <w:pPr>
              <w:rPr>
                <w:rFonts w:eastAsia="Aptos"/>
                <w:sz w:val="20"/>
                <w:szCs w:val="20"/>
              </w:rPr>
            </w:pPr>
          </w:p>
          <w:p w14:paraId="127990FA" w14:textId="77777777" w:rsidR="008F15F1" w:rsidRPr="005E3D50" w:rsidRDefault="008F15F1" w:rsidP="008F15F1">
            <w:pPr>
              <w:rPr>
                <w:rFonts w:eastAsia="Aptos"/>
                <w:b/>
                <w:sz w:val="20"/>
                <w:szCs w:val="20"/>
              </w:rPr>
            </w:pPr>
            <w:r w:rsidRPr="005E3D50">
              <w:rPr>
                <w:b/>
                <w:sz w:val="20"/>
              </w:rPr>
              <w:t>Objetivo D – Invertir y colaborar</w:t>
            </w:r>
          </w:p>
          <w:p w14:paraId="5CBB80E3" w14:textId="77777777" w:rsidR="008F15F1" w:rsidRPr="005E3D50" w:rsidRDefault="008F15F1" w:rsidP="008F15F1">
            <w:pPr>
              <w:rPr>
                <w:rFonts w:eastAsia="Aptos"/>
                <w:b/>
                <w:sz w:val="20"/>
                <w:szCs w:val="20"/>
              </w:rPr>
            </w:pPr>
          </w:p>
          <w:p w14:paraId="204C7BE7" w14:textId="77777777" w:rsidR="008F15F1" w:rsidRPr="005E3D50" w:rsidRDefault="008F15F1" w:rsidP="008F15F1">
            <w:pPr>
              <w:rPr>
                <w:rFonts w:eastAsia="Aptos"/>
                <w:sz w:val="20"/>
                <w:szCs w:val="20"/>
              </w:rPr>
            </w:pPr>
            <w:r w:rsidRPr="005E3D50">
              <w:rPr>
                <w:sz w:val="20"/>
              </w:rPr>
              <w:t>De las 23 metas del Marco, las Partes relacionaron 10 metas con el Objetivo D, todas ellas relativas a herramientas y soluciones para la implementación y la integración. Las metas 18, 19 y 20 muestran la vinculación más estrecha con el Objetivo D. Los progresos colectivos hacia la consecución de varias de las metas relacionadas con el Objetivo D enfrentan importantes dificultades de implementación.</w:t>
            </w:r>
          </w:p>
          <w:p w14:paraId="313A14ED" w14:textId="77777777" w:rsidR="008F15F1" w:rsidRPr="005E3D50" w:rsidRDefault="008F15F1" w:rsidP="008F15F1">
            <w:pPr>
              <w:rPr>
                <w:rFonts w:ascii="Aptos" w:eastAsia="Aptos" w:hAnsi="Aptos" w:cs="Aptos"/>
                <w:sz w:val="20"/>
                <w:szCs w:val="20"/>
              </w:rPr>
            </w:pPr>
          </w:p>
        </w:tc>
      </w:tr>
    </w:tbl>
    <w:p w14:paraId="1A61C338" w14:textId="77777777" w:rsidR="008F15F1" w:rsidRPr="005E3D50" w:rsidRDefault="008F15F1" w:rsidP="008F15F1">
      <w:pPr>
        <w:rPr>
          <w:lang w:val="es-ES"/>
        </w:rPr>
      </w:pPr>
    </w:p>
    <w:p w14:paraId="338AFD22" w14:textId="77777777" w:rsidR="008F15F1" w:rsidRPr="005E3D50" w:rsidRDefault="008F15F1" w:rsidP="008F15F1">
      <w:pPr>
        <w:spacing w:after="200" w:line="240" w:lineRule="auto"/>
        <w:rPr>
          <w:rFonts w:eastAsiaTheme="minorEastAsia"/>
          <w:i/>
          <w:iCs/>
          <w:color w:val="0E2841" w:themeColor="text2"/>
          <w:kern w:val="0"/>
          <w:sz w:val="18"/>
          <w:szCs w:val="18"/>
          <w:lang w:val="es-ES" w:eastAsia="ja-JP"/>
          <w14:ligatures w14:val="none"/>
        </w:rPr>
      </w:pPr>
    </w:p>
    <w:p w14:paraId="761DC742" w14:textId="77777777" w:rsidR="008F15F1" w:rsidRPr="005E3D50" w:rsidRDefault="008F15F1" w:rsidP="008F15F1">
      <w:pPr>
        <w:rPr>
          <w:lang w:val="es-ES"/>
        </w:rPr>
      </w:pPr>
    </w:p>
    <w:p w14:paraId="6F721ADF" w14:textId="77777777" w:rsidR="008F15F1" w:rsidRPr="005E3D50" w:rsidRDefault="008F15F1" w:rsidP="008F15F1">
      <w:pPr>
        <w:rPr>
          <w:lang w:val="es-ES"/>
        </w:rPr>
        <w:sectPr w:rsidR="008F15F1" w:rsidRPr="005E3D50" w:rsidSect="00E976F0">
          <w:headerReference w:type="even" r:id="rId244"/>
          <w:headerReference w:type="default" r:id="rId245"/>
          <w:footerReference w:type="even" r:id="rId246"/>
          <w:footerReference w:type="default" r:id="rId247"/>
          <w:pgSz w:w="12240" w:h="15840"/>
          <w:pgMar w:top="1440" w:right="1440" w:bottom="1440" w:left="1440" w:header="709" w:footer="709" w:gutter="0"/>
          <w:pgNumType w:start="1"/>
          <w:cols w:space="708"/>
          <w:titlePg/>
          <w:docGrid w:linePitch="360"/>
        </w:sectPr>
      </w:pPr>
    </w:p>
    <w:p w14:paraId="077DCC6F" w14:textId="77777777" w:rsidR="008F15F1" w:rsidRPr="005E3D50" w:rsidRDefault="008F15F1" w:rsidP="008F15F1">
      <w:pPr>
        <w:keepNext/>
        <w:keepLines/>
        <w:spacing w:before="160" w:after="80"/>
        <w:outlineLvl w:val="1"/>
        <w:rPr>
          <w:rFonts w:asciiTheme="majorHAnsi" w:eastAsiaTheme="majorEastAsia" w:hAnsiTheme="majorHAnsi" w:cstheme="majorBidi"/>
          <w:color w:val="0F4761" w:themeColor="accent1" w:themeShade="BF"/>
          <w:sz w:val="32"/>
          <w:szCs w:val="32"/>
          <w:lang w:val="es-ES"/>
        </w:rPr>
      </w:pPr>
      <w:bookmarkStart w:id="753" w:name="_Toc235821390"/>
      <w:bookmarkStart w:id="754" w:name="_Toc239069258"/>
      <w:bookmarkStart w:id="755" w:name="_Toc1970051347"/>
      <w:bookmarkStart w:id="756" w:name="_Toc242883036"/>
      <w:r w:rsidRPr="005E3D50">
        <w:rPr>
          <w:rFonts w:asciiTheme="majorHAnsi" w:eastAsiaTheme="majorEastAsia" w:hAnsiTheme="majorHAnsi" w:cstheme="majorBidi"/>
          <w:color w:val="0F4761" w:themeColor="accent1" w:themeShade="BF"/>
          <w:sz w:val="32"/>
          <w:szCs w:val="32"/>
          <w:lang w:val="es-ES"/>
        </w:rPr>
        <w:lastRenderedPageBreak/>
        <w:t>III.B De cara al futuro: dificultades y oportunidades</w:t>
      </w:r>
      <w:bookmarkEnd w:id="753"/>
      <w:bookmarkEnd w:id="754"/>
      <w:bookmarkEnd w:id="755"/>
      <w:bookmarkEnd w:id="756"/>
    </w:p>
    <w:p w14:paraId="001875B3" w14:textId="77777777" w:rsidR="008F15F1" w:rsidRPr="005E3D50" w:rsidRDefault="008F15F1" w:rsidP="008F15F1">
      <w:pPr>
        <w:spacing w:after="120"/>
        <w:rPr>
          <w:rFonts w:ascii="Aptos" w:hAnsi="Aptos"/>
          <w:u w:val="single"/>
          <w:lang w:val="es-ES"/>
        </w:rPr>
      </w:pPr>
      <w:r w:rsidRPr="005E3D50">
        <w:rPr>
          <w:rFonts w:ascii="Aptos" w:hAnsi="Aptos"/>
          <w:lang w:val="es-ES"/>
        </w:rPr>
        <w:t xml:space="preserve">Del presente informe mundial, surgen seis mensajes principales en relación con los progresos colectivos. La implementación exitosa del Marco requerirá abordar las deficiencias y superar los obstáculos que impiden el progreso colectivo señalados en esos mensajes. A continuación, se exponen esos seis mensajes, junto con posibles enfoques no prescriptivos para abordar las dificultades y superar los obstáculos relacionados con cada mensaje principal. </w:t>
      </w:r>
      <w:r w:rsidRPr="005E3D50">
        <w:rPr>
          <w:lang w:val="es-ES"/>
        </w:rPr>
        <w:t>Tras los mensajes principales, se incluye una breve reflexión final relativa a la producción del presente informe (recuadro 59).</w:t>
      </w:r>
    </w:p>
    <w:p w14:paraId="4568106B" w14:textId="77777777" w:rsidR="008F15F1" w:rsidRPr="005E3D50" w:rsidRDefault="008F15F1" w:rsidP="008F15F1">
      <w:pPr>
        <w:spacing w:after="120"/>
        <w:rPr>
          <w:rFonts w:ascii="Aptos" w:hAnsi="Aptos"/>
          <w:b/>
          <w:bCs/>
          <w:i/>
          <w:iCs/>
          <w:u w:val="single"/>
          <w:lang w:val="es-ES"/>
        </w:rPr>
      </w:pPr>
      <w:r w:rsidRPr="005E3D50">
        <w:rPr>
          <w:rFonts w:ascii="Aptos" w:hAnsi="Aptos"/>
          <w:b/>
          <w:u w:val="single"/>
          <w:lang w:val="es-ES"/>
        </w:rPr>
        <w:t>Mensaje principal 1: Alcance y cobertura</w:t>
      </w:r>
    </w:p>
    <w:p w14:paraId="444AC226" w14:textId="77777777" w:rsidR="008F15F1" w:rsidRPr="005E3D50" w:rsidRDefault="008F15F1" w:rsidP="008F15F1">
      <w:pPr>
        <w:spacing w:after="120"/>
        <w:rPr>
          <w:rFonts w:ascii="Aptos" w:hAnsi="Aptos"/>
          <w:b/>
          <w:bCs/>
          <w:lang w:val="es-ES"/>
        </w:rPr>
      </w:pPr>
      <w:r w:rsidRPr="005E3D50">
        <w:rPr>
          <w:rFonts w:ascii="Aptos" w:hAnsi="Aptos"/>
          <w:b/>
          <w:lang w:val="es-ES"/>
        </w:rPr>
        <w:t>El Marco ha suscitado una voluntad política y un compromiso firmes.</w:t>
      </w:r>
      <w:r w:rsidRPr="005E3D50">
        <w:rPr>
          <w:rFonts w:ascii="Aptos" w:hAnsi="Aptos"/>
          <w:b/>
          <w:i/>
          <w:lang w:val="es-ES"/>
        </w:rPr>
        <w:t xml:space="preserve"> </w:t>
      </w:r>
      <w:r w:rsidRPr="005E3D50">
        <w:rPr>
          <w:rFonts w:ascii="Aptos" w:hAnsi="Aptos"/>
          <w:b/>
          <w:lang w:val="es-ES"/>
        </w:rPr>
        <w:t xml:space="preserve">Sin embargo, existen diferencias entre el alcance colectivo de las metas nacionales y el alcance de las metas mundiales del Marco. Reforzar la voluntad política y el compromiso permitiría abordar y superar esas diferencias en el alcance y la ambición. </w:t>
      </w:r>
    </w:p>
    <w:p w14:paraId="0306F4CA" w14:textId="77777777" w:rsidR="008F15F1" w:rsidRPr="005E3D50" w:rsidRDefault="008F15F1" w:rsidP="008F15F1">
      <w:pPr>
        <w:tabs>
          <w:tab w:val="left" w:pos="567"/>
          <w:tab w:val="left" w:pos="1134"/>
          <w:tab w:val="left" w:pos="1701"/>
          <w:tab w:val="left" w:pos="2268"/>
          <w:tab w:val="left" w:pos="2835"/>
          <w:tab w:val="left" w:pos="3402"/>
        </w:tabs>
        <w:spacing w:after="120" w:line="240"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En el momento de la elaboración de este informe, 162 Partes (el 83 %) habían establecido metas nacionales armonizadas con el Marco, y cada Parte había abordado, en promedio, 22 de las 23 metas mundiales. En marcado contraste, en el momento de la revisión final de las Metas de Aichi para la Diversidad Biológica que se llevó a cabo en 2020, solo aproximadamente la mitad de las Partes había establecido metas nacionales en consonancia con las metas mundiales (CDB, 2020). Asimismo, más de 100 actores distintos de los Gobiernos nacionales habían presentado compromisos a través del portal creado a tales efectos a tiempo para que se tuvieran en cuenta en la preparación de este informe, y el número de comunicaciones sigue aumentando</w:t>
      </w:r>
      <w:r w:rsidRPr="005E3D50">
        <w:rPr>
          <w:rFonts w:ascii="Aptos" w:eastAsia="SimSun" w:hAnsi="Aptos" w:cs="Times New Roman"/>
          <w:kern w:val="0"/>
          <w:vertAlign w:val="superscript"/>
          <w:lang w:val="es-ES"/>
          <w14:ligatures w14:val="none"/>
        </w:rPr>
        <w:footnoteReference w:id="57"/>
      </w:r>
      <w:r w:rsidRPr="005E3D50">
        <w:rPr>
          <w:rFonts w:ascii="Aptos" w:eastAsia="SimSun" w:hAnsi="Aptos" w:cs="Times New Roman"/>
          <w:kern w:val="0"/>
          <w:szCs w:val="22"/>
          <w:lang w:val="es-ES"/>
          <w14:ligatures w14:val="none"/>
        </w:rPr>
        <w:t>. A pesar del alto nivel de participación, muchos de los elementos principales que conforman las metas mundiales no se abordan o se reflejan de forma insuficiente en las metas nacionales presentadas por las Partes.</w:t>
      </w:r>
    </w:p>
    <w:p w14:paraId="3CE999B6" w14:textId="77777777" w:rsidR="008F15F1" w:rsidRPr="005E3D50" w:rsidRDefault="008F15F1" w:rsidP="008F15F1">
      <w:pPr>
        <w:tabs>
          <w:tab w:val="left" w:pos="567"/>
          <w:tab w:val="left" w:pos="1134"/>
          <w:tab w:val="left" w:pos="1701"/>
          <w:tab w:val="left" w:pos="2268"/>
          <w:tab w:val="left" w:pos="2835"/>
          <w:tab w:val="left" w:pos="3402"/>
        </w:tabs>
        <w:spacing w:after="120" w:line="259"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Según la evaluación, las metas nacionales armonizadas con las metas 4, 8 y 11 del Marco, seguidas de las metas 5, 9 y 10, presentaban la mayor cobertura de los elementos de las metas mundiales (véase la figura 1).</w:t>
      </w:r>
      <w:r w:rsidRPr="005E3D50">
        <w:rPr>
          <w:rFonts w:ascii="Aptos" w:eastAsia="SimSun" w:hAnsi="Aptos" w:cs="Times New Roman"/>
          <w:color w:val="000000" w:themeColor="text1"/>
          <w:kern w:val="0"/>
          <w:szCs w:val="22"/>
          <w:lang w:val="es-ES"/>
          <w14:ligatures w14:val="none"/>
        </w:rPr>
        <w:t xml:space="preserve"> </w:t>
      </w:r>
      <w:r w:rsidRPr="005E3D50">
        <w:rPr>
          <w:rFonts w:ascii="Aptos" w:eastAsia="SimSun" w:hAnsi="Aptos" w:cs="Times New Roman"/>
          <w:kern w:val="0"/>
          <w:szCs w:val="22"/>
          <w:lang w:val="es-ES"/>
          <w14:ligatures w14:val="none"/>
        </w:rPr>
        <w:t>Las metas nacionales armonizadas con las metas 15, 16, 19 y 22 del Marco mostraron la menor cobertura de los elementos de las metas mundiales, seguidas de las metas nacionales armonizadas con las metas 1, 14, 18, 20 y 23 del Marco. La cobertura específica de los distintos elementos en las metas nacionales varía considerablemente entre las distintas metas mundiales.</w:t>
      </w:r>
    </w:p>
    <w:p w14:paraId="68BABB07" w14:textId="77777777" w:rsidR="008F15F1" w:rsidRPr="005E3D50" w:rsidRDefault="008F15F1" w:rsidP="008F15F1">
      <w:pPr>
        <w:tabs>
          <w:tab w:val="left" w:pos="567"/>
          <w:tab w:val="left" w:pos="1134"/>
          <w:tab w:val="left" w:pos="1701"/>
          <w:tab w:val="left" w:pos="2268"/>
          <w:tab w:val="left" w:pos="2835"/>
          <w:tab w:val="left" w:pos="3402"/>
        </w:tabs>
        <w:spacing w:after="120" w:line="259"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 xml:space="preserve">En general, las metas y los elementos de </w:t>
      </w:r>
      <w:proofErr w:type="gramStart"/>
      <w:r w:rsidRPr="005E3D50">
        <w:rPr>
          <w:rFonts w:ascii="Aptos" w:eastAsia="SimSun" w:hAnsi="Aptos" w:cs="Times New Roman"/>
          <w:kern w:val="0"/>
          <w:szCs w:val="22"/>
          <w:lang w:val="es-ES"/>
          <w14:ligatures w14:val="none"/>
        </w:rPr>
        <w:t>las metas relacionados</w:t>
      </w:r>
      <w:proofErr w:type="gramEnd"/>
      <w:r w:rsidRPr="005E3D50">
        <w:rPr>
          <w:rFonts w:ascii="Aptos" w:eastAsia="SimSun" w:hAnsi="Aptos" w:cs="Times New Roman"/>
          <w:kern w:val="0"/>
          <w:szCs w:val="22"/>
          <w:lang w:val="es-ES"/>
          <w14:ligatures w14:val="none"/>
        </w:rPr>
        <w:t xml:space="preserve"> con la conservación y la utilización sostenible de la diversidad biológica se abordan de manera más exhaustiva en las metas nacionales que las metas y los elementos de metas relacionados con los impulsores indirectos de pérdida de diversidad biológica. Las metas y los elementos relacionados con la integración de la biodiversidad, el consumo sostenible, la movilización de recursos, los incentivos y los subsidios, la participación y </w:t>
      </w:r>
      <w:r w:rsidRPr="005E3D50">
        <w:rPr>
          <w:rFonts w:ascii="Aptos" w:eastAsia="SimSun" w:hAnsi="Aptos" w:cs="Times New Roman"/>
          <w:kern w:val="0"/>
          <w:szCs w:val="22"/>
          <w:lang w:val="es-ES"/>
          <w14:ligatures w14:val="none"/>
        </w:rPr>
        <w:lastRenderedPageBreak/>
        <w:t xml:space="preserve">los procesos participativos, la gobernanza equitativa, los derechos sobre las tierras y los recursos, la perspectiva de género, la coherencia de las políticas y los medios de implementación se abordan de forma menos sistemática. Además, los ecosistemas marinos, costeros y de aguas continentales también están infrarrepresentados en comparación con los ecosistemas terrestres. Las cuestiones transversales, como las contribuciones y los derechos de los pueblos indígenas y las comunidades locales, las mujeres y la juventud; los enfoques de todo el gobierno y toda la sociedad; los enfoques basados en los derechos humanos; el género; y la equidad intergeneracional, junto con otras consideraciones incluidas en la sección C del Marco, no se han mencionado con frecuencia en las descripciones incluidas en las metas nacionales, las estrategias y planes de acción nacionales en materia de biodiversidad y los informes nacionales. </w:t>
      </w:r>
    </w:p>
    <w:p w14:paraId="5EA5D934" w14:textId="77777777" w:rsidR="008F15F1" w:rsidRPr="005E3D50" w:rsidRDefault="008F15F1" w:rsidP="008F15F1">
      <w:pPr>
        <w:rPr>
          <w:rFonts w:ascii="Aptos" w:hAnsi="Aptos"/>
          <w:i/>
          <w:iCs/>
          <w:lang w:val="es-ES"/>
        </w:rPr>
      </w:pPr>
      <w:r w:rsidRPr="005E3D50">
        <w:rPr>
          <w:rFonts w:ascii="Aptos" w:hAnsi="Aptos"/>
          <w:i/>
          <w:lang w:val="es-ES"/>
        </w:rPr>
        <w:t>Posibles enfoques no prescriptivos:</w:t>
      </w:r>
    </w:p>
    <w:p w14:paraId="1B8A7BAE" w14:textId="77777777" w:rsidR="008F15F1" w:rsidRPr="005E3D50" w:rsidRDefault="008F15F1" w:rsidP="008F15F1">
      <w:pPr>
        <w:numPr>
          <w:ilvl w:val="0"/>
          <w:numId w:val="21"/>
        </w:numPr>
        <w:spacing w:before="120" w:after="120" w:line="259" w:lineRule="auto"/>
        <w:ind w:left="1134" w:hanging="567"/>
        <w:contextualSpacing/>
        <w:rPr>
          <w:rFonts w:ascii="Aptos" w:eastAsia="Aptos" w:hAnsi="Aptos"/>
          <w:lang w:val="es-ES"/>
        </w:rPr>
      </w:pPr>
      <w:r w:rsidRPr="005E3D50">
        <w:rPr>
          <w:rFonts w:ascii="Aptos" w:hAnsi="Aptos"/>
          <w:lang w:val="es-ES"/>
        </w:rPr>
        <w:t>Sin desviar recursos de la implementación, las Partes podrían ajustar las metas y reforzar las medidas para abordar mejor algunas metas específicas o elementos de las metas mundiales que no se reflejan plenamente. Se podría revisar y desarrollar en mayor medida la política nacional, según sea necesario, haciendo referencia a todo el alcance de las metas mundiales conexas, con el fin de identificar posibles ámbitos en los que unos compromisos nacionales más firmes y exhaustivos puedan subsanar las deficiencias y superar las dificultades en la implementación y ambición colectivas. Se podrían considerar diferentes opciones en función de las circunstancias nacionales; por ejemplo, las Partes que aún no hayan actualizado sus EPANB o sus metas podrían redoblar los esfuerzos para adaptarse al alcance y la ambición de las metas mundiales, con medios de implementación adecuados; las Partes podrían revisar y ajustar las metas, en función de las circunstancias nacionales, pero sin desviar recursos ni atención de la implementación; o bien, las Partes podrían mantener sus metas ya actualizadas, pero reforzar sus acciones para abordar mejor metas específicas o elementos de metas en los que se hayan observado deficiencias en el alcance y la ambición colectivos.</w:t>
      </w:r>
    </w:p>
    <w:p w14:paraId="2AB7893F" w14:textId="77777777" w:rsidR="008F15F1" w:rsidRPr="005E3D50" w:rsidRDefault="008F15F1" w:rsidP="008F15F1">
      <w:pPr>
        <w:numPr>
          <w:ilvl w:val="0"/>
          <w:numId w:val="20"/>
        </w:numPr>
        <w:spacing w:before="120" w:after="120" w:line="240" w:lineRule="auto"/>
        <w:ind w:left="1134" w:hanging="567"/>
        <w:rPr>
          <w:rFonts w:ascii="Aptos" w:eastAsia="Aptos" w:hAnsi="Aptos"/>
          <w:lang w:val="es-ES"/>
        </w:rPr>
      </w:pPr>
      <w:r w:rsidRPr="005E3D50">
        <w:rPr>
          <w:rFonts w:ascii="Aptos" w:hAnsi="Aptos"/>
          <w:lang w:val="es-ES"/>
        </w:rPr>
        <w:t>Las plataformas de múltiples interesados, coaliciones, alianzas, iniciativas y otras formas de cooperación y colaboración podrían ampliarse y reproducirse para promover una mayor ambición e implementación, así como un compromiso sostenido, la comunicación, la sensibilización, la educación y la promoción, ampliando así el compromiso con el Marco, en particular en lo que respecta a las metas y elementos infrarrepresentados.</w:t>
      </w:r>
    </w:p>
    <w:p w14:paraId="5E18F0DB" w14:textId="77777777" w:rsidR="008F15F1" w:rsidRPr="005E3D50" w:rsidRDefault="008F15F1" w:rsidP="008F15F1">
      <w:pPr>
        <w:numPr>
          <w:ilvl w:val="0"/>
          <w:numId w:val="20"/>
        </w:numPr>
        <w:spacing w:before="120" w:after="120" w:line="240" w:lineRule="auto"/>
        <w:ind w:left="1134" w:hanging="567"/>
        <w:rPr>
          <w:rFonts w:ascii="Aptos" w:eastAsia="Aptos" w:hAnsi="Aptos"/>
          <w:lang w:val="es-ES"/>
        </w:rPr>
      </w:pPr>
      <w:r w:rsidRPr="005E3D50">
        <w:rPr>
          <w:rFonts w:ascii="Aptos" w:hAnsi="Aptos"/>
          <w:lang w:val="es-ES"/>
        </w:rPr>
        <w:t xml:space="preserve">Para respaldar un alcance más amplio en sus estrategias nacionales y, en particular, en sus planes de acción, las Partes podrían centrarse en abordar los principales obstáculos relacionados con los medios de implementación, la coherencia de las políticas y la gobernanza ambiental, la participación y el compromiso de actores distintos de los Gobiernos nacionales, y las carencias en materia de datos y conocimientos. </w:t>
      </w:r>
    </w:p>
    <w:p w14:paraId="7DDCD985" w14:textId="77777777" w:rsidR="008F15F1" w:rsidRPr="005E3D50" w:rsidRDefault="008F15F1" w:rsidP="008F15F1">
      <w:pPr>
        <w:spacing w:before="120" w:after="120"/>
        <w:rPr>
          <w:rFonts w:ascii="Aptos" w:hAnsi="Aptos"/>
          <w:b/>
          <w:u w:val="single"/>
          <w:lang w:val="es-ES"/>
        </w:rPr>
      </w:pPr>
    </w:p>
    <w:p w14:paraId="1C91CCF6" w14:textId="77777777" w:rsidR="008F15F1" w:rsidRPr="005E3D50" w:rsidRDefault="008F15F1" w:rsidP="008F15F1">
      <w:pPr>
        <w:spacing w:before="120" w:after="120"/>
        <w:rPr>
          <w:rFonts w:ascii="Aptos" w:hAnsi="Aptos"/>
          <w:b/>
          <w:u w:val="single"/>
          <w:lang w:val="es-ES"/>
        </w:rPr>
      </w:pPr>
      <w:r w:rsidRPr="005E3D50">
        <w:rPr>
          <w:rFonts w:ascii="Aptos" w:hAnsi="Aptos"/>
          <w:b/>
          <w:u w:val="single"/>
          <w:lang w:val="es-ES"/>
        </w:rPr>
        <w:t>Mensaje principal 2: Acción e implementación</w:t>
      </w:r>
    </w:p>
    <w:p w14:paraId="2070C6C5" w14:textId="77777777" w:rsidR="008F15F1" w:rsidRPr="005E3D50" w:rsidRDefault="008F15F1" w:rsidP="008F15F1">
      <w:pPr>
        <w:spacing w:after="120" w:line="259" w:lineRule="auto"/>
        <w:rPr>
          <w:rFonts w:ascii="Aptos" w:eastAsia="Times New Roman" w:hAnsi="Aptos"/>
          <w:lang w:val="es-ES"/>
        </w:rPr>
      </w:pPr>
      <w:r w:rsidRPr="005E3D50">
        <w:rPr>
          <w:rFonts w:ascii="Aptos" w:hAnsi="Aptos"/>
          <w:b/>
          <w:lang w:val="es-ES"/>
        </w:rPr>
        <w:t>Todas las metas se están implementando, pero menos de la mitad de las Partes indicaron que sus metas nacionales iban por buen camino para alcanzar alguna de las metas mundiales. Esto podría abordarse mediante una acción acelerada, estratégica y priorizada, adaptada a las circunstancias nacionales, especialmente en lo que respecta a formas de abordar los impulsores subyacentes de la pérdida de diversidad biológica.</w:t>
      </w:r>
    </w:p>
    <w:p w14:paraId="21863F65" w14:textId="77777777" w:rsidR="008F15F1" w:rsidRPr="005E3D50" w:rsidRDefault="008F15F1" w:rsidP="008F15F1">
      <w:pPr>
        <w:spacing w:after="120" w:line="259" w:lineRule="auto"/>
        <w:rPr>
          <w:rFonts w:ascii="Aptos" w:hAnsi="Aptos"/>
          <w:lang w:val="es-ES"/>
        </w:rPr>
      </w:pPr>
      <w:r w:rsidRPr="005E3D50">
        <w:rPr>
          <w:rFonts w:ascii="Aptos" w:hAnsi="Aptos"/>
          <w:lang w:val="es-ES"/>
        </w:rPr>
        <w:t xml:space="preserve">Se están adoptando medidas en relación con todas las metas del Marco y los informes nacionales contienen numerosos ejemplos de implementación satisfactoria. Muchas Partes informaron de progresos en la consecución de una o varias de sus metas nacionales; sin embargo, si se tienen en cuenta los progresos colectivos en relación con las metas mundiales, menos de la mitad de las Partes que presentaron informes consideraron que sus metas nacionales armonizadas con alguna de las metas mundiales del Marco estaban en vías de ser alcanzadas. Las tendencias de los indicadores fueron mixtas y, en general, las tendencias negativas son más frecuentes que las tendencias positivas. </w:t>
      </w:r>
    </w:p>
    <w:p w14:paraId="363AD8A3" w14:textId="77777777" w:rsidR="008F15F1" w:rsidRPr="005E3D50" w:rsidRDefault="008F15F1" w:rsidP="008F15F1">
      <w:pPr>
        <w:spacing w:after="120" w:line="259" w:lineRule="auto"/>
        <w:rPr>
          <w:rFonts w:ascii="Aptos" w:eastAsia="Times New Roman" w:hAnsi="Aptos"/>
          <w:lang w:val="es-ES"/>
        </w:rPr>
      </w:pPr>
      <w:r w:rsidRPr="005E3D50">
        <w:rPr>
          <w:rFonts w:ascii="Aptos" w:hAnsi="Aptos"/>
          <w:lang w:val="es-ES"/>
        </w:rPr>
        <w:t>En sus autoevaluaciones, las Partes indican con mayor frecuencia que las metas nacionales relacionadas con las metas 1, 2, 3, 8, 13, 20, 21 y 22 del Marco están en vías de ser alcanzadas, e informan con menor frecuencia que las metas nacionales relacionadas con las metas 6, 12, 15, 16, 18 y 19 están en vías de ser alcanzadas. Quizá sea demasiado pronto para detectar tendencias en los indicadores relacionados con la implementación del Marco, debido a los retrasos entre esta y el seguimiento, así como a las deficiencias de datos en lo que respecta a todo el Marco. Sin embargo, los datos presentados en los informes nacionales no demuestran actualmente de manera sistemática que la tendencia avance al ritmo necesario para alcanzar ninguna de las metas mundiales. No obstante, algunas metas, en particular las que están armonizadas con las metas mundiales 5, 6, 16 y 20, muestran mayores progresos colectivos hacia la consecución de la meta mundial que otras, sobre todo aquellas armonizadas con las metas 3, 4, 13, 17, 19 y 23.</w:t>
      </w:r>
    </w:p>
    <w:p w14:paraId="0A95C1FB" w14:textId="77777777" w:rsidR="008F15F1" w:rsidRPr="005E3D50" w:rsidRDefault="008F15F1" w:rsidP="008F15F1">
      <w:pPr>
        <w:spacing w:after="120"/>
        <w:rPr>
          <w:rFonts w:ascii="Aptos" w:eastAsia="Times New Roman" w:hAnsi="Aptos" w:cs="Arial"/>
          <w:color w:val="000000"/>
          <w:lang w:val="es-ES"/>
        </w:rPr>
      </w:pPr>
      <w:r w:rsidRPr="005E3D50">
        <w:rPr>
          <w:rFonts w:ascii="Aptos" w:hAnsi="Aptos"/>
          <w:lang w:val="es-ES"/>
        </w:rPr>
        <w:t xml:space="preserve">El análisis de la autoevaluación de los progresos, así como de los indicadores presentados en los informes nacionales, pone de relieve deficiencias en la implementación que afectan a todo el Marco. Esto incluye una cobertura desigual de tipos específicos de ecosistemas en los datos desglosados presentados y en las tendencias de esos datos. Las deficiencias en la implementación reflejan dificultades más amplias a la hora de abordar los impulsores indirectos de la pérdida de diversidad biológica, entre los que se incluyen modalidades de producción y consumo insostenibles, desajuste de los incentivos económicos e integración insuficiente de la biodiversidad y sus múltiples valores en todos los sectores. </w:t>
      </w:r>
    </w:p>
    <w:p w14:paraId="2E3F68B7" w14:textId="77777777" w:rsidR="008F15F1" w:rsidRPr="005E3D50" w:rsidRDefault="008F15F1" w:rsidP="008F15F1">
      <w:pPr>
        <w:spacing w:before="120" w:after="120"/>
        <w:rPr>
          <w:rFonts w:ascii="Aptos" w:hAnsi="Aptos"/>
          <w:lang w:val="es-ES"/>
        </w:rPr>
      </w:pPr>
      <w:r w:rsidRPr="005E3D50">
        <w:rPr>
          <w:rFonts w:ascii="Aptos" w:hAnsi="Aptos"/>
          <w:i/>
          <w:lang w:val="es-ES"/>
        </w:rPr>
        <w:t>Posibles enfoques no prescriptivos:</w:t>
      </w:r>
    </w:p>
    <w:p w14:paraId="51A1069A" w14:textId="77777777" w:rsidR="008F15F1" w:rsidRPr="005E3D50" w:rsidRDefault="008F15F1" w:rsidP="008F15F1">
      <w:pPr>
        <w:numPr>
          <w:ilvl w:val="0"/>
          <w:numId w:val="20"/>
        </w:numPr>
        <w:spacing w:before="120" w:after="120" w:line="240" w:lineRule="auto"/>
        <w:ind w:left="1134" w:hanging="567"/>
        <w:rPr>
          <w:rFonts w:ascii="Aptos" w:eastAsia="Aptos" w:hAnsi="Aptos"/>
          <w:lang w:val="es-ES"/>
        </w:rPr>
      </w:pPr>
      <w:r w:rsidRPr="005E3D50">
        <w:rPr>
          <w:rFonts w:ascii="Aptos" w:hAnsi="Aptos"/>
          <w:lang w:val="es-ES"/>
        </w:rPr>
        <w:lastRenderedPageBreak/>
        <w:t>Podrían fomentarse aún más el aprendizaje entre pares, incluso a nivel regional, y los intercambios entre responsables de la formulación de políticas, expertos técnicos, titulares de derechos, especialistas involucrados en la implementación y otros interesados, como una forma de ayudar a identificar posibles medidas y acelerar la implementación.</w:t>
      </w:r>
    </w:p>
    <w:p w14:paraId="29871EC8" w14:textId="77777777" w:rsidR="008F15F1" w:rsidRPr="005E3D50" w:rsidRDefault="008F15F1" w:rsidP="008F15F1">
      <w:pPr>
        <w:numPr>
          <w:ilvl w:val="0"/>
          <w:numId w:val="19"/>
        </w:numPr>
        <w:spacing w:before="120" w:after="120" w:line="240" w:lineRule="auto"/>
        <w:ind w:left="1134" w:hanging="567"/>
        <w:rPr>
          <w:rFonts w:ascii="Aptos" w:eastAsia="Aptos" w:hAnsi="Aptos"/>
          <w:lang w:val="es-ES"/>
        </w:rPr>
      </w:pPr>
      <w:r w:rsidRPr="005E3D50">
        <w:rPr>
          <w:rFonts w:ascii="Aptos" w:hAnsi="Aptos"/>
          <w:lang w:val="es-ES"/>
        </w:rPr>
        <w:t>Un mayor énfasis en la elaboración de planes de financiación de la biodiversidad, planes de creación de capacidad y planes de seguimiento para apoyar la implementación a nivel nacional podría fomentar una implementación eficiente y sentar las bases para orientar las medidas, así como para identificar y subsanar las deficiencias en la implementación.</w:t>
      </w:r>
    </w:p>
    <w:p w14:paraId="3FB4BA85" w14:textId="77777777" w:rsidR="008F15F1" w:rsidRPr="005E3D50" w:rsidRDefault="008F15F1" w:rsidP="008F15F1">
      <w:pPr>
        <w:numPr>
          <w:ilvl w:val="0"/>
          <w:numId w:val="19"/>
        </w:numPr>
        <w:spacing w:before="120" w:after="120" w:line="240" w:lineRule="auto"/>
        <w:ind w:left="1134" w:hanging="567"/>
        <w:rPr>
          <w:rFonts w:ascii="Aptos" w:eastAsia="Aptos" w:hAnsi="Aptos"/>
          <w:lang w:val="es-ES"/>
        </w:rPr>
      </w:pPr>
      <w:r w:rsidRPr="005E3D50">
        <w:rPr>
          <w:rFonts w:ascii="Aptos" w:hAnsi="Aptos"/>
          <w:lang w:val="es-ES"/>
        </w:rPr>
        <w:t xml:space="preserve">Podría ser útil para las Partes identificar y priorizar aquellas medidas en las que una inversión de recursos tenga más probabilidades de generar un mayor avance hacia la consecución de las metas, teniendo en cuenta los requisitos conexos en materia de financiación, capacidad, tecnología, gobernanza y seguimiento. En particular, dicho proceso podría centrarse en medidas destinadas a abordar los factores subyacentes de la pérdida de diversidad biológica, armonizar los sistemas económicos y financieros con los objetivos de biodiversidad, reforzar una gobernanza inclusiva y adaptativa, promover la producción y el consumo sostenibles y equitativos, y fomentar enfoques integrados que abarquen los sistemas de biodiversidad, clima, alimentación, uso de la tierra, agua y salud, lo que ofrecería oportunidades para generar múltiples beneficios y reducir las compensaciones. </w:t>
      </w:r>
    </w:p>
    <w:p w14:paraId="13644E52" w14:textId="77777777" w:rsidR="008F15F1" w:rsidRPr="005E3D50" w:rsidRDefault="008F15F1" w:rsidP="008F15F1">
      <w:pPr>
        <w:numPr>
          <w:ilvl w:val="0"/>
          <w:numId w:val="19"/>
        </w:numPr>
        <w:spacing w:before="120" w:after="120" w:line="240" w:lineRule="auto"/>
        <w:ind w:left="1134" w:hanging="567"/>
        <w:rPr>
          <w:rFonts w:ascii="Aptos" w:eastAsia="Aptos" w:hAnsi="Aptos"/>
          <w:lang w:val="es-ES"/>
        </w:rPr>
      </w:pPr>
      <w:r w:rsidRPr="005E3D50">
        <w:rPr>
          <w:rFonts w:ascii="Aptos" w:hAnsi="Aptos"/>
          <w:lang w:val="es-ES"/>
        </w:rPr>
        <w:t>Se podrían subsanar mejor las deficiencias en la implementación reforzando los enfoques de toda la sociedad y todo el gobierno y abordando los obstáculos relacionados con los medios de implementación, la coherencia de las políticas y la gobernanza ambiental y la participación e implicación de actores distintos de los Gobiernos nacionales, así como las carencias de datos y conocimientos.</w:t>
      </w:r>
    </w:p>
    <w:p w14:paraId="0A1D56A4" w14:textId="77777777" w:rsidR="008F15F1" w:rsidRPr="005E3D50" w:rsidRDefault="008F15F1" w:rsidP="008F15F1">
      <w:pPr>
        <w:spacing w:before="120" w:after="120"/>
        <w:rPr>
          <w:rFonts w:ascii="Aptos" w:eastAsia="Aptos" w:hAnsi="Aptos"/>
          <w:b/>
          <w:bCs/>
          <w:u w:val="single"/>
          <w:lang w:val="es-ES"/>
        </w:rPr>
      </w:pPr>
    </w:p>
    <w:p w14:paraId="2291838F" w14:textId="77777777" w:rsidR="008F15F1" w:rsidRPr="005E3D50" w:rsidRDefault="008F15F1" w:rsidP="008F15F1">
      <w:pPr>
        <w:spacing w:before="120" w:after="120"/>
        <w:rPr>
          <w:rFonts w:ascii="Aptos" w:eastAsia="Aptos" w:hAnsi="Aptos"/>
          <w:lang w:val="es-ES"/>
        </w:rPr>
      </w:pPr>
      <w:r w:rsidRPr="005E3D50">
        <w:rPr>
          <w:rFonts w:ascii="Aptos" w:hAnsi="Aptos"/>
          <w:b/>
          <w:u w:val="single"/>
          <w:lang w:val="es-ES"/>
        </w:rPr>
        <w:t>Mensaje principal 3: Medios de implementación</w:t>
      </w:r>
      <w:r w:rsidRPr="005E3D50">
        <w:rPr>
          <w:rFonts w:ascii="Aptos" w:hAnsi="Aptos"/>
          <w:lang w:val="es-ES"/>
        </w:rPr>
        <w:t> </w:t>
      </w:r>
    </w:p>
    <w:p w14:paraId="4370BE58" w14:textId="77777777" w:rsidR="008F15F1" w:rsidRPr="005E3D50" w:rsidRDefault="008F15F1" w:rsidP="008F15F1">
      <w:pPr>
        <w:rPr>
          <w:rFonts w:ascii="Aptos" w:hAnsi="Aptos"/>
          <w:lang w:val="es-ES"/>
        </w:rPr>
      </w:pPr>
      <w:r w:rsidRPr="005E3D50">
        <w:rPr>
          <w:rFonts w:ascii="Aptos" w:hAnsi="Aptos"/>
          <w:b/>
          <w:lang w:val="es-ES"/>
        </w:rPr>
        <w:t>Desde la adopción del Marco, se han registrado algunos progresos en materia de financiación pública nacional e internacional, incentivos positivos para la biodiversidad, creación y desarrollo de capacidad, transferencia de tecnología y cooperación científica y técnica; sin embargo, se informa de menos progresos en la movilización y el seguimiento de la financiación privada, así como en la reducción de los incentivos, incluidos los subsidios, que son perjudiciales para la diversidad biológica. Las Partes señalan que el acceso a medios de implementación suficientes y oportunos sigue siendo un obstáculo para la implementación de todo el Marco.</w:t>
      </w:r>
      <w:r w:rsidRPr="005E3D50">
        <w:rPr>
          <w:rFonts w:ascii="Aptos" w:hAnsi="Aptos"/>
          <w:lang w:val="es-ES"/>
        </w:rPr>
        <w:t xml:space="preserve"> </w:t>
      </w:r>
    </w:p>
    <w:p w14:paraId="5743150D" w14:textId="77777777" w:rsidR="008F15F1" w:rsidRPr="005E3D50" w:rsidRDefault="008F15F1" w:rsidP="008F15F1">
      <w:pPr>
        <w:spacing w:line="259" w:lineRule="auto"/>
        <w:rPr>
          <w:rFonts w:ascii="Aptos" w:hAnsi="Aptos"/>
          <w:lang w:val="es-ES"/>
        </w:rPr>
      </w:pPr>
      <w:r w:rsidRPr="005E3D50">
        <w:rPr>
          <w:rFonts w:ascii="Aptos" w:hAnsi="Aptos"/>
          <w:lang w:val="es-ES"/>
        </w:rPr>
        <w:t xml:space="preserve">El Objetivo D del Marco define la necesidad de contar con medios de implementación adecuados para implementar plenamente el Marco. Las Partes han señalado que las </w:t>
      </w:r>
      <w:r w:rsidRPr="005E3D50">
        <w:rPr>
          <w:rFonts w:ascii="Aptos" w:hAnsi="Aptos"/>
          <w:lang w:val="es-ES"/>
        </w:rPr>
        <w:lastRenderedPageBreak/>
        <w:t xml:space="preserve">metas nacionales armonizadas con la meta 19, así como con las metas 18 y 20 del Marco, son las más estrechamente relacionadas con el Objetivo D, seguidas de las metas 14, 15, 16, 17, 21, 22 y 23. Como se ha demostrado en el análisis de cada una de las metas, en general esos objetivos mundiales presentan algunas de las mayores deficiencias en cuanto a alcance y ambición colectivos. </w:t>
      </w:r>
    </w:p>
    <w:p w14:paraId="438B80D1" w14:textId="77777777" w:rsidR="008F15F1" w:rsidRPr="005E3D50" w:rsidRDefault="008F15F1" w:rsidP="008F15F1">
      <w:pPr>
        <w:spacing w:line="259" w:lineRule="auto"/>
        <w:rPr>
          <w:rFonts w:ascii="Aptos" w:hAnsi="Aptos"/>
          <w:lang w:val="es-ES"/>
        </w:rPr>
      </w:pPr>
      <w:r w:rsidRPr="005E3D50">
        <w:rPr>
          <w:rFonts w:ascii="Aptos" w:hAnsi="Aptos"/>
          <w:lang w:val="es-ES"/>
        </w:rPr>
        <w:t>Las metas 15, 16, 18 y 19 tuvieron algunas de las puntuaciones más bajas entre todas las metas del Marco en el contexto de la autoevaluación de los progresos realizada por las Partes. Considerando los datos informados por las Partes en relación con la evaluación de los progresos colectivos en la consecución de la meta 19, es probable que no se alcanzara el hito establecido para 2025 de 20.000 millones de dólares al año en recursos financieros internacionales totales relacionados con la biodiversidad; sin embargo, solo será posible realizar una evaluación definitiva una vez que se hayan informado datos completos hasta 2025 inclusive.</w:t>
      </w:r>
    </w:p>
    <w:p w14:paraId="59D9BDBF" w14:textId="77777777" w:rsidR="008F15F1" w:rsidRPr="005E3D50" w:rsidRDefault="008F15F1" w:rsidP="008F15F1">
      <w:pPr>
        <w:rPr>
          <w:rFonts w:ascii="Aptos" w:hAnsi="Aptos"/>
          <w:lang w:val="es-ES"/>
        </w:rPr>
      </w:pPr>
      <w:r w:rsidRPr="005E3D50">
        <w:rPr>
          <w:rFonts w:ascii="Aptos" w:hAnsi="Aptos"/>
          <w:lang w:val="es-ES"/>
        </w:rPr>
        <w:t>Algunas de las dificultades señaladas por las Partes se refieren a la escala, la sincronización y la disponibilidad de los medios de implementación, así como a la forma en que estos se ajustan al Marco. Además, se mencionan dificultades en relación con los datos financieros específicos sobre la biodiversidad, incluidas carencias en la información desglosada sobre los beneficiarios y en los datos financieros en el nivel de las metas. Muchas Partes informaron que la escasez de recursos financieros y humanos limitó la capacidad institucional y técnica y se relacionó con dificultades para acceder a la tecnología o implementarla. Es probable que los países en desarrollo, especialmente los países menos adelantados y los pequeños Estados insulares en desarrollo, hayan sido los que más han indicado en sus informes nacionales deficiencias en los medios de implementación. Además, en los informes nacionales se destaca que los pueblos indígenas y las comunidades locales, las mujeres, la juventud, los gobiernos subnacionales y otros actores a menudo carecen de recursos suficientes para respaldar o aumentar sus contribuciones a la implementación del Marco. Las Partes identificaron prácticas exitosas y oportunidades para mejorar los medios de implementación, entre las que se incluyen el fortalecimiento de los marcos normativos, reglamentarios e institucionales; una mejor armonización de las corrientes financieras públicas y privadas con los objetivos de biodiversidad; la reforma de los incentivos, incluidos los subsidios, que son perjudiciales para la diversidad biológica; un mayor acceso a financiación, creación de capacidad, transferencia de tecnología y cooperación científica y técnica; y una mayor colaboración entre sectores, actores e iniciativas internacionales existentes para maximizar la repercusión y apoyar la implementación equitativa del Marco.</w:t>
      </w:r>
    </w:p>
    <w:p w14:paraId="115130D7" w14:textId="77777777" w:rsidR="008F15F1" w:rsidRPr="005E3D50" w:rsidRDefault="008F15F1" w:rsidP="008F15F1">
      <w:pPr>
        <w:spacing w:before="120" w:after="120"/>
        <w:rPr>
          <w:rFonts w:ascii="Aptos" w:hAnsi="Aptos"/>
          <w:i/>
          <w:iCs/>
          <w:lang w:val="es-ES"/>
        </w:rPr>
      </w:pPr>
      <w:r w:rsidRPr="005E3D50">
        <w:rPr>
          <w:rFonts w:ascii="Aptos" w:hAnsi="Aptos"/>
          <w:i/>
          <w:lang w:val="es-ES"/>
        </w:rPr>
        <w:t xml:space="preserve">Posibles enfoques no prescriptivos: </w:t>
      </w:r>
    </w:p>
    <w:p w14:paraId="72CB6385"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La inversión en políticas públicas, marcos normativos, salvaguardias y mecanismos de rendición de cuentas sólidos, entre otras cosas para taxonomías, marcos de divulgación y otros instrumentos financieros, cuando </w:t>
      </w:r>
      <w:r w:rsidRPr="005E3D50">
        <w:rPr>
          <w:rFonts w:ascii="Aptos" w:hAnsi="Aptos"/>
          <w:lang w:val="es-ES"/>
        </w:rPr>
        <w:lastRenderedPageBreak/>
        <w:t>proceda, podría contribuir a la movilización de recursos y a una mejor armonización de los sistemas económicos con los objetivos de biodiversidad. La integración sistemática de las consideraciones sobre biodiversidad en la toma de decisiones económicas y la armonización de las metodologías utilizadas por las empresas, las instituciones financieras y otros actores con los objetivos e indicadores del Marco podrían favorecer una mejor coordinación y un cambio sistémico a largo plazo.</w:t>
      </w:r>
    </w:p>
    <w:p w14:paraId="7FB5E717" w14:textId="77777777" w:rsidR="008F15F1" w:rsidRPr="005E3D50" w:rsidRDefault="008F15F1" w:rsidP="008F15F1">
      <w:pPr>
        <w:numPr>
          <w:ilvl w:val="0"/>
          <w:numId w:val="46"/>
        </w:numPr>
        <w:rPr>
          <w:rFonts w:ascii="Aptos" w:hAnsi="Aptos"/>
          <w:lang w:val="es-ES"/>
        </w:rPr>
      </w:pPr>
      <w:r w:rsidRPr="005E3D50">
        <w:rPr>
          <w:rFonts w:ascii="Aptos" w:hAnsi="Aptos"/>
          <w:lang w:val="es-ES"/>
        </w:rPr>
        <w:t>Los enfoques de financiación combinada y otros mecanismos de financiación innovadores podrían ayudar a movilizar recursos adicionales, favoreciendo resultados medibles en materia de biodiversidad y una participación equitativa en los beneficios.</w:t>
      </w:r>
    </w:p>
    <w:p w14:paraId="006F4E47"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Las Partes podrían aprovechar un enfoque de toda la sociedad basándose en el reconocimiento y la integración de las contribuciones y los compromisos de actores distintos de los Gobiernos nacionales en materia de implementación y mejorando la forma en que los diferentes actores, entre ellos los pueblos indígenas y las comunidades locales, las mujeres y la juventud, pueden acceder a una financiación adecuada. </w:t>
      </w:r>
    </w:p>
    <w:p w14:paraId="491AA314" w14:textId="77777777" w:rsidR="008F15F1" w:rsidRPr="005E3D50" w:rsidRDefault="008F15F1" w:rsidP="008F15F1">
      <w:pPr>
        <w:numPr>
          <w:ilvl w:val="0"/>
          <w:numId w:val="46"/>
        </w:numPr>
        <w:rPr>
          <w:rFonts w:ascii="Aptos" w:hAnsi="Aptos"/>
          <w:lang w:val="es-ES"/>
        </w:rPr>
      </w:pPr>
      <w:r w:rsidRPr="005E3D50">
        <w:rPr>
          <w:rFonts w:ascii="Aptos" w:hAnsi="Aptos"/>
          <w:lang w:val="es-ES"/>
        </w:rPr>
        <w:t>Las Partes podrían redoblar sus esfuerzos para identificar y, posteriormente, eliminar, suprimir gradualmente o reformar los incentivos, incluidos los subsidios, que son perjudiciales para la diversidad biológica, de manera proporcionada, justa, efectiva y equitativa, y aumentar los incentivos positivos para la conservación y la utilización sostenible de la diversidad biológica.</w:t>
      </w:r>
    </w:p>
    <w:p w14:paraId="1DEF1355" w14:textId="77777777" w:rsidR="008F15F1" w:rsidRPr="005E3D50" w:rsidRDefault="008F15F1" w:rsidP="008F15F1">
      <w:pPr>
        <w:numPr>
          <w:ilvl w:val="0"/>
          <w:numId w:val="46"/>
        </w:numPr>
        <w:rPr>
          <w:rFonts w:ascii="Aptos" w:hAnsi="Aptos"/>
          <w:lang w:val="es-ES"/>
        </w:rPr>
      </w:pPr>
      <w:r w:rsidRPr="005E3D50">
        <w:rPr>
          <w:rFonts w:ascii="Aptos" w:hAnsi="Aptos"/>
          <w:lang w:val="es-ES"/>
        </w:rPr>
        <w:t>Podría ser útil para las Partes reforzar la capacidad en materia de movilización de recursos y seguimiento. Esos esfuerzos permitirían identificar opciones para potenciar la creación y el desarrollo de capacidad, el intercambio de conocimientos e información con diferentes actores, la transferencia de tecnología y la cooperación científica y técnica, incluso mediante mecanismos regionales y subregionales mejorados. Los centros regionales y subregionales de cooperación científica y técnica establecidos a través del Convenio, u otros mecanismos regionales, podrían desempeñar un papel especialmente importante a este respecto.</w:t>
      </w:r>
    </w:p>
    <w:p w14:paraId="77C55361" w14:textId="77777777" w:rsidR="008F15F1" w:rsidRPr="005E3D50" w:rsidRDefault="008F15F1" w:rsidP="008F15F1">
      <w:pPr>
        <w:numPr>
          <w:ilvl w:val="0"/>
          <w:numId w:val="46"/>
        </w:numPr>
        <w:rPr>
          <w:rFonts w:ascii="Aptos" w:hAnsi="Aptos"/>
          <w:lang w:val="es-ES"/>
        </w:rPr>
      </w:pPr>
      <w:r w:rsidRPr="005E3D50">
        <w:rPr>
          <w:rFonts w:ascii="Aptos" w:hAnsi="Aptos"/>
          <w:lang w:val="es-ES"/>
        </w:rPr>
        <w:t>En la labor realizada en el contexto del Convenio en materia de movilización de recursos, incentivos, creación de capacidad, cooperación científica y técnica y transferencia de tecnología se podrían tener en cuenta las conclusiones del informe mundial, así como las necesidades señaladas en los informes nacionales, a la hora de diseñar medidas destinadas a subsanar las deficiencias en los medios de implementación.</w:t>
      </w:r>
    </w:p>
    <w:p w14:paraId="681CB695" w14:textId="77777777" w:rsidR="008F15F1" w:rsidRPr="005E3D50" w:rsidRDefault="008F15F1" w:rsidP="008F15F1">
      <w:pPr>
        <w:numPr>
          <w:ilvl w:val="0"/>
          <w:numId w:val="46"/>
        </w:numPr>
        <w:rPr>
          <w:rFonts w:ascii="Aptos" w:hAnsi="Aptos"/>
          <w:lang w:val="es-ES"/>
        </w:rPr>
      </w:pPr>
      <w:r w:rsidRPr="005E3D50">
        <w:rPr>
          <w:rFonts w:ascii="Aptos" w:hAnsi="Aptos"/>
          <w:lang w:val="es-ES"/>
        </w:rPr>
        <w:lastRenderedPageBreak/>
        <w:t>El intercambio de conocimientos, la facilitación de alianzas y la cooperación Sur-Sur, Norte-Sur y triangular podrían ampliarse, incluso, potencialmente, a través de los centros regionales y subregionales de apoyo a la cooperación científica y técnica.</w:t>
      </w:r>
    </w:p>
    <w:p w14:paraId="30956632" w14:textId="77777777" w:rsidR="008F15F1" w:rsidRPr="005E3D50" w:rsidRDefault="008F15F1" w:rsidP="008F15F1">
      <w:pPr>
        <w:numPr>
          <w:ilvl w:val="0"/>
          <w:numId w:val="46"/>
        </w:numPr>
        <w:rPr>
          <w:rFonts w:ascii="Aptos" w:hAnsi="Aptos"/>
          <w:lang w:val="es-ES"/>
        </w:rPr>
      </w:pPr>
      <w:r w:rsidRPr="005E3D50">
        <w:rPr>
          <w:rFonts w:ascii="Aptos" w:hAnsi="Aptos"/>
          <w:lang w:val="es-ES"/>
        </w:rPr>
        <w:t>Aprovechar las iniciativas existentes en el contexto del Convenio y sus Protocolos, los convenios relacionados con la diversidad biológica y otros acuerdos ambientales multilaterales pertinentes, así como con organizaciones y procesos internacionales, podría mejorar la coherencia, reducir la duplicación y maximizar la repercusión de los recursos disponibles.</w:t>
      </w:r>
    </w:p>
    <w:p w14:paraId="6E7E4D80" w14:textId="77777777" w:rsidR="008F15F1" w:rsidRPr="005E3D50" w:rsidRDefault="008F15F1" w:rsidP="008F15F1">
      <w:pPr>
        <w:spacing w:before="120" w:after="120"/>
        <w:rPr>
          <w:rFonts w:ascii="Aptos" w:hAnsi="Aptos"/>
          <w:b/>
          <w:bCs/>
          <w:u w:val="single"/>
          <w:lang w:val="es-ES"/>
        </w:rPr>
      </w:pPr>
      <w:r w:rsidRPr="005E3D50">
        <w:rPr>
          <w:rFonts w:ascii="Aptos" w:hAnsi="Aptos"/>
          <w:b/>
          <w:u w:val="single"/>
          <w:lang w:val="es-ES"/>
        </w:rPr>
        <w:t>Mensaje principal 4: Enfoques de todo el gobierno</w:t>
      </w:r>
    </w:p>
    <w:p w14:paraId="7E701052" w14:textId="77777777" w:rsidR="008F15F1" w:rsidRPr="005E3D50" w:rsidRDefault="008F15F1" w:rsidP="008F15F1">
      <w:pPr>
        <w:spacing w:after="80" w:line="259" w:lineRule="auto"/>
        <w:rPr>
          <w:rFonts w:ascii="Aptos" w:hAnsi="Aptos"/>
          <w:b/>
          <w:bCs/>
          <w:lang w:val="es-ES"/>
        </w:rPr>
      </w:pPr>
      <w:r w:rsidRPr="005E3D50">
        <w:rPr>
          <w:rFonts w:ascii="Aptos" w:hAnsi="Aptos"/>
          <w:b/>
          <w:lang w:val="es-ES"/>
        </w:rPr>
        <w:t>Aunque muchas Partes informan de medidas para reforzar la gobernanza ambiental, impulsar la integración de la biodiversidad y sus múltiples valores y mejorar la coherencia de las políticas, los progresos siguen siendo desiguales e insuficientes. Las metas del Marco incluyen aspectos relacionados con los planes de desarrollo económico, los sistemas alimentarios, la salud, la infraestructura, el comercio, la política fiscal, las finanzas y otras prioridades nacionales. Se requiere una mejora de la incorporación y la integración de la biodiversidad en todos los ámbitos gubernamentales a fin de aplicar el enfoque de todo el gobierno del Marco, evitar o minimizar las compensaciones, reducir la duplicación y racionalizar la asignación de recursos en el plano nacional.</w:t>
      </w:r>
    </w:p>
    <w:p w14:paraId="2C2F1E7D" w14:textId="77777777" w:rsidR="008F15F1" w:rsidRPr="005E3D50" w:rsidRDefault="008F15F1" w:rsidP="008F15F1">
      <w:pPr>
        <w:spacing w:after="80" w:line="259" w:lineRule="auto"/>
        <w:rPr>
          <w:rFonts w:ascii="Aptos" w:hAnsi="Aptos"/>
          <w:b/>
          <w:bCs/>
          <w:lang w:val="es-ES"/>
        </w:rPr>
      </w:pPr>
    </w:p>
    <w:p w14:paraId="26B16F43" w14:textId="77777777" w:rsidR="008F15F1" w:rsidRPr="005E3D50" w:rsidRDefault="008F15F1" w:rsidP="008F15F1">
      <w:pPr>
        <w:spacing w:after="80"/>
        <w:rPr>
          <w:rFonts w:ascii="Aptos" w:hAnsi="Aptos"/>
          <w:lang w:val="es-ES"/>
        </w:rPr>
      </w:pPr>
      <w:r w:rsidRPr="005E3D50">
        <w:rPr>
          <w:rFonts w:ascii="Aptos" w:hAnsi="Aptos"/>
          <w:lang w:val="es-ES"/>
        </w:rPr>
        <w:t xml:space="preserve">Entre las medidas de políticas descritas en los informes nacionales, las Partes informan de progresos en la elaboración de legislación y en la participación de ministerios distintos de aquellos del sector ambiental, con la participación de las autoridades subnacionales, y la elaboración de una planificación espacial que tiene en cuenta la biodiversidad y de procesos de gestión eficaces. Los ministerios cuya participación se menciona con mayor frecuencia son los de agricultura, pesca y finanzas. Muchas Partes han incorporado las convenciones de Río y otros acuerdos ambientales multilaterales en sus estrategias y planes de acción nacionales en materia de biodiversidad, y en las metas e informes nacionales se mencionan numerosos acuerdos e iniciativas internacionales. Varias Partes proporcionaron ejemplos de planificación integrada entre la biodiversidad y el clima, la alimentación, el agua, la salud, el uso de la tierra u otros objetivos de desarrollo. Sin embargo, la participación de ministerios distintos de aquellos del sector ambiental suele describirse en términos generales, sin incluir información sobre la implementación coordinada entre sectores. </w:t>
      </w:r>
    </w:p>
    <w:p w14:paraId="00062C9E" w14:textId="77777777" w:rsidR="008F15F1" w:rsidRPr="005E3D50" w:rsidRDefault="008F15F1" w:rsidP="008F15F1">
      <w:pPr>
        <w:spacing w:before="120" w:after="120"/>
        <w:rPr>
          <w:rFonts w:ascii="Aptos" w:hAnsi="Aptos"/>
          <w:b/>
          <w:bCs/>
          <w:lang w:val="es-ES"/>
        </w:rPr>
      </w:pPr>
      <w:r w:rsidRPr="005E3D50">
        <w:rPr>
          <w:rFonts w:ascii="Aptos" w:hAnsi="Aptos"/>
          <w:lang w:val="es-ES"/>
        </w:rPr>
        <w:t xml:space="preserve">Las metas 1 y 14 del Marco, cuya consecución exitosa está más directamente relacionada con los enfoques de todo el gobierno a través de la planificación integrada y la integración de la biodiversidad, respectivamente, han mostrado progresos limitados. Esto resulta especialmente evidente en lo que respecta a la planificación </w:t>
      </w:r>
      <w:r w:rsidRPr="005E3D50">
        <w:rPr>
          <w:rFonts w:ascii="Aptos" w:hAnsi="Aptos"/>
          <w:lang w:val="es-ES"/>
        </w:rPr>
        <w:lastRenderedPageBreak/>
        <w:t xml:space="preserve">espacial integrada, la incorporación de la biodiversidad y sus múltiples valores en las políticas, los reglamentos, los procesos de planificación y desarrollo, y el esfuerzo por garantizar la integración en todos los niveles de gobierno y sectores. </w:t>
      </w:r>
    </w:p>
    <w:p w14:paraId="07EA639F" w14:textId="77777777" w:rsidR="008F15F1" w:rsidRPr="005E3D50" w:rsidRDefault="008F15F1" w:rsidP="008F15F1">
      <w:pPr>
        <w:spacing w:before="120" w:after="120"/>
        <w:rPr>
          <w:rFonts w:ascii="Aptos" w:hAnsi="Aptos"/>
          <w:i/>
          <w:iCs/>
          <w:lang w:val="es-ES"/>
        </w:rPr>
      </w:pPr>
      <w:r w:rsidRPr="005E3D50">
        <w:rPr>
          <w:rFonts w:ascii="Aptos" w:hAnsi="Aptos"/>
          <w:i/>
          <w:lang w:val="es-ES"/>
        </w:rPr>
        <w:t xml:space="preserve">Posibles enfoques no prescriptivos: </w:t>
      </w:r>
    </w:p>
    <w:p w14:paraId="45FC8369"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Es imperativo reforzar la implementación mediante mejores marcos legislativos y normativos, mecanismos de coordinación más sólidos y una mayor colaboración entre sectores y niveles de gobierno para garantizar la eficacia y la integración en la planificación y la implementación. </w:t>
      </w:r>
    </w:p>
    <w:p w14:paraId="034A2091"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Mejorar la planificación, el seguimiento y la implementación integrados en todos los procesos, incluidas las convenciones de Río, los acuerdos ambientales multilaterales relacionados con la biodiversidad u otros, así como otros acuerdos y procesos internacionales, regionales y subregionales, incluidos los relacionados con objetivos de financiación y/o socioeconómicos y de desarrollo, mediante una mejor integración, podría aumentar la eficiencia, reducir la duplicación y reforzar la coherencia de las políticas y las medidas, así como mejorar la asignación de los recursos nacionales. </w:t>
      </w:r>
    </w:p>
    <w:p w14:paraId="4DD01EA3"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Mejorar la comprensión institucional del Marco y sus procesos conexos en todos los ministerios, además del ministerio de medio ambiente, podría fomentar una acción más coordinada y complementaria entre las instituciones gubernamentales y los distintos sectores. </w:t>
      </w:r>
    </w:p>
    <w:p w14:paraId="44342364" w14:textId="77777777" w:rsidR="008F15F1" w:rsidRPr="005E3D50" w:rsidRDefault="008F15F1" w:rsidP="008F15F1">
      <w:pPr>
        <w:numPr>
          <w:ilvl w:val="0"/>
          <w:numId w:val="46"/>
        </w:numPr>
        <w:rPr>
          <w:rFonts w:ascii="Aptos" w:hAnsi="Aptos"/>
          <w:lang w:val="es-ES"/>
        </w:rPr>
      </w:pPr>
      <w:r w:rsidRPr="005E3D50">
        <w:rPr>
          <w:rFonts w:ascii="Aptos" w:hAnsi="Aptos"/>
          <w:lang w:val="es-ES"/>
        </w:rPr>
        <w:t xml:space="preserve">Invertir en una planificación espacial participativa, integrada y que tenga en cuenta la biodiversidad, como se detalla en la meta 1, y evaluar el valor de la biodiversidad y sus múltiples valores, como se detalla en la meta 14, aprovechando también los conocimientos y prácticas tradicionales de los pueblos indígenas y las comunidades locales, las mujeres y la juventud, podría mejorar la implementación en relación con todas las metas del Marco. </w:t>
      </w:r>
    </w:p>
    <w:p w14:paraId="1F3E8B72" w14:textId="77777777" w:rsidR="008F15F1" w:rsidRPr="005E3D50" w:rsidRDefault="008F15F1" w:rsidP="008F15F1">
      <w:pPr>
        <w:spacing w:before="120" w:after="120"/>
        <w:rPr>
          <w:rFonts w:ascii="Aptos" w:hAnsi="Aptos"/>
          <w:b/>
          <w:bCs/>
          <w:u w:val="single"/>
          <w:lang w:val="es-ES"/>
        </w:rPr>
      </w:pPr>
      <w:r w:rsidRPr="005E3D50">
        <w:rPr>
          <w:rFonts w:ascii="Aptos" w:hAnsi="Aptos"/>
          <w:b/>
          <w:u w:val="single"/>
          <w:lang w:val="es-ES"/>
        </w:rPr>
        <w:t xml:space="preserve">Mensaje principal 5: Enfoque de toda la sociedad </w:t>
      </w:r>
    </w:p>
    <w:p w14:paraId="3D785F45" w14:textId="77777777" w:rsidR="008F15F1" w:rsidRPr="005E3D50" w:rsidRDefault="008F15F1" w:rsidP="008F15F1">
      <w:pPr>
        <w:spacing w:before="120" w:after="120"/>
        <w:rPr>
          <w:rFonts w:ascii="Aptos" w:hAnsi="Aptos"/>
          <w:b/>
          <w:bCs/>
          <w:lang w:val="es-ES"/>
        </w:rPr>
      </w:pPr>
      <w:r w:rsidRPr="005E3D50">
        <w:rPr>
          <w:rFonts w:ascii="Aptos" w:hAnsi="Aptos"/>
          <w:b/>
          <w:lang w:val="es-ES"/>
        </w:rPr>
        <w:t xml:space="preserve">No resulta posible cumplir el Marco sin la participación de actores distintos de los Gobiernos nacionales. El enfoque de toda la sociedad puede constituir una vía muy eficaz, inclusiva y rentable para reforzar la implementación. Los impactos de los distintos actores sobre la biodiversidad y su dependencia de ella, la participación, los derechos y las necesidades de recursos de los pueblos indígenas y las comunidades locales, las mujeres, la juventud y otros actores, así como las contribuciones que los distintos actores están realizando o podrían realizar al Marco, aún no se tienen en cuenta, contabilizan o respaldan plenamente, ni se reflejan de manera coherente en la planificación, el seguimiento y la presentación de informes. </w:t>
      </w:r>
    </w:p>
    <w:p w14:paraId="4DEB9F26" w14:textId="77777777" w:rsidR="008F15F1" w:rsidRPr="005E3D50" w:rsidRDefault="008F15F1" w:rsidP="008F15F1">
      <w:pPr>
        <w:spacing w:before="120" w:after="120"/>
        <w:rPr>
          <w:rFonts w:ascii="Aptos" w:hAnsi="Aptos"/>
          <w:b/>
          <w:bCs/>
          <w:lang w:val="es-ES"/>
        </w:rPr>
      </w:pPr>
    </w:p>
    <w:p w14:paraId="634560C6" w14:textId="77777777" w:rsidR="008F15F1" w:rsidRPr="005E3D50" w:rsidRDefault="008F15F1" w:rsidP="008F15F1">
      <w:pPr>
        <w:tabs>
          <w:tab w:val="left" w:pos="567"/>
          <w:tab w:val="left" w:pos="1134"/>
          <w:tab w:val="left" w:pos="1701"/>
          <w:tab w:val="left" w:pos="2268"/>
          <w:tab w:val="left" w:pos="2835"/>
          <w:tab w:val="left" w:pos="3402"/>
        </w:tabs>
        <w:spacing w:before="120" w:after="120" w:line="259"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Muchos actores distintos de los Gobiernos nacionales, entre ellos los pueblos indígenas y las comunidades locales, los gobiernos subnacionales, las ciudades y otras autoridades locales, las organizaciones intergubernamentales, las organizaciones no gubernamentales, las mujeres, la juventud, las organizaciones de investigación, la comunidad empresarial y financiera, además de los representantes de sectores relacionados con la biodiversidad o que dependen de ella, están apoyando actualmente la implementación del Marco. En muchas estrategias y planes de acción nacionales en materia de biodiversidad se describen, en mayor o menor medida, la participación de diferentes actores en los procesos de planificación nacional, y más de 100 actores distintos de los Gobiernos nacionales han asumido compromisos en apoyo del Marco a través del portal creado a ese efecto. Los progresos han sido desiguales en cuestiones relacionadas con los derechos y la equidad, la gobernanza equitativa y la participación de los titulares de derechos y otros actores, las acciones de las empresas y la coordinación de los actores distintos de los Gobiernos nacionales y su implicación en la implementación. Si bien muchas Partes informaron de progresos en relación con algunos elementos de las metas 22 y 23, como por ejemplo la participación, en mayor o menor medida, de los pueblos indígenas y las comunidades locales, las mujeres y la juventud, así como otros actores, en la toma de decisiones relacionadas con la diversidad biológica, hubo una menor cobertura en las metas nacionales relacionadas con el acceso a la información y a la justicia, los derechos sobre la tierra, los territorios, los recursos y los conocimientos tradicionales, o con una gobernanza de la biodiversidad con perspectiva de género. Como se indica en la evaluación de la meta 15, los progresos han sido limitados en lo que respecta a la reducción de los impactos negativos de las empresas en la biodiversidad, el aumento de los efectos positivos, la reducción de los riesgos relacionados con la biodiversidad para las empresas y las instituciones financieras, la promoción de medidas para garantizar modalidades de producción y consumo sostenibles y equitativas y la elaboración de marcos de divulgación y presentación de informes para las empresas.</w:t>
      </w:r>
    </w:p>
    <w:p w14:paraId="779E8250" w14:textId="77777777" w:rsidR="008F15F1" w:rsidRPr="005E3D50" w:rsidRDefault="008F15F1" w:rsidP="008F15F1">
      <w:pPr>
        <w:tabs>
          <w:tab w:val="left" w:pos="567"/>
          <w:tab w:val="left" w:pos="1134"/>
          <w:tab w:val="left" w:pos="1701"/>
          <w:tab w:val="left" w:pos="2268"/>
          <w:tab w:val="left" w:pos="2835"/>
          <w:tab w:val="left" w:pos="3402"/>
        </w:tabs>
        <w:spacing w:before="120" w:after="120" w:line="259" w:lineRule="auto"/>
        <w:rPr>
          <w:rFonts w:ascii="Aptos" w:eastAsia="Times New Roman" w:hAnsi="Aptos" w:cs="Times New Roman"/>
          <w:kern w:val="0"/>
          <w:lang w:val="es-ES"/>
          <w14:ligatures w14:val="none"/>
        </w:rPr>
      </w:pPr>
      <w:r w:rsidRPr="005E3D50">
        <w:rPr>
          <w:rFonts w:ascii="Aptos" w:eastAsia="SimSun" w:hAnsi="Aptos" w:cs="Times New Roman"/>
          <w:kern w:val="0"/>
          <w:szCs w:val="22"/>
          <w:lang w:val="es-ES"/>
          <w14:ligatures w14:val="none"/>
        </w:rPr>
        <w:t>Muchas Partes informaron de dificultades a la hora de coordinar las contribuciones de los actores distintos de los Gobiernos nacionales a sus metas nacionales y darles seguimiento. La información sobre las contribuciones de los distintos actores, o sobre la capacidad y los medios financieros o de otro tipo de que disponen esos actores para la implementación, es limitada. Además, en el caso de los pueblos indígenas y las comunidades locales, las mujeres, la juventud y los gobiernos subnacionales, la información sobre las carencias en los medios de implementación que serían necesarios para apoyar o ampliar sus contribuciones a la implementación del Marco es limitada. También cabe señalar que la razón de esta falta de información puede ser que el portal para recopilar información de esos actores no se puso en marcha hasta unos meses antes de la elaboración del presente informe.</w:t>
      </w:r>
    </w:p>
    <w:p w14:paraId="16FA36F8" w14:textId="77777777" w:rsidR="008F15F1" w:rsidRPr="005E3D50" w:rsidRDefault="008F15F1" w:rsidP="008F15F1">
      <w:pPr>
        <w:spacing w:before="120" w:after="120"/>
        <w:rPr>
          <w:rFonts w:ascii="Aptos" w:hAnsi="Aptos"/>
          <w:i/>
          <w:iCs/>
          <w:lang w:val="es-ES"/>
        </w:rPr>
      </w:pPr>
      <w:r w:rsidRPr="005E3D50">
        <w:rPr>
          <w:rFonts w:ascii="Aptos" w:hAnsi="Aptos"/>
          <w:i/>
          <w:lang w:val="es-ES"/>
        </w:rPr>
        <w:t xml:space="preserve">Posibles enfoques no prescriptivos: </w:t>
      </w:r>
    </w:p>
    <w:p w14:paraId="181B7DF8"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lastRenderedPageBreak/>
        <w:t xml:space="preserve">Mejorar los mecanismos de comunicación, coordinación, seguimiento e implementación conjunta de acciones con actores distintos del Gobierno nacional, incluso a través de plataformas de múltiples interesados, podría mejorar la coherencia y la inclusividad de la planificación, la implementación, el seguimiento, la presentación de informes y la revisión. </w:t>
      </w:r>
    </w:p>
    <w:p w14:paraId="71BC5D92"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 xml:space="preserve">Los mecanismos para mejorar el seguimiento, a nivel nacional, de los compromisos de actores distintos de los Gobiernos nacionales y de los progresos hacia su cumplimiento podrían mejorar la transparencia, la coordinación y la integración. Eso también podría incluir el seguimiento de los medios de implementación de que disponen los diferentes actores o de las necesidades de medios de implementación de actores específicos, como los pueblos indígenas y las comunidades locales, las mujeres, la juventud y los gobiernos subnacionales. </w:t>
      </w:r>
    </w:p>
    <w:p w14:paraId="625E9902"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 xml:space="preserve">Reforzar un entorno propicio para la actuación y la rendición de cuentas de las empresas y los actores financieros podría apoyar la implementación del Marco. Esto podría incluir la elaboración y aplicación de políticas, leyes y reglamentos pertinentes, la promoción de la divulgación y la presentación de informes relacionados con la biodiversidad, la integración de las consideraciones sobre la biodiversidad en la toma de decisiones empresariales y financieras, y el fomento de la acción en todos los sectores y cadenas de valor que tengan considerables dependencias de la biodiversidad e impactos en ella. </w:t>
      </w:r>
    </w:p>
    <w:p w14:paraId="6220BC03"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 xml:space="preserve">Desarrollar en mayor medida enfoques inclusivos, basados en los derechos y sensibles a las cuestiones de género y a las necesidades de la juventud podría contribuir a una implementación más eficaz del Marco. Esto incluye reconocer a los titulares de derechos como asociados en la implementación y promover la participación y representación de los pueblos indígenas y las comunidades locales, las mujeres, la juventud, las personas con discapacidad y otros interesados pertinentes en la formulación de políticas y la toma de decisiones relacionadas con la biodiversidad de manera plena, equitativa, inclusiva, efectiva y con perspectiva de género. </w:t>
      </w:r>
    </w:p>
    <w:p w14:paraId="1CD9BA93" w14:textId="77777777" w:rsidR="008F15F1" w:rsidRPr="005E3D50" w:rsidRDefault="008F15F1" w:rsidP="008F15F1">
      <w:pPr>
        <w:tabs>
          <w:tab w:val="left" w:pos="567"/>
        </w:tabs>
        <w:spacing w:before="120" w:after="120" w:line="240" w:lineRule="auto"/>
        <w:ind w:left="1134"/>
        <w:rPr>
          <w:rFonts w:ascii="Aptos" w:eastAsia="Aptos" w:hAnsi="Aptos"/>
          <w:lang w:val="es-ES"/>
        </w:rPr>
      </w:pPr>
    </w:p>
    <w:p w14:paraId="67D75A10" w14:textId="77777777" w:rsidR="008F15F1" w:rsidRPr="005E3D50" w:rsidRDefault="008F15F1" w:rsidP="008F15F1">
      <w:pPr>
        <w:spacing w:before="120" w:after="120"/>
        <w:rPr>
          <w:rFonts w:ascii="Aptos" w:hAnsi="Aptos"/>
          <w:b/>
          <w:u w:val="single"/>
          <w:lang w:val="es-ES"/>
        </w:rPr>
      </w:pPr>
      <w:r w:rsidRPr="005E3D50">
        <w:rPr>
          <w:rFonts w:ascii="Aptos" w:hAnsi="Aptos"/>
          <w:b/>
          <w:u w:val="single"/>
          <w:lang w:val="es-ES"/>
        </w:rPr>
        <w:t>Mensaje principal 6: Datos y conocimientos</w:t>
      </w:r>
    </w:p>
    <w:p w14:paraId="4BA70EA6" w14:textId="77777777" w:rsidR="008F15F1" w:rsidRPr="005E3D50" w:rsidRDefault="008F15F1" w:rsidP="008F15F1">
      <w:pPr>
        <w:spacing w:before="120" w:after="120"/>
        <w:rPr>
          <w:rFonts w:ascii="Aptos" w:hAnsi="Aptos"/>
          <w:b/>
          <w:bCs/>
          <w:lang w:val="es-ES"/>
        </w:rPr>
      </w:pPr>
      <w:r w:rsidRPr="005E3D50">
        <w:rPr>
          <w:rFonts w:ascii="Aptos" w:hAnsi="Aptos"/>
          <w:b/>
          <w:lang w:val="es-ES"/>
        </w:rPr>
        <w:t>Las Partes han desplegado esfuerzos considerables para mejorar los sistemas nacionales de seguimiento y gestión de conocimientos, incluidos los conocimientos tradicionales. Sin embargo, existen importantes carencias en cuanto a disponibilidad de datos, intercambio de datos, indicadores adecuados y operativos, infraestructura existente y capacidad técnica, lo que genera carencias de datos, información y conocimientos disponibles para la toma de decisiones.</w:t>
      </w:r>
    </w:p>
    <w:p w14:paraId="62E9D34A" w14:textId="77777777" w:rsidR="008F15F1" w:rsidRPr="005E3D50" w:rsidRDefault="008F15F1" w:rsidP="008F15F1">
      <w:pPr>
        <w:tabs>
          <w:tab w:val="left" w:pos="567"/>
          <w:tab w:val="left" w:pos="1134"/>
          <w:tab w:val="left" w:pos="1701"/>
          <w:tab w:val="left" w:pos="2268"/>
          <w:tab w:val="left" w:pos="2835"/>
          <w:tab w:val="left" w:pos="3402"/>
        </w:tabs>
        <w:spacing w:before="120" w:after="120" w:line="240" w:lineRule="auto"/>
        <w:rPr>
          <w:rFonts w:ascii="Aptos" w:eastAsia="SimSun" w:hAnsi="Aptos" w:cs="Times New Roman"/>
          <w:kern w:val="0"/>
          <w:lang w:val="es-ES"/>
          <w14:ligatures w14:val="none"/>
        </w:rPr>
      </w:pPr>
      <w:r w:rsidRPr="005E3D50">
        <w:rPr>
          <w:rFonts w:ascii="Aptos" w:eastAsia="SimSun" w:hAnsi="Aptos" w:cs="Times New Roman"/>
          <w:kern w:val="0"/>
          <w:szCs w:val="22"/>
          <w:lang w:val="es-ES"/>
          <w14:ligatures w14:val="none"/>
        </w:rPr>
        <w:t xml:space="preserve">Muchas Partes disponen de datos cuantitativos para el seguimiento de las metas 1, 2, 3, 4 y 10, pero la información presentada fue dispar para el resto de las metas, lo que incluye algunas carencias de datos considerables. Las Partes han recabado información de organismos gubernamentales, instituciones científicas, pueblos </w:t>
      </w:r>
      <w:r w:rsidRPr="005E3D50">
        <w:rPr>
          <w:rFonts w:ascii="Aptos" w:eastAsia="SimSun" w:hAnsi="Aptos" w:cs="Times New Roman"/>
          <w:kern w:val="0"/>
          <w:szCs w:val="22"/>
          <w:lang w:val="es-ES"/>
          <w14:ligatures w14:val="none"/>
        </w:rPr>
        <w:lastRenderedPageBreak/>
        <w:t>indígenas y comunidades locales, la sociedad civil y fuentes internacionales, y han avanzado hacia la consecución de la meta 21. La presentación de datos cuantitativos está más desarrollada para algunos ecosistemas y las metas relativas a la restauración, las áreas protegidas y conservadas, el estado de las especies y los sistemas de producción que para las metas relacionadas con cuestiones socioeconómicas y transversales. La información cualitativa presentada sobre los elementos de las metas también es dispar. Ninguna de las Partes informó sobre todos los indicadores de cabecera y, en el caso de dos de esos indicadores, se carece de metodologías operacionales. Los datos informados para la mayoría de los indicadores carecen de series temporales comparables y rara vez se desglosan por tipo de ecosistema, sexo, edad, relación con los pueblos indígenas o las comunidades locales, u otras características pertinentes. Fue especialmente difícil presentar informes sistemáticos sobre los indicadores de cabecera más recientes y, por consiguiente, compilar esos indicadores.</w:t>
      </w:r>
    </w:p>
    <w:p w14:paraId="3F5BA7AF" w14:textId="77777777" w:rsidR="008F15F1" w:rsidRPr="005E3D50" w:rsidRDefault="008F15F1" w:rsidP="008F15F1">
      <w:pPr>
        <w:spacing w:after="80" w:line="259" w:lineRule="auto"/>
        <w:rPr>
          <w:rFonts w:ascii="Aptos" w:hAnsi="Aptos"/>
          <w:lang w:val="es-ES"/>
        </w:rPr>
      </w:pPr>
      <w:r w:rsidRPr="005E3D50">
        <w:rPr>
          <w:rFonts w:ascii="Aptos" w:hAnsi="Aptos"/>
          <w:lang w:val="es-ES"/>
        </w:rPr>
        <w:t>Entre las dificultades relacionadas con los datos y los conocimientos figuran la falta de claridad metodológica para algunos indicadores, incluidos los indicadores de cabecera; la disponibilidad de datos y el acceso a estos; la fragmentación de los datos entre instituciones y plataformas; la insuficiencia de la infraestructura técnica y tecnológica; las complejidades de los sistemas estadísticos nacionales; la falta de financiación estable y fiable; la capacidad humana limitada; la insuficiencia de la coordinación institucional y la gobernanza de los datos; y las dificultades ligadas a la inclusión de los conocimientos tradicionales, con consentimiento libre, previo e informado, y a la información comunitaria en las actividades de seguimiento. Dado que los indicadores de cabecera tienen por objeto orientar la implementación, además de medir los progresos, esto indica que es posible que las Partes carezcan de la información que necesitan para implementar el Marco, lo que obstaculiza aún más los progresos.</w:t>
      </w:r>
    </w:p>
    <w:p w14:paraId="3A3CAA55" w14:textId="77777777" w:rsidR="008F15F1" w:rsidRPr="005E3D50" w:rsidRDefault="008F15F1" w:rsidP="008F15F1">
      <w:pPr>
        <w:spacing w:before="120" w:after="120"/>
        <w:ind w:left="567"/>
        <w:rPr>
          <w:rFonts w:ascii="Aptos" w:hAnsi="Aptos"/>
          <w:lang w:val="es-ES"/>
        </w:rPr>
      </w:pPr>
      <w:r w:rsidRPr="005E3D50">
        <w:rPr>
          <w:rFonts w:ascii="Aptos" w:hAnsi="Aptos"/>
          <w:i/>
          <w:lang w:val="es-ES"/>
        </w:rPr>
        <w:t xml:space="preserve">Posibles opciones no prescriptivas: </w:t>
      </w:r>
    </w:p>
    <w:p w14:paraId="445F5CD7"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Invertir en datos, seguimiento y múltiples sistemas de conocimientos, incluyendo apoyo a la infraestructura digital, los mecanismos nacionales de intercambio de información u otros sistemas nacionales de gestión de la información, sería fundamental para garantizar una implementación nacional eficaz, así como la presentación de informes y la toma de decisiones a nivel nacional, subnacional y mundial. Esto incluiría la identificación de opciones para mejorar los medios de implementación de que disponen las Partes que son países en desarrollo, con el fin de apoyar la creación de sistemas nacionales estadísticos y de seguimiento.</w:t>
      </w:r>
      <w:r w:rsidRPr="005E3D50">
        <w:rPr>
          <w:rFonts w:ascii="Aptos" w:hAnsi="Aptos"/>
          <w:color w:val="242424"/>
          <w:lang w:val="es-ES"/>
        </w:rPr>
        <w:t xml:space="preserve"> </w:t>
      </w:r>
    </w:p>
    <w:p w14:paraId="19797568"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 xml:space="preserve">Podría resultar útil para las Partes definir los ámbitos prioritarios en los que resulte más necesario invertir en seguimiento, análisis de datos y sistemas de gestión de conocimientos, a fin de respaldar la implementación del Marco y la presentación de informes al respecto. Eso incluye reconocer el valor de contar con información desglosada por tipo de ecosistema, grupo taxonómico, sector, sexo, edad, pueblos indígenas y comunidades locales y </w:t>
      </w:r>
      <w:r w:rsidRPr="005E3D50">
        <w:rPr>
          <w:rFonts w:ascii="Aptos" w:hAnsi="Aptos"/>
          <w:lang w:val="es-ES"/>
        </w:rPr>
        <w:lastRenderedPageBreak/>
        <w:t>otras características y de elaborar mapas nacionales de ecosistemas a los efectos de fundamentar las decisiones.</w:t>
      </w:r>
    </w:p>
    <w:p w14:paraId="6399CD54"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 xml:space="preserve">El aprendizaje entre pares, el desarrollo de capacidad y el apoyo técnico específico, incluso a nivel regional y subregional, y la participación de actores distintos de los Gobiernos nacionales, se podrían llevar a la práctica, por ejemplo, a través de los centros de apoyo a la cooperación científica y técnica. </w:t>
      </w:r>
    </w:p>
    <w:p w14:paraId="1E66F259"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Aptos" w:hAnsi="Aptos"/>
          <w:lang w:val="es-ES"/>
        </w:rPr>
      </w:pPr>
      <w:r w:rsidRPr="005E3D50">
        <w:rPr>
          <w:rFonts w:ascii="Aptos" w:hAnsi="Aptos"/>
          <w:lang w:val="es-ES"/>
        </w:rPr>
        <w:t>La coordinación de la investigación y la inversión podrían orientarse hacia las carencias de conocimientos observadas en los informes nacionales, incluidas las que afectan a los países en desarrollo y a los ecosistemas, regiones, grupos sociales y sistemas de conocimientos infrarrepresentados.</w:t>
      </w:r>
    </w:p>
    <w:p w14:paraId="6E6C0A35"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Times New Roman" w:hAnsi="Aptos"/>
          <w:color w:val="000000"/>
          <w:lang w:val="es-ES"/>
        </w:rPr>
      </w:pPr>
      <w:r w:rsidRPr="005E3D50">
        <w:rPr>
          <w:rFonts w:ascii="Aptos" w:hAnsi="Aptos"/>
          <w:lang w:val="es-ES"/>
        </w:rPr>
        <w:t>Se podrían desarrollar, junto con los pueblos indígenas y las comunidades locales, las mujeres, la juventud y otros titulares de conocimientos, procesos para su participación que aprovechen o incluyan iniciativas de seguimiento basadas en la comunidad e incorporen salvaguardias adecuadas, mecanismos de consentimiento libre, previo e informado y reconocimiento.</w:t>
      </w:r>
      <w:r w:rsidRPr="005E3D50">
        <w:rPr>
          <w:rFonts w:ascii="Aptos" w:hAnsi="Aptos"/>
          <w:color w:val="000000" w:themeColor="text1"/>
          <w:lang w:val="es-ES"/>
        </w:rPr>
        <w:t xml:space="preserve"> </w:t>
      </w:r>
      <w:r w:rsidRPr="005E3D50">
        <w:rPr>
          <w:rFonts w:ascii="Aptos" w:hAnsi="Aptos"/>
          <w:lang w:val="es-ES"/>
        </w:rPr>
        <w:t>Dichos procesos podrían abordar la mejora de la funcionalidad del portal para la presentación de compromisos de actores distintos de los Gobiernos nacionales y fomentar su uso.</w:t>
      </w:r>
    </w:p>
    <w:p w14:paraId="41D09734" w14:textId="77777777" w:rsidR="008F15F1" w:rsidRPr="005E3D50" w:rsidRDefault="008F15F1" w:rsidP="008F15F1">
      <w:pPr>
        <w:numPr>
          <w:ilvl w:val="0"/>
          <w:numId w:val="16"/>
        </w:numPr>
        <w:tabs>
          <w:tab w:val="left" w:pos="567"/>
        </w:tabs>
        <w:spacing w:before="120" w:after="120" w:line="240" w:lineRule="auto"/>
        <w:ind w:left="1134" w:hanging="567"/>
        <w:rPr>
          <w:rFonts w:ascii="Aptos" w:eastAsia="Times New Roman" w:hAnsi="Aptos"/>
          <w:color w:val="000000"/>
          <w:lang w:val="es-ES"/>
        </w:rPr>
      </w:pPr>
      <w:r w:rsidRPr="005E3D50">
        <w:rPr>
          <w:rFonts w:ascii="Aptos" w:hAnsi="Aptos"/>
          <w:color w:val="000000"/>
          <w:lang w:val="es-ES"/>
        </w:rPr>
        <w:t>Ajustar los sistemas de seguimiento y datos utilizados por las empresas y las instituciones financieras en sus marcos de divulgación para armonizarlos con los de los gobiernos y con los indicadores utilizados en los informes nacionales mejoraría la coherencia y la transparencia.</w:t>
      </w:r>
    </w:p>
    <w:p w14:paraId="7A457AC8" w14:textId="77777777" w:rsidR="008F15F1" w:rsidRPr="005E3D50" w:rsidRDefault="008F15F1" w:rsidP="008F15F1">
      <w:pPr>
        <w:tabs>
          <w:tab w:val="left" w:pos="567"/>
        </w:tabs>
        <w:spacing w:before="120" w:after="120" w:line="240" w:lineRule="auto"/>
        <w:ind w:left="1134"/>
        <w:rPr>
          <w:rFonts w:ascii="Aptos" w:eastAsia="Times New Roman" w:hAnsi="Aptos"/>
          <w:color w:val="000000"/>
          <w:lang w:val="es-ES"/>
        </w:rPr>
      </w:pPr>
    </w:p>
    <w:p w14:paraId="56844324" w14:textId="77777777" w:rsidR="008F15F1" w:rsidRPr="005E3D50" w:rsidRDefault="008F15F1" w:rsidP="008F15F1">
      <w:pPr>
        <w:keepNext/>
        <w:keepLines/>
        <w:tabs>
          <w:tab w:val="left" w:pos="567"/>
          <w:tab w:val="left" w:pos="1134"/>
          <w:tab w:val="left" w:pos="1701"/>
          <w:tab w:val="left" w:pos="2268"/>
          <w:tab w:val="left" w:pos="2835"/>
          <w:tab w:val="left" w:pos="3402"/>
        </w:tabs>
        <w:spacing w:after="0" w:line="240" w:lineRule="auto"/>
        <w:rPr>
          <w:rFonts w:ascii="Aptos" w:eastAsia="SimSun" w:hAnsi="Aptos" w:cs="Times New Roman"/>
          <w:bCs/>
          <w:kern w:val="0"/>
          <w:lang w:val="es-ES"/>
          <w14:ligatures w14:val="none"/>
        </w:rPr>
      </w:pPr>
      <w:bookmarkStart w:id="757" w:name="_Toc231329552"/>
    </w:p>
    <w:p w14:paraId="2B1098EA" w14:textId="77777777" w:rsidR="008F15F1" w:rsidRPr="005E3D50" w:rsidRDefault="008F15F1" w:rsidP="008F15F1">
      <w:pPr>
        <w:keepNext/>
        <w:spacing w:after="200" w:line="240" w:lineRule="auto"/>
        <w:rPr>
          <w:rFonts w:eastAsiaTheme="minorEastAsia"/>
          <w:i/>
          <w:iCs/>
          <w:color w:val="0E2841" w:themeColor="text2"/>
          <w:kern w:val="0"/>
          <w:sz w:val="18"/>
          <w:szCs w:val="18"/>
          <w:lang w:val="es-ES" w:eastAsia="ja-JP"/>
          <w14:ligatures w14:val="none"/>
        </w:rPr>
      </w:pPr>
    </w:p>
    <w:tbl>
      <w:tblPr>
        <w:tblStyle w:val="TableGrid1"/>
        <w:tblW w:w="0" w:type="auto"/>
        <w:tblInd w:w="567" w:type="dxa"/>
        <w:tblLook w:val="04A0" w:firstRow="1" w:lastRow="0" w:firstColumn="1" w:lastColumn="0" w:noHBand="0" w:noVBand="1"/>
      </w:tblPr>
      <w:tblGrid>
        <w:gridCol w:w="8449"/>
      </w:tblGrid>
      <w:tr w:rsidR="008F15F1" w:rsidRPr="005E3D50" w14:paraId="642E3D21" w14:textId="77777777" w:rsidTr="006E6831">
        <w:tc>
          <w:tcPr>
            <w:tcW w:w="9350" w:type="dxa"/>
            <w:shd w:val="clear" w:color="auto" w:fill="E8E8E8" w:themeFill="background2"/>
          </w:tcPr>
          <w:p w14:paraId="36C724DF" w14:textId="77777777" w:rsidR="008F15F1" w:rsidRPr="005E3D50" w:rsidRDefault="008F15F1" w:rsidP="008F15F1">
            <w:pPr>
              <w:keepNext/>
              <w:keepLines/>
              <w:tabs>
                <w:tab w:val="left" w:pos="567"/>
                <w:tab w:val="left" w:pos="1134"/>
                <w:tab w:val="left" w:pos="1701"/>
                <w:tab w:val="left" w:pos="2268"/>
                <w:tab w:val="left" w:pos="2835"/>
                <w:tab w:val="left" w:pos="3402"/>
              </w:tabs>
              <w:ind w:left="567" w:hanging="567"/>
              <w:rPr>
                <w:rFonts w:eastAsia="SimSun" w:cs="Times New Roman"/>
                <w:bCs/>
                <w:kern w:val="0"/>
                <w:sz w:val="20"/>
                <w:szCs w:val="20"/>
                <w14:ligatures w14:val="none"/>
              </w:rPr>
            </w:pPr>
          </w:p>
          <w:p w14:paraId="10DE4D04" w14:textId="77777777" w:rsidR="008F15F1" w:rsidRPr="005E3D50" w:rsidRDefault="008F15F1" w:rsidP="008F15F1">
            <w:pPr>
              <w:keepNext/>
              <w:keepLines/>
              <w:tabs>
                <w:tab w:val="left" w:pos="567"/>
                <w:tab w:val="left" w:pos="1134"/>
                <w:tab w:val="left" w:pos="1701"/>
                <w:tab w:val="left" w:pos="2268"/>
                <w:tab w:val="left" w:pos="2835"/>
                <w:tab w:val="left" w:pos="3402"/>
              </w:tabs>
              <w:ind w:left="567" w:hanging="567"/>
              <w:rPr>
                <w:rFonts w:eastAsia="SimSun" w:cs="Times New Roman"/>
                <w:bCs/>
                <w:kern w:val="0"/>
                <w:sz w:val="20"/>
                <w:szCs w:val="20"/>
                <w14:ligatures w14:val="none"/>
              </w:rPr>
            </w:pPr>
            <w:bookmarkStart w:id="758" w:name="_Ref239059247"/>
            <w:r w:rsidRPr="005E3D50">
              <w:rPr>
                <w:rFonts w:eastAsia="SimSun" w:cs="Times New Roman"/>
                <w:kern w:val="0"/>
                <w:sz w:val="20"/>
                <w:szCs w:val="22"/>
                <w14:ligatures w14:val="none"/>
              </w:rPr>
              <w:t>Recuadro 59</w:t>
            </w:r>
            <w:bookmarkEnd w:id="758"/>
          </w:p>
          <w:p w14:paraId="3B3D494D" w14:textId="77777777" w:rsidR="008F15F1" w:rsidRPr="005E3D50" w:rsidRDefault="008F15F1" w:rsidP="008F15F1">
            <w:pPr>
              <w:keepNext/>
              <w:keepLines/>
              <w:tabs>
                <w:tab w:val="left" w:pos="567"/>
                <w:tab w:val="left" w:pos="1134"/>
                <w:tab w:val="left" w:pos="1701"/>
                <w:tab w:val="left" w:pos="2268"/>
                <w:tab w:val="left" w:pos="2835"/>
                <w:tab w:val="left" w:pos="3402"/>
              </w:tabs>
              <w:ind w:left="567" w:hanging="567"/>
              <w:rPr>
                <w:rFonts w:ascii="Aptos" w:eastAsia="SimSun" w:hAnsi="Aptos" w:cs="Times New Roman"/>
                <w:b/>
                <w:kern w:val="0"/>
                <w:sz w:val="20"/>
                <w:szCs w:val="20"/>
                <w14:ligatures w14:val="none"/>
              </w:rPr>
            </w:pPr>
            <w:r w:rsidRPr="005E3D50">
              <w:rPr>
                <w:rFonts w:ascii="Aptos" w:eastAsia="SimSun" w:hAnsi="Aptos" w:cs="Times New Roman"/>
                <w:b/>
                <w:kern w:val="0"/>
                <w:sz w:val="20"/>
                <w:szCs w:val="22"/>
                <w14:ligatures w14:val="none"/>
              </w:rPr>
              <w:t>Conclusiones relacionadas con la elaboración de este informe</w:t>
            </w:r>
          </w:p>
          <w:p w14:paraId="3931E750" w14:textId="77777777" w:rsidR="008F15F1" w:rsidRPr="005E3D50" w:rsidRDefault="008F15F1" w:rsidP="008F15F1">
            <w:pPr>
              <w:tabs>
                <w:tab w:val="left" w:pos="567"/>
                <w:tab w:val="left" w:pos="1134"/>
                <w:tab w:val="left" w:pos="1701"/>
                <w:tab w:val="left" w:pos="2268"/>
                <w:tab w:val="left" w:pos="2835"/>
                <w:tab w:val="left" w:pos="3402"/>
              </w:tabs>
              <w:spacing w:before="120" w:after="120"/>
              <w:rPr>
                <w:rFonts w:ascii="Aptos" w:eastAsia="Times New Roman" w:hAnsi="Aptos" w:cs="Times New Roman"/>
                <w:kern w:val="0"/>
                <w:sz w:val="20"/>
                <w:szCs w:val="20"/>
                <w14:ligatures w14:val="none"/>
              </w:rPr>
            </w:pPr>
            <w:r w:rsidRPr="005E3D50">
              <w:rPr>
                <w:rFonts w:ascii="Aptos" w:eastAsia="SimSun" w:hAnsi="Aptos" w:cs="Times New Roman"/>
                <w:kern w:val="0"/>
                <w:sz w:val="20"/>
                <w:szCs w:val="22"/>
                <w14:ligatures w14:val="none"/>
              </w:rPr>
              <w:t xml:space="preserve">La actualización de las EPANB, la presentación de las metas nacionales, la elaboración de los séptimos informes nacionales y la preparación de este primer informe mundial sobre los progresos colectivos en la implementación del Marco Mundial de Biodiversidad de Kunming-Montreal han brindado las primeras oportunidades para aplicar el enfoque multidimensional mejorado para la planificación, el seguimiento, la presentación de informes y la revisión —incluido el marco de seguimiento— adoptados en las reuniones 15ª y 16ª de la Conferencia de las Partes para cumplir con los requisitos de transparencia y responsabilidad en la implementación del Marco. Si bien el examen del mecanismo de planificación, seguimiento, presentación de informes y revisión no es un objetivo específico del informe mundial, su elaboración ha generado una serie de conclusiones sobre el funcionamiento de esos mecanismos. </w:t>
            </w:r>
          </w:p>
          <w:p w14:paraId="4A83C7D2" w14:textId="77777777" w:rsidR="008F15F1" w:rsidRPr="005E3D50" w:rsidRDefault="008F15F1" w:rsidP="008F15F1">
            <w:pPr>
              <w:tabs>
                <w:tab w:val="left" w:pos="567"/>
                <w:tab w:val="left" w:pos="1134"/>
                <w:tab w:val="left" w:pos="1701"/>
                <w:tab w:val="left" w:pos="2268"/>
                <w:tab w:val="left" w:pos="2835"/>
                <w:tab w:val="left" w:pos="3402"/>
              </w:tabs>
              <w:spacing w:before="120" w:after="120"/>
              <w:rPr>
                <w:rFonts w:ascii="Aptos" w:eastAsia="Times New Roman" w:hAnsi="Aptos" w:cs="Times New Roman"/>
                <w:kern w:val="0"/>
                <w:sz w:val="20"/>
                <w:szCs w:val="20"/>
                <w14:ligatures w14:val="none"/>
              </w:rPr>
            </w:pPr>
            <w:r w:rsidRPr="005E3D50">
              <w:rPr>
                <w:rFonts w:ascii="Aptos" w:eastAsia="SimSun" w:hAnsi="Aptos" w:cs="Times New Roman"/>
                <w:kern w:val="0"/>
                <w:sz w:val="20"/>
                <w:szCs w:val="22"/>
                <w14:ligatures w14:val="none"/>
              </w:rPr>
              <w:t>Considerando la información analizada en este informe, los mecanismos de planificación, seguimiento, presentación de informes y revisión del Marco están proporcionando una base sólida para la transparencia, la rendición de cuentas y la evaluación de los progresos colectivos, al tiempo que su uso permite flexibilidad en función de las circunstancias nacionales. Todas las Partes que han presentado informes han incluido datos sobre al menos un indicador del marco de seguimiento adoptado. La cifra de presentación de datos sobre los indicadores de cabecera varía entre el 7 % y el 78 % de las Partes, según el indicador. Si bien se han sentado bases sólidas, los datos facilitados sobre los indicadores de cabecera no son, en la actualidad, lo suficientemente representativos ni coherentes como para extraer conclusiones firmes sobre los progresos colectivos. Aunque otros indicadores nacionales presentados aportan información complementaria valiosa, sigue siendo difícil evaluar las tendencias colectivas en un conjunto de diferentes tipos de indicadores y temas.</w:t>
            </w:r>
          </w:p>
          <w:p w14:paraId="3C95A260" w14:textId="77777777" w:rsidR="008F15F1" w:rsidRPr="005E3D50" w:rsidRDefault="008F15F1" w:rsidP="008F15F1">
            <w:pPr>
              <w:spacing w:before="120" w:after="120"/>
              <w:rPr>
                <w:rFonts w:ascii="Aptos" w:eastAsia="Times New Roman" w:hAnsi="Aptos"/>
                <w:sz w:val="20"/>
                <w:szCs w:val="20"/>
              </w:rPr>
            </w:pPr>
            <w:r w:rsidRPr="005E3D50">
              <w:rPr>
                <w:rFonts w:ascii="Aptos" w:hAnsi="Aptos"/>
                <w:sz w:val="20"/>
              </w:rPr>
              <w:t>La estructura normalizada de presentación de informes, tanto para las Partes como para los actores distintos de los Gobiernos nacionales, ha mejorado la capacidad para evaluar los progresos colectivos a escala mundial, pero existen algunas carencias en la información recopilada y en las orientaciones relativas a la presentación de informes, en particular sobre el uso de los indicadores, la información relacionada con la sección C del Marco y la información incluida tanto en los informes nacionales como en los compromisos de otros actores sobre los progresos logrados por esos actores. Asimismo, se necesita más orientación sobre la metodología y el calendario para complementar la información facilitada en las comunicaciones de las Partes con información procedente de evaluaciones científicas, incluida la labor de la Plataforma Intergubernamental Científico-Normativa sobre Diversidad Biológica y Servicios de los Ecosistemas (IPBES), fuentes de datos mundiales y bibliografía pertinente, especialmente en el contexto de la preparación de la segunda evaluación mundial de la IPBES. También se necesita más orientación sobre cómo podrían utilizarse las carencias de conocimientos identificadas en los informes nacionales y en el informe mundial para guiar las futuras inversiones en investigación y seguimiento y en elaboración de instrumentos y evaluaciones.</w:t>
            </w:r>
          </w:p>
          <w:p w14:paraId="5383039B" w14:textId="77777777" w:rsidR="008F15F1" w:rsidRPr="005E3D50" w:rsidRDefault="008F15F1" w:rsidP="008F15F1">
            <w:pPr>
              <w:spacing w:before="120" w:after="120"/>
              <w:rPr>
                <w:rFonts w:ascii="Aptos" w:eastAsia="Times New Roman" w:hAnsi="Aptos"/>
              </w:rPr>
            </w:pPr>
          </w:p>
        </w:tc>
      </w:tr>
      <w:bookmarkEnd w:id="757"/>
    </w:tbl>
    <w:p w14:paraId="5CEC0370" w14:textId="77777777" w:rsidR="008F15F1" w:rsidRPr="005E3D50" w:rsidRDefault="008F15F1" w:rsidP="008F15F1">
      <w:pPr>
        <w:rPr>
          <w:rFonts w:asciiTheme="majorHAnsi" w:eastAsiaTheme="majorEastAsia" w:hAnsiTheme="majorHAnsi" w:cstheme="majorBidi"/>
          <w:color w:val="0F4761" w:themeColor="accent1" w:themeShade="BF"/>
          <w:sz w:val="40"/>
          <w:szCs w:val="40"/>
          <w:lang w:val="es-ES"/>
        </w:rPr>
      </w:pPr>
    </w:p>
    <w:p w14:paraId="654CC178" w14:textId="77777777" w:rsidR="008F15F1" w:rsidRPr="008F15F1" w:rsidRDefault="008F15F1" w:rsidP="008F15F1">
      <w:pPr>
        <w:keepNext/>
        <w:keepLines/>
        <w:spacing w:before="360" w:after="80"/>
        <w:outlineLvl w:val="0"/>
        <w:rPr>
          <w:rFonts w:asciiTheme="majorHAnsi" w:eastAsiaTheme="majorEastAsia" w:hAnsiTheme="majorHAnsi" w:cstheme="majorBidi"/>
          <w:color w:val="0F4761" w:themeColor="accent1" w:themeShade="BF"/>
          <w:sz w:val="40"/>
          <w:szCs w:val="40"/>
          <w:lang w:val="es-ES"/>
        </w:rPr>
      </w:pPr>
      <w:bookmarkStart w:id="759" w:name="_Toc235821391"/>
      <w:bookmarkStart w:id="760" w:name="_Toc239069259"/>
      <w:bookmarkStart w:id="761" w:name="_Toc206313170"/>
      <w:bookmarkStart w:id="762" w:name="_Toc242883037"/>
      <w:r w:rsidRPr="008F15F1">
        <w:rPr>
          <w:rFonts w:asciiTheme="majorHAnsi" w:eastAsiaTheme="majorEastAsia" w:hAnsiTheme="majorHAnsi" w:cstheme="majorBidi"/>
          <w:color w:val="0F4761" w:themeColor="accent1" w:themeShade="BF"/>
          <w:sz w:val="40"/>
          <w:szCs w:val="40"/>
          <w:lang w:val="es-ES"/>
        </w:rPr>
        <w:t>Bibliografía</w:t>
      </w:r>
      <w:bookmarkEnd w:id="759"/>
      <w:bookmarkEnd w:id="760"/>
      <w:bookmarkEnd w:id="761"/>
      <w:bookmarkEnd w:id="762"/>
    </w:p>
    <w:p w14:paraId="4CA6F401" w14:textId="77777777" w:rsidR="008F15F1" w:rsidRPr="008F15F1" w:rsidRDefault="008F15F1" w:rsidP="008F15F1">
      <w:pPr>
        <w:rPr>
          <w:lang w:val="es-ES"/>
        </w:rPr>
      </w:pPr>
    </w:p>
    <w:p w14:paraId="3BEBBB48" w14:textId="77777777" w:rsidR="008F15F1" w:rsidRPr="00942359" w:rsidRDefault="008F15F1" w:rsidP="008F15F1">
      <w:pPr>
        <w:tabs>
          <w:tab w:val="left" w:pos="380"/>
        </w:tabs>
        <w:spacing w:after="0" w:line="240" w:lineRule="auto"/>
        <w:ind w:left="720" w:hanging="720"/>
        <w:rPr>
          <w:lang w:val="es-ES"/>
        </w:rPr>
      </w:pPr>
      <w:r w:rsidRPr="008F15F1">
        <w:lastRenderedPageBreak/>
        <w:t xml:space="preserve">Affinito, F. y otros, 2024. </w:t>
      </w:r>
      <w:r w:rsidRPr="008F15F1">
        <w:rPr>
          <w:lang w:val="en-US"/>
        </w:rPr>
        <w:t xml:space="preserve">Progress in developing and operationalizing the Monitoring Framework of the Global Biodiversity Framework. </w:t>
      </w:r>
      <w:r w:rsidRPr="008F15F1">
        <w:rPr>
          <w:lang w:val="es-ES"/>
        </w:rPr>
        <w:t xml:space="preserve">Nat. Ecol. </w:t>
      </w:r>
      <w:proofErr w:type="spellStart"/>
      <w:r w:rsidRPr="008F15F1">
        <w:rPr>
          <w:lang w:val="es-ES"/>
        </w:rPr>
        <w:t>Evol</w:t>
      </w:r>
      <w:proofErr w:type="spellEnd"/>
      <w:r w:rsidRPr="008F15F1">
        <w:rPr>
          <w:lang w:val="es-ES"/>
        </w:rPr>
        <w:t xml:space="preserve">. </w:t>
      </w:r>
      <w:hyperlink r:id="rId248" w:history="1">
        <w:r w:rsidRPr="00942359">
          <w:rPr>
            <w:color w:val="000000" w:themeColor="text1"/>
            <w:lang w:val="es-ES"/>
          </w:rPr>
          <w:t>https://doi.org/10.1038/s41559-024-02566-7</w:t>
        </w:r>
      </w:hyperlink>
    </w:p>
    <w:p w14:paraId="5D7C88BB" w14:textId="77777777" w:rsidR="008F15F1" w:rsidRPr="008F15F1" w:rsidRDefault="008F15F1" w:rsidP="008F15F1">
      <w:pPr>
        <w:tabs>
          <w:tab w:val="left" w:pos="380"/>
        </w:tabs>
        <w:spacing w:after="0" w:line="240" w:lineRule="auto"/>
        <w:ind w:left="720" w:hanging="720"/>
        <w:rPr>
          <w:lang w:val="es-ES"/>
        </w:rPr>
      </w:pPr>
      <w:r w:rsidRPr="00942359">
        <w:rPr>
          <w:lang w:val="es-ES"/>
        </w:rPr>
        <w:t xml:space="preserve">Affinito, F. y otros, 2025. </w:t>
      </w:r>
      <w:r w:rsidRPr="008F15F1">
        <w:rPr>
          <w:lang w:val="en-US"/>
        </w:rPr>
        <w:t xml:space="preserve">Assessing coverage of the monitoring framework of the Kunming-Montreal Global Biodiversity Framework and opportunities to fill gaps. </w:t>
      </w:r>
      <w:r w:rsidRPr="008F15F1">
        <w:rPr>
          <w:lang w:val="es-ES"/>
        </w:rPr>
        <w:t xml:space="preserve">Nat. Ecol. </w:t>
      </w:r>
      <w:proofErr w:type="spellStart"/>
      <w:r w:rsidRPr="008F15F1">
        <w:rPr>
          <w:lang w:val="es-ES"/>
        </w:rPr>
        <w:t>Evol</w:t>
      </w:r>
      <w:proofErr w:type="spellEnd"/>
      <w:r w:rsidRPr="008F15F1">
        <w:rPr>
          <w:lang w:val="es-ES"/>
        </w:rPr>
        <w:t xml:space="preserve">. 1-15. </w:t>
      </w:r>
      <w:hyperlink r:id="rId249" w:history="1">
        <w:r w:rsidRPr="008F15F1">
          <w:rPr>
            <w:color w:val="000000" w:themeColor="text1"/>
            <w:lang w:val="es-ES"/>
          </w:rPr>
          <w:t>https://doi.org/10.1038/s41559-025-02718-3</w:t>
        </w:r>
      </w:hyperlink>
    </w:p>
    <w:p w14:paraId="0D964408"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Asamblea General de las Naciones Unidas, 2023a. A/RES/78/155: Aplicación del Convenio sobre la Diversidad Biológica y su contribución al desarrollo sostenible. Resolución 78/155. Naciones Unidas. Disponible en: </w:t>
      </w:r>
      <w:hyperlink r:id="rId250" w:history="1">
        <w:r w:rsidRPr="008F15F1">
          <w:rPr>
            <w:color w:val="000000" w:themeColor="text1"/>
            <w:lang w:val="es-ES"/>
          </w:rPr>
          <w:t>https://docs.un.org/es/a/res/78/155</w:t>
        </w:r>
      </w:hyperlink>
      <w:r w:rsidRPr="008F15F1">
        <w:rPr>
          <w:lang w:val="es-ES"/>
        </w:rPr>
        <w:t xml:space="preserve"> (consultado el 4 de mayo de 2026)</w:t>
      </w:r>
    </w:p>
    <w:p w14:paraId="58BC8F1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Asamblea General de las Naciones Unidas, 2023b. A/RES/77/289: Declaración política de la reunión de alto nivel sobre el examen de mitad de período del Marco de </w:t>
      </w:r>
      <w:proofErr w:type="spellStart"/>
      <w:r w:rsidRPr="008F15F1">
        <w:rPr>
          <w:lang w:val="es-ES"/>
        </w:rPr>
        <w:t>Sendái</w:t>
      </w:r>
      <w:proofErr w:type="spellEnd"/>
      <w:r w:rsidRPr="008F15F1">
        <w:rPr>
          <w:lang w:val="es-ES"/>
        </w:rPr>
        <w:t xml:space="preserve"> para la Reducción del Riesgo de Desastres 2015-2030. Asamblea General de las Naciones Unidas. Disponible en: </w:t>
      </w:r>
      <w:hyperlink r:id="rId251" w:history="1">
        <w:r w:rsidRPr="008F15F1">
          <w:rPr>
            <w:color w:val="000000" w:themeColor="text1"/>
            <w:lang w:val="es-ES"/>
          </w:rPr>
          <w:t>https://docs.un.org/es/A/RES/77/289</w:t>
        </w:r>
      </w:hyperlink>
      <w:r w:rsidRPr="008F15F1">
        <w:rPr>
          <w:lang w:val="es-ES"/>
        </w:rPr>
        <w:t xml:space="preserve"> (consultado el 15 de julio de 2026)</w:t>
      </w:r>
    </w:p>
    <w:p w14:paraId="54C966CD" w14:textId="77777777" w:rsidR="008F15F1" w:rsidRPr="00AE32F3" w:rsidRDefault="008F15F1" w:rsidP="008F15F1">
      <w:pPr>
        <w:tabs>
          <w:tab w:val="left" w:pos="380"/>
        </w:tabs>
        <w:spacing w:after="0" w:line="240" w:lineRule="auto"/>
        <w:ind w:left="720" w:hanging="720"/>
      </w:pPr>
      <w:r w:rsidRPr="008F15F1">
        <w:rPr>
          <w:lang w:val="en-US"/>
        </w:rPr>
        <w:t xml:space="preserve">Asare, R.A., Kyei, A., Mason, J.J., 2013. The community resource management area mechanism: The community resource management area mechanism: a strategy to manage African forest resources for REDD+. </w:t>
      </w:r>
      <w:r w:rsidRPr="00942359">
        <w:rPr>
          <w:lang w:val="es-ES"/>
        </w:rPr>
        <w:t xml:space="preserve">Philos. Trans. R. Soc. B Biol. Sci. 368, 20120311. </w:t>
      </w:r>
      <w:r>
        <w:fldChar w:fldCharType="begin"/>
      </w:r>
      <w:r>
        <w:instrText>HYPERLINK "https://doi.org/10.1098/rstb.2012.0311"</w:instrText>
      </w:r>
      <w:r>
        <w:fldChar w:fldCharType="separate"/>
      </w:r>
      <w:r w:rsidRPr="00AE32F3">
        <w:rPr>
          <w:color w:val="000000" w:themeColor="text1"/>
        </w:rPr>
        <w:t>https://doi.org/10.1098/rstb.2012.0311</w:t>
      </w:r>
      <w:r>
        <w:fldChar w:fldCharType="end"/>
      </w:r>
    </w:p>
    <w:p w14:paraId="4D79A854" w14:textId="77777777" w:rsidR="008F15F1" w:rsidRPr="00942359" w:rsidRDefault="008F15F1" w:rsidP="008F15F1">
      <w:pPr>
        <w:tabs>
          <w:tab w:val="left" w:pos="380"/>
        </w:tabs>
        <w:spacing w:after="0" w:line="240" w:lineRule="auto"/>
        <w:ind w:left="720" w:hanging="720"/>
        <w:rPr>
          <w:lang w:val="en-US"/>
        </w:rPr>
      </w:pPr>
      <w:r w:rsidRPr="008F15F1">
        <w:rPr>
          <w:lang w:val="es-ES"/>
        </w:rPr>
        <w:t xml:space="preserve">Atlas Mundial de los Ecosistemas, 2026. </w:t>
      </w:r>
      <w:r w:rsidRPr="00942359">
        <w:rPr>
          <w:lang w:val="en-US"/>
        </w:rPr>
        <w:t xml:space="preserve">Guidelines for developing national ecosystem maps. </w:t>
      </w:r>
      <w:r>
        <w:fldChar w:fldCharType="begin"/>
      </w:r>
      <w:r w:rsidRPr="00942359">
        <w:rPr>
          <w:lang w:val="en-US"/>
        </w:rPr>
        <w:instrText>HYPERLINK "https://doi.org/10.60566/CD13V-0ME13"</w:instrText>
      </w:r>
      <w:r>
        <w:fldChar w:fldCharType="separate"/>
      </w:r>
      <w:r w:rsidRPr="00942359">
        <w:rPr>
          <w:color w:val="000000" w:themeColor="text1"/>
          <w:lang w:val="en-US"/>
        </w:rPr>
        <w:t>https://doi.org/10.60566/CD13V-0ME13</w:t>
      </w:r>
      <w:r>
        <w:fldChar w:fldCharType="end"/>
      </w:r>
    </w:p>
    <w:p w14:paraId="4F3B80E5" w14:textId="77777777" w:rsidR="008F15F1" w:rsidRPr="008F15F1" w:rsidRDefault="008F15F1" w:rsidP="008F15F1">
      <w:pPr>
        <w:tabs>
          <w:tab w:val="left" w:pos="380"/>
        </w:tabs>
        <w:spacing w:after="0" w:line="240" w:lineRule="auto"/>
        <w:ind w:left="720" w:hanging="720"/>
        <w:rPr>
          <w:lang w:val="es-ES"/>
        </w:rPr>
      </w:pPr>
      <w:r w:rsidRPr="00942359">
        <w:rPr>
          <w:lang w:val="en-US"/>
        </w:rPr>
        <w:t xml:space="preserve">BioJapan, 2025. </w:t>
      </w:r>
      <w:r w:rsidRPr="008F15F1">
        <w:rPr>
          <w:lang w:val="en-US"/>
        </w:rPr>
        <w:t xml:space="preserve">Documentation of Traditional Knowledge on Medicinal Plants in Peninsular Malaysia and the Promotion of Genetic Resource Management through Bioprospecting. </w:t>
      </w:r>
      <w:r w:rsidRPr="008F15F1">
        <w:rPr>
          <w:lang w:val="es-ES"/>
        </w:rPr>
        <w:t xml:space="preserve">National </w:t>
      </w:r>
      <w:proofErr w:type="spellStart"/>
      <w:r w:rsidRPr="008F15F1">
        <w:rPr>
          <w:lang w:val="es-ES"/>
        </w:rPr>
        <w:t>Institute</w:t>
      </w:r>
      <w:proofErr w:type="spellEnd"/>
      <w:r w:rsidRPr="008F15F1">
        <w:rPr>
          <w:lang w:val="es-ES"/>
        </w:rPr>
        <w:t xml:space="preserve"> of </w:t>
      </w:r>
      <w:proofErr w:type="spellStart"/>
      <w:r w:rsidRPr="008F15F1">
        <w:rPr>
          <w:lang w:val="es-ES"/>
        </w:rPr>
        <w:t>Genetics</w:t>
      </w:r>
      <w:proofErr w:type="spellEnd"/>
      <w:r w:rsidRPr="008F15F1">
        <w:rPr>
          <w:lang w:val="es-ES"/>
        </w:rPr>
        <w:t xml:space="preserve"> ABS Support Office, Yokohama. Disponible en: </w:t>
      </w:r>
      <w:hyperlink r:id="rId252" w:history="1">
        <w:r w:rsidRPr="008F15F1">
          <w:rPr>
            <w:color w:val="000000" w:themeColor="text1"/>
            <w:lang w:val="es-ES"/>
          </w:rPr>
          <w:t>https://terayoshi-gyosei.com/absreport13/</w:t>
        </w:r>
      </w:hyperlink>
      <w:r w:rsidRPr="008F15F1">
        <w:rPr>
          <w:lang w:val="es-ES"/>
        </w:rPr>
        <w:t xml:space="preserve"> (consultado el 25 de julio de 2026)</w:t>
      </w:r>
    </w:p>
    <w:p w14:paraId="38CCBDFD" w14:textId="77777777" w:rsidR="008F15F1" w:rsidRPr="008F15F1" w:rsidRDefault="008F15F1" w:rsidP="008F15F1">
      <w:pPr>
        <w:tabs>
          <w:tab w:val="left" w:pos="380"/>
        </w:tabs>
        <w:spacing w:after="0" w:line="240" w:lineRule="auto"/>
        <w:ind w:left="720" w:hanging="720"/>
        <w:rPr>
          <w:lang w:val="en-US"/>
        </w:rPr>
      </w:pPr>
      <w:r w:rsidRPr="000F62FC">
        <w:rPr>
          <w:lang w:val="fr-CA"/>
        </w:rPr>
        <w:t xml:space="preserve">Blasiak, R., </w:t>
      </w:r>
      <w:proofErr w:type="spellStart"/>
      <w:r w:rsidRPr="000F62FC">
        <w:rPr>
          <w:lang w:val="fr-CA"/>
        </w:rPr>
        <w:t>Jouffray</w:t>
      </w:r>
      <w:proofErr w:type="spellEnd"/>
      <w:r w:rsidRPr="000F62FC">
        <w:rPr>
          <w:lang w:val="fr-CA"/>
        </w:rPr>
        <w:t xml:space="preserve">, J.-B., 2024. </w:t>
      </w:r>
      <w:r w:rsidRPr="008F15F1">
        <w:rPr>
          <w:lang w:val="en-US"/>
        </w:rPr>
        <w:t xml:space="preserve">When will the BBNJ Agreement deliver results? </w:t>
      </w:r>
      <w:proofErr w:type="spellStart"/>
      <w:r w:rsidRPr="008F15F1">
        <w:rPr>
          <w:lang w:val="en-US"/>
        </w:rPr>
        <w:t>Npj</w:t>
      </w:r>
      <w:proofErr w:type="spellEnd"/>
      <w:r w:rsidRPr="008F15F1">
        <w:rPr>
          <w:lang w:val="en-US"/>
        </w:rPr>
        <w:t xml:space="preserve"> Ocean Sustain. 3, 21. </w:t>
      </w:r>
      <w:r>
        <w:fldChar w:fldCharType="begin"/>
      </w:r>
      <w:r w:rsidRPr="00942359">
        <w:rPr>
          <w:lang w:val="en-US"/>
        </w:rPr>
        <w:instrText>HYPERLINK "https://doi.org/10.1038/s44183-024-00058-6"</w:instrText>
      </w:r>
      <w:r>
        <w:fldChar w:fldCharType="separate"/>
      </w:r>
      <w:r w:rsidRPr="008F15F1">
        <w:rPr>
          <w:color w:val="000000" w:themeColor="text1"/>
          <w:lang w:val="en-US"/>
        </w:rPr>
        <w:t>https://doi.org/10.1038/s44183-024-00058-6</w:t>
      </w:r>
      <w:r>
        <w:fldChar w:fldCharType="end"/>
      </w:r>
    </w:p>
    <w:p w14:paraId="21A162DC"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Bosetti, L., 2023. Global Reporting Initiative Standards, en: Idowu, S.O. y </w:t>
      </w:r>
      <w:proofErr w:type="spellStart"/>
      <w:r w:rsidRPr="008F15F1">
        <w:rPr>
          <w:lang w:val="en-US"/>
        </w:rPr>
        <w:t>otros</w:t>
      </w:r>
      <w:proofErr w:type="spellEnd"/>
      <w:r w:rsidRPr="008F15F1">
        <w:rPr>
          <w:lang w:val="en-US"/>
        </w:rPr>
        <w:t xml:space="preserve"> (eds.), Encyclopedia of Sustainable Management. </w:t>
      </w:r>
      <w:r w:rsidRPr="008F15F1">
        <w:rPr>
          <w:lang w:val="es-ES"/>
        </w:rPr>
        <w:t xml:space="preserve">Springer International Publishing, Cham, págs. 1706-1718. </w:t>
      </w:r>
      <w:hyperlink r:id="rId253" w:history="1">
        <w:r w:rsidRPr="008F15F1">
          <w:rPr>
            <w:color w:val="000000" w:themeColor="text1"/>
            <w:lang w:val="es-ES"/>
          </w:rPr>
          <w:t>https://doi.org/10.1007/978-3-031-25984-5_1033</w:t>
        </w:r>
      </w:hyperlink>
    </w:p>
    <w:p w14:paraId="475A647E"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Brasil, Ministerio de Relaciones Exteriores, 2025. Comunicación del Brasil en respuesta a la notificación núm. 2025-100 del CDB. Secretaría del Convenio sobre la Diversidad Biológica, Montreal. Disponible en: </w:t>
      </w:r>
      <w:hyperlink r:id="rId254" w:history="1">
        <w:r w:rsidRPr="008F15F1">
          <w:rPr>
            <w:color w:val="000000" w:themeColor="text1"/>
            <w:lang w:val="es-ES"/>
          </w:rPr>
          <w:t>https://www.cbd.int/notifications/2025-100</w:t>
        </w:r>
      </w:hyperlink>
      <w:r w:rsidRPr="008F15F1">
        <w:rPr>
          <w:lang w:val="es-ES"/>
        </w:rPr>
        <w:t xml:space="preserve"> (consultado el 23 de junio de 2026)</w:t>
      </w:r>
    </w:p>
    <w:p w14:paraId="71CE160E"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Brito, D. y </w:t>
      </w:r>
      <w:proofErr w:type="spellStart"/>
      <w:r w:rsidRPr="008F15F1">
        <w:rPr>
          <w:lang w:val="en-US"/>
        </w:rPr>
        <w:t>otros</w:t>
      </w:r>
      <w:proofErr w:type="spellEnd"/>
      <w:r w:rsidRPr="008F15F1">
        <w:rPr>
          <w:lang w:val="en-US"/>
        </w:rPr>
        <w:t xml:space="preserve">, 2010. How similar are national red lists and the IUCN Red List? </w:t>
      </w:r>
      <w:r w:rsidRPr="008F15F1">
        <w:rPr>
          <w:lang w:val="es-ES"/>
        </w:rPr>
        <w:t xml:space="preserve">Biol. </w:t>
      </w:r>
      <w:proofErr w:type="spellStart"/>
      <w:r w:rsidRPr="008F15F1">
        <w:rPr>
          <w:lang w:val="es-ES"/>
        </w:rPr>
        <w:t>Conserv</w:t>
      </w:r>
      <w:proofErr w:type="spellEnd"/>
      <w:r w:rsidRPr="008F15F1">
        <w:rPr>
          <w:lang w:val="es-ES"/>
        </w:rPr>
        <w:t xml:space="preserve">. 143, 1154-1158. </w:t>
      </w:r>
      <w:hyperlink r:id="rId255" w:history="1">
        <w:r w:rsidRPr="008F15F1">
          <w:rPr>
            <w:color w:val="000000" w:themeColor="text1"/>
            <w:lang w:val="es-ES"/>
          </w:rPr>
          <w:t>https://doi.org/10.1016/j.biocon.2010.02.015</w:t>
        </w:r>
      </w:hyperlink>
    </w:p>
    <w:p w14:paraId="0A310097" w14:textId="77777777" w:rsidR="008F15F1" w:rsidRPr="00942359" w:rsidRDefault="008F15F1" w:rsidP="008F15F1">
      <w:pPr>
        <w:tabs>
          <w:tab w:val="left" w:pos="380"/>
        </w:tabs>
        <w:spacing w:after="0" w:line="240" w:lineRule="auto"/>
        <w:ind w:left="720" w:hanging="720"/>
        <w:rPr>
          <w:lang w:val="es-ES"/>
        </w:rPr>
      </w:pPr>
      <w:r w:rsidRPr="008F15F1">
        <w:rPr>
          <w:lang w:val="es-ES"/>
        </w:rPr>
        <w:t xml:space="preserve">Butchart, S.H.M. y otros, 2025. </w:t>
      </w:r>
      <w:r w:rsidRPr="008F15F1">
        <w:rPr>
          <w:lang w:val="en-US"/>
        </w:rPr>
        <w:t xml:space="preserve">Measuring trends in extinction risk: a review of two decades of development and application of the Red List Index. </w:t>
      </w:r>
      <w:r w:rsidRPr="00942359">
        <w:rPr>
          <w:lang w:val="es-ES"/>
        </w:rPr>
        <w:t>Philos. Trans. R. Soc. B Biol. Sci. 380, 20230206. https://doi.org/10.1098/rstb.2023.0206</w:t>
      </w:r>
    </w:p>
    <w:p w14:paraId="14F04ABE" w14:textId="77777777" w:rsidR="008F15F1" w:rsidRPr="008F15F1" w:rsidRDefault="008F15F1" w:rsidP="008F15F1">
      <w:pPr>
        <w:tabs>
          <w:tab w:val="left" w:pos="380"/>
        </w:tabs>
        <w:spacing w:after="0" w:line="240" w:lineRule="auto"/>
        <w:ind w:left="720" w:hanging="720"/>
        <w:rPr>
          <w:lang w:val="es-ES"/>
        </w:rPr>
      </w:pPr>
      <w:r w:rsidRPr="00942359">
        <w:rPr>
          <w:lang w:val="es-ES"/>
        </w:rPr>
        <w:t xml:space="preserve">CAFF, 2025a. </w:t>
      </w:r>
      <w:r w:rsidRPr="008F15F1">
        <w:rPr>
          <w:lang w:val="es-ES"/>
        </w:rPr>
        <w:t xml:space="preserve">Comunicación de la Secretaría de Conservación de la Flora y Fauna del Ártico (CAFF) en respuesta a la notificación núm. 2025-099 del CDB. Secretaría del Convenio sobre la Diversidad Biológica, Montreal. Disponible en: </w:t>
      </w:r>
      <w:hyperlink r:id="rId256" w:history="1">
        <w:r w:rsidRPr="008F15F1">
          <w:rPr>
            <w:color w:val="000000" w:themeColor="text1"/>
            <w:lang w:val="es-ES"/>
          </w:rPr>
          <w:t>https://www.cbd.int/notifications/2025-099</w:t>
        </w:r>
      </w:hyperlink>
      <w:r w:rsidRPr="008F15F1">
        <w:rPr>
          <w:lang w:val="es-ES"/>
        </w:rPr>
        <w:t xml:space="preserve"> (consultado el 21 de mayo de 2026)</w:t>
      </w:r>
    </w:p>
    <w:p w14:paraId="6170231A"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CAFF, 2025b. Actions for Arctic Biodiversity 2025-2035. </w:t>
      </w:r>
      <w:r w:rsidRPr="008F15F1">
        <w:rPr>
          <w:lang w:val="es-ES"/>
        </w:rPr>
        <w:t xml:space="preserve">Conservación de la Flora y Fauna del Ártico, Akureyri (Islandia). Disponible en: </w:t>
      </w:r>
      <w:hyperlink r:id="rId257" w:history="1">
        <w:r w:rsidRPr="008F15F1">
          <w:rPr>
            <w:color w:val="000000" w:themeColor="text1"/>
            <w:lang w:val="es-ES"/>
          </w:rPr>
          <w:t>https://oaarchive.arctic-</w:t>
        </w:r>
        <w:r w:rsidRPr="008F15F1">
          <w:rPr>
            <w:color w:val="000000" w:themeColor="text1"/>
            <w:lang w:val="es-ES"/>
          </w:rPr>
          <w:lastRenderedPageBreak/>
          <w:t>council.org/items/287297c8-cdec-46e1-8022-2c240242d1ad</w:t>
        </w:r>
      </w:hyperlink>
      <w:r w:rsidRPr="008F15F1">
        <w:rPr>
          <w:lang w:val="es-ES"/>
        </w:rPr>
        <w:t xml:space="preserve"> (consultado el 21 de mayo de 2026)</w:t>
      </w:r>
    </w:p>
    <w:p w14:paraId="25FF929C"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Carroll, S.R. y otros, 2020. </w:t>
      </w:r>
      <w:r w:rsidRPr="008F15F1">
        <w:rPr>
          <w:lang w:val="en-US"/>
        </w:rPr>
        <w:t xml:space="preserve">The CARE Principles for Indigenous Data Governance. Data Sci. J. 19. </w:t>
      </w:r>
      <w:r>
        <w:fldChar w:fldCharType="begin"/>
      </w:r>
      <w:r w:rsidRPr="00942359">
        <w:rPr>
          <w:lang w:val="en-US"/>
        </w:rPr>
        <w:instrText>HYPERLINK "https://doi.org/10.5334/dsj-2020-043"</w:instrText>
      </w:r>
      <w:r>
        <w:fldChar w:fldCharType="separate"/>
      </w:r>
      <w:r w:rsidRPr="008F15F1">
        <w:rPr>
          <w:color w:val="000000" w:themeColor="text1"/>
          <w:lang w:val="en-US"/>
        </w:rPr>
        <w:t>https://doi.org/10.5334/dsj-2020-043</w:t>
      </w:r>
      <w:r>
        <w:fldChar w:fldCharType="end"/>
      </w:r>
    </w:p>
    <w:p w14:paraId="58A82F4E"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CBI, 2024. </w:t>
      </w:r>
      <w:proofErr w:type="spellStart"/>
      <w:r w:rsidRPr="008F15F1">
        <w:rPr>
          <w:lang w:val="en-US"/>
        </w:rPr>
        <w:t>Resolución</w:t>
      </w:r>
      <w:proofErr w:type="spellEnd"/>
      <w:r w:rsidRPr="008F15F1">
        <w:rPr>
          <w:lang w:val="en-US"/>
        </w:rPr>
        <w:t xml:space="preserve"> 2024-2: Resolution on the synergies between the IWC, the Convention on Biological Diversity and the Kunming-Montreal Global Biodiversity Framework adopted thereunder, and the agreement under the United Nations Convention on the Law of the Sea on the Conservation and Sustainable Use of Marine Biological Diversity of Areas Beyond National Jurisdiction. </w:t>
      </w:r>
      <w:r w:rsidRPr="008F15F1">
        <w:rPr>
          <w:lang w:val="es-ES"/>
        </w:rPr>
        <w:t xml:space="preserve">Secretaría de la Comisión Ballenera Internacional, Lima. Disponible en: </w:t>
      </w:r>
      <w:hyperlink r:id="rId258" w:history="1">
        <w:r w:rsidRPr="008F15F1">
          <w:rPr>
            <w:color w:val="000000" w:themeColor="text1"/>
            <w:lang w:val="es-ES"/>
          </w:rPr>
          <w:t>https://https://crm.iwc.int/data/node/9832</w:t>
        </w:r>
      </w:hyperlink>
      <w:r w:rsidRPr="008F15F1">
        <w:rPr>
          <w:lang w:val="es-ES"/>
        </w:rPr>
        <w:t xml:space="preserve"> (consultado el 21 de mayo de 2026)</w:t>
      </w:r>
    </w:p>
    <w:p w14:paraId="472BABD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CBI, 2025. Comunicación de la Secretaría de la Comisión Ballenera Internacional (CBI) en respuesta a la notificación núm. 2025-099 del CDB. Secretaría del Convenio sobre la Diversidad Biológica, Montreal. Disponible en: </w:t>
      </w:r>
      <w:hyperlink r:id="rId259" w:history="1">
        <w:r w:rsidRPr="008F15F1">
          <w:rPr>
            <w:color w:val="000000" w:themeColor="text1"/>
            <w:lang w:val="es-ES"/>
          </w:rPr>
          <w:t>https://www.cbd.int/notifications/2025-099</w:t>
        </w:r>
      </w:hyperlink>
      <w:r w:rsidRPr="008F15F1">
        <w:rPr>
          <w:lang w:val="es-ES"/>
        </w:rPr>
        <w:t xml:space="preserve"> (consultado el 21 de mayo de 2026)</w:t>
      </w:r>
    </w:p>
    <w:p w14:paraId="716CFFA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2001. Primera edición de la Perspectiva Mundial sobre la Diversidad Biológica. Secretaría del Convenio sobre la Diversidad Biológica, Montreal. Disponible en: </w:t>
      </w:r>
      <w:hyperlink r:id="rId260" w:history="1">
        <w:r w:rsidRPr="008F15F1">
          <w:rPr>
            <w:color w:val="000000" w:themeColor="text1"/>
            <w:lang w:val="es-ES"/>
          </w:rPr>
          <w:t>https://www.cbd.int/gbo</w:t>
        </w:r>
      </w:hyperlink>
      <w:r w:rsidRPr="008F15F1">
        <w:rPr>
          <w:lang w:val="es-ES"/>
        </w:rPr>
        <w:t xml:space="preserve"> (consultado el 17 de abril de 2026)</w:t>
      </w:r>
    </w:p>
    <w:p w14:paraId="7D9940C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2006a. PMDB 2: Segunda edición de la Perspectiva Mundial sobre la Diversidad Biológica. Secretaría del Convenio sobre la Diversidad Biológica, Montreal. Disponible en: </w:t>
      </w:r>
      <w:hyperlink r:id="rId261" w:history="1">
        <w:r w:rsidRPr="008F15F1">
          <w:rPr>
            <w:color w:val="000000" w:themeColor="text1"/>
            <w:lang w:val="es-ES"/>
          </w:rPr>
          <w:t>https://www.cbd.int/gbo</w:t>
        </w:r>
      </w:hyperlink>
      <w:r w:rsidRPr="008F15F1">
        <w:rPr>
          <w:lang w:val="es-ES"/>
        </w:rPr>
        <w:t xml:space="preserve"> (consultado el 16 de abril de 2026)</w:t>
      </w:r>
    </w:p>
    <w:p w14:paraId="7B56DD4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2006b. UNEP/CBD/COP/8/31: INFORME DE LA OCTAVA REUNIÓN DE LA CONFERENCIA DE LAS PARTES EN EL CONVENIO SOBRE LA DIVERSIDAD BIOLÓGICA. Secretaría del Convenio sobre la Diversidad Biológica. Disponible en: </w:t>
      </w:r>
      <w:hyperlink r:id="rId262" w:history="1">
        <w:r w:rsidRPr="008F15F1">
          <w:rPr>
            <w:color w:val="000000" w:themeColor="text1"/>
            <w:lang w:val="es-ES"/>
          </w:rPr>
          <w:t>https://www.cbd.int/doc/meetings/cop/cop-08/official/cop-08-31-es.pdf</w:t>
        </w:r>
      </w:hyperlink>
    </w:p>
    <w:p w14:paraId="4E747FB4"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2008. UNEP/CBD/COP/9/29/Corr.1/Rev.1: INFORME DE LA CONFERENCIA DE LAS PARTES EN EL CONVENIO SOBRE LA DIVERSIDAD BIOLÓGICA ACERCA DE LA LABOR DE SU NOVENA REUNIÓN. Secretaría del Convenio sobre la Diversidad Biológica, Bonn (Alemania). Disponible en: </w:t>
      </w:r>
      <w:hyperlink r:id="rId263" w:history="1">
        <w:r w:rsidRPr="008F15F1">
          <w:rPr>
            <w:color w:val="000000" w:themeColor="text1"/>
            <w:lang w:val="es-ES"/>
          </w:rPr>
          <w:t>https://www.cbd.int/doc/meetings/cop/cop-09/official/cop-09-29-corr1-rev1-en.pdf</w:t>
        </w:r>
      </w:hyperlink>
    </w:p>
    <w:p w14:paraId="6654072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2010. PMDB 3: Tercera edición de la Perspectiva Mundial sobre la Diversidad Biológica. Secretaría del Convenio sobre la Diversidad Biológica, Montreal. Disponible en: </w:t>
      </w:r>
      <w:hyperlink r:id="rId264" w:history="1">
        <w:r w:rsidRPr="008F15F1">
          <w:rPr>
            <w:color w:val="000000" w:themeColor="text1"/>
            <w:lang w:val="es-ES"/>
          </w:rPr>
          <w:t>https://www.cbd.int/gbo</w:t>
        </w:r>
      </w:hyperlink>
      <w:r w:rsidRPr="008F15F1">
        <w:rPr>
          <w:lang w:val="es-ES"/>
        </w:rPr>
        <w:t xml:space="preserve"> (consultado el 16 de abril de 2026)</w:t>
      </w:r>
    </w:p>
    <w:p w14:paraId="40A3A9E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2011. UNEP/CBD/COP/10/27/Corr.1: INFORME DE LA DÉCIMA REUNIÓN DE LA CONFERENCIA DE LAS PARTES EN EL CONVENIO SOBRE LA DIVERSIDAD BIOLÓGICA. Secretaría del Convenio sobre la Diversidad Biológica, Nagoya (Japón). Disponible en: </w:t>
      </w:r>
      <w:hyperlink r:id="rId265" w:history="1">
        <w:r w:rsidRPr="008F15F1">
          <w:rPr>
            <w:color w:val="000000" w:themeColor="text1"/>
            <w:lang w:val="es-ES"/>
          </w:rPr>
          <w:t>https://www.cbd.int/doc/meetings/cop/cop-10/official/cop-10-27-corr1-en.pdf</w:t>
        </w:r>
      </w:hyperlink>
    </w:p>
    <w:p w14:paraId="61B8EB7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2012. UNEP/CBD/COP/11/35: INFORME DE LA 11ª REUNIÓN DE LA CONFERENCIA DE LAS PARTES EN EL CONVENIO SOBRE LA DIVERSIDAD BIOLÓGICA. Secretaría del Convenio sobre la Diversidad Biológica, Hyderabad (India). Disponible en: </w:t>
      </w:r>
      <w:hyperlink r:id="rId266" w:history="1">
        <w:r w:rsidRPr="008F15F1">
          <w:rPr>
            <w:color w:val="000000" w:themeColor="text1"/>
            <w:lang w:val="es-ES"/>
          </w:rPr>
          <w:t>https://www.cbd.int/doc/meetings/cop/cop-11/official/cop-11-35-es.pdf</w:t>
        </w:r>
      </w:hyperlink>
    </w:p>
    <w:p w14:paraId="0E2EF095"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2014a. PMDB 4: Cuarta edición de la Perspectiva Mundial sobre la Diversidad Biológica. Secretaría del Convenio sobre la Diversidad Biológica, Montreal. Disponible en: </w:t>
      </w:r>
      <w:hyperlink r:id="rId267" w:history="1">
        <w:r w:rsidRPr="008F15F1">
          <w:rPr>
            <w:color w:val="000000" w:themeColor="text1"/>
            <w:lang w:val="es-ES"/>
          </w:rPr>
          <w:t>https://www.cbd.int/gbo</w:t>
        </w:r>
      </w:hyperlink>
      <w:r w:rsidRPr="008F15F1">
        <w:rPr>
          <w:lang w:val="es-ES"/>
        </w:rPr>
        <w:t xml:space="preserve"> (consultado el 16 de abril de 2026)</w:t>
      </w:r>
    </w:p>
    <w:p w14:paraId="39D03342" w14:textId="77777777" w:rsidR="008F15F1" w:rsidRPr="008F15F1" w:rsidRDefault="008F15F1" w:rsidP="008F15F1">
      <w:pPr>
        <w:tabs>
          <w:tab w:val="left" w:pos="380"/>
        </w:tabs>
        <w:spacing w:after="0" w:line="240" w:lineRule="auto"/>
        <w:ind w:left="720" w:hanging="720"/>
        <w:rPr>
          <w:lang w:val="es-ES"/>
        </w:rPr>
      </w:pPr>
      <w:r w:rsidRPr="008F15F1">
        <w:rPr>
          <w:lang w:val="es-ES"/>
        </w:rPr>
        <w:lastRenderedPageBreak/>
        <w:t xml:space="preserve">CDB, 2014b. UNEP/CBD/COP/12/29: INFORME DE LA 12ª REUNIÓN DE LA CONFERENCIA DE LAS PARTES EN EL CONVENIO SOBRE LA DIVERSIDAD BIOLÓGICA. Secretaría del Convenio sobre la Diversidad Biológica, </w:t>
      </w:r>
      <w:proofErr w:type="spellStart"/>
      <w:r w:rsidRPr="008F15F1">
        <w:rPr>
          <w:lang w:val="es-ES"/>
        </w:rPr>
        <w:t>Pyeongchang</w:t>
      </w:r>
      <w:proofErr w:type="spellEnd"/>
      <w:r w:rsidRPr="008F15F1">
        <w:rPr>
          <w:lang w:val="es-ES"/>
        </w:rPr>
        <w:t xml:space="preserve"> (República de Corea). Disponible en: </w:t>
      </w:r>
      <w:hyperlink r:id="rId268" w:history="1">
        <w:r w:rsidRPr="008F15F1">
          <w:rPr>
            <w:color w:val="000000" w:themeColor="text1"/>
            <w:lang w:val="es-ES"/>
          </w:rPr>
          <w:t>https://www.cbd.int/doc/meetings/cop/cop-12/official/cop-12-29-es.pdf</w:t>
        </w:r>
      </w:hyperlink>
    </w:p>
    <w:p w14:paraId="034B4E7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2016. UNEP/CBD/COP/13/25: INFORME DE LA CONFERENCIA DE LAS PARTES EN EL CONVENIO SOBRE LA DIVERSIDAD BIOLÓGICA SOBRE SU 13ª REUNIÓN. Secretaría del Convenio sobre la Diversidad Biológica, Cancún (México). Disponible en: </w:t>
      </w:r>
      <w:hyperlink r:id="rId269" w:history="1">
        <w:r w:rsidRPr="008F15F1">
          <w:rPr>
            <w:color w:val="000000" w:themeColor="text1"/>
            <w:lang w:val="es-ES"/>
          </w:rPr>
          <w:t>https://www.cbd.int/doc/c/049d/59ca/66f0ef3b745e68ae7ed0a673/cop-13-25-es.pdf</w:t>
        </w:r>
      </w:hyperlink>
    </w:p>
    <w:p w14:paraId="7B0EA6E9" w14:textId="77777777" w:rsidR="008F15F1" w:rsidRPr="008F15F1" w:rsidRDefault="008F15F1" w:rsidP="008F15F1">
      <w:pPr>
        <w:tabs>
          <w:tab w:val="left" w:pos="380"/>
        </w:tabs>
        <w:spacing w:after="0" w:line="240" w:lineRule="auto"/>
        <w:ind w:left="720" w:hanging="720"/>
        <w:rPr>
          <w:lang w:val="es-ES"/>
        </w:rPr>
      </w:pPr>
      <w:r w:rsidRPr="008F15F1">
        <w:rPr>
          <w:lang w:val="es-ES"/>
        </w:rPr>
        <w:t>CDB, 2019. UNEP/CBD/COP/14/14: INFORME DE LA CONFERENCIA DE LAS PARTES EN EL CONVENIO SOBRE LA DIVERSIDAD BIOLÓGICA SOBRE SU 14ª REUNIÓN. Secretaría del Convenio sobre la Diversidad Biológica, Sharm el-</w:t>
      </w:r>
      <w:proofErr w:type="spellStart"/>
      <w:r w:rsidRPr="008F15F1">
        <w:rPr>
          <w:lang w:val="es-ES"/>
        </w:rPr>
        <w:t>Sheikh</w:t>
      </w:r>
      <w:proofErr w:type="spellEnd"/>
      <w:r w:rsidRPr="008F15F1">
        <w:rPr>
          <w:lang w:val="es-ES"/>
        </w:rPr>
        <w:t xml:space="preserve"> (Egipto). Disponible en: </w:t>
      </w:r>
      <w:hyperlink r:id="rId270" w:history="1">
        <w:r w:rsidRPr="008F15F1">
          <w:rPr>
            <w:color w:val="000000" w:themeColor="text1"/>
            <w:lang w:val="es-ES"/>
          </w:rPr>
          <w:t>https://www.cbd.int/doc/c/7a6d/7ffd/3a300a2bde77d33fe3d80c6a/cop-14-14-es.pdf</w:t>
        </w:r>
      </w:hyperlink>
    </w:p>
    <w:p w14:paraId="7C263DDE"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2020. PMDB 5: Quinta edición de la Perspectiva Mundial sobre la Diversidad Biológica. Secretaría del Convenio sobre la Diversidad Biológica, Montreal. Disponible en: </w:t>
      </w:r>
      <w:hyperlink r:id="rId271" w:history="1">
        <w:r w:rsidRPr="008F15F1">
          <w:rPr>
            <w:color w:val="000000" w:themeColor="text1"/>
            <w:lang w:val="es-ES"/>
          </w:rPr>
          <w:t>https://www.cbd.int/gbo</w:t>
        </w:r>
      </w:hyperlink>
      <w:r w:rsidRPr="008F15F1">
        <w:rPr>
          <w:lang w:val="es-ES"/>
        </w:rPr>
        <w:t xml:space="preserve"> (consultado el 17 de abril de 2026)</w:t>
      </w:r>
    </w:p>
    <w:p w14:paraId="62205CE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2023. UNEP/CBD/COP/15/17: INFORME DE LA CONFERENCIA DE LAS PARTES EN EL CONVENIO SOBRE LA DIVERSIDAD BIOLÓGICA SOBRE LA SEGUNDA PARTE DE SU 15ª REUNIÓN. Secretaría del Convenio sobre la Diversidad Biológica, Montreal. Disponible en: </w:t>
      </w:r>
      <w:hyperlink r:id="rId272" w:history="1">
        <w:r w:rsidRPr="008F15F1">
          <w:rPr>
            <w:color w:val="000000" w:themeColor="text1"/>
            <w:lang w:val="es-ES"/>
          </w:rPr>
          <w:t>https://www.cbd.int/doc/c/0a39/b06a/29773739bb67640a77ffe835/cop-15-17-es.pdf</w:t>
        </w:r>
      </w:hyperlink>
    </w:p>
    <w:p w14:paraId="0E99732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2025a. CBD/SBSTTA/27/10: Informe de la 27ª reunión del Órgano Subsidiario de Asesoramiento Científico, Técnico y Tecnológico. Secretaría del Convenio sobre la Diversidad Biológica, Panamá. Disponible en: </w:t>
      </w:r>
      <w:hyperlink r:id="rId273" w:history="1">
        <w:r w:rsidRPr="008F15F1">
          <w:rPr>
            <w:color w:val="000000" w:themeColor="text1"/>
            <w:lang w:val="es-ES"/>
          </w:rPr>
          <w:t>https://www.cbd.int/doc/c/e897/1bb2/bf83c3c058034c7256ad2cc5/sbstta-27-10-es.pdf</w:t>
        </w:r>
      </w:hyperlink>
    </w:p>
    <w:p w14:paraId="2FE4239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2025b. CBD/SB8J/REC/1/5: Provisión de asesoramiento en materia de conocimientos tradicionales para el informe mundial sobre los progresos colectivos en la implementación del Marco Mundial de Biodiversidad de Kunming-Montreal. Secretaría del Convenio sobre la Diversidad Biológica, Panamá. Disponible en: </w:t>
      </w:r>
      <w:hyperlink r:id="rId274" w:history="1">
        <w:r w:rsidRPr="008F15F1">
          <w:rPr>
            <w:color w:val="000000" w:themeColor="text1"/>
            <w:lang w:val="es-ES"/>
          </w:rPr>
          <w:t>https://www.cbd.int/doc/recommendations/sb8j-01/sb8j-01-rec-05-es.pdf</w:t>
        </w:r>
      </w:hyperlink>
      <w:r w:rsidRPr="008F15F1">
        <w:rPr>
          <w:lang w:val="es-ES"/>
        </w:rPr>
        <w:t xml:space="preserve"> (consultado el 29 de julio de 2026)</w:t>
      </w:r>
    </w:p>
    <w:p w14:paraId="5E374CEC"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CDB, 2025c. Work under the Convention on Biological Diversity (CBD) relevant to the Agreement under UNCLOS on the Conservation and Sustainable Use of Marine Biological Diversity of Areas beyond National Jurisdiction (BBNJ Agreement). </w:t>
      </w:r>
      <w:r w:rsidRPr="008F15F1">
        <w:rPr>
          <w:lang w:val="es-ES"/>
        </w:rPr>
        <w:t xml:space="preserve">Secretaría del Convenio sobre la Diversidad Biológica, Montreal. Disponible en: </w:t>
      </w:r>
      <w:hyperlink r:id="rId275" w:history="1">
        <w:r w:rsidRPr="008F15F1">
          <w:rPr>
            <w:color w:val="000000" w:themeColor="text1"/>
            <w:lang w:val="es-ES"/>
          </w:rPr>
          <w:t>https://www.cbd.int/doc/publications/cbd-bbnj-booklet-en.pdf</w:t>
        </w:r>
      </w:hyperlink>
      <w:r w:rsidRPr="008F15F1">
        <w:rPr>
          <w:lang w:val="es-ES"/>
        </w:rPr>
        <w:t xml:space="preserve"> (consultado el 17 de abril de 2026)</w:t>
      </w:r>
    </w:p>
    <w:p w14:paraId="0A8EE27D"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2026. CBD/COP/16/13/Rev.1: Informe de la 16ª reunión de la Conferencia de las Partes en el Convenio sobre la Diversidad Biológica. Secretaría del Convenio sobre la Diversidad Biológica, Roma. Disponible en: </w:t>
      </w:r>
      <w:hyperlink r:id="rId276" w:history="1">
        <w:r w:rsidRPr="008F15F1">
          <w:rPr>
            <w:color w:val="000000" w:themeColor="text1"/>
            <w:lang w:val="es-ES"/>
          </w:rPr>
          <w:t>https://www.cbd.int/doc/c/a461/eac8/b064e3a0654ee41a656bade9/cop-16-13-rev1-es.pdf</w:t>
        </w:r>
      </w:hyperlink>
    </w:p>
    <w:p w14:paraId="2693865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CDB, Convención sobre los Humedales, 2024. </w:t>
      </w:r>
      <w:r w:rsidRPr="008F15F1">
        <w:rPr>
          <w:lang w:val="en-US"/>
        </w:rPr>
        <w:t xml:space="preserve">CBD/COP/16/INF/19: Sixth joint work plan (2024-2030) of the Convention on Biological Diversity and the Convention on Wetlands of International Importance especially as Waterfowl Habitat. </w:t>
      </w:r>
      <w:r w:rsidRPr="008F15F1">
        <w:rPr>
          <w:lang w:val="es-ES"/>
        </w:rPr>
        <w:t xml:space="preserve">Secretaría del Convenio sobre la Diversidad Biológica, Cali. Disponible en: </w:t>
      </w:r>
      <w:hyperlink r:id="rId277" w:history="1">
        <w:r w:rsidRPr="008F15F1">
          <w:rPr>
            <w:color w:val="000000" w:themeColor="text1"/>
            <w:lang w:val="es-ES"/>
          </w:rPr>
          <w:t>https://www.cbd.int/doc/c/9064/7ac2/28ce9b98f96e723a731f3361/cop-16-inf-19-en.pdf</w:t>
        </w:r>
      </w:hyperlink>
      <w:r w:rsidRPr="008F15F1">
        <w:rPr>
          <w:lang w:val="es-ES"/>
        </w:rPr>
        <w:t xml:space="preserve"> (consultado el 21 de mayo de 2026)</w:t>
      </w:r>
    </w:p>
    <w:p w14:paraId="0495828A"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CDP, 2025. Target 15 data: CDP monitoring of the global biodiversity framework (GBF) target 15.1. </w:t>
      </w:r>
      <w:r w:rsidRPr="008F15F1">
        <w:rPr>
          <w:lang w:val="es-ES"/>
        </w:rPr>
        <w:t xml:space="preserve">CDP </w:t>
      </w:r>
      <w:proofErr w:type="spellStart"/>
      <w:r w:rsidRPr="008F15F1">
        <w:rPr>
          <w:lang w:val="es-ES"/>
        </w:rPr>
        <w:t>Worldwide</w:t>
      </w:r>
      <w:proofErr w:type="spellEnd"/>
      <w:r w:rsidRPr="008F15F1">
        <w:rPr>
          <w:lang w:val="es-ES"/>
        </w:rPr>
        <w:t xml:space="preserve">. Disponible en: </w:t>
      </w:r>
      <w:hyperlink r:id="rId278" w:history="1">
        <w:r w:rsidRPr="008F15F1">
          <w:rPr>
            <w:color w:val="000000" w:themeColor="text1"/>
            <w:lang w:val="es-ES"/>
          </w:rPr>
          <w:t>https://www.cdp.net/en/data/monitoring-gbf</w:t>
        </w:r>
      </w:hyperlink>
    </w:p>
    <w:p w14:paraId="76BD8DD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CEPE, 1979. Convenio de 1979 sobre la Contaminación Atmosférica Transfronteriza a Gran Distancia. Disponible en: </w:t>
      </w:r>
      <w:hyperlink r:id="rId279" w:history="1">
        <w:r w:rsidRPr="008F15F1">
          <w:rPr>
            <w:color w:val="000000" w:themeColor="text1"/>
            <w:lang w:val="es-ES"/>
          </w:rPr>
          <w:t>https://unece.org/sites/default/files/2021-05/1979%20CLRTAP.e.pdf</w:t>
        </w:r>
      </w:hyperlink>
    </w:p>
    <w:p w14:paraId="60F69923"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CEPE, 1998. Convención sobre el Acceso a la Información, la Participación del Público en la Toma de Decisiones y el Acceso a la Justicia en Asuntos Ambientales. Comisión Económica para Europa de las Naciones Unidas (CEPE), Aarhus. Disponible en: </w:t>
      </w:r>
      <w:hyperlink r:id="rId280" w:history="1">
        <w:r w:rsidRPr="008F15F1">
          <w:rPr>
            <w:color w:val="000000" w:themeColor="text1"/>
            <w:lang w:val="es-ES"/>
          </w:rPr>
          <w:t>https://unece.org/environment-policy/public-participation/aarhus-convention/text</w:t>
        </w:r>
      </w:hyperlink>
      <w:r w:rsidRPr="008F15F1">
        <w:rPr>
          <w:lang w:val="es-ES"/>
        </w:rPr>
        <w:t xml:space="preserve"> (consultado el 27 de julio de 2026)</w:t>
      </w:r>
    </w:p>
    <w:p w14:paraId="6F5DCAA0"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CITES, 2025a. Comunicación de la Secretaría de la Convención sobre el Comercio Internacional de Especies Amenazadas de Fauna y Flora Silvestres (CITES) en respuesta a la notificación núm. 2025-099 del CDB. Secretaría del Convenio sobre la Diversidad Biológica, Montreal. Disponible en: </w:t>
      </w:r>
      <w:hyperlink r:id="rId281" w:history="1">
        <w:r w:rsidRPr="008F15F1">
          <w:rPr>
            <w:color w:val="000000" w:themeColor="text1"/>
            <w:lang w:val="es-ES"/>
          </w:rPr>
          <w:t>https://www.cbd.int/notifications/2025-099</w:t>
        </w:r>
      </w:hyperlink>
      <w:r w:rsidRPr="008F15F1">
        <w:rPr>
          <w:lang w:val="es-ES"/>
        </w:rPr>
        <w:t xml:space="preserve"> (consultado el 21 de mayo de 2026)</w:t>
      </w:r>
    </w:p>
    <w:p w14:paraId="7C334013" w14:textId="77777777" w:rsidR="008F15F1" w:rsidRPr="008F15F1" w:rsidRDefault="008F15F1" w:rsidP="008F15F1">
      <w:pPr>
        <w:tabs>
          <w:tab w:val="left" w:pos="380"/>
        </w:tabs>
        <w:spacing w:after="0" w:line="240" w:lineRule="auto"/>
        <w:ind w:left="720" w:hanging="720"/>
        <w:rPr>
          <w:lang w:val="es-ES"/>
        </w:rPr>
      </w:pPr>
      <w:r w:rsidRPr="008F15F1">
        <w:rPr>
          <w:lang w:val="es-ES"/>
        </w:rPr>
        <w:t>CITES, 2025b. SC79 Doc. 6.4: Palisandros y palos de rosa (</w:t>
      </w:r>
      <w:proofErr w:type="spellStart"/>
      <w:r w:rsidRPr="008F15F1">
        <w:rPr>
          <w:i/>
          <w:iCs/>
          <w:lang w:val="es-ES"/>
        </w:rPr>
        <w:t>Dalbergia</w:t>
      </w:r>
      <w:proofErr w:type="spellEnd"/>
      <w:r w:rsidRPr="008F15F1">
        <w:rPr>
          <w:lang w:val="es-ES"/>
        </w:rPr>
        <w:t xml:space="preserve"> </w:t>
      </w:r>
      <w:proofErr w:type="spellStart"/>
      <w:r w:rsidRPr="008F15F1">
        <w:rPr>
          <w:lang w:val="es-ES"/>
        </w:rPr>
        <w:t>spp</w:t>
      </w:r>
      <w:proofErr w:type="spellEnd"/>
      <w:r w:rsidRPr="008F15F1">
        <w:rPr>
          <w:lang w:val="es-ES"/>
        </w:rPr>
        <w:t>.) y ébanos (</w:t>
      </w:r>
      <w:proofErr w:type="spellStart"/>
      <w:r w:rsidRPr="008F15F1">
        <w:rPr>
          <w:i/>
          <w:iCs/>
          <w:lang w:val="es-ES"/>
        </w:rPr>
        <w:t>Diospyros</w:t>
      </w:r>
      <w:proofErr w:type="spellEnd"/>
      <w:r w:rsidRPr="008F15F1">
        <w:rPr>
          <w:lang w:val="es-ES"/>
        </w:rPr>
        <w:t xml:space="preserve"> </w:t>
      </w:r>
      <w:proofErr w:type="spellStart"/>
      <w:r w:rsidRPr="008F15F1">
        <w:rPr>
          <w:lang w:val="es-ES"/>
        </w:rPr>
        <w:t>spp</w:t>
      </w:r>
      <w:proofErr w:type="spellEnd"/>
      <w:r w:rsidRPr="008F15F1">
        <w:rPr>
          <w:lang w:val="es-ES"/>
        </w:rPr>
        <w:t xml:space="preserve">.) de Madagascar. Secretaría de la Convención sobre el Comercio Internacional de Especies Amenazadas de Fauna y Flora Silvestres, Samarcanda. Disponible en: </w:t>
      </w:r>
      <w:hyperlink r:id="rId282" w:history="1">
        <w:r w:rsidRPr="008F15F1">
          <w:rPr>
            <w:color w:val="000000" w:themeColor="text1"/>
            <w:lang w:val="es-ES"/>
          </w:rPr>
          <w:t>https://cites.org/esp/sc/79/agenda-documents</w:t>
        </w:r>
      </w:hyperlink>
      <w:r w:rsidRPr="008F15F1">
        <w:rPr>
          <w:lang w:val="es-ES"/>
        </w:rPr>
        <w:t xml:space="preserve"> (consultado el 21 de mayo de 2026)</w:t>
      </w:r>
    </w:p>
    <w:p w14:paraId="552E2518"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CITES, 2025c. Conf. 16.4 (Rev. CoP20): Cooperación de la CITES con otras convenciones relacionadas con la diversidad biológica. Secretaría de la Convención sobre el Comercio Internacional de Especies Amenazadas de Fauna y Flora Silvestres, Samarcanda. Disponible en: </w:t>
      </w:r>
      <w:hyperlink r:id="rId283" w:history="1">
        <w:r w:rsidRPr="008F15F1">
          <w:rPr>
            <w:color w:val="000000" w:themeColor="text1"/>
            <w:lang w:val="es-ES"/>
          </w:rPr>
          <w:t>https://cites.org/esp/res/index.php</w:t>
        </w:r>
      </w:hyperlink>
      <w:r w:rsidRPr="008F15F1">
        <w:rPr>
          <w:lang w:val="es-ES"/>
        </w:rPr>
        <w:t xml:space="preserve"> (consultado el 31 de julio de 2026)</w:t>
      </w:r>
    </w:p>
    <w:p w14:paraId="6651DDD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CITES, 2025d. Conf. 18.3 (Rev. CoP20): Visión Estratégica de la CITES: 2021-2030. Secretaría de la Convención sobre el Comercio Internacional de Especies Amenazadas de Fauna y Flora Silvestres, Samarcanda. Disponible en: </w:t>
      </w:r>
      <w:hyperlink r:id="rId284" w:history="1">
        <w:r w:rsidRPr="008F15F1">
          <w:rPr>
            <w:color w:val="000000" w:themeColor="text1"/>
            <w:lang w:val="es-ES"/>
          </w:rPr>
          <w:t>https://cites.org/esp/res/index.php</w:t>
        </w:r>
      </w:hyperlink>
      <w:r w:rsidRPr="008F15F1">
        <w:rPr>
          <w:lang w:val="es-ES"/>
        </w:rPr>
        <w:t xml:space="preserve"> (consultado el 31 de julio de 2026)</w:t>
      </w:r>
    </w:p>
    <w:p w14:paraId="6DB94073"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CITES, 2026. 2026/005: Notificación a las Partes relativa a las Enmiendas a los Apéndices I y II de la Convención aprobadas por la Conferencia de las Partes en su 20ª reunión (Samarcanda, 24 de noviembre-5 de diciembre de 2025). Secretaría de la Convención sobre el Comercio Internacional de Especies Amenazadas de Fauna y Flora Silvestres, Ginebra. Disponible en: </w:t>
      </w:r>
      <w:hyperlink r:id="rId285" w:history="1">
        <w:r w:rsidRPr="008F15F1">
          <w:rPr>
            <w:color w:val="000000" w:themeColor="text1"/>
            <w:lang w:val="es-ES"/>
          </w:rPr>
          <w:t>https://cites.org/sites/default/files/notifications/S-Notif-2026-005_0.pdf</w:t>
        </w:r>
      </w:hyperlink>
      <w:r w:rsidRPr="008F15F1">
        <w:rPr>
          <w:lang w:val="es-ES"/>
        </w:rPr>
        <w:t xml:space="preserve"> (consultado el 21 de mayo de 2026)</w:t>
      </w:r>
    </w:p>
    <w:p w14:paraId="76EA5B75"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CLD, 2015. 3/COP.12: Integración de los Objetivos de Desarrollo Sostenible y sus metas en la aplicación de la Convención de las Naciones Unidas de Lucha contra la </w:t>
      </w:r>
      <w:r w:rsidRPr="008F15F1">
        <w:rPr>
          <w:lang w:val="es-ES"/>
        </w:rPr>
        <w:lastRenderedPageBreak/>
        <w:t xml:space="preserve">Desertificación y el informe del Grupo de Trabajo Intergubernamental sobre la Neutralización de la Degradación de las Tierras. Secretaría de la Convención de las Naciones Unidas de Lucha contra la Desertificación, Ankara. Disponible en: </w:t>
      </w:r>
      <w:hyperlink r:id="rId286" w:history="1">
        <w:r w:rsidRPr="008F15F1">
          <w:rPr>
            <w:color w:val="000000" w:themeColor="text1"/>
            <w:lang w:val="es-ES"/>
          </w:rPr>
          <w:t>https://www.unccd.int/sites/default/files/sessions/documents/ICCD_COP12_20_Add.1/20add1spa.pdf</w:t>
        </w:r>
      </w:hyperlink>
      <w:r w:rsidRPr="008F15F1">
        <w:rPr>
          <w:lang w:val="es-ES"/>
        </w:rPr>
        <w:t xml:space="preserve"> (consultado el 21 de mayo de 2026)</w:t>
      </w:r>
    </w:p>
    <w:p w14:paraId="17C39610"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CLD, 2022. UNCCD Data Dashboard: Proportion of degraded land over the total land area – Africa. </w:t>
      </w:r>
      <w:r w:rsidRPr="008F15F1">
        <w:rPr>
          <w:lang w:val="es-ES"/>
        </w:rPr>
        <w:t xml:space="preserve">Secretaría de la Convención de las Naciones Unidas de Lucha contra la Desertificación, Bonn. Disponible en: </w:t>
      </w:r>
      <w:hyperlink r:id="rId287" w:history="1">
        <w:r w:rsidRPr="008F15F1">
          <w:rPr>
            <w:color w:val="000000" w:themeColor="text1"/>
            <w:lang w:val="es-ES"/>
          </w:rPr>
          <w:t>https://data.unccd.int/land-degradation?grouping=UNCCD&amp;region=aprL8rz</w:t>
        </w:r>
      </w:hyperlink>
    </w:p>
    <w:p w14:paraId="45608F5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CLD, 2024a. Decisión 19/COP.16: Evitar, reducir y revertir la degradación de las tierras y el suelo en tierras agrícolas. CLD. Disponible en: </w:t>
      </w:r>
      <w:hyperlink r:id="rId288" w:history="1">
        <w:r w:rsidRPr="008F15F1">
          <w:rPr>
            <w:color w:val="000000" w:themeColor="text1"/>
            <w:lang w:val="es-ES"/>
          </w:rPr>
          <w:t>https://www.unccd.int/sites/default/files/2025-03/2424652S.pdf</w:t>
        </w:r>
      </w:hyperlink>
    </w:p>
    <w:p w14:paraId="24681144"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CLD, 2024b. Decisión 29/COP.16: Pastizales y pastores. CLD. Disponible en: </w:t>
      </w:r>
      <w:hyperlink r:id="rId289" w:history="1">
        <w:r w:rsidRPr="008F15F1">
          <w:rPr>
            <w:color w:val="000000" w:themeColor="text1"/>
            <w:lang w:val="es-ES"/>
          </w:rPr>
          <w:t>https://www.unccd.int/sites/default/files/2025-03/2424652S.pdf</w:t>
        </w:r>
      </w:hyperlink>
    </w:p>
    <w:p w14:paraId="476B1F9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CLD, 2025. Comunicación de la Secretaría de la Convención de las Naciones Unidas de Lucha contra la Desertificación (CLD) en respuesta a la notificación núm. 2025-099 del CDB. Secretaría del Convenio sobre la Diversidad Biológica. Disponible en: </w:t>
      </w:r>
      <w:hyperlink r:id="rId290" w:history="1">
        <w:r w:rsidRPr="008F15F1">
          <w:rPr>
            <w:color w:val="000000" w:themeColor="text1"/>
            <w:lang w:val="es-ES"/>
          </w:rPr>
          <w:t>https://www.cbd.int/notifications/2025-099</w:t>
        </w:r>
      </w:hyperlink>
      <w:r w:rsidRPr="008F15F1">
        <w:rPr>
          <w:lang w:val="es-ES"/>
        </w:rPr>
        <w:t xml:space="preserve"> (consultado el 21 de mayo de 2026)</w:t>
      </w:r>
    </w:p>
    <w:p w14:paraId="73A6CA8D"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CMNUCC, 2024a. Yearbook of Global Climate Action 2024: Marrakech Partnership for Global Climate Action. </w:t>
      </w:r>
      <w:r w:rsidRPr="008F15F1">
        <w:rPr>
          <w:lang w:val="es-ES"/>
        </w:rPr>
        <w:t xml:space="preserve">Secretaría de la Convención Marco de las Naciones Unidas sobre el Cambio Climático, Bonn. Disponible en: </w:t>
      </w:r>
      <w:hyperlink r:id="rId291" w:history="1">
        <w:r w:rsidRPr="008F15F1">
          <w:rPr>
            <w:color w:val="000000" w:themeColor="text1"/>
            <w:lang w:val="es-ES"/>
          </w:rPr>
          <w:t>https://unfccc.int/documents/642847</w:t>
        </w:r>
      </w:hyperlink>
      <w:r w:rsidRPr="008F15F1">
        <w:rPr>
          <w:lang w:val="es-ES"/>
        </w:rPr>
        <w:t xml:space="preserve"> (consultado el 12 de junio de 2026)</w:t>
      </w:r>
    </w:p>
    <w:p w14:paraId="60B56AF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CMNUCC, 2024b. Decisión 2/CMA.5: Objetivo mundial relativo a la adaptación. Secretaría de la Convención Marco de las Naciones Unidas sobre el Cambio Climático, Emiratos Árabes Unidos. Disponible en: </w:t>
      </w:r>
      <w:hyperlink r:id="rId292" w:history="1">
        <w:r w:rsidRPr="008F15F1">
          <w:rPr>
            <w:color w:val="000000" w:themeColor="text1"/>
            <w:lang w:val="es-ES"/>
          </w:rPr>
          <w:t>https://unfccc.int/sites/default/files/resource/cma2023_16a01S.pdf</w:t>
        </w:r>
      </w:hyperlink>
      <w:r w:rsidRPr="008F15F1">
        <w:rPr>
          <w:lang w:val="es-ES"/>
        </w:rPr>
        <w:t xml:space="preserve"> (consultado el 27 de julio de 2026)</w:t>
      </w:r>
    </w:p>
    <w:p w14:paraId="2AD6A882"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CMNUCC, 2025. FCCC/PA/CMA/2025/8: Nationally determined contributions under the Paris Agreement. </w:t>
      </w:r>
      <w:proofErr w:type="spellStart"/>
      <w:r w:rsidRPr="008F15F1">
        <w:rPr>
          <w:lang w:val="es-ES"/>
        </w:rPr>
        <w:t>Synthesis</w:t>
      </w:r>
      <w:proofErr w:type="spellEnd"/>
      <w:r w:rsidRPr="008F15F1">
        <w:rPr>
          <w:lang w:val="es-ES"/>
        </w:rPr>
        <w:t xml:space="preserve"> </w:t>
      </w:r>
      <w:proofErr w:type="spellStart"/>
      <w:r w:rsidRPr="008F15F1">
        <w:rPr>
          <w:lang w:val="es-ES"/>
        </w:rPr>
        <w:t>report</w:t>
      </w:r>
      <w:proofErr w:type="spellEnd"/>
      <w:r w:rsidRPr="008F15F1">
        <w:rPr>
          <w:lang w:val="es-ES"/>
        </w:rPr>
        <w:t xml:space="preserve"> </w:t>
      </w:r>
      <w:proofErr w:type="spellStart"/>
      <w:r w:rsidRPr="008F15F1">
        <w:rPr>
          <w:lang w:val="es-ES"/>
        </w:rPr>
        <w:t>by</w:t>
      </w:r>
      <w:proofErr w:type="spellEnd"/>
      <w:r w:rsidRPr="008F15F1">
        <w:rPr>
          <w:lang w:val="es-ES"/>
        </w:rPr>
        <w:t xml:space="preserve"> the secretariat. Secretaría de la Convención Marco de las Naciones Unidas sobre el Cambio Climático, Bonn. Disponible en: </w:t>
      </w:r>
      <w:hyperlink r:id="rId293" w:history="1">
        <w:r w:rsidRPr="008F15F1">
          <w:rPr>
            <w:color w:val="000000" w:themeColor="text1"/>
            <w:lang w:val="es-ES"/>
          </w:rPr>
          <w:t>https://unfccc.int/documents/650664</w:t>
        </w:r>
      </w:hyperlink>
      <w:r w:rsidRPr="008F15F1">
        <w:rPr>
          <w:lang w:val="es-ES"/>
        </w:rPr>
        <w:t xml:space="preserve"> (consultado el 11 de agosto de 2026)</w:t>
      </w:r>
    </w:p>
    <w:p w14:paraId="080B3DF9" w14:textId="77777777" w:rsidR="008F15F1" w:rsidRPr="00673184" w:rsidRDefault="008F15F1" w:rsidP="008F15F1">
      <w:pPr>
        <w:tabs>
          <w:tab w:val="left" w:pos="380"/>
        </w:tabs>
        <w:spacing w:after="0" w:line="240" w:lineRule="auto"/>
        <w:ind w:left="720" w:hanging="720"/>
        <w:rPr>
          <w:lang w:val="en-US"/>
        </w:rPr>
      </w:pPr>
      <w:r w:rsidRPr="008F15F1">
        <w:rPr>
          <w:lang w:val="en-US"/>
        </w:rPr>
        <w:t xml:space="preserve">CMS, 2008. ACTION PLAN FOR THE CONSERVATION OF MIGRATORY BIRDS OF PREY IN AFRICA AND EURASIA. </w:t>
      </w:r>
      <w:r w:rsidRPr="00673184">
        <w:rPr>
          <w:lang w:val="en-US"/>
        </w:rPr>
        <w:t xml:space="preserve">Disponible en: </w:t>
      </w:r>
      <w:r>
        <w:fldChar w:fldCharType="begin"/>
      </w:r>
      <w:r w:rsidRPr="00942359">
        <w:rPr>
          <w:lang w:val="en-US"/>
        </w:rPr>
        <w:instrText>HYPERLINK "https://raptors.cms.int/sites/default/files/document/Raptors_Action_Plan_E_0.pdf"</w:instrText>
      </w:r>
      <w:r>
        <w:fldChar w:fldCharType="separate"/>
      </w:r>
      <w:r w:rsidRPr="00673184">
        <w:rPr>
          <w:color w:val="000000" w:themeColor="text1"/>
          <w:lang w:val="en-US"/>
        </w:rPr>
        <w:t>https://raptors.cms.int/sites/default/files/document/Raptors_Action_Plan_E_0.pdf</w:t>
      </w:r>
      <w:r>
        <w:fldChar w:fldCharType="end"/>
      </w:r>
    </w:p>
    <w:p w14:paraId="32553C85"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CMS, 2021. UNEP/CMS/Saiga/MOS4/Outcome 1: Medium-Term International Work Programme for the Saiga Antelope (2021-2025). </w:t>
      </w:r>
      <w:r w:rsidRPr="008F15F1">
        <w:rPr>
          <w:lang w:val="es-ES"/>
        </w:rPr>
        <w:t xml:space="preserve">Secretaría de la Convención sobre la Conservación de las Especies Migratorias de Animales Silvestres, Bonn. Disponible en: </w:t>
      </w:r>
      <w:hyperlink r:id="rId294" w:history="1">
        <w:r w:rsidRPr="008F15F1">
          <w:rPr>
            <w:color w:val="000000" w:themeColor="text1"/>
            <w:lang w:val="es-ES"/>
          </w:rPr>
          <w:t>https://saiga.cms.int/document/medium-term-international-work-programme-saiga-antelope-2021-2025</w:t>
        </w:r>
      </w:hyperlink>
    </w:p>
    <w:p w14:paraId="0AFF839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CMS, 2023. UNEP/CMS/COP15/CRP18.3: Contribución de la CMS al Marco Mundial de Biodiversidad de Kunming-Montreal. Secretaría de la Convención sobre la Conservación de las Especies Migratorias de Animales Silvestres, Campo Grande. Disponible en: </w:t>
      </w:r>
      <w:hyperlink r:id="rId295" w:history="1">
        <w:r w:rsidRPr="008F15F1">
          <w:rPr>
            <w:color w:val="000000" w:themeColor="text1"/>
            <w:lang w:val="es-ES"/>
          </w:rPr>
          <w:t>https://www.cms.int/document/cms-contribution-</w:t>
        </w:r>
        <w:r w:rsidRPr="008F15F1">
          <w:rPr>
            <w:color w:val="000000" w:themeColor="text1"/>
            <w:lang w:val="es-ES"/>
          </w:rPr>
          <w:lastRenderedPageBreak/>
          <w:t>kunming-montreal-global-biodiversity-framework-1</w:t>
        </w:r>
      </w:hyperlink>
      <w:r w:rsidRPr="008F15F1">
        <w:rPr>
          <w:lang w:val="es-ES"/>
        </w:rPr>
        <w:t xml:space="preserve"> (consultado el 17 de abril de 2026)</w:t>
      </w:r>
    </w:p>
    <w:p w14:paraId="076850CA" w14:textId="77777777" w:rsidR="008F15F1" w:rsidRPr="008F15F1" w:rsidRDefault="008F15F1" w:rsidP="008F15F1">
      <w:pPr>
        <w:tabs>
          <w:tab w:val="left" w:pos="380"/>
        </w:tabs>
        <w:spacing w:after="0" w:line="240" w:lineRule="auto"/>
        <w:ind w:left="720" w:hanging="720"/>
        <w:rPr>
          <w:lang w:val="es-ES"/>
        </w:rPr>
      </w:pPr>
      <w:r w:rsidRPr="008F15F1">
        <w:rPr>
          <w:lang w:val="es-ES"/>
        </w:rPr>
        <w:t>CMS, 2024. UNEP/CMS/Resolución 14.16: Conectividad ecológica. Secretaría de la Convención sobre la Conservación de las Especies Migratorias de Animales Silvestres, Samarcanda.</w:t>
      </w:r>
    </w:p>
    <w:p w14:paraId="47EFFE7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CMS, 2025a. Comunicación de la Secretaría de la Convención sobre la Conservación de las Especies Migratorias de Animales Silvestres (CMS) en respuesta a la notificación núm. 2025-099 del CDB. Secretaría del Convenio sobre la Diversidad Biológica, Montreal. Disponible en: </w:t>
      </w:r>
      <w:hyperlink r:id="rId296" w:history="1">
        <w:r w:rsidRPr="008F15F1">
          <w:rPr>
            <w:color w:val="000000" w:themeColor="text1"/>
            <w:lang w:val="es-ES"/>
          </w:rPr>
          <w:t>https://www.cbd.int/notifications/2025-099</w:t>
        </w:r>
      </w:hyperlink>
      <w:r w:rsidRPr="008F15F1">
        <w:rPr>
          <w:lang w:val="es-ES"/>
        </w:rPr>
        <w:t xml:space="preserve"> (consultado el 21 de mayo de 2026)</w:t>
      </w:r>
    </w:p>
    <w:p w14:paraId="5D012392" w14:textId="77777777" w:rsidR="008F15F1" w:rsidRPr="008F15F1" w:rsidRDefault="008F15F1" w:rsidP="008F15F1">
      <w:pPr>
        <w:tabs>
          <w:tab w:val="left" w:pos="380"/>
        </w:tabs>
        <w:spacing w:after="0" w:line="240" w:lineRule="auto"/>
        <w:ind w:left="720" w:hanging="720"/>
        <w:rPr>
          <w:lang w:val="es-ES"/>
        </w:rPr>
      </w:pPr>
      <w:r w:rsidRPr="008F15F1">
        <w:rPr>
          <w:lang w:val="es-ES"/>
        </w:rPr>
        <w:t>CMS, 2025b. UNEP/CMS/COP15/Doc.15: Plan Estratégico de Samarcanda para las Especies Migratorias 2024-2032. Secretaría de la Convención sobre la Conservación de las Especies Migratorias de Animales Silvestres, Samarcanda. Disponible en: https://www.cms.int/document/strategic-plan-migratory-species-2024-2032 (consultado el 15 de julio de 2026)</w:t>
      </w:r>
    </w:p>
    <w:p w14:paraId="0FBE6ECF"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COI-UNESCO, 2024. State of the Ocean Report 2024. </w:t>
      </w:r>
      <w:r w:rsidRPr="008F15F1">
        <w:rPr>
          <w:lang w:val="es-ES"/>
        </w:rPr>
        <w:t xml:space="preserve">Serie Técnica de la COI N.º 190. Comisión Oceanográfica Intergubernamental de la UNESCO, París. </w:t>
      </w:r>
      <w:hyperlink r:id="rId297" w:history="1">
        <w:r w:rsidRPr="008F15F1">
          <w:rPr>
            <w:color w:val="000000" w:themeColor="text1"/>
            <w:lang w:val="es-ES"/>
          </w:rPr>
          <w:t>https://doi.org/10.25607/4WBG-D349</w:t>
        </w:r>
      </w:hyperlink>
    </w:p>
    <w:p w14:paraId="17ADBBB7" w14:textId="77777777" w:rsidR="008F15F1" w:rsidRPr="008F15F1" w:rsidRDefault="008F15F1" w:rsidP="008F15F1">
      <w:pPr>
        <w:tabs>
          <w:tab w:val="left" w:pos="380"/>
        </w:tabs>
        <w:spacing w:after="0" w:line="240" w:lineRule="auto"/>
        <w:ind w:left="720" w:hanging="720"/>
        <w:rPr>
          <w:lang w:val="es-ES"/>
        </w:rPr>
      </w:pPr>
      <w:r w:rsidRPr="00673184">
        <w:rPr>
          <w:lang w:val="es-ES"/>
        </w:rPr>
        <w:t xml:space="preserve">COI-UNESCO, Comisión Europea, 2022. </w:t>
      </w:r>
      <w:proofErr w:type="spellStart"/>
      <w:r w:rsidRPr="00673184">
        <w:rPr>
          <w:lang w:val="es-ES"/>
        </w:rPr>
        <w:t>Updated</w:t>
      </w:r>
      <w:proofErr w:type="spellEnd"/>
      <w:r w:rsidRPr="00673184">
        <w:rPr>
          <w:lang w:val="es-ES"/>
        </w:rPr>
        <w:t xml:space="preserve"> Joint </w:t>
      </w:r>
      <w:proofErr w:type="spellStart"/>
      <w:r w:rsidRPr="00673184">
        <w:rPr>
          <w:lang w:val="es-ES"/>
        </w:rPr>
        <w:t>Roadmap</w:t>
      </w:r>
      <w:proofErr w:type="spellEnd"/>
      <w:r w:rsidRPr="00673184">
        <w:rPr>
          <w:lang w:val="es-ES"/>
        </w:rPr>
        <w:t xml:space="preserve"> to </w:t>
      </w:r>
      <w:proofErr w:type="spellStart"/>
      <w:r w:rsidRPr="00673184">
        <w:rPr>
          <w:lang w:val="es-ES"/>
        </w:rPr>
        <w:t>accelerate</w:t>
      </w:r>
      <w:proofErr w:type="spellEnd"/>
      <w:r w:rsidRPr="00673184">
        <w:rPr>
          <w:lang w:val="es-ES"/>
        </w:rPr>
        <w:t xml:space="preserve"> Marine/</w:t>
      </w:r>
      <w:proofErr w:type="spellStart"/>
      <w:r w:rsidRPr="00673184">
        <w:rPr>
          <w:lang w:val="es-ES"/>
        </w:rPr>
        <w:t>Maritime</w:t>
      </w:r>
      <w:proofErr w:type="spellEnd"/>
      <w:r w:rsidRPr="00673184">
        <w:rPr>
          <w:lang w:val="es-ES"/>
        </w:rPr>
        <w:t xml:space="preserve"> </w:t>
      </w:r>
      <w:proofErr w:type="spellStart"/>
      <w:r w:rsidRPr="00673184">
        <w:rPr>
          <w:lang w:val="es-ES"/>
        </w:rPr>
        <w:t>Spatial</w:t>
      </w:r>
      <w:proofErr w:type="spellEnd"/>
      <w:r w:rsidRPr="00673184">
        <w:rPr>
          <w:lang w:val="es-ES"/>
        </w:rPr>
        <w:t xml:space="preserve"> </w:t>
      </w:r>
      <w:proofErr w:type="spellStart"/>
      <w:r w:rsidRPr="00673184">
        <w:rPr>
          <w:lang w:val="es-ES"/>
        </w:rPr>
        <w:t>Planning</w:t>
      </w:r>
      <w:proofErr w:type="spellEnd"/>
      <w:r w:rsidRPr="00673184">
        <w:rPr>
          <w:lang w:val="es-ES"/>
        </w:rPr>
        <w:t xml:space="preserve"> </w:t>
      </w:r>
      <w:proofErr w:type="spellStart"/>
      <w:r w:rsidRPr="00673184">
        <w:rPr>
          <w:lang w:val="es-ES"/>
        </w:rPr>
        <w:t>processes</w:t>
      </w:r>
      <w:proofErr w:type="spellEnd"/>
      <w:r w:rsidRPr="00673184">
        <w:rPr>
          <w:lang w:val="es-ES"/>
        </w:rPr>
        <w:t xml:space="preserve"> </w:t>
      </w:r>
      <w:proofErr w:type="spellStart"/>
      <w:r w:rsidRPr="00673184">
        <w:rPr>
          <w:lang w:val="es-ES"/>
        </w:rPr>
        <w:t>worldwide</w:t>
      </w:r>
      <w:proofErr w:type="spellEnd"/>
      <w:r w:rsidRPr="00673184">
        <w:rPr>
          <w:lang w:val="es-ES"/>
        </w:rPr>
        <w:t xml:space="preserve"> –</w:t>
      </w:r>
      <w:proofErr w:type="spellStart"/>
      <w:r w:rsidRPr="00673184">
        <w:rPr>
          <w:lang w:val="es-ES"/>
        </w:rPr>
        <w:t>MSProadmap</w:t>
      </w:r>
      <w:proofErr w:type="spellEnd"/>
      <w:r w:rsidRPr="00673184">
        <w:rPr>
          <w:lang w:val="es-ES"/>
        </w:rPr>
        <w:t xml:space="preserve"> (2022-2027), Serie Técnica de la COI. </w:t>
      </w:r>
      <w:r w:rsidRPr="008F15F1">
        <w:rPr>
          <w:lang w:val="es-ES"/>
        </w:rPr>
        <w:t xml:space="preserve">Organización de las Naciones Unidas para la Educación, la Ciencia y la Cultura, París. Disponible en: </w:t>
      </w:r>
      <w:hyperlink r:id="rId298" w:history="1">
        <w:r w:rsidRPr="008F15F1">
          <w:rPr>
            <w:color w:val="000000" w:themeColor="text1"/>
            <w:lang w:val="es-ES"/>
          </w:rPr>
          <w:t>https://unesdoc.unesco.org/ark:/48223/pf0000385718</w:t>
        </w:r>
      </w:hyperlink>
      <w:r w:rsidRPr="008F15F1">
        <w:rPr>
          <w:lang w:val="es-ES"/>
        </w:rPr>
        <w:t xml:space="preserve"> (consultado el 4 de agosto de 2026)</w:t>
      </w:r>
    </w:p>
    <w:p w14:paraId="7F071E03" w14:textId="77777777" w:rsidR="008F15F1" w:rsidRPr="008F15F1" w:rsidRDefault="008F15F1" w:rsidP="008F15F1">
      <w:pPr>
        <w:tabs>
          <w:tab w:val="left" w:pos="380"/>
        </w:tabs>
        <w:spacing w:after="0" w:line="240" w:lineRule="auto"/>
        <w:ind w:left="720" w:hanging="720"/>
        <w:rPr>
          <w:lang w:val="es-ES"/>
        </w:rPr>
      </w:pPr>
      <w:r w:rsidRPr="00673184">
        <w:rPr>
          <w:lang w:val="es-ES"/>
        </w:rPr>
        <w:t xml:space="preserve">COI-UNESCO, Comisión Europea, 2025. </w:t>
      </w:r>
      <w:proofErr w:type="spellStart"/>
      <w:r w:rsidRPr="00673184">
        <w:rPr>
          <w:lang w:val="es-ES"/>
        </w:rPr>
        <w:t>MSPglobal</w:t>
      </w:r>
      <w:proofErr w:type="spellEnd"/>
      <w:r w:rsidRPr="00673184">
        <w:rPr>
          <w:lang w:val="es-ES"/>
        </w:rPr>
        <w:t xml:space="preserve"> </w:t>
      </w:r>
      <w:proofErr w:type="spellStart"/>
      <w:r w:rsidRPr="00673184">
        <w:rPr>
          <w:lang w:val="es-ES"/>
        </w:rPr>
        <w:t>international</w:t>
      </w:r>
      <w:proofErr w:type="spellEnd"/>
      <w:r w:rsidRPr="00673184">
        <w:rPr>
          <w:lang w:val="es-ES"/>
        </w:rPr>
        <w:t xml:space="preserve"> guide </w:t>
      </w:r>
      <w:proofErr w:type="spellStart"/>
      <w:r w:rsidRPr="00673184">
        <w:rPr>
          <w:lang w:val="es-ES"/>
        </w:rPr>
        <w:t>on</w:t>
      </w:r>
      <w:proofErr w:type="spellEnd"/>
      <w:r w:rsidRPr="00673184">
        <w:rPr>
          <w:lang w:val="es-ES"/>
        </w:rPr>
        <w:t xml:space="preserve"> marine/</w:t>
      </w:r>
      <w:proofErr w:type="spellStart"/>
      <w:r w:rsidRPr="00673184">
        <w:rPr>
          <w:lang w:val="es-ES"/>
        </w:rPr>
        <w:t>maritime</w:t>
      </w:r>
      <w:proofErr w:type="spellEnd"/>
      <w:r w:rsidRPr="00673184">
        <w:rPr>
          <w:lang w:val="es-ES"/>
        </w:rPr>
        <w:t xml:space="preserve"> </w:t>
      </w:r>
      <w:proofErr w:type="spellStart"/>
      <w:r w:rsidRPr="00673184">
        <w:rPr>
          <w:lang w:val="es-ES"/>
        </w:rPr>
        <w:t>spatial</w:t>
      </w:r>
      <w:proofErr w:type="spellEnd"/>
      <w:r w:rsidRPr="00673184">
        <w:rPr>
          <w:lang w:val="es-ES"/>
        </w:rPr>
        <w:t xml:space="preserve"> </w:t>
      </w:r>
      <w:proofErr w:type="spellStart"/>
      <w:r w:rsidRPr="00673184">
        <w:rPr>
          <w:lang w:val="es-ES"/>
        </w:rPr>
        <w:t>planning</w:t>
      </w:r>
      <w:proofErr w:type="spellEnd"/>
      <w:r w:rsidRPr="00673184">
        <w:rPr>
          <w:lang w:val="es-ES"/>
        </w:rPr>
        <w:t xml:space="preserve">, </w:t>
      </w:r>
      <w:proofErr w:type="spellStart"/>
      <w:r w:rsidRPr="00673184">
        <w:rPr>
          <w:lang w:val="es-ES"/>
        </w:rPr>
        <w:t>volume</w:t>
      </w:r>
      <w:proofErr w:type="spellEnd"/>
      <w:r w:rsidRPr="00673184">
        <w:rPr>
          <w:lang w:val="es-ES"/>
        </w:rPr>
        <w:t xml:space="preserve"> 2: Biodiversity Inclusive </w:t>
      </w:r>
      <w:proofErr w:type="spellStart"/>
      <w:r w:rsidRPr="00673184">
        <w:rPr>
          <w:lang w:val="es-ES"/>
        </w:rPr>
        <w:t>Principle</w:t>
      </w:r>
      <w:proofErr w:type="spellEnd"/>
      <w:r w:rsidRPr="00673184">
        <w:rPr>
          <w:lang w:val="es-ES"/>
        </w:rPr>
        <w:t xml:space="preserve">. </w:t>
      </w:r>
      <w:r w:rsidRPr="008F15F1">
        <w:rPr>
          <w:lang w:val="es-ES"/>
        </w:rPr>
        <w:t xml:space="preserve">Manuales y guías de la COI. Organización de las Naciones Unidas para la Educación, la Ciencia y la Cultura, París. Disponible en: </w:t>
      </w:r>
      <w:hyperlink r:id="rId299" w:history="1">
        <w:r w:rsidRPr="008F15F1">
          <w:rPr>
            <w:color w:val="000000" w:themeColor="text1"/>
            <w:lang w:val="es-ES"/>
          </w:rPr>
          <w:t>https://unesdoc.unesco.org/ark:/48223/pf0000395354</w:t>
        </w:r>
      </w:hyperlink>
      <w:r w:rsidRPr="008F15F1">
        <w:rPr>
          <w:lang w:val="es-ES"/>
        </w:rPr>
        <w:t xml:space="preserve"> (consultado el 4 de agosto de 2026)</w:t>
      </w:r>
    </w:p>
    <w:p w14:paraId="4F1764AE"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Comisión Económica para América Latina y el Caribe (CEPAL), 2018. LC/PUB.2018/8: Acuerdo Regional sobre el Acceso a la Información, la Participación Pública y el Acceso a la Justicia en Asuntos Ambientales en América Latina y el Caribe. Naciones Unidas, Santiago. Disponible en: </w:t>
      </w:r>
      <w:hyperlink r:id="rId300" w:history="1">
        <w:r w:rsidRPr="008F15F1">
          <w:rPr>
            <w:color w:val="000000" w:themeColor="text1"/>
            <w:lang w:val="es-ES"/>
          </w:rPr>
          <w:t>https://www.cepal.org/es/publicaciones/43595-acuerdo-regional-acceso-la-informacion-la-participacion-publica-acceso-la</w:t>
        </w:r>
      </w:hyperlink>
      <w:r w:rsidRPr="008F15F1">
        <w:rPr>
          <w:lang w:val="es-ES"/>
        </w:rPr>
        <w:t xml:space="preserve"> (consultado el 25 de julio de 2026)</w:t>
      </w:r>
    </w:p>
    <w:p w14:paraId="4F7E5056"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Comité</w:t>
      </w:r>
      <w:proofErr w:type="spellEnd"/>
      <w:r w:rsidRPr="008F15F1">
        <w:rPr>
          <w:lang w:val="en-US"/>
        </w:rPr>
        <w:t xml:space="preserve"> del Patrimonio Mundial, 2023. </w:t>
      </w:r>
      <w:proofErr w:type="spellStart"/>
      <w:r w:rsidRPr="008F15F1">
        <w:rPr>
          <w:lang w:val="en-US"/>
        </w:rPr>
        <w:t>Decisión</w:t>
      </w:r>
      <w:proofErr w:type="spellEnd"/>
      <w:r w:rsidRPr="008F15F1">
        <w:rPr>
          <w:lang w:val="en-US"/>
        </w:rPr>
        <w:t xml:space="preserve"> 45 COM 7.2: State of conservation of World Heritage properties. </w:t>
      </w:r>
      <w:r w:rsidRPr="008F15F1">
        <w:rPr>
          <w:lang w:val="es-ES"/>
        </w:rPr>
        <w:t xml:space="preserve">UNESCO, París. Disponible en: </w:t>
      </w:r>
      <w:hyperlink r:id="rId301" w:history="1">
        <w:r w:rsidRPr="008F15F1">
          <w:rPr>
            <w:color w:val="000000" w:themeColor="text1"/>
            <w:lang w:val="es-ES"/>
          </w:rPr>
          <w:t>https://whc.unesco.org/en/decisions/8082/</w:t>
        </w:r>
      </w:hyperlink>
    </w:p>
    <w:p w14:paraId="3BDCC703"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Comité</w:t>
      </w:r>
      <w:proofErr w:type="spellEnd"/>
      <w:r w:rsidRPr="008F15F1">
        <w:rPr>
          <w:lang w:val="en-US"/>
        </w:rPr>
        <w:t xml:space="preserve"> del Patrimonio Mundial, 2025. </w:t>
      </w:r>
      <w:proofErr w:type="spellStart"/>
      <w:r w:rsidRPr="008F15F1">
        <w:rPr>
          <w:lang w:val="en-US"/>
        </w:rPr>
        <w:t>Decisión</w:t>
      </w:r>
      <w:proofErr w:type="spellEnd"/>
      <w:r w:rsidRPr="008F15F1">
        <w:rPr>
          <w:lang w:val="en-US"/>
        </w:rPr>
        <w:t xml:space="preserve"> 47 COM 5D: Progress report on the World Heritage Convention and sustainable development. </w:t>
      </w:r>
      <w:r w:rsidRPr="008F15F1">
        <w:rPr>
          <w:lang w:val="es-ES"/>
        </w:rPr>
        <w:t>UNESCO, París. Disponible en: https://whc.unesco.org/en/decisions/8658/ (consultado el 21 de mayo de 2026)</w:t>
      </w:r>
    </w:p>
    <w:p w14:paraId="1FCB9AC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Consejo de Normas Internacionales de Sostenibilidad, 2023. Normas NIFF de divulgación de información de sostenibilidad: NIFF S1 y NIFF S2. Fundación de </w:t>
      </w:r>
      <w:r w:rsidRPr="008F15F1">
        <w:rPr>
          <w:lang w:val="es-ES"/>
        </w:rPr>
        <w:lastRenderedPageBreak/>
        <w:t xml:space="preserve">las NIFF, Londres (Reino Unido). Disponible en: </w:t>
      </w:r>
      <w:hyperlink r:id="rId302" w:history="1">
        <w:r w:rsidRPr="008F15F1">
          <w:rPr>
            <w:color w:val="000000" w:themeColor="text1"/>
            <w:lang w:val="es-ES"/>
          </w:rPr>
          <w:t>https://www.ifrs.org/issued-standards/ifrs-sustainability-standards-navigator/</w:t>
        </w:r>
      </w:hyperlink>
    </w:p>
    <w:p w14:paraId="60FD923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2024. Potenciar la conservación y restauración de humedales para la ejecución del Marco Mundial de Biodiversidad de Kunming-Montreal: Orientaciones sobre la inclusión de los humedales en las estrategias y planes de acción nacionales en materia de biodiversidad (EPANB) para impulsar la biodiversidad y detener la pérdida y degradación de los humedales. Secretaría de la Convención sobre los Humedales, Gland. </w:t>
      </w:r>
      <w:hyperlink r:id="rId303" w:history="1">
        <w:r w:rsidRPr="008F15F1">
          <w:rPr>
            <w:color w:val="000000" w:themeColor="text1"/>
            <w:lang w:val="es-ES"/>
          </w:rPr>
          <w:t>https://doi.org/10.69556/strp.tr12.24</w:t>
        </w:r>
      </w:hyperlink>
    </w:p>
    <w:p w14:paraId="7ADF4495"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2025a. Comunicación de la Secretaría de la Convención sobre los Humedales en respuesta a la notificación núm. 2025-099 del CDB. Secretaría del Convenio sobre la Diversidad Biológica, Montreal. Disponible en: </w:t>
      </w:r>
      <w:hyperlink r:id="rId304" w:history="1">
        <w:r w:rsidRPr="008F15F1">
          <w:rPr>
            <w:color w:val="000000" w:themeColor="text1"/>
            <w:lang w:val="es-ES"/>
          </w:rPr>
          <w:t>https://www.cbd.int/notifications/2025-099</w:t>
        </w:r>
      </w:hyperlink>
      <w:r w:rsidRPr="008F15F1">
        <w:rPr>
          <w:lang w:val="es-ES"/>
        </w:rPr>
        <w:t xml:space="preserve"> (consultado el 21 de mayo de 2026)</w:t>
      </w:r>
    </w:p>
    <w:p w14:paraId="62570AF4"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2025b. Perspectiva mundial sobre los humedales 2025: Valorar, conservar, restaurar y financiar los humedales. Secretaría de la Convención sobre los Humedales, Gland. </w:t>
      </w:r>
      <w:hyperlink r:id="rId305" w:history="1">
        <w:r w:rsidRPr="008F15F1">
          <w:rPr>
            <w:color w:val="000000" w:themeColor="text1"/>
            <w:lang w:val="es-ES"/>
          </w:rPr>
          <w:t>https://doi.org/10.69556/GWO-2025-eng</w:t>
        </w:r>
      </w:hyperlink>
    </w:p>
    <w:p w14:paraId="404C122D"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2025c. </w:t>
      </w:r>
      <w:r w:rsidRPr="008F15F1">
        <w:rPr>
          <w:lang w:val="en-US"/>
        </w:rPr>
        <w:t xml:space="preserve">COP15 Inf.3: Report of the Secretariat on assessment of progress on wetland restoration: Full assessment report. </w:t>
      </w:r>
      <w:r w:rsidRPr="008F15F1">
        <w:rPr>
          <w:lang w:val="es-ES"/>
        </w:rPr>
        <w:t xml:space="preserve">Secretaría de la Convención sobre los Humedales, Victoria Falls. Disponible en: </w:t>
      </w:r>
      <w:hyperlink r:id="rId306" w:history="1">
        <w:r w:rsidRPr="008F15F1">
          <w:rPr>
            <w:color w:val="000000" w:themeColor="text1"/>
            <w:lang w:val="es-ES"/>
          </w:rPr>
          <w:t>https://www.ramsar.org/sites/default/files/2025-05/COP15_inf_3_full_restoration_assessment_report_e.pdf</w:t>
        </w:r>
      </w:hyperlink>
      <w:r w:rsidRPr="008F15F1">
        <w:rPr>
          <w:lang w:val="es-ES"/>
        </w:rPr>
        <w:t xml:space="preserve"> (consultado el 9 de julio de 2026)</w:t>
      </w:r>
    </w:p>
    <w:p w14:paraId="4162128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2025d. COP15 Doc.9 Rev.1: Informe de la Secretaría de conformidad con el Artículo 8.2 sobre la Lista de Humedales de Importancia Internacional. Secretaría de la Convención sobre los Humedales, Victoria Falls. Disponible en: </w:t>
      </w:r>
      <w:hyperlink r:id="rId307" w:history="1">
        <w:r w:rsidRPr="008F15F1">
          <w:rPr>
            <w:color w:val="000000" w:themeColor="text1"/>
            <w:lang w:val="es-ES"/>
          </w:rPr>
          <w:t>https://www.ramsar.org/document/cop15-doc9-rev1-report-secretariat-pursuant-article-82-list-wetlands-international</w:t>
        </w:r>
      </w:hyperlink>
      <w:r w:rsidRPr="008F15F1">
        <w:rPr>
          <w:lang w:val="es-ES"/>
        </w:rPr>
        <w:t xml:space="preserve"> (consultado el 21 de mayo de 2026)</w:t>
      </w:r>
    </w:p>
    <w:p w14:paraId="6A6D9823"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2025e. COP15 Doc.8.1: Informe de la </w:t>
      </w:r>
      <w:proofErr w:type="gramStart"/>
      <w:r w:rsidRPr="008F15F1">
        <w:rPr>
          <w:lang w:val="es-ES"/>
        </w:rPr>
        <w:t>Secretaria General</w:t>
      </w:r>
      <w:proofErr w:type="gramEnd"/>
      <w:r w:rsidRPr="008F15F1">
        <w:rPr>
          <w:lang w:val="es-ES"/>
        </w:rPr>
        <w:t xml:space="preserve"> sobre la aplicación de la Convención: Aplicación a escala mundial. Secretaría de la Convención sobre los Humedales, Victoria Falls. Disponible en: </w:t>
      </w:r>
      <w:hyperlink r:id="rId308" w:history="1">
        <w:r w:rsidRPr="008F15F1">
          <w:rPr>
            <w:color w:val="000000" w:themeColor="text1"/>
            <w:lang w:val="es-ES"/>
          </w:rPr>
          <w:t>https://www.ramsar.org/sites/default/files/2025-05/cop15_8_1_sg_report_global_implementation_s.pdf</w:t>
        </w:r>
      </w:hyperlink>
      <w:r w:rsidRPr="008F15F1">
        <w:rPr>
          <w:lang w:val="es-ES"/>
        </w:rPr>
        <w:t xml:space="preserve"> (consultado el 12 de agosto de 2026)</w:t>
      </w:r>
    </w:p>
    <w:p w14:paraId="0972616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Convención sobre los Humedales, 2025f. Plan Estratégico de la Convención sobre los Humedales para 2025-2034. Secretaría de la Convención sobre los Humedales, Victoria Falls. Disponible en: </w:t>
      </w:r>
      <w:hyperlink r:id="rId309" w:history="1">
        <w:r w:rsidRPr="008F15F1">
          <w:rPr>
            <w:color w:val="000000" w:themeColor="text1"/>
            <w:lang w:val="es-ES"/>
          </w:rPr>
          <w:t>https://www.ramsar.org/sites/default/files/2025-09/Convention_on_Wetlands_fifth_strategic_plan_s.pdf</w:t>
        </w:r>
      </w:hyperlink>
      <w:r w:rsidRPr="008F15F1">
        <w:rPr>
          <w:lang w:val="es-ES"/>
        </w:rPr>
        <w:t xml:space="preserve"> (consultado el 15 de julio de 2026)</w:t>
      </w:r>
    </w:p>
    <w:p w14:paraId="040FEC2A" w14:textId="77777777" w:rsidR="008F15F1" w:rsidRPr="008F15F1" w:rsidRDefault="008F15F1" w:rsidP="008F15F1">
      <w:pPr>
        <w:tabs>
          <w:tab w:val="left" w:pos="380"/>
        </w:tabs>
        <w:spacing w:after="0" w:line="240" w:lineRule="auto"/>
        <w:ind w:left="720" w:hanging="720"/>
        <w:rPr>
          <w:lang w:val="es-ES"/>
        </w:rPr>
      </w:pPr>
      <w:r w:rsidRPr="008F15F1">
        <w:rPr>
          <w:lang w:val="es-ES"/>
        </w:rPr>
        <w:t>Convención sobre los Humedales, 2025g. Resolución XV.4: Mejora de la visibilidad de la Convención y las sinergias con otros acuerdos multilaterales sobre el medio ambiente e instituciones internacionales. Secretaría de la Convención sobre los Humedales, Victoria Falls. Disponible en: https://www.ramsar.org/sites/default/files/2025-09/xv.4_synergies_s.pdf (consultado el 15 de julio de 2026)</w:t>
      </w:r>
    </w:p>
    <w:p w14:paraId="71E3B3C3" w14:textId="77777777" w:rsidR="008F15F1" w:rsidRPr="008F15F1" w:rsidRDefault="008F15F1" w:rsidP="008F15F1">
      <w:pPr>
        <w:tabs>
          <w:tab w:val="left" w:pos="380"/>
        </w:tabs>
        <w:spacing w:after="0" w:line="240" w:lineRule="auto"/>
        <w:ind w:left="720" w:hanging="720"/>
        <w:rPr>
          <w:lang w:val="es-ES"/>
        </w:rPr>
      </w:pPr>
      <w:r w:rsidRPr="008F15F1">
        <w:rPr>
          <w:lang w:val="es-ES"/>
        </w:rPr>
        <w:lastRenderedPageBreak/>
        <w:t xml:space="preserve">Convenio de Minamata sobre el Mercurio, 2024. Mercurio y biodiversidad. Oportunidades para generar beneficios conjuntos mediante la implementación coherente del Convenio de Minamata sobre el Mercurio y el Marco Mundial de Biodiversidad de Kunming-Montreal. Secretaría del Convenio de Minamata sobre el Mercurio. Disponible en: </w:t>
      </w:r>
      <w:hyperlink r:id="rId310" w:history="1">
        <w:r w:rsidRPr="008F15F1">
          <w:rPr>
            <w:color w:val="000000" w:themeColor="text1"/>
            <w:lang w:val="es-ES"/>
          </w:rPr>
          <w:t>https://minamataconvention.org/es/resources/mercury-and-biodiversity</w:t>
        </w:r>
      </w:hyperlink>
    </w:p>
    <w:p w14:paraId="47743BF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Convenio de Minamata sobre el Mercurio, 2025a. UNEP/MC/COP.6/20: Hoja de ruta para aumentar los beneficios secundarios a partir de la aplicación del Convenio de Minamata sobre el Mercurio y el Marco Mundial de Biodiversidad de Kunming-Montreal. Secretaría del Convenio de Minamata sobre el Mercurio. Disponible en: </w:t>
      </w:r>
      <w:hyperlink r:id="rId311" w:history="1">
        <w:r w:rsidRPr="008F15F1">
          <w:rPr>
            <w:color w:val="000000" w:themeColor="text1"/>
            <w:lang w:val="es-ES"/>
          </w:rPr>
          <w:t>https://minamataconvention.org/sites/default/files/documents/working_document/UNEP-MC-COP6-20-Roadmap-Biodiversity_Spanish.pdf</w:t>
        </w:r>
      </w:hyperlink>
      <w:r w:rsidRPr="008F15F1">
        <w:rPr>
          <w:lang w:val="es-ES"/>
        </w:rPr>
        <w:t xml:space="preserve"> (consultado el 21 de mayo de 2026)</w:t>
      </w:r>
    </w:p>
    <w:p w14:paraId="512E7EB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Convenio de Minamata sobre el Mercurio, 2025b. Comunicación de la Secretaría del Convenio de Minamata sobre el Mercurio en respuesta a la notificación núm. 2025-099 del CDB. Secretaría del Convenio sobre la Diversidad Biológica, Montreal. Disponible en: </w:t>
      </w:r>
      <w:hyperlink r:id="rId312" w:history="1">
        <w:r w:rsidRPr="008F15F1">
          <w:rPr>
            <w:color w:val="000000" w:themeColor="text1"/>
            <w:lang w:val="es-ES"/>
          </w:rPr>
          <w:t>https://www.cbd.int/notifications/2025-099</w:t>
        </w:r>
      </w:hyperlink>
      <w:r w:rsidRPr="008F15F1">
        <w:rPr>
          <w:lang w:val="es-ES"/>
        </w:rPr>
        <w:t xml:space="preserve"> (consultado el 21 de mayo de 2026)</w:t>
      </w:r>
    </w:p>
    <w:p w14:paraId="7FC07E48"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DCCEEW, 2024. Australia’s Circular Economy Framework. </w:t>
      </w:r>
      <w:r w:rsidRPr="008F15F1">
        <w:rPr>
          <w:lang w:val="es-ES"/>
        </w:rPr>
        <w:t xml:space="preserve">Departamento de Cambio Climático, Energía, Medio Ambiente y Agua, Canberra. Disponible en: </w:t>
      </w:r>
      <w:hyperlink r:id="rId313" w:history="1">
        <w:r w:rsidRPr="008F15F1">
          <w:rPr>
            <w:color w:val="000000" w:themeColor="text1"/>
            <w:lang w:val="es-ES"/>
          </w:rPr>
          <w:t>https://www.dcceew.gov.au/environment/protection/circular-economy/framework</w:t>
        </w:r>
      </w:hyperlink>
      <w:r w:rsidRPr="008F15F1">
        <w:rPr>
          <w:lang w:val="es-ES"/>
        </w:rPr>
        <w:t xml:space="preserve"> (consultado el 25 de junio de 2026)</w:t>
      </w:r>
    </w:p>
    <w:p w14:paraId="16B992C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Delegación Permanente del Reino de Arabia Saudita, información a la UNESCO, 2023. The Rural Cultural </w:t>
      </w:r>
      <w:proofErr w:type="spellStart"/>
      <w:r w:rsidRPr="008F15F1">
        <w:rPr>
          <w:lang w:val="es-ES"/>
        </w:rPr>
        <w:t>Landscapes</w:t>
      </w:r>
      <w:proofErr w:type="spellEnd"/>
      <w:r w:rsidRPr="008F15F1">
        <w:rPr>
          <w:lang w:val="es-ES"/>
        </w:rPr>
        <w:t xml:space="preserve"> of </w:t>
      </w:r>
      <w:proofErr w:type="spellStart"/>
      <w:r w:rsidRPr="008F15F1">
        <w:rPr>
          <w:lang w:val="es-ES"/>
        </w:rPr>
        <w:t>Sarawat</w:t>
      </w:r>
      <w:proofErr w:type="spellEnd"/>
      <w:r w:rsidRPr="008F15F1">
        <w:rPr>
          <w:lang w:val="es-ES"/>
        </w:rPr>
        <w:t xml:space="preserve"> </w:t>
      </w:r>
      <w:proofErr w:type="spellStart"/>
      <w:r w:rsidRPr="008F15F1">
        <w:rPr>
          <w:lang w:val="es-ES"/>
        </w:rPr>
        <w:t>Mountains</w:t>
      </w:r>
      <w:proofErr w:type="spellEnd"/>
      <w:r w:rsidRPr="008F15F1">
        <w:rPr>
          <w:lang w:val="es-ES"/>
        </w:rPr>
        <w:t xml:space="preserve">. Convención del Patrimonio Mundial de la UNESCO, París. Disponible en: </w:t>
      </w:r>
      <w:hyperlink r:id="rId314" w:history="1">
        <w:r w:rsidRPr="008F15F1">
          <w:rPr>
            <w:color w:val="000000" w:themeColor="text1"/>
            <w:lang w:val="es-ES"/>
          </w:rPr>
          <w:t>https://whc.unesco.org/en/tentativelists/6640/</w:t>
        </w:r>
      </w:hyperlink>
      <w:r w:rsidRPr="008F15F1">
        <w:rPr>
          <w:lang w:val="es-ES"/>
        </w:rPr>
        <w:t xml:space="preserve"> (consultado el 14 de agosto de 2026)</w:t>
      </w:r>
    </w:p>
    <w:p w14:paraId="683FE70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Dirección General de Medio Ambiente de la Comisión Europea, 2023. </w:t>
      </w:r>
      <w:r w:rsidRPr="008F15F1">
        <w:rPr>
          <w:lang w:val="en-US"/>
        </w:rPr>
        <w:t xml:space="preserve">Pollinators on the edge: Pollinators on the </w:t>
      </w:r>
      <w:proofErr w:type="gramStart"/>
      <w:r w:rsidRPr="008F15F1">
        <w:rPr>
          <w:lang w:val="en-US"/>
        </w:rPr>
        <w:t>edge</w:t>
      </w:r>
      <w:r w:rsidRPr="008F15F1">
        <w:rPr>
          <w:rFonts w:ascii="Arial" w:hAnsi="Arial"/>
          <w:lang w:val="en-US"/>
        </w:rPr>
        <w:t> </w:t>
      </w:r>
      <w:r w:rsidRPr="008F15F1">
        <w:rPr>
          <w:lang w:val="en-US"/>
        </w:rPr>
        <w:t>:our</w:t>
      </w:r>
      <w:proofErr w:type="gramEnd"/>
      <w:r w:rsidRPr="008F15F1">
        <w:rPr>
          <w:lang w:val="en-US"/>
        </w:rPr>
        <w:t xml:space="preserve"> European </w:t>
      </w:r>
      <w:proofErr w:type="gramStart"/>
      <w:r w:rsidRPr="008F15F1">
        <w:rPr>
          <w:lang w:val="en-US"/>
        </w:rPr>
        <w:t>hoverflies</w:t>
      </w:r>
      <w:r w:rsidRPr="008F15F1">
        <w:rPr>
          <w:rFonts w:ascii="Arial" w:hAnsi="Arial"/>
          <w:lang w:val="en-US"/>
        </w:rPr>
        <w:t> </w:t>
      </w:r>
      <w:r w:rsidRPr="008F15F1">
        <w:rPr>
          <w:lang w:val="en-US"/>
        </w:rPr>
        <w:t>:</w:t>
      </w:r>
      <w:proofErr w:type="gramEnd"/>
      <w:r w:rsidRPr="008F15F1">
        <w:rPr>
          <w:lang w:val="en-US"/>
        </w:rPr>
        <w:t xml:space="preserve"> the European red list of hoverflies. </w:t>
      </w:r>
      <w:r w:rsidRPr="008F15F1">
        <w:rPr>
          <w:lang w:val="es-ES"/>
        </w:rPr>
        <w:t xml:space="preserve">Oficina de Publicaciones, Luxemburgo. </w:t>
      </w:r>
      <w:hyperlink r:id="rId315" w:history="1">
        <w:r w:rsidRPr="008F15F1">
          <w:rPr>
            <w:color w:val="000000" w:themeColor="text1"/>
            <w:lang w:val="es-ES"/>
          </w:rPr>
          <w:t>https://doi.org/10.2779/652219</w:t>
        </w:r>
      </w:hyperlink>
    </w:p>
    <w:p w14:paraId="768EED7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Dirección General de Medio Ambiente de la Comisión Europea, 2025. European red </w:t>
      </w:r>
      <w:proofErr w:type="spellStart"/>
      <w:r w:rsidRPr="008F15F1">
        <w:rPr>
          <w:lang w:val="es-ES"/>
        </w:rPr>
        <w:t>list</w:t>
      </w:r>
      <w:proofErr w:type="spellEnd"/>
      <w:r w:rsidRPr="008F15F1">
        <w:rPr>
          <w:lang w:val="es-ES"/>
        </w:rPr>
        <w:t xml:space="preserve"> of </w:t>
      </w:r>
      <w:proofErr w:type="spellStart"/>
      <w:r w:rsidRPr="008F15F1">
        <w:rPr>
          <w:lang w:val="es-ES"/>
        </w:rPr>
        <w:t>butterflies</w:t>
      </w:r>
      <w:proofErr w:type="spellEnd"/>
      <w:r w:rsidRPr="008F15F1">
        <w:rPr>
          <w:lang w:val="es-ES"/>
        </w:rPr>
        <w:t xml:space="preserve">. Oficina de Publicaciones de la Unión Europea, Luxemburgo. </w:t>
      </w:r>
      <w:hyperlink r:id="rId316" w:history="1">
        <w:r w:rsidRPr="008F15F1">
          <w:rPr>
            <w:color w:val="000000" w:themeColor="text1"/>
            <w:lang w:val="es-ES"/>
          </w:rPr>
          <w:t>https://doi.org/10.2779/1280375</w:t>
        </w:r>
      </w:hyperlink>
    </w:p>
    <w:p w14:paraId="64395DC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Dirección General de Medio Ambiente de la Comisión Europea y otros, 2026a. European red </w:t>
      </w:r>
      <w:proofErr w:type="spellStart"/>
      <w:r w:rsidRPr="008F15F1">
        <w:rPr>
          <w:lang w:val="es-ES"/>
        </w:rPr>
        <w:t>list</w:t>
      </w:r>
      <w:proofErr w:type="spellEnd"/>
      <w:r w:rsidRPr="008F15F1">
        <w:rPr>
          <w:lang w:val="es-ES"/>
        </w:rPr>
        <w:t xml:space="preserve"> of </w:t>
      </w:r>
      <w:proofErr w:type="spellStart"/>
      <w:r w:rsidRPr="008F15F1">
        <w:rPr>
          <w:lang w:val="es-ES"/>
        </w:rPr>
        <w:t>bees</w:t>
      </w:r>
      <w:proofErr w:type="spellEnd"/>
      <w:r w:rsidRPr="008F15F1">
        <w:rPr>
          <w:lang w:val="es-ES"/>
        </w:rPr>
        <w:t xml:space="preserve">. Oficina de Publicaciones de la Unión Europea, Luxemburgo. </w:t>
      </w:r>
      <w:hyperlink r:id="rId317" w:history="1">
        <w:r w:rsidRPr="008F15F1">
          <w:rPr>
            <w:color w:val="000000" w:themeColor="text1"/>
            <w:lang w:val="es-ES"/>
          </w:rPr>
          <w:t>https://doi.org/10.2779/521877</w:t>
        </w:r>
      </w:hyperlink>
    </w:p>
    <w:p w14:paraId="07CF69E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Dirección General de Medio Ambiente de la Comisión Europea y otros, 2026b. European red </w:t>
      </w:r>
      <w:proofErr w:type="spellStart"/>
      <w:r w:rsidRPr="008F15F1">
        <w:rPr>
          <w:lang w:val="es-ES"/>
        </w:rPr>
        <w:t>list</w:t>
      </w:r>
      <w:proofErr w:type="spellEnd"/>
      <w:r w:rsidRPr="008F15F1">
        <w:rPr>
          <w:lang w:val="es-ES"/>
        </w:rPr>
        <w:t xml:space="preserve"> of </w:t>
      </w:r>
      <w:proofErr w:type="spellStart"/>
      <w:r w:rsidRPr="008F15F1">
        <w:rPr>
          <w:lang w:val="es-ES"/>
        </w:rPr>
        <w:t>moths</w:t>
      </w:r>
      <w:proofErr w:type="spellEnd"/>
      <w:r w:rsidRPr="008F15F1">
        <w:rPr>
          <w:lang w:val="es-ES"/>
        </w:rPr>
        <w:t xml:space="preserve">. Oficina de Publicaciones de la Unión Europea, Luxemburgo. </w:t>
      </w:r>
      <w:hyperlink r:id="rId318" w:history="1">
        <w:r w:rsidRPr="008F15F1">
          <w:rPr>
            <w:color w:val="000000" w:themeColor="text1"/>
            <w:lang w:val="es-ES"/>
          </w:rPr>
          <w:t>https://doi.org/10.2779/6590787</w:t>
        </w:r>
      </w:hyperlink>
    </w:p>
    <w:p w14:paraId="3B1E3E6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División de Asuntos Oceánicos y del Derecho del Mar de las Naciones Unidas, 2025. Comunicación de la secretaría provisional del Acuerdo en el marco de la Convención de las Naciones Unidas sobre el Derecho del Mar relativo a la Conservación y el Uso Sostenible de la Diversidad Biológica Marina de las Zonas Situadas Fuera de la Jurisdicción Nacional. Secretaría del Convenio sobre la </w:t>
      </w:r>
      <w:r w:rsidRPr="008F15F1">
        <w:rPr>
          <w:lang w:val="es-ES"/>
        </w:rPr>
        <w:lastRenderedPageBreak/>
        <w:t xml:space="preserve">Diversidad Biológica, Montreal. Disponible en: </w:t>
      </w:r>
      <w:hyperlink r:id="rId319" w:history="1">
        <w:r w:rsidRPr="008F15F1">
          <w:rPr>
            <w:color w:val="000000" w:themeColor="text1"/>
            <w:lang w:val="es-ES"/>
          </w:rPr>
          <w:t>https://www.cbd.int/notifications/2025-099</w:t>
        </w:r>
      </w:hyperlink>
      <w:r w:rsidRPr="008F15F1">
        <w:rPr>
          <w:lang w:val="es-ES"/>
        </w:rPr>
        <w:t xml:space="preserve"> (consultado el 21 de mayo de 2026)</w:t>
      </w:r>
    </w:p>
    <w:p w14:paraId="124D92F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Dossou Etui, I.M. y otros, 2024. </w:t>
      </w:r>
      <w:r w:rsidRPr="008F15F1">
        <w:rPr>
          <w:lang w:val="en-US"/>
        </w:rPr>
        <w:t xml:space="preserve">Artisanal and small-scale gold mining and biodiversity: a </w:t>
      </w:r>
      <w:proofErr w:type="gramStart"/>
      <w:r w:rsidRPr="008F15F1">
        <w:rPr>
          <w:lang w:val="en-US"/>
        </w:rPr>
        <w:t>global literature review</w:t>
      </w:r>
      <w:proofErr w:type="gramEnd"/>
      <w:r w:rsidRPr="008F15F1">
        <w:rPr>
          <w:lang w:val="en-US"/>
        </w:rPr>
        <w:t xml:space="preserve">. </w:t>
      </w:r>
      <w:proofErr w:type="spellStart"/>
      <w:r w:rsidRPr="008F15F1">
        <w:rPr>
          <w:lang w:val="es-ES"/>
        </w:rPr>
        <w:t>Ecotoxicology</w:t>
      </w:r>
      <w:proofErr w:type="spellEnd"/>
      <w:r w:rsidRPr="008F15F1">
        <w:rPr>
          <w:lang w:val="es-ES"/>
        </w:rPr>
        <w:t xml:space="preserve"> 33, 484-504. </w:t>
      </w:r>
      <w:hyperlink r:id="rId320" w:history="1">
        <w:r w:rsidRPr="008F15F1">
          <w:rPr>
            <w:color w:val="000000" w:themeColor="text1"/>
            <w:lang w:val="es-ES"/>
          </w:rPr>
          <w:t>https://doi.org/10.1007/s10646-024-02748-w</w:t>
        </w:r>
      </w:hyperlink>
    </w:p>
    <w:p w14:paraId="450C16D9" w14:textId="77777777" w:rsidR="008F15F1" w:rsidRPr="00942359" w:rsidRDefault="008F15F1" w:rsidP="008F15F1">
      <w:pPr>
        <w:tabs>
          <w:tab w:val="left" w:pos="380"/>
        </w:tabs>
        <w:spacing w:after="0" w:line="240" w:lineRule="auto"/>
        <w:ind w:left="720" w:hanging="720"/>
        <w:rPr>
          <w:lang w:val="en-US"/>
        </w:rPr>
      </w:pPr>
      <w:r w:rsidRPr="008F15F1">
        <w:rPr>
          <w:lang w:val="es-ES"/>
        </w:rPr>
        <w:t xml:space="preserve">Enkhbayar, O. y otros, 2025. </w:t>
      </w:r>
      <w:r w:rsidRPr="008F15F1">
        <w:rPr>
          <w:lang w:val="en-US"/>
        </w:rPr>
        <w:t xml:space="preserve">Reforming livestock taxation for sustainable rangeland use: Macro-level analysis on Mongolia’s livestock tax law implementation. Proc. </w:t>
      </w:r>
      <w:proofErr w:type="spellStart"/>
      <w:r w:rsidRPr="008F15F1">
        <w:rPr>
          <w:lang w:val="en-US"/>
        </w:rPr>
        <w:t>Mong</w:t>
      </w:r>
      <w:proofErr w:type="spellEnd"/>
      <w:r w:rsidRPr="008F15F1">
        <w:rPr>
          <w:lang w:val="en-US"/>
        </w:rPr>
        <w:t xml:space="preserve">. </w:t>
      </w:r>
      <w:r w:rsidRPr="00942359">
        <w:rPr>
          <w:lang w:val="en-US"/>
        </w:rPr>
        <w:t xml:space="preserve">Acad. Sci. 1–16. </w:t>
      </w:r>
      <w:r>
        <w:fldChar w:fldCharType="begin"/>
      </w:r>
      <w:r w:rsidRPr="00942359">
        <w:rPr>
          <w:lang w:val="en-US"/>
        </w:rPr>
        <w:instrText>HYPERLINK "https://doi.org/10.5564/pmas.v65i03.4530"</w:instrText>
      </w:r>
      <w:r>
        <w:fldChar w:fldCharType="separate"/>
      </w:r>
      <w:r w:rsidRPr="00942359">
        <w:rPr>
          <w:color w:val="000000" w:themeColor="text1"/>
          <w:lang w:val="en-US"/>
        </w:rPr>
        <w:t>https://doi.org/10.5564/pmas.v65i03.4530</w:t>
      </w:r>
      <w:r>
        <w:fldChar w:fldCharType="end"/>
      </w:r>
    </w:p>
    <w:p w14:paraId="7BD56C1A" w14:textId="77777777" w:rsidR="008F15F1" w:rsidRPr="008F15F1" w:rsidRDefault="008F15F1" w:rsidP="008F15F1">
      <w:pPr>
        <w:tabs>
          <w:tab w:val="left" w:pos="380"/>
        </w:tabs>
        <w:spacing w:after="0" w:line="240" w:lineRule="auto"/>
        <w:ind w:left="720" w:hanging="720"/>
        <w:rPr>
          <w:lang w:val="en-US"/>
        </w:rPr>
      </w:pPr>
      <w:r w:rsidRPr="00942359">
        <w:rPr>
          <w:lang w:val="en-US"/>
        </w:rPr>
        <w:t xml:space="preserve">FAO, 2020. </w:t>
      </w:r>
      <w:r w:rsidRPr="008F15F1">
        <w:rPr>
          <w:lang w:val="es-ES"/>
        </w:rPr>
        <w:t xml:space="preserve">Estrategia de la FAO para la integración de la biodiversidad en los distintos sectores agrícolas. Organización de las Naciones Unidas para la Alimentación y la Agricultura, Roma. </w:t>
      </w:r>
      <w:hyperlink r:id="rId321" w:history="1">
        <w:r w:rsidRPr="008F15F1">
          <w:rPr>
            <w:color w:val="000000" w:themeColor="text1"/>
            <w:lang w:val="en-US"/>
          </w:rPr>
          <w:t>https://doi.org/10.4060/ca7722es</w:t>
        </w:r>
      </w:hyperlink>
    </w:p>
    <w:p w14:paraId="45A12984" w14:textId="77777777" w:rsidR="008F15F1" w:rsidRPr="008F15F1" w:rsidRDefault="008F15F1" w:rsidP="008F15F1">
      <w:pPr>
        <w:tabs>
          <w:tab w:val="left" w:pos="380"/>
        </w:tabs>
        <w:spacing w:after="0" w:line="240" w:lineRule="auto"/>
        <w:ind w:left="720" w:hanging="720"/>
        <w:rPr>
          <w:lang w:val="pt-BR"/>
        </w:rPr>
      </w:pPr>
      <w:r w:rsidRPr="008F15F1">
        <w:rPr>
          <w:lang w:val="en-US"/>
        </w:rPr>
        <w:t xml:space="preserve">FAO, 2021. Climate change, biodiversity and nutrition nexus. </w:t>
      </w:r>
      <w:r w:rsidRPr="008F15F1">
        <w:rPr>
          <w:lang w:val="pt-BR"/>
        </w:rPr>
        <w:t xml:space="preserve">FAO. </w:t>
      </w:r>
      <w:r>
        <w:fldChar w:fldCharType="begin"/>
      </w:r>
      <w:r w:rsidRPr="00942359">
        <w:rPr>
          <w:lang w:val="en-US"/>
        </w:rPr>
        <w:instrText>HYPERLINK "https://doi.org/10.4060/cb6701en"</w:instrText>
      </w:r>
      <w:r>
        <w:fldChar w:fldCharType="separate"/>
      </w:r>
      <w:r w:rsidRPr="008F15F1">
        <w:rPr>
          <w:color w:val="000000" w:themeColor="text1"/>
          <w:lang w:val="pt-BR"/>
        </w:rPr>
        <w:t>https://doi.org/10.4060/cb6701en</w:t>
      </w:r>
      <w:r>
        <w:fldChar w:fldCharType="end"/>
      </w:r>
    </w:p>
    <w:p w14:paraId="52C28166" w14:textId="77777777" w:rsidR="008F15F1" w:rsidRPr="008F15F1" w:rsidRDefault="008F15F1" w:rsidP="008F15F1">
      <w:pPr>
        <w:tabs>
          <w:tab w:val="left" w:pos="380"/>
        </w:tabs>
        <w:spacing w:after="0" w:line="240" w:lineRule="auto"/>
        <w:ind w:left="720" w:hanging="720"/>
        <w:rPr>
          <w:lang w:val="es-ES"/>
        </w:rPr>
      </w:pPr>
      <w:r w:rsidRPr="008F15F1">
        <w:rPr>
          <w:lang w:val="pt-BR"/>
        </w:rPr>
        <w:t xml:space="preserve">FAO, 2022. </w:t>
      </w:r>
      <w:r w:rsidRPr="008F15F1">
        <w:rPr>
          <w:lang w:val="es-ES"/>
        </w:rPr>
        <w:t xml:space="preserve">Marco de acción en materia de biodiversidad para la alimentación y la agricultura. Organización de las Naciones Unidas para la Alimentación y la Agricultura, Roma. </w:t>
      </w:r>
      <w:hyperlink r:id="rId322" w:history="1">
        <w:r w:rsidRPr="008F15F1">
          <w:rPr>
            <w:color w:val="000000" w:themeColor="text1"/>
            <w:lang w:val="es-ES"/>
          </w:rPr>
          <w:t>https://doi.org/10.4060/cb8338es</w:t>
        </w:r>
      </w:hyperlink>
    </w:p>
    <w:p w14:paraId="0AEAF4B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FAO, 2024a. COAG/2024/18: Información actualizada sobre las Directrices para la planificación integrada del uso de la tierra. Organización de las Naciones Unidas para la Alimentación y la Agricultura, Roma. Disponible en: </w:t>
      </w:r>
      <w:hyperlink r:id="rId323" w:history="1">
        <w:r w:rsidRPr="008F15F1">
          <w:rPr>
            <w:color w:val="000000" w:themeColor="text1"/>
            <w:lang w:val="es-ES"/>
          </w:rPr>
          <w:t>https://openknowledge.fao.org/server/api/core/bitstreams/ae770cf6-96a0-4305-a70a-db2d0ef20a84/content</w:t>
        </w:r>
      </w:hyperlink>
      <w:r w:rsidRPr="008F15F1">
        <w:rPr>
          <w:lang w:val="es-ES"/>
        </w:rPr>
        <w:t xml:space="preserve"> (consultado el 21 de mayo de 2026)</w:t>
      </w:r>
    </w:p>
    <w:p w14:paraId="72BB792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FAO, 2024b. Plan de acción para 2024-27 relativo a la aplicación de la Estrategia de la FAO para la integración de la biodiversidad en los distintos sectores agrícolas. Organización de las Naciones Unidas para la Alimentación y la Agricultura, Roma. </w:t>
      </w:r>
      <w:hyperlink r:id="rId324" w:history="1">
        <w:r w:rsidRPr="008F15F1">
          <w:rPr>
            <w:color w:val="000000" w:themeColor="text1"/>
            <w:lang w:val="es-ES"/>
          </w:rPr>
          <w:t>https://doi.org/10.4060/cd0709es</w:t>
        </w:r>
      </w:hyperlink>
    </w:p>
    <w:p w14:paraId="1D22E6F8"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FAO, 2025a. Comunicación de la Organización de las Naciones Unidas para la Alimentación y la Agricultura (FAO) en respuesta a la notificación núm. 2025-099 del CDB. Secretaría del Convenio sobre la Diversidad Biológica, Montreal. Disponible en: </w:t>
      </w:r>
      <w:hyperlink r:id="rId325" w:history="1">
        <w:r w:rsidRPr="008F15F1">
          <w:rPr>
            <w:color w:val="000000" w:themeColor="text1"/>
            <w:lang w:val="es-ES"/>
          </w:rPr>
          <w:t>https://www.cbd.int/notifications/2025-099</w:t>
        </w:r>
      </w:hyperlink>
      <w:r w:rsidRPr="008F15F1">
        <w:rPr>
          <w:lang w:val="es-ES"/>
        </w:rPr>
        <w:t xml:space="preserve"> (consultado el 21 de mayo de 2026)</w:t>
      </w:r>
    </w:p>
    <w:p w14:paraId="5F0374D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FAO, 2025b. Evaluación de los recursos forestales mundiales 2025. Organización de las Naciones Unidas para la Alimentación y la Agricultura, Roma. </w:t>
      </w:r>
      <w:hyperlink r:id="rId326" w:history="1">
        <w:r w:rsidRPr="008F15F1">
          <w:rPr>
            <w:color w:val="000000" w:themeColor="text1"/>
            <w:lang w:val="es-ES"/>
          </w:rPr>
          <w:t>https://doi.org/10.4060/cd6709es</w:t>
        </w:r>
      </w:hyperlink>
    </w:p>
    <w:p w14:paraId="22A701AD"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FAO, 2025c. El Fondo de distribución de beneficios: Informe 2024-2025. Organización de las Naciones Unidas para la Alimentación y la Agricultura, Roma. Disponible en: </w:t>
      </w:r>
      <w:hyperlink r:id="rId327" w:history="1">
        <w:r w:rsidRPr="008F15F1">
          <w:rPr>
            <w:color w:val="000000" w:themeColor="text1"/>
            <w:lang w:val="es-ES"/>
          </w:rPr>
          <w:t>https://openknowledge.fao.org/items/49ba9733-2160-464c-a7e4-608f78519d5d</w:t>
        </w:r>
      </w:hyperlink>
      <w:r w:rsidRPr="008F15F1">
        <w:rPr>
          <w:lang w:val="es-ES"/>
        </w:rPr>
        <w:t xml:space="preserve"> (consultado el 30 de julio de 2026)</w:t>
      </w:r>
    </w:p>
    <w:p w14:paraId="7BF816F2" w14:textId="77777777" w:rsidR="008F15F1" w:rsidRPr="008F15F1" w:rsidRDefault="008F15F1" w:rsidP="008F15F1">
      <w:pPr>
        <w:tabs>
          <w:tab w:val="left" w:pos="380"/>
        </w:tabs>
        <w:spacing w:after="0" w:line="240" w:lineRule="auto"/>
        <w:ind w:left="720" w:hanging="720"/>
        <w:rPr>
          <w:lang w:val="pt-BR"/>
        </w:rPr>
      </w:pPr>
      <w:r w:rsidRPr="008F15F1">
        <w:rPr>
          <w:lang w:val="es-ES"/>
        </w:rPr>
        <w:t xml:space="preserve">FAO, 2026. El estado mundial de la pesca y la acuicultura 2026. </w:t>
      </w:r>
      <w:r w:rsidRPr="008F15F1">
        <w:rPr>
          <w:lang w:val="pt-BR"/>
        </w:rPr>
        <w:t xml:space="preserve">FAO, Roma. </w:t>
      </w:r>
      <w:hyperlink r:id="rId328" w:history="1">
        <w:r w:rsidRPr="008F15F1">
          <w:rPr>
            <w:color w:val="000000" w:themeColor="text1"/>
            <w:lang w:val="pt-BR"/>
          </w:rPr>
          <w:t>https://doi.org/10.4060/cd8357es</w:t>
        </w:r>
      </w:hyperlink>
    </w:p>
    <w:p w14:paraId="77953E97"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FAO, CDB, Sociedad para la Restauración Ecológica, 2024. Generando resultados de restauración para la biodiversidad y el bienestar humano: Guía de recursos para la Meta 2 del Marco Mundial de Biodiversidad de Kunming-Montreal. Organización de las Naciones Unidas para la Alimentación y la Agricultura, Roma. </w:t>
      </w:r>
      <w:hyperlink r:id="rId329" w:history="1">
        <w:r w:rsidRPr="008F15F1">
          <w:rPr>
            <w:color w:val="000000" w:themeColor="text1"/>
            <w:lang w:val="en-US"/>
          </w:rPr>
          <w:t>https://doi.org/10.4060/cd2925es</w:t>
        </w:r>
      </w:hyperlink>
    </w:p>
    <w:p w14:paraId="338F30A6"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FAO, PNUD, 2025. The implementation of the Livestock Tax Law: An opportunity for climate action, Scaling up climate ambition on land use and agriculture through NDC and NAPs (SCALA). </w:t>
      </w:r>
      <w:r w:rsidRPr="008F15F1">
        <w:rPr>
          <w:lang w:val="es-ES"/>
        </w:rPr>
        <w:t xml:space="preserve">Organización de las Naciones Unidas para la </w:t>
      </w:r>
      <w:r w:rsidRPr="008F15F1">
        <w:rPr>
          <w:lang w:val="es-ES"/>
        </w:rPr>
        <w:lastRenderedPageBreak/>
        <w:t xml:space="preserve">Alimentación y la Agricultura, Programa de las Naciones Unidas para el Desarrollo. Disponible en: </w:t>
      </w:r>
      <w:hyperlink r:id="rId330" w:history="1">
        <w:r w:rsidRPr="008F15F1">
          <w:rPr>
            <w:color w:val="000000" w:themeColor="text1"/>
            <w:lang w:val="es-ES"/>
          </w:rPr>
          <w:t>https://www.adaptation-undp.org/sites/default/files/resources/Mongolia%20SLA%20Policy%20Brief%20%281%29.pdf</w:t>
        </w:r>
      </w:hyperlink>
      <w:r w:rsidRPr="008F15F1">
        <w:rPr>
          <w:lang w:val="es-ES"/>
        </w:rPr>
        <w:t xml:space="preserve"> (consultado el 27 de junio de 2026)</w:t>
      </w:r>
    </w:p>
    <w:p w14:paraId="174A2BA5"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Forest Peoples Programme, Foro Internacional Indígena sobre Biodiversidad y Secretaría del Convenio sobre la Diversidad Biológica, 2016. PLDB-1: Perspectivas Locales sobre la Diversidad Biológica - Contribuciones de los pueblos indígenas y las comunidades locales a la implementación del Plan Estratégico para la Diversidad Biológica 2011-2020. Complemento de la cuarta edición de la </w:t>
      </w:r>
      <w:r w:rsidRPr="008F15F1">
        <w:rPr>
          <w:i/>
          <w:iCs/>
          <w:lang w:val="es-ES"/>
        </w:rPr>
        <w:t>Perspectiva Mundial sobre la Diversidad Biológica</w:t>
      </w:r>
      <w:r w:rsidRPr="008F15F1">
        <w:rPr>
          <w:lang w:val="es-ES"/>
        </w:rPr>
        <w:t xml:space="preserve">. Forest Peoples Programme, Moreton-in-Marsh. Disponible en: </w:t>
      </w:r>
      <w:hyperlink r:id="rId331" w:history="1">
        <w:r w:rsidRPr="008F15F1">
          <w:rPr>
            <w:color w:val="000000" w:themeColor="text1"/>
            <w:lang w:val="es-ES"/>
          </w:rPr>
          <w:t>https://localbiodiversityoutlooks.net/publications/</w:t>
        </w:r>
      </w:hyperlink>
      <w:r w:rsidRPr="008F15F1">
        <w:rPr>
          <w:lang w:val="es-ES"/>
        </w:rPr>
        <w:t xml:space="preserve"> (consultado el 30 de mayo de 2026)</w:t>
      </w:r>
    </w:p>
    <w:p w14:paraId="13791C88" w14:textId="77777777" w:rsidR="008F15F1" w:rsidRPr="008F15F1" w:rsidRDefault="008F15F1" w:rsidP="008F15F1">
      <w:pPr>
        <w:tabs>
          <w:tab w:val="left" w:pos="380"/>
        </w:tabs>
        <w:spacing w:after="0" w:line="240" w:lineRule="auto"/>
        <w:ind w:left="720" w:hanging="720"/>
        <w:rPr>
          <w:lang w:val="es-ES"/>
        </w:rPr>
      </w:pPr>
      <w:r w:rsidRPr="00673184">
        <w:rPr>
          <w:lang w:val="es-ES"/>
        </w:rPr>
        <w:t xml:space="preserve">Forest Peoples Programme y otros, 2020. </w:t>
      </w:r>
      <w:r w:rsidRPr="008F15F1">
        <w:rPr>
          <w:lang w:val="es-ES"/>
        </w:rPr>
        <w:t xml:space="preserve">PLDB-2: Las Perspectivas Locales sobre la Diversidad Biológica 2 - Las contribuciones de los pueblos indígenas y las comunidades locales a la implementación del Plan Estratégico para la Diversidad Biológica 2011-2020 y a la renovación de la naturaleza y las culturas. Un complemento de la quinta edición de la </w:t>
      </w:r>
      <w:r w:rsidRPr="008F15F1">
        <w:rPr>
          <w:i/>
          <w:iCs/>
          <w:lang w:val="es-ES"/>
        </w:rPr>
        <w:t>Perspectiva Mundial sobre la Diversidad Biológica</w:t>
      </w:r>
      <w:r w:rsidRPr="008F15F1">
        <w:rPr>
          <w:lang w:val="es-ES"/>
        </w:rPr>
        <w:t xml:space="preserve">. Forest Peoples Programme, Moreton-in-Marsh. Disponible en: </w:t>
      </w:r>
      <w:hyperlink r:id="rId332" w:history="1">
        <w:r w:rsidRPr="008F15F1">
          <w:rPr>
            <w:color w:val="000000" w:themeColor="text1"/>
            <w:lang w:val="es-ES"/>
          </w:rPr>
          <w:t>https://localbiodiversityoutlooks.net/publications/</w:t>
        </w:r>
      </w:hyperlink>
      <w:r w:rsidRPr="008F15F1">
        <w:rPr>
          <w:lang w:val="es-ES"/>
        </w:rPr>
        <w:t xml:space="preserve"> (consultado el 30 de mayo de 2026)</w:t>
      </w:r>
    </w:p>
    <w:p w14:paraId="28483ABD" w14:textId="77777777" w:rsidR="008F15F1" w:rsidRPr="000F62FC" w:rsidRDefault="008F15F1" w:rsidP="008F15F1">
      <w:pPr>
        <w:tabs>
          <w:tab w:val="left" w:pos="380"/>
        </w:tabs>
        <w:spacing w:after="0" w:line="240" w:lineRule="auto"/>
        <w:ind w:left="720" w:hanging="720"/>
        <w:rPr>
          <w:lang w:val="fr-CA"/>
        </w:rPr>
      </w:pPr>
      <w:r w:rsidRPr="00673184">
        <w:rPr>
          <w:lang w:val="es-ES"/>
        </w:rPr>
        <w:t xml:space="preserve">Franke, J. y otros, 2024. </w:t>
      </w:r>
      <w:r w:rsidRPr="008F15F1">
        <w:rPr>
          <w:lang w:val="en-US"/>
        </w:rPr>
        <w:t xml:space="preserve">Prescribed burning and integrated fire management in the Brazilian Cerrado: demonstrated impacts and scale-up potential for emission abatement. </w:t>
      </w:r>
      <w:r w:rsidRPr="000F62FC">
        <w:rPr>
          <w:lang w:val="fr-CA"/>
        </w:rPr>
        <w:t xml:space="preserve">Environ. </w:t>
      </w:r>
      <w:proofErr w:type="spellStart"/>
      <w:r w:rsidRPr="000F62FC">
        <w:rPr>
          <w:lang w:val="fr-CA"/>
        </w:rPr>
        <w:t>Res</w:t>
      </w:r>
      <w:proofErr w:type="spellEnd"/>
      <w:r w:rsidRPr="000F62FC">
        <w:rPr>
          <w:lang w:val="fr-CA"/>
        </w:rPr>
        <w:t xml:space="preserve">. Lett. 19, 034020. </w:t>
      </w:r>
      <w:r>
        <w:fldChar w:fldCharType="begin"/>
      </w:r>
      <w:r w:rsidRPr="00942359">
        <w:rPr>
          <w:lang w:val="fr-FR"/>
        </w:rPr>
        <w:instrText>HYPERLINK "https://doi.org/10.1088/1748-9326/ad2820"</w:instrText>
      </w:r>
      <w:r>
        <w:fldChar w:fldCharType="separate"/>
      </w:r>
      <w:r w:rsidRPr="000F62FC">
        <w:rPr>
          <w:color w:val="000000" w:themeColor="text1"/>
          <w:lang w:val="fr-CA"/>
        </w:rPr>
        <w:t>https://doi.org/10.1088/1748-9326/ad2820</w:t>
      </w:r>
      <w:r>
        <w:fldChar w:fldCharType="end"/>
      </w:r>
    </w:p>
    <w:p w14:paraId="76023A60" w14:textId="77777777" w:rsidR="008F15F1" w:rsidRPr="008F15F1" w:rsidRDefault="008F15F1" w:rsidP="008F15F1">
      <w:pPr>
        <w:tabs>
          <w:tab w:val="left" w:pos="380"/>
        </w:tabs>
        <w:spacing w:after="0" w:line="240" w:lineRule="auto"/>
        <w:ind w:left="720" w:hanging="720"/>
        <w:rPr>
          <w:lang w:val="es-ES"/>
        </w:rPr>
      </w:pPr>
      <w:r w:rsidRPr="000F62FC">
        <w:rPr>
          <w:lang w:val="fr-CA"/>
        </w:rPr>
        <w:t xml:space="preserve">Fumey-Nassah, C.A., 2025. </w:t>
      </w:r>
      <w:r w:rsidRPr="008F15F1">
        <w:rPr>
          <w:lang w:val="en-US"/>
        </w:rPr>
        <w:t xml:space="preserve">The CREMA model: a tool for shaping Ghana’s landscape. </w:t>
      </w:r>
      <w:r w:rsidRPr="008F15F1">
        <w:rPr>
          <w:lang w:val="es-ES"/>
        </w:rPr>
        <w:t xml:space="preserve">Presentado en el National Landscape Forum. Disponible en: </w:t>
      </w:r>
      <w:hyperlink r:id="rId333" w:history="1">
        <w:r w:rsidRPr="008F15F1">
          <w:rPr>
            <w:color w:val="000000" w:themeColor="text1"/>
            <w:lang w:val="es-ES"/>
          </w:rPr>
          <w:t>https://thedocs.worldbank.org/en/doc/4b347cebf3722a5af3500909c71ea022-0320052025/original/7-CREMA.pdf</w:t>
        </w:r>
      </w:hyperlink>
      <w:r w:rsidRPr="008F15F1">
        <w:rPr>
          <w:lang w:val="es-ES"/>
        </w:rPr>
        <w:t xml:space="preserve"> (consultado el 15 de junio de 2026)</w:t>
      </w:r>
    </w:p>
    <w:p w14:paraId="4E866D49" w14:textId="77777777" w:rsidR="008F15F1" w:rsidRPr="00673184" w:rsidRDefault="008F15F1" w:rsidP="008F15F1">
      <w:pPr>
        <w:tabs>
          <w:tab w:val="left" w:pos="380"/>
        </w:tabs>
        <w:spacing w:after="0" w:line="240" w:lineRule="auto"/>
        <w:ind w:left="720" w:hanging="720"/>
        <w:rPr>
          <w:lang w:val="en-US"/>
        </w:rPr>
      </w:pPr>
      <w:proofErr w:type="spellStart"/>
      <w:r w:rsidRPr="008F15F1">
        <w:rPr>
          <w:lang w:val="pt-BR"/>
        </w:rPr>
        <w:t>Gerhartz</w:t>
      </w:r>
      <w:proofErr w:type="spellEnd"/>
      <w:r w:rsidRPr="008F15F1">
        <w:rPr>
          <w:lang w:val="pt-BR"/>
        </w:rPr>
        <w:t xml:space="preserve">-Muro, J., Viña-Dávila, N., 2022. </w:t>
      </w:r>
      <w:r w:rsidRPr="008F15F1">
        <w:rPr>
          <w:lang w:val="es-ES"/>
        </w:rPr>
        <w:t xml:space="preserve">Plan Estratégico del Corredor Biológico en el Caribe 2022-2030. Programa de las Naciones Unidas para el Medio Ambiente, Santo Domingo. </w:t>
      </w:r>
      <w:r w:rsidRPr="00673184">
        <w:rPr>
          <w:lang w:val="en-US"/>
        </w:rPr>
        <w:t xml:space="preserve">Disponible en: </w:t>
      </w:r>
      <w:r>
        <w:fldChar w:fldCharType="begin"/>
      </w:r>
      <w:r w:rsidRPr="00942359">
        <w:rPr>
          <w:lang w:val="en-US"/>
        </w:rPr>
        <w:instrText>HYPERLINK "https://cbcbio.org/wp-content/uploads/2024/02/PlanEstrategico-CBC-ES-FINAL-2oct.pdf"</w:instrText>
      </w:r>
      <w:r>
        <w:fldChar w:fldCharType="separate"/>
      </w:r>
      <w:r w:rsidRPr="00673184">
        <w:rPr>
          <w:color w:val="000000" w:themeColor="text1"/>
          <w:lang w:val="en-US"/>
        </w:rPr>
        <w:t>https://cbcbio.org/wp-content/uploads/2024/02/PlanEstrategico-CBC-ES-FINAL-2oct.pdf</w:t>
      </w:r>
      <w:r>
        <w:fldChar w:fldCharType="end"/>
      </w:r>
    </w:p>
    <w:p w14:paraId="161B5F77"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Gobierno</w:t>
      </w:r>
      <w:proofErr w:type="spellEnd"/>
      <w:r w:rsidRPr="008F15F1">
        <w:rPr>
          <w:lang w:val="en-US"/>
        </w:rPr>
        <w:t xml:space="preserve"> de Malasia, 2017. Act 795: Access to Biological Resources and Benefit Sharing Act 2017. </w:t>
      </w:r>
      <w:r w:rsidRPr="008F15F1">
        <w:rPr>
          <w:lang w:val="es-ES"/>
        </w:rPr>
        <w:t xml:space="preserve">Kuala Lumpur. Disponible en: </w:t>
      </w:r>
      <w:hyperlink r:id="rId334" w:history="1">
        <w:r w:rsidRPr="008F15F1">
          <w:rPr>
            <w:color w:val="000000" w:themeColor="text1"/>
            <w:lang w:val="es-ES"/>
          </w:rPr>
          <w:t>https://www.mybis.gov.my/pb/3567</w:t>
        </w:r>
      </w:hyperlink>
      <w:r w:rsidRPr="008F15F1">
        <w:rPr>
          <w:lang w:val="es-ES"/>
        </w:rPr>
        <w:t xml:space="preserve"> (consultado el 30 de junio de 2026)</w:t>
      </w:r>
    </w:p>
    <w:p w14:paraId="332A18D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Gobierno de Mongolia, 2020. Ley sobre impuestos ganaderos. </w:t>
      </w:r>
      <w:proofErr w:type="spellStart"/>
      <w:r w:rsidRPr="008F15F1">
        <w:rPr>
          <w:lang w:val="es-ES"/>
        </w:rPr>
        <w:t>Ulaanbaatar</w:t>
      </w:r>
      <w:proofErr w:type="spellEnd"/>
      <w:r w:rsidRPr="008F15F1">
        <w:rPr>
          <w:lang w:val="es-ES"/>
        </w:rPr>
        <w:t>. Disponible en: https://www.ecolex.org/details/legislation/law-on-livestock-tax-lex-faoc202443/ (consultado el 27 de junio de 2026)</w:t>
      </w:r>
    </w:p>
    <w:p w14:paraId="7106F9C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Gobierno del Camerún, 2025. Law No. 2025/006: </w:t>
      </w:r>
      <w:proofErr w:type="spellStart"/>
      <w:r w:rsidRPr="008F15F1">
        <w:rPr>
          <w:lang w:val="es-ES"/>
        </w:rPr>
        <w:t>Governing</w:t>
      </w:r>
      <w:proofErr w:type="spellEnd"/>
      <w:r w:rsidRPr="008F15F1">
        <w:rPr>
          <w:lang w:val="es-ES"/>
        </w:rPr>
        <w:t xml:space="preserve"> </w:t>
      </w:r>
      <w:proofErr w:type="spellStart"/>
      <w:r w:rsidRPr="008F15F1">
        <w:rPr>
          <w:lang w:val="es-ES"/>
        </w:rPr>
        <w:t>Biosecurity</w:t>
      </w:r>
      <w:proofErr w:type="spellEnd"/>
      <w:r w:rsidRPr="008F15F1">
        <w:rPr>
          <w:lang w:val="es-ES"/>
        </w:rPr>
        <w:t xml:space="preserve"> in Cameroon. Presidencia de la República del Camerún. Disponible en: </w:t>
      </w:r>
      <w:hyperlink r:id="rId335" w:history="1">
        <w:r w:rsidRPr="008F15F1">
          <w:rPr>
            <w:color w:val="000000" w:themeColor="text1"/>
            <w:lang w:val="es-ES"/>
          </w:rPr>
          <w:t>https://www.prc.cm/en/news/the-acts/laws/7719-law-no-2025-006-of-25-april-2025-governing-biosecurity-in-cameroon</w:t>
        </w:r>
      </w:hyperlink>
      <w:r w:rsidRPr="008F15F1">
        <w:rPr>
          <w:lang w:val="es-ES"/>
        </w:rPr>
        <w:t xml:space="preserve"> (consultado el 30 de junio de 2026)</w:t>
      </w:r>
    </w:p>
    <w:p w14:paraId="33A9C1D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Grantham, H., Adams, V., Grupo de Tareas sobre Planificación Espacial de la CMAP de la UICN, 2024. </w:t>
      </w:r>
      <w:r w:rsidRPr="008F15F1">
        <w:rPr>
          <w:lang w:val="en-US"/>
        </w:rPr>
        <w:t xml:space="preserve">An overview of Participatory, Integrated, and Biodiversity-Inclusive Spatial Planning and Target 1 under the Convention on Biological Diversity Kunming-Montreal Global Biodiversity Framework, IUCN WCPA Issues </w:t>
      </w:r>
      <w:r w:rsidRPr="008F15F1">
        <w:rPr>
          <w:lang w:val="en-US"/>
        </w:rPr>
        <w:lastRenderedPageBreak/>
        <w:t xml:space="preserve">Paper Series. </w:t>
      </w:r>
      <w:r w:rsidRPr="008F15F1">
        <w:rPr>
          <w:lang w:val="es-ES"/>
        </w:rPr>
        <w:t xml:space="preserve">UICN, Gland. Disponible en: </w:t>
      </w:r>
      <w:hyperlink r:id="rId336" w:history="1">
        <w:r w:rsidRPr="008F15F1">
          <w:rPr>
            <w:color w:val="000000" w:themeColor="text1"/>
            <w:lang w:val="es-ES"/>
          </w:rPr>
          <w:t>https://iucn.org/sites/default/files/2024-10/iucn-wcpa-issues-paper-4.pdf</w:t>
        </w:r>
      </w:hyperlink>
      <w:r w:rsidRPr="008F15F1">
        <w:rPr>
          <w:lang w:val="es-ES"/>
        </w:rPr>
        <w:t xml:space="preserve"> (consultado el 14 de julio de 2026)</w:t>
      </w:r>
    </w:p>
    <w:p w14:paraId="127EB19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Grupo de Observaciones de la Tierra, 2025. Comunicación de la Secretaría del Grupo de Observaciones de la Tierra en respuesta a la notificación núm. 2025-099 del CDB. Secretaría del Convenio sobre la Diversidad Biológica, Montreal. Disponible en: </w:t>
      </w:r>
      <w:hyperlink r:id="rId337" w:history="1">
        <w:r w:rsidRPr="008F15F1">
          <w:rPr>
            <w:color w:val="000000" w:themeColor="text1"/>
            <w:lang w:val="es-ES"/>
          </w:rPr>
          <w:t>https://www.cbd.int/notifications/2025-099</w:t>
        </w:r>
      </w:hyperlink>
      <w:r w:rsidRPr="008F15F1">
        <w:rPr>
          <w:lang w:val="es-ES"/>
        </w:rPr>
        <w:t xml:space="preserve"> (consultado el 21 de mayo de 2026)</w:t>
      </w:r>
    </w:p>
    <w:p w14:paraId="2170EA0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Grupo de Trabajo sobre Divulgaciones Financieras relacionadas con la Naturaleza, 2023. </w:t>
      </w:r>
      <w:r w:rsidRPr="008F15F1">
        <w:rPr>
          <w:lang w:val="en-US"/>
        </w:rPr>
        <w:t xml:space="preserve">Recommendations of the taskforce on nature-related financial disclosures (Report). </w:t>
      </w:r>
      <w:r w:rsidRPr="008F15F1">
        <w:rPr>
          <w:lang w:val="es-ES"/>
        </w:rPr>
        <w:t xml:space="preserve">Grupo de Trabajo sobre Divulgaciones Financieras relacionadas con la Naturaleza (TNFD). Disponible en: </w:t>
      </w:r>
      <w:hyperlink r:id="rId338" w:history="1">
        <w:r w:rsidRPr="008F15F1">
          <w:rPr>
            <w:color w:val="000000" w:themeColor="text1"/>
            <w:lang w:val="es-ES"/>
          </w:rPr>
          <w:t>https://tnfd.global/recommendations/</w:t>
        </w:r>
      </w:hyperlink>
    </w:p>
    <w:p w14:paraId="03CF7434"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Immerzeel, R. y otros, 2026. </w:t>
      </w:r>
      <w:r w:rsidRPr="008F15F1">
        <w:rPr>
          <w:lang w:val="en-US"/>
        </w:rPr>
        <w:t xml:space="preserve">From Global Ambition to National Commitments: National Target Setting under the Global Biodiversity Framework: A contribution to the Convention on Biological Diversity’s Global Review. </w:t>
      </w:r>
      <w:r w:rsidRPr="008F15F1">
        <w:rPr>
          <w:lang w:val="es-ES"/>
        </w:rPr>
        <w:t xml:space="preserve">PBL Agencia Neerlandesa de Evaluación Ambiental, La Haya. Disponible en: </w:t>
      </w:r>
      <w:hyperlink r:id="rId339" w:history="1">
        <w:r w:rsidRPr="008F15F1">
          <w:rPr>
            <w:color w:val="000000" w:themeColor="text1"/>
            <w:lang w:val="es-ES"/>
          </w:rPr>
          <w:t>https://www.pbl.nl/en/publications/from-global-ambition-to-national-commitments-national-target-setting-under-the-global-biodiversity-framework</w:t>
        </w:r>
      </w:hyperlink>
      <w:r w:rsidRPr="008F15F1">
        <w:rPr>
          <w:lang w:val="es-ES"/>
        </w:rPr>
        <w:t xml:space="preserve"> (consultado el 22 de julio de 2026)</w:t>
      </w:r>
    </w:p>
    <w:p w14:paraId="48A997F3" w14:textId="77777777" w:rsidR="008F15F1" w:rsidRPr="008F15F1" w:rsidRDefault="008F15F1" w:rsidP="008F15F1">
      <w:pPr>
        <w:tabs>
          <w:tab w:val="left" w:pos="380"/>
        </w:tabs>
        <w:spacing w:after="0" w:line="240" w:lineRule="auto"/>
        <w:ind w:left="720" w:hanging="720"/>
        <w:rPr>
          <w:lang w:val="es-ES"/>
        </w:rPr>
      </w:pPr>
      <w:r w:rsidRPr="008F15F1">
        <w:rPr>
          <w:lang w:val="en-US"/>
        </w:rPr>
        <w:t>INMS, 2026. INMS The International Nitrogen Management System [</w:t>
      </w:r>
      <w:proofErr w:type="spellStart"/>
      <w:r w:rsidRPr="008F15F1">
        <w:rPr>
          <w:lang w:val="en-US"/>
        </w:rPr>
        <w:t>Documento</w:t>
      </w:r>
      <w:proofErr w:type="spellEnd"/>
      <w:r w:rsidRPr="008F15F1">
        <w:rPr>
          <w:lang w:val="en-US"/>
        </w:rPr>
        <w:t xml:space="preserve"> Web]. </w:t>
      </w:r>
      <w:r w:rsidRPr="008F15F1">
        <w:rPr>
          <w:lang w:val="es-ES"/>
        </w:rPr>
        <w:t xml:space="preserve">Disponible en: </w:t>
      </w:r>
      <w:hyperlink r:id="rId340" w:history="1">
        <w:r w:rsidRPr="008F15F1">
          <w:rPr>
            <w:color w:val="000000" w:themeColor="text1"/>
            <w:lang w:val="es-ES"/>
          </w:rPr>
          <w:t>https://www.inms.international/</w:t>
        </w:r>
      </w:hyperlink>
      <w:r w:rsidRPr="008F15F1">
        <w:rPr>
          <w:lang w:val="es-ES"/>
        </w:rPr>
        <w:t xml:space="preserve"> (consultado el 10 de julio de 2026)</w:t>
      </w:r>
    </w:p>
    <w:p w14:paraId="2D3733CC" w14:textId="77777777" w:rsidR="008F15F1" w:rsidRPr="008F15F1" w:rsidRDefault="008F15F1" w:rsidP="008F15F1">
      <w:pPr>
        <w:tabs>
          <w:tab w:val="left" w:pos="380"/>
        </w:tabs>
        <w:spacing w:after="0" w:line="240" w:lineRule="auto"/>
        <w:ind w:left="720" w:hanging="720"/>
        <w:rPr>
          <w:lang w:val="en-US"/>
        </w:rPr>
      </w:pPr>
      <w:r w:rsidRPr="008F15F1">
        <w:rPr>
          <w:lang w:val="en-US"/>
        </w:rPr>
        <w:t xml:space="preserve">Instituto Leibniz DSMZ, 2025. NMBS database: Non-monetary benefit-sharing from the use of genetic resources. Disponible en: </w:t>
      </w:r>
      <w:r>
        <w:fldChar w:fldCharType="begin"/>
      </w:r>
      <w:r w:rsidRPr="00942359">
        <w:rPr>
          <w:lang w:val="en-US"/>
        </w:rPr>
        <w:instrText>HYPERLINK "https://nmbs.dsmz.de/"</w:instrText>
      </w:r>
      <w:r>
        <w:fldChar w:fldCharType="separate"/>
      </w:r>
      <w:r w:rsidRPr="008F15F1">
        <w:rPr>
          <w:color w:val="000000" w:themeColor="text1"/>
          <w:lang w:val="en-US"/>
        </w:rPr>
        <w:t>https://nmbs.dsmz.de/</w:t>
      </w:r>
      <w:r>
        <w:fldChar w:fldCharType="end"/>
      </w:r>
    </w:p>
    <w:p w14:paraId="39CAEFE1"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IPBES, 2019. Global Assessment Report on Biodiversity and Ecosystem Services of the Intergovernmental Science-Policy Platform on Biodiversity and Ecosystem Services. </w:t>
      </w:r>
      <w:r w:rsidRPr="008F15F1">
        <w:rPr>
          <w:lang w:val="es-ES"/>
        </w:rPr>
        <w:t xml:space="preserve">Secretaría de la IPBES, Bonn. </w:t>
      </w:r>
      <w:hyperlink r:id="rId341" w:history="1">
        <w:r w:rsidRPr="008F15F1">
          <w:rPr>
            <w:color w:val="000000" w:themeColor="text1"/>
            <w:lang w:val="es-ES"/>
          </w:rPr>
          <w:t>https://doi.org/10.5281/ZENODO.6417333</w:t>
        </w:r>
      </w:hyperlink>
    </w:p>
    <w:p w14:paraId="39614B4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IPBES, 2022. </w:t>
      </w:r>
      <w:r w:rsidRPr="008F15F1">
        <w:rPr>
          <w:lang w:val="en-US"/>
        </w:rPr>
        <w:t xml:space="preserve">The Methodological Assessment Report on the Diverse Values and Valuation of Nature of the Intergovernmental Science-Policy Platform on Biodiversity and Ecosystem Services. </w:t>
      </w:r>
      <w:r w:rsidRPr="008F15F1">
        <w:rPr>
          <w:lang w:val="es-ES"/>
        </w:rPr>
        <w:t xml:space="preserve">Secretaría de la IPBES, Bonn (Alemania). </w:t>
      </w:r>
      <w:hyperlink r:id="rId342" w:history="1">
        <w:r w:rsidRPr="008F15F1">
          <w:rPr>
            <w:color w:val="000000" w:themeColor="text1"/>
            <w:lang w:val="es-ES"/>
          </w:rPr>
          <w:t>https://doi.org/10.5281/zenodo.6522522</w:t>
        </w:r>
      </w:hyperlink>
    </w:p>
    <w:p w14:paraId="6490BF26"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IPBES, 2023a. The Thematic Assessment Report on Invasive Alien Species and their Control of the Intergovernmental Science-Policy Platform on Biodiversity and Ecosystem Services. </w:t>
      </w:r>
      <w:r w:rsidRPr="008F15F1">
        <w:rPr>
          <w:lang w:val="es-ES"/>
        </w:rPr>
        <w:t>Secretaría de la IPBES, Bonn (Alemania)</w:t>
      </w:r>
      <w:hyperlink r:id="rId343" w:history="1">
        <w:r w:rsidRPr="008F15F1">
          <w:rPr>
            <w:color w:val="000000" w:themeColor="text1"/>
            <w:lang w:val="es-ES"/>
          </w:rPr>
          <w:t>https://doi.org/10.5281/zenodo.7430682</w:t>
        </w:r>
      </w:hyperlink>
    </w:p>
    <w:p w14:paraId="2001FA0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IPBES, 2023b. Decisión IPBES-10/1, Anexo II: Informe de análisis para una evaluación metodológica de la planificación espacial y la conectividad ecológica integradas que tengan en cuenta la diversidad biológica. Secretaría de la IPBES, Bonn. Disponible en: </w:t>
      </w:r>
      <w:hyperlink r:id="rId344" w:history="1">
        <w:r w:rsidRPr="008F15F1">
          <w:rPr>
            <w:color w:val="000000" w:themeColor="text1"/>
            <w:lang w:val="es-ES"/>
          </w:rPr>
          <w:t>https://www.ipbes.net/resource-file/104979</w:t>
        </w:r>
      </w:hyperlink>
      <w:r w:rsidRPr="008F15F1">
        <w:rPr>
          <w:lang w:val="es-ES"/>
        </w:rPr>
        <w:t xml:space="preserve"> (consultado el 14 de julio de 2026)</w:t>
      </w:r>
    </w:p>
    <w:p w14:paraId="06E1EDF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IPBES, 2023c. Decisión IPBES-10/1, Anexo I: Informe de análisis inicial de una evaluación metodológica sobre la vigilancia de la diversidad biológica y las contribuciones de la naturaleza para las personas. Secretaría de la IPBES, Bonn. Disponible en: </w:t>
      </w:r>
      <w:hyperlink r:id="rId345" w:history="1">
        <w:r w:rsidRPr="008F15F1">
          <w:rPr>
            <w:color w:val="000000" w:themeColor="text1"/>
            <w:lang w:val="es-ES"/>
          </w:rPr>
          <w:t>https://www.ipbes.net/resource-file/104979</w:t>
        </w:r>
      </w:hyperlink>
      <w:r w:rsidRPr="008F15F1">
        <w:rPr>
          <w:lang w:val="es-ES"/>
        </w:rPr>
        <w:t xml:space="preserve"> (consultado el 14 de junio de 2026)</w:t>
      </w:r>
    </w:p>
    <w:p w14:paraId="24729CCF" w14:textId="77777777" w:rsidR="008F15F1" w:rsidRPr="008F15F1" w:rsidRDefault="008F15F1" w:rsidP="008F15F1">
      <w:pPr>
        <w:tabs>
          <w:tab w:val="left" w:pos="380"/>
        </w:tabs>
        <w:spacing w:after="0" w:line="240" w:lineRule="auto"/>
        <w:ind w:left="720" w:hanging="720"/>
        <w:rPr>
          <w:lang w:val="es-ES"/>
        </w:rPr>
      </w:pPr>
      <w:r w:rsidRPr="008F15F1">
        <w:rPr>
          <w:lang w:val="en-US"/>
        </w:rPr>
        <w:lastRenderedPageBreak/>
        <w:t xml:space="preserve">IPBES, 2024a. Thematic Assessment Report on the Underlying Causes of Biodiversity Loss and the Determinants of Transformative Change and Options for Achieving the 2050 Vision for Biodiversity of the Intergovernmental Science-Policy Platform on Biodiversity and Ecosystem Services. </w:t>
      </w:r>
      <w:r w:rsidRPr="008F15F1">
        <w:rPr>
          <w:lang w:val="es-ES"/>
        </w:rPr>
        <w:t xml:space="preserve">Secretaría de la IPBES, Bonn (Alemania). </w:t>
      </w:r>
      <w:hyperlink r:id="rId346" w:history="1">
        <w:r w:rsidRPr="008F15F1">
          <w:rPr>
            <w:color w:val="000000" w:themeColor="text1"/>
            <w:lang w:val="es-ES"/>
          </w:rPr>
          <w:t>https://doi.org/10.5281/zenodo.11382215</w:t>
        </w:r>
      </w:hyperlink>
    </w:p>
    <w:p w14:paraId="5BF66BA4"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IPBES, 2024b. Thematic Assessment Report on the Interlinkages among Biodiversity, Water, Food and Health of the Intergovernmental Science-Policy Platform on Biodiversity and Ecosystem Services. </w:t>
      </w:r>
      <w:r w:rsidRPr="008F15F1">
        <w:rPr>
          <w:lang w:val="es-ES"/>
        </w:rPr>
        <w:t xml:space="preserve">Secretaría de la IPBES, Bonn (Alemania). </w:t>
      </w:r>
      <w:hyperlink r:id="rId347" w:history="1">
        <w:r w:rsidRPr="008F15F1">
          <w:rPr>
            <w:color w:val="000000" w:themeColor="text1"/>
            <w:lang w:val="es-ES"/>
          </w:rPr>
          <w:t>https://doi.org/10.5281/zenodo.13850054</w:t>
        </w:r>
      </w:hyperlink>
    </w:p>
    <w:p w14:paraId="178C667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IPBES, 2024c. Decisión IPBES-11/1, Anexo I: Informe de análisis inicial de una segunda evaluación mundial de la diversidad biológica y los servicios de los ecosistemas. Secretaría de la IPBES. Disponible en: </w:t>
      </w:r>
      <w:hyperlink r:id="rId348" w:history="1">
        <w:r w:rsidRPr="008F15F1">
          <w:rPr>
            <w:color w:val="000000" w:themeColor="text1"/>
            <w:lang w:val="es-ES"/>
          </w:rPr>
          <w:t>https://www.ipbes.net/resource-file/105949</w:t>
        </w:r>
      </w:hyperlink>
      <w:r w:rsidRPr="008F15F1">
        <w:rPr>
          <w:lang w:val="es-ES"/>
        </w:rPr>
        <w:t xml:space="preserve"> (consultado el 2 de agosto de 2026)</w:t>
      </w:r>
    </w:p>
    <w:p w14:paraId="0044C98B"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IPBES, 2026. Methodological Assessment of the Impact and Dependence of Business on Biodiversity and Nature’s Contributions to People of the Intergovernmental Science-Policy Platform on Biodiversity and Ecosystem Services. </w:t>
      </w:r>
      <w:r w:rsidRPr="008F15F1">
        <w:rPr>
          <w:lang w:val="es-ES"/>
        </w:rPr>
        <w:t>Secretaría de la IPBES, Bonn (Alemania).</w:t>
      </w:r>
      <w:hyperlink r:id="rId349" w:history="1">
        <w:r w:rsidRPr="008F15F1">
          <w:rPr>
            <w:color w:val="000000" w:themeColor="text1"/>
            <w:lang w:val="es-ES"/>
          </w:rPr>
          <w:t>https://doi.org/10.5281/zenodo.17185116</w:t>
        </w:r>
      </w:hyperlink>
    </w:p>
    <w:p w14:paraId="69F47DD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ISO, 2025. Comunicación de la Secretaría de la Organización Internacional de Normalización (ISO) en respuesta a la notificación núm. 2025-099 del CDB. Secretaría del Convenio sobre la Diversidad Biológica, Montreal. Disponible en: </w:t>
      </w:r>
      <w:hyperlink r:id="rId350" w:history="1">
        <w:r w:rsidRPr="008F15F1">
          <w:rPr>
            <w:color w:val="000000" w:themeColor="text1"/>
            <w:lang w:val="es-ES"/>
          </w:rPr>
          <w:t>https://www.cbd.int/notifications/2025-099</w:t>
        </w:r>
      </w:hyperlink>
      <w:r w:rsidRPr="008F15F1">
        <w:rPr>
          <w:lang w:val="es-ES"/>
        </w:rPr>
        <w:t xml:space="preserve"> (consultado el 21 de mayo de 2026)</w:t>
      </w:r>
    </w:p>
    <w:p w14:paraId="638C584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Keith, D.A. y otros (eds.), 2020. </w:t>
      </w:r>
      <w:r w:rsidRPr="008F15F1">
        <w:rPr>
          <w:lang w:val="en-US"/>
        </w:rPr>
        <w:t xml:space="preserve">IUCN Global Ecosystem Typology 2.0: descriptive profiles for biomes and ecosystem functional groups. </w:t>
      </w:r>
      <w:r w:rsidRPr="008F15F1">
        <w:rPr>
          <w:lang w:val="es-ES"/>
        </w:rPr>
        <w:t xml:space="preserve">UICN, Unión Internacional para la Conservación de la Naturaleza. </w:t>
      </w:r>
      <w:hyperlink r:id="rId351" w:history="1">
        <w:r w:rsidRPr="008F15F1">
          <w:rPr>
            <w:color w:val="000000" w:themeColor="text1"/>
            <w:lang w:val="es-ES"/>
          </w:rPr>
          <w:t>https://doi.org/10.2305/IUCN.CH.2020.13.en</w:t>
        </w:r>
      </w:hyperlink>
    </w:p>
    <w:p w14:paraId="1A2291DA"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Keith, D.A. y otros, 2022. </w:t>
      </w:r>
      <w:r w:rsidRPr="008F15F1">
        <w:rPr>
          <w:lang w:val="en-US"/>
        </w:rPr>
        <w:t xml:space="preserve">A function-based typology for Earth’s ecosystems. Nature 610, 513-518. </w:t>
      </w:r>
      <w:r>
        <w:fldChar w:fldCharType="begin"/>
      </w:r>
      <w:r w:rsidRPr="00942359">
        <w:rPr>
          <w:lang w:val="en-US"/>
        </w:rPr>
        <w:instrText>HYPERLINK "https://doi.org/10.1038/s41586-022-05318-4"</w:instrText>
      </w:r>
      <w:r>
        <w:fldChar w:fldCharType="separate"/>
      </w:r>
      <w:r w:rsidRPr="008F15F1">
        <w:rPr>
          <w:color w:val="000000" w:themeColor="text1"/>
          <w:lang w:val="en-US"/>
        </w:rPr>
        <w:t>https://doi.org/10.1038/s41586-022-05318-4</w:t>
      </w:r>
      <w:r>
        <w:fldChar w:fldCharType="end"/>
      </w:r>
    </w:p>
    <w:p w14:paraId="3B4222AD"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Khorngton</w:t>
      </w:r>
      <w:proofErr w:type="spellEnd"/>
      <w:r w:rsidRPr="008F15F1">
        <w:rPr>
          <w:lang w:val="en-US"/>
        </w:rPr>
        <w:t xml:space="preserve">, S. y </w:t>
      </w:r>
      <w:proofErr w:type="spellStart"/>
      <w:r w:rsidRPr="008F15F1">
        <w:rPr>
          <w:lang w:val="en-US"/>
        </w:rPr>
        <w:t>otros</w:t>
      </w:r>
      <w:proofErr w:type="spellEnd"/>
      <w:r w:rsidRPr="008F15F1">
        <w:rPr>
          <w:lang w:val="en-US"/>
        </w:rPr>
        <w:t xml:space="preserve">, 2026. Leveraging Red List data to estimate genetic diversity indicators: Improved workflows to support the Global Biodiversity Framework. </w:t>
      </w:r>
      <w:proofErr w:type="spellStart"/>
      <w:r w:rsidRPr="008F15F1">
        <w:rPr>
          <w:lang w:val="es-ES"/>
        </w:rPr>
        <w:t>Conserv</w:t>
      </w:r>
      <w:proofErr w:type="spellEnd"/>
      <w:r w:rsidRPr="008F15F1">
        <w:rPr>
          <w:lang w:val="es-ES"/>
        </w:rPr>
        <w:t xml:space="preserve">. </w:t>
      </w:r>
      <w:proofErr w:type="spellStart"/>
      <w:r w:rsidRPr="008F15F1">
        <w:rPr>
          <w:lang w:val="es-ES"/>
        </w:rPr>
        <w:t>Sci</w:t>
      </w:r>
      <w:proofErr w:type="spellEnd"/>
      <w:r w:rsidRPr="008F15F1">
        <w:rPr>
          <w:lang w:val="es-ES"/>
        </w:rPr>
        <w:t xml:space="preserve">. </w:t>
      </w:r>
      <w:proofErr w:type="spellStart"/>
      <w:r w:rsidRPr="008F15F1">
        <w:rPr>
          <w:lang w:val="es-ES"/>
        </w:rPr>
        <w:t>Pract</w:t>
      </w:r>
      <w:proofErr w:type="spellEnd"/>
      <w:r w:rsidRPr="008F15F1">
        <w:rPr>
          <w:lang w:val="es-ES"/>
        </w:rPr>
        <w:t xml:space="preserve">. e70321. </w:t>
      </w:r>
      <w:hyperlink r:id="rId352" w:history="1">
        <w:r w:rsidRPr="008F15F1">
          <w:rPr>
            <w:color w:val="000000" w:themeColor="text1"/>
            <w:lang w:val="es-ES"/>
          </w:rPr>
          <w:t>https://doi.org/10.1111/csp2.70321</w:t>
        </w:r>
      </w:hyperlink>
    </w:p>
    <w:p w14:paraId="73390F73"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Kok, M.T.J. y otros, 2023. </w:t>
      </w:r>
      <w:r w:rsidRPr="008F15F1">
        <w:rPr>
          <w:lang w:val="en-US"/>
        </w:rPr>
        <w:t xml:space="preserve">Assessing ambitious nature conservation strategies in a below 2-degree and food-secure world. Biol. </w:t>
      </w:r>
      <w:proofErr w:type="spellStart"/>
      <w:r w:rsidRPr="008F15F1">
        <w:rPr>
          <w:lang w:val="en-US"/>
        </w:rPr>
        <w:t>Conserv</w:t>
      </w:r>
      <w:proofErr w:type="spellEnd"/>
      <w:r w:rsidRPr="008F15F1">
        <w:rPr>
          <w:lang w:val="en-US"/>
        </w:rPr>
        <w:t xml:space="preserve">. 284, 110068. </w:t>
      </w:r>
      <w:r>
        <w:fldChar w:fldCharType="begin"/>
      </w:r>
      <w:r w:rsidRPr="00942359">
        <w:rPr>
          <w:lang w:val="en-US"/>
        </w:rPr>
        <w:instrText>HYPERLINK "https://doi.org/10.1016/j.biocon.2023.110068"</w:instrText>
      </w:r>
      <w:r>
        <w:fldChar w:fldCharType="separate"/>
      </w:r>
      <w:r w:rsidRPr="008F15F1">
        <w:rPr>
          <w:color w:val="000000" w:themeColor="text1"/>
          <w:lang w:val="en-US"/>
        </w:rPr>
        <w:t>https://doi.org/10.1016/j.biocon.2023.110068</w:t>
      </w:r>
      <w:r>
        <w:fldChar w:fldCharType="end"/>
      </w:r>
    </w:p>
    <w:p w14:paraId="6F12AF5A"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LandMark</w:t>
      </w:r>
      <w:proofErr w:type="spellEnd"/>
      <w:r w:rsidRPr="008F15F1">
        <w:rPr>
          <w:lang w:val="en-US"/>
        </w:rPr>
        <w:t xml:space="preserve">, 2024. Percent of country held by indigenous peoples and communities – acknowledged by government and total (version 202408). </w:t>
      </w:r>
      <w:r w:rsidRPr="008F15F1">
        <w:rPr>
          <w:lang w:val="es-ES"/>
        </w:rPr>
        <w:t xml:space="preserve">Plataforma Global de Territorios Indígenas y Comunitarios-LandMark. Disponible en: </w:t>
      </w:r>
      <w:hyperlink r:id="rId353" w:history="1">
        <w:r w:rsidRPr="008F15F1">
          <w:rPr>
            <w:color w:val="000000" w:themeColor="text1"/>
            <w:lang w:val="es-ES"/>
          </w:rPr>
          <w:t>https://landmarkmap.org/</w:t>
        </w:r>
      </w:hyperlink>
    </w:p>
    <w:p w14:paraId="3ADE0436"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t>LandMark</w:t>
      </w:r>
      <w:proofErr w:type="spellEnd"/>
      <w:r w:rsidRPr="008F15F1">
        <w:rPr>
          <w:lang w:val="en-US"/>
        </w:rPr>
        <w:t xml:space="preserve">, 2025. Indigenous peoples’ lands &amp; territories, local communities lands, and indicative areas of indigenous and local community lands (version 202509). </w:t>
      </w:r>
      <w:r w:rsidRPr="008F15F1">
        <w:rPr>
          <w:lang w:val="es-ES"/>
        </w:rPr>
        <w:t xml:space="preserve">Plataforma Global de Territorios Indígenas y Comunitarios-LandMark. Disponible en: </w:t>
      </w:r>
      <w:hyperlink r:id="rId354" w:history="1">
        <w:r w:rsidRPr="008F15F1">
          <w:rPr>
            <w:color w:val="000000" w:themeColor="text1"/>
            <w:lang w:val="es-ES"/>
          </w:rPr>
          <w:t>https://www.landmarkmap.org/</w:t>
        </w:r>
      </w:hyperlink>
    </w:p>
    <w:p w14:paraId="7254507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Langhammer, P.F. y otros, 2024. </w:t>
      </w:r>
      <w:r w:rsidRPr="008F15F1">
        <w:rPr>
          <w:lang w:val="en-US"/>
        </w:rPr>
        <w:t xml:space="preserve">The positive impact of conservation action. </w:t>
      </w:r>
      <w:proofErr w:type="spellStart"/>
      <w:r w:rsidRPr="008F15F1">
        <w:rPr>
          <w:lang w:val="es-ES"/>
        </w:rPr>
        <w:t>Science</w:t>
      </w:r>
      <w:proofErr w:type="spellEnd"/>
      <w:r w:rsidRPr="008F15F1">
        <w:rPr>
          <w:lang w:val="es-ES"/>
        </w:rPr>
        <w:t xml:space="preserve"> 384, 453-458. </w:t>
      </w:r>
      <w:hyperlink r:id="rId355" w:history="1">
        <w:r w:rsidRPr="008F15F1">
          <w:rPr>
            <w:color w:val="000000" w:themeColor="text1"/>
            <w:lang w:val="es-ES"/>
          </w:rPr>
          <w:t>https://doi.org/10.1126/science.adj6598</w:t>
        </w:r>
      </w:hyperlink>
    </w:p>
    <w:p w14:paraId="27A02F64"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Leadley, P. y otros, 2022. </w:t>
      </w:r>
      <w:r w:rsidRPr="008F15F1">
        <w:rPr>
          <w:lang w:val="en-US"/>
        </w:rPr>
        <w:t xml:space="preserve">Achieving global biodiversity goals by 2050 requires urgent and integrated actions. One Earth 5, 597-603. </w:t>
      </w:r>
      <w:r>
        <w:fldChar w:fldCharType="begin"/>
      </w:r>
      <w:r w:rsidRPr="00942359">
        <w:rPr>
          <w:lang w:val="en-US"/>
        </w:rPr>
        <w:instrText>HYPERLINK "https://doi.org/10.1016/j.oneear.2022.05.009"</w:instrText>
      </w:r>
      <w:r>
        <w:fldChar w:fldCharType="separate"/>
      </w:r>
      <w:r w:rsidRPr="008F15F1">
        <w:rPr>
          <w:color w:val="000000" w:themeColor="text1"/>
          <w:lang w:val="en-US"/>
        </w:rPr>
        <w:t>https://doi.org/10.1016/j.oneear.2022.05.009</w:t>
      </w:r>
      <w:r>
        <w:fldChar w:fldCharType="end"/>
      </w:r>
    </w:p>
    <w:p w14:paraId="4746C580" w14:textId="77777777" w:rsidR="008F15F1" w:rsidRPr="008F15F1" w:rsidRDefault="008F15F1" w:rsidP="008F15F1">
      <w:pPr>
        <w:tabs>
          <w:tab w:val="left" w:pos="380"/>
        </w:tabs>
        <w:spacing w:after="0" w:line="240" w:lineRule="auto"/>
        <w:ind w:left="720" w:hanging="720"/>
        <w:rPr>
          <w:lang w:val="es-ES"/>
        </w:rPr>
      </w:pPr>
      <w:proofErr w:type="spellStart"/>
      <w:r w:rsidRPr="008F15F1">
        <w:rPr>
          <w:lang w:val="en-US"/>
        </w:rPr>
        <w:lastRenderedPageBreak/>
        <w:t>Leclère</w:t>
      </w:r>
      <w:proofErr w:type="spellEnd"/>
      <w:r w:rsidRPr="008F15F1">
        <w:rPr>
          <w:lang w:val="en-US"/>
        </w:rPr>
        <w:t xml:space="preserve">, D. y </w:t>
      </w:r>
      <w:proofErr w:type="spellStart"/>
      <w:r w:rsidRPr="008F15F1">
        <w:rPr>
          <w:lang w:val="en-US"/>
        </w:rPr>
        <w:t>otros</w:t>
      </w:r>
      <w:proofErr w:type="spellEnd"/>
      <w:r w:rsidRPr="008F15F1">
        <w:rPr>
          <w:lang w:val="en-US"/>
        </w:rPr>
        <w:t xml:space="preserve">, 2020. Bending the curve of terrestrial biodiversity needs an integrated strategy. </w:t>
      </w:r>
      <w:r w:rsidRPr="008F15F1">
        <w:rPr>
          <w:lang w:val="es-ES"/>
        </w:rPr>
        <w:t xml:space="preserve">Nature 585, 551-556. </w:t>
      </w:r>
      <w:hyperlink r:id="rId356" w:history="1">
        <w:r w:rsidRPr="008F15F1">
          <w:rPr>
            <w:color w:val="000000" w:themeColor="text1"/>
            <w:lang w:val="es-ES"/>
          </w:rPr>
          <w:t>https://doi.org/10.1038/s41586-020-2705-y</w:t>
        </w:r>
      </w:hyperlink>
    </w:p>
    <w:p w14:paraId="0113A5D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Mastretta-Yanes, A. y otros, 2024. </w:t>
      </w:r>
      <w:r w:rsidRPr="008F15F1">
        <w:rPr>
          <w:lang w:val="en-US"/>
        </w:rPr>
        <w:t xml:space="preserve">Multinational evaluation of genetic diversity indicators for the Kunming-Montreal Global Biodiversity Framework. </w:t>
      </w:r>
      <w:r w:rsidRPr="008F15F1">
        <w:rPr>
          <w:lang w:val="es-ES"/>
        </w:rPr>
        <w:t xml:space="preserve">Dryad. </w:t>
      </w:r>
      <w:hyperlink r:id="rId357" w:history="1">
        <w:r w:rsidRPr="008F15F1">
          <w:rPr>
            <w:color w:val="000000" w:themeColor="text1"/>
            <w:lang w:val="es-ES"/>
          </w:rPr>
          <w:t>https://doi.org/10.5061/DRYAD.BK3J9KDKM</w:t>
        </w:r>
      </w:hyperlink>
    </w:p>
    <w:p w14:paraId="69CE7AAD" w14:textId="77777777" w:rsidR="008F15F1" w:rsidRPr="008F15F1" w:rsidRDefault="008F15F1" w:rsidP="008F15F1">
      <w:pPr>
        <w:tabs>
          <w:tab w:val="left" w:pos="380"/>
        </w:tabs>
        <w:spacing w:after="0" w:line="240" w:lineRule="auto"/>
        <w:ind w:left="720" w:hanging="720"/>
        <w:rPr>
          <w:lang w:val="es-ES"/>
        </w:rPr>
      </w:pPr>
      <w:r w:rsidRPr="008F15F1">
        <w:rPr>
          <w:lang w:val="es-ES"/>
        </w:rPr>
        <w:t>Ministerio de Ambiente de Panamá (</w:t>
      </w:r>
      <w:proofErr w:type="spellStart"/>
      <w:r w:rsidRPr="008F15F1">
        <w:rPr>
          <w:lang w:val="es-ES"/>
        </w:rPr>
        <w:t>MiAMBIENTE</w:t>
      </w:r>
      <w:proofErr w:type="spellEnd"/>
      <w:r w:rsidRPr="008F15F1">
        <w:rPr>
          <w:lang w:val="es-ES"/>
        </w:rPr>
        <w:t>), 2025. Pacto de Panamá con la Naturaleza (Nature Pledge). Ministerio de Ambiente de Panamá (</w:t>
      </w:r>
      <w:proofErr w:type="spellStart"/>
      <w:r w:rsidRPr="008F15F1">
        <w:rPr>
          <w:lang w:val="es-ES"/>
        </w:rPr>
        <w:t>MiAMBIENTE</w:t>
      </w:r>
      <w:proofErr w:type="spellEnd"/>
      <w:r w:rsidRPr="008F15F1">
        <w:rPr>
          <w:lang w:val="es-ES"/>
        </w:rPr>
        <w:t xml:space="preserve">), Panamá. Disponible en: </w:t>
      </w:r>
      <w:hyperlink r:id="rId358" w:history="1">
        <w:r w:rsidRPr="008F15F1">
          <w:rPr>
            <w:color w:val="000000" w:themeColor="text1"/>
            <w:lang w:val="es-ES"/>
          </w:rPr>
          <w:t>https://transparencia-climatica.miambiente.gob.pa/wp-content/uploads/2025/11/Pacto-de-Panama-con-la-Naturaleza-Nature-Pledge.pdf</w:t>
        </w:r>
      </w:hyperlink>
      <w:r w:rsidRPr="008F15F1">
        <w:rPr>
          <w:lang w:val="es-ES"/>
        </w:rPr>
        <w:t xml:space="preserve"> (consultado el 14 de junio de 2026)</w:t>
      </w:r>
    </w:p>
    <w:p w14:paraId="314540ED" w14:textId="77777777" w:rsidR="008F15F1" w:rsidRPr="008F15F1" w:rsidRDefault="008F15F1" w:rsidP="008F15F1">
      <w:pPr>
        <w:tabs>
          <w:tab w:val="left" w:pos="380"/>
        </w:tabs>
        <w:spacing w:after="0" w:line="240" w:lineRule="auto"/>
        <w:ind w:left="720" w:hanging="720"/>
        <w:rPr>
          <w:lang w:val="es-ES"/>
        </w:rPr>
      </w:pPr>
      <w:r w:rsidRPr="008F15F1">
        <w:rPr>
          <w:lang w:val="es-ES"/>
        </w:rPr>
        <w:t>Ministerio de Clima y Empresas, Oficinas Gubernamentales de Suecia, 2025. Comunicación del Ministerio de Clima y Empresas, Oficinas Gubernamentales de Suecia en respuesta a la notificación núm. 2025-100 del CDB. Secretaría del Convenio sobre la Diversidad Biológica, Montreal. Disponible en: https://www.cbd.int/notifications/2025-100 (consultado el 14 de agosto de 2026)</w:t>
      </w:r>
    </w:p>
    <w:p w14:paraId="48D88FA0"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Ministerio de Finanzas, Gobierno de Chile, 2025. Marco de Bonos Vinculados a la Sostenibilidad de Chile. Ministerio de Finanzas, Gobierno de Chile, Santiago. Disponible en: </w:t>
      </w:r>
      <w:hyperlink r:id="rId359" w:history="1">
        <w:r w:rsidRPr="008F15F1">
          <w:rPr>
            <w:color w:val="000000" w:themeColor="text1"/>
            <w:lang w:val="es-ES"/>
          </w:rPr>
          <w:t>https://www.hacienda.cl/english/work-areas/international-finance/public-debt-office/esg-bonds/sustainability-linked-bonds</w:t>
        </w:r>
      </w:hyperlink>
      <w:r w:rsidRPr="008F15F1">
        <w:rPr>
          <w:lang w:val="es-ES"/>
        </w:rPr>
        <w:t xml:space="preserve"> (consultado el 14 de agosto de 2026)</w:t>
      </w:r>
    </w:p>
    <w:p w14:paraId="370ACA90" w14:textId="77777777" w:rsidR="008F15F1" w:rsidRPr="008F15F1" w:rsidRDefault="008F15F1" w:rsidP="008F15F1">
      <w:pPr>
        <w:tabs>
          <w:tab w:val="left" w:pos="380"/>
        </w:tabs>
        <w:spacing w:after="0" w:line="240" w:lineRule="auto"/>
        <w:ind w:left="720" w:hanging="720"/>
        <w:rPr>
          <w:lang w:val="es-ES"/>
        </w:rPr>
      </w:pPr>
      <w:r w:rsidRPr="008F15F1">
        <w:rPr>
          <w:lang w:val="pt-BR"/>
        </w:rPr>
        <w:t xml:space="preserve">MMA, 2024. Plano Nacional de Recuperação da Vegetação Nativa (PLANAVEG) 2025-2028. Ministério do Meio Ambiente e Mudança do Clima (MMA), </w:t>
      </w:r>
      <w:proofErr w:type="spellStart"/>
      <w:r w:rsidRPr="008F15F1">
        <w:rPr>
          <w:lang w:val="pt-BR"/>
        </w:rPr>
        <w:t>Brasilia</w:t>
      </w:r>
      <w:proofErr w:type="spellEnd"/>
      <w:r w:rsidRPr="008F15F1">
        <w:rPr>
          <w:lang w:val="pt-BR"/>
        </w:rPr>
        <w:t xml:space="preserve">. </w:t>
      </w:r>
      <w:r w:rsidRPr="008F15F1">
        <w:rPr>
          <w:lang w:val="es-ES"/>
        </w:rPr>
        <w:t xml:space="preserve">Disponible en: </w:t>
      </w:r>
      <w:hyperlink r:id="rId360" w:history="1">
        <w:r w:rsidRPr="008F15F1">
          <w:rPr>
            <w:color w:val="000000" w:themeColor="text1"/>
            <w:lang w:val="es-ES"/>
          </w:rPr>
          <w:t>https://www.gov.br/mma/pt-br/composicao/sbio/dflo/plano-nacional-de-recuperacao-da-vegetacao-nativa-planaveg/planaveg_2025-2028_2dez2024.pdf</w:t>
        </w:r>
      </w:hyperlink>
      <w:r w:rsidRPr="008F15F1">
        <w:rPr>
          <w:lang w:val="es-ES"/>
        </w:rPr>
        <w:t xml:space="preserve"> (consultado el 23 de junio de 2026)</w:t>
      </w:r>
    </w:p>
    <w:p w14:paraId="3409BD32" w14:textId="77777777" w:rsidR="008F15F1" w:rsidRPr="00673184" w:rsidRDefault="008F15F1" w:rsidP="008F15F1">
      <w:pPr>
        <w:tabs>
          <w:tab w:val="left" w:pos="380"/>
        </w:tabs>
        <w:spacing w:after="0" w:line="240" w:lineRule="auto"/>
        <w:ind w:left="720" w:hanging="720"/>
        <w:rPr>
          <w:lang w:val="en-US"/>
        </w:rPr>
      </w:pPr>
      <w:r w:rsidRPr="008F15F1">
        <w:rPr>
          <w:lang w:val="es-ES"/>
        </w:rPr>
        <w:t xml:space="preserve">Moreno-Mateos, D. y otros, 2017. </w:t>
      </w:r>
      <w:r w:rsidRPr="008F15F1">
        <w:rPr>
          <w:lang w:val="en-US"/>
        </w:rPr>
        <w:t xml:space="preserve">Anthropogenic ecosystem disturbance and the recovery debt. </w:t>
      </w:r>
      <w:r w:rsidRPr="00673184">
        <w:rPr>
          <w:lang w:val="en-US"/>
        </w:rPr>
        <w:t>Nat. Commun. 8, 14163. https://doi.org/10.1038/ncomms14163</w:t>
      </w:r>
    </w:p>
    <w:p w14:paraId="74ABFA8E" w14:textId="77777777" w:rsidR="008F15F1" w:rsidRPr="008F15F1" w:rsidRDefault="008F15F1" w:rsidP="008F15F1">
      <w:pPr>
        <w:tabs>
          <w:tab w:val="left" w:pos="380"/>
        </w:tabs>
        <w:spacing w:after="0" w:line="240" w:lineRule="auto"/>
        <w:ind w:left="720" w:hanging="720"/>
        <w:rPr>
          <w:lang w:val="es-ES"/>
        </w:rPr>
      </w:pPr>
      <w:r w:rsidRPr="00673184">
        <w:rPr>
          <w:lang w:val="en-US"/>
        </w:rPr>
        <w:t xml:space="preserve">Murray, N. y </w:t>
      </w:r>
      <w:proofErr w:type="spellStart"/>
      <w:r w:rsidRPr="00673184">
        <w:rPr>
          <w:lang w:val="en-US"/>
        </w:rPr>
        <w:t>otros</w:t>
      </w:r>
      <w:proofErr w:type="spellEnd"/>
      <w:r w:rsidRPr="00673184">
        <w:rPr>
          <w:lang w:val="en-US"/>
        </w:rPr>
        <w:t xml:space="preserve">, 2026. </w:t>
      </w:r>
      <w:r w:rsidRPr="008F15F1">
        <w:rPr>
          <w:lang w:val="en-US"/>
        </w:rPr>
        <w:t xml:space="preserve">The Global Ecosystems Atlas: comprehensive and systematic mapping of Earth’s ecosystems. </w:t>
      </w:r>
      <w:proofErr w:type="spellStart"/>
      <w:r w:rsidRPr="008F15F1">
        <w:rPr>
          <w:lang w:val="es-ES"/>
        </w:rPr>
        <w:t>EcoEvoRxiv</w:t>
      </w:r>
      <w:proofErr w:type="spellEnd"/>
      <w:r w:rsidRPr="008F15F1">
        <w:rPr>
          <w:lang w:val="es-ES"/>
        </w:rPr>
        <w:t xml:space="preserve">. </w:t>
      </w:r>
      <w:hyperlink r:id="rId361" w:history="1">
        <w:r w:rsidRPr="008F15F1">
          <w:rPr>
            <w:color w:val="000000" w:themeColor="text1"/>
            <w:lang w:val="es-ES"/>
          </w:rPr>
          <w:t>https://doi.org/10.32942/X22Q3M</w:t>
        </w:r>
      </w:hyperlink>
    </w:p>
    <w:p w14:paraId="04B8202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Naciones Unidas, 2015. A/RES/70/1: Transformar nuestro mundo: la Agenda 2030 para el Desarrollo Sostenible. Naciones Unidas, Nueva York. Disponible en: </w:t>
      </w:r>
      <w:hyperlink r:id="rId362" w:history="1">
        <w:r w:rsidRPr="008F15F1">
          <w:rPr>
            <w:color w:val="000000" w:themeColor="text1"/>
            <w:lang w:val="es-ES"/>
          </w:rPr>
          <w:t>https://digitallibrary.un.org/record/3923923</w:t>
        </w:r>
      </w:hyperlink>
      <w:r w:rsidRPr="008F15F1">
        <w:rPr>
          <w:lang w:val="es-ES"/>
        </w:rPr>
        <w:t xml:space="preserve"> (consultado el 22 de mayo de 2026)</w:t>
      </w:r>
    </w:p>
    <w:p w14:paraId="26B68110"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Nicholson, E. y </w:t>
      </w:r>
      <w:proofErr w:type="spellStart"/>
      <w:r w:rsidRPr="008F15F1">
        <w:rPr>
          <w:lang w:val="en-US"/>
        </w:rPr>
        <w:t>otros</w:t>
      </w:r>
      <w:proofErr w:type="spellEnd"/>
      <w:r w:rsidRPr="008F15F1">
        <w:rPr>
          <w:lang w:val="en-US"/>
        </w:rPr>
        <w:t xml:space="preserve">, 2021. Scientific foundations for an ecosystem goal, milestones and indicators for the post-2020 global biodiversity framework. </w:t>
      </w:r>
      <w:r w:rsidRPr="008F15F1">
        <w:rPr>
          <w:lang w:val="es-ES"/>
        </w:rPr>
        <w:t xml:space="preserve">Nat. Ecol. </w:t>
      </w:r>
      <w:proofErr w:type="spellStart"/>
      <w:r w:rsidRPr="008F15F1">
        <w:rPr>
          <w:lang w:val="es-ES"/>
        </w:rPr>
        <w:t>Evol</w:t>
      </w:r>
      <w:proofErr w:type="spellEnd"/>
      <w:r w:rsidRPr="008F15F1">
        <w:rPr>
          <w:lang w:val="es-ES"/>
        </w:rPr>
        <w:t xml:space="preserve">. 5, 1338-1349. </w:t>
      </w:r>
      <w:hyperlink r:id="rId363" w:history="1">
        <w:r w:rsidRPr="008F15F1">
          <w:rPr>
            <w:color w:val="000000" w:themeColor="text1"/>
            <w:lang w:val="es-ES"/>
          </w:rPr>
          <w:t>https://doi.org/10.1038/s41559-021-01538-5</w:t>
        </w:r>
      </w:hyperlink>
    </w:p>
    <w:p w14:paraId="4282172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Nicholson, E. y otros, 2024. </w:t>
      </w:r>
      <w:r w:rsidRPr="008F15F1">
        <w:rPr>
          <w:lang w:val="en-US"/>
        </w:rPr>
        <w:t xml:space="preserve">Roles of the Red List of Ecosystems in the Kunming-Montreal Global Biodiversity Framework. </w:t>
      </w:r>
      <w:r w:rsidRPr="008F15F1">
        <w:rPr>
          <w:lang w:val="es-ES"/>
        </w:rPr>
        <w:t xml:space="preserve">Nat. Ecol. </w:t>
      </w:r>
      <w:proofErr w:type="spellStart"/>
      <w:r w:rsidRPr="008F15F1">
        <w:rPr>
          <w:lang w:val="es-ES"/>
        </w:rPr>
        <w:t>Evol</w:t>
      </w:r>
      <w:proofErr w:type="spellEnd"/>
      <w:r w:rsidRPr="008F15F1">
        <w:rPr>
          <w:lang w:val="es-ES"/>
        </w:rPr>
        <w:t xml:space="preserve">. 8, 614-621. </w:t>
      </w:r>
      <w:hyperlink r:id="rId364" w:history="1">
        <w:r w:rsidRPr="008F15F1">
          <w:rPr>
            <w:color w:val="000000" w:themeColor="text1"/>
            <w:lang w:val="es-ES"/>
          </w:rPr>
          <w:t>https://doi.org/10.1038/s41559-023-02320-5</w:t>
        </w:r>
      </w:hyperlink>
    </w:p>
    <w:p w14:paraId="13C02DC9" w14:textId="77777777" w:rsidR="008F15F1" w:rsidRPr="008F15F1" w:rsidRDefault="008F15F1" w:rsidP="008F15F1">
      <w:pPr>
        <w:tabs>
          <w:tab w:val="left" w:pos="380"/>
        </w:tabs>
        <w:spacing w:after="0" w:line="240" w:lineRule="auto"/>
        <w:ind w:left="720" w:hanging="720"/>
        <w:rPr>
          <w:lang w:val="en-US"/>
        </w:rPr>
      </w:pPr>
      <w:r w:rsidRPr="008F15F1">
        <w:rPr>
          <w:lang w:val="es-ES"/>
        </w:rPr>
        <w:t xml:space="preserve">Núñez-Vega, G. y otros, 2025. </w:t>
      </w:r>
      <w:r w:rsidRPr="008F15F1">
        <w:rPr>
          <w:lang w:val="en-US"/>
        </w:rPr>
        <w:t xml:space="preserve">A new indicator for the Kunming–Montreal Global Biodiversity Framework: Capturing non-monetary benefit data from access and benefit-sharing agreements. </w:t>
      </w:r>
      <w:proofErr w:type="spellStart"/>
      <w:r w:rsidRPr="008F15F1">
        <w:rPr>
          <w:lang w:val="en-US"/>
        </w:rPr>
        <w:t>BioScience</w:t>
      </w:r>
      <w:proofErr w:type="spellEnd"/>
      <w:r w:rsidRPr="008F15F1">
        <w:rPr>
          <w:lang w:val="en-US"/>
        </w:rPr>
        <w:t xml:space="preserve"> 75, 298-306. </w:t>
      </w:r>
      <w:r>
        <w:fldChar w:fldCharType="begin"/>
      </w:r>
      <w:r w:rsidRPr="00942359">
        <w:rPr>
          <w:lang w:val="en-US"/>
        </w:rPr>
        <w:instrText>HYPERLINK "https://doi.org/10.1093/biosci/biae132"</w:instrText>
      </w:r>
      <w:r>
        <w:fldChar w:fldCharType="separate"/>
      </w:r>
      <w:r w:rsidRPr="008F15F1">
        <w:rPr>
          <w:color w:val="000000" w:themeColor="text1"/>
          <w:lang w:val="en-US"/>
        </w:rPr>
        <w:t>https://doi.org/10.1093/biosci/biae132</w:t>
      </w:r>
      <w:r>
        <w:fldChar w:fldCharType="end"/>
      </w:r>
    </w:p>
    <w:p w14:paraId="4EA924FA"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OCDE, 2024. Policy instruments for the environment (PINE) database. </w:t>
      </w:r>
      <w:r w:rsidRPr="008F15F1">
        <w:rPr>
          <w:lang w:val="es-ES"/>
        </w:rPr>
        <w:t xml:space="preserve">Organización de Cooperación y Desarrollo Económicos (OCDE). Disponible en: </w:t>
      </w:r>
      <w:hyperlink r:id="rId365" w:history="1">
        <w:r w:rsidRPr="008F15F1">
          <w:rPr>
            <w:color w:val="000000" w:themeColor="text1"/>
            <w:lang w:val="es-ES"/>
          </w:rPr>
          <w:t>https://oecd-main.shinyapps.io/pinedatabase</w:t>
        </w:r>
      </w:hyperlink>
    </w:p>
    <w:p w14:paraId="49FC640F" w14:textId="77777777" w:rsidR="008F15F1" w:rsidRPr="008F15F1" w:rsidRDefault="008F15F1" w:rsidP="008F15F1">
      <w:pPr>
        <w:tabs>
          <w:tab w:val="left" w:pos="380"/>
        </w:tabs>
        <w:spacing w:after="0" w:line="240" w:lineRule="auto"/>
        <w:ind w:left="720" w:hanging="720"/>
        <w:rPr>
          <w:lang w:val="es-ES"/>
        </w:rPr>
      </w:pPr>
      <w:r w:rsidRPr="008F15F1">
        <w:rPr>
          <w:lang w:val="en-US"/>
        </w:rPr>
        <w:lastRenderedPageBreak/>
        <w:t xml:space="preserve">OCDE, 2025. Roadmap for Sustainable Investment Policy Reforms in Uzbekistan, OECD Investment Policy Reviews. </w:t>
      </w:r>
      <w:r w:rsidRPr="008F15F1">
        <w:rPr>
          <w:lang w:val="es-ES"/>
        </w:rPr>
        <w:t xml:space="preserve">Organización de Cooperación y Desarrollo Económicos (OCDE), París. </w:t>
      </w:r>
      <w:hyperlink r:id="rId366" w:history="1">
        <w:r w:rsidRPr="008F15F1">
          <w:rPr>
            <w:color w:val="000000" w:themeColor="text1"/>
            <w:lang w:val="es-ES"/>
          </w:rPr>
          <w:t>https://doi.org/10.1787/20865f29-en</w:t>
        </w:r>
      </w:hyperlink>
    </w:p>
    <w:p w14:paraId="72977A19"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OCDE, 2026. Biodiversity and Development Finance 2015-2023. </w:t>
      </w:r>
      <w:r w:rsidRPr="008F15F1">
        <w:rPr>
          <w:lang w:val="es-ES"/>
        </w:rPr>
        <w:t xml:space="preserve">Organización de Cooperación y Desarrollo Económicos (OCDE), París. Disponible en: </w:t>
      </w:r>
      <w:hyperlink r:id="rId367" w:history="1">
        <w:r w:rsidRPr="008F15F1">
          <w:rPr>
            <w:color w:val="000000" w:themeColor="text1"/>
            <w:lang w:val="es-ES"/>
          </w:rPr>
          <w:t>https://storageprdv2inwink.blob.core.windows.net/26dc05c5-0072-f011-8dca-0022488a3cad-public/assets/documents/9118c8a7-66be-f011-8194-6045bd90aa7b/638983976656338368/Biodiversity-and-development-finance-2015-2023-compressed.pdf</w:t>
        </w:r>
      </w:hyperlink>
    </w:p>
    <w:p w14:paraId="38340B7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OIEA, 2025. Comunicación de la División de Laboratorios del Organismo Internacional de Energía Atómica para el Medio Ambiente Marino en respuesta a la notificación núm. 2025-099 del CDB. Secretaría del Convenio sobre la Diversidad Biológica, Montreal. Disponible en: </w:t>
      </w:r>
      <w:hyperlink r:id="rId368" w:history="1">
        <w:r w:rsidRPr="008F15F1">
          <w:rPr>
            <w:color w:val="000000" w:themeColor="text1"/>
            <w:lang w:val="es-ES"/>
          </w:rPr>
          <w:t>https://www.cbd.int/notifications/2025-099</w:t>
        </w:r>
      </w:hyperlink>
      <w:r w:rsidRPr="008F15F1">
        <w:rPr>
          <w:lang w:val="es-ES"/>
        </w:rPr>
        <w:t xml:space="preserve"> (consultado el 21 de mayo de 2026)</w:t>
      </w:r>
    </w:p>
    <w:p w14:paraId="3FA7B95B" w14:textId="77777777" w:rsidR="008F15F1" w:rsidRPr="008F15F1" w:rsidRDefault="008F15F1" w:rsidP="008F15F1">
      <w:pPr>
        <w:tabs>
          <w:tab w:val="left" w:pos="380"/>
        </w:tabs>
        <w:spacing w:after="0" w:line="240" w:lineRule="auto"/>
        <w:ind w:left="720" w:hanging="720"/>
        <w:rPr>
          <w:lang w:val="es-ES"/>
        </w:rPr>
      </w:pPr>
      <w:r w:rsidRPr="008F15F1">
        <w:rPr>
          <w:lang w:val="es-ES"/>
        </w:rPr>
        <w:t>OMC, 2022. WT/</w:t>
      </w:r>
      <w:proofErr w:type="gramStart"/>
      <w:r w:rsidRPr="008F15F1">
        <w:rPr>
          <w:lang w:val="es-ES"/>
        </w:rPr>
        <w:t>MIN(22)/</w:t>
      </w:r>
      <w:proofErr w:type="gramEnd"/>
      <w:r w:rsidRPr="008F15F1">
        <w:rPr>
          <w:lang w:val="es-ES"/>
        </w:rPr>
        <w:t xml:space="preserve">33-WT/L/1144: Acuerdo sobre Subvenciones a la Pesca. Organización Mundial del Comercio, Ginebra. Disponible en: </w:t>
      </w:r>
      <w:hyperlink r:id="rId369" w:history="1">
        <w:r w:rsidRPr="008F15F1">
          <w:rPr>
            <w:color w:val="000000" w:themeColor="text1"/>
            <w:lang w:val="es-ES"/>
          </w:rPr>
          <w:t>https://docs.wto.org/dol2fe/Pages/SS/directdoc.aspx?filename=q:/WT/MIN22/33.pdf</w:t>
        </w:r>
      </w:hyperlink>
      <w:r w:rsidRPr="008F15F1">
        <w:rPr>
          <w:lang w:val="es-ES"/>
        </w:rPr>
        <w:t xml:space="preserve"> (consultado el 28 de abril de 2026)</w:t>
      </w:r>
    </w:p>
    <w:p w14:paraId="207EA097"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OMI, 2023a. BWM.2/Circ.13/Rev.5: International Convention for the Control and </w:t>
      </w:r>
      <w:proofErr w:type="spellStart"/>
      <w:r w:rsidRPr="008F15F1">
        <w:rPr>
          <w:lang w:val="en-US"/>
        </w:rPr>
        <w:t>Managment</w:t>
      </w:r>
      <w:proofErr w:type="spellEnd"/>
      <w:r w:rsidRPr="008F15F1">
        <w:rPr>
          <w:lang w:val="en-US"/>
        </w:rPr>
        <w:t xml:space="preserve"> of Ships’ Ballast Water and Sediments, 2004; Methodology for information gathering and conduct of work of the GESAMP-BWWG. </w:t>
      </w:r>
      <w:r w:rsidRPr="008F15F1">
        <w:rPr>
          <w:lang w:val="es-ES"/>
        </w:rPr>
        <w:t xml:space="preserve">Organización Marítima Internacional, Londres. Disponible en: </w:t>
      </w:r>
      <w:hyperlink r:id="rId370" w:history="1">
        <w:r w:rsidRPr="008F15F1">
          <w:rPr>
            <w:color w:val="000000" w:themeColor="text1"/>
            <w:lang w:val="es-ES"/>
          </w:rPr>
          <w:t>https://wwwcdn.imo.org/localresources/en/OurWork/Environment/Documents/Biofouling%20pages/BWM.2-Circ.13-Rev.5.pdf</w:t>
        </w:r>
      </w:hyperlink>
      <w:r w:rsidRPr="008F15F1">
        <w:rPr>
          <w:lang w:val="es-ES"/>
        </w:rPr>
        <w:t xml:space="preserve"> (consultado el 21 de mayo de 2026)</w:t>
      </w:r>
    </w:p>
    <w:p w14:paraId="34E3941A" w14:textId="77777777" w:rsidR="008F15F1" w:rsidRPr="008F15F1" w:rsidRDefault="008F15F1" w:rsidP="008F15F1">
      <w:pPr>
        <w:tabs>
          <w:tab w:val="left" w:pos="380"/>
        </w:tabs>
        <w:spacing w:after="0" w:line="240" w:lineRule="auto"/>
        <w:ind w:left="720" w:hanging="720"/>
        <w:rPr>
          <w:lang w:val="es-ES"/>
        </w:rPr>
      </w:pPr>
      <w:r w:rsidRPr="008F15F1">
        <w:rPr>
          <w:lang w:val="es-ES"/>
        </w:rPr>
        <w:t>OMI, 2023b. Resolución MEPC.378(80): Directrices de 2023 para el control y la gestión de las incrustaciones biológicas de los buques a los efectos de reducir al mínimo la transferencia de especies acuáticas invasivas. Organización Marítima Internacional, Londres. Disponible en:</w:t>
      </w:r>
      <w:hyperlink r:id="rId371" w:history="1">
        <w:r w:rsidRPr="008F15F1">
          <w:rPr>
            <w:color w:val="000000" w:themeColor="text1"/>
            <w:lang w:val="es-ES"/>
          </w:rPr>
          <w:t>https://wwwcdn.imo.org/localresources/es/MediaCentre/Documents/DIRECTRICES%20DE%202023%20PARA%20EL%20CONTROL%20Y%20LA%20GESTION%20DE%20LAS%20INCRUSTACIONES.pdf</w:t>
        </w:r>
      </w:hyperlink>
      <w:r w:rsidRPr="008F15F1">
        <w:rPr>
          <w:lang w:val="es-ES"/>
        </w:rPr>
        <w:t xml:space="preserve"> (consultado el 21 de mayo de 2026)</w:t>
      </w:r>
    </w:p>
    <w:p w14:paraId="19B57BB8"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OMI, 2025. Comunicación de la Secretaría de la Organización Marítima Internacional (OMI) en respuesta a la notificación núm. 2025-099 del CDB. Secretaría del Convenio sobre la Diversidad Biológica, Montreal. Disponible en: </w:t>
      </w:r>
      <w:hyperlink r:id="rId372" w:history="1">
        <w:r w:rsidRPr="008F15F1">
          <w:rPr>
            <w:color w:val="000000" w:themeColor="text1"/>
            <w:lang w:val="es-ES"/>
          </w:rPr>
          <w:t>https://www.cbd.int/notifications/2025-099</w:t>
        </w:r>
      </w:hyperlink>
      <w:r w:rsidRPr="008F15F1">
        <w:rPr>
          <w:lang w:val="es-ES"/>
        </w:rPr>
        <w:t xml:space="preserve"> (consultado el 21 de mayo de 2026)</w:t>
      </w:r>
    </w:p>
    <w:p w14:paraId="62580640"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OMPI, 2024. Documento GRATK/DC/7: Tratado de la OMPI sobre la Propiedad Intelectual, los Recursos Genéticos y los Conocimientos Tradicionales Asociados. Organización Mundial de la Propiedad Intelectual, Ginebra. Disponible en: </w:t>
      </w:r>
      <w:hyperlink r:id="rId373" w:history="1">
        <w:r w:rsidRPr="008F15F1">
          <w:rPr>
            <w:color w:val="000000" w:themeColor="text1"/>
            <w:lang w:val="es-ES"/>
          </w:rPr>
          <w:t>https://www.wipo.int/edocs/mdocs/tk/es/gratk_dc/gratk_dc_7.pdf</w:t>
        </w:r>
      </w:hyperlink>
      <w:r w:rsidRPr="008F15F1">
        <w:rPr>
          <w:lang w:val="es-ES"/>
        </w:rPr>
        <w:t xml:space="preserve"> (consultado el 25 de julio de 2026)</w:t>
      </w:r>
    </w:p>
    <w:p w14:paraId="65F4BF3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Panel de Alto Nivel para una Economía Oceánica Sostenible, 2024. </w:t>
      </w:r>
      <w:r w:rsidRPr="008F15F1">
        <w:rPr>
          <w:lang w:val="en-US"/>
        </w:rPr>
        <w:t xml:space="preserve">Ocean Panel Progress Report 2024: The second progress report from the </w:t>
      </w:r>
      <w:proofErr w:type="gramStart"/>
      <w:r w:rsidRPr="008F15F1">
        <w:rPr>
          <w:lang w:val="en-US"/>
        </w:rPr>
        <w:t>High Level</w:t>
      </w:r>
      <w:proofErr w:type="gramEnd"/>
      <w:r w:rsidRPr="008F15F1">
        <w:rPr>
          <w:lang w:val="en-US"/>
        </w:rPr>
        <w:t xml:space="preserve"> Panel for a Sustainable Ocean Economy. </w:t>
      </w:r>
      <w:r w:rsidRPr="008F15F1">
        <w:rPr>
          <w:lang w:val="es-ES"/>
        </w:rPr>
        <w:t xml:space="preserve">Instituto de Recursos Mundiales, Washington, D. C. Disponible en: </w:t>
      </w:r>
      <w:hyperlink r:id="rId374" w:history="1">
        <w:r w:rsidRPr="008F15F1">
          <w:rPr>
            <w:color w:val="000000" w:themeColor="text1"/>
            <w:lang w:val="es-ES"/>
          </w:rPr>
          <w:t>https://oceanpanel.org/wp-</w:t>
        </w:r>
        <w:r w:rsidRPr="008F15F1">
          <w:rPr>
            <w:color w:val="000000" w:themeColor="text1"/>
            <w:lang w:val="es-ES"/>
          </w:rPr>
          <w:lastRenderedPageBreak/>
          <w:t>content/uploads/2024/09/OP_Progress_2024-Final.pdf</w:t>
        </w:r>
      </w:hyperlink>
      <w:r w:rsidRPr="008F15F1">
        <w:rPr>
          <w:lang w:val="es-ES"/>
        </w:rPr>
        <w:t xml:space="preserve"> (consultado el 12 de mayo de 2026)</w:t>
      </w:r>
    </w:p>
    <w:p w14:paraId="79592F8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PNUD, 2023. Manual de Planificación Espacial Integrada. Programa de las Naciones Unidas para el Desarrollo, Nueva York. Disponible en: </w:t>
      </w:r>
      <w:hyperlink r:id="rId375" w:history="1">
        <w:r w:rsidRPr="008F15F1">
          <w:rPr>
            <w:color w:val="000000" w:themeColor="text1"/>
            <w:lang w:val="es-ES"/>
          </w:rPr>
          <w:t>https://www.undp.org/publications/integrated-spatial-planning-workbook</w:t>
        </w:r>
      </w:hyperlink>
      <w:r w:rsidRPr="008F15F1">
        <w:rPr>
          <w:lang w:val="es-ES"/>
        </w:rPr>
        <w:t xml:space="preserve"> (consultado el 14 de julio de 2026)</w:t>
      </w:r>
    </w:p>
    <w:p w14:paraId="6D81E406"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PNUD, CEPE y OIT, 2025. A Just Energy Transition Roadmap for Uzbekistan. </w:t>
      </w:r>
      <w:r w:rsidRPr="008F15F1">
        <w:rPr>
          <w:lang w:val="es-ES"/>
        </w:rPr>
        <w:t xml:space="preserve">Comisión Económica para Europa de las Naciones Unidas, Organización Internacional del Trabajo y Programa de las Naciones Unidas para el Desarrollo. Disponible en: </w:t>
      </w:r>
      <w:hyperlink r:id="rId376" w:history="1">
        <w:r w:rsidRPr="008F15F1">
          <w:rPr>
            <w:color w:val="000000" w:themeColor="text1"/>
            <w:lang w:val="es-ES"/>
          </w:rPr>
          <w:t>https://unece.org/sites/default/files/2026-03/UZB_JET_Roadmap_Final%20REV_with_Govnt.logo_.pdf</w:t>
        </w:r>
      </w:hyperlink>
      <w:r w:rsidRPr="008F15F1">
        <w:rPr>
          <w:lang w:val="es-ES"/>
        </w:rPr>
        <w:t xml:space="preserve"> (consultado el 13 de agosto de 2026)</w:t>
      </w:r>
    </w:p>
    <w:p w14:paraId="2B15B630"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2021. Guidelines for Integrating Ecosystem-based Adaptation into National Adaptation Plans: Supplement to the UNFCCC NAP Technical Guidelines. </w:t>
      </w:r>
      <w:r w:rsidRPr="008F15F1">
        <w:rPr>
          <w:lang w:val="es-ES"/>
        </w:rPr>
        <w:t xml:space="preserve">Programa de las Naciones Unidas para el Medio Ambiente, Nairobi. Disponible en: </w:t>
      </w:r>
      <w:hyperlink r:id="rId377" w:history="1">
        <w:r w:rsidRPr="008F15F1">
          <w:rPr>
            <w:color w:val="000000" w:themeColor="text1"/>
            <w:lang w:val="es-ES"/>
          </w:rPr>
          <w:t>https://wedocs.unep.org/handle/20.500.11822/36703</w:t>
        </w:r>
      </w:hyperlink>
      <w:r w:rsidRPr="008F15F1">
        <w:rPr>
          <w:lang w:val="es-ES"/>
        </w:rPr>
        <w:t xml:space="preserve"> (consultado el 11 de agosto de 2026)</w:t>
      </w:r>
    </w:p>
    <w:p w14:paraId="7AFB1A96"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2023. Key entry points for cooperation and collaboration amongst </w:t>
      </w:r>
      <w:proofErr w:type="spellStart"/>
      <w:r w:rsidRPr="008F15F1">
        <w:rPr>
          <w:lang w:val="en-US"/>
        </w:rPr>
        <w:t>MEAs.</w:t>
      </w:r>
      <w:proofErr w:type="spellEnd"/>
      <w:r w:rsidRPr="008F15F1">
        <w:rPr>
          <w:lang w:val="en-US"/>
        </w:rPr>
        <w:t xml:space="preserve"> </w:t>
      </w:r>
      <w:r w:rsidRPr="008F15F1">
        <w:rPr>
          <w:lang w:val="es-ES"/>
        </w:rPr>
        <w:t xml:space="preserve">Programa de las Naciones Unidas para el Medio Ambiente, Nairobi. Disponible en: </w:t>
      </w:r>
      <w:hyperlink r:id="rId378" w:history="1">
        <w:r w:rsidRPr="008F15F1">
          <w:rPr>
            <w:color w:val="000000" w:themeColor="text1"/>
            <w:lang w:val="es-ES"/>
          </w:rPr>
          <w:t>https://wedocs.unep.org/items/9e7e3bcd-0eda-40cd-a116-5057e1725e72</w:t>
        </w:r>
      </w:hyperlink>
      <w:r w:rsidRPr="008F15F1">
        <w:rPr>
          <w:lang w:val="es-ES"/>
        </w:rPr>
        <w:t xml:space="preserve"> (consultado el 21 de mayo de 2026)</w:t>
      </w:r>
    </w:p>
    <w:p w14:paraId="0E37F3D1"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2024a. Global Framework on Chemicals: For a Planet Free from Chemicals and Waste - Brochure. </w:t>
      </w:r>
      <w:r w:rsidRPr="008F15F1">
        <w:rPr>
          <w:lang w:val="es-ES"/>
        </w:rPr>
        <w:t xml:space="preserve">Programa de las Naciones Unidas para el Medio Ambiente, Nairobi. Disponible en: </w:t>
      </w:r>
      <w:hyperlink r:id="rId379" w:history="1">
        <w:r w:rsidRPr="008F15F1">
          <w:rPr>
            <w:color w:val="000000" w:themeColor="text1"/>
            <w:lang w:val="es-ES"/>
          </w:rPr>
          <w:t>https://wedocs.unep.org/items/0acdac69-9e34-47da-8f2c-fbf77b78895a</w:t>
        </w:r>
      </w:hyperlink>
      <w:r w:rsidRPr="008F15F1">
        <w:rPr>
          <w:lang w:val="es-ES"/>
        </w:rPr>
        <w:t xml:space="preserve"> (consultado el 21 de mayo de 2026)</w:t>
      </w:r>
    </w:p>
    <w:p w14:paraId="13914E34"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2024b. Key entry points for mutually supportive action on biodiversity and chemicals and waste. </w:t>
      </w:r>
      <w:r w:rsidRPr="008F15F1">
        <w:rPr>
          <w:lang w:val="es-ES"/>
        </w:rPr>
        <w:t xml:space="preserve">Documento de antecedentes para el Taller de creación de capacidad sobre aplicación de los acuerdos ambientales multilaterales sobre diversidad biológica y productos químicos y desechos (Dakar [Senegal], 26 a 28 de noviembre de 2024). Programa de las Naciones Unidas para el Medio Ambiente, Nairobi. Disponible en: </w:t>
      </w:r>
      <w:hyperlink r:id="rId380" w:history="1">
        <w:r w:rsidRPr="008F15F1">
          <w:rPr>
            <w:color w:val="000000" w:themeColor="text1"/>
            <w:lang w:val="es-ES"/>
          </w:rPr>
          <w:t>https://wedocs.unep.org/items/6b928e4c-63e8-49ef-b06d-59216092dbf6</w:t>
        </w:r>
      </w:hyperlink>
      <w:r w:rsidRPr="008F15F1">
        <w:rPr>
          <w:lang w:val="es-ES"/>
        </w:rPr>
        <w:t xml:space="preserve"> (consultado el 15 de julio de 2026)</w:t>
      </w:r>
    </w:p>
    <w:p w14:paraId="4871D9FC"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2024c. Report of the Bern III Conference on Cooperation among the biodiversity-related conventions for the implementation of the Kunming-Montreal Global Biodiversity Framework Bern, Switzerland, 23-25 January 2024. </w:t>
      </w:r>
      <w:r w:rsidRPr="008F15F1">
        <w:rPr>
          <w:lang w:val="es-ES"/>
        </w:rPr>
        <w:t xml:space="preserve">Programa de las Naciones Unidas para el Medio Ambiente, Nairobi. Disponible en: </w:t>
      </w:r>
      <w:hyperlink r:id="rId381" w:history="1">
        <w:r w:rsidRPr="008F15F1">
          <w:rPr>
            <w:color w:val="000000" w:themeColor="text1"/>
            <w:lang w:val="es-ES"/>
          </w:rPr>
          <w:t>https://wedocs.unep.org/items/51420dde-87c9-41af-b192-2c1a701f1ac3</w:t>
        </w:r>
      </w:hyperlink>
      <w:r w:rsidRPr="008F15F1">
        <w:rPr>
          <w:lang w:val="es-ES"/>
        </w:rPr>
        <w:t xml:space="preserve"> (consultado el 21 de mayo de 2026)</w:t>
      </w:r>
    </w:p>
    <w:p w14:paraId="52C4821F"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PNUMA, 2025a. Comunicación del Programa de las Naciones Unidas para el Medio Ambiente (PNUMA) en respuesta a la notificación núm. 2025-99 del CDB. Secretaría del Convenio sobre la Diversidad Biológica, Montreal. Disponible en: </w:t>
      </w:r>
      <w:hyperlink r:id="rId382" w:history="1">
        <w:r w:rsidRPr="008F15F1">
          <w:rPr>
            <w:color w:val="000000" w:themeColor="text1"/>
            <w:lang w:val="es-ES"/>
          </w:rPr>
          <w:t>https://www.cbd.int/notifications/2025-099</w:t>
        </w:r>
      </w:hyperlink>
      <w:r w:rsidRPr="008F15F1">
        <w:rPr>
          <w:lang w:val="es-ES"/>
        </w:rPr>
        <w:t xml:space="preserve"> (consultado el 21 de mayo de 2026)</w:t>
      </w:r>
    </w:p>
    <w:p w14:paraId="57C0B67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PNUMA, 2025b. UNEP/GFC/OEWG.1/INF/12: Grupo de Trabajo de composición abierta del Marco Mundial sobre los Productos Químicos: por un Planeta Libre de los Daños derivados de los Productos Químicos y los Desechos. Primera reunión: </w:t>
      </w:r>
      <w:proofErr w:type="spellStart"/>
      <w:r w:rsidRPr="008F15F1">
        <w:rPr>
          <w:lang w:val="es-ES"/>
        </w:rPr>
        <w:t>Measurability</w:t>
      </w:r>
      <w:proofErr w:type="spellEnd"/>
      <w:r w:rsidRPr="008F15F1">
        <w:rPr>
          <w:lang w:val="es-ES"/>
        </w:rPr>
        <w:t xml:space="preserve"> </w:t>
      </w:r>
      <w:proofErr w:type="spellStart"/>
      <w:r w:rsidRPr="008F15F1">
        <w:rPr>
          <w:lang w:val="es-ES"/>
        </w:rPr>
        <w:t>structure</w:t>
      </w:r>
      <w:proofErr w:type="spellEnd"/>
      <w:r w:rsidRPr="008F15F1">
        <w:rPr>
          <w:lang w:val="es-ES"/>
        </w:rPr>
        <w:t xml:space="preserve"> and </w:t>
      </w:r>
      <w:proofErr w:type="spellStart"/>
      <w:r w:rsidRPr="008F15F1">
        <w:rPr>
          <w:lang w:val="es-ES"/>
        </w:rPr>
        <w:t>indicators</w:t>
      </w:r>
      <w:proofErr w:type="spellEnd"/>
      <w:r w:rsidRPr="008F15F1">
        <w:rPr>
          <w:lang w:val="es-ES"/>
        </w:rPr>
        <w:t xml:space="preserve">. Programa de las Naciones Unidas para el Medio Ambiente, Punta del Este. Disponible en: </w:t>
      </w:r>
      <w:hyperlink r:id="rId383" w:history="1">
        <w:r w:rsidRPr="008F15F1">
          <w:rPr>
            <w:color w:val="000000" w:themeColor="text1"/>
            <w:lang w:val="es-ES"/>
          </w:rPr>
          <w:t>https://wedocs.unep.org/rest/api/core/bitstreams/da768e39-2249-4b08-92ff-89bddf4c7b60/content</w:t>
        </w:r>
      </w:hyperlink>
      <w:r w:rsidRPr="008F15F1">
        <w:rPr>
          <w:lang w:val="es-ES"/>
        </w:rPr>
        <w:t xml:space="preserve"> (consultado el 21 de mayo de 2026)</w:t>
      </w:r>
    </w:p>
    <w:p w14:paraId="172550A5"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2025c. UNEP/CHW.17/INF/48: Further revised draft of the overall guidance document on the environmentally sound management of household waste. </w:t>
      </w:r>
      <w:r w:rsidRPr="008F15F1">
        <w:rPr>
          <w:lang w:val="es-ES"/>
        </w:rPr>
        <w:t xml:space="preserve">Programa de las Naciones Unidas para el Medio Ambiente, Ginebra. Disponible en: </w:t>
      </w:r>
      <w:hyperlink r:id="rId384" w:history="1">
        <w:r w:rsidRPr="008F15F1">
          <w:rPr>
            <w:color w:val="000000" w:themeColor="text1"/>
            <w:lang w:val="es-ES"/>
          </w:rPr>
          <w:t>https://www.basel.int/Implementation/HouseholdWastePartnership/OverallGuidanceDocument/tabid/8227/Default.aspx</w:t>
        </w:r>
      </w:hyperlink>
      <w:r w:rsidRPr="008F15F1">
        <w:rPr>
          <w:lang w:val="es-ES"/>
        </w:rPr>
        <w:t xml:space="preserve"> (consultado el 13 de agosto de 2026)</w:t>
      </w:r>
    </w:p>
    <w:p w14:paraId="0D939A1E"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PNUMA, 2025d. UNEP/EA.7/9: Progresos en la aplicación de las resoluciones 6/4, sobre promoción de las sinergias, la cooperación o la colaboración para la aplicación nacional de los acuerdos ambientales multilaterales y otros instrumentos ambientales pertinentes y 6/6, sobre el fomento de medidas a escala nacional para hacer frente a los desafíos ambientales mundiales mediante una mayor cooperación entre la Asamblea de las Naciones Unidas sobre el Medio Ambiente, el Programa de las Naciones Unidas para el Medio Ambiente y los acuerdos ambientales multilaterales. Programa de las Naciones Unidas para el Medio Ambiente, Nairobi. Disponible en: </w:t>
      </w:r>
      <w:hyperlink r:id="rId385" w:history="1">
        <w:r w:rsidRPr="008F15F1">
          <w:rPr>
            <w:color w:val="000000" w:themeColor="text1"/>
            <w:lang w:val="es-ES"/>
          </w:rPr>
          <w:t>https://documents.un.org/doc/undoc/gen/k25/017/95/pdf/k2501795.pdf</w:t>
        </w:r>
      </w:hyperlink>
      <w:r w:rsidRPr="008F15F1">
        <w:rPr>
          <w:lang w:val="es-ES"/>
        </w:rPr>
        <w:t xml:space="preserve"> (consultado el 21 de mayo de 2026)</w:t>
      </w:r>
    </w:p>
    <w:p w14:paraId="728C3202"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2025e. UNEP/EA.7/INF/6: Background document to support discussions on cooperation with multilateral environmental agreements. </w:t>
      </w:r>
      <w:r w:rsidRPr="008F15F1">
        <w:rPr>
          <w:lang w:val="es-ES"/>
        </w:rPr>
        <w:t xml:space="preserve">Programa de las Naciones Unidas para el Medio Ambiente, Nairobi. Disponible en: </w:t>
      </w:r>
      <w:hyperlink r:id="rId386" w:history="1">
        <w:r w:rsidRPr="008F15F1">
          <w:rPr>
            <w:color w:val="000000" w:themeColor="text1"/>
            <w:lang w:val="es-ES"/>
          </w:rPr>
          <w:t>https://docs.un.org/en/UNEP/EA.7/INF/6</w:t>
        </w:r>
      </w:hyperlink>
      <w:r w:rsidRPr="008F15F1">
        <w:rPr>
          <w:lang w:val="es-ES"/>
        </w:rPr>
        <w:t xml:space="preserve"> (consultado el 21 de mayo de 2026)</w:t>
      </w:r>
    </w:p>
    <w:p w14:paraId="07677103"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PNUMA, 2025f. Horizon scan of possible linkages between the BBNJ Agreement and biodiversity-related </w:t>
      </w:r>
      <w:proofErr w:type="spellStart"/>
      <w:r w:rsidRPr="008F15F1">
        <w:rPr>
          <w:lang w:val="en-US"/>
        </w:rPr>
        <w:t>MEAs.</w:t>
      </w:r>
      <w:proofErr w:type="spellEnd"/>
      <w:r w:rsidRPr="008F15F1">
        <w:rPr>
          <w:lang w:val="en-US"/>
        </w:rPr>
        <w:t xml:space="preserve"> </w:t>
      </w:r>
      <w:r w:rsidRPr="008F15F1">
        <w:rPr>
          <w:lang w:val="es-ES"/>
        </w:rPr>
        <w:t xml:space="preserve">Centro Mundial de Vigilancia de la Conservación del Programa de las Naciones Unidas para el Medio Ambiente, Cambridge. Disponible en: </w:t>
      </w:r>
      <w:hyperlink r:id="rId387" w:history="1">
        <w:r w:rsidRPr="008F15F1">
          <w:rPr>
            <w:color w:val="000000" w:themeColor="text1"/>
            <w:lang w:val="es-ES"/>
          </w:rPr>
          <w:t>https://www.unep.org/resources/report/horizon-scan-possible-linkages-between-bbnj-agreement-and-biodiversity-related</w:t>
        </w:r>
      </w:hyperlink>
    </w:p>
    <w:p w14:paraId="2667445A" w14:textId="77777777" w:rsidR="008F15F1" w:rsidRPr="008F15F1" w:rsidRDefault="008F15F1" w:rsidP="008F15F1">
      <w:pPr>
        <w:tabs>
          <w:tab w:val="left" w:pos="380"/>
        </w:tabs>
        <w:spacing w:after="0" w:line="240" w:lineRule="auto"/>
        <w:ind w:left="720" w:hanging="720"/>
        <w:rPr>
          <w:lang w:val="es-ES"/>
        </w:rPr>
      </w:pPr>
      <w:r w:rsidRPr="00673184">
        <w:rPr>
          <w:lang w:val="es-ES"/>
        </w:rPr>
        <w:t xml:space="preserve">PNUMA y FMAM, 2023. </w:t>
      </w:r>
      <w:r w:rsidRPr="008F15F1">
        <w:rPr>
          <w:lang w:val="en-US"/>
        </w:rPr>
        <w:t xml:space="preserve">GEF-10981: Implementation and institutionalization of National Monitoring and Management Frameworks for Living Modified Organisms and Invasive Alien Species. </w:t>
      </w:r>
      <w:r w:rsidRPr="008F15F1">
        <w:rPr>
          <w:lang w:val="es-ES"/>
        </w:rPr>
        <w:t xml:space="preserve">Programa de las Naciones Unidas para el Medio Ambiente/Fondo para el Medio Ambiente Mundial. Disponible en: </w:t>
      </w:r>
      <w:hyperlink r:id="rId388" w:history="1">
        <w:r w:rsidRPr="008F15F1">
          <w:rPr>
            <w:color w:val="000000" w:themeColor="text1"/>
            <w:lang w:val="es-ES"/>
          </w:rPr>
          <w:t>https://www.unep.org/gef/index.php/projects/implementation-and-institutionalization-national-monitoring-and-management-frameworks</w:t>
        </w:r>
      </w:hyperlink>
      <w:r w:rsidRPr="008F15F1">
        <w:rPr>
          <w:lang w:val="es-ES"/>
        </w:rPr>
        <w:t xml:space="preserve"> (consultado el 30 de junio de 2026)</w:t>
      </w:r>
    </w:p>
    <w:p w14:paraId="62B5F660" w14:textId="77777777" w:rsidR="008F15F1" w:rsidRPr="000F62FC" w:rsidRDefault="008F15F1" w:rsidP="008F15F1">
      <w:pPr>
        <w:tabs>
          <w:tab w:val="left" w:pos="380"/>
        </w:tabs>
        <w:spacing w:after="0" w:line="240" w:lineRule="auto"/>
        <w:ind w:left="720" w:hanging="720"/>
        <w:rPr>
          <w:lang w:val="fr-CA"/>
        </w:rPr>
      </w:pPr>
      <w:r w:rsidRPr="008F15F1">
        <w:rPr>
          <w:lang w:val="en-US"/>
        </w:rPr>
        <w:t xml:space="preserve">Potapov, P. y </w:t>
      </w:r>
      <w:proofErr w:type="spellStart"/>
      <w:r w:rsidRPr="008F15F1">
        <w:rPr>
          <w:lang w:val="en-US"/>
        </w:rPr>
        <w:t>otros</w:t>
      </w:r>
      <w:proofErr w:type="spellEnd"/>
      <w:r w:rsidRPr="008F15F1">
        <w:rPr>
          <w:lang w:val="en-US"/>
        </w:rPr>
        <w:t xml:space="preserve">, 2022. The Global 2000–2020 Land Cover and Land Use Change Dataset Derived </w:t>
      </w:r>
      <w:proofErr w:type="gramStart"/>
      <w:r w:rsidRPr="008F15F1">
        <w:rPr>
          <w:lang w:val="en-US"/>
        </w:rPr>
        <w:t>From</w:t>
      </w:r>
      <w:proofErr w:type="gramEnd"/>
      <w:r w:rsidRPr="008F15F1">
        <w:rPr>
          <w:lang w:val="en-US"/>
        </w:rPr>
        <w:t xml:space="preserve"> the Landsat Archive: First Results. </w:t>
      </w:r>
      <w:r w:rsidRPr="000F62FC">
        <w:rPr>
          <w:lang w:val="fr-CA"/>
        </w:rPr>
        <w:t xml:space="preserve">Front. </w:t>
      </w:r>
      <w:proofErr w:type="spellStart"/>
      <w:r w:rsidRPr="000F62FC">
        <w:rPr>
          <w:lang w:val="fr-CA"/>
        </w:rPr>
        <w:t>Remote</w:t>
      </w:r>
      <w:proofErr w:type="spellEnd"/>
      <w:r w:rsidRPr="000F62FC">
        <w:rPr>
          <w:lang w:val="fr-CA"/>
        </w:rPr>
        <w:t xml:space="preserve"> Sens. 3, 856903. https://doi.org/10.3389/frsen.2022.856903</w:t>
      </w:r>
    </w:p>
    <w:p w14:paraId="79B9BE3A" w14:textId="77777777" w:rsidR="008F15F1" w:rsidRPr="000F62FC" w:rsidRDefault="008F15F1" w:rsidP="008F15F1">
      <w:pPr>
        <w:tabs>
          <w:tab w:val="left" w:pos="380"/>
        </w:tabs>
        <w:spacing w:after="0" w:line="240" w:lineRule="auto"/>
        <w:ind w:left="720" w:hanging="720"/>
        <w:rPr>
          <w:lang w:val="fr-CA"/>
        </w:rPr>
      </w:pPr>
      <w:r w:rsidRPr="008F15F1">
        <w:rPr>
          <w:lang w:val="es-ES"/>
        </w:rPr>
        <w:fldChar w:fldCharType="begin"/>
      </w:r>
      <w:r w:rsidRPr="000F62FC">
        <w:rPr>
          <w:lang w:val="fr-CA"/>
        </w:rPr>
        <w:instrText xml:space="preserve"> ADDIN ZOTERO_BIBL {"uncited":[],"omitted":[],"custom":[]} CSL_BIBLIOGRAPHY </w:instrText>
      </w:r>
      <w:r w:rsidRPr="008F15F1">
        <w:rPr>
          <w:lang w:val="es-ES"/>
        </w:rPr>
        <w:fldChar w:fldCharType="end"/>
      </w:r>
      <w:proofErr w:type="spellStart"/>
      <w:r w:rsidRPr="000F62FC">
        <w:rPr>
          <w:lang w:val="fr-CA"/>
        </w:rPr>
        <w:t>Prindex</w:t>
      </w:r>
      <w:proofErr w:type="spellEnd"/>
      <w:r w:rsidRPr="000F62FC">
        <w:rPr>
          <w:lang w:val="fr-CA"/>
        </w:rPr>
        <w:t xml:space="preserve">, 2024. </w:t>
      </w:r>
      <w:proofErr w:type="spellStart"/>
      <w:r w:rsidRPr="000F62FC">
        <w:rPr>
          <w:lang w:val="fr-CA"/>
        </w:rPr>
        <w:t>Prindex</w:t>
      </w:r>
      <w:proofErr w:type="spellEnd"/>
      <w:r w:rsidRPr="000F62FC">
        <w:rPr>
          <w:lang w:val="fr-CA"/>
        </w:rPr>
        <w:t xml:space="preserve"> global tenure </w:t>
      </w:r>
      <w:proofErr w:type="spellStart"/>
      <w:r w:rsidRPr="000F62FC">
        <w:rPr>
          <w:lang w:val="fr-CA"/>
        </w:rPr>
        <w:t>security</w:t>
      </w:r>
      <w:proofErr w:type="spellEnd"/>
      <w:r w:rsidRPr="000F62FC">
        <w:rPr>
          <w:lang w:val="fr-CA"/>
        </w:rPr>
        <w:t xml:space="preserve"> </w:t>
      </w:r>
      <w:proofErr w:type="spellStart"/>
      <w:r w:rsidRPr="000F62FC">
        <w:rPr>
          <w:lang w:val="fr-CA"/>
        </w:rPr>
        <w:t>dataset</w:t>
      </w:r>
      <w:proofErr w:type="spellEnd"/>
      <w:r w:rsidRPr="000F62FC">
        <w:rPr>
          <w:lang w:val="fr-CA"/>
        </w:rPr>
        <w:t xml:space="preserve"> (Version 2024). Disponible en: </w:t>
      </w:r>
      <w:r>
        <w:fldChar w:fldCharType="begin"/>
      </w:r>
      <w:r w:rsidRPr="00942359">
        <w:rPr>
          <w:lang w:val="fr-FR"/>
        </w:rPr>
        <w:instrText>HYPERLINK "https://www.prindex.net/data/"</w:instrText>
      </w:r>
      <w:r>
        <w:fldChar w:fldCharType="separate"/>
      </w:r>
      <w:r w:rsidRPr="000F62FC">
        <w:rPr>
          <w:color w:val="000000" w:themeColor="text1"/>
          <w:lang w:val="fr-CA"/>
        </w:rPr>
        <w:t>https://www.prindex.net/data/</w:t>
      </w:r>
      <w:r>
        <w:fldChar w:fldCharType="end"/>
      </w:r>
    </w:p>
    <w:p w14:paraId="65C3B2DA" w14:textId="77777777" w:rsidR="008F15F1" w:rsidRPr="008F15F1" w:rsidRDefault="008F15F1" w:rsidP="008F15F1">
      <w:pPr>
        <w:tabs>
          <w:tab w:val="left" w:pos="380"/>
        </w:tabs>
        <w:spacing w:after="0" w:line="240" w:lineRule="auto"/>
        <w:ind w:left="720" w:hanging="720"/>
        <w:rPr>
          <w:lang w:val="en-US"/>
        </w:rPr>
      </w:pPr>
      <w:r w:rsidRPr="008F15F1">
        <w:rPr>
          <w:lang w:val="en-US"/>
        </w:rPr>
        <w:t xml:space="preserve">Ricard, P., 2024. The Advent of the 2023 “BBNJ” Agreement: A Preliminary Legal Analysis. Environ. Policy Law 53, 427-437. </w:t>
      </w:r>
      <w:r>
        <w:fldChar w:fldCharType="begin"/>
      </w:r>
      <w:r w:rsidRPr="00942359">
        <w:rPr>
          <w:lang w:val="en-US"/>
        </w:rPr>
        <w:instrText>HYPERLINK "https://doi.org/10.3233/EPL-239014"</w:instrText>
      </w:r>
      <w:r>
        <w:fldChar w:fldCharType="separate"/>
      </w:r>
      <w:r w:rsidRPr="008F15F1">
        <w:rPr>
          <w:color w:val="000000" w:themeColor="text1"/>
          <w:lang w:val="en-US"/>
        </w:rPr>
        <w:t>https://doi.org/10.3233/EPL-239014</w:t>
      </w:r>
      <w:r>
        <w:fldChar w:fldCharType="end"/>
      </w:r>
    </w:p>
    <w:p w14:paraId="1FB131BC"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SANBI, CMVC-PNUMA, 2024. Mapping biodiversity priorities: A practical approach to spatial biodiversity assessment and </w:t>
      </w:r>
      <w:proofErr w:type="spellStart"/>
      <w:r w:rsidRPr="008F15F1">
        <w:rPr>
          <w:lang w:val="en-US"/>
        </w:rPr>
        <w:t>prioritisation</w:t>
      </w:r>
      <w:proofErr w:type="spellEnd"/>
      <w:r w:rsidRPr="008F15F1">
        <w:rPr>
          <w:lang w:val="en-US"/>
        </w:rPr>
        <w:t xml:space="preserve"> to inform national policy, planning, decisions and action. </w:t>
      </w:r>
      <w:r w:rsidRPr="008F15F1">
        <w:rPr>
          <w:lang w:val="es-ES"/>
        </w:rPr>
        <w:t xml:space="preserve">Second </w:t>
      </w:r>
      <w:proofErr w:type="spellStart"/>
      <w:r w:rsidRPr="008F15F1">
        <w:rPr>
          <w:lang w:val="es-ES"/>
        </w:rPr>
        <w:t>edition</w:t>
      </w:r>
      <w:proofErr w:type="spellEnd"/>
      <w:r w:rsidRPr="008F15F1">
        <w:rPr>
          <w:lang w:val="es-ES"/>
        </w:rPr>
        <w:t xml:space="preserve">. Instituto Nacional de Biodiversidad de Sudáfrica, Pretoria. Disponible en: </w:t>
      </w:r>
      <w:hyperlink r:id="rId389" w:history="1">
        <w:r w:rsidRPr="008F15F1">
          <w:rPr>
            <w:color w:val="000000" w:themeColor="text1"/>
            <w:lang w:val="es-ES"/>
          </w:rPr>
          <w:t>https://www.sanbi.org/wp-</w:t>
        </w:r>
        <w:r w:rsidRPr="008F15F1">
          <w:rPr>
            <w:color w:val="000000" w:themeColor="text1"/>
            <w:lang w:val="es-ES"/>
          </w:rPr>
          <w:lastRenderedPageBreak/>
          <w:t>content/uploads/2024/10/2024-Mapping-Biodiversity-Priorities.pdf</w:t>
        </w:r>
      </w:hyperlink>
      <w:r w:rsidRPr="008F15F1">
        <w:rPr>
          <w:lang w:val="es-ES"/>
        </w:rPr>
        <w:t xml:space="preserve"> (consultado el 11 de mayo de 2026)</w:t>
      </w:r>
    </w:p>
    <w:p w14:paraId="6BCDB94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Secretaría de la CIPF, 2024. Reducir al mínimo el riesgo de plagas asociado a la vía de los contenedores marítimos FAO en nombre de la Secretaría de la Convención Internacional de Protección Fitosanitaria, Roma. Disponible en: </w:t>
      </w:r>
      <w:hyperlink r:id="rId390" w:history="1">
        <w:r w:rsidRPr="008F15F1">
          <w:rPr>
            <w:color w:val="000000" w:themeColor="text1"/>
            <w:lang w:val="es-ES"/>
          </w:rPr>
          <w:t>https://assets.ippc.int/static/media/files/publication/es/2024/07/R-06_Es_2024_Sea_Containers_Post-CPM-18_2024-07-27_Combined.pdf</w:t>
        </w:r>
      </w:hyperlink>
      <w:r w:rsidRPr="008F15F1">
        <w:rPr>
          <w:lang w:val="es-ES"/>
        </w:rPr>
        <w:t xml:space="preserve"> (consultado el 17 de abril de 2026)</w:t>
      </w:r>
    </w:p>
    <w:p w14:paraId="4E4A0401"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Secretaría de los Convenios de Basilea, Estocolmo y Rotterdam, 2025. Comunicación de la Secretaría de los Convenios de Basilea, Estocolmo y Rotterdam en respuesta a la notificación núm. 2025-099 del CDB. Secretaría del Convenio sobre la Diversidad Biológica, Montreal. Disponible en: </w:t>
      </w:r>
      <w:hyperlink r:id="rId391" w:history="1">
        <w:r w:rsidRPr="008F15F1">
          <w:rPr>
            <w:color w:val="000000" w:themeColor="text1"/>
            <w:lang w:val="es-ES"/>
          </w:rPr>
          <w:t>https://www.cbd.int/notifications/2025-099</w:t>
        </w:r>
      </w:hyperlink>
      <w:r w:rsidRPr="008F15F1">
        <w:rPr>
          <w:lang w:val="es-ES"/>
        </w:rPr>
        <w:t xml:space="preserve"> (consultado el 21 de mayo de 2026)</w:t>
      </w:r>
    </w:p>
    <w:p w14:paraId="08887627"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Secretaría del Corredor Biológico en el Caribe, 2025. Comunicación de la Secretaría del Corredor Biológico en el Caribe en respuesta a la notificación núm. 2025-099 del CDB. Secretaría del Convenio sobre la Diversidad Biológica, Montreal. Disponible en: </w:t>
      </w:r>
      <w:hyperlink r:id="rId392" w:history="1">
        <w:r w:rsidRPr="008F15F1">
          <w:rPr>
            <w:color w:val="000000" w:themeColor="text1"/>
            <w:lang w:val="es-ES"/>
          </w:rPr>
          <w:t>https://www.cbd.int/notifications/2025-099</w:t>
        </w:r>
      </w:hyperlink>
      <w:r w:rsidRPr="008F15F1">
        <w:rPr>
          <w:lang w:val="es-ES"/>
        </w:rPr>
        <w:t xml:space="preserve"> (consultado el 21 de mayo de 2026)</w:t>
      </w:r>
    </w:p>
    <w:p w14:paraId="76297D3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Sims, N.C. y otros, 2021. </w:t>
      </w:r>
      <w:r w:rsidRPr="008F15F1">
        <w:rPr>
          <w:lang w:val="en-US"/>
        </w:rPr>
        <w:t xml:space="preserve">Good Practice Guidance. SDG Indicator 15.3.1, Proportion of Land That Is Degraded Over Total Land Area. </w:t>
      </w:r>
      <w:proofErr w:type="spellStart"/>
      <w:r w:rsidRPr="008F15F1">
        <w:rPr>
          <w:lang w:val="es-ES"/>
        </w:rPr>
        <w:t>Version</w:t>
      </w:r>
      <w:proofErr w:type="spellEnd"/>
      <w:r w:rsidRPr="008F15F1">
        <w:rPr>
          <w:lang w:val="es-ES"/>
        </w:rPr>
        <w:t xml:space="preserve"> 2.0. CLD, Bonn (Alemania).</w:t>
      </w:r>
    </w:p>
    <w:p w14:paraId="30B4EED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SOYUZ, 2025. Presentación de la Unión de Pueblos Indígenas “SOYUZ” en respuesta a la notificación núm. 2025-100 del CDB. Secretaría del Convenio sobre la Diversidad Biológica, Montreal. Disponible en: </w:t>
      </w:r>
      <w:hyperlink r:id="rId393" w:history="1">
        <w:r w:rsidRPr="008F15F1">
          <w:rPr>
            <w:color w:val="000000" w:themeColor="text1"/>
            <w:lang w:val="es-ES"/>
          </w:rPr>
          <w:t>https://www.cbd.int/notifications/2025-100</w:t>
        </w:r>
      </w:hyperlink>
      <w:r w:rsidRPr="008F15F1">
        <w:rPr>
          <w:lang w:val="es-ES"/>
        </w:rPr>
        <w:t xml:space="preserve"> (consultado el 16 de julio de 2026)</w:t>
      </w:r>
    </w:p>
    <w:p w14:paraId="283C45F7" w14:textId="77777777" w:rsidR="008F15F1" w:rsidRPr="00673184" w:rsidRDefault="008F15F1" w:rsidP="008F15F1">
      <w:pPr>
        <w:tabs>
          <w:tab w:val="left" w:pos="380"/>
        </w:tabs>
        <w:spacing w:after="0" w:line="240" w:lineRule="auto"/>
        <w:ind w:left="720" w:hanging="720"/>
        <w:rPr>
          <w:lang w:val="es-ES"/>
        </w:rPr>
      </w:pPr>
      <w:proofErr w:type="spellStart"/>
      <w:r w:rsidRPr="008F15F1">
        <w:rPr>
          <w:lang w:val="en-US"/>
        </w:rPr>
        <w:t>Stolton</w:t>
      </w:r>
      <w:proofErr w:type="spellEnd"/>
      <w:r w:rsidRPr="008F15F1">
        <w:rPr>
          <w:lang w:val="en-US"/>
        </w:rPr>
        <w:t xml:space="preserve">, S., Dudley, N., Hocking, M., 2021. METT Handbook: A guide to using the Management Effectiveness Tracking Tool (METT). </w:t>
      </w:r>
      <w:r w:rsidRPr="00673184">
        <w:rPr>
          <w:lang w:val="es-ES"/>
        </w:rPr>
        <w:t xml:space="preserve">Second </w:t>
      </w:r>
      <w:proofErr w:type="spellStart"/>
      <w:r w:rsidRPr="00673184">
        <w:rPr>
          <w:lang w:val="es-ES"/>
        </w:rPr>
        <w:t>edition</w:t>
      </w:r>
      <w:proofErr w:type="spellEnd"/>
      <w:r w:rsidRPr="00673184">
        <w:rPr>
          <w:lang w:val="es-ES"/>
        </w:rPr>
        <w:t xml:space="preserve"> </w:t>
      </w:r>
      <w:proofErr w:type="spellStart"/>
      <w:r w:rsidRPr="00673184">
        <w:rPr>
          <w:lang w:val="es-ES"/>
        </w:rPr>
        <w:t>guidance</w:t>
      </w:r>
      <w:proofErr w:type="spellEnd"/>
      <w:r w:rsidRPr="00673184">
        <w:rPr>
          <w:lang w:val="es-ES"/>
        </w:rPr>
        <w:t xml:space="preserve"> for </w:t>
      </w:r>
      <w:proofErr w:type="spellStart"/>
      <w:r w:rsidRPr="00673184">
        <w:rPr>
          <w:lang w:val="es-ES"/>
        </w:rPr>
        <w:t>using</w:t>
      </w:r>
      <w:proofErr w:type="spellEnd"/>
      <w:r w:rsidRPr="00673184">
        <w:rPr>
          <w:lang w:val="es-ES"/>
        </w:rPr>
        <w:t xml:space="preserve"> METT-4. WWF, Gland. Disponible en: </w:t>
      </w:r>
      <w:hyperlink r:id="rId394" w:history="1">
        <w:r w:rsidRPr="00673184">
          <w:rPr>
            <w:color w:val="000000" w:themeColor="text1"/>
            <w:lang w:val="es-ES"/>
          </w:rPr>
          <w:t>https://wdpa.s3.eu-west-1.amazonaws.com/PAME/METT/METT_4_Handbook.pdf</w:t>
        </w:r>
      </w:hyperlink>
      <w:r w:rsidRPr="00673184">
        <w:rPr>
          <w:lang w:val="es-ES"/>
        </w:rPr>
        <w:t xml:space="preserve"> (consultado el 23 de julio de 2026)</w:t>
      </w:r>
    </w:p>
    <w:p w14:paraId="2B54D89E"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Teich, I. y </w:t>
      </w:r>
      <w:proofErr w:type="spellStart"/>
      <w:r w:rsidRPr="008F15F1">
        <w:rPr>
          <w:lang w:val="en-US"/>
        </w:rPr>
        <w:t>otros</w:t>
      </w:r>
      <w:proofErr w:type="spellEnd"/>
      <w:r w:rsidRPr="008F15F1">
        <w:rPr>
          <w:lang w:val="en-US"/>
        </w:rPr>
        <w:t xml:space="preserve">, 2025. Good Practice Guidance Addendum. SDG Indicator 15.3.1, Proportion of Land That Is Degraded Over Total Land Area. </w:t>
      </w:r>
      <w:r w:rsidRPr="008F15F1">
        <w:rPr>
          <w:lang w:val="es-ES"/>
        </w:rPr>
        <w:t>CLD, Bonn (Alemania).</w:t>
      </w:r>
    </w:p>
    <w:p w14:paraId="7106EE9A"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TIRFAA, 2023. Resolución 13/2023: Cooperación con el Convenio sobre la Diversidad Biológica. Organización de las Naciones Unidas para la Alimentación y la Agricultura, Roma. Disponible en: </w:t>
      </w:r>
      <w:hyperlink r:id="rId395" w:history="1">
        <w:r w:rsidRPr="008F15F1">
          <w:rPr>
            <w:color w:val="000000" w:themeColor="text1"/>
            <w:lang w:val="es-ES"/>
          </w:rPr>
          <w:t>https://openknowledge.fao.org/items/5d12a599-8c1b-40ce-ba11-125954d09657</w:t>
        </w:r>
      </w:hyperlink>
      <w:r w:rsidRPr="008F15F1">
        <w:rPr>
          <w:lang w:val="es-ES"/>
        </w:rPr>
        <w:t xml:space="preserve"> (consultado el 19 de junio de 2026)</w:t>
      </w:r>
    </w:p>
    <w:p w14:paraId="31FC758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TIRFAA, 2025a. IT/GB-11/25/9.1 Rev.1: Informe sobre la aplicación y el funcionamiento del Sistema multilateral. Organización de las Naciones Unidas para la Alimentación y la Agricultura, Lima. Disponible en: </w:t>
      </w:r>
      <w:hyperlink r:id="rId396" w:history="1">
        <w:r w:rsidRPr="008F15F1">
          <w:rPr>
            <w:color w:val="000000" w:themeColor="text1"/>
            <w:lang w:val="es-ES"/>
          </w:rPr>
          <w:t>https://openknowledge.fao.org/server/api/core/bitstreams/e6c4b0e2-fd3c-4f6c-b071-1eb7d1d2f012/content</w:t>
        </w:r>
      </w:hyperlink>
      <w:r w:rsidRPr="008F15F1">
        <w:rPr>
          <w:lang w:val="es-ES"/>
        </w:rPr>
        <w:t xml:space="preserve"> (consultado el 30 de julio de 2026)</w:t>
      </w:r>
    </w:p>
    <w:p w14:paraId="3D36290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TIRFAA, 2025b. Resolución 12/2025: Cooperación con el Convenio sobre la Diversidad Biológica. Organización de las Naciones Unidas para la Alimentación y la Agricultura, Roma. Disponible en: </w:t>
      </w:r>
      <w:hyperlink r:id="rId397" w:history="1">
        <w:r w:rsidRPr="008F15F1">
          <w:rPr>
            <w:color w:val="000000" w:themeColor="text1"/>
            <w:lang w:val="es-ES"/>
          </w:rPr>
          <w:t>https://openknowledge.fao.org/server/api/core/bitstreams/c77029c4-a75e-4733-b350-1af6f0f380aa/content</w:t>
        </w:r>
      </w:hyperlink>
      <w:r w:rsidRPr="008F15F1">
        <w:rPr>
          <w:lang w:val="es-ES"/>
        </w:rPr>
        <w:t xml:space="preserve"> (consultado el 19 de junio de 2026)</w:t>
      </w:r>
    </w:p>
    <w:p w14:paraId="61D152C7" w14:textId="77777777" w:rsidR="008F15F1" w:rsidRPr="008F15F1" w:rsidRDefault="008F15F1" w:rsidP="008F15F1">
      <w:pPr>
        <w:tabs>
          <w:tab w:val="left" w:pos="380"/>
        </w:tabs>
        <w:spacing w:after="0" w:line="240" w:lineRule="auto"/>
        <w:ind w:left="720" w:hanging="720"/>
        <w:rPr>
          <w:lang w:val="es-ES"/>
        </w:rPr>
      </w:pPr>
      <w:r w:rsidRPr="008F15F1">
        <w:rPr>
          <w:lang w:val="es-ES"/>
        </w:rPr>
        <w:lastRenderedPageBreak/>
        <w:t xml:space="preserve">TIRFAA, 2026. Comunicación de la Secretaría del Tratado Internacional sobre los Recursos Fitogenéticos para la Alimentación y la Agricultura en respuesta a la notificación núm. 2025-099 del CDB. Secretaría del Convenio sobre la Diversidad Biológica, Montreal. Disponible en: </w:t>
      </w:r>
      <w:hyperlink r:id="rId398" w:history="1">
        <w:r w:rsidRPr="008F15F1">
          <w:rPr>
            <w:color w:val="000000" w:themeColor="text1"/>
            <w:lang w:val="es-ES"/>
          </w:rPr>
          <w:t>https://www.cbd.int/notifications/2025-099</w:t>
        </w:r>
      </w:hyperlink>
      <w:r w:rsidRPr="008F15F1">
        <w:rPr>
          <w:lang w:val="es-ES"/>
        </w:rPr>
        <w:t xml:space="preserve"> (consultado el 19 de junio de 2026)</w:t>
      </w:r>
    </w:p>
    <w:p w14:paraId="36617695"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UICN, 2016. Un estándar global para la identificación de Áreas Clave para la Biodiversidad: versión 1.0. Unión Internacional para la Conservación de la Naturaleza, Gland. Disponible en: </w:t>
      </w:r>
      <w:hyperlink r:id="rId399" w:history="1">
        <w:r w:rsidRPr="008F15F1">
          <w:rPr>
            <w:color w:val="000000" w:themeColor="text1"/>
            <w:lang w:val="es-ES"/>
          </w:rPr>
          <w:t>https://portals.iucn.org/library/node/46319</w:t>
        </w:r>
      </w:hyperlink>
      <w:r w:rsidRPr="008F15F1">
        <w:rPr>
          <w:lang w:val="es-ES"/>
        </w:rPr>
        <w:t xml:space="preserve"> (consultado el 25 de agosto de 2026)</w:t>
      </w:r>
    </w:p>
    <w:p w14:paraId="540F073F"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UICN, 2026. IUCN red list of ecosystems inventory. </w:t>
      </w:r>
      <w:r w:rsidRPr="008F15F1">
        <w:rPr>
          <w:lang w:val="es-ES"/>
        </w:rPr>
        <w:t xml:space="preserve">Unión Internacional para la Conservación de la Naturaleza. Disponible en: </w:t>
      </w:r>
      <w:hyperlink r:id="rId400" w:history="1">
        <w:r w:rsidRPr="008F15F1">
          <w:rPr>
            <w:color w:val="000000" w:themeColor="text1"/>
            <w:lang w:val="es-ES"/>
          </w:rPr>
          <w:t>https://iucn.org/red-list-ecosystems-inventory</w:t>
        </w:r>
      </w:hyperlink>
    </w:p>
    <w:p w14:paraId="5F95E2E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UNDRR, 2015. Marco de </w:t>
      </w:r>
      <w:proofErr w:type="spellStart"/>
      <w:r w:rsidRPr="008F15F1">
        <w:rPr>
          <w:lang w:val="es-ES"/>
        </w:rPr>
        <w:t>Sendái</w:t>
      </w:r>
      <w:proofErr w:type="spellEnd"/>
      <w:r w:rsidRPr="008F15F1">
        <w:rPr>
          <w:lang w:val="es-ES"/>
        </w:rPr>
        <w:t xml:space="preserve"> para la Reducción del Riesgo de Desastres 2015-2030. Oficina de las Naciones Unidas para la Reducción del Riesgo de Desastres, Ginebra. Disponible en: </w:t>
      </w:r>
      <w:hyperlink r:id="rId401" w:history="1">
        <w:r w:rsidRPr="008F15F1">
          <w:rPr>
            <w:color w:val="000000" w:themeColor="text1"/>
            <w:lang w:val="es-ES"/>
          </w:rPr>
          <w:t>https://www.undrr.org/publication/sendai-framework-disaster-risk-reduction-2015-2030</w:t>
        </w:r>
      </w:hyperlink>
    </w:p>
    <w:p w14:paraId="142EFB7C"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UNDRR, 2025a. Comunicación de la Oficina de las Naciones Unidas para la Reducción del Riesgo de Desastres (UNDRR) en respuesta a la notificación núm. 2025-099 del CDB. Secretaría del Convenio sobre la Diversidad Biológica, Montreal. Disponible en: </w:t>
      </w:r>
      <w:hyperlink r:id="rId402" w:history="1">
        <w:r w:rsidRPr="008F15F1">
          <w:rPr>
            <w:color w:val="000000" w:themeColor="text1"/>
            <w:lang w:val="es-ES"/>
          </w:rPr>
          <w:t>https://www.cbd.int/notifications/2025-099</w:t>
        </w:r>
      </w:hyperlink>
      <w:r w:rsidRPr="008F15F1">
        <w:rPr>
          <w:lang w:val="es-ES"/>
        </w:rPr>
        <w:t xml:space="preserve"> (consultado el 21 de mayo de 2026)</w:t>
      </w:r>
    </w:p>
    <w:p w14:paraId="69727AA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UNDRR, 2025b. Integrar la reducción del riesgo de desastres y la biodiversidad en las estrategias nacionales y su implementación: Recomendaciones y orientaciones para los gobiernos. Oficina de las Naciones Unidas para la Reducción del Riesgo de Desastres, Ginebra. Disponible en: </w:t>
      </w:r>
      <w:hyperlink r:id="rId403" w:history="1">
        <w:r w:rsidRPr="008F15F1">
          <w:rPr>
            <w:color w:val="000000" w:themeColor="text1"/>
            <w:lang w:val="es-ES"/>
          </w:rPr>
          <w:t>https://www.undrr.org/publication/documents-and-publications/integrating-disaster-risk-reduction-and-biodiversity</w:t>
        </w:r>
      </w:hyperlink>
      <w:r w:rsidRPr="008F15F1">
        <w:rPr>
          <w:lang w:val="es-ES"/>
        </w:rPr>
        <w:t xml:space="preserve"> (consultado el 21 de mayo de 2026)</w:t>
      </w:r>
    </w:p>
    <w:p w14:paraId="67D8DBEB"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UNDRR, 2025c. Global Platform 2025 Co-Chairs’ Summary: Geneva Call for Disaster Risk Reduction. </w:t>
      </w:r>
      <w:r w:rsidRPr="008F15F1">
        <w:rPr>
          <w:lang w:val="es-ES"/>
        </w:rPr>
        <w:t xml:space="preserve">Oficina de las Naciones Unidas para la Reducción del Riesgo de Desastres, Ginebra. Disponible en: </w:t>
      </w:r>
      <w:hyperlink r:id="rId404" w:history="1">
        <w:r w:rsidRPr="008F15F1">
          <w:rPr>
            <w:color w:val="000000" w:themeColor="text1"/>
            <w:lang w:val="es-ES"/>
          </w:rPr>
          <w:t>https://www.undrr.org/publication/global-platform-2025-co-chairs-summary-geneva-call-disaster-risk-reduction</w:t>
        </w:r>
      </w:hyperlink>
      <w:r w:rsidRPr="008F15F1">
        <w:rPr>
          <w:lang w:val="es-ES"/>
        </w:rPr>
        <w:t xml:space="preserve"> (consultado el 21 de mayo de 2026)</w:t>
      </w:r>
    </w:p>
    <w:p w14:paraId="0579B27F" w14:textId="77777777" w:rsidR="008F15F1" w:rsidRPr="00673184" w:rsidRDefault="008F15F1" w:rsidP="008F15F1">
      <w:pPr>
        <w:tabs>
          <w:tab w:val="left" w:pos="380"/>
        </w:tabs>
        <w:spacing w:after="0" w:line="240" w:lineRule="auto"/>
        <w:ind w:left="720" w:hanging="720"/>
        <w:rPr>
          <w:lang w:val="fr-FR"/>
        </w:rPr>
      </w:pPr>
      <w:r w:rsidRPr="008F15F1">
        <w:rPr>
          <w:lang w:val="en-US"/>
        </w:rPr>
        <w:t xml:space="preserve">UNESCO, 2024. WORLD HERITAGE AND THE KUNMING-MONTREAL GLOBAL BIODIVERSITY FRAMEWORK Recommendations from expert </w:t>
      </w:r>
      <w:proofErr w:type="gramStart"/>
      <w:r w:rsidRPr="008F15F1">
        <w:rPr>
          <w:lang w:val="en-US"/>
        </w:rPr>
        <w:t>meeting</w:t>
      </w:r>
      <w:proofErr w:type="gramEnd"/>
      <w:r w:rsidRPr="008F15F1">
        <w:rPr>
          <w:lang w:val="en-US"/>
        </w:rPr>
        <w:t xml:space="preserve">. </w:t>
      </w:r>
      <w:proofErr w:type="spellStart"/>
      <w:r w:rsidRPr="00673184">
        <w:rPr>
          <w:lang w:val="fr-FR"/>
        </w:rPr>
        <w:t>Vilm</w:t>
      </w:r>
      <w:proofErr w:type="spellEnd"/>
      <w:r w:rsidRPr="00673184">
        <w:rPr>
          <w:lang w:val="fr-FR"/>
        </w:rPr>
        <w:t xml:space="preserve"> (Alemania). Disponible </w:t>
      </w:r>
      <w:proofErr w:type="gramStart"/>
      <w:r w:rsidRPr="00673184">
        <w:rPr>
          <w:lang w:val="fr-FR"/>
        </w:rPr>
        <w:t>en:</w:t>
      </w:r>
      <w:proofErr w:type="gramEnd"/>
      <w:r w:rsidRPr="00673184">
        <w:rPr>
          <w:lang w:val="fr-FR"/>
        </w:rPr>
        <w:t xml:space="preserve"> </w:t>
      </w:r>
      <w:r>
        <w:fldChar w:fldCharType="begin"/>
      </w:r>
      <w:r w:rsidRPr="00942359">
        <w:rPr>
          <w:lang w:val="fr-FR"/>
        </w:rPr>
        <w:instrText>HYPERLINK "https://whc.unesco.org/document/219325"</w:instrText>
      </w:r>
      <w:r>
        <w:fldChar w:fldCharType="separate"/>
      </w:r>
      <w:r w:rsidRPr="00673184">
        <w:rPr>
          <w:color w:val="000000" w:themeColor="text1"/>
          <w:lang w:val="fr-FR"/>
        </w:rPr>
        <w:t>https://whc.unesco.org/document/219325</w:t>
      </w:r>
      <w:r>
        <w:fldChar w:fldCharType="end"/>
      </w:r>
    </w:p>
    <w:p w14:paraId="28C169BC" w14:textId="77777777" w:rsidR="008F15F1" w:rsidRPr="008F15F1" w:rsidRDefault="008F15F1" w:rsidP="008F15F1">
      <w:pPr>
        <w:tabs>
          <w:tab w:val="left" w:pos="380"/>
        </w:tabs>
        <w:spacing w:after="0" w:line="240" w:lineRule="auto"/>
        <w:ind w:left="720" w:hanging="720"/>
        <w:rPr>
          <w:lang w:val="es-ES"/>
        </w:rPr>
      </w:pPr>
      <w:r w:rsidRPr="00673184">
        <w:rPr>
          <w:lang w:val="fr-FR"/>
        </w:rPr>
        <w:t xml:space="preserve">UNESCO, 2025a. </w:t>
      </w:r>
      <w:r w:rsidRPr="008F15F1">
        <w:rPr>
          <w:lang w:val="es-ES"/>
        </w:rPr>
        <w:t xml:space="preserve">Comunicación del Centro del Patrimonio Mundial de la UNESCO en respuesta a la notificación núm. 2025-099 del CDB. Secretaría del Convenio sobre la Diversidad Biológica, Montreal. Disponible en: </w:t>
      </w:r>
      <w:hyperlink r:id="rId405" w:history="1">
        <w:r w:rsidRPr="008F15F1">
          <w:rPr>
            <w:color w:val="000000" w:themeColor="text1"/>
            <w:lang w:val="es-ES"/>
          </w:rPr>
          <w:t>https://www.cbd.int/notifications/2025-099</w:t>
        </w:r>
      </w:hyperlink>
      <w:r w:rsidRPr="008F15F1">
        <w:rPr>
          <w:lang w:val="es-ES"/>
        </w:rPr>
        <w:t xml:space="preserve"> (consultado el 24 de junio de 2026)</w:t>
      </w:r>
    </w:p>
    <w:p w14:paraId="1F022299"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UNESCO, 2025b. WHC/25/47.COM/17: Decisión 47 COM 7A.14. </w:t>
      </w:r>
      <w:r w:rsidRPr="00AE32F3">
        <w:rPr>
          <w:lang w:val="en-US"/>
        </w:rPr>
        <w:t xml:space="preserve">Rainforests of the </w:t>
      </w:r>
      <w:proofErr w:type="spellStart"/>
      <w:r w:rsidRPr="00AE32F3">
        <w:rPr>
          <w:lang w:val="en-US"/>
        </w:rPr>
        <w:t>Atsinanana</w:t>
      </w:r>
      <w:proofErr w:type="spellEnd"/>
      <w:r w:rsidRPr="00AE32F3">
        <w:rPr>
          <w:lang w:val="en-US"/>
        </w:rPr>
        <w:t xml:space="preserve"> (Madagascar). </w:t>
      </w:r>
      <w:r w:rsidRPr="008F15F1">
        <w:rPr>
          <w:lang w:val="es-ES"/>
        </w:rPr>
        <w:t xml:space="preserve">Comité del Patrimonio Mundial. Disponible en: </w:t>
      </w:r>
      <w:hyperlink r:id="rId406" w:history="1">
        <w:r w:rsidRPr="008F15F1">
          <w:rPr>
            <w:color w:val="000000" w:themeColor="text1"/>
            <w:lang w:val="es-ES"/>
          </w:rPr>
          <w:t>https://whc.unesco.org/en/decisions/8681</w:t>
        </w:r>
      </w:hyperlink>
      <w:r w:rsidRPr="008F15F1">
        <w:rPr>
          <w:lang w:val="es-ES"/>
        </w:rPr>
        <w:t xml:space="preserve"> (consultado el 23 de junio de 2026)</w:t>
      </w:r>
    </w:p>
    <w:p w14:paraId="2FF5FE22"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UNESCO, 2025c. Comunicación de la Secretaría de la UNESCO en nombre del Programa sobre el Hombre y la Biosfera, el programa de Sistemas de Conocimientos Locales e Indígenas de la UNESCO y el programa Educación para el Desarrollo Sostenible de la UNESCO en respuesta a la notificación núm. 2025-099 del CDB. Secretaría del Convenio sobre la Diversidad Biológica, </w:t>
      </w:r>
      <w:r w:rsidRPr="008F15F1">
        <w:rPr>
          <w:lang w:val="es-ES"/>
        </w:rPr>
        <w:lastRenderedPageBreak/>
        <w:t xml:space="preserve">Montreal. Disponible en: </w:t>
      </w:r>
      <w:hyperlink r:id="rId407" w:history="1">
        <w:r w:rsidRPr="008F15F1">
          <w:rPr>
            <w:color w:val="000000" w:themeColor="text1"/>
            <w:lang w:val="es-ES"/>
          </w:rPr>
          <w:t>https://www.cbd.int/notifications/2025-099</w:t>
        </w:r>
      </w:hyperlink>
      <w:r w:rsidRPr="008F15F1">
        <w:rPr>
          <w:lang w:val="es-ES"/>
        </w:rPr>
        <w:t xml:space="preserve"> (consultado el 24 de junio de 2026)</w:t>
      </w:r>
    </w:p>
    <w:p w14:paraId="0B231AD2" w14:textId="77777777" w:rsidR="008F15F1" w:rsidRPr="008F15F1" w:rsidRDefault="008F15F1" w:rsidP="008F15F1">
      <w:pPr>
        <w:tabs>
          <w:tab w:val="left" w:pos="380"/>
        </w:tabs>
        <w:spacing w:after="0" w:line="240" w:lineRule="auto"/>
        <w:ind w:left="720" w:hanging="720"/>
        <w:rPr>
          <w:lang w:val="es-ES"/>
        </w:rPr>
      </w:pPr>
      <w:r w:rsidRPr="008F15F1">
        <w:rPr>
          <w:lang w:val="es-ES"/>
        </w:rPr>
        <w:t>UNESCO, 2025d. Plan de acción estratégica de Hangzhou para el Programa sobre el Hombre y la Biosfera (MAB) de la UNESCO y su Red Mundial de Reservas de Biosfera (RMRB) (2026-2035). UNESCO. Disponible en: https://unesdoc.unesco.org/ark:/48223/pf0000396262_spa</w:t>
      </w:r>
    </w:p>
    <w:p w14:paraId="5CC8B42B"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UNESCO, 2025e. SC-25/CONF.237/5: Consejo Internacional de Coordinación del Programa sobre el Hombre y la Biosfera, 37ª Reunión, </w:t>
      </w:r>
      <w:proofErr w:type="spellStart"/>
      <w:r w:rsidRPr="008F15F1">
        <w:rPr>
          <w:lang w:val="es-ES"/>
        </w:rPr>
        <w:t>Lin’an</w:t>
      </w:r>
      <w:proofErr w:type="spellEnd"/>
      <w:r w:rsidRPr="008F15F1">
        <w:rPr>
          <w:lang w:val="es-ES"/>
        </w:rPr>
        <w:t xml:space="preserve">/Hangzhou (China), 26 a 28 de septiembre de 2025; UNESCO MAB </w:t>
      </w:r>
      <w:proofErr w:type="spellStart"/>
      <w:r w:rsidRPr="008F15F1">
        <w:rPr>
          <w:lang w:val="es-ES"/>
        </w:rPr>
        <w:t>contribution</w:t>
      </w:r>
      <w:proofErr w:type="spellEnd"/>
      <w:r w:rsidRPr="008F15F1">
        <w:rPr>
          <w:lang w:val="es-ES"/>
        </w:rPr>
        <w:t xml:space="preserve"> to the Kunming-Montreal Global Biodiversity Framework. UNESCO. Disponible en: </w:t>
      </w:r>
      <w:hyperlink r:id="rId408" w:history="1">
        <w:r w:rsidRPr="008F15F1">
          <w:rPr>
            <w:color w:val="000000" w:themeColor="text1"/>
            <w:lang w:val="es-ES"/>
          </w:rPr>
          <w:t>https://www.unesco.org/es/mab</w:t>
        </w:r>
      </w:hyperlink>
    </w:p>
    <w:p w14:paraId="1AB4B336"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Unión Europea, 2023. </w:t>
      </w:r>
      <w:proofErr w:type="gramStart"/>
      <w:r w:rsidRPr="008F15F1">
        <w:rPr>
          <w:lang w:val="es-ES"/>
        </w:rPr>
        <w:t>COM(</w:t>
      </w:r>
      <w:proofErr w:type="gramEnd"/>
      <w:r w:rsidRPr="008F15F1">
        <w:rPr>
          <w:lang w:val="es-ES"/>
        </w:rPr>
        <w:t xml:space="preserve">2023) 35 final: Revisión de la Iniciativa sobre los polinizadores: Un nuevo pacto para los polinizadores. Comisión Europea, Bruselas. Disponible en: </w:t>
      </w:r>
      <w:hyperlink r:id="rId409" w:history="1">
        <w:r w:rsidRPr="008F15F1">
          <w:rPr>
            <w:color w:val="000000" w:themeColor="text1"/>
            <w:lang w:val="es-ES"/>
          </w:rPr>
          <w:t>https://eur-lex.europa.eu/legal-content/Es/TXT/?uri=CELEX:52023DC0035</w:t>
        </w:r>
      </w:hyperlink>
      <w:r w:rsidRPr="008F15F1">
        <w:rPr>
          <w:lang w:val="es-ES"/>
        </w:rPr>
        <w:t xml:space="preserve"> (consultado el 27 de junio de 2026)</w:t>
      </w:r>
    </w:p>
    <w:p w14:paraId="214BCD13"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Unión Europea, 2024. Reglamento (UE) 2024/1991 del Parlamento Europeo y del Consejo, de 24 de junio de 2024, relativo a la restauración de la naturaleza y por el que se modifica el Reglamento (UE) 2022/869. Bruselas. Disponible en: </w:t>
      </w:r>
      <w:hyperlink r:id="rId410" w:history="1">
        <w:r w:rsidRPr="008F15F1">
          <w:rPr>
            <w:color w:val="000000" w:themeColor="text1"/>
            <w:lang w:val="es-ES"/>
          </w:rPr>
          <w:t>https://eur-lex.europa.eu/legal-content/Es/TXT/?uri=CELEX%3A32024R1991&amp;qid=1722240349976</w:t>
        </w:r>
      </w:hyperlink>
      <w:r w:rsidRPr="008F15F1">
        <w:rPr>
          <w:lang w:val="es-ES"/>
        </w:rPr>
        <w:t xml:space="preserve"> (consultado el 25 de julio de 2026)</w:t>
      </w:r>
    </w:p>
    <w:p w14:paraId="74071D0D"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Unión Europea, 2025. Reglamento </w:t>
      </w:r>
      <w:proofErr w:type="gramStart"/>
      <w:r w:rsidRPr="008F15F1">
        <w:rPr>
          <w:lang w:val="es-ES"/>
        </w:rPr>
        <w:t>Delegado</w:t>
      </w:r>
      <w:proofErr w:type="gramEnd"/>
      <w:r w:rsidRPr="008F15F1">
        <w:rPr>
          <w:lang w:val="es-ES"/>
        </w:rPr>
        <w:t xml:space="preserve"> (UE) 2025/2188 de la Comisión, de 19 de septiembre de 2025, por el que se completa el Reglamento (UE) 2024/1991 del Parlamento Europeo y del Consejo mediante el establecimiento de un método con base científica para el seguimiento de la diversidad y las poblaciones de polinizadores. Bruselas. Disponible en: </w:t>
      </w:r>
      <w:hyperlink r:id="rId411" w:history="1">
        <w:r w:rsidRPr="008F15F1">
          <w:rPr>
            <w:color w:val="000000" w:themeColor="text1"/>
            <w:lang w:val="es-ES"/>
          </w:rPr>
          <w:t>https://eur-lex.europa.eu/legal-content/Es/TXT/?uri=OJ:L_202502188</w:t>
        </w:r>
      </w:hyperlink>
      <w:r w:rsidRPr="008F15F1">
        <w:rPr>
          <w:lang w:val="es-ES"/>
        </w:rPr>
        <w:t xml:space="preserve"> (consultado el 25 de julio de 2026)</w:t>
      </w:r>
    </w:p>
    <w:p w14:paraId="4FF2830B" w14:textId="77777777" w:rsidR="008F15F1" w:rsidRPr="008F15F1" w:rsidRDefault="008F15F1" w:rsidP="008F15F1">
      <w:pPr>
        <w:tabs>
          <w:tab w:val="left" w:pos="380"/>
        </w:tabs>
        <w:spacing w:after="0" w:line="240" w:lineRule="auto"/>
        <w:ind w:left="720" w:hanging="720"/>
        <w:rPr>
          <w:lang w:val="es-ES"/>
        </w:rPr>
      </w:pPr>
      <w:r w:rsidRPr="008F15F1">
        <w:rPr>
          <w:lang w:val="en-US"/>
        </w:rPr>
        <w:t xml:space="preserve">Verburg, P.H., 2022. The Contribution of Integrated Land Use Planning and Integrated Landscape Management to Implementing Land Degradation Neutrality: Entry Points and Support Tools. </w:t>
      </w:r>
      <w:r w:rsidRPr="008F15F1">
        <w:rPr>
          <w:lang w:val="es-ES"/>
        </w:rPr>
        <w:t xml:space="preserve">CLD, Bonn. Disponible en: </w:t>
      </w:r>
      <w:hyperlink r:id="rId412" w:history="1">
        <w:r w:rsidRPr="008F15F1">
          <w:rPr>
            <w:color w:val="000000" w:themeColor="text1"/>
            <w:lang w:val="es-ES"/>
          </w:rPr>
          <w:t>https://www.unccd.int/resources/reports/contribution-integrated-land-use-planning-and-integrated-landscape-management</w:t>
        </w:r>
      </w:hyperlink>
    </w:p>
    <w:p w14:paraId="259A18A3"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Wilkinson, M.D. y otros, 2016. </w:t>
      </w:r>
      <w:r w:rsidRPr="008F15F1">
        <w:rPr>
          <w:lang w:val="en-US"/>
        </w:rPr>
        <w:t xml:space="preserve">The FAIR Guiding Principles for scientific data management and stewardship. </w:t>
      </w:r>
      <w:proofErr w:type="spellStart"/>
      <w:r w:rsidRPr="008F15F1">
        <w:rPr>
          <w:lang w:val="es-ES"/>
        </w:rPr>
        <w:t>Sci</w:t>
      </w:r>
      <w:proofErr w:type="spellEnd"/>
      <w:r w:rsidRPr="008F15F1">
        <w:rPr>
          <w:lang w:val="es-ES"/>
        </w:rPr>
        <w:t xml:space="preserve">. Data 3, 160018. </w:t>
      </w:r>
      <w:hyperlink r:id="rId413" w:history="1">
        <w:r w:rsidRPr="008F15F1">
          <w:rPr>
            <w:color w:val="000000" w:themeColor="text1"/>
            <w:lang w:val="es-ES"/>
          </w:rPr>
          <w:t>https://doi.org/10.1038/sdata.2016.18</w:t>
        </w:r>
      </w:hyperlink>
    </w:p>
    <w:p w14:paraId="23AFDE50" w14:textId="77777777" w:rsidR="008F15F1" w:rsidRPr="008F15F1" w:rsidRDefault="008F15F1" w:rsidP="008F15F1">
      <w:pPr>
        <w:tabs>
          <w:tab w:val="left" w:pos="380"/>
        </w:tabs>
        <w:spacing w:after="0" w:line="240" w:lineRule="auto"/>
        <w:ind w:left="720" w:hanging="720"/>
        <w:rPr>
          <w:lang w:val="es-ES"/>
        </w:rPr>
      </w:pPr>
      <w:r w:rsidRPr="008F15F1">
        <w:rPr>
          <w:lang w:val="es-ES"/>
        </w:rPr>
        <w:t xml:space="preserve">Zhang, J. y otros, 2026. </w:t>
      </w:r>
      <w:r w:rsidRPr="008F15F1">
        <w:rPr>
          <w:lang w:val="en-US"/>
        </w:rPr>
        <w:t xml:space="preserve">Shipping and water diversion pathways expand the global area at risk from invasive freshwater bivalves. </w:t>
      </w:r>
      <w:proofErr w:type="spellStart"/>
      <w:r w:rsidRPr="008F15F1">
        <w:rPr>
          <w:lang w:val="es-ES"/>
        </w:rPr>
        <w:t>Commun</w:t>
      </w:r>
      <w:proofErr w:type="spellEnd"/>
      <w:r w:rsidRPr="008F15F1">
        <w:rPr>
          <w:lang w:val="es-ES"/>
        </w:rPr>
        <w:t xml:space="preserve">. Earth </w:t>
      </w:r>
      <w:proofErr w:type="spellStart"/>
      <w:r w:rsidRPr="008F15F1">
        <w:rPr>
          <w:lang w:val="es-ES"/>
        </w:rPr>
        <w:t>Environ</w:t>
      </w:r>
      <w:proofErr w:type="spellEnd"/>
      <w:r w:rsidRPr="008F15F1">
        <w:rPr>
          <w:lang w:val="es-ES"/>
        </w:rPr>
        <w:t xml:space="preserve">. 7, 224. </w:t>
      </w:r>
      <w:hyperlink r:id="rId414" w:history="1">
        <w:r w:rsidRPr="008F15F1">
          <w:rPr>
            <w:color w:val="000000" w:themeColor="text1"/>
            <w:lang w:val="es-ES"/>
          </w:rPr>
          <w:t>https://doi.org/10.1038/s43247-026-03256-x</w:t>
        </w:r>
      </w:hyperlink>
    </w:p>
    <w:p w14:paraId="70029DED" w14:textId="6B2E2A39" w:rsidR="00F473DB" w:rsidRPr="00DB1157" w:rsidRDefault="00F473DB" w:rsidP="003802FD">
      <w:pPr>
        <w:pStyle w:val="Bibliography"/>
        <w:rPr>
          <w:lang w:val="en-CA"/>
        </w:rPr>
      </w:pPr>
    </w:p>
    <w:sectPr w:rsidR="00F473DB" w:rsidRPr="00DB1157" w:rsidSect="004108E5">
      <w:headerReference w:type="default" r:id="rId415"/>
      <w:footerReference w:type="default" r:id="rId4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795A1" w14:textId="77777777" w:rsidR="004E4C15" w:rsidRDefault="004E4C15" w:rsidP="00F473DB">
      <w:pPr>
        <w:spacing w:after="0" w:line="240" w:lineRule="auto"/>
      </w:pPr>
      <w:r>
        <w:separator/>
      </w:r>
    </w:p>
  </w:endnote>
  <w:endnote w:type="continuationSeparator" w:id="0">
    <w:p w14:paraId="11B5DF31" w14:textId="77777777" w:rsidR="004E4C15" w:rsidRDefault="004E4C15" w:rsidP="00F4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Helvetica">
    <w:panose1 w:val="020B0604020202020204"/>
    <w:charset w:val="CC"/>
    <w:family w:val="swiss"/>
    <w:pitch w:val="variable"/>
    <w:sig w:usb0="E0002AFF" w:usb1="C0007843" w:usb2="00000009" w:usb3="00000000" w:csb0="0000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D237" w14:textId="77777777" w:rsidR="00320638" w:rsidRPr="00F359AE" w:rsidRDefault="00320638" w:rsidP="00320638">
    <w:pPr>
      <w:pStyle w:val="Footer"/>
      <w:rPr>
        <w:rFonts w:ascii="Times New Roman" w:hAnsi="Times New Roman" w:cs="Times New Roman"/>
        <w:sz w:val="20"/>
        <w:szCs w:val="20"/>
      </w:rPr>
    </w:pP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 xml:space="preserve"> PAGE </w:instrText>
    </w:r>
    <w:r w:rsidRPr="00F359AE">
      <w:rPr>
        <w:rFonts w:ascii="Times New Roman" w:hAnsi="Times New Roman" w:cs="Times New Roman"/>
        <w:sz w:val="20"/>
        <w:szCs w:val="20"/>
      </w:rPr>
      <w:fldChar w:fldCharType="separate"/>
    </w:r>
    <w:r w:rsidRPr="00F359AE">
      <w:rPr>
        <w:rFonts w:ascii="Times New Roman" w:hAnsi="Times New Roman" w:cs="Times New Roman"/>
        <w:sz w:val="20"/>
        <w:szCs w:val="20"/>
      </w:rPr>
      <w:t>4</w:t>
    </w:r>
    <w:r w:rsidRPr="00F359AE">
      <w:rPr>
        <w:rFonts w:ascii="Times New Roman" w:hAnsi="Times New Roman" w:cs="Times New Roman"/>
        <w:sz w:val="20"/>
        <w:szCs w:val="20"/>
      </w:rPr>
      <w:fldChar w:fldCharType="end"/>
    </w:r>
    <w:r w:rsidRPr="00F359AE">
      <w:rPr>
        <w:rFonts w:ascii="Times New Roman" w:hAnsi="Times New Roman" w:cs="Times New Roman"/>
        <w:sz w:val="20"/>
        <w:szCs w:val="20"/>
      </w:rPr>
      <w:t>/</w:t>
    </w: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NUMPAGES \* MERGEFORMAT</w:instrText>
    </w:r>
    <w:r w:rsidRPr="00F359AE">
      <w:rPr>
        <w:rFonts w:ascii="Times New Roman" w:hAnsi="Times New Roman" w:cs="Times New Roman"/>
        <w:sz w:val="20"/>
        <w:szCs w:val="20"/>
      </w:rPr>
      <w:fldChar w:fldCharType="separate"/>
    </w:r>
    <w:r w:rsidRPr="00F359AE">
      <w:rPr>
        <w:rFonts w:ascii="Times New Roman" w:hAnsi="Times New Roman" w:cs="Times New Roman"/>
        <w:sz w:val="20"/>
        <w:szCs w:val="20"/>
      </w:rPr>
      <w:t>384</w:t>
    </w:r>
    <w:r w:rsidRPr="00F359AE">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3BE26" w14:textId="77777777" w:rsidR="009668DE" w:rsidRPr="00F359AE" w:rsidRDefault="009668DE" w:rsidP="00E976F0">
    <w:pPr>
      <w:pStyle w:val="Footer"/>
      <w:jc w:val="right"/>
      <w:rPr>
        <w:rFonts w:ascii="Times New Roman" w:hAnsi="Times New Roman" w:cs="Times New Roman"/>
        <w:sz w:val="20"/>
        <w:szCs w:val="20"/>
      </w:rPr>
    </w:pP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 xml:space="preserve"> PAGE </w:instrText>
    </w:r>
    <w:r w:rsidRPr="00F359AE">
      <w:rPr>
        <w:rFonts w:ascii="Times New Roman" w:hAnsi="Times New Roman" w:cs="Times New Roman"/>
        <w:sz w:val="20"/>
        <w:szCs w:val="20"/>
      </w:rPr>
      <w:fldChar w:fldCharType="separate"/>
    </w:r>
    <w:r w:rsidRPr="00F359AE">
      <w:rPr>
        <w:rFonts w:ascii="Times New Roman" w:hAnsi="Times New Roman" w:cs="Times New Roman"/>
        <w:sz w:val="20"/>
        <w:szCs w:val="20"/>
      </w:rPr>
      <w:t>1</w:t>
    </w:r>
    <w:r w:rsidRPr="00F359AE">
      <w:rPr>
        <w:rFonts w:ascii="Times New Roman" w:hAnsi="Times New Roman" w:cs="Times New Roman"/>
        <w:sz w:val="20"/>
        <w:szCs w:val="20"/>
      </w:rPr>
      <w:fldChar w:fldCharType="end"/>
    </w:r>
    <w:r w:rsidRPr="00F359AE">
      <w:rPr>
        <w:rFonts w:ascii="Times New Roman" w:hAnsi="Times New Roman" w:cs="Times New Roman"/>
        <w:sz w:val="20"/>
        <w:szCs w:val="20"/>
      </w:rPr>
      <w:t>/</w:t>
    </w: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NUMPAGES \* MERGEFORMAT</w:instrText>
    </w:r>
    <w:r w:rsidRPr="00F359AE">
      <w:rPr>
        <w:rFonts w:ascii="Times New Roman" w:hAnsi="Times New Roman" w:cs="Times New Roman"/>
        <w:sz w:val="20"/>
        <w:szCs w:val="20"/>
      </w:rPr>
      <w:fldChar w:fldCharType="separate"/>
    </w:r>
    <w:r w:rsidRPr="00F359AE">
      <w:rPr>
        <w:rFonts w:ascii="Times New Roman" w:hAnsi="Times New Roman" w:cs="Times New Roman"/>
        <w:sz w:val="20"/>
        <w:szCs w:val="20"/>
      </w:rPr>
      <w:t>384</w:t>
    </w:r>
    <w:r w:rsidRPr="00F359AE">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CEE0" w14:textId="6CCB376D" w:rsidR="00AE32F3" w:rsidRPr="00F359AE" w:rsidRDefault="00AE32F3" w:rsidP="00F359AE">
    <w:pPr>
      <w:pStyle w:val="Footer"/>
      <w:jc w:val="right"/>
      <w:rPr>
        <w:rFonts w:ascii="Times New Roman" w:hAnsi="Times New Roman" w:cs="Times New Roman"/>
        <w:sz w:val="20"/>
        <w:szCs w:val="20"/>
      </w:rPr>
    </w:pPr>
    <w:r w:rsidRPr="00F359AE">
      <w:rPr>
        <w:rFonts w:ascii="Times New Roman" w:hAnsi="Times New Roman" w:cs="Times New Roman"/>
        <w:sz w:val="20"/>
        <w:szCs w:val="20"/>
      </w:rPr>
      <w:fldChar w:fldCharType="begin"/>
    </w:r>
    <w:r w:rsidRPr="00F359AE">
      <w:rPr>
        <w:rFonts w:ascii="Times New Roman" w:hAnsi="Times New Roman" w:cs="Times New Roman"/>
        <w:sz w:val="20"/>
        <w:szCs w:val="20"/>
      </w:rPr>
      <w:instrText xml:space="preserve"> PAGE </w:instrText>
    </w:r>
    <w:r w:rsidRPr="00F359AE">
      <w:rPr>
        <w:rFonts w:ascii="Times New Roman" w:hAnsi="Times New Roman" w:cs="Times New Roman"/>
        <w:sz w:val="20"/>
        <w:szCs w:val="20"/>
      </w:rPr>
      <w:fldChar w:fldCharType="separate"/>
    </w:r>
    <w:r w:rsidR="00694513" w:rsidRPr="00F359AE">
      <w:rPr>
        <w:rFonts w:ascii="Times New Roman" w:hAnsi="Times New Roman" w:cs="Times New Roman"/>
        <w:noProof/>
        <w:sz w:val="20"/>
        <w:szCs w:val="20"/>
      </w:rPr>
      <w:t>447</w:t>
    </w:r>
    <w:r w:rsidRPr="00F359AE">
      <w:rPr>
        <w:rFonts w:ascii="Times New Roman" w:hAnsi="Times New Roman" w:cs="Times New Roman"/>
        <w:sz w:val="20"/>
        <w:szCs w:val="20"/>
      </w:rPr>
      <w:fldChar w:fldCharType="end"/>
    </w:r>
    <w:r w:rsidRPr="00F359AE">
      <w:rPr>
        <w:rFonts w:ascii="Times New Roman" w:hAnsi="Times New Roman" w:cs="Times New Roman"/>
        <w:sz w:val="20"/>
        <w:szCs w:val="20"/>
      </w:rPr>
      <w:t>/</w:t>
    </w:r>
    <w:r w:rsidR="00694513" w:rsidRPr="00F359AE">
      <w:rPr>
        <w:rFonts w:ascii="Times New Roman" w:hAnsi="Times New Roman" w:cs="Times New Roman"/>
        <w:sz w:val="20"/>
        <w:szCs w:val="20"/>
      </w:rPr>
      <w:fldChar w:fldCharType="begin"/>
    </w:r>
    <w:r w:rsidR="00694513" w:rsidRPr="00F359AE">
      <w:rPr>
        <w:rFonts w:ascii="Times New Roman" w:hAnsi="Times New Roman" w:cs="Times New Roman"/>
        <w:sz w:val="20"/>
        <w:szCs w:val="20"/>
      </w:rPr>
      <w:instrText>NUMPAGES \* MERGEFORMAT</w:instrText>
    </w:r>
    <w:r w:rsidR="00694513" w:rsidRPr="00F359AE">
      <w:rPr>
        <w:rFonts w:ascii="Times New Roman" w:hAnsi="Times New Roman" w:cs="Times New Roman"/>
        <w:sz w:val="20"/>
        <w:szCs w:val="20"/>
      </w:rPr>
      <w:fldChar w:fldCharType="separate"/>
    </w:r>
    <w:r w:rsidR="00694513" w:rsidRPr="00F359AE">
      <w:rPr>
        <w:rFonts w:ascii="Times New Roman" w:hAnsi="Times New Roman" w:cs="Times New Roman"/>
        <w:noProof/>
        <w:sz w:val="20"/>
        <w:szCs w:val="20"/>
      </w:rPr>
      <w:t>447</w:t>
    </w:r>
    <w:r w:rsidR="00694513" w:rsidRPr="00F359AE">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00AF" w14:textId="77777777" w:rsidR="004E4C15" w:rsidRDefault="004E4C15" w:rsidP="00F473DB">
      <w:pPr>
        <w:spacing w:after="0" w:line="240" w:lineRule="auto"/>
      </w:pPr>
      <w:r>
        <w:separator/>
      </w:r>
    </w:p>
  </w:footnote>
  <w:footnote w:type="continuationSeparator" w:id="0">
    <w:p w14:paraId="27B3FACC" w14:textId="77777777" w:rsidR="004E4C15" w:rsidRDefault="004E4C15" w:rsidP="00F473DB">
      <w:pPr>
        <w:spacing w:after="0" w:line="240" w:lineRule="auto"/>
      </w:pPr>
      <w:r>
        <w:continuationSeparator/>
      </w:r>
    </w:p>
  </w:footnote>
  <w:footnote w:id="1">
    <w:p w14:paraId="281FE49A" w14:textId="77777777" w:rsidR="00EB2953" w:rsidRPr="003F1A75" w:rsidRDefault="00EB2953" w:rsidP="00EB2953">
      <w:pPr>
        <w:pStyle w:val="FootnoteText"/>
      </w:pPr>
      <w:r>
        <w:rPr>
          <w:rStyle w:val="FootnoteReference"/>
        </w:rPr>
        <w:t>*</w:t>
      </w:r>
      <w:r>
        <w:t xml:space="preserve"> </w:t>
      </w:r>
      <w:hyperlink r:id="rId1" w:history="1">
        <w:r>
          <w:rPr>
            <w:rStyle w:val="Hyperlink"/>
          </w:rPr>
          <w:t>CBD/COP/17/1/Rev.1</w:t>
        </w:r>
      </w:hyperlink>
      <w:r>
        <w:t>.</w:t>
      </w:r>
    </w:p>
  </w:footnote>
  <w:footnote w:id="2">
    <w:p w14:paraId="2C43E20C" w14:textId="7D4571DC" w:rsidR="00AE32F3" w:rsidRPr="00C14F39" w:rsidRDefault="00AE32F3" w:rsidP="00F775CD">
      <w:pPr>
        <w:pStyle w:val="FootnoteText"/>
      </w:pPr>
      <w:r>
        <w:rPr>
          <w:rStyle w:val="FootnoteReference"/>
        </w:rPr>
        <w:footnoteRef/>
      </w:r>
      <w:r>
        <w:t xml:space="preserve"> En el resto del presente informe, el Convenio sobre la Diversidad Biológica se denomina “el Convenio” y el Marco Mundial de Biodiversidad de Kunming-Montreal se denomina “el Marco”, excepto en los casos en que se utilizan los nombres completos para evitar confusiones con otros convenios o marcos.</w:t>
      </w:r>
    </w:p>
  </w:footnote>
  <w:footnote w:id="3">
    <w:p w14:paraId="48F51EFE" w14:textId="599841CD" w:rsidR="00AE32F3" w:rsidRPr="007579DB" w:rsidRDefault="00AE32F3" w:rsidP="005D3F01">
      <w:pPr>
        <w:pStyle w:val="FootnoteText"/>
      </w:pPr>
      <w:r>
        <w:rPr>
          <w:rStyle w:val="FootnoteReference"/>
        </w:rPr>
        <w:footnoteRef/>
      </w:r>
      <w:r>
        <w:t xml:space="preserve"> Las EPANB, las </w:t>
      </w:r>
      <w:proofErr w:type="gramStart"/>
      <w:r>
        <w:t>metas nacionales y los informes nacionales</w:t>
      </w:r>
      <w:proofErr w:type="gramEnd"/>
      <w:r>
        <w:t xml:space="preserve"> se incluyeron en el análisis del informe mundial si se presentaron a más tardar el 7 de marzo de 2026, es decir, una semana después del plazo del 28 de febrero de 2026 para la presentación de los séptimos informes nacionales.</w:t>
      </w:r>
    </w:p>
    <w:p w14:paraId="7EB2CD7D" w14:textId="77777777" w:rsidR="00AE32F3" w:rsidRPr="0075198D" w:rsidRDefault="00AE32F3" w:rsidP="005D3F01">
      <w:pPr>
        <w:pStyle w:val="FootnoteText"/>
      </w:pPr>
    </w:p>
  </w:footnote>
  <w:footnote w:id="4">
    <w:p w14:paraId="1C2BBA10" w14:textId="0969C119" w:rsidR="00AE32F3" w:rsidRPr="00673184" w:rsidRDefault="00AE32F3" w:rsidP="002C3C96">
      <w:pPr>
        <w:pStyle w:val="FootnoteText"/>
        <w:rPr>
          <w:lang w:val="fr-FR"/>
        </w:rPr>
      </w:pPr>
      <w:r>
        <w:rPr>
          <w:rStyle w:val="FootnoteReference"/>
        </w:rPr>
        <w:footnoteRef/>
      </w:r>
      <w:r w:rsidRPr="00673184">
        <w:rPr>
          <w:lang w:val="fr-FR"/>
        </w:rPr>
        <w:t xml:space="preserve"> </w:t>
      </w:r>
      <w:proofErr w:type="spellStart"/>
      <w:r w:rsidRPr="00673184">
        <w:rPr>
          <w:lang w:val="fr-FR"/>
        </w:rPr>
        <w:t>Véase</w:t>
      </w:r>
      <w:proofErr w:type="spellEnd"/>
      <w:r w:rsidRPr="00673184">
        <w:rPr>
          <w:lang w:val="fr-FR"/>
        </w:rPr>
        <w:t xml:space="preserve"> </w:t>
      </w:r>
      <w:r>
        <w:fldChar w:fldCharType="begin"/>
      </w:r>
      <w:r w:rsidRPr="00942359">
        <w:rPr>
          <w:lang w:val="fr-FR"/>
        </w:rPr>
        <w:instrText>HYPERLINK "http://www.cbd.int/notifications/2025-099"</w:instrText>
      </w:r>
      <w:r>
        <w:fldChar w:fldCharType="separate"/>
      </w:r>
      <w:r w:rsidRPr="00673184">
        <w:rPr>
          <w:rStyle w:val="Hyperlink"/>
          <w:lang w:val="fr-FR"/>
        </w:rPr>
        <w:t>www.cbd.int/notifications/2025-099</w:t>
      </w:r>
      <w:r>
        <w:fldChar w:fldCharType="end"/>
      </w:r>
      <w:r w:rsidRPr="00673184">
        <w:rPr>
          <w:lang w:val="fr-FR"/>
        </w:rPr>
        <w:t xml:space="preserve">. </w:t>
      </w:r>
    </w:p>
  </w:footnote>
  <w:footnote w:id="5">
    <w:p w14:paraId="0701A7FF" w14:textId="39219028" w:rsidR="00AE32F3" w:rsidRPr="00673184" w:rsidRDefault="00AE32F3" w:rsidP="007D1195">
      <w:pPr>
        <w:pStyle w:val="FootnoteText"/>
        <w:rPr>
          <w:lang w:val="fr-FR"/>
        </w:rPr>
      </w:pPr>
      <w:r>
        <w:rPr>
          <w:rStyle w:val="FootnoteReference"/>
        </w:rPr>
        <w:footnoteRef/>
      </w:r>
      <w:r w:rsidRPr="00673184">
        <w:rPr>
          <w:lang w:val="fr-FR"/>
        </w:rPr>
        <w:t xml:space="preserve"> </w:t>
      </w:r>
      <w:proofErr w:type="spellStart"/>
      <w:r w:rsidRPr="00673184">
        <w:rPr>
          <w:lang w:val="fr-FR"/>
        </w:rPr>
        <w:t>Véase</w:t>
      </w:r>
      <w:proofErr w:type="spellEnd"/>
      <w:r w:rsidRPr="00673184">
        <w:rPr>
          <w:lang w:val="fr-FR"/>
        </w:rPr>
        <w:t xml:space="preserve"> </w:t>
      </w:r>
      <w:r>
        <w:fldChar w:fldCharType="begin"/>
      </w:r>
      <w:r w:rsidRPr="00942359">
        <w:rPr>
          <w:lang w:val="fr-FR"/>
        </w:rPr>
        <w:instrText>HYPERLINK "https://ort.cbd.int/stakeholders/commitments"</w:instrText>
      </w:r>
      <w:r>
        <w:fldChar w:fldCharType="separate"/>
      </w:r>
      <w:r w:rsidRPr="00673184">
        <w:rPr>
          <w:rStyle w:val="Hyperlink"/>
          <w:lang w:val="fr-FR"/>
        </w:rPr>
        <w:t>https://ort.cbd.int/stakeholders/commitments</w:t>
      </w:r>
      <w:r>
        <w:fldChar w:fldCharType="end"/>
      </w:r>
      <w:r w:rsidRPr="00673184">
        <w:rPr>
          <w:lang w:val="fr-FR"/>
        </w:rPr>
        <w:t xml:space="preserve">. </w:t>
      </w:r>
    </w:p>
  </w:footnote>
  <w:footnote w:id="6">
    <w:p w14:paraId="201C12FD" w14:textId="57A43196" w:rsidR="00AE32F3" w:rsidRPr="00673184" w:rsidRDefault="00AE32F3" w:rsidP="00E71AE1">
      <w:pPr>
        <w:pStyle w:val="FootnoteText"/>
        <w:rPr>
          <w:lang w:val="fr-FR"/>
        </w:rPr>
      </w:pPr>
      <w:r>
        <w:rPr>
          <w:rStyle w:val="FootnoteReference"/>
        </w:rPr>
        <w:footnoteRef/>
      </w:r>
      <w:r w:rsidRPr="00673184">
        <w:rPr>
          <w:lang w:val="fr-FR"/>
        </w:rPr>
        <w:t xml:space="preserve"> </w:t>
      </w:r>
      <w:proofErr w:type="spellStart"/>
      <w:r w:rsidRPr="00673184">
        <w:rPr>
          <w:lang w:val="fr-FR"/>
        </w:rPr>
        <w:t>Véase</w:t>
      </w:r>
      <w:proofErr w:type="spellEnd"/>
      <w:r w:rsidRPr="00673184">
        <w:rPr>
          <w:lang w:val="fr-FR"/>
        </w:rPr>
        <w:t xml:space="preserve"> </w:t>
      </w:r>
      <w:r>
        <w:fldChar w:fldCharType="begin"/>
      </w:r>
      <w:r w:rsidRPr="00942359">
        <w:rPr>
          <w:lang w:val="fr-FR"/>
        </w:rPr>
        <w:instrText>HYPERLINK "https://ort.cbd.int/"</w:instrText>
      </w:r>
      <w:r>
        <w:fldChar w:fldCharType="separate"/>
      </w:r>
      <w:r w:rsidRPr="00673184">
        <w:rPr>
          <w:rStyle w:val="Hyperlink"/>
          <w:lang w:val="fr-FR"/>
        </w:rPr>
        <w:t>https://ort.cbd.int/</w:t>
      </w:r>
      <w:r>
        <w:fldChar w:fldCharType="end"/>
      </w:r>
      <w:r w:rsidRPr="00673184">
        <w:rPr>
          <w:lang w:val="fr-FR"/>
        </w:rPr>
        <w:t xml:space="preserve">. </w:t>
      </w:r>
    </w:p>
  </w:footnote>
  <w:footnote w:id="7">
    <w:p w14:paraId="70114235" w14:textId="2FA3E6D2" w:rsidR="00AE32F3" w:rsidRPr="007579DB" w:rsidRDefault="00AE32F3">
      <w:pPr>
        <w:pStyle w:val="FootnoteText"/>
      </w:pPr>
      <w:r>
        <w:rPr>
          <w:rStyle w:val="FootnoteReference"/>
        </w:rPr>
        <w:footnoteRef/>
      </w:r>
      <w:r>
        <w:t xml:space="preserve"> Las EPANB, las </w:t>
      </w:r>
      <w:proofErr w:type="gramStart"/>
      <w:r>
        <w:t>metas nacionales y los informes nacionales</w:t>
      </w:r>
      <w:proofErr w:type="gramEnd"/>
      <w:r>
        <w:t xml:space="preserve"> se incluyeron en el análisis del informe mundial si se presentaron a más tardar el 7 de marzo de 2026, una semana después del plazo del 28 de febrero de 2026 para la presentación de los séptimos informes nacionales (</w:t>
      </w:r>
      <w:proofErr w:type="spellStart"/>
      <w:r>
        <w:t>dec</w:t>
      </w:r>
      <w:proofErr w:type="spellEnd"/>
      <w:r>
        <w:t>.</w:t>
      </w:r>
      <w:r>
        <w:rPr>
          <w:color w:val="000000" w:themeColor="text1"/>
        </w:rPr>
        <w:t xml:space="preserve"> 15/6 en CDB, 2023).</w:t>
      </w:r>
    </w:p>
  </w:footnote>
  <w:footnote w:id="8">
    <w:p w14:paraId="0A5D675A" w14:textId="510F2647" w:rsidR="00AE32F3" w:rsidRPr="00F24406" w:rsidRDefault="00AE32F3" w:rsidP="006C3026">
      <w:pPr>
        <w:pStyle w:val="FootnoteText"/>
      </w:pPr>
      <w:r>
        <w:rPr>
          <w:rStyle w:val="FootnoteReference"/>
        </w:rPr>
        <w:footnoteRef/>
      </w:r>
      <w:r>
        <w:t xml:space="preserve"> A efectos de las comparaciones regionales, en el presente informe se utilizan los grupos regionales de Estados Miembros de las Naciones Unidas (véase </w:t>
      </w:r>
      <w:hyperlink r:id="rId2" w:history="1">
        <w:r>
          <w:rPr>
            <w:rStyle w:val="Hyperlink"/>
          </w:rPr>
          <w:t>www.un.org/dgacm/es/content/regional-groups</w:t>
        </w:r>
      </w:hyperlink>
      <w:r>
        <w:t xml:space="preserve">). </w:t>
      </w:r>
    </w:p>
  </w:footnote>
  <w:footnote w:id="9">
    <w:p w14:paraId="6C13DC29" w14:textId="183A7BE6" w:rsidR="00AE32F3" w:rsidRDefault="00AE32F3" w:rsidP="005F128B">
      <w:pPr>
        <w:pStyle w:val="FootnoteText"/>
      </w:pPr>
      <w:r>
        <w:rPr>
          <w:rStyle w:val="FootnoteReference"/>
        </w:rPr>
        <w:footnoteRef/>
      </w:r>
      <w:r>
        <w:t xml:space="preserve"> Véase https://nbsapaccelerator.org/.</w:t>
      </w:r>
    </w:p>
  </w:footnote>
  <w:footnote w:id="10">
    <w:p w14:paraId="4A384ED4" w14:textId="4D3C4304" w:rsidR="00AE32F3" w:rsidRPr="00347B35" w:rsidRDefault="00AE32F3" w:rsidP="00FA3E4F">
      <w:pPr>
        <w:pStyle w:val="FootnoteText"/>
        <w:rPr>
          <w:u w:val="single"/>
        </w:rPr>
      </w:pPr>
      <w:r>
        <w:rPr>
          <w:rStyle w:val="FootnoteReference"/>
        </w:rPr>
        <w:footnoteRef/>
      </w:r>
      <w:r>
        <w:t xml:space="preserve"> En el documento </w:t>
      </w:r>
      <w:hyperlink r:id="rId3" w:history="1">
        <w:r>
          <w:rPr>
            <w:rStyle w:val="Hyperlink"/>
          </w:rPr>
          <w:t>CBD/SBI/7/INF/22</w:t>
        </w:r>
      </w:hyperlink>
      <w:r>
        <w:t xml:space="preserve"> figura un análisis más detallado de las EPANB.</w:t>
      </w:r>
    </w:p>
  </w:footnote>
  <w:footnote w:id="11">
    <w:p w14:paraId="147927F7" w14:textId="1BE3C666" w:rsidR="00AE32F3" w:rsidRPr="00673184" w:rsidRDefault="00AE32F3">
      <w:pPr>
        <w:pStyle w:val="FootnoteText"/>
        <w:rPr>
          <w:lang w:val="fr-FR"/>
        </w:rPr>
      </w:pPr>
      <w:r>
        <w:rPr>
          <w:rStyle w:val="FootnoteReference"/>
        </w:rPr>
        <w:footnoteRef/>
      </w:r>
      <w:r w:rsidRPr="00673184">
        <w:rPr>
          <w:lang w:val="fr-FR"/>
        </w:rPr>
        <w:t xml:space="preserve"> Disponible en </w:t>
      </w:r>
      <w:r>
        <w:fldChar w:fldCharType="begin"/>
      </w:r>
      <w:r w:rsidRPr="00942359">
        <w:rPr>
          <w:lang w:val="fr-FR"/>
        </w:rPr>
        <w:instrText>HYPERLINK "http://www.cbd.int/notifications/2025-099"</w:instrText>
      </w:r>
      <w:r>
        <w:fldChar w:fldCharType="separate"/>
      </w:r>
      <w:r w:rsidRPr="00673184">
        <w:rPr>
          <w:rStyle w:val="Hyperlink"/>
          <w:lang w:val="fr-FR"/>
        </w:rPr>
        <w:t>www.cbd.int/notifications/2025-099</w:t>
      </w:r>
      <w:r>
        <w:fldChar w:fldCharType="end"/>
      </w:r>
      <w:r w:rsidRPr="00673184">
        <w:rPr>
          <w:lang w:val="fr-FR"/>
        </w:rPr>
        <w:t xml:space="preserve">. </w:t>
      </w:r>
    </w:p>
  </w:footnote>
  <w:footnote w:id="12">
    <w:p w14:paraId="07A3102F" w14:textId="0C3EF7A5"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"https://unbiodiversitylab.org/es/integrated-spatial-planning/mapping-essential-life-support-areas-elsas/"</w:instrText>
      </w:r>
      <w:r>
        <w:fldChar w:fldCharType="separate"/>
      </w:r>
      <w:r w:rsidRPr="00673184">
        <w:rPr>
          <w:rStyle w:val="Hyperlink"/>
          <w:lang w:val="fr-FR"/>
        </w:rPr>
        <w:t>https://unbiodiversitylab.org/es/integrated-spatial-planning/mapping-essential-life-support-areas-elsas/</w:t>
      </w:r>
      <w:r>
        <w:fldChar w:fldCharType="end"/>
      </w:r>
      <w:r w:rsidRPr="00673184">
        <w:rPr>
          <w:lang w:val="fr-FR"/>
        </w:rPr>
        <w:t>.</w:t>
      </w:r>
    </w:p>
  </w:footnote>
  <w:footnote w:id="13">
    <w:p w14:paraId="26EB0113" w14:textId="66AF3E72" w:rsidR="00AE32F3" w:rsidRPr="00673184" w:rsidRDefault="00AE32F3">
      <w:pPr>
        <w:pStyle w:val="FootnoteText"/>
        <w:rPr>
          <w:lang w:val="fr-FR"/>
        </w:rPr>
      </w:pPr>
      <w:r>
        <w:rPr>
          <w:rStyle w:val="FootnoteReference"/>
        </w:rPr>
        <w:footnoteRef/>
      </w:r>
      <w:r w:rsidRPr="00673184">
        <w:rPr>
          <w:lang w:val="fr-FR"/>
        </w:rPr>
        <w:t xml:space="preserve"> Disponible en </w:t>
      </w:r>
      <w:r>
        <w:fldChar w:fldCharType="begin"/>
      </w:r>
      <w:r w:rsidRPr="00942359">
        <w:rPr>
          <w:lang w:val="fr-FR"/>
        </w:rPr>
        <w:instrText>HYPERLINK "http://www.mspglobal2030.org/es/msp-global/"</w:instrText>
      </w:r>
      <w:r>
        <w:fldChar w:fldCharType="separate"/>
      </w:r>
      <w:r w:rsidRPr="00673184">
        <w:rPr>
          <w:rStyle w:val="Hyperlink"/>
          <w:lang w:val="fr-FR"/>
        </w:rPr>
        <w:t>www.mspglobal2030.org/es/msp-global/</w:t>
      </w:r>
      <w:r>
        <w:fldChar w:fldCharType="end"/>
      </w:r>
      <w:r w:rsidRPr="00673184">
        <w:rPr>
          <w:lang w:val="fr-FR"/>
        </w:rPr>
        <w:t>.</w:t>
      </w:r>
    </w:p>
  </w:footnote>
  <w:footnote w:id="14">
    <w:p w14:paraId="7B08F3F0" w14:textId="6BFB7C85"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"https://ferm.fao.org/es"</w:instrText>
      </w:r>
      <w:r>
        <w:fldChar w:fldCharType="separate"/>
      </w:r>
      <w:r w:rsidRPr="00673184">
        <w:rPr>
          <w:rStyle w:val="Hyperlink"/>
          <w:lang w:val="fr-FR"/>
        </w:rPr>
        <w:t>https://ferm.fao.org/es</w:t>
      </w:r>
      <w:r>
        <w:fldChar w:fldCharType="end"/>
      </w:r>
      <w:r w:rsidRPr="00673184">
        <w:rPr>
          <w:lang w:val="fr-FR"/>
        </w:rPr>
        <w:t xml:space="preserve">. </w:t>
      </w:r>
    </w:p>
  </w:footnote>
  <w:footnote w:id="15">
    <w:p w14:paraId="01BB296F" w14:textId="29E4E3BE"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"http://www.decadeonrestoration.org/es"</w:instrText>
      </w:r>
      <w:r>
        <w:fldChar w:fldCharType="separate"/>
      </w:r>
      <w:r w:rsidRPr="00673184">
        <w:rPr>
          <w:rStyle w:val="Hyperlink"/>
          <w:lang w:val="fr-FR"/>
        </w:rPr>
        <w:t>www.decadeonrestoration.org/es</w:t>
      </w:r>
      <w:r>
        <w:fldChar w:fldCharType="end"/>
      </w:r>
      <w:r w:rsidRPr="00673184">
        <w:rPr>
          <w:lang w:val="fr-FR"/>
        </w:rPr>
        <w:t>.</w:t>
      </w:r>
    </w:p>
  </w:footnote>
  <w:footnote w:id="16">
    <w:p w14:paraId="3BFFE679" w14:textId="4D01B961" w:rsidR="00AE32F3" w:rsidRPr="00673184" w:rsidRDefault="00AE32F3" w:rsidP="00F849D0">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"https://ferm.fao.org/es"</w:instrText>
      </w:r>
      <w:r>
        <w:fldChar w:fldCharType="separate"/>
      </w:r>
      <w:r w:rsidRPr="00673184">
        <w:rPr>
          <w:rStyle w:val="Hyperlink"/>
          <w:lang w:val="fr-FR"/>
        </w:rPr>
        <w:t>https://ferm.fao.org/es</w:t>
      </w:r>
      <w:r>
        <w:fldChar w:fldCharType="end"/>
      </w:r>
      <w:r w:rsidRPr="00673184">
        <w:rPr>
          <w:lang w:val="fr-FR"/>
        </w:rPr>
        <w:t>.</w:t>
      </w:r>
    </w:p>
  </w:footnote>
  <w:footnote w:id="17">
    <w:p w14:paraId="6B21BEA7" w14:textId="3DD81CF4" w:rsidR="00AE32F3" w:rsidRPr="00794CFF" w:rsidRDefault="00AE32F3" w:rsidP="00C838D2">
      <w:pPr>
        <w:pStyle w:val="FootnoteText"/>
      </w:pPr>
      <w:r>
        <w:rPr>
          <w:rStyle w:val="FootnoteReference"/>
        </w:rPr>
        <w:footnoteRef/>
      </w:r>
      <w:r>
        <w:t xml:space="preserve"> Es probable que las diferencias entre los datos de los informes nacionales y los de la WDPCA se deban a diferencias metodológicas. Por ejemplo, la agregación de los datos nacionales presentados en el marco del Convenio varía en función de si unos pocos países de gran tamaño, que cuentan con extensos sistemas de áreas protegidas, han proporcionado datos sobre el indicador en sus informes nacionales; además, no todas las Partes han actualizado recientemente sus datos en la WDPCA.</w:t>
      </w:r>
    </w:p>
    <w:p w14:paraId="4858D6A3" w14:textId="089BF6EC" w:rsidR="00AE32F3" w:rsidRDefault="00AE32F3" w:rsidP="00C838D2">
      <w:pPr>
        <w:pStyle w:val="FootnoteText"/>
      </w:pPr>
    </w:p>
  </w:footnote>
  <w:footnote w:id="18">
    <w:p w14:paraId="5EE5BC62" w14:textId="3CDBCBBE" w:rsidR="00AE32F3" w:rsidRDefault="00AE32F3">
      <w:pPr>
        <w:pStyle w:val="FootnoteText"/>
      </w:pPr>
      <w:r>
        <w:rPr>
          <w:rStyle w:val="FootnoteReference"/>
        </w:rPr>
        <w:footnoteRef/>
      </w:r>
      <w:r>
        <w:t xml:space="preserve"> Entre esas herramientas figuran la Herramienta de seguimiento de la eficacia de la gestión, la Herramienta de eficacia del manejo integrado, la Metodología para la evaluación y priorización rápidas del manejo de áreas protegidas, y sus equivalentes nacionales.</w:t>
      </w:r>
    </w:p>
  </w:footnote>
  <w:footnote w:id="19">
    <w:p w14:paraId="5C511F96" w14:textId="56319168" w:rsidR="00AE32F3" w:rsidRPr="006C6FCE" w:rsidRDefault="00AE32F3">
      <w:pPr>
        <w:pStyle w:val="FootnoteText"/>
      </w:pPr>
      <w:r>
        <w:rPr>
          <w:rStyle w:val="FootnoteReference"/>
        </w:rPr>
        <w:footnoteRef/>
      </w:r>
      <w:r>
        <w:t xml:space="preserve"> Disponible en </w:t>
      </w:r>
      <w:hyperlink r:id="rId4" w:history="1">
        <w:r>
          <w:rPr>
            <w:rStyle w:val="Hyperlink"/>
          </w:rPr>
          <w:t>https://www.cms.int/topics/atlas-animal-migration</w:t>
        </w:r>
      </w:hyperlink>
      <w:r>
        <w:t>.</w:t>
      </w:r>
    </w:p>
  </w:footnote>
  <w:footnote w:id="20">
    <w:p w14:paraId="2A941F14" w14:textId="46A43473" w:rsidR="00AE32F3" w:rsidRDefault="00AE32F3">
      <w:pPr>
        <w:pStyle w:val="FootnoteText"/>
      </w:pPr>
      <w:r>
        <w:rPr>
          <w:rStyle w:val="FootnoteReference"/>
        </w:rPr>
        <w:footnoteRef/>
      </w:r>
      <w:r>
        <w:t xml:space="preserve"> Disponible en </w:t>
      </w:r>
      <w:hyperlink r:id="rId5" w:history="1">
        <w:r>
          <w:rPr>
            <w:rStyle w:val="Hyperlink"/>
          </w:rPr>
          <w:t>https://rsis.ramsar.org/</w:t>
        </w:r>
      </w:hyperlink>
      <w:r>
        <w:t>.</w:t>
      </w:r>
    </w:p>
  </w:footnote>
  <w:footnote w:id="21">
    <w:p w14:paraId="4253DD2B" w14:textId="247CE84F" w:rsidR="00AE32F3" w:rsidRDefault="00AE32F3">
      <w:pPr>
        <w:pStyle w:val="FootnoteText"/>
      </w:pPr>
      <w:r>
        <w:rPr>
          <w:rStyle w:val="FootnoteReference"/>
        </w:rPr>
        <w:footnoteRef/>
      </w:r>
      <w:r>
        <w:t xml:space="preserve"> Véase </w:t>
      </w:r>
      <w:hyperlink r:id="rId6" w:history="1">
        <w:r>
          <w:rPr>
            <w:rStyle w:val="Hyperlink"/>
          </w:rPr>
          <w:t>www.fao.org/forestry-fao/wildlife-partnership/en/</w:t>
        </w:r>
      </w:hyperlink>
      <w:r>
        <w:t>.</w:t>
      </w:r>
    </w:p>
  </w:footnote>
  <w:footnote w:id="22">
    <w:p w14:paraId="475CC82B" w14:textId="66E8F1F1"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"http://www.fao.org/in-action/swm-programme/en"</w:instrText>
      </w:r>
      <w:r>
        <w:fldChar w:fldCharType="separate"/>
      </w:r>
      <w:r w:rsidRPr="00673184">
        <w:rPr>
          <w:rStyle w:val="Hyperlink"/>
          <w:lang w:val="fr-FR"/>
        </w:rPr>
        <w:t>www.fao.org/in-action/swm-programme/en</w:t>
      </w:r>
      <w:r>
        <w:fldChar w:fldCharType="end"/>
      </w:r>
      <w:r w:rsidRPr="00673184">
        <w:rPr>
          <w:lang w:val="fr-FR"/>
        </w:rPr>
        <w:t>.</w:t>
      </w:r>
    </w:p>
  </w:footnote>
  <w:footnote w:id="23">
    <w:p w14:paraId="2AD5DA4F" w14:textId="1196A330"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"http://www.cbd.int/invasive/IALG"</w:instrText>
      </w:r>
      <w:r>
        <w:fldChar w:fldCharType="separate"/>
      </w:r>
      <w:r w:rsidRPr="00673184">
        <w:rPr>
          <w:rStyle w:val="Hyperlink"/>
          <w:lang w:val="fr-FR"/>
        </w:rPr>
        <w:t>www.cbd.int/invasive/IALG</w:t>
      </w:r>
      <w:r>
        <w:fldChar w:fldCharType="end"/>
      </w:r>
      <w:r w:rsidRPr="00673184">
        <w:rPr>
          <w:lang w:val="fr-FR"/>
        </w:rPr>
        <w:t>.</w:t>
      </w:r>
    </w:p>
  </w:footnote>
  <w:footnote w:id="24">
    <w:p w14:paraId="00AB22EA" w14:textId="456456E7" w:rsidR="00AE32F3" w:rsidRPr="00673184" w:rsidRDefault="00AE32F3">
      <w:pPr>
        <w:pStyle w:val="FootnoteText"/>
        <w:rPr>
          <w:lang w:val="fr-FR"/>
        </w:rPr>
      </w:pPr>
      <w:r>
        <w:rPr>
          <w:rStyle w:val="FootnoteReference"/>
        </w:rPr>
        <w:footnoteRef/>
      </w:r>
      <w:r w:rsidRPr="00673184">
        <w:rPr>
          <w:lang w:val="fr-FR"/>
        </w:rPr>
        <w:t xml:space="preserve"> Véase en </w:t>
      </w:r>
      <w:r>
        <w:fldChar w:fldCharType="begin"/>
      </w:r>
      <w:r w:rsidRPr="00942359">
        <w:rPr>
          <w:lang w:val="fr-FR"/>
        </w:rPr>
        <w:instrText>HYPERLINK "https://www.unep.org/global-framework-chemicals"</w:instrText>
      </w:r>
      <w:r>
        <w:fldChar w:fldCharType="separate"/>
      </w:r>
      <w:r w:rsidRPr="00673184">
        <w:rPr>
          <w:rStyle w:val="Hyperlink"/>
          <w:lang w:val="fr-FR"/>
        </w:rPr>
        <w:t>https://www.unep.org/global-framework-chemicals</w:t>
      </w:r>
      <w:r>
        <w:fldChar w:fldCharType="end"/>
      </w:r>
      <w:r w:rsidRPr="00673184">
        <w:rPr>
          <w:lang w:val="fr-FR"/>
        </w:rPr>
        <w:t>.</w:t>
      </w:r>
    </w:p>
  </w:footnote>
  <w:footnote w:id="25">
    <w:p w14:paraId="6717C363" w14:textId="0A685475" w:rsidR="00AE32F3" w:rsidRPr="00673184" w:rsidRDefault="00AE32F3">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"http://www.planetgold.org/about"</w:instrText>
      </w:r>
      <w:r>
        <w:fldChar w:fldCharType="separate"/>
      </w:r>
      <w:r w:rsidRPr="00673184">
        <w:rPr>
          <w:rStyle w:val="Hyperlink"/>
          <w:lang w:val="fr-FR"/>
        </w:rPr>
        <w:t>www.planetgold.org/about</w:t>
      </w:r>
      <w:r>
        <w:fldChar w:fldCharType="end"/>
      </w:r>
      <w:r w:rsidRPr="00673184">
        <w:rPr>
          <w:lang w:val="fr-FR"/>
        </w:rPr>
        <w:t>.</w:t>
      </w:r>
    </w:p>
  </w:footnote>
  <w:footnote w:id="26">
    <w:p w14:paraId="09560B31" w14:textId="5F1DD832" w:rsidR="00AE32F3" w:rsidRPr="00673184" w:rsidRDefault="00AE32F3" w:rsidP="00DD2695">
      <w:pPr>
        <w:pStyle w:val="FootnoteText"/>
        <w:rPr>
          <w:lang w:val="fr-FR"/>
        </w:rPr>
      </w:pPr>
      <w:r>
        <w:rPr>
          <w:rStyle w:val="FootnoteReference"/>
        </w:rPr>
        <w:footnoteRef/>
      </w:r>
      <w:r w:rsidRPr="00673184">
        <w:rPr>
          <w:lang w:val="fr-FR"/>
        </w:rPr>
        <w:t xml:space="preserve"> Véase https://rioconventions.org/.</w:t>
      </w:r>
    </w:p>
  </w:footnote>
  <w:footnote w:id="27">
    <w:p w14:paraId="42FDA151" w14:textId="035F8D8A" w:rsidR="00AE32F3" w:rsidRPr="00673184" w:rsidRDefault="00AE32F3" w:rsidP="003875FB">
      <w:pPr>
        <w:pStyle w:val="FootnoteText"/>
        <w:rPr>
          <w:lang w:val="fr-FR"/>
        </w:rPr>
      </w:pPr>
      <w:r>
        <w:rPr>
          <w:rStyle w:val="FootnoteReference"/>
        </w:rPr>
        <w:footnoteRef/>
      </w:r>
      <w:r w:rsidRPr="00673184">
        <w:rPr>
          <w:lang w:val="fr-FR"/>
        </w:rPr>
        <w:t xml:space="preserve"> Véase https://whc.unesco.org/en/reefresilience/.</w:t>
      </w:r>
    </w:p>
    <w:p w14:paraId="38B30CF3" w14:textId="172283B5" w:rsidR="00AE32F3" w:rsidRPr="00673184" w:rsidRDefault="00AE32F3">
      <w:pPr>
        <w:pStyle w:val="FootnoteText"/>
        <w:rPr>
          <w:lang w:val="fr-FR"/>
        </w:rPr>
      </w:pPr>
    </w:p>
  </w:footnote>
  <w:footnote w:id="28">
    <w:p w14:paraId="0C3F607F" w14:textId="77777777" w:rsidR="00AE32F3" w:rsidRPr="00673184" w:rsidRDefault="00AE32F3" w:rsidP="009713BF">
      <w:pPr>
        <w:pStyle w:val="FootnoteText"/>
        <w:rPr>
          <w:lang w:val="fr-FR"/>
        </w:rPr>
      </w:pPr>
      <w:r>
        <w:rPr>
          <w:rStyle w:val="FootnoteReference"/>
        </w:rPr>
        <w:footnoteRef/>
      </w:r>
      <w:r w:rsidRPr="00673184">
        <w:rPr>
          <w:lang w:val="fr-FR"/>
        </w:rPr>
        <w:t xml:space="preserve"> Véase https://cites.org/esp/prog/livelihoods.</w:t>
      </w:r>
    </w:p>
    <w:p w14:paraId="7665A2A7" w14:textId="77777777" w:rsidR="00AE32F3" w:rsidRPr="00673184" w:rsidRDefault="00AE32F3" w:rsidP="009713BF">
      <w:pPr>
        <w:pStyle w:val="FootnoteText"/>
        <w:rPr>
          <w:lang w:val="fr-FR"/>
        </w:rPr>
      </w:pPr>
    </w:p>
  </w:footnote>
  <w:footnote w:id="29">
    <w:p w14:paraId="341DDB8D"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"https://www.fao.org/sustainable-development-goals-data-portal/data/indicators/Indicator2.4.1-proportion-of-agricultural-area-under-productive-and-sustainable-agriculture/es"</w:instrText>
      </w:r>
      <w:r>
        <w:fldChar w:fldCharType="separate"/>
      </w:r>
      <w:r w:rsidRPr="00673184">
        <w:rPr>
          <w:rStyle w:val="Hyperlink"/>
          <w:rFonts w:ascii="Helvetica" w:hAnsi="Helvetica"/>
          <w:lang w:val="fr-FR"/>
        </w:rPr>
        <w:t>https://www.fao.org/sustainable-development-goals-data-portal/data/indicators/Indicator2.4.1-proportion-of-agricultural-area-under-productive-and-sustainable-agriculture/es</w:t>
      </w:r>
      <w:r>
        <w:fldChar w:fldCharType="end"/>
      </w:r>
      <w:r w:rsidRPr="00673184">
        <w:rPr>
          <w:rFonts w:ascii="Helvetica" w:hAnsi="Helvetica"/>
          <w:lang w:val="fr-FR"/>
        </w:rPr>
        <w:t>.</w:t>
      </w:r>
    </w:p>
  </w:footnote>
  <w:footnote w:id="30">
    <w:p w14:paraId="787C85DD"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"http://www.unesco.org/en/soil-initiative"</w:instrText>
      </w:r>
      <w:r>
        <w:fldChar w:fldCharType="separate"/>
      </w:r>
      <w:r w:rsidRPr="00673184">
        <w:rPr>
          <w:rStyle w:val="Hyperlink"/>
          <w:lang w:val="fr-FR"/>
        </w:rPr>
        <w:t>www.unesco.org/en/soil-initiative</w:t>
      </w:r>
      <w:r>
        <w:fldChar w:fldCharType="end"/>
      </w:r>
      <w:r w:rsidRPr="00673184">
        <w:rPr>
          <w:lang w:val="fr-FR"/>
        </w:rPr>
        <w:t>.</w:t>
      </w:r>
    </w:p>
    <w:p w14:paraId="5C2860BA" w14:textId="77777777" w:rsidR="00AE32F3" w:rsidRPr="00673184" w:rsidRDefault="00AE32F3" w:rsidP="009713BF">
      <w:pPr>
        <w:pStyle w:val="FootnoteText"/>
        <w:rPr>
          <w:lang w:val="fr-FR"/>
        </w:rPr>
      </w:pPr>
    </w:p>
  </w:footnote>
  <w:footnote w:id="31">
    <w:p w14:paraId="141399B6" w14:textId="77777777" w:rsidR="00AE32F3" w:rsidRPr="00673184" w:rsidRDefault="00AE32F3" w:rsidP="009713BF">
      <w:pPr>
        <w:pStyle w:val="FootnoteText"/>
        <w:rPr>
          <w:lang w:val="fr-FR"/>
        </w:rPr>
      </w:pPr>
      <w:r>
        <w:rPr>
          <w:rStyle w:val="FootnoteReference"/>
        </w:rPr>
        <w:footnoteRef/>
      </w:r>
      <w:r w:rsidRPr="00673184">
        <w:rPr>
          <w:lang w:val="fr-FR"/>
        </w:rPr>
        <w:t xml:space="preserve"> Disponible en </w:t>
      </w:r>
      <w:r>
        <w:fldChar w:fldCharType="begin"/>
      </w:r>
      <w:r w:rsidRPr="00942359">
        <w:rPr>
          <w:lang w:val="fr-FR"/>
        </w:rPr>
        <w:instrText>HYPERLINK "https://www.fao.org/cgrfa/resources/publications/es"</w:instrText>
      </w:r>
      <w:r>
        <w:fldChar w:fldCharType="separate"/>
      </w:r>
      <w:r w:rsidRPr="00673184">
        <w:rPr>
          <w:rStyle w:val="Hyperlink"/>
          <w:lang w:val="fr-FR"/>
        </w:rPr>
        <w:t>https://www.fao.org/cgrfa/resources/publications/es</w:t>
      </w:r>
      <w:r>
        <w:fldChar w:fldCharType="end"/>
      </w:r>
      <w:r w:rsidRPr="00673184">
        <w:rPr>
          <w:lang w:val="fr-FR"/>
        </w:rPr>
        <w:t>.</w:t>
      </w:r>
    </w:p>
  </w:footnote>
  <w:footnote w:id="32">
    <w:p w14:paraId="4EFCA24C"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"https://seea.un.org/ecosystem-accounting/"</w:instrText>
      </w:r>
      <w:r>
        <w:fldChar w:fldCharType="separate"/>
      </w:r>
      <w:r w:rsidRPr="00673184">
        <w:rPr>
          <w:rStyle w:val="Hyperlink"/>
          <w:lang w:val="fr-FR"/>
        </w:rPr>
        <w:t>https://seea.un.org/ecosystem-accounting/</w:t>
      </w:r>
      <w:r>
        <w:fldChar w:fldCharType="end"/>
      </w:r>
      <w:r w:rsidRPr="00673184">
        <w:rPr>
          <w:lang w:val="fr-FR"/>
        </w:rPr>
        <w:t xml:space="preserve">. </w:t>
      </w:r>
    </w:p>
  </w:footnote>
  <w:footnote w:id="33">
    <w:p w14:paraId="4CEB2CE1" w14:textId="77777777" w:rsidR="00AE32F3" w:rsidRPr="00673184" w:rsidRDefault="00AE32F3" w:rsidP="009713BF">
      <w:pPr>
        <w:pStyle w:val="FootnoteText"/>
        <w:rPr>
          <w:lang w:val="fr-FR"/>
        </w:rPr>
      </w:pPr>
      <w:r>
        <w:rPr>
          <w:rStyle w:val="FootnoteReference"/>
        </w:rPr>
        <w:footnoteRef/>
      </w:r>
      <w:r w:rsidRPr="00673184">
        <w:rPr>
          <w:lang w:val="fr-FR"/>
        </w:rPr>
        <w:t xml:space="preserve"> Disponible en </w:t>
      </w:r>
      <w:r>
        <w:fldChar w:fldCharType="begin"/>
      </w:r>
      <w:r w:rsidRPr="00942359">
        <w:rPr>
          <w:lang w:val="fr-FR"/>
        </w:rPr>
        <w:instrText>HYPERLINK "https://sdgs.unep.org/article/sdg-indicator-1171"</w:instrText>
      </w:r>
      <w:r>
        <w:fldChar w:fldCharType="separate"/>
      </w:r>
      <w:r w:rsidRPr="00673184">
        <w:rPr>
          <w:rStyle w:val="Hyperlink"/>
          <w:lang w:val="fr-FR"/>
        </w:rPr>
        <w:t>https://sdgs.unep.org/article/sdg-indicator-1171</w:t>
      </w:r>
      <w:r>
        <w:fldChar w:fldCharType="end"/>
      </w:r>
      <w:r w:rsidRPr="00673184">
        <w:rPr>
          <w:lang w:val="fr-FR"/>
        </w:rPr>
        <w:t xml:space="preserve">. </w:t>
      </w:r>
    </w:p>
  </w:footnote>
  <w:footnote w:id="34">
    <w:p w14:paraId="75258376"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"https://thecalifund.org/"</w:instrText>
      </w:r>
      <w:r>
        <w:fldChar w:fldCharType="separate"/>
      </w:r>
      <w:r w:rsidRPr="00673184">
        <w:rPr>
          <w:rStyle w:val="Hyperlink"/>
          <w:lang w:val="fr-FR"/>
        </w:rPr>
        <w:t>https://thecalifund.org/</w:t>
      </w:r>
      <w:r>
        <w:fldChar w:fldCharType="end"/>
      </w:r>
      <w:r w:rsidRPr="00673184">
        <w:rPr>
          <w:lang w:val="fr-FR"/>
        </w:rPr>
        <w:t>.</w:t>
      </w:r>
    </w:p>
  </w:footnote>
  <w:footnote w:id="35">
    <w:p w14:paraId="3B3129E6"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"https://bch.cbd.int/protocol"</w:instrText>
      </w:r>
      <w:r>
        <w:fldChar w:fldCharType="separate"/>
      </w:r>
      <w:r w:rsidRPr="00673184">
        <w:rPr>
          <w:rStyle w:val="Hyperlink"/>
          <w:lang w:val="fr-FR"/>
        </w:rPr>
        <w:t>https://bch.cbd.int/protocol</w:t>
      </w:r>
      <w:r>
        <w:fldChar w:fldCharType="end"/>
      </w:r>
      <w:r w:rsidRPr="00673184">
        <w:rPr>
          <w:lang w:val="fr-FR"/>
        </w:rPr>
        <w:t xml:space="preserve">. </w:t>
      </w:r>
    </w:p>
  </w:footnote>
  <w:footnote w:id="36">
    <w:p w14:paraId="682122E9" w14:textId="77777777" w:rsidR="00AE32F3" w:rsidRPr="00673184" w:rsidRDefault="00AE32F3" w:rsidP="009713BF">
      <w:pPr>
        <w:pStyle w:val="FootnoteText"/>
        <w:rPr>
          <w:lang w:val="fr-FR"/>
        </w:rPr>
      </w:pPr>
      <w:r>
        <w:rPr>
          <w:rStyle w:val="FootnoteReference"/>
        </w:rPr>
        <w:footnoteRef/>
      </w:r>
      <w:r w:rsidRPr="00673184">
        <w:rPr>
          <w:lang w:val="fr-FR"/>
        </w:rPr>
        <w:t xml:space="preserve"> Véase https://bch.cbd.int/protocol/supplementary/about.</w:t>
      </w:r>
    </w:p>
  </w:footnote>
  <w:footnote w:id="37">
    <w:p w14:paraId="5A4533FD"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"https://www.wto.org/spanish/news_s/news25_s/fish_15sep25_s.htm"</w:instrText>
      </w:r>
      <w:r>
        <w:fldChar w:fldCharType="separate"/>
      </w:r>
      <w:r w:rsidRPr="00673184">
        <w:rPr>
          <w:rStyle w:val="Hyperlink"/>
          <w:lang w:val="fr-FR"/>
        </w:rPr>
        <w:t>https://www.wto.org/spanish/news_s/news25_s/fish_15sep25_s.htm</w:t>
      </w:r>
      <w:r>
        <w:fldChar w:fldCharType="end"/>
      </w:r>
      <w:r w:rsidRPr="00673184">
        <w:rPr>
          <w:lang w:val="fr-FR"/>
        </w:rPr>
        <w:t>.</w:t>
      </w:r>
    </w:p>
  </w:footnote>
  <w:footnote w:id="38">
    <w:p w14:paraId="2BE8479B"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"https://www.biofin.org/what-we-do/the-biofin-approach/"</w:instrText>
      </w:r>
      <w:r>
        <w:fldChar w:fldCharType="separate"/>
      </w:r>
      <w:r w:rsidRPr="00673184">
        <w:rPr>
          <w:rStyle w:val="Hyperlink"/>
          <w:lang w:val="fr-FR"/>
        </w:rPr>
        <w:t>https://www.biofin.org/what-we-do/the-biofin-approach/</w:t>
      </w:r>
      <w:r>
        <w:fldChar w:fldCharType="end"/>
      </w:r>
      <w:r w:rsidRPr="00673184">
        <w:rPr>
          <w:lang w:val="fr-FR"/>
        </w:rPr>
        <w:t>.</w:t>
      </w:r>
    </w:p>
  </w:footnote>
  <w:footnote w:id="39">
    <w:p w14:paraId="090FBEDB"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"http://www.biofin.org/news-and-media/global-momentum-nature-finance-undps-biodiversity-finance-initiative-helps-countries"</w:instrText>
      </w:r>
      <w:r>
        <w:fldChar w:fldCharType="separate"/>
      </w:r>
      <w:r w:rsidRPr="00673184">
        <w:rPr>
          <w:rStyle w:val="Hyperlink"/>
          <w:lang w:val="fr-FR"/>
        </w:rPr>
        <w:t>www.biofin.org/news-and-media/global-momentum-nature-finance-undps-biodiversity-finance-initiative-helps-countries</w:t>
      </w:r>
      <w:r>
        <w:fldChar w:fldCharType="end"/>
      </w:r>
      <w:r w:rsidRPr="00673184">
        <w:rPr>
          <w:lang w:val="fr-FR"/>
        </w:rPr>
        <w:t>.</w:t>
      </w:r>
    </w:p>
  </w:footnote>
  <w:footnote w:id="40">
    <w:p w14:paraId="3C199E37" w14:textId="77777777" w:rsidR="00AE32F3" w:rsidRPr="00673184" w:rsidRDefault="00AE32F3" w:rsidP="009713BF">
      <w:pPr>
        <w:pStyle w:val="FootnoteText"/>
        <w:rPr>
          <w:lang w:val="fr-FR"/>
        </w:rPr>
      </w:pPr>
      <w:r>
        <w:rPr>
          <w:rStyle w:val="FootnoteReference"/>
        </w:rPr>
        <w:footnoteRef/>
      </w:r>
      <w:r w:rsidRPr="00673184">
        <w:rPr>
          <w:lang w:val="fr-FR"/>
        </w:rPr>
        <w:t xml:space="preserve"> Véase https://nbsapaccelerator.org/.</w:t>
      </w:r>
    </w:p>
  </w:footnote>
  <w:footnote w:id="41">
    <w:p w14:paraId="3DD788D6" w14:textId="77777777" w:rsidR="00AE32F3" w:rsidRPr="00673184" w:rsidRDefault="00AE32F3" w:rsidP="009713BF">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"http://www.gbif.org/the-gbif-network"</w:instrText>
      </w:r>
      <w:r>
        <w:fldChar w:fldCharType="separate"/>
      </w:r>
      <w:r w:rsidRPr="00673184">
        <w:rPr>
          <w:rStyle w:val="Hyperlink"/>
          <w:lang w:val="fr-FR"/>
        </w:rPr>
        <w:t>www.gbif.org/the-gbif-network</w:t>
      </w:r>
      <w:r>
        <w:fldChar w:fldCharType="end"/>
      </w:r>
      <w:r w:rsidRPr="00673184">
        <w:rPr>
          <w:lang w:val="fr-FR"/>
        </w:rPr>
        <w:t xml:space="preserve">. </w:t>
      </w:r>
    </w:p>
  </w:footnote>
  <w:footnote w:id="42">
    <w:p w14:paraId="10A93FF4" w14:textId="77777777" w:rsidR="00AE32F3" w:rsidRPr="00673184" w:rsidRDefault="00AE32F3" w:rsidP="009713BF">
      <w:pPr>
        <w:pStyle w:val="FootnoteText"/>
        <w:rPr>
          <w:lang w:val="fr-FR"/>
        </w:rPr>
      </w:pPr>
      <w:r>
        <w:rPr>
          <w:rStyle w:val="FootnoteReference"/>
        </w:rPr>
        <w:footnoteRef/>
      </w:r>
      <w:r w:rsidRPr="00673184">
        <w:rPr>
          <w:lang w:val="fr-FR"/>
        </w:rPr>
        <w:t xml:space="preserve"> Véase https://obis.org/about/visionmission/.</w:t>
      </w:r>
    </w:p>
  </w:footnote>
  <w:footnote w:id="43">
    <w:p w14:paraId="123E38A0"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"https://global-ecosystems.org/"</w:instrText>
      </w:r>
      <w:r>
        <w:fldChar w:fldCharType="separate"/>
      </w:r>
      <w:r w:rsidRPr="00673184">
        <w:rPr>
          <w:rStyle w:val="Hyperlink"/>
          <w:lang w:val="fr-FR"/>
        </w:rPr>
        <w:t>https://global-ecosystems.org/</w:t>
      </w:r>
      <w:r>
        <w:fldChar w:fldCharType="end"/>
      </w:r>
      <w:r w:rsidRPr="00673184">
        <w:rPr>
          <w:lang w:val="fr-FR"/>
        </w:rPr>
        <w:t xml:space="preserve">. </w:t>
      </w:r>
    </w:p>
  </w:footnote>
  <w:footnote w:id="44">
    <w:p w14:paraId="780F042D" w14:textId="77777777" w:rsidR="00AE32F3" w:rsidRDefault="00AE32F3" w:rsidP="008F15F1">
      <w:pPr>
        <w:pStyle w:val="FootnoteText"/>
      </w:pPr>
      <w:r>
        <w:rPr>
          <w:rStyle w:val="FootnoteReference"/>
        </w:rPr>
        <w:footnoteRef/>
      </w:r>
      <w:r>
        <w:t xml:space="preserve"> Véase https://globalecosystemsatlas.org/.</w:t>
      </w:r>
    </w:p>
  </w:footnote>
  <w:footnote w:id="45">
    <w:p w14:paraId="73201912" w14:textId="77777777" w:rsidR="00AE32F3" w:rsidRDefault="00AE32F3" w:rsidP="008F15F1">
      <w:pPr>
        <w:pStyle w:val="FootnoteText"/>
      </w:pPr>
      <w:r>
        <w:rPr>
          <w:rStyle w:val="FootnoteReference"/>
        </w:rPr>
        <w:footnoteRef/>
      </w:r>
      <w:r>
        <w:t xml:space="preserve"> Véanse </w:t>
      </w:r>
      <w:hyperlink r:id="rId7" w:history="1">
        <w:r>
          <w:rPr>
            <w:rStyle w:val="Hyperlink"/>
          </w:rPr>
          <w:t>www.biodiversa.eu/2024/04/15/ginamo/</w:t>
        </w:r>
      </w:hyperlink>
      <w:r>
        <w:t xml:space="preserve"> y </w:t>
      </w:r>
      <w:hyperlink r:id="rId8" w:tooltip="https://eur02.safelinks.protection.outlook.com/?url=https%3A%2F%2Flinkprotect.cudasvc.com%2Furl%3Fa%3Dhttps%253a%252f%252fginamo.org%252f%26c%3DE%2C1%2CAo2HG0TXKQ4QqqxKyyegEjpGsapiRbFC9LWRymPlvmTMS9e3yqogw661b6uaIk1GiS6N_p5uWTYdRA58rlCcHDobgQLLZ81PbE6xY6y_BOyl" w:history="1">
        <w:r>
          <w:rPr>
            <w:rStyle w:val="Hyperlink"/>
            <w:color w:val="0078D7"/>
          </w:rPr>
          <w:t>https://ginamo.org/</w:t>
        </w:r>
      </w:hyperlink>
      <w:r>
        <w:t xml:space="preserve">. </w:t>
      </w:r>
    </w:p>
  </w:footnote>
  <w:footnote w:id="46">
    <w:p w14:paraId="316EC8F1" w14:textId="77777777" w:rsidR="00AE32F3" w:rsidRDefault="00AE32F3" w:rsidP="008F15F1">
      <w:pPr>
        <w:pStyle w:val="FootnoteText"/>
      </w:pPr>
      <w:r>
        <w:rPr>
          <w:rStyle w:val="FootnoteReference"/>
        </w:rPr>
        <w:footnoteRef/>
      </w:r>
      <w:r>
        <w:t xml:space="preserve"> La OCDE hace un seguimiento de la financiación pública internacional relacionada con la biodiversidad a través del Sistema de Notificación de los Países Acreedores del Comité de Asistencia para el Desarrollo, incluido su marcador de Río sobre biodiversidad, y se publican síntesis periódicas en la serie de la OCDE titulada </w:t>
      </w:r>
      <w:r>
        <w:rPr>
          <w:i/>
          <w:iCs/>
        </w:rPr>
        <w:t>Biodiversidad y Financiamiento para el Desarrollo</w:t>
      </w:r>
      <w:r>
        <w:t xml:space="preserve"> (véase, por ejemplo, OCDE, 2026). Esas publicaciones tienen un desfase de aproximadamente dos años entre el año de referencia de los datos y el año de publicación.</w:t>
      </w:r>
      <w:r>
        <w:rPr>
          <w:rFonts w:ascii="Aptos" w:hAnsi="Aptos"/>
        </w:rPr>
        <w:t xml:space="preserve"> Por lo tanto, aún no se dispone de datos completos para 2024 y 2025 (año establecido como hito).</w:t>
      </w:r>
    </w:p>
  </w:footnote>
  <w:footnote w:id="47">
    <w:p w14:paraId="021F93B5" w14:textId="77777777" w:rsidR="00AE32F3" w:rsidRDefault="00AE32F3" w:rsidP="008F15F1">
      <w:pPr>
        <w:pStyle w:val="FootnoteText"/>
      </w:pPr>
      <w:r>
        <w:rPr>
          <w:rStyle w:val="FootnoteReference"/>
        </w:rPr>
        <w:footnoteRef/>
      </w:r>
      <w:r>
        <w:t xml:space="preserve"> La información que se presenta en esta sección del informe mundial procede principalmente de las comunicaciones presentadas por las secretarías de los AAM y otras organizaciones y procesos internacionales en respuesta a la notificación núm. 2025-099 del Convenio. Las comunicaciones completas están disponibles en el enlace siguiente: </w:t>
      </w:r>
      <w:hyperlink r:id="rId9" w:history="1">
        <w:r>
          <w:rPr>
            <w:rStyle w:val="Hyperlink"/>
          </w:rPr>
          <w:t>https://www.cbd.int/notifications/2025-099</w:t>
        </w:r>
      </w:hyperlink>
      <w:r>
        <w:t xml:space="preserve">. Se recibieron comunicaciones de nueve secretarías de acuerdos ambientales multilaterales, cinco organizaciones de las Naciones Unidas, siete organizaciones intergubernamentales, siete organizaciones no gubernamentales, dos redes de investigación y una organización de mujeres. </w:t>
      </w:r>
    </w:p>
  </w:footnote>
  <w:footnote w:id="48">
    <w:p w14:paraId="1072252E"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"https://www.unep.org/environmentassembly/unea7/mea-day"</w:instrText>
      </w:r>
      <w:r>
        <w:fldChar w:fldCharType="separate"/>
      </w:r>
      <w:r w:rsidRPr="00673184">
        <w:rPr>
          <w:rStyle w:val="Hyperlink"/>
          <w:lang w:val="fr-FR"/>
        </w:rPr>
        <w:t>https://www.unep.org/environmentassembly/unea7/mea-day</w:t>
      </w:r>
      <w:r>
        <w:fldChar w:fldCharType="end"/>
      </w:r>
      <w:r w:rsidRPr="00673184">
        <w:rPr>
          <w:lang w:val="fr-FR"/>
        </w:rPr>
        <w:t xml:space="preserve">. </w:t>
      </w:r>
    </w:p>
  </w:footnote>
  <w:footnote w:id="49">
    <w:p w14:paraId="0608FF74" w14:textId="77777777" w:rsidR="00AE32F3" w:rsidRDefault="00AE32F3" w:rsidP="008F15F1">
      <w:pPr>
        <w:pStyle w:val="FootnoteText"/>
      </w:pPr>
      <w:r>
        <w:rPr>
          <w:rStyle w:val="FootnoteReference"/>
        </w:rPr>
        <w:footnoteRef/>
      </w:r>
      <w:r w:rsidRPr="00673184">
        <w:rPr>
          <w:lang w:val="fr-FR"/>
        </w:rPr>
        <w:t xml:space="preserve"> Véase </w:t>
      </w:r>
      <w:r>
        <w:fldChar w:fldCharType="begin"/>
      </w:r>
      <w:r w:rsidRPr="00942359">
        <w:rPr>
          <w:lang w:val="fr-FR"/>
        </w:rPr>
        <w:instrText>HYPERLINK "http://www.cbd.int/blg"</w:instrText>
      </w:r>
      <w:r>
        <w:fldChar w:fldCharType="separate"/>
      </w:r>
      <w:r w:rsidRPr="00673184">
        <w:rPr>
          <w:rStyle w:val="Hyperlink"/>
          <w:lang w:val="fr-FR"/>
        </w:rPr>
        <w:t>https://www.cbd.int/blg</w:t>
      </w:r>
      <w:r>
        <w:fldChar w:fldCharType="end"/>
      </w:r>
      <w:r w:rsidRPr="00673184">
        <w:rPr>
          <w:lang w:val="fr-FR"/>
        </w:rPr>
        <w:t xml:space="preserve">. </w:t>
      </w:r>
      <w:r>
        <w:t>Los convenios que integran este grupo son los siguientes: la Comisión Ballenera Internacional; la Convención Internacional de Protección Fitosanitaria (CIPF); la Convención para la Protección del Patrimonio Mundial Cultural y Natural (Convención del Patrimonio Mundial); la Convención relativa a los Humedales de Importancia Internacional Especialmente como Hábitat de Aves Acuáticas; la Convención sobre el Comercio Internacional de Especies Amenazadas de Fauna y Flora Silvestres (CITES); la Convención sobre la Conservación de las Especies Migratorias de Animales Silvestres (CMS); el Convenio sobre la Diversidad Biológica y el Tratado Internacional sobre los Recursos Fitogenéticos para la Alimentación y la Agricultura (TIRFAA).</w:t>
      </w:r>
    </w:p>
  </w:footnote>
  <w:footnote w:id="50">
    <w:p w14:paraId="223CAFED"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"https://rioconventions.org/joint-liaison-group-rio-conventions"</w:instrText>
      </w:r>
      <w:r>
        <w:fldChar w:fldCharType="separate"/>
      </w:r>
      <w:r w:rsidRPr="00673184">
        <w:rPr>
          <w:rStyle w:val="Hyperlink"/>
          <w:lang w:val="fr-FR"/>
        </w:rPr>
        <w:t>https://rioconventions.org/joint-liaison-group-rio-conventions</w:t>
      </w:r>
      <w:r>
        <w:fldChar w:fldCharType="end"/>
      </w:r>
      <w:r w:rsidRPr="00673184">
        <w:rPr>
          <w:lang w:val="fr-FR"/>
        </w:rPr>
        <w:t>.</w:t>
      </w:r>
    </w:p>
  </w:footnote>
  <w:footnote w:id="51">
    <w:p w14:paraId="0D35E613"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"https://rioconventions.org/case-studies"</w:instrText>
      </w:r>
      <w:r>
        <w:fldChar w:fldCharType="separate"/>
      </w:r>
      <w:r w:rsidRPr="00673184">
        <w:rPr>
          <w:rStyle w:val="Hyperlink"/>
          <w:lang w:val="fr-FR"/>
        </w:rPr>
        <w:t>https://rioconventions.org/case-studies</w:t>
      </w:r>
      <w:r>
        <w:fldChar w:fldCharType="end"/>
      </w:r>
      <w:r w:rsidRPr="00673184">
        <w:rPr>
          <w:lang w:val="fr-FR"/>
        </w:rPr>
        <w:t>.</w:t>
      </w:r>
    </w:p>
  </w:footnote>
  <w:footnote w:id="52">
    <w:p w14:paraId="67C82B9C"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"http://www.cop28.com/en/joint-statement-on-climate-nature"</w:instrText>
      </w:r>
      <w:r>
        <w:fldChar w:fldCharType="separate"/>
      </w:r>
      <w:r w:rsidRPr="00673184">
        <w:rPr>
          <w:rStyle w:val="Hyperlink"/>
          <w:lang w:val="fr-FR"/>
        </w:rPr>
        <w:t>www.cop28.com/en/joint-statement-on-climate-nature</w:t>
      </w:r>
      <w:r>
        <w:fldChar w:fldCharType="end"/>
      </w:r>
      <w:r w:rsidRPr="00673184">
        <w:rPr>
          <w:lang w:val="fr-FR"/>
        </w:rPr>
        <w:t>.</w:t>
      </w:r>
    </w:p>
  </w:footnote>
  <w:footnote w:id="53">
    <w:p w14:paraId="053DEF2B"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"http://www.unccd.int/resources/other/belem-joint-statement-rio-conventions"</w:instrText>
      </w:r>
      <w:r>
        <w:fldChar w:fldCharType="separate"/>
      </w:r>
      <w:r w:rsidRPr="00673184">
        <w:rPr>
          <w:rStyle w:val="Hyperlink"/>
          <w:lang w:val="fr-FR"/>
        </w:rPr>
        <w:t>https://www.cop28.com/en/joint-statement-on-climate-nature</w:t>
      </w:r>
      <w:r>
        <w:fldChar w:fldCharType="end"/>
      </w:r>
      <w:r w:rsidRPr="00673184">
        <w:rPr>
          <w:lang w:val="fr-FR"/>
        </w:rPr>
        <w:t xml:space="preserve">. </w:t>
      </w:r>
    </w:p>
  </w:footnote>
  <w:footnote w:id="54">
    <w:p w14:paraId="340D02E3" w14:textId="77777777" w:rsidR="00AE32F3" w:rsidRPr="00673184" w:rsidRDefault="00AE32F3" w:rsidP="008F15F1">
      <w:pPr>
        <w:pStyle w:val="FootnoteText"/>
        <w:rPr>
          <w:lang w:val="fr-FR"/>
        </w:rPr>
      </w:pPr>
      <w:r>
        <w:rPr>
          <w:rStyle w:val="FootnoteReference"/>
        </w:rPr>
        <w:footnoteRef/>
      </w:r>
      <w:r w:rsidRPr="00673184">
        <w:rPr>
          <w:lang w:val="fr-FR"/>
        </w:rPr>
        <w:t xml:space="preserve"> Véase https://cites.org/esp/documents/Strategic_vision.</w:t>
      </w:r>
    </w:p>
  </w:footnote>
  <w:footnote w:id="55">
    <w:p w14:paraId="72349621"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"file:///D:\\https:\\www.fao.org\\biodiversity\\knowledge-hub\\es"</w:instrText>
      </w:r>
      <w:r>
        <w:fldChar w:fldCharType="separate"/>
      </w:r>
      <w:r w:rsidRPr="00673184">
        <w:rPr>
          <w:rStyle w:val="Hyperlink"/>
          <w:lang w:val="fr-FR"/>
        </w:rPr>
        <w:t>https://www.fao.org/biodiversity/knowledge-hub/</w:t>
      </w:r>
      <w:r>
        <w:fldChar w:fldCharType="end"/>
      </w:r>
      <w:r w:rsidRPr="00673184">
        <w:rPr>
          <w:lang w:val="fr-FR"/>
        </w:rPr>
        <w:t xml:space="preserve">. </w:t>
      </w:r>
    </w:p>
  </w:footnote>
  <w:footnote w:id="56">
    <w:p w14:paraId="66705DC2" w14:textId="77777777" w:rsidR="00AE32F3" w:rsidRPr="00673184" w:rsidRDefault="00AE32F3" w:rsidP="008F15F1">
      <w:pPr>
        <w:pStyle w:val="FootnoteText"/>
        <w:rPr>
          <w:lang w:val="fr-FR"/>
        </w:rPr>
      </w:pPr>
      <w:r>
        <w:rPr>
          <w:rStyle w:val="FootnoteReference"/>
        </w:rPr>
        <w:footnoteRef/>
      </w:r>
      <w:r w:rsidRPr="00673184">
        <w:rPr>
          <w:lang w:val="fr-FR"/>
        </w:rPr>
        <w:t xml:space="preserve"> Véase </w:t>
      </w:r>
      <w:r>
        <w:fldChar w:fldCharType="begin"/>
      </w:r>
      <w:r w:rsidRPr="00942359">
        <w:rPr>
          <w:lang w:val="fr-FR"/>
        </w:rPr>
        <w:instrText>HYPERLINK "http://www.iso.org/biodiversity"</w:instrText>
      </w:r>
      <w:r>
        <w:fldChar w:fldCharType="separate"/>
      </w:r>
      <w:r w:rsidRPr="00673184">
        <w:rPr>
          <w:rStyle w:val="Hyperlink"/>
          <w:lang w:val="fr-FR"/>
        </w:rPr>
        <w:t>https://www.iso.org/biodiversity</w:t>
      </w:r>
      <w:r>
        <w:fldChar w:fldCharType="end"/>
      </w:r>
      <w:r w:rsidRPr="00673184">
        <w:rPr>
          <w:lang w:val="fr-FR"/>
        </w:rPr>
        <w:t xml:space="preserve">. </w:t>
      </w:r>
    </w:p>
  </w:footnote>
  <w:footnote w:id="57">
    <w:p w14:paraId="7FC9B95C" w14:textId="77777777" w:rsidR="00AE32F3" w:rsidRPr="00673184" w:rsidRDefault="00AE32F3" w:rsidP="008F15F1">
      <w:pPr>
        <w:pStyle w:val="FootnoteText"/>
        <w:rPr>
          <w:lang w:val="fr-FR"/>
        </w:rPr>
      </w:pPr>
      <w:r>
        <w:rPr>
          <w:rStyle w:val="FootnoteReference"/>
        </w:rPr>
        <w:footnoteRef/>
      </w:r>
      <w:r w:rsidRPr="00673184">
        <w:rPr>
          <w:lang w:val="fr-FR"/>
        </w:rPr>
        <w:t xml:space="preserve"> Véase 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3B7E" w14:textId="4C212A55" w:rsidR="00034F1A" w:rsidRPr="006E2E8E" w:rsidRDefault="00034F1A" w:rsidP="000F62FC">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64384" behindDoc="1" locked="0" layoutInCell="0" allowOverlap="1" wp14:anchorId="3CD62160" wp14:editId="7DCB3DD5">
              <wp:simplePos x="0" y="0"/>
              <wp:positionH relativeFrom="margin">
                <wp:align>center</wp:align>
              </wp:positionH>
              <wp:positionV relativeFrom="margin">
                <wp:align>center</wp:align>
              </wp:positionV>
              <wp:extent cx="6835140" cy="1242695"/>
              <wp:effectExtent l="0" t="0" r="0" b="0"/>
              <wp:wrapNone/>
              <wp:docPr id="16806936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029E2B" w14:textId="77777777" w:rsidR="00034F1A" w:rsidRDefault="00034F1A" w:rsidP="00034F1A">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CD62160" id="_x0000_t202" coordsize="21600,21600" o:spt="202" path="m,l,21600r21600,l21600,xe">
              <v:stroke joinstyle="miter"/>
              <v:path gradientshapeok="t" o:connecttype="rect"/>
            </v:shapetype>
            <v:shape id="PowerPlusWaterMarkObject153505105" o:spid="_x0000_s1026" type="#_x0000_t202" style="position:absolute;margin-left:0;margin-top:0;width:538.2pt;height:97.85pt;rotation:-45;z-index:-251652096;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" o:allowincell="f" filled="f" stroked="f">
              <v:stroke joinstyle="round"/>
              <o:lock v:ext="edit" rotation="t" aspectratio="t" verticies="t" adjusthandles="t" grouping="t" shapetype="t"/>
              <v:textbox>
                <w:txbxContent>
                  <w:p w14:paraId="66029E2B" w14:textId="77777777" w:rsidR="00034F1A" w:rsidRDefault="00034F1A" w:rsidP="00034F1A">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10F807D7" w14:textId="69AA1435" w:rsidR="00B0328A" w:rsidRDefault="00B0328A" w:rsidP="00034F1A">
    <w:pPr>
      <w:pStyle w:val="Header"/>
      <w:tabs>
        <w:tab w:val="clear" w:pos="4513"/>
        <w:tab w:val="clear" w:pos="9026"/>
        <w:tab w:val="left" w:pos="78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DF67" w14:textId="77777777" w:rsidR="004E07E8" w:rsidRPr="006E2E8E" w:rsidRDefault="004E07E8" w:rsidP="004E07E8">
    <w:pPr>
      <w:pStyle w:val="Header"/>
      <w:pBdr>
        <w:bottom w:val="single" w:sz="4" w:space="1" w:color="auto"/>
      </w:pBdr>
      <w:jc w:val="right"/>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66432" behindDoc="1" locked="0" layoutInCell="0" allowOverlap="1" wp14:anchorId="52C33900" wp14:editId="266E92E3">
              <wp:simplePos x="0" y="0"/>
              <wp:positionH relativeFrom="margin">
                <wp:align>center</wp:align>
              </wp:positionH>
              <wp:positionV relativeFrom="margin">
                <wp:align>center</wp:align>
              </wp:positionV>
              <wp:extent cx="6835140" cy="1242695"/>
              <wp:effectExtent l="0" t="0" r="0" b="0"/>
              <wp:wrapNone/>
              <wp:docPr id="275804818"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0358A7" w14:textId="77777777" w:rsidR="004E07E8" w:rsidRDefault="004E07E8" w:rsidP="004E07E8">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2C33900" id="_x0000_t202" coordsize="21600,21600" o:spt="202" path="m,l,21600r21600,l21600,xe">
              <v:stroke joinstyle="miter"/>
              <v:path gradientshapeok="t" o:connecttype="rect"/>
            </v:shapetype>
            <v:shape id="_x0000_s1027" type="#_x0000_t202" style="position:absolute;left:0;text-align:left;margin-left:0;margin-top:0;width:538.2pt;height:97.85pt;rotation:-45;z-index:-251650048;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gkHQ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" o:allowincell="f" filled="f" stroked="f">
              <v:stroke joinstyle="round"/>
              <o:lock v:ext="edit" rotation="t" aspectratio="t" verticies="t" adjusthandles="t" grouping="t" shapetype="t"/>
              <v:textbox>
                <w:txbxContent>
                  <w:p w14:paraId="580358A7" w14:textId="77777777" w:rsidR="004E07E8" w:rsidRDefault="004E07E8" w:rsidP="004E07E8">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6C853A9F" w14:textId="77777777" w:rsidR="00AE32F3" w:rsidRDefault="00AE32F3">
    <w:pPr>
      <w:pStyle w:val="Header"/>
    </w:pPr>
    <w:r>
      <w:rPr>
        <w:noProof/>
        <w:lang w:val="en-US"/>
      </w:rPr>
      <mc:AlternateContent>
        <mc:Choice Requires="wps">
          <w:drawing>
            <wp:anchor distT="0" distB="0" distL="114300" distR="114300" simplePos="0" relativeHeight="251660288" behindDoc="1" locked="0" layoutInCell="0" allowOverlap="1" wp14:anchorId="7C19E107" wp14:editId="07DABB23">
              <wp:simplePos x="0" y="0"/>
              <wp:positionH relativeFrom="margin">
                <wp:align>center</wp:align>
              </wp:positionH>
              <wp:positionV relativeFrom="margin">
                <wp:align>center</wp:align>
              </wp:positionV>
              <wp:extent cx="6835140" cy="1242695"/>
              <wp:effectExtent l="0" t="0" r="0" b="0"/>
              <wp:wrapNone/>
              <wp:docPr id="2"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D8EF1C" w14:textId="77777777" w:rsidR="00AE32F3" w:rsidRDefault="00AE32F3" w:rsidP="009E4F21">
                          <w:pPr>
                            <w:jc w:val="center"/>
                            <w:rPr>
                              <w:rFonts w:ascii="Calibri" w:hAnsi="Calibri" w:cs="Calibri"/>
                              <w:color w:val="D1D1D1" w:themeColor="background2" w:themeShade="E6"/>
                              <w:kern w:val="0"/>
                              <w:sz w:val="16"/>
                              <w:szCs w:val="16"/>
                              <w14:ligatures w14:val="none"/>
                            </w:rPr>
                          </w:pPr>
                          <w:r>
                            <w:rPr>
                              <w:rFonts w:ascii="Calibri" w:hAnsi="Calibri"/>
                              <w:color w:val="D1D1D1" w:themeColor="background2" w:themeShade="E6"/>
                              <w:sz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C19E107" id="_x0000_s1028" type="#_x0000_t202" style="position:absolute;margin-left:0;margin-top:0;width:538.2pt;height:97.85pt;rotation:-45;z-index:-251656192;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vEHw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VFxwk0Md+AOCD3FhNY0fBjx7xEt3fmFjCw6J7yYJ4w4kuf1Z8IrLsn5l1PISL7VXNKYOaR&#10;oyiIZSYZIp4RyDQY7D1ryCQ7cWTaH+45H1HTtxaW6KLSWdCFZy8Is5h19v9NCvuv7/nU5e9e/AQ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gK3LxB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78D8EF1C" w14:textId="77777777" w:rsidR="00AE32F3" w:rsidRDefault="00AE32F3" w:rsidP="009E4F21">
                    <w:pPr>
                      <w:jc w:val="center"/>
                      <w:rPr>
                        <w:rFonts w:ascii="Calibri" w:hAnsi="Calibri" w:cs="Calibri"/>
                        <w:color w:val="D1D1D1" w:themeColor="background2" w:themeShade="E6"/>
                        <w:kern w:val="0"/>
                        <w:sz w:val="16"/>
                        <w:szCs w:val="16"/>
                        <w14:ligatures w14:val="none"/>
                      </w:rPr>
                    </w:pPr>
                    <w:r>
                      <w:rPr>
                        <w:rFonts w:ascii="Calibri" w:hAnsi="Calibri"/>
                        <w:color w:val="D1D1D1" w:themeColor="background2" w:themeShade="E6"/>
                        <w:sz w:val="16"/>
                      </w:rPr>
                      <w:t>Draft for review</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9468" w14:textId="77777777" w:rsidR="009A549C" w:rsidRPr="006E2E8E" w:rsidRDefault="009A549C" w:rsidP="009A549C">
    <w:pPr>
      <w:pStyle w:val="Header"/>
      <w:pBdr>
        <w:bottom w:val="single" w:sz="4" w:space="1" w:color="auto"/>
      </w:pBdr>
      <w:jc w:val="right"/>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68480" behindDoc="1" locked="0" layoutInCell="0" allowOverlap="1" wp14:anchorId="63DB20A9" wp14:editId="6880ED27">
              <wp:simplePos x="0" y="0"/>
              <wp:positionH relativeFrom="margin">
                <wp:align>center</wp:align>
              </wp:positionH>
              <wp:positionV relativeFrom="margin">
                <wp:align>center</wp:align>
              </wp:positionV>
              <wp:extent cx="6835140" cy="1242695"/>
              <wp:effectExtent l="0" t="0" r="0" b="0"/>
              <wp:wrapNone/>
              <wp:docPr id="2024563314"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91C805" w14:textId="77777777" w:rsidR="009A549C" w:rsidRDefault="009A549C" w:rsidP="009A549C">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3DB20A9" id="_x0000_t202" coordsize="21600,21600" o:spt="202" path="m,l,21600r21600,l21600,xe">
              <v:stroke joinstyle="miter"/>
              <v:path gradientshapeok="t" o:connecttype="rect"/>
            </v:shapetype>
            <v:shape id="_x0000_s1029" type="#_x0000_t202" style="position:absolute;left:0;text-align:left;margin-left:0;margin-top:0;width:538.2pt;height:97.85pt;rotation:-45;z-index:-25164800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FPEKmx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2D91C805" w14:textId="77777777" w:rsidR="009A549C" w:rsidRDefault="009A549C" w:rsidP="009A549C">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44630935" w14:textId="77777777" w:rsidR="00AE32F3" w:rsidRDefault="00AE32F3">
    <w:pPr>
      <w:pStyle w:val="Header"/>
    </w:pPr>
    <w:r>
      <w:rPr>
        <w:noProof/>
        <w:lang w:val="en-US"/>
      </w:rPr>
      <mc:AlternateContent>
        <mc:Choice Requires="wps">
          <w:drawing>
            <wp:anchor distT="0" distB="0" distL="114300" distR="114300" simplePos="0" relativeHeight="251658240" behindDoc="1" locked="0" layoutInCell="0" allowOverlap="1" wp14:anchorId="2665006F" wp14:editId="1147745C">
              <wp:simplePos x="0" y="0"/>
              <wp:positionH relativeFrom="margin">
                <wp:align>center</wp:align>
              </wp:positionH>
              <wp:positionV relativeFrom="margin">
                <wp:align>center</wp:align>
              </wp:positionV>
              <wp:extent cx="6835140" cy="1242695"/>
              <wp:effectExtent l="0" t="0" r="0" b="0"/>
              <wp:wrapNone/>
              <wp:docPr id="28090429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99493C" w14:textId="77777777" w:rsidR="00AE32F3" w:rsidRDefault="00AE32F3" w:rsidP="009E4F21">
                          <w:pPr>
                            <w:jc w:val="center"/>
                            <w:rPr>
                              <w:rFonts w:ascii="Calibri" w:hAnsi="Calibri" w:cs="Calibri"/>
                              <w:color w:val="D1D1D1" w:themeColor="background2" w:themeShade="E6"/>
                              <w:kern w:val="0"/>
                              <w:sz w:val="16"/>
                              <w:szCs w:val="16"/>
                              <w14:ligatures w14:val="none"/>
                            </w:rPr>
                          </w:pPr>
                          <w:r>
                            <w:rPr>
                              <w:rFonts w:ascii="Calibri" w:hAnsi="Calibri"/>
                              <w:color w:val="D1D1D1" w:themeColor="background2" w:themeShade="E6"/>
                              <w:sz w:val="16"/>
                              <w:szCs w:val="16"/>
                            </w:rPr>
                            <w:t>Proyecto para revisión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665006F" id="_x0000_s1030" type="#_x0000_t202" style="position:absolute;margin-left:0;margin-top:0;width:538.2pt;height:97.85pt;rotation:-45;z-index:-25165824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uWA93x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2A99493C" w14:textId="77777777" w:rsidR="00AE32F3" w:rsidRDefault="00AE32F3" w:rsidP="009E4F21">
                    <w:pPr>
                      <w:jc w:val="center"/>
                      <w:rPr>
                        <w:rFonts w:ascii="Calibri" w:hAnsi="Calibri" w:cs="Calibri"/>
                        <w:color w:val="D1D1D1" w:themeColor="background2" w:themeShade="E6"/>
                        <w:kern w:val="0"/>
                        <w:sz w:val="16"/>
                        <w:szCs w:val="16"/>
                        <w14:ligatures w14:val="none"/>
                      </w:rPr>
                    </w:pPr>
                    <w:r>
                      <w:rPr>
                        <w:rFonts w:ascii="Calibri" w:hAnsi="Calibri"/>
                        <w:color w:val="D1D1D1" w:themeColor="background2" w:themeShade="E6"/>
                        <w:sz w:val="16"/>
                        <w:szCs w:val="16"/>
                      </w:rPr>
                      <w:t>Proyecto para revisión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hybridMultilevel"/>
    <w:tmpl w:val="BE5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0469"/>
    <w:multiLevelType w:val="hybridMultilevel"/>
    <w:tmpl w:val="6B8068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20D52"/>
    <w:multiLevelType w:val="hybridMultilevel"/>
    <w:tmpl w:val="4BBC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A5A2C"/>
    <w:multiLevelType w:val="hybridMultilevel"/>
    <w:tmpl w:val="05CEF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6" w15:restartNumberingAfterBreak="0">
    <w:nsid w:val="1124575E"/>
    <w:multiLevelType w:val="hybridMultilevel"/>
    <w:tmpl w:val="01F8D44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3B52A91"/>
    <w:multiLevelType w:val="hybridMultilevel"/>
    <w:tmpl w:val="8F121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25449"/>
    <w:multiLevelType w:val="multilevel"/>
    <w:tmpl w:val="897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02249"/>
    <w:multiLevelType w:val="hybridMultilevel"/>
    <w:tmpl w:val="168EA8E6"/>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01B180"/>
    <w:multiLevelType w:val="hybridMultilevel"/>
    <w:tmpl w:val="FFFFFFFF"/>
    <w:lvl w:ilvl="0" w:tplc="7E88943C">
      <w:start w:val="1"/>
      <w:numFmt w:val="bullet"/>
      <w:lvlText w:val=""/>
      <w:lvlJc w:val="left"/>
      <w:pPr>
        <w:ind w:left="720" w:hanging="360"/>
      </w:pPr>
      <w:rPr>
        <w:rFonts w:ascii="Symbol" w:hAnsi="Symbol" w:hint="default"/>
      </w:rPr>
    </w:lvl>
    <w:lvl w:ilvl="1" w:tplc="6D3C101C">
      <w:start w:val="1"/>
      <w:numFmt w:val="bullet"/>
      <w:lvlText w:val="o"/>
      <w:lvlJc w:val="left"/>
      <w:pPr>
        <w:ind w:left="1440" w:hanging="360"/>
      </w:pPr>
      <w:rPr>
        <w:rFonts w:ascii="Courier New" w:hAnsi="Courier New" w:hint="default"/>
      </w:rPr>
    </w:lvl>
    <w:lvl w:ilvl="2" w:tplc="5ECC4EC2">
      <w:start w:val="1"/>
      <w:numFmt w:val="bullet"/>
      <w:lvlText w:val=""/>
      <w:lvlJc w:val="left"/>
      <w:pPr>
        <w:ind w:left="2160" w:hanging="360"/>
      </w:pPr>
      <w:rPr>
        <w:rFonts w:ascii="Wingdings" w:hAnsi="Wingdings" w:hint="default"/>
      </w:rPr>
    </w:lvl>
    <w:lvl w:ilvl="3" w:tplc="BFCC791C">
      <w:start w:val="1"/>
      <w:numFmt w:val="bullet"/>
      <w:lvlText w:val=""/>
      <w:lvlJc w:val="left"/>
      <w:pPr>
        <w:ind w:left="2880" w:hanging="360"/>
      </w:pPr>
      <w:rPr>
        <w:rFonts w:ascii="Symbol" w:hAnsi="Symbol" w:hint="default"/>
      </w:rPr>
    </w:lvl>
    <w:lvl w:ilvl="4" w:tplc="87B847AE">
      <w:start w:val="1"/>
      <w:numFmt w:val="bullet"/>
      <w:lvlText w:val="o"/>
      <w:lvlJc w:val="left"/>
      <w:pPr>
        <w:ind w:left="3600" w:hanging="360"/>
      </w:pPr>
      <w:rPr>
        <w:rFonts w:ascii="Courier New" w:hAnsi="Courier New" w:hint="default"/>
      </w:rPr>
    </w:lvl>
    <w:lvl w:ilvl="5" w:tplc="65000606">
      <w:start w:val="1"/>
      <w:numFmt w:val="bullet"/>
      <w:lvlText w:val=""/>
      <w:lvlJc w:val="left"/>
      <w:pPr>
        <w:ind w:left="4320" w:hanging="360"/>
      </w:pPr>
      <w:rPr>
        <w:rFonts w:ascii="Wingdings" w:hAnsi="Wingdings" w:hint="default"/>
      </w:rPr>
    </w:lvl>
    <w:lvl w:ilvl="6" w:tplc="9420FC5C">
      <w:start w:val="1"/>
      <w:numFmt w:val="bullet"/>
      <w:lvlText w:val=""/>
      <w:lvlJc w:val="left"/>
      <w:pPr>
        <w:ind w:left="5040" w:hanging="360"/>
      </w:pPr>
      <w:rPr>
        <w:rFonts w:ascii="Symbol" w:hAnsi="Symbol" w:hint="default"/>
      </w:rPr>
    </w:lvl>
    <w:lvl w:ilvl="7" w:tplc="E3D2B1DC">
      <w:start w:val="1"/>
      <w:numFmt w:val="bullet"/>
      <w:lvlText w:val="o"/>
      <w:lvlJc w:val="left"/>
      <w:pPr>
        <w:ind w:left="5760" w:hanging="360"/>
      </w:pPr>
      <w:rPr>
        <w:rFonts w:ascii="Courier New" w:hAnsi="Courier New" w:hint="default"/>
      </w:rPr>
    </w:lvl>
    <w:lvl w:ilvl="8" w:tplc="EE68AB1C">
      <w:start w:val="1"/>
      <w:numFmt w:val="bullet"/>
      <w:lvlText w:val=""/>
      <w:lvlJc w:val="left"/>
      <w:pPr>
        <w:ind w:left="6480" w:hanging="360"/>
      </w:pPr>
      <w:rPr>
        <w:rFonts w:ascii="Wingdings" w:hAnsi="Wingdings" w:hint="default"/>
      </w:rPr>
    </w:lvl>
  </w:abstractNum>
  <w:abstractNum w:abstractNumId="13" w15:restartNumberingAfterBreak="0">
    <w:nsid w:val="21805348"/>
    <w:multiLevelType w:val="hybridMultilevel"/>
    <w:tmpl w:val="6C7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E05D7"/>
    <w:multiLevelType w:val="hybridMultilevel"/>
    <w:tmpl w:val="7366A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424BC"/>
    <w:multiLevelType w:val="hybridMultilevel"/>
    <w:tmpl w:val="EF7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6A427A7"/>
    <w:multiLevelType w:val="hybridMultilevel"/>
    <w:tmpl w:val="D970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B1187"/>
    <w:multiLevelType w:val="hybridMultilevel"/>
    <w:tmpl w:val="5866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D40A37"/>
    <w:multiLevelType w:val="hybridMultilevel"/>
    <w:tmpl w:val="22C6680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FAF034E"/>
    <w:multiLevelType w:val="hybridMultilevel"/>
    <w:tmpl w:val="1B4203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2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2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2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234A78"/>
    <w:multiLevelType w:val="hybridMultilevel"/>
    <w:tmpl w:val="5074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515105"/>
    <w:multiLevelType w:val="hybridMultilevel"/>
    <w:tmpl w:val="D35C19CA"/>
    <w:lvl w:ilvl="0" w:tplc="75187966">
      <w:start w:val="2"/>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29" w15:restartNumberingAfterBreak="0">
    <w:nsid w:val="44B925D4"/>
    <w:multiLevelType w:val="multilevel"/>
    <w:tmpl w:val="C84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D5F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23329A8"/>
    <w:multiLevelType w:val="multilevel"/>
    <w:tmpl w:val="8EB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3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37" w15:restartNumberingAfterBreak="0">
    <w:nsid w:val="57134DC7"/>
    <w:multiLevelType w:val="hybridMultilevel"/>
    <w:tmpl w:val="41BC32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8"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39" w15:restartNumberingAfterBreak="0">
    <w:nsid w:val="5C0E591C"/>
    <w:multiLevelType w:val="hybridMultilevel"/>
    <w:tmpl w:val="B2AC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D943B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FDE0557"/>
    <w:multiLevelType w:val="hybridMultilevel"/>
    <w:tmpl w:val="2D1AA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2D37A81"/>
    <w:multiLevelType w:val="hybridMultilevel"/>
    <w:tmpl w:val="F9F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16312"/>
    <w:multiLevelType w:val="hybridMultilevel"/>
    <w:tmpl w:val="CD62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1C2D3E"/>
    <w:multiLevelType w:val="hybridMultilevel"/>
    <w:tmpl w:val="02387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D135084"/>
    <w:multiLevelType w:val="hybridMultilevel"/>
    <w:tmpl w:val="2E06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4820F8"/>
    <w:multiLevelType w:val="hybridMultilevel"/>
    <w:tmpl w:val="06BE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EB29B6"/>
    <w:multiLevelType w:val="hybridMultilevel"/>
    <w:tmpl w:val="F06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841511"/>
    <w:multiLevelType w:val="hybridMultilevel"/>
    <w:tmpl w:val="BC6888A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1"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52"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abstractNum w:abstractNumId="54"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BFE02E2"/>
    <w:multiLevelType w:val="hybridMultilevel"/>
    <w:tmpl w:val="2B48ACF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F205185"/>
    <w:multiLevelType w:val="hybridMultilevel"/>
    <w:tmpl w:val="10FA95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1730488">
    <w:abstractNumId w:val="12"/>
  </w:num>
  <w:num w:numId="2" w16cid:durableId="604581668">
    <w:abstractNumId w:val="41"/>
  </w:num>
  <w:num w:numId="3" w16cid:durableId="735785113">
    <w:abstractNumId w:val="30"/>
  </w:num>
  <w:num w:numId="4" w16cid:durableId="490609495">
    <w:abstractNumId w:val="54"/>
  </w:num>
  <w:num w:numId="5" w16cid:durableId="906305450">
    <w:abstractNumId w:val="15"/>
  </w:num>
  <w:num w:numId="6" w16cid:durableId="1686324974">
    <w:abstractNumId w:val="17"/>
  </w:num>
  <w:num w:numId="7" w16cid:durableId="2023164510">
    <w:abstractNumId w:val="33"/>
  </w:num>
  <w:num w:numId="8" w16cid:durableId="708339589">
    <w:abstractNumId w:val="16"/>
  </w:num>
  <w:num w:numId="9" w16cid:durableId="959797358">
    <w:abstractNumId w:val="6"/>
  </w:num>
  <w:num w:numId="10" w16cid:durableId="717827609">
    <w:abstractNumId w:val="49"/>
  </w:num>
  <w:num w:numId="11" w16cid:durableId="1744570999">
    <w:abstractNumId w:val="2"/>
  </w:num>
  <w:num w:numId="12" w16cid:durableId="948972350">
    <w:abstractNumId w:val="36"/>
  </w:num>
  <w:num w:numId="13" w16cid:durableId="1613779817">
    <w:abstractNumId w:val="21"/>
  </w:num>
  <w:num w:numId="14" w16cid:durableId="33383517">
    <w:abstractNumId w:val="38"/>
  </w:num>
  <w:num w:numId="15" w16cid:durableId="908729467">
    <w:abstractNumId w:val="24"/>
  </w:num>
  <w:num w:numId="16" w16cid:durableId="1131097095">
    <w:abstractNumId w:val="28"/>
  </w:num>
  <w:num w:numId="17" w16cid:durableId="312562634">
    <w:abstractNumId w:val="53"/>
  </w:num>
  <w:num w:numId="18" w16cid:durableId="109053296">
    <w:abstractNumId w:val="5"/>
  </w:num>
  <w:num w:numId="19" w16cid:durableId="1231187577">
    <w:abstractNumId w:val="35"/>
  </w:num>
  <w:num w:numId="20" w16cid:durableId="880822307">
    <w:abstractNumId w:val="51"/>
  </w:num>
  <w:num w:numId="21" w16cid:durableId="1450778620">
    <w:abstractNumId w:val="22"/>
  </w:num>
  <w:num w:numId="22" w16cid:durableId="683938672">
    <w:abstractNumId w:val="44"/>
  </w:num>
  <w:num w:numId="23" w16cid:durableId="1351638650">
    <w:abstractNumId w:val="18"/>
  </w:num>
  <w:num w:numId="24" w16cid:durableId="1226455964">
    <w:abstractNumId w:val="7"/>
  </w:num>
  <w:num w:numId="25" w16cid:durableId="622421870">
    <w:abstractNumId w:val="47"/>
  </w:num>
  <w:num w:numId="26" w16cid:durableId="251016737">
    <w:abstractNumId w:val="23"/>
  </w:num>
  <w:num w:numId="27" w16cid:durableId="521213413">
    <w:abstractNumId w:val="14"/>
  </w:num>
  <w:num w:numId="28" w16cid:durableId="424810941">
    <w:abstractNumId w:val="45"/>
  </w:num>
  <w:num w:numId="29" w16cid:durableId="503126525">
    <w:abstractNumId w:val="43"/>
  </w:num>
  <w:num w:numId="30" w16cid:durableId="930746425">
    <w:abstractNumId w:val="19"/>
  </w:num>
  <w:num w:numId="31" w16cid:durableId="1157576070">
    <w:abstractNumId w:val="10"/>
  </w:num>
  <w:num w:numId="32" w16cid:durableId="1576092448">
    <w:abstractNumId w:val="8"/>
  </w:num>
  <w:num w:numId="33" w16cid:durableId="505677061">
    <w:abstractNumId w:val="1"/>
  </w:num>
  <w:num w:numId="34" w16cid:durableId="1493520344">
    <w:abstractNumId w:val="55"/>
  </w:num>
  <w:num w:numId="35" w16cid:durableId="437681899">
    <w:abstractNumId w:val="46"/>
  </w:num>
  <w:num w:numId="36" w16cid:durableId="1046374409">
    <w:abstractNumId w:val="26"/>
  </w:num>
  <w:num w:numId="37" w16cid:durableId="805666707">
    <w:abstractNumId w:val="27"/>
  </w:num>
  <w:num w:numId="38" w16cid:durableId="749623986">
    <w:abstractNumId w:val="3"/>
  </w:num>
  <w:num w:numId="39" w16cid:durableId="1039890518">
    <w:abstractNumId w:val="13"/>
  </w:num>
  <w:num w:numId="40" w16cid:durableId="829056143">
    <w:abstractNumId w:val="42"/>
  </w:num>
  <w:num w:numId="41" w16cid:durableId="1177423630">
    <w:abstractNumId w:val="32"/>
  </w:num>
  <w:num w:numId="42" w16cid:durableId="264121012">
    <w:abstractNumId w:val="40"/>
  </w:num>
  <w:num w:numId="43" w16cid:durableId="886647926">
    <w:abstractNumId w:val="39"/>
  </w:num>
  <w:num w:numId="44" w16cid:durableId="2025669967">
    <w:abstractNumId w:val="29"/>
  </w:num>
  <w:num w:numId="45" w16cid:durableId="1330019717">
    <w:abstractNumId w:val="4"/>
  </w:num>
  <w:num w:numId="46" w16cid:durableId="1718162854">
    <w:abstractNumId w:val="25"/>
  </w:num>
  <w:num w:numId="47" w16cid:durableId="1660842500">
    <w:abstractNumId w:val="34"/>
  </w:num>
  <w:num w:numId="48" w16cid:durableId="1801339178">
    <w:abstractNumId w:val="9"/>
  </w:num>
  <w:num w:numId="49" w16cid:durableId="1134451093">
    <w:abstractNumId w:val="52"/>
  </w:num>
  <w:num w:numId="50" w16cid:durableId="1351294847">
    <w:abstractNumId w:val="0"/>
  </w:num>
  <w:num w:numId="51" w16cid:durableId="1733000675">
    <w:abstractNumId w:val="48"/>
  </w:num>
  <w:num w:numId="52" w16cid:durableId="1268391326">
    <w:abstractNumId w:val="50"/>
  </w:num>
  <w:num w:numId="53" w16cid:durableId="1734693423">
    <w:abstractNumId w:val="56"/>
  </w:num>
  <w:num w:numId="54" w16cid:durableId="1354457463">
    <w:abstractNumId w:val="20"/>
  </w:num>
  <w:num w:numId="55" w16cid:durableId="465045163">
    <w:abstractNumId w:val="11"/>
  </w:num>
  <w:num w:numId="56" w16cid:durableId="247690452">
    <w:abstractNumId w:val="37"/>
  </w:num>
  <w:num w:numId="57" w16cid:durableId="830828777">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A74"/>
    <w:rsid w:val="00000138"/>
    <w:rsid w:val="000001E8"/>
    <w:rsid w:val="000001FC"/>
    <w:rsid w:val="00000200"/>
    <w:rsid w:val="00000344"/>
    <w:rsid w:val="00000438"/>
    <w:rsid w:val="0000047E"/>
    <w:rsid w:val="00000512"/>
    <w:rsid w:val="0000052F"/>
    <w:rsid w:val="000005A0"/>
    <w:rsid w:val="000005E9"/>
    <w:rsid w:val="000005F9"/>
    <w:rsid w:val="0000064B"/>
    <w:rsid w:val="000008BE"/>
    <w:rsid w:val="000008C2"/>
    <w:rsid w:val="00000C02"/>
    <w:rsid w:val="00000C8E"/>
    <w:rsid w:val="00000C99"/>
    <w:rsid w:val="00000D43"/>
    <w:rsid w:val="00000D7B"/>
    <w:rsid w:val="00000E46"/>
    <w:rsid w:val="00000E92"/>
    <w:rsid w:val="00000ECE"/>
    <w:rsid w:val="00000F57"/>
    <w:rsid w:val="00000F77"/>
    <w:rsid w:val="000011AB"/>
    <w:rsid w:val="000011EB"/>
    <w:rsid w:val="00001270"/>
    <w:rsid w:val="0000129C"/>
    <w:rsid w:val="00001340"/>
    <w:rsid w:val="0000141A"/>
    <w:rsid w:val="0000150C"/>
    <w:rsid w:val="0000158F"/>
    <w:rsid w:val="000015A3"/>
    <w:rsid w:val="000016A0"/>
    <w:rsid w:val="00001768"/>
    <w:rsid w:val="0000183D"/>
    <w:rsid w:val="0000184C"/>
    <w:rsid w:val="00001A34"/>
    <w:rsid w:val="00001B13"/>
    <w:rsid w:val="00001B36"/>
    <w:rsid w:val="00001B4C"/>
    <w:rsid w:val="00001C34"/>
    <w:rsid w:val="00001CA3"/>
    <w:rsid w:val="00001D78"/>
    <w:rsid w:val="00001DE3"/>
    <w:rsid w:val="00001E04"/>
    <w:rsid w:val="00001E54"/>
    <w:rsid w:val="00001FD8"/>
    <w:rsid w:val="0000202A"/>
    <w:rsid w:val="00002043"/>
    <w:rsid w:val="00002178"/>
    <w:rsid w:val="0000228B"/>
    <w:rsid w:val="00002304"/>
    <w:rsid w:val="00002323"/>
    <w:rsid w:val="000024E0"/>
    <w:rsid w:val="00002521"/>
    <w:rsid w:val="00002743"/>
    <w:rsid w:val="000028A9"/>
    <w:rsid w:val="0000291F"/>
    <w:rsid w:val="00002B5F"/>
    <w:rsid w:val="00002BC2"/>
    <w:rsid w:val="00002C30"/>
    <w:rsid w:val="00002C9B"/>
    <w:rsid w:val="00002D60"/>
    <w:rsid w:val="00002E0A"/>
    <w:rsid w:val="00002E26"/>
    <w:rsid w:val="00002ECE"/>
    <w:rsid w:val="00002F57"/>
    <w:rsid w:val="00002F5A"/>
    <w:rsid w:val="0000304A"/>
    <w:rsid w:val="0000319B"/>
    <w:rsid w:val="00003327"/>
    <w:rsid w:val="0000333A"/>
    <w:rsid w:val="0000334D"/>
    <w:rsid w:val="00003518"/>
    <w:rsid w:val="00003539"/>
    <w:rsid w:val="00003643"/>
    <w:rsid w:val="00003765"/>
    <w:rsid w:val="0000378F"/>
    <w:rsid w:val="000037F6"/>
    <w:rsid w:val="00003856"/>
    <w:rsid w:val="000039C5"/>
    <w:rsid w:val="000039D1"/>
    <w:rsid w:val="00003A4C"/>
    <w:rsid w:val="00003AA4"/>
    <w:rsid w:val="00003B2B"/>
    <w:rsid w:val="00003BC2"/>
    <w:rsid w:val="00003BFB"/>
    <w:rsid w:val="00003C74"/>
    <w:rsid w:val="00003D2F"/>
    <w:rsid w:val="00003EA2"/>
    <w:rsid w:val="00003EB6"/>
    <w:rsid w:val="00003F6D"/>
    <w:rsid w:val="00003F6E"/>
    <w:rsid w:val="00003F9A"/>
    <w:rsid w:val="0000405F"/>
    <w:rsid w:val="000040E0"/>
    <w:rsid w:val="00004124"/>
    <w:rsid w:val="00004154"/>
    <w:rsid w:val="000041A4"/>
    <w:rsid w:val="00004369"/>
    <w:rsid w:val="000044B7"/>
    <w:rsid w:val="000046B8"/>
    <w:rsid w:val="00004831"/>
    <w:rsid w:val="00004BCC"/>
    <w:rsid w:val="00004C10"/>
    <w:rsid w:val="00004D01"/>
    <w:rsid w:val="00004D6D"/>
    <w:rsid w:val="00004E1A"/>
    <w:rsid w:val="00004E8B"/>
    <w:rsid w:val="00004F0C"/>
    <w:rsid w:val="00005071"/>
    <w:rsid w:val="000050F8"/>
    <w:rsid w:val="0000518B"/>
    <w:rsid w:val="00005279"/>
    <w:rsid w:val="00005308"/>
    <w:rsid w:val="000053A2"/>
    <w:rsid w:val="000053D8"/>
    <w:rsid w:val="000054D3"/>
    <w:rsid w:val="0000555A"/>
    <w:rsid w:val="00005576"/>
    <w:rsid w:val="0000566D"/>
    <w:rsid w:val="000057AD"/>
    <w:rsid w:val="000057D6"/>
    <w:rsid w:val="00005838"/>
    <w:rsid w:val="000058BB"/>
    <w:rsid w:val="00005911"/>
    <w:rsid w:val="000059A7"/>
    <w:rsid w:val="00005A39"/>
    <w:rsid w:val="00005C61"/>
    <w:rsid w:val="00005C8F"/>
    <w:rsid w:val="00005CF7"/>
    <w:rsid w:val="00005DB3"/>
    <w:rsid w:val="00005F7D"/>
    <w:rsid w:val="00005F7E"/>
    <w:rsid w:val="00005F89"/>
    <w:rsid w:val="00005FBB"/>
    <w:rsid w:val="00005FCB"/>
    <w:rsid w:val="00005FD9"/>
    <w:rsid w:val="00006038"/>
    <w:rsid w:val="0000607D"/>
    <w:rsid w:val="0000612C"/>
    <w:rsid w:val="000061A7"/>
    <w:rsid w:val="00006309"/>
    <w:rsid w:val="000063DC"/>
    <w:rsid w:val="0000670B"/>
    <w:rsid w:val="00006729"/>
    <w:rsid w:val="00006768"/>
    <w:rsid w:val="00006895"/>
    <w:rsid w:val="00006925"/>
    <w:rsid w:val="000069CC"/>
    <w:rsid w:val="00006A14"/>
    <w:rsid w:val="00006E62"/>
    <w:rsid w:val="00006EB4"/>
    <w:rsid w:val="000072AF"/>
    <w:rsid w:val="00007383"/>
    <w:rsid w:val="00007435"/>
    <w:rsid w:val="00007632"/>
    <w:rsid w:val="00007667"/>
    <w:rsid w:val="0000771D"/>
    <w:rsid w:val="000077B7"/>
    <w:rsid w:val="000077C8"/>
    <w:rsid w:val="0000780F"/>
    <w:rsid w:val="00007826"/>
    <w:rsid w:val="0000785F"/>
    <w:rsid w:val="00007965"/>
    <w:rsid w:val="00007AC4"/>
    <w:rsid w:val="00007BCD"/>
    <w:rsid w:val="00007C4C"/>
    <w:rsid w:val="00007CBA"/>
    <w:rsid w:val="00007D87"/>
    <w:rsid w:val="00007D8C"/>
    <w:rsid w:val="00007FDD"/>
    <w:rsid w:val="0001002F"/>
    <w:rsid w:val="000101BE"/>
    <w:rsid w:val="000101EB"/>
    <w:rsid w:val="000101FF"/>
    <w:rsid w:val="00010373"/>
    <w:rsid w:val="000104B9"/>
    <w:rsid w:val="0001066B"/>
    <w:rsid w:val="0001091A"/>
    <w:rsid w:val="00010A63"/>
    <w:rsid w:val="00010BAD"/>
    <w:rsid w:val="00010CDF"/>
    <w:rsid w:val="00010CE3"/>
    <w:rsid w:val="00010EA0"/>
    <w:rsid w:val="00010EF1"/>
    <w:rsid w:val="00010F53"/>
    <w:rsid w:val="00010FB4"/>
    <w:rsid w:val="0001120E"/>
    <w:rsid w:val="000112A9"/>
    <w:rsid w:val="00011345"/>
    <w:rsid w:val="00011484"/>
    <w:rsid w:val="00011557"/>
    <w:rsid w:val="000115F4"/>
    <w:rsid w:val="0001161C"/>
    <w:rsid w:val="00011AAE"/>
    <w:rsid w:val="00011AB9"/>
    <w:rsid w:val="00011ABE"/>
    <w:rsid w:val="00011D35"/>
    <w:rsid w:val="00011EF8"/>
    <w:rsid w:val="00011FD6"/>
    <w:rsid w:val="00012008"/>
    <w:rsid w:val="000120C7"/>
    <w:rsid w:val="00012145"/>
    <w:rsid w:val="0001243E"/>
    <w:rsid w:val="0001260F"/>
    <w:rsid w:val="000127FC"/>
    <w:rsid w:val="00012854"/>
    <w:rsid w:val="000128BC"/>
    <w:rsid w:val="00012A3E"/>
    <w:rsid w:val="00012A81"/>
    <w:rsid w:val="00012B30"/>
    <w:rsid w:val="00012C0F"/>
    <w:rsid w:val="00012C34"/>
    <w:rsid w:val="00012C67"/>
    <w:rsid w:val="00012DA7"/>
    <w:rsid w:val="00012DB4"/>
    <w:rsid w:val="00012E26"/>
    <w:rsid w:val="00012F08"/>
    <w:rsid w:val="00013092"/>
    <w:rsid w:val="000130C7"/>
    <w:rsid w:val="00013122"/>
    <w:rsid w:val="0001325B"/>
    <w:rsid w:val="000132DB"/>
    <w:rsid w:val="00013395"/>
    <w:rsid w:val="000135B2"/>
    <w:rsid w:val="0001366D"/>
    <w:rsid w:val="00013804"/>
    <w:rsid w:val="00013925"/>
    <w:rsid w:val="000139DB"/>
    <w:rsid w:val="00013A83"/>
    <w:rsid w:val="00013BF4"/>
    <w:rsid w:val="00013C38"/>
    <w:rsid w:val="00013C81"/>
    <w:rsid w:val="00013CCA"/>
    <w:rsid w:val="00013FFF"/>
    <w:rsid w:val="00014033"/>
    <w:rsid w:val="0001420E"/>
    <w:rsid w:val="00014219"/>
    <w:rsid w:val="0001424A"/>
    <w:rsid w:val="00014457"/>
    <w:rsid w:val="000144BB"/>
    <w:rsid w:val="00014593"/>
    <w:rsid w:val="0001461E"/>
    <w:rsid w:val="000147DA"/>
    <w:rsid w:val="00014874"/>
    <w:rsid w:val="000149F1"/>
    <w:rsid w:val="00014A07"/>
    <w:rsid w:val="00014C44"/>
    <w:rsid w:val="00014DF9"/>
    <w:rsid w:val="00014EC6"/>
    <w:rsid w:val="00014ED8"/>
    <w:rsid w:val="00014F05"/>
    <w:rsid w:val="00015010"/>
    <w:rsid w:val="00015123"/>
    <w:rsid w:val="00015128"/>
    <w:rsid w:val="000151A1"/>
    <w:rsid w:val="000151D7"/>
    <w:rsid w:val="00015296"/>
    <w:rsid w:val="0001571C"/>
    <w:rsid w:val="00015842"/>
    <w:rsid w:val="00015850"/>
    <w:rsid w:val="00015867"/>
    <w:rsid w:val="000158F0"/>
    <w:rsid w:val="00015950"/>
    <w:rsid w:val="00015955"/>
    <w:rsid w:val="000159A2"/>
    <w:rsid w:val="00015A32"/>
    <w:rsid w:val="00015A33"/>
    <w:rsid w:val="00015B02"/>
    <w:rsid w:val="00015B1A"/>
    <w:rsid w:val="00015BDC"/>
    <w:rsid w:val="00015D26"/>
    <w:rsid w:val="00015F6C"/>
    <w:rsid w:val="00015F7F"/>
    <w:rsid w:val="00016025"/>
    <w:rsid w:val="000161A8"/>
    <w:rsid w:val="00016242"/>
    <w:rsid w:val="00016247"/>
    <w:rsid w:val="0001625A"/>
    <w:rsid w:val="0001634E"/>
    <w:rsid w:val="00016415"/>
    <w:rsid w:val="00016424"/>
    <w:rsid w:val="00016519"/>
    <w:rsid w:val="0001676C"/>
    <w:rsid w:val="0001681C"/>
    <w:rsid w:val="00016846"/>
    <w:rsid w:val="00016851"/>
    <w:rsid w:val="000168DF"/>
    <w:rsid w:val="00016A31"/>
    <w:rsid w:val="00016AA8"/>
    <w:rsid w:val="00016AD0"/>
    <w:rsid w:val="00016D43"/>
    <w:rsid w:val="00016D5C"/>
    <w:rsid w:val="00016D74"/>
    <w:rsid w:val="00016DE0"/>
    <w:rsid w:val="00016E85"/>
    <w:rsid w:val="00016FAB"/>
    <w:rsid w:val="000170E4"/>
    <w:rsid w:val="00017123"/>
    <w:rsid w:val="00017126"/>
    <w:rsid w:val="000173F6"/>
    <w:rsid w:val="0001744A"/>
    <w:rsid w:val="0001746D"/>
    <w:rsid w:val="00017655"/>
    <w:rsid w:val="000177D7"/>
    <w:rsid w:val="0001782F"/>
    <w:rsid w:val="0001798B"/>
    <w:rsid w:val="00017C27"/>
    <w:rsid w:val="00017C8B"/>
    <w:rsid w:val="00017D58"/>
    <w:rsid w:val="00017D9F"/>
    <w:rsid w:val="00017DB9"/>
    <w:rsid w:val="00017DD0"/>
    <w:rsid w:val="00017E00"/>
    <w:rsid w:val="00017ECF"/>
    <w:rsid w:val="00017EF7"/>
    <w:rsid w:val="00017F04"/>
    <w:rsid w:val="00017F4C"/>
    <w:rsid w:val="000200C6"/>
    <w:rsid w:val="00020131"/>
    <w:rsid w:val="000201CF"/>
    <w:rsid w:val="0002028C"/>
    <w:rsid w:val="000202F8"/>
    <w:rsid w:val="00020313"/>
    <w:rsid w:val="0002042F"/>
    <w:rsid w:val="0002044E"/>
    <w:rsid w:val="000204C6"/>
    <w:rsid w:val="0002050F"/>
    <w:rsid w:val="0002083F"/>
    <w:rsid w:val="00020888"/>
    <w:rsid w:val="00020892"/>
    <w:rsid w:val="00020A42"/>
    <w:rsid w:val="00020A4A"/>
    <w:rsid w:val="00020B5A"/>
    <w:rsid w:val="00020B90"/>
    <w:rsid w:val="00020C01"/>
    <w:rsid w:val="00020C78"/>
    <w:rsid w:val="00020C96"/>
    <w:rsid w:val="00020D9D"/>
    <w:rsid w:val="00020DC5"/>
    <w:rsid w:val="00020E18"/>
    <w:rsid w:val="00020F31"/>
    <w:rsid w:val="000210CD"/>
    <w:rsid w:val="000212E9"/>
    <w:rsid w:val="00021307"/>
    <w:rsid w:val="00021339"/>
    <w:rsid w:val="000213BE"/>
    <w:rsid w:val="00021459"/>
    <w:rsid w:val="000214A9"/>
    <w:rsid w:val="00021700"/>
    <w:rsid w:val="00021736"/>
    <w:rsid w:val="0002197A"/>
    <w:rsid w:val="0002197E"/>
    <w:rsid w:val="00021A2A"/>
    <w:rsid w:val="00021A5A"/>
    <w:rsid w:val="00021AD2"/>
    <w:rsid w:val="00021B61"/>
    <w:rsid w:val="00021C8B"/>
    <w:rsid w:val="00021C93"/>
    <w:rsid w:val="00021D66"/>
    <w:rsid w:val="00021DC7"/>
    <w:rsid w:val="00021E27"/>
    <w:rsid w:val="00021EAB"/>
    <w:rsid w:val="00021EF2"/>
    <w:rsid w:val="00022061"/>
    <w:rsid w:val="00022121"/>
    <w:rsid w:val="000223D4"/>
    <w:rsid w:val="00022421"/>
    <w:rsid w:val="00022574"/>
    <w:rsid w:val="000225E4"/>
    <w:rsid w:val="0002279F"/>
    <w:rsid w:val="000227B9"/>
    <w:rsid w:val="000227E4"/>
    <w:rsid w:val="0002284E"/>
    <w:rsid w:val="00022909"/>
    <w:rsid w:val="0002290D"/>
    <w:rsid w:val="000229AB"/>
    <w:rsid w:val="00022B0E"/>
    <w:rsid w:val="00022C17"/>
    <w:rsid w:val="00022CF6"/>
    <w:rsid w:val="00022D94"/>
    <w:rsid w:val="00022DA0"/>
    <w:rsid w:val="000231A3"/>
    <w:rsid w:val="000231E7"/>
    <w:rsid w:val="00023206"/>
    <w:rsid w:val="00023232"/>
    <w:rsid w:val="00023341"/>
    <w:rsid w:val="00023639"/>
    <w:rsid w:val="0002367D"/>
    <w:rsid w:val="000236C4"/>
    <w:rsid w:val="000236FF"/>
    <w:rsid w:val="0002377F"/>
    <w:rsid w:val="000238AD"/>
    <w:rsid w:val="0002399B"/>
    <w:rsid w:val="00023BA1"/>
    <w:rsid w:val="00023BAD"/>
    <w:rsid w:val="00023C15"/>
    <w:rsid w:val="00023FBF"/>
    <w:rsid w:val="00024039"/>
    <w:rsid w:val="0002428E"/>
    <w:rsid w:val="00024564"/>
    <w:rsid w:val="0002463A"/>
    <w:rsid w:val="0002473D"/>
    <w:rsid w:val="00024834"/>
    <w:rsid w:val="0002484E"/>
    <w:rsid w:val="00024877"/>
    <w:rsid w:val="0002488D"/>
    <w:rsid w:val="00024937"/>
    <w:rsid w:val="00024A1F"/>
    <w:rsid w:val="00024B28"/>
    <w:rsid w:val="00024BC3"/>
    <w:rsid w:val="00024BCC"/>
    <w:rsid w:val="00024BF7"/>
    <w:rsid w:val="00024C12"/>
    <w:rsid w:val="00024C55"/>
    <w:rsid w:val="00024EA7"/>
    <w:rsid w:val="00025172"/>
    <w:rsid w:val="00025192"/>
    <w:rsid w:val="00025219"/>
    <w:rsid w:val="0002524C"/>
    <w:rsid w:val="00025313"/>
    <w:rsid w:val="00025345"/>
    <w:rsid w:val="000254A6"/>
    <w:rsid w:val="00025629"/>
    <w:rsid w:val="000256E4"/>
    <w:rsid w:val="0002576C"/>
    <w:rsid w:val="00025A1A"/>
    <w:rsid w:val="00025A27"/>
    <w:rsid w:val="00025BD0"/>
    <w:rsid w:val="00025BD5"/>
    <w:rsid w:val="00025D4C"/>
    <w:rsid w:val="00025E3D"/>
    <w:rsid w:val="00025EFF"/>
    <w:rsid w:val="00025F14"/>
    <w:rsid w:val="00026109"/>
    <w:rsid w:val="00026110"/>
    <w:rsid w:val="0002636E"/>
    <w:rsid w:val="000263E7"/>
    <w:rsid w:val="0002646A"/>
    <w:rsid w:val="00026592"/>
    <w:rsid w:val="000265DD"/>
    <w:rsid w:val="000266DE"/>
    <w:rsid w:val="00026874"/>
    <w:rsid w:val="000268DF"/>
    <w:rsid w:val="0002698F"/>
    <w:rsid w:val="000269F7"/>
    <w:rsid w:val="00026A77"/>
    <w:rsid w:val="00026A8B"/>
    <w:rsid w:val="00026B22"/>
    <w:rsid w:val="00026B28"/>
    <w:rsid w:val="00026BB8"/>
    <w:rsid w:val="00026BD4"/>
    <w:rsid w:val="00026BE8"/>
    <w:rsid w:val="00026CEF"/>
    <w:rsid w:val="00026D0C"/>
    <w:rsid w:val="00026D18"/>
    <w:rsid w:val="00026E5D"/>
    <w:rsid w:val="00026ED9"/>
    <w:rsid w:val="00026EE4"/>
    <w:rsid w:val="00026EEA"/>
    <w:rsid w:val="000270C8"/>
    <w:rsid w:val="000271F7"/>
    <w:rsid w:val="000272D4"/>
    <w:rsid w:val="000274B8"/>
    <w:rsid w:val="0002750B"/>
    <w:rsid w:val="00027525"/>
    <w:rsid w:val="00027539"/>
    <w:rsid w:val="000275DE"/>
    <w:rsid w:val="000276F0"/>
    <w:rsid w:val="00027767"/>
    <w:rsid w:val="00027968"/>
    <w:rsid w:val="0002799A"/>
    <w:rsid w:val="000279C0"/>
    <w:rsid w:val="00027A5D"/>
    <w:rsid w:val="00027B67"/>
    <w:rsid w:val="00027BCC"/>
    <w:rsid w:val="00027C4D"/>
    <w:rsid w:val="00027E58"/>
    <w:rsid w:val="00027E76"/>
    <w:rsid w:val="00027F4E"/>
    <w:rsid w:val="00027F8D"/>
    <w:rsid w:val="0003006B"/>
    <w:rsid w:val="00030072"/>
    <w:rsid w:val="000300EF"/>
    <w:rsid w:val="0003010E"/>
    <w:rsid w:val="00030132"/>
    <w:rsid w:val="000302B7"/>
    <w:rsid w:val="00030309"/>
    <w:rsid w:val="0003037F"/>
    <w:rsid w:val="000303DC"/>
    <w:rsid w:val="00030517"/>
    <w:rsid w:val="00030780"/>
    <w:rsid w:val="00030836"/>
    <w:rsid w:val="00030902"/>
    <w:rsid w:val="00030974"/>
    <w:rsid w:val="00030AB0"/>
    <w:rsid w:val="00030DAB"/>
    <w:rsid w:val="00030E17"/>
    <w:rsid w:val="00030E54"/>
    <w:rsid w:val="00030EAD"/>
    <w:rsid w:val="00030F25"/>
    <w:rsid w:val="0003118A"/>
    <w:rsid w:val="0003123B"/>
    <w:rsid w:val="00031251"/>
    <w:rsid w:val="00031270"/>
    <w:rsid w:val="000312F3"/>
    <w:rsid w:val="00031336"/>
    <w:rsid w:val="000313D1"/>
    <w:rsid w:val="00031499"/>
    <w:rsid w:val="00031578"/>
    <w:rsid w:val="00031615"/>
    <w:rsid w:val="000316D1"/>
    <w:rsid w:val="00031982"/>
    <w:rsid w:val="00031D13"/>
    <w:rsid w:val="00031D1D"/>
    <w:rsid w:val="00031FF0"/>
    <w:rsid w:val="0003203F"/>
    <w:rsid w:val="000320A5"/>
    <w:rsid w:val="0003215F"/>
    <w:rsid w:val="0003231E"/>
    <w:rsid w:val="000323E4"/>
    <w:rsid w:val="00032420"/>
    <w:rsid w:val="0003243B"/>
    <w:rsid w:val="000324E2"/>
    <w:rsid w:val="00032579"/>
    <w:rsid w:val="000325B4"/>
    <w:rsid w:val="000325BB"/>
    <w:rsid w:val="000326CF"/>
    <w:rsid w:val="000327A9"/>
    <w:rsid w:val="000328D9"/>
    <w:rsid w:val="00032982"/>
    <w:rsid w:val="00032A54"/>
    <w:rsid w:val="00032BD9"/>
    <w:rsid w:val="00032D6D"/>
    <w:rsid w:val="00032E85"/>
    <w:rsid w:val="00032ED8"/>
    <w:rsid w:val="00032F5F"/>
    <w:rsid w:val="00032FF9"/>
    <w:rsid w:val="00033176"/>
    <w:rsid w:val="00033179"/>
    <w:rsid w:val="0003325A"/>
    <w:rsid w:val="00033275"/>
    <w:rsid w:val="000333A4"/>
    <w:rsid w:val="000333CC"/>
    <w:rsid w:val="0003377B"/>
    <w:rsid w:val="000338B4"/>
    <w:rsid w:val="00033AEC"/>
    <w:rsid w:val="00033BB9"/>
    <w:rsid w:val="00033C3E"/>
    <w:rsid w:val="00033CE0"/>
    <w:rsid w:val="00033CEF"/>
    <w:rsid w:val="00033DB9"/>
    <w:rsid w:val="00033DE6"/>
    <w:rsid w:val="00033EE1"/>
    <w:rsid w:val="000340AB"/>
    <w:rsid w:val="000342A4"/>
    <w:rsid w:val="00034353"/>
    <w:rsid w:val="000345DC"/>
    <w:rsid w:val="000347EC"/>
    <w:rsid w:val="00034855"/>
    <w:rsid w:val="0003490B"/>
    <w:rsid w:val="00034919"/>
    <w:rsid w:val="000349A2"/>
    <w:rsid w:val="00034BE9"/>
    <w:rsid w:val="00034DA0"/>
    <w:rsid w:val="00034F1A"/>
    <w:rsid w:val="00034F94"/>
    <w:rsid w:val="00034F98"/>
    <w:rsid w:val="000350B1"/>
    <w:rsid w:val="0003515B"/>
    <w:rsid w:val="0003536B"/>
    <w:rsid w:val="00035410"/>
    <w:rsid w:val="0003543A"/>
    <w:rsid w:val="0003549B"/>
    <w:rsid w:val="0003556B"/>
    <w:rsid w:val="000357D6"/>
    <w:rsid w:val="00035885"/>
    <w:rsid w:val="0003597D"/>
    <w:rsid w:val="00035A79"/>
    <w:rsid w:val="00035AFB"/>
    <w:rsid w:val="00035B9D"/>
    <w:rsid w:val="00035BBE"/>
    <w:rsid w:val="00035DA7"/>
    <w:rsid w:val="00035DCE"/>
    <w:rsid w:val="000361CC"/>
    <w:rsid w:val="00036269"/>
    <w:rsid w:val="000363A3"/>
    <w:rsid w:val="0003644C"/>
    <w:rsid w:val="00036462"/>
    <w:rsid w:val="000364E7"/>
    <w:rsid w:val="00036578"/>
    <w:rsid w:val="000365AB"/>
    <w:rsid w:val="00036669"/>
    <w:rsid w:val="000366EA"/>
    <w:rsid w:val="000367A6"/>
    <w:rsid w:val="000367BB"/>
    <w:rsid w:val="0003681F"/>
    <w:rsid w:val="0003682D"/>
    <w:rsid w:val="000368C7"/>
    <w:rsid w:val="000368F2"/>
    <w:rsid w:val="000368F5"/>
    <w:rsid w:val="000369E2"/>
    <w:rsid w:val="00036A63"/>
    <w:rsid w:val="00036C24"/>
    <w:rsid w:val="00036C6A"/>
    <w:rsid w:val="00036E13"/>
    <w:rsid w:val="00036F8B"/>
    <w:rsid w:val="00037064"/>
    <w:rsid w:val="0003713E"/>
    <w:rsid w:val="00037186"/>
    <w:rsid w:val="000373E8"/>
    <w:rsid w:val="0003744F"/>
    <w:rsid w:val="00037608"/>
    <w:rsid w:val="00037770"/>
    <w:rsid w:val="00037790"/>
    <w:rsid w:val="00037791"/>
    <w:rsid w:val="000377CD"/>
    <w:rsid w:val="000379F7"/>
    <w:rsid w:val="00037B38"/>
    <w:rsid w:val="00037EC9"/>
    <w:rsid w:val="00037EE3"/>
    <w:rsid w:val="00037FC9"/>
    <w:rsid w:val="0004005F"/>
    <w:rsid w:val="0004015B"/>
    <w:rsid w:val="00040199"/>
    <w:rsid w:val="00040227"/>
    <w:rsid w:val="0004031E"/>
    <w:rsid w:val="00040324"/>
    <w:rsid w:val="000404ED"/>
    <w:rsid w:val="000406FC"/>
    <w:rsid w:val="00040711"/>
    <w:rsid w:val="00040793"/>
    <w:rsid w:val="000409E9"/>
    <w:rsid w:val="00040CD3"/>
    <w:rsid w:val="00040D46"/>
    <w:rsid w:val="00040D57"/>
    <w:rsid w:val="00040D68"/>
    <w:rsid w:val="00040DC9"/>
    <w:rsid w:val="00040E3D"/>
    <w:rsid w:val="00040EE1"/>
    <w:rsid w:val="00040F65"/>
    <w:rsid w:val="000410BA"/>
    <w:rsid w:val="00041118"/>
    <w:rsid w:val="00041132"/>
    <w:rsid w:val="00041135"/>
    <w:rsid w:val="000411E0"/>
    <w:rsid w:val="00041320"/>
    <w:rsid w:val="0004138C"/>
    <w:rsid w:val="00041410"/>
    <w:rsid w:val="000414C6"/>
    <w:rsid w:val="000414EF"/>
    <w:rsid w:val="000417AE"/>
    <w:rsid w:val="000417BC"/>
    <w:rsid w:val="000418A0"/>
    <w:rsid w:val="000419B9"/>
    <w:rsid w:val="00041A83"/>
    <w:rsid w:val="00041B24"/>
    <w:rsid w:val="00041C58"/>
    <w:rsid w:val="00041C90"/>
    <w:rsid w:val="00041F64"/>
    <w:rsid w:val="00042083"/>
    <w:rsid w:val="00042125"/>
    <w:rsid w:val="000421CA"/>
    <w:rsid w:val="0004224F"/>
    <w:rsid w:val="0004244C"/>
    <w:rsid w:val="0004254B"/>
    <w:rsid w:val="0004262E"/>
    <w:rsid w:val="000426D2"/>
    <w:rsid w:val="000427C6"/>
    <w:rsid w:val="00042856"/>
    <w:rsid w:val="00042A14"/>
    <w:rsid w:val="00042A2F"/>
    <w:rsid w:val="00042AFF"/>
    <w:rsid w:val="00042B02"/>
    <w:rsid w:val="00042B44"/>
    <w:rsid w:val="00042B56"/>
    <w:rsid w:val="00042BB3"/>
    <w:rsid w:val="00042C54"/>
    <w:rsid w:val="00042DAC"/>
    <w:rsid w:val="00042E87"/>
    <w:rsid w:val="00043051"/>
    <w:rsid w:val="0004319A"/>
    <w:rsid w:val="0004329C"/>
    <w:rsid w:val="00043355"/>
    <w:rsid w:val="0004335A"/>
    <w:rsid w:val="0004338D"/>
    <w:rsid w:val="0004341D"/>
    <w:rsid w:val="00043653"/>
    <w:rsid w:val="000436BB"/>
    <w:rsid w:val="0004375C"/>
    <w:rsid w:val="000439BC"/>
    <w:rsid w:val="00043A52"/>
    <w:rsid w:val="00043A69"/>
    <w:rsid w:val="00043A99"/>
    <w:rsid w:val="00043B77"/>
    <w:rsid w:val="00043B8D"/>
    <w:rsid w:val="00043C70"/>
    <w:rsid w:val="00043CD7"/>
    <w:rsid w:val="00043D74"/>
    <w:rsid w:val="00043ED1"/>
    <w:rsid w:val="00044176"/>
    <w:rsid w:val="00044199"/>
    <w:rsid w:val="000441AB"/>
    <w:rsid w:val="000441C5"/>
    <w:rsid w:val="000441FB"/>
    <w:rsid w:val="0004420C"/>
    <w:rsid w:val="00044348"/>
    <w:rsid w:val="00044393"/>
    <w:rsid w:val="00044453"/>
    <w:rsid w:val="000447A3"/>
    <w:rsid w:val="0004482A"/>
    <w:rsid w:val="00044879"/>
    <w:rsid w:val="00044926"/>
    <w:rsid w:val="00044947"/>
    <w:rsid w:val="00044B20"/>
    <w:rsid w:val="00044CC1"/>
    <w:rsid w:val="00044D12"/>
    <w:rsid w:val="00044E1C"/>
    <w:rsid w:val="00044EB6"/>
    <w:rsid w:val="00044EF6"/>
    <w:rsid w:val="00044F29"/>
    <w:rsid w:val="0004512B"/>
    <w:rsid w:val="000451FE"/>
    <w:rsid w:val="00045247"/>
    <w:rsid w:val="00045317"/>
    <w:rsid w:val="00045370"/>
    <w:rsid w:val="0004549A"/>
    <w:rsid w:val="000455DE"/>
    <w:rsid w:val="00045600"/>
    <w:rsid w:val="00045762"/>
    <w:rsid w:val="000457D9"/>
    <w:rsid w:val="00045874"/>
    <w:rsid w:val="000458B0"/>
    <w:rsid w:val="000458E9"/>
    <w:rsid w:val="00045948"/>
    <w:rsid w:val="00045A76"/>
    <w:rsid w:val="00045AB9"/>
    <w:rsid w:val="00045EEB"/>
    <w:rsid w:val="0004606E"/>
    <w:rsid w:val="00046452"/>
    <w:rsid w:val="000464A6"/>
    <w:rsid w:val="00046516"/>
    <w:rsid w:val="000466D5"/>
    <w:rsid w:val="000468B1"/>
    <w:rsid w:val="000469DC"/>
    <w:rsid w:val="00046A93"/>
    <w:rsid w:val="00046A94"/>
    <w:rsid w:val="00046B2B"/>
    <w:rsid w:val="00046D5A"/>
    <w:rsid w:val="00046E78"/>
    <w:rsid w:val="00047092"/>
    <w:rsid w:val="00047097"/>
    <w:rsid w:val="00047112"/>
    <w:rsid w:val="000471BB"/>
    <w:rsid w:val="00047240"/>
    <w:rsid w:val="00047358"/>
    <w:rsid w:val="000474AC"/>
    <w:rsid w:val="000474D8"/>
    <w:rsid w:val="00047543"/>
    <w:rsid w:val="00047600"/>
    <w:rsid w:val="00047607"/>
    <w:rsid w:val="000476BE"/>
    <w:rsid w:val="00047783"/>
    <w:rsid w:val="000477B8"/>
    <w:rsid w:val="00047A40"/>
    <w:rsid w:val="00047ADF"/>
    <w:rsid w:val="00047B62"/>
    <w:rsid w:val="00047D38"/>
    <w:rsid w:val="00047D41"/>
    <w:rsid w:val="00047D4B"/>
    <w:rsid w:val="00047DB0"/>
    <w:rsid w:val="00047E1B"/>
    <w:rsid w:val="00047E8C"/>
    <w:rsid w:val="00047FDA"/>
    <w:rsid w:val="00050135"/>
    <w:rsid w:val="000502E2"/>
    <w:rsid w:val="0005037A"/>
    <w:rsid w:val="000503B1"/>
    <w:rsid w:val="000503D0"/>
    <w:rsid w:val="000504EB"/>
    <w:rsid w:val="00050637"/>
    <w:rsid w:val="00050769"/>
    <w:rsid w:val="00050772"/>
    <w:rsid w:val="00050872"/>
    <w:rsid w:val="00050884"/>
    <w:rsid w:val="000509CB"/>
    <w:rsid w:val="00050A6E"/>
    <w:rsid w:val="00050A87"/>
    <w:rsid w:val="00050ACF"/>
    <w:rsid w:val="00050BFC"/>
    <w:rsid w:val="00050C1B"/>
    <w:rsid w:val="00050C6D"/>
    <w:rsid w:val="00050D87"/>
    <w:rsid w:val="00050DE9"/>
    <w:rsid w:val="00050E4A"/>
    <w:rsid w:val="00050F57"/>
    <w:rsid w:val="00050F88"/>
    <w:rsid w:val="00051013"/>
    <w:rsid w:val="000510D1"/>
    <w:rsid w:val="00051140"/>
    <w:rsid w:val="000511A7"/>
    <w:rsid w:val="000511EA"/>
    <w:rsid w:val="00051211"/>
    <w:rsid w:val="0005135C"/>
    <w:rsid w:val="000513A3"/>
    <w:rsid w:val="000513E3"/>
    <w:rsid w:val="0005142B"/>
    <w:rsid w:val="00051540"/>
    <w:rsid w:val="000515A7"/>
    <w:rsid w:val="000515AF"/>
    <w:rsid w:val="000515E5"/>
    <w:rsid w:val="00051743"/>
    <w:rsid w:val="00051755"/>
    <w:rsid w:val="00051857"/>
    <w:rsid w:val="000518C4"/>
    <w:rsid w:val="0005191B"/>
    <w:rsid w:val="00051AE8"/>
    <w:rsid w:val="00051B0B"/>
    <w:rsid w:val="00051B2E"/>
    <w:rsid w:val="00051BF3"/>
    <w:rsid w:val="00051C36"/>
    <w:rsid w:val="00051CC1"/>
    <w:rsid w:val="00051D26"/>
    <w:rsid w:val="00051DCA"/>
    <w:rsid w:val="00051E34"/>
    <w:rsid w:val="00051E55"/>
    <w:rsid w:val="00051ECD"/>
    <w:rsid w:val="00051F1B"/>
    <w:rsid w:val="00051FC2"/>
    <w:rsid w:val="0005205B"/>
    <w:rsid w:val="0005217F"/>
    <w:rsid w:val="000521AB"/>
    <w:rsid w:val="00052388"/>
    <w:rsid w:val="0005243B"/>
    <w:rsid w:val="00052525"/>
    <w:rsid w:val="00052540"/>
    <w:rsid w:val="0005263B"/>
    <w:rsid w:val="00052653"/>
    <w:rsid w:val="00052700"/>
    <w:rsid w:val="00052774"/>
    <w:rsid w:val="000527EC"/>
    <w:rsid w:val="00052845"/>
    <w:rsid w:val="00052A34"/>
    <w:rsid w:val="00052A8A"/>
    <w:rsid w:val="00052B4F"/>
    <w:rsid w:val="00053025"/>
    <w:rsid w:val="00053075"/>
    <w:rsid w:val="000531BA"/>
    <w:rsid w:val="000531EE"/>
    <w:rsid w:val="00053208"/>
    <w:rsid w:val="000533B6"/>
    <w:rsid w:val="0005346B"/>
    <w:rsid w:val="00053697"/>
    <w:rsid w:val="00053884"/>
    <w:rsid w:val="00053937"/>
    <w:rsid w:val="00053ADB"/>
    <w:rsid w:val="00053AE4"/>
    <w:rsid w:val="00053BD4"/>
    <w:rsid w:val="00053C22"/>
    <w:rsid w:val="00054153"/>
    <w:rsid w:val="00054228"/>
    <w:rsid w:val="00054360"/>
    <w:rsid w:val="000543F4"/>
    <w:rsid w:val="0005443B"/>
    <w:rsid w:val="00054455"/>
    <w:rsid w:val="00054747"/>
    <w:rsid w:val="000548CB"/>
    <w:rsid w:val="00054919"/>
    <w:rsid w:val="00054A88"/>
    <w:rsid w:val="00054A9A"/>
    <w:rsid w:val="00054B21"/>
    <w:rsid w:val="00054B69"/>
    <w:rsid w:val="00054BAD"/>
    <w:rsid w:val="00054C01"/>
    <w:rsid w:val="00054C6B"/>
    <w:rsid w:val="00054E8C"/>
    <w:rsid w:val="00054EB8"/>
    <w:rsid w:val="0005504D"/>
    <w:rsid w:val="00055064"/>
    <w:rsid w:val="000550A5"/>
    <w:rsid w:val="000550D9"/>
    <w:rsid w:val="000551FE"/>
    <w:rsid w:val="0005529F"/>
    <w:rsid w:val="000552B6"/>
    <w:rsid w:val="000552B7"/>
    <w:rsid w:val="0005552B"/>
    <w:rsid w:val="00055559"/>
    <w:rsid w:val="00055583"/>
    <w:rsid w:val="000556FF"/>
    <w:rsid w:val="000557C9"/>
    <w:rsid w:val="00055890"/>
    <w:rsid w:val="000558AC"/>
    <w:rsid w:val="00055913"/>
    <w:rsid w:val="00055A4B"/>
    <w:rsid w:val="00055AC4"/>
    <w:rsid w:val="00055D77"/>
    <w:rsid w:val="00055E23"/>
    <w:rsid w:val="00056002"/>
    <w:rsid w:val="00056100"/>
    <w:rsid w:val="0005610E"/>
    <w:rsid w:val="00056239"/>
    <w:rsid w:val="00056287"/>
    <w:rsid w:val="00056620"/>
    <w:rsid w:val="000566A7"/>
    <w:rsid w:val="000568B1"/>
    <w:rsid w:val="000569CA"/>
    <w:rsid w:val="00056A51"/>
    <w:rsid w:val="00056AD5"/>
    <w:rsid w:val="00056AF7"/>
    <w:rsid w:val="00056C97"/>
    <w:rsid w:val="00056CDB"/>
    <w:rsid w:val="00056CF0"/>
    <w:rsid w:val="00056D12"/>
    <w:rsid w:val="00056ED9"/>
    <w:rsid w:val="000570FE"/>
    <w:rsid w:val="0005744D"/>
    <w:rsid w:val="000574D8"/>
    <w:rsid w:val="0005754C"/>
    <w:rsid w:val="00057754"/>
    <w:rsid w:val="00057830"/>
    <w:rsid w:val="0005784D"/>
    <w:rsid w:val="00057940"/>
    <w:rsid w:val="00057AEC"/>
    <w:rsid w:val="00057B27"/>
    <w:rsid w:val="00057BB4"/>
    <w:rsid w:val="00057BE1"/>
    <w:rsid w:val="00057C36"/>
    <w:rsid w:val="00057C6E"/>
    <w:rsid w:val="00057D3E"/>
    <w:rsid w:val="00057D69"/>
    <w:rsid w:val="00057E30"/>
    <w:rsid w:val="00057E6A"/>
    <w:rsid w:val="00057E6D"/>
    <w:rsid w:val="00057F95"/>
    <w:rsid w:val="00060067"/>
    <w:rsid w:val="0006020B"/>
    <w:rsid w:val="000602CD"/>
    <w:rsid w:val="00060314"/>
    <w:rsid w:val="0006036E"/>
    <w:rsid w:val="00060621"/>
    <w:rsid w:val="0006064A"/>
    <w:rsid w:val="00060738"/>
    <w:rsid w:val="00060B28"/>
    <w:rsid w:val="00060C28"/>
    <w:rsid w:val="00060C79"/>
    <w:rsid w:val="00060E63"/>
    <w:rsid w:val="00060F52"/>
    <w:rsid w:val="00060F9E"/>
    <w:rsid w:val="00060FAA"/>
    <w:rsid w:val="00060FB4"/>
    <w:rsid w:val="00061035"/>
    <w:rsid w:val="000610AB"/>
    <w:rsid w:val="00061122"/>
    <w:rsid w:val="000611DE"/>
    <w:rsid w:val="00061282"/>
    <w:rsid w:val="000612CD"/>
    <w:rsid w:val="00061438"/>
    <w:rsid w:val="00061758"/>
    <w:rsid w:val="0006179A"/>
    <w:rsid w:val="00061922"/>
    <w:rsid w:val="00061A37"/>
    <w:rsid w:val="00061C4F"/>
    <w:rsid w:val="00061CD9"/>
    <w:rsid w:val="00061DEF"/>
    <w:rsid w:val="00061E49"/>
    <w:rsid w:val="00061F67"/>
    <w:rsid w:val="00062021"/>
    <w:rsid w:val="000621F5"/>
    <w:rsid w:val="00062221"/>
    <w:rsid w:val="00062226"/>
    <w:rsid w:val="0006226E"/>
    <w:rsid w:val="00062331"/>
    <w:rsid w:val="000624C6"/>
    <w:rsid w:val="0006253E"/>
    <w:rsid w:val="000625B2"/>
    <w:rsid w:val="000625C5"/>
    <w:rsid w:val="00062604"/>
    <w:rsid w:val="00062651"/>
    <w:rsid w:val="00062825"/>
    <w:rsid w:val="00062833"/>
    <w:rsid w:val="0006284A"/>
    <w:rsid w:val="000629D8"/>
    <w:rsid w:val="00062A65"/>
    <w:rsid w:val="00062CF9"/>
    <w:rsid w:val="00062D7C"/>
    <w:rsid w:val="00062DD2"/>
    <w:rsid w:val="00062FEC"/>
    <w:rsid w:val="0006304F"/>
    <w:rsid w:val="000630DB"/>
    <w:rsid w:val="000631C1"/>
    <w:rsid w:val="000632B2"/>
    <w:rsid w:val="00063301"/>
    <w:rsid w:val="00063316"/>
    <w:rsid w:val="00063366"/>
    <w:rsid w:val="000633F6"/>
    <w:rsid w:val="00063581"/>
    <w:rsid w:val="00063606"/>
    <w:rsid w:val="000636CE"/>
    <w:rsid w:val="0006376C"/>
    <w:rsid w:val="00063785"/>
    <w:rsid w:val="0006386F"/>
    <w:rsid w:val="00063978"/>
    <w:rsid w:val="00063AE3"/>
    <w:rsid w:val="00063B6C"/>
    <w:rsid w:val="00063C7B"/>
    <w:rsid w:val="00063CC6"/>
    <w:rsid w:val="00063CE4"/>
    <w:rsid w:val="00063D1D"/>
    <w:rsid w:val="00063DCA"/>
    <w:rsid w:val="00063E80"/>
    <w:rsid w:val="00063EC0"/>
    <w:rsid w:val="00063EF3"/>
    <w:rsid w:val="00063FA3"/>
    <w:rsid w:val="00063FEB"/>
    <w:rsid w:val="00064230"/>
    <w:rsid w:val="000642CB"/>
    <w:rsid w:val="00064438"/>
    <w:rsid w:val="000644CB"/>
    <w:rsid w:val="00064508"/>
    <w:rsid w:val="0006455B"/>
    <w:rsid w:val="0006466D"/>
    <w:rsid w:val="0006472E"/>
    <w:rsid w:val="00064769"/>
    <w:rsid w:val="000647B7"/>
    <w:rsid w:val="000647BD"/>
    <w:rsid w:val="000647CF"/>
    <w:rsid w:val="0006480F"/>
    <w:rsid w:val="000648AC"/>
    <w:rsid w:val="00064A8A"/>
    <w:rsid w:val="00064A8B"/>
    <w:rsid w:val="00064B97"/>
    <w:rsid w:val="00064CDA"/>
    <w:rsid w:val="00064D50"/>
    <w:rsid w:val="00064FF6"/>
    <w:rsid w:val="0006500D"/>
    <w:rsid w:val="000650BE"/>
    <w:rsid w:val="000651C7"/>
    <w:rsid w:val="000651FD"/>
    <w:rsid w:val="000652CB"/>
    <w:rsid w:val="00065326"/>
    <w:rsid w:val="000653BF"/>
    <w:rsid w:val="000654DC"/>
    <w:rsid w:val="000654E0"/>
    <w:rsid w:val="00065593"/>
    <w:rsid w:val="000655D7"/>
    <w:rsid w:val="0006575B"/>
    <w:rsid w:val="0006583B"/>
    <w:rsid w:val="00065950"/>
    <w:rsid w:val="0006598B"/>
    <w:rsid w:val="00065B79"/>
    <w:rsid w:val="00065BB6"/>
    <w:rsid w:val="00065C17"/>
    <w:rsid w:val="00065C25"/>
    <w:rsid w:val="00065C37"/>
    <w:rsid w:val="00065C57"/>
    <w:rsid w:val="00065DEE"/>
    <w:rsid w:val="00065E24"/>
    <w:rsid w:val="00065EB3"/>
    <w:rsid w:val="00065EDA"/>
    <w:rsid w:val="00065FCA"/>
    <w:rsid w:val="00066047"/>
    <w:rsid w:val="000660B8"/>
    <w:rsid w:val="0006612A"/>
    <w:rsid w:val="00066134"/>
    <w:rsid w:val="00066372"/>
    <w:rsid w:val="000663F4"/>
    <w:rsid w:val="0006640E"/>
    <w:rsid w:val="00066531"/>
    <w:rsid w:val="00066533"/>
    <w:rsid w:val="00066579"/>
    <w:rsid w:val="000665B3"/>
    <w:rsid w:val="00066779"/>
    <w:rsid w:val="000668F6"/>
    <w:rsid w:val="00066A89"/>
    <w:rsid w:val="00066B72"/>
    <w:rsid w:val="00066DA8"/>
    <w:rsid w:val="00066DAC"/>
    <w:rsid w:val="00066DE1"/>
    <w:rsid w:val="00066F6A"/>
    <w:rsid w:val="000670E0"/>
    <w:rsid w:val="000671BD"/>
    <w:rsid w:val="000671E6"/>
    <w:rsid w:val="00067385"/>
    <w:rsid w:val="00067392"/>
    <w:rsid w:val="00067482"/>
    <w:rsid w:val="000674FD"/>
    <w:rsid w:val="0006750F"/>
    <w:rsid w:val="00067628"/>
    <w:rsid w:val="000676A8"/>
    <w:rsid w:val="00067746"/>
    <w:rsid w:val="00067786"/>
    <w:rsid w:val="000677A0"/>
    <w:rsid w:val="00067825"/>
    <w:rsid w:val="000679A4"/>
    <w:rsid w:val="00067A41"/>
    <w:rsid w:val="00067A53"/>
    <w:rsid w:val="00067A64"/>
    <w:rsid w:val="00067A71"/>
    <w:rsid w:val="00067B05"/>
    <w:rsid w:val="00067BBF"/>
    <w:rsid w:val="00067DE4"/>
    <w:rsid w:val="00067E10"/>
    <w:rsid w:val="00067E91"/>
    <w:rsid w:val="00067F52"/>
    <w:rsid w:val="00067FA7"/>
    <w:rsid w:val="0007004B"/>
    <w:rsid w:val="00070153"/>
    <w:rsid w:val="00070354"/>
    <w:rsid w:val="0007040F"/>
    <w:rsid w:val="0007048A"/>
    <w:rsid w:val="000704F5"/>
    <w:rsid w:val="00070577"/>
    <w:rsid w:val="00070590"/>
    <w:rsid w:val="000705D6"/>
    <w:rsid w:val="000706B2"/>
    <w:rsid w:val="0007073C"/>
    <w:rsid w:val="000707D6"/>
    <w:rsid w:val="00070943"/>
    <w:rsid w:val="000709F1"/>
    <w:rsid w:val="00070A05"/>
    <w:rsid w:val="00070A31"/>
    <w:rsid w:val="00070A7B"/>
    <w:rsid w:val="00070B47"/>
    <w:rsid w:val="00070C23"/>
    <w:rsid w:val="00070DBD"/>
    <w:rsid w:val="00070E4D"/>
    <w:rsid w:val="00070E8C"/>
    <w:rsid w:val="00070F4F"/>
    <w:rsid w:val="00070F77"/>
    <w:rsid w:val="00070FE1"/>
    <w:rsid w:val="00071074"/>
    <w:rsid w:val="00071176"/>
    <w:rsid w:val="0007123B"/>
    <w:rsid w:val="00071265"/>
    <w:rsid w:val="000713FD"/>
    <w:rsid w:val="0007146F"/>
    <w:rsid w:val="0007165D"/>
    <w:rsid w:val="0007168E"/>
    <w:rsid w:val="0007170A"/>
    <w:rsid w:val="0007177F"/>
    <w:rsid w:val="00071781"/>
    <w:rsid w:val="00071795"/>
    <w:rsid w:val="000717A3"/>
    <w:rsid w:val="000717D7"/>
    <w:rsid w:val="0007181C"/>
    <w:rsid w:val="00071A1D"/>
    <w:rsid w:val="00071B25"/>
    <w:rsid w:val="00071C92"/>
    <w:rsid w:val="00071CBA"/>
    <w:rsid w:val="00072015"/>
    <w:rsid w:val="000720AC"/>
    <w:rsid w:val="000720E3"/>
    <w:rsid w:val="00072128"/>
    <w:rsid w:val="000721B3"/>
    <w:rsid w:val="00072200"/>
    <w:rsid w:val="0007225F"/>
    <w:rsid w:val="00072279"/>
    <w:rsid w:val="000722BF"/>
    <w:rsid w:val="0007251F"/>
    <w:rsid w:val="00072537"/>
    <w:rsid w:val="000725D5"/>
    <w:rsid w:val="00072623"/>
    <w:rsid w:val="000727DC"/>
    <w:rsid w:val="000727FF"/>
    <w:rsid w:val="00072802"/>
    <w:rsid w:val="0007282E"/>
    <w:rsid w:val="00072920"/>
    <w:rsid w:val="0007299D"/>
    <w:rsid w:val="000729D2"/>
    <w:rsid w:val="00072AB1"/>
    <w:rsid w:val="00072AC6"/>
    <w:rsid w:val="00072DBA"/>
    <w:rsid w:val="00072DE5"/>
    <w:rsid w:val="00072EF7"/>
    <w:rsid w:val="00072F6E"/>
    <w:rsid w:val="00072FB3"/>
    <w:rsid w:val="00072FE9"/>
    <w:rsid w:val="00073003"/>
    <w:rsid w:val="00073088"/>
    <w:rsid w:val="000730BE"/>
    <w:rsid w:val="000731FF"/>
    <w:rsid w:val="0007331E"/>
    <w:rsid w:val="000733F6"/>
    <w:rsid w:val="00073552"/>
    <w:rsid w:val="0007357A"/>
    <w:rsid w:val="000735E6"/>
    <w:rsid w:val="000735F8"/>
    <w:rsid w:val="00073643"/>
    <w:rsid w:val="00073646"/>
    <w:rsid w:val="000736AD"/>
    <w:rsid w:val="000736D6"/>
    <w:rsid w:val="00073706"/>
    <w:rsid w:val="0007379A"/>
    <w:rsid w:val="000737F2"/>
    <w:rsid w:val="00073860"/>
    <w:rsid w:val="00073902"/>
    <w:rsid w:val="00073A63"/>
    <w:rsid w:val="00073AB6"/>
    <w:rsid w:val="00073AED"/>
    <w:rsid w:val="00073CB9"/>
    <w:rsid w:val="00073DCD"/>
    <w:rsid w:val="00073DE3"/>
    <w:rsid w:val="00074054"/>
    <w:rsid w:val="0007415E"/>
    <w:rsid w:val="00074232"/>
    <w:rsid w:val="000742E4"/>
    <w:rsid w:val="0007436E"/>
    <w:rsid w:val="00074583"/>
    <w:rsid w:val="000745A8"/>
    <w:rsid w:val="0007465D"/>
    <w:rsid w:val="000746C9"/>
    <w:rsid w:val="000746E8"/>
    <w:rsid w:val="0007470B"/>
    <w:rsid w:val="00074782"/>
    <w:rsid w:val="000748D7"/>
    <w:rsid w:val="00074A10"/>
    <w:rsid w:val="00074C74"/>
    <w:rsid w:val="00074CAF"/>
    <w:rsid w:val="00074D1B"/>
    <w:rsid w:val="00074D86"/>
    <w:rsid w:val="00074DE2"/>
    <w:rsid w:val="00074FF8"/>
    <w:rsid w:val="00075020"/>
    <w:rsid w:val="000751B1"/>
    <w:rsid w:val="00075274"/>
    <w:rsid w:val="000752A5"/>
    <w:rsid w:val="000755E4"/>
    <w:rsid w:val="0007565C"/>
    <w:rsid w:val="00075677"/>
    <w:rsid w:val="00075679"/>
    <w:rsid w:val="00075797"/>
    <w:rsid w:val="000758DA"/>
    <w:rsid w:val="0007592A"/>
    <w:rsid w:val="00075AE0"/>
    <w:rsid w:val="00075BF2"/>
    <w:rsid w:val="00075BFD"/>
    <w:rsid w:val="00075CD7"/>
    <w:rsid w:val="00075D1B"/>
    <w:rsid w:val="00075F0B"/>
    <w:rsid w:val="00075F6B"/>
    <w:rsid w:val="0007604E"/>
    <w:rsid w:val="000760A1"/>
    <w:rsid w:val="00076178"/>
    <w:rsid w:val="00076208"/>
    <w:rsid w:val="0007634F"/>
    <w:rsid w:val="0007642B"/>
    <w:rsid w:val="00076579"/>
    <w:rsid w:val="000765A1"/>
    <w:rsid w:val="000765CB"/>
    <w:rsid w:val="0007660C"/>
    <w:rsid w:val="000766A6"/>
    <w:rsid w:val="00076728"/>
    <w:rsid w:val="0007672B"/>
    <w:rsid w:val="00076820"/>
    <w:rsid w:val="00076921"/>
    <w:rsid w:val="000769CD"/>
    <w:rsid w:val="000769F3"/>
    <w:rsid w:val="00076A3F"/>
    <w:rsid w:val="00076B58"/>
    <w:rsid w:val="00076C58"/>
    <w:rsid w:val="00076DBD"/>
    <w:rsid w:val="00076DE2"/>
    <w:rsid w:val="00076DFE"/>
    <w:rsid w:val="00076E95"/>
    <w:rsid w:val="00076FEB"/>
    <w:rsid w:val="00077076"/>
    <w:rsid w:val="000771BC"/>
    <w:rsid w:val="000774CA"/>
    <w:rsid w:val="000774E3"/>
    <w:rsid w:val="000774FF"/>
    <w:rsid w:val="00077571"/>
    <w:rsid w:val="0007759A"/>
    <w:rsid w:val="00077778"/>
    <w:rsid w:val="0007779F"/>
    <w:rsid w:val="00077A8F"/>
    <w:rsid w:val="00077B81"/>
    <w:rsid w:val="00077C3F"/>
    <w:rsid w:val="00077C5D"/>
    <w:rsid w:val="00077DAB"/>
    <w:rsid w:val="000800BD"/>
    <w:rsid w:val="0008010C"/>
    <w:rsid w:val="00080128"/>
    <w:rsid w:val="000801F2"/>
    <w:rsid w:val="00080249"/>
    <w:rsid w:val="0008037F"/>
    <w:rsid w:val="00080447"/>
    <w:rsid w:val="0008047A"/>
    <w:rsid w:val="0008047D"/>
    <w:rsid w:val="000805EB"/>
    <w:rsid w:val="0008086C"/>
    <w:rsid w:val="000809C1"/>
    <w:rsid w:val="00080A85"/>
    <w:rsid w:val="00080B09"/>
    <w:rsid w:val="00080BF0"/>
    <w:rsid w:val="00080CA5"/>
    <w:rsid w:val="00080CD3"/>
    <w:rsid w:val="00080D0E"/>
    <w:rsid w:val="00080D27"/>
    <w:rsid w:val="0008112C"/>
    <w:rsid w:val="000811C3"/>
    <w:rsid w:val="00081206"/>
    <w:rsid w:val="00081291"/>
    <w:rsid w:val="00081304"/>
    <w:rsid w:val="000813F5"/>
    <w:rsid w:val="00081400"/>
    <w:rsid w:val="0008142A"/>
    <w:rsid w:val="00081468"/>
    <w:rsid w:val="0008147E"/>
    <w:rsid w:val="000815DD"/>
    <w:rsid w:val="000815E2"/>
    <w:rsid w:val="000815E6"/>
    <w:rsid w:val="00081634"/>
    <w:rsid w:val="0008169A"/>
    <w:rsid w:val="0008171B"/>
    <w:rsid w:val="00081866"/>
    <w:rsid w:val="00081A97"/>
    <w:rsid w:val="00081B74"/>
    <w:rsid w:val="00081BD5"/>
    <w:rsid w:val="00081BD8"/>
    <w:rsid w:val="00081BDA"/>
    <w:rsid w:val="00081C90"/>
    <w:rsid w:val="00081C9B"/>
    <w:rsid w:val="00081CF4"/>
    <w:rsid w:val="00081D0F"/>
    <w:rsid w:val="00081DD9"/>
    <w:rsid w:val="00081E05"/>
    <w:rsid w:val="00081ED0"/>
    <w:rsid w:val="00081F45"/>
    <w:rsid w:val="000821C2"/>
    <w:rsid w:val="000822D8"/>
    <w:rsid w:val="000823F7"/>
    <w:rsid w:val="000826AF"/>
    <w:rsid w:val="00082731"/>
    <w:rsid w:val="00082830"/>
    <w:rsid w:val="00082899"/>
    <w:rsid w:val="0008290E"/>
    <w:rsid w:val="00082B46"/>
    <w:rsid w:val="00082B61"/>
    <w:rsid w:val="00082BAF"/>
    <w:rsid w:val="00082BCF"/>
    <w:rsid w:val="00082CE5"/>
    <w:rsid w:val="00082D7A"/>
    <w:rsid w:val="00082E9C"/>
    <w:rsid w:val="00082F18"/>
    <w:rsid w:val="00083104"/>
    <w:rsid w:val="00083224"/>
    <w:rsid w:val="0008347A"/>
    <w:rsid w:val="000835F0"/>
    <w:rsid w:val="000836B7"/>
    <w:rsid w:val="000837E9"/>
    <w:rsid w:val="0008384C"/>
    <w:rsid w:val="00083862"/>
    <w:rsid w:val="000838BE"/>
    <w:rsid w:val="0008390F"/>
    <w:rsid w:val="00083B51"/>
    <w:rsid w:val="00083BB0"/>
    <w:rsid w:val="00083BCA"/>
    <w:rsid w:val="00083C22"/>
    <w:rsid w:val="00083C26"/>
    <w:rsid w:val="00083C66"/>
    <w:rsid w:val="00083C67"/>
    <w:rsid w:val="00083CD7"/>
    <w:rsid w:val="00083F47"/>
    <w:rsid w:val="0008432C"/>
    <w:rsid w:val="000846F6"/>
    <w:rsid w:val="000847C3"/>
    <w:rsid w:val="000848A2"/>
    <w:rsid w:val="000848DD"/>
    <w:rsid w:val="000848E7"/>
    <w:rsid w:val="000849C6"/>
    <w:rsid w:val="00084A6F"/>
    <w:rsid w:val="00084B32"/>
    <w:rsid w:val="00084BAC"/>
    <w:rsid w:val="00084BB9"/>
    <w:rsid w:val="00084BE9"/>
    <w:rsid w:val="00084CE5"/>
    <w:rsid w:val="00084D73"/>
    <w:rsid w:val="00084DBD"/>
    <w:rsid w:val="00084EAC"/>
    <w:rsid w:val="00084EC4"/>
    <w:rsid w:val="00084EEE"/>
    <w:rsid w:val="000850C7"/>
    <w:rsid w:val="00085130"/>
    <w:rsid w:val="0008515D"/>
    <w:rsid w:val="00085229"/>
    <w:rsid w:val="00085370"/>
    <w:rsid w:val="00085433"/>
    <w:rsid w:val="000854BE"/>
    <w:rsid w:val="0008552E"/>
    <w:rsid w:val="0008562D"/>
    <w:rsid w:val="0008570C"/>
    <w:rsid w:val="0008574B"/>
    <w:rsid w:val="000857A0"/>
    <w:rsid w:val="0008580F"/>
    <w:rsid w:val="0008594F"/>
    <w:rsid w:val="000859C4"/>
    <w:rsid w:val="000859FA"/>
    <w:rsid w:val="00085BD3"/>
    <w:rsid w:val="00085C1C"/>
    <w:rsid w:val="00085D2E"/>
    <w:rsid w:val="00085DA5"/>
    <w:rsid w:val="00085E2E"/>
    <w:rsid w:val="00085E3E"/>
    <w:rsid w:val="00085E5F"/>
    <w:rsid w:val="00085E7E"/>
    <w:rsid w:val="00085EAF"/>
    <w:rsid w:val="00085EC2"/>
    <w:rsid w:val="00085F5C"/>
    <w:rsid w:val="00085F86"/>
    <w:rsid w:val="0008603D"/>
    <w:rsid w:val="00086044"/>
    <w:rsid w:val="0008619E"/>
    <w:rsid w:val="0008622B"/>
    <w:rsid w:val="000862CF"/>
    <w:rsid w:val="0008643C"/>
    <w:rsid w:val="000864B8"/>
    <w:rsid w:val="0008650C"/>
    <w:rsid w:val="0008655A"/>
    <w:rsid w:val="00086571"/>
    <w:rsid w:val="00086581"/>
    <w:rsid w:val="0008667C"/>
    <w:rsid w:val="000866EC"/>
    <w:rsid w:val="00086832"/>
    <w:rsid w:val="000868AE"/>
    <w:rsid w:val="000868F3"/>
    <w:rsid w:val="000868F4"/>
    <w:rsid w:val="0008694E"/>
    <w:rsid w:val="00086B37"/>
    <w:rsid w:val="00086D63"/>
    <w:rsid w:val="00086D70"/>
    <w:rsid w:val="00086D72"/>
    <w:rsid w:val="00086E63"/>
    <w:rsid w:val="000870F0"/>
    <w:rsid w:val="000870F1"/>
    <w:rsid w:val="0008736F"/>
    <w:rsid w:val="00087457"/>
    <w:rsid w:val="000875EA"/>
    <w:rsid w:val="000876A1"/>
    <w:rsid w:val="0008770D"/>
    <w:rsid w:val="00087784"/>
    <w:rsid w:val="00087885"/>
    <w:rsid w:val="0008792D"/>
    <w:rsid w:val="000879CE"/>
    <w:rsid w:val="000879DD"/>
    <w:rsid w:val="00087BCF"/>
    <w:rsid w:val="00087D70"/>
    <w:rsid w:val="00087E2B"/>
    <w:rsid w:val="00087EB9"/>
    <w:rsid w:val="00087FF1"/>
    <w:rsid w:val="0009007A"/>
    <w:rsid w:val="000900D8"/>
    <w:rsid w:val="0009011A"/>
    <w:rsid w:val="0009012C"/>
    <w:rsid w:val="00090134"/>
    <w:rsid w:val="00090186"/>
    <w:rsid w:val="00090235"/>
    <w:rsid w:val="0009037B"/>
    <w:rsid w:val="000903F3"/>
    <w:rsid w:val="00090442"/>
    <w:rsid w:val="0009049C"/>
    <w:rsid w:val="000904C2"/>
    <w:rsid w:val="000904EE"/>
    <w:rsid w:val="00090665"/>
    <w:rsid w:val="00090972"/>
    <w:rsid w:val="0009099A"/>
    <w:rsid w:val="00090A06"/>
    <w:rsid w:val="00090A30"/>
    <w:rsid w:val="00090B31"/>
    <w:rsid w:val="00090BB9"/>
    <w:rsid w:val="00090BDC"/>
    <w:rsid w:val="00090E22"/>
    <w:rsid w:val="00090EB9"/>
    <w:rsid w:val="00090F89"/>
    <w:rsid w:val="00091041"/>
    <w:rsid w:val="00091048"/>
    <w:rsid w:val="0009111C"/>
    <w:rsid w:val="00091147"/>
    <w:rsid w:val="00091302"/>
    <w:rsid w:val="00091303"/>
    <w:rsid w:val="00091388"/>
    <w:rsid w:val="00091504"/>
    <w:rsid w:val="0009150E"/>
    <w:rsid w:val="000916A7"/>
    <w:rsid w:val="00091748"/>
    <w:rsid w:val="0009187B"/>
    <w:rsid w:val="00091989"/>
    <w:rsid w:val="00091C5C"/>
    <w:rsid w:val="00091CB4"/>
    <w:rsid w:val="00091FA4"/>
    <w:rsid w:val="0009206C"/>
    <w:rsid w:val="000920EC"/>
    <w:rsid w:val="0009213F"/>
    <w:rsid w:val="000922FA"/>
    <w:rsid w:val="000922FB"/>
    <w:rsid w:val="0009243E"/>
    <w:rsid w:val="00092448"/>
    <w:rsid w:val="00092495"/>
    <w:rsid w:val="000924B2"/>
    <w:rsid w:val="000924B6"/>
    <w:rsid w:val="000924DE"/>
    <w:rsid w:val="000925E8"/>
    <w:rsid w:val="00092620"/>
    <w:rsid w:val="00092688"/>
    <w:rsid w:val="000926CE"/>
    <w:rsid w:val="00092704"/>
    <w:rsid w:val="00092705"/>
    <w:rsid w:val="00092790"/>
    <w:rsid w:val="000927B4"/>
    <w:rsid w:val="000927E9"/>
    <w:rsid w:val="00092DAE"/>
    <w:rsid w:val="00092E71"/>
    <w:rsid w:val="00092EAC"/>
    <w:rsid w:val="00092FAF"/>
    <w:rsid w:val="00092FD2"/>
    <w:rsid w:val="000931A8"/>
    <w:rsid w:val="000933B2"/>
    <w:rsid w:val="00093578"/>
    <w:rsid w:val="000935AC"/>
    <w:rsid w:val="000935C0"/>
    <w:rsid w:val="000936D6"/>
    <w:rsid w:val="000937AF"/>
    <w:rsid w:val="0009382C"/>
    <w:rsid w:val="000938BB"/>
    <w:rsid w:val="000939CF"/>
    <w:rsid w:val="00093B07"/>
    <w:rsid w:val="00093B74"/>
    <w:rsid w:val="00093BAE"/>
    <w:rsid w:val="00093CE4"/>
    <w:rsid w:val="00093D00"/>
    <w:rsid w:val="00093D19"/>
    <w:rsid w:val="00093EE5"/>
    <w:rsid w:val="0009400A"/>
    <w:rsid w:val="00094079"/>
    <w:rsid w:val="000942CD"/>
    <w:rsid w:val="00094381"/>
    <w:rsid w:val="00094482"/>
    <w:rsid w:val="00094494"/>
    <w:rsid w:val="000944A2"/>
    <w:rsid w:val="00094583"/>
    <w:rsid w:val="000945B3"/>
    <w:rsid w:val="000945F5"/>
    <w:rsid w:val="00094728"/>
    <w:rsid w:val="000947D6"/>
    <w:rsid w:val="00094922"/>
    <w:rsid w:val="00094A34"/>
    <w:rsid w:val="00094A36"/>
    <w:rsid w:val="00094B05"/>
    <w:rsid w:val="00094D58"/>
    <w:rsid w:val="00094EFB"/>
    <w:rsid w:val="00094F2F"/>
    <w:rsid w:val="00094FE7"/>
    <w:rsid w:val="00094FE9"/>
    <w:rsid w:val="00095037"/>
    <w:rsid w:val="000950F2"/>
    <w:rsid w:val="00095106"/>
    <w:rsid w:val="0009521E"/>
    <w:rsid w:val="00095324"/>
    <w:rsid w:val="00095359"/>
    <w:rsid w:val="0009535B"/>
    <w:rsid w:val="000955CC"/>
    <w:rsid w:val="0009561E"/>
    <w:rsid w:val="00095696"/>
    <w:rsid w:val="000956A7"/>
    <w:rsid w:val="000958B1"/>
    <w:rsid w:val="00095B70"/>
    <w:rsid w:val="00095C48"/>
    <w:rsid w:val="00095F5D"/>
    <w:rsid w:val="00095F69"/>
    <w:rsid w:val="00096103"/>
    <w:rsid w:val="0009616A"/>
    <w:rsid w:val="00096171"/>
    <w:rsid w:val="00096215"/>
    <w:rsid w:val="00096392"/>
    <w:rsid w:val="00096545"/>
    <w:rsid w:val="0009661D"/>
    <w:rsid w:val="00096623"/>
    <w:rsid w:val="00096656"/>
    <w:rsid w:val="0009665E"/>
    <w:rsid w:val="0009668D"/>
    <w:rsid w:val="000966EF"/>
    <w:rsid w:val="00096966"/>
    <w:rsid w:val="00096A04"/>
    <w:rsid w:val="00096BCA"/>
    <w:rsid w:val="00096D6B"/>
    <w:rsid w:val="00096D8D"/>
    <w:rsid w:val="00096EDC"/>
    <w:rsid w:val="00097021"/>
    <w:rsid w:val="00097055"/>
    <w:rsid w:val="00097177"/>
    <w:rsid w:val="00097239"/>
    <w:rsid w:val="00097295"/>
    <w:rsid w:val="000972A4"/>
    <w:rsid w:val="000973CC"/>
    <w:rsid w:val="000973F1"/>
    <w:rsid w:val="0009743C"/>
    <w:rsid w:val="00097492"/>
    <w:rsid w:val="000974B6"/>
    <w:rsid w:val="00097636"/>
    <w:rsid w:val="000976EE"/>
    <w:rsid w:val="0009776E"/>
    <w:rsid w:val="000977D8"/>
    <w:rsid w:val="000977E2"/>
    <w:rsid w:val="000979C8"/>
    <w:rsid w:val="00097AE4"/>
    <w:rsid w:val="00097B1B"/>
    <w:rsid w:val="00097B7A"/>
    <w:rsid w:val="00097B7C"/>
    <w:rsid w:val="00097D00"/>
    <w:rsid w:val="00097E04"/>
    <w:rsid w:val="00097E92"/>
    <w:rsid w:val="000A002F"/>
    <w:rsid w:val="000A0043"/>
    <w:rsid w:val="000A004D"/>
    <w:rsid w:val="000A01F6"/>
    <w:rsid w:val="000A0210"/>
    <w:rsid w:val="000A025E"/>
    <w:rsid w:val="000A03B9"/>
    <w:rsid w:val="000A04B4"/>
    <w:rsid w:val="000A05F0"/>
    <w:rsid w:val="000A0741"/>
    <w:rsid w:val="000A0789"/>
    <w:rsid w:val="000A0A40"/>
    <w:rsid w:val="000A0A5C"/>
    <w:rsid w:val="000A0DA7"/>
    <w:rsid w:val="000A0EF9"/>
    <w:rsid w:val="000A0F91"/>
    <w:rsid w:val="000A11A8"/>
    <w:rsid w:val="000A11BD"/>
    <w:rsid w:val="000A1266"/>
    <w:rsid w:val="000A12D1"/>
    <w:rsid w:val="000A1354"/>
    <w:rsid w:val="000A136E"/>
    <w:rsid w:val="000A143D"/>
    <w:rsid w:val="000A15C0"/>
    <w:rsid w:val="000A15D1"/>
    <w:rsid w:val="000A1613"/>
    <w:rsid w:val="000A1674"/>
    <w:rsid w:val="000A176D"/>
    <w:rsid w:val="000A1826"/>
    <w:rsid w:val="000A18AB"/>
    <w:rsid w:val="000A18E2"/>
    <w:rsid w:val="000A196E"/>
    <w:rsid w:val="000A19D0"/>
    <w:rsid w:val="000A1A7A"/>
    <w:rsid w:val="000A1BEB"/>
    <w:rsid w:val="000A1C3B"/>
    <w:rsid w:val="000A1DD9"/>
    <w:rsid w:val="000A1F17"/>
    <w:rsid w:val="000A1F50"/>
    <w:rsid w:val="000A1FBD"/>
    <w:rsid w:val="000A2136"/>
    <w:rsid w:val="000A2167"/>
    <w:rsid w:val="000A2187"/>
    <w:rsid w:val="000A2315"/>
    <w:rsid w:val="000A2493"/>
    <w:rsid w:val="000A24BF"/>
    <w:rsid w:val="000A2606"/>
    <w:rsid w:val="000A2852"/>
    <w:rsid w:val="000A28C4"/>
    <w:rsid w:val="000A299F"/>
    <w:rsid w:val="000A2A98"/>
    <w:rsid w:val="000A2AD5"/>
    <w:rsid w:val="000A2B2A"/>
    <w:rsid w:val="000A2C54"/>
    <w:rsid w:val="000A2C7E"/>
    <w:rsid w:val="000A2D65"/>
    <w:rsid w:val="000A2FCF"/>
    <w:rsid w:val="000A316E"/>
    <w:rsid w:val="000A3515"/>
    <w:rsid w:val="000A356E"/>
    <w:rsid w:val="000A35BE"/>
    <w:rsid w:val="000A3623"/>
    <w:rsid w:val="000A36DA"/>
    <w:rsid w:val="000A36FE"/>
    <w:rsid w:val="000A3796"/>
    <w:rsid w:val="000A3799"/>
    <w:rsid w:val="000A3A0D"/>
    <w:rsid w:val="000A3B5D"/>
    <w:rsid w:val="000A3C59"/>
    <w:rsid w:val="000A3C76"/>
    <w:rsid w:val="000A3CD3"/>
    <w:rsid w:val="000A3D86"/>
    <w:rsid w:val="000A3D8A"/>
    <w:rsid w:val="000A3F8F"/>
    <w:rsid w:val="000A408F"/>
    <w:rsid w:val="000A41BA"/>
    <w:rsid w:val="000A42F6"/>
    <w:rsid w:val="000A42FB"/>
    <w:rsid w:val="000A4341"/>
    <w:rsid w:val="000A447E"/>
    <w:rsid w:val="000A4519"/>
    <w:rsid w:val="000A47A3"/>
    <w:rsid w:val="000A4839"/>
    <w:rsid w:val="000A4A76"/>
    <w:rsid w:val="000A4A81"/>
    <w:rsid w:val="000A4AC4"/>
    <w:rsid w:val="000A5017"/>
    <w:rsid w:val="000A5025"/>
    <w:rsid w:val="000A513B"/>
    <w:rsid w:val="000A51E2"/>
    <w:rsid w:val="000A51EE"/>
    <w:rsid w:val="000A52C5"/>
    <w:rsid w:val="000A53C0"/>
    <w:rsid w:val="000A5412"/>
    <w:rsid w:val="000A55A5"/>
    <w:rsid w:val="000A55DB"/>
    <w:rsid w:val="000A55E4"/>
    <w:rsid w:val="000A562F"/>
    <w:rsid w:val="000A57F5"/>
    <w:rsid w:val="000A5816"/>
    <w:rsid w:val="000A5841"/>
    <w:rsid w:val="000A58C1"/>
    <w:rsid w:val="000A5BAF"/>
    <w:rsid w:val="000A5BB7"/>
    <w:rsid w:val="000A5CAB"/>
    <w:rsid w:val="000A5D86"/>
    <w:rsid w:val="000A5F3B"/>
    <w:rsid w:val="000A600A"/>
    <w:rsid w:val="000A6157"/>
    <w:rsid w:val="000A6198"/>
    <w:rsid w:val="000A623F"/>
    <w:rsid w:val="000A632C"/>
    <w:rsid w:val="000A63FD"/>
    <w:rsid w:val="000A6590"/>
    <w:rsid w:val="000A67C5"/>
    <w:rsid w:val="000A680A"/>
    <w:rsid w:val="000A6832"/>
    <w:rsid w:val="000A6856"/>
    <w:rsid w:val="000A69C8"/>
    <w:rsid w:val="000A6A8A"/>
    <w:rsid w:val="000A6BAA"/>
    <w:rsid w:val="000A6BAD"/>
    <w:rsid w:val="000A6C9D"/>
    <w:rsid w:val="000A6D17"/>
    <w:rsid w:val="000A6D63"/>
    <w:rsid w:val="000A6D75"/>
    <w:rsid w:val="000A6E9D"/>
    <w:rsid w:val="000A6F3B"/>
    <w:rsid w:val="000A6F85"/>
    <w:rsid w:val="000A6F8A"/>
    <w:rsid w:val="000A6FB4"/>
    <w:rsid w:val="000A7232"/>
    <w:rsid w:val="000A72EF"/>
    <w:rsid w:val="000A7328"/>
    <w:rsid w:val="000A73AB"/>
    <w:rsid w:val="000A7426"/>
    <w:rsid w:val="000A75CA"/>
    <w:rsid w:val="000A7755"/>
    <w:rsid w:val="000A77BB"/>
    <w:rsid w:val="000A78E7"/>
    <w:rsid w:val="000A79E9"/>
    <w:rsid w:val="000A7A9D"/>
    <w:rsid w:val="000A7B3A"/>
    <w:rsid w:val="000A7BAB"/>
    <w:rsid w:val="000A7CAD"/>
    <w:rsid w:val="000A7D62"/>
    <w:rsid w:val="000A7DBF"/>
    <w:rsid w:val="000A7FC1"/>
    <w:rsid w:val="000A7FE4"/>
    <w:rsid w:val="000B0109"/>
    <w:rsid w:val="000B01EB"/>
    <w:rsid w:val="000B0269"/>
    <w:rsid w:val="000B04DF"/>
    <w:rsid w:val="000B061C"/>
    <w:rsid w:val="000B0633"/>
    <w:rsid w:val="000B06DD"/>
    <w:rsid w:val="000B06E3"/>
    <w:rsid w:val="000B0748"/>
    <w:rsid w:val="000B078A"/>
    <w:rsid w:val="000B07B6"/>
    <w:rsid w:val="000B080C"/>
    <w:rsid w:val="000B0A64"/>
    <w:rsid w:val="000B0A66"/>
    <w:rsid w:val="000B0BE1"/>
    <w:rsid w:val="000B0C53"/>
    <w:rsid w:val="000B0FCE"/>
    <w:rsid w:val="000B106D"/>
    <w:rsid w:val="000B1156"/>
    <w:rsid w:val="000B117B"/>
    <w:rsid w:val="000B119A"/>
    <w:rsid w:val="000B11AB"/>
    <w:rsid w:val="000B120D"/>
    <w:rsid w:val="000B121D"/>
    <w:rsid w:val="000B13FF"/>
    <w:rsid w:val="000B1592"/>
    <w:rsid w:val="000B1633"/>
    <w:rsid w:val="000B1649"/>
    <w:rsid w:val="000B167A"/>
    <w:rsid w:val="000B1720"/>
    <w:rsid w:val="000B175F"/>
    <w:rsid w:val="000B17AF"/>
    <w:rsid w:val="000B1A47"/>
    <w:rsid w:val="000B1A69"/>
    <w:rsid w:val="000B1B72"/>
    <w:rsid w:val="000B1C4E"/>
    <w:rsid w:val="000B1C50"/>
    <w:rsid w:val="000B1E2E"/>
    <w:rsid w:val="000B1E54"/>
    <w:rsid w:val="000B1F19"/>
    <w:rsid w:val="000B228C"/>
    <w:rsid w:val="000B22A7"/>
    <w:rsid w:val="000B2332"/>
    <w:rsid w:val="000B2375"/>
    <w:rsid w:val="000B2400"/>
    <w:rsid w:val="000B2462"/>
    <w:rsid w:val="000B24AB"/>
    <w:rsid w:val="000B2550"/>
    <w:rsid w:val="000B2644"/>
    <w:rsid w:val="000B27BB"/>
    <w:rsid w:val="000B2818"/>
    <w:rsid w:val="000B29E1"/>
    <w:rsid w:val="000B29FE"/>
    <w:rsid w:val="000B2B04"/>
    <w:rsid w:val="000B2D4E"/>
    <w:rsid w:val="000B2DF5"/>
    <w:rsid w:val="000B2DF8"/>
    <w:rsid w:val="000B2ED2"/>
    <w:rsid w:val="000B2F09"/>
    <w:rsid w:val="000B2F1B"/>
    <w:rsid w:val="000B30DA"/>
    <w:rsid w:val="000B312C"/>
    <w:rsid w:val="000B3135"/>
    <w:rsid w:val="000B32CF"/>
    <w:rsid w:val="000B3452"/>
    <w:rsid w:val="000B3457"/>
    <w:rsid w:val="000B3479"/>
    <w:rsid w:val="000B34CC"/>
    <w:rsid w:val="000B3503"/>
    <w:rsid w:val="000B366C"/>
    <w:rsid w:val="000B38DE"/>
    <w:rsid w:val="000B3A22"/>
    <w:rsid w:val="000B3A29"/>
    <w:rsid w:val="000B3A70"/>
    <w:rsid w:val="000B3CA3"/>
    <w:rsid w:val="000B3D14"/>
    <w:rsid w:val="000B3FD8"/>
    <w:rsid w:val="000B3FE2"/>
    <w:rsid w:val="000B407E"/>
    <w:rsid w:val="000B40D9"/>
    <w:rsid w:val="000B41C8"/>
    <w:rsid w:val="000B442C"/>
    <w:rsid w:val="000B44E6"/>
    <w:rsid w:val="000B4646"/>
    <w:rsid w:val="000B46B3"/>
    <w:rsid w:val="000B4700"/>
    <w:rsid w:val="000B4785"/>
    <w:rsid w:val="000B47A8"/>
    <w:rsid w:val="000B486B"/>
    <w:rsid w:val="000B4988"/>
    <w:rsid w:val="000B49CE"/>
    <w:rsid w:val="000B4A7C"/>
    <w:rsid w:val="000B4AB4"/>
    <w:rsid w:val="000B4BD6"/>
    <w:rsid w:val="000B4BE3"/>
    <w:rsid w:val="000B4C19"/>
    <w:rsid w:val="000B4D43"/>
    <w:rsid w:val="000B4EC0"/>
    <w:rsid w:val="000B4F19"/>
    <w:rsid w:val="000B4FD2"/>
    <w:rsid w:val="000B4FF7"/>
    <w:rsid w:val="000B5006"/>
    <w:rsid w:val="000B5073"/>
    <w:rsid w:val="000B50DB"/>
    <w:rsid w:val="000B5105"/>
    <w:rsid w:val="000B52BA"/>
    <w:rsid w:val="000B5460"/>
    <w:rsid w:val="000B554F"/>
    <w:rsid w:val="000B5699"/>
    <w:rsid w:val="000B58AF"/>
    <w:rsid w:val="000B5B2B"/>
    <w:rsid w:val="000B5C50"/>
    <w:rsid w:val="000B5C5E"/>
    <w:rsid w:val="000B5CAA"/>
    <w:rsid w:val="000B5D01"/>
    <w:rsid w:val="000B5D75"/>
    <w:rsid w:val="000B5D8C"/>
    <w:rsid w:val="000B5E11"/>
    <w:rsid w:val="000B5E7C"/>
    <w:rsid w:val="000B602C"/>
    <w:rsid w:val="000B6074"/>
    <w:rsid w:val="000B6198"/>
    <w:rsid w:val="000B633A"/>
    <w:rsid w:val="000B6433"/>
    <w:rsid w:val="000B6441"/>
    <w:rsid w:val="000B65AC"/>
    <w:rsid w:val="000B674E"/>
    <w:rsid w:val="000B6971"/>
    <w:rsid w:val="000B6990"/>
    <w:rsid w:val="000B69A5"/>
    <w:rsid w:val="000B69D7"/>
    <w:rsid w:val="000B6A2D"/>
    <w:rsid w:val="000B6AAF"/>
    <w:rsid w:val="000B6BC2"/>
    <w:rsid w:val="000B6BE5"/>
    <w:rsid w:val="000B6CC3"/>
    <w:rsid w:val="000B6D31"/>
    <w:rsid w:val="000B6E08"/>
    <w:rsid w:val="000B71F1"/>
    <w:rsid w:val="000B720B"/>
    <w:rsid w:val="000B7232"/>
    <w:rsid w:val="000B72F7"/>
    <w:rsid w:val="000B7339"/>
    <w:rsid w:val="000B743D"/>
    <w:rsid w:val="000B7440"/>
    <w:rsid w:val="000B745C"/>
    <w:rsid w:val="000B74A3"/>
    <w:rsid w:val="000B7547"/>
    <w:rsid w:val="000B7597"/>
    <w:rsid w:val="000B75AC"/>
    <w:rsid w:val="000B75B5"/>
    <w:rsid w:val="000B7775"/>
    <w:rsid w:val="000B7861"/>
    <w:rsid w:val="000B7886"/>
    <w:rsid w:val="000B78E4"/>
    <w:rsid w:val="000B7A3B"/>
    <w:rsid w:val="000B7B01"/>
    <w:rsid w:val="000B7ECE"/>
    <w:rsid w:val="000B7F3C"/>
    <w:rsid w:val="000C0175"/>
    <w:rsid w:val="000C01F7"/>
    <w:rsid w:val="000C0236"/>
    <w:rsid w:val="000C02B2"/>
    <w:rsid w:val="000C02F9"/>
    <w:rsid w:val="000C0380"/>
    <w:rsid w:val="000C0431"/>
    <w:rsid w:val="000C045C"/>
    <w:rsid w:val="000C04CC"/>
    <w:rsid w:val="000C04F1"/>
    <w:rsid w:val="000C04F9"/>
    <w:rsid w:val="000C07B8"/>
    <w:rsid w:val="000C0986"/>
    <w:rsid w:val="000C0A69"/>
    <w:rsid w:val="000C0B5F"/>
    <w:rsid w:val="000C0BAC"/>
    <w:rsid w:val="000C0BFF"/>
    <w:rsid w:val="000C0DBE"/>
    <w:rsid w:val="000C0FDF"/>
    <w:rsid w:val="000C122F"/>
    <w:rsid w:val="000C140F"/>
    <w:rsid w:val="000C142E"/>
    <w:rsid w:val="000C1448"/>
    <w:rsid w:val="000C15A5"/>
    <w:rsid w:val="000C1607"/>
    <w:rsid w:val="000C17C1"/>
    <w:rsid w:val="000C1957"/>
    <w:rsid w:val="000C197C"/>
    <w:rsid w:val="000C1A25"/>
    <w:rsid w:val="000C1A81"/>
    <w:rsid w:val="000C1ABD"/>
    <w:rsid w:val="000C1C22"/>
    <w:rsid w:val="000C1FAF"/>
    <w:rsid w:val="000C206E"/>
    <w:rsid w:val="000C210D"/>
    <w:rsid w:val="000C21BF"/>
    <w:rsid w:val="000C21ED"/>
    <w:rsid w:val="000C2282"/>
    <w:rsid w:val="000C22C7"/>
    <w:rsid w:val="000C22FA"/>
    <w:rsid w:val="000C247B"/>
    <w:rsid w:val="000C2530"/>
    <w:rsid w:val="000C2546"/>
    <w:rsid w:val="000C25C2"/>
    <w:rsid w:val="000C261C"/>
    <w:rsid w:val="000C2659"/>
    <w:rsid w:val="000C26B9"/>
    <w:rsid w:val="000C26F5"/>
    <w:rsid w:val="000C2718"/>
    <w:rsid w:val="000C2749"/>
    <w:rsid w:val="000C2753"/>
    <w:rsid w:val="000C27E5"/>
    <w:rsid w:val="000C2888"/>
    <w:rsid w:val="000C2962"/>
    <w:rsid w:val="000C2BC3"/>
    <w:rsid w:val="000C2C7C"/>
    <w:rsid w:val="000C2F30"/>
    <w:rsid w:val="000C2F83"/>
    <w:rsid w:val="000C3014"/>
    <w:rsid w:val="000C3137"/>
    <w:rsid w:val="000C31EB"/>
    <w:rsid w:val="000C31F6"/>
    <w:rsid w:val="000C31FB"/>
    <w:rsid w:val="000C3332"/>
    <w:rsid w:val="000C3461"/>
    <w:rsid w:val="000C3572"/>
    <w:rsid w:val="000C3603"/>
    <w:rsid w:val="000C365C"/>
    <w:rsid w:val="000C36B6"/>
    <w:rsid w:val="000C36C6"/>
    <w:rsid w:val="000C3840"/>
    <w:rsid w:val="000C3854"/>
    <w:rsid w:val="000C3B1F"/>
    <w:rsid w:val="000C3D75"/>
    <w:rsid w:val="000C3E59"/>
    <w:rsid w:val="000C3E62"/>
    <w:rsid w:val="000C3F66"/>
    <w:rsid w:val="000C4085"/>
    <w:rsid w:val="000C4153"/>
    <w:rsid w:val="000C4238"/>
    <w:rsid w:val="000C437F"/>
    <w:rsid w:val="000C43E5"/>
    <w:rsid w:val="000C440D"/>
    <w:rsid w:val="000C44A2"/>
    <w:rsid w:val="000C453C"/>
    <w:rsid w:val="000C46C7"/>
    <w:rsid w:val="000C4775"/>
    <w:rsid w:val="000C47D7"/>
    <w:rsid w:val="000C486F"/>
    <w:rsid w:val="000C4972"/>
    <w:rsid w:val="000C4B41"/>
    <w:rsid w:val="000C4BB3"/>
    <w:rsid w:val="000C4CE3"/>
    <w:rsid w:val="000C4D35"/>
    <w:rsid w:val="000C4E18"/>
    <w:rsid w:val="000C4F4E"/>
    <w:rsid w:val="000C5009"/>
    <w:rsid w:val="000C511B"/>
    <w:rsid w:val="000C5172"/>
    <w:rsid w:val="000C518F"/>
    <w:rsid w:val="000C5297"/>
    <w:rsid w:val="000C52AC"/>
    <w:rsid w:val="000C530C"/>
    <w:rsid w:val="000C5469"/>
    <w:rsid w:val="000C55B7"/>
    <w:rsid w:val="000C55FF"/>
    <w:rsid w:val="000C561A"/>
    <w:rsid w:val="000C5642"/>
    <w:rsid w:val="000C5696"/>
    <w:rsid w:val="000C59B7"/>
    <w:rsid w:val="000C5AE9"/>
    <w:rsid w:val="000C5BA9"/>
    <w:rsid w:val="000C5BE7"/>
    <w:rsid w:val="000C5C32"/>
    <w:rsid w:val="000C5CF1"/>
    <w:rsid w:val="000C5E17"/>
    <w:rsid w:val="000C5FBE"/>
    <w:rsid w:val="000C5FE7"/>
    <w:rsid w:val="000C5FEF"/>
    <w:rsid w:val="000C6003"/>
    <w:rsid w:val="000C602A"/>
    <w:rsid w:val="000C6198"/>
    <w:rsid w:val="000C6302"/>
    <w:rsid w:val="000C63E0"/>
    <w:rsid w:val="000C6419"/>
    <w:rsid w:val="000C642C"/>
    <w:rsid w:val="000C649C"/>
    <w:rsid w:val="000C64D5"/>
    <w:rsid w:val="000C64F9"/>
    <w:rsid w:val="000C659B"/>
    <w:rsid w:val="000C65F8"/>
    <w:rsid w:val="000C6647"/>
    <w:rsid w:val="000C6676"/>
    <w:rsid w:val="000C67BA"/>
    <w:rsid w:val="000C68C3"/>
    <w:rsid w:val="000C69E9"/>
    <w:rsid w:val="000C6A20"/>
    <w:rsid w:val="000C6CAF"/>
    <w:rsid w:val="000C6CCF"/>
    <w:rsid w:val="000C6D4D"/>
    <w:rsid w:val="000C6DC2"/>
    <w:rsid w:val="000C6F7B"/>
    <w:rsid w:val="000C6F96"/>
    <w:rsid w:val="000C6FCD"/>
    <w:rsid w:val="000C70C4"/>
    <w:rsid w:val="000C716A"/>
    <w:rsid w:val="000C7282"/>
    <w:rsid w:val="000C73F5"/>
    <w:rsid w:val="000C74A6"/>
    <w:rsid w:val="000C74EF"/>
    <w:rsid w:val="000C7551"/>
    <w:rsid w:val="000C756A"/>
    <w:rsid w:val="000C75C0"/>
    <w:rsid w:val="000C75D9"/>
    <w:rsid w:val="000C75F8"/>
    <w:rsid w:val="000C76B5"/>
    <w:rsid w:val="000C7918"/>
    <w:rsid w:val="000C793A"/>
    <w:rsid w:val="000C7AF5"/>
    <w:rsid w:val="000C7B46"/>
    <w:rsid w:val="000C7C34"/>
    <w:rsid w:val="000C7C4C"/>
    <w:rsid w:val="000C7F16"/>
    <w:rsid w:val="000C7FE6"/>
    <w:rsid w:val="000C7FE9"/>
    <w:rsid w:val="000D0002"/>
    <w:rsid w:val="000D00D7"/>
    <w:rsid w:val="000D0161"/>
    <w:rsid w:val="000D032C"/>
    <w:rsid w:val="000D037D"/>
    <w:rsid w:val="000D0390"/>
    <w:rsid w:val="000D0473"/>
    <w:rsid w:val="000D0666"/>
    <w:rsid w:val="000D07FE"/>
    <w:rsid w:val="000D0814"/>
    <w:rsid w:val="000D08B0"/>
    <w:rsid w:val="000D09A7"/>
    <w:rsid w:val="000D0AD6"/>
    <w:rsid w:val="000D0B96"/>
    <w:rsid w:val="000D0C84"/>
    <w:rsid w:val="000D0CAD"/>
    <w:rsid w:val="000D0CDA"/>
    <w:rsid w:val="000D0E05"/>
    <w:rsid w:val="000D104A"/>
    <w:rsid w:val="000D1097"/>
    <w:rsid w:val="000D1171"/>
    <w:rsid w:val="000D129F"/>
    <w:rsid w:val="000D12BD"/>
    <w:rsid w:val="000D12E8"/>
    <w:rsid w:val="000D1443"/>
    <w:rsid w:val="000D148A"/>
    <w:rsid w:val="000D14C1"/>
    <w:rsid w:val="000D1593"/>
    <w:rsid w:val="000D1666"/>
    <w:rsid w:val="000D17EB"/>
    <w:rsid w:val="000D182C"/>
    <w:rsid w:val="000D19B0"/>
    <w:rsid w:val="000D1AB6"/>
    <w:rsid w:val="000D1AF9"/>
    <w:rsid w:val="000D1DA3"/>
    <w:rsid w:val="000D1DA5"/>
    <w:rsid w:val="000D1E48"/>
    <w:rsid w:val="000D1E5E"/>
    <w:rsid w:val="000D1E82"/>
    <w:rsid w:val="000D1F86"/>
    <w:rsid w:val="000D1F98"/>
    <w:rsid w:val="000D1FED"/>
    <w:rsid w:val="000D2050"/>
    <w:rsid w:val="000D2191"/>
    <w:rsid w:val="000D234D"/>
    <w:rsid w:val="000D2352"/>
    <w:rsid w:val="000D24C5"/>
    <w:rsid w:val="000D252C"/>
    <w:rsid w:val="000D265C"/>
    <w:rsid w:val="000D2677"/>
    <w:rsid w:val="000D2794"/>
    <w:rsid w:val="000D2818"/>
    <w:rsid w:val="000D2961"/>
    <w:rsid w:val="000D2A8D"/>
    <w:rsid w:val="000D2BCA"/>
    <w:rsid w:val="000D2C2E"/>
    <w:rsid w:val="000D2C7F"/>
    <w:rsid w:val="000D2CC7"/>
    <w:rsid w:val="000D2D60"/>
    <w:rsid w:val="000D2DFA"/>
    <w:rsid w:val="000D2EC1"/>
    <w:rsid w:val="000D2F2F"/>
    <w:rsid w:val="000D2FF9"/>
    <w:rsid w:val="000D3177"/>
    <w:rsid w:val="000D3230"/>
    <w:rsid w:val="000D3284"/>
    <w:rsid w:val="000D33AB"/>
    <w:rsid w:val="000D34C2"/>
    <w:rsid w:val="000D34D8"/>
    <w:rsid w:val="000D3637"/>
    <w:rsid w:val="000D36A9"/>
    <w:rsid w:val="000D37B4"/>
    <w:rsid w:val="000D3848"/>
    <w:rsid w:val="000D38E5"/>
    <w:rsid w:val="000D3AA3"/>
    <w:rsid w:val="000D3AC4"/>
    <w:rsid w:val="000D3B91"/>
    <w:rsid w:val="000D3C73"/>
    <w:rsid w:val="000D3C9E"/>
    <w:rsid w:val="000D3CA8"/>
    <w:rsid w:val="000D3D4A"/>
    <w:rsid w:val="000D3D79"/>
    <w:rsid w:val="000D3E8B"/>
    <w:rsid w:val="000D3F38"/>
    <w:rsid w:val="000D4148"/>
    <w:rsid w:val="000D41DA"/>
    <w:rsid w:val="000D4482"/>
    <w:rsid w:val="000D4662"/>
    <w:rsid w:val="000D475F"/>
    <w:rsid w:val="000D4779"/>
    <w:rsid w:val="000D47A9"/>
    <w:rsid w:val="000D48C9"/>
    <w:rsid w:val="000D48FB"/>
    <w:rsid w:val="000D4AAE"/>
    <w:rsid w:val="000D4B77"/>
    <w:rsid w:val="000D4CE3"/>
    <w:rsid w:val="000D4D8C"/>
    <w:rsid w:val="000D4ED2"/>
    <w:rsid w:val="000D4F01"/>
    <w:rsid w:val="000D521F"/>
    <w:rsid w:val="000D5235"/>
    <w:rsid w:val="000D5331"/>
    <w:rsid w:val="000D55F7"/>
    <w:rsid w:val="000D568A"/>
    <w:rsid w:val="000D56C5"/>
    <w:rsid w:val="000D56F8"/>
    <w:rsid w:val="000D5759"/>
    <w:rsid w:val="000D57DB"/>
    <w:rsid w:val="000D5A74"/>
    <w:rsid w:val="000D5FD3"/>
    <w:rsid w:val="000D600C"/>
    <w:rsid w:val="000D60CD"/>
    <w:rsid w:val="000D60D5"/>
    <w:rsid w:val="000D613F"/>
    <w:rsid w:val="000D61AF"/>
    <w:rsid w:val="000D6200"/>
    <w:rsid w:val="000D647C"/>
    <w:rsid w:val="000D64D8"/>
    <w:rsid w:val="000D64DE"/>
    <w:rsid w:val="000D6606"/>
    <w:rsid w:val="000D665E"/>
    <w:rsid w:val="000D67EB"/>
    <w:rsid w:val="000D692C"/>
    <w:rsid w:val="000D69E2"/>
    <w:rsid w:val="000D6A44"/>
    <w:rsid w:val="000D6A91"/>
    <w:rsid w:val="000D6AF2"/>
    <w:rsid w:val="000D6C6D"/>
    <w:rsid w:val="000D6CD6"/>
    <w:rsid w:val="000D6CDD"/>
    <w:rsid w:val="000D6CED"/>
    <w:rsid w:val="000D6E59"/>
    <w:rsid w:val="000D6FD8"/>
    <w:rsid w:val="000D7049"/>
    <w:rsid w:val="000D7115"/>
    <w:rsid w:val="000D719C"/>
    <w:rsid w:val="000D7364"/>
    <w:rsid w:val="000D739A"/>
    <w:rsid w:val="000D75BE"/>
    <w:rsid w:val="000D76D2"/>
    <w:rsid w:val="000D77C6"/>
    <w:rsid w:val="000D77D7"/>
    <w:rsid w:val="000D7AFD"/>
    <w:rsid w:val="000D7B9C"/>
    <w:rsid w:val="000D7C30"/>
    <w:rsid w:val="000D7E4A"/>
    <w:rsid w:val="000D7F9F"/>
    <w:rsid w:val="000E01D4"/>
    <w:rsid w:val="000E0295"/>
    <w:rsid w:val="000E03F8"/>
    <w:rsid w:val="000E041D"/>
    <w:rsid w:val="000E04DC"/>
    <w:rsid w:val="000E055C"/>
    <w:rsid w:val="000E060A"/>
    <w:rsid w:val="000E06FB"/>
    <w:rsid w:val="000E074C"/>
    <w:rsid w:val="000E0879"/>
    <w:rsid w:val="000E099C"/>
    <w:rsid w:val="000E0B11"/>
    <w:rsid w:val="000E0B75"/>
    <w:rsid w:val="000E0C68"/>
    <w:rsid w:val="000E0CC8"/>
    <w:rsid w:val="000E0D79"/>
    <w:rsid w:val="000E0E94"/>
    <w:rsid w:val="000E0E9B"/>
    <w:rsid w:val="000E0EC7"/>
    <w:rsid w:val="000E1178"/>
    <w:rsid w:val="000E1210"/>
    <w:rsid w:val="000E12A1"/>
    <w:rsid w:val="000E1421"/>
    <w:rsid w:val="000E146B"/>
    <w:rsid w:val="000E154D"/>
    <w:rsid w:val="000E1654"/>
    <w:rsid w:val="000E168A"/>
    <w:rsid w:val="000E16BD"/>
    <w:rsid w:val="000E16CA"/>
    <w:rsid w:val="000E1703"/>
    <w:rsid w:val="000E173C"/>
    <w:rsid w:val="000E1943"/>
    <w:rsid w:val="000E19ED"/>
    <w:rsid w:val="000E1C09"/>
    <w:rsid w:val="000E1C17"/>
    <w:rsid w:val="000E1D42"/>
    <w:rsid w:val="000E1D54"/>
    <w:rsid w:val="000E1E4A"/>
    <w:rsid w:val="000E208A"/>
    <w:rsid w:val="000E2182"/>
    <w:rsid w:val="000E22FC"/>
    <w:rsid w:val="000E23D2"/>
    <w:rsid w:val="000E2515"/>
    <w:rsid w:val="000E26E6"/>
    <w:rsid w:val="000E27DC"/>
    <w:rsid w:val="000E27F9"/>
    <w:rsid w:val="000E2851"/>
    <w:rsid w:val="000E28FA"/>
    <w:rsid w:val="000E2B86"/>
    <w:rsid w:val="000E2BB4"/>
    <w:rsid w:val="000E2BCC"/>
    <w:rsid w:val="000E2CCA"/>
    <w:rsid w:val="000E2D27"/>
    <w:rsid w:val="000E2D8D"/>
    <w:rsid w:val="000E2E40"/>
    <w:rsid w:val="000E3018"/>
    <w:rsid w:val="000E302E"/>
    <w:rsid w:val="000E3091"/>
    <w:rsid w:val="000E31EA"/>
    <w:rsid w:val="000E3206"/>
    <w:rsid w:val="000E326B"/>
    <w:rsid w:val="000E343A"/>
    <w:rsid w:val="000E3494"/>
    <w:rsid w:val="000E349F"/>
    <w:rsid w:val="000E34FA"/>
    <w:rsid w:val="000E356B"/>
    <w:rsid w:val="000E3639"/>
    <w:rsid w:val="000E363C"/>
    <w:rsid w:val="000E369B"/>
    <w:rsid w:val="000E393C"/>
    <w:rsid w:val="000E39A1"/>
    <w:rsid w:val="000E39BC"/>
    <w:rsid w:val="000E3A0C"/>
    <w:rsid w:val="000E3AEE"/>
    <w:rsid w:val="000E3D88"/>
    <w:rsid w:val="000E3D91"/>
    <w:rsid w:val="000E3F5C"/>
    <w:rsid w:val="000E3FBE"/>
    <w:rsid w:val="000E4013"/>
    <w:rsid w:val="000E4059"/>
    <w:rsid w:val="000E40A2"/>
    <w:rsid w:val="000E4176"/>
    <w:rsid w:val="000E42DE"/>
    <w:rsid w:val="000E439C"/>
    <w:rsid w:val="000E46D7"/>
    <w:rsid w:val="000E46E3"/>
    <w:rsid w:val="000E46F2"/>
    <w:rsid w:val="000E470D"/>
    <w:rsid w:val="000E47DA"/>
    <w:rsid w:val="000E4A30"/>
    <w:rsid w:val="000E4B2A"/>
    <w:rsid w:val="000E4C65"/>
    <w:rsid w:val="000E4CCA"/>
    <w:rsid w:val="000E4D67"/>
    <w:rsid w:val="000E4D7D"/>
    <w:rsid w:val="000E4DC0"/>
    <w:rsid w:val="000E4E73"/>
    <w:rsid w:val="000E4F0F"/>
    <w:rsid w:val="000E4F11"/>
    <w:rsid w:val="000E4F50"/>
    <w:rsid w:val="000E4F74"/>
    <w:rsid w:val="000E4F7F"/>
    <w:rsid w:val="000E4FEF"/>
    <w:rsid w:val="000E503D"/>
    <w:rsid w:val="000E516D"/>
    <w:rsid w:val="000E519E"/>
    <w:rsid w:val="000E5201"/>
    <w:rsid w:val="000E5358"/>
    <w:rsid w:val="000E53BF"/>
    <w:rsid w:val="000E5504"/>
    <w:rsid w:val="000E55A9"/>
    <w:rsid w:val="000E56A8"/>
    <w:rsid w:val="000E57E4"/>
    <w:rsid w:val="000E5952"/>
    <w:rsid w:val="000E5981"/>
    <w:rsid w:val="000E59D6"/>
    <w:rsid w:val="000E5A14"/>
    <w:rsid w:val="000E5A60"/>
    <w:rsid w:val="000E5BC7"/>
    <w:rsid w:val="000E5BD6"/>
    <w:rsid w:val="000E5C15"/>
    <w:rsid w:val="000E5CF5"/>
    <w:rsid w:val="000E5D64"/>
    <w:rsid w:val="000E5F28"/>
    <w:rsid w:val="000E5F5C"/>
    <w:rsid w:val="000E5F6C"/>
    <w:rsid w:val="000E6298"/>
    <w:rsid w:val="000E63C6"/>
    <w:rsid w:val="000E63FD"/>
    <w:rsid w:val="000E64F6"/>
    <w:rsid w:val="000E6577"/>
    <w:rsid w:val="000E65C9"/>
    <w:rsid w:val="000E65D9"/>
    <w:rsid w:val="000E6694"/>
    <w:rsid w:val="000E66A3"/>
    <w:rsid w:val="000E66E7"/>
    <w:rsid w:val="000E6734"/>
    <w:rsid w:val="000E6794"/>
    <w:rsid w:val="000E67E6"/>
    <w:rsid w:val="000E687B"/>
    <w:rsid w:val="000E688C"/>
    <w:rsid w:val="000E6A0B"/>
    <w:rsid w:val="000E6A55"/>
    <w:rsid w:val="000E6B37"/>
    <w:rsid w:val="000E6DD8"/>
    <w:rsid w:val="000E6E9A"/>
    <w:rsid w:val="000E6EEC"/>
    <w:rsid w:val="000E71E7"/>
    <w:rsid w:val="000E7213"/>
    <w:rsid w:val="000E7224"/>
    <w:rsid w:val="000E722D"/>
    <w:rsid w:val="000E72B1"/>
    <w:rsid w:val="000E73EC"/>
    <w:rsid w:val="000E74BF"/>
    <w:rsid w:val="000E75B2"/>
    <w:rsid w:val="000E7B12"/>
    <w:rsid w:val="000E7B48"/>
    <w:rsid w:val="000E7BC5"/>
    <w:rsid w:val="000E7C84"/>
    <w:rsid w:val="000E7CE7"/>
    <w:rsid w:val="000E7D43"/>
    <w:rsid w:val="000E7DEC"/>
    <w:rsid w:val="000E7E4B"/>
    <w:rsid w:val="000E7F26"/>
    <w:rsid w:val="000E7FBF"/>
    <w:rsid w:val="000F0021"/>
    <w:rsid w:val="000F028B"/>
    <w:rsid w:val="000F03AB"/>
    <w:rsid w:val="000F0432"/>
    <w:rsid w:val="000F049D"/>
    <w:rsid w:val="000F0681"/>
    <w:rsid w:val="000F0685"/>
    <w:rsid w:val="000F06B4"/>
    <w:rsid w:val="000F0771"/>
    <w:rsid w:val="000F0985"/>
    <w:rsid w:val="000F0A1E"/>
    <w:rsid w:val="000F0B25"/>
    <w:rsid w:val="000F0BA0"/>
    <w:rsid w:val="000F0CFD"/>
    <w:rsid w:val="000F0D76"/>
    <w:rsid w:val="000F0DCB"/>
    <w:rsid w:val="000F0E40"/>
    <w:rsid w:val="000F0E6C"/>
    <w:rsid w:val="000F0F4D"/>
    <w:rsid w:val="000F0FC8"/>
    <w:rsid w:val="000F10CE"/>
    <w:rsid w:val="000F117C"/>
    <w:rsid w:val="000F11EA"/>
    <w:rsid w:val="000F14B9"/>
    <w:rsid w:val="000F15AD"/>
    <w:rsid w:val="000F174D"/>
    <w:rsid w:val="000F1770"/>
    <w:rsid w:val="000F1AD9"/>
    <w:rsid w:val="000F1E23"/>
    <w:rsid w:val="000F209E"/>
    <w:rsid w:val="000F210F"/>
    <w:rsid w:val="000F2136"/>
    <w:rsid w:val="000F215E"/>
    <w:rsid w:val="000F21D1"/>
    <w:rsid w:val="000F2237"/>
    <w:rsid w:val="000F229C"/>
    <w:rsid w:val="000F22A6"/>
    <w:rsid w:val="000F2322"/>
    <w:rsid w:val="000F23F9"/>
    <w:rsid w:val="000F24EB"/>
    <w:rsid w:val="000F27A9"/>
    <w:rsid w:val="000F2840"/>
    <w:rsid w:val="000F285C"/>
    <w:rsid w:val="000F2930"/>
    <w:rsid w:val="000F29E2"/>
    <w:rsid w:val="000F2B5F"/>
    <w:rsid w:val="000F2BD6"/>
    <w:rsid w:val="000F2C67"/>
    <w:rsid w:val="000F2EE1"/>
    <w:rsid w:val="000F2EFA"/>
    <w:rsid w:val="000F2F12"/>
    <w:rsid w:val="000F2FB2"/>
    <w:rsid w:val="000F3004"/>
    <w:rsid w:val="000F309E"/>
    <w:rsid w:val="000F3113"/>
    <w:rsid w:val="000F3166"/>
    <w:rsid w:val="000F3294"/>
    <w:rsid w:val="000F3367"/>
    <w:rsid w:val="000F3556"/>
    <w:rsid w:val="000F35D3"/>
    <w:rsid w:val="000F36EE"/>
    <w:rsid w:val="000F371A"/>
    <w:rsid w:val="000F3760"/>
    <w:rsid w:val="000F3779"/>
    <w:rsid w:val="000F3878"/>
    <w:rsid w:val="000F38EB"/>
    <w:rsid w:val="000F38F3"/>
    <w:rsid w:val="000F3BCF"/>
    <w:rsid w:val="000F3C4F"/>
    <w:rsid w:val="000F3D2B"/>
    <w:rsid w:val="000F3E04"/>
    <w:rsid w:val="000F3E4D"/>
    <w:rsid w:val="000F3E65"/>
    <w:rsid w:val="000F3F30"/>
    <w:rsid w:val="000F40DF"/>
    <w:rsid w:val="000F4251"/>
    <w:rsid w:val="000F4293"/>
    <w:rsid w:val="000F42F3"/>
    <w:rsid w:val="000F4368"/>
    <w:rsid w:val="000F437E"/>
    <w:rsid w:val="000F4489"/>
    <w:rsid w:val="000F457C"/>
    <w:rsid w:val="000F45CE"/>
    <w:rsid w:val="000F465D"/>
    <w:rsid w:val="000F47BD"/>
    <w:rsid w:val="000F4AED"/>
    <w:rsid w:val="000F4E11"/>
    <w:rsid w:val="000F4F24"/>
    <w:rsid w:val="000F503C"/>
    <w:rsid w:val="000F50EF"/>
    <w:rsid w:val="000F5172"/>
    <w:rsid w:val="000F529C"/>
    <w:rsid w:val="000F52CD"/>
    <w:rsid w:val="000F52E6"/>
    <w:rsid w:val="000F52EE"/>
    <w:rsid w:val="000F541E"/>
    <w:rsid w:val="000F54D6"/>
    <w:rsid w:val="000F5660"/>
    <w:rsid w:val="000F572C"/>
    <w:rsid w:val="000F577C"/>
    <w:rsid w:val="000F587C"/>
    <w:rsid w:val="000F58A4"/>
    <w:rsid w:val="000F59C9"/>
    <w:rsid w:val="000F5B66"/>
    <w:rsid w:val="000F5B8E"/>
    <w:rsid w:val="000F5C00"/>
    <w:rsid w:val="000F5C2B"/>
    <w:rsid w:val="000F5C9F"/>
    <w:rsid w:val="000F5D85"/>
    <w:rsid w:val="000F5DCC"/>
    <w:rsid w:val="000F5DF6"/>
    <w:rsid w:val="000F5F11"/>
    <w:rsid w:val="000F5F3F"/>
    <w:rsid w:val="000F5FA0"/>
    <w:rsid w:val="000F6004"/>
    <w:rsid w:val="000F615F"/>
    <w:rsid w:val="000F621E"/>
    <w:rsid w:val="000F6233"/>
    <w:rsid w:val="000F62FC"/>
    <w:rsid w:val="000F63A7"/>
    <w:rsid w:val="000F6416"/>
    <w:rsid w:val="000F6424"/>
    <w:rsid w:val="000F654B"/>
    <w:rsid w:val="000F656E"/>
    <w:rsid w:val="000F67AC"/>
    <w:rsid w:val="000F68B9"/>
    <w:rsid w:val="000F68D5"/>
    <w:rsid w:val="000F6920"/>
    <w:rsid w:val="000F69A7"/>
    <w:rsid w:val="000F69AF"/>
    <w:rsid w:val="000F6A36"/>
    <w:rsid w:val="000F6BE8"/>
    <w:rsid w:val="000F6EE7"/>
    <w:rsid w:val="000F711A"/>
    <w:rsid w:val="000F718D"/>
    <w:rsid w:val="000F71BA"/>
    <w:rsid w:val="000F730F"/>
    <w:rsid w:val="000F753C"/>
    <w:rsid w:val="000F756E"/>
    <w:rsid w:val="000F75DE"/>
    <w:rsid w:val="000F76DC"/>
    <w:rsid w:val="000F7702"/>
    <w:rsid w:val="000F7919"/>
    <w:rsid w:val="000F7996"/>
    <w:rsid w:val="000F79BE"/>
    <w:rsid w:val="000F7AB9"/>
    <w:rsid w:val="000F7B76"/>
    <w:rsid w:val="000F7BB1"/>
    <w:rsid w:val="000F7C43"/>
    <w:rsid w:val="000F7C7A"/>
    <w:rsid w:val="000F7CAD"/>
    <w:rsid w:val="000F7D50"/>
    <w:rsid w:val="000F7FD6"/>
    <w:rsid w:val="00100055"/>
    <w:rsid w:val="0010008A"/>
    <w:rsid w:val="00100091"/>
    <w:rsid w:val="001000F6"/>
    <w:rsid w:val="00100220"/>
    <w:rsid w:val="001002C4"/>
    <w:rsid w:val="0010043C"/>
    <w:rsid w:val="00100470"/>
    <w:rsid w:val="001004CC"/>
    <w:rsid w:val="001006A0"/>
    <w:rsid w:val="00100771"/>
    <w:rsid w:val="00100872"/>
    <w:rsid w:val="00100882"/>
    <w:rsid w:val="00100A54"/>
    <w:rsid w:val="00100AA0"/>
    <w:rsid w:val="00100B8D"/>
    <w:rsid w:val="00100CE7"/>
    <w:rsid w:val="00100E1C"/>
    <w:rsid w:val="00100E7E"/>
    <w:rsid w:val="00100EEE"/>
    <w:rsid w:val="00100F57"/>
    <w:rsid w:val="0010100F"/>
    <w:rsid w:val="00101095"/>
    <w:rsid w:val="00101113"/>
    <w:rsid w:val="00101118"/>
    <w:rsid w:val="00101148"/>
    <w:rsid w:val="00101238"/>
    <w:rsid w:val="001012B7"/>
    <w:rsid w:val="001014FC"/>
    <w:rsid w:val="00101545"/>
    <w:rsid w:val="0010168C"/>
    <w:rsid w:val="00101697"/>
    <w:rsid w:val="0010169B"/>
    <w:rsid w:val="0010172C"/>
    <w:rsid w:val="001017D1"/>
    <w:rsid w:val="00101841"/>
    <w:rsid w:val="00101850"/>
    <w:rsid w:val="001018EE"/>
    <w:rsid w:val="001019BE"/>
    <w:rsid w:val="00101A9D"/>
    <w:rsid w:val="00101B25"/>
    <w:rsid w:val="00101B7E"/>
    <w:rsid w:val="00101BC8"/>
    <w:rsid w:val="00101CCF"/>
    <w:rsid w:val="00101E30"/>
    <w:rsid w:val="00101E35"/>
    <w:rsid w:val="00101F80"/>
    <w:rsid w:val="00101FF7"/>
    <w:rsid w:val="001022C9"/>
    <w:rsid w:val="0010235D"/>
    <w:rsid w:val="0010246C"/>
    <w:rsid w:val="001024E0"/>
    <w:rsid w:val="00102587"/>
    <w:rsid w:val="0010270F"/>
    <w:rsid w:val="001027CB"/>
    <w:rsid w:val="001027EC"/>
    <w:rsid w:val="00102838"/>
    <w:rsid w:val="0010293C"/>
    <w:rsid w:val="00102A05"/>
    <w:rsid w:val="00102AC1"/>
    <w:rsid w:val="00102B50"/>
    <w:rsid w:val="00102EA1"/>
    <w:rsid w:val="00102EA7"/>
    <w:rsid w:val="00102F26"/>
    <w:rsid w:val="0010312C"/>
    <w:rsid w:val="001031B8"/>
    <w:rsid w:val="001031EE"/>
    <w:rsid w:val="00103227"/>
    <w:rsid w:val="001032F1"/>
    <w:rsid w:val="00103332"/>
    <w:rsid w:val="00103424"/>
    <w:rsid w:val="0010343A"/>
    <w:rsid w:val="00103456"/>
    <w:rsid w:val="001034B4"/>
    <w:rsid w:val="00103657"/>
    <w:rsid w:val="00103770"/>
    <w:rsid w:val="001037BC"/>
    <w:rsid w:val="001038D2"/>
    <w:rsid w:val="00103916"/>
    <w:rsid w:val="0010392F"/>
    <w:rsid w:val="0010394F"/>
    <w:rsid w:val="00103C43"/>
    <w:rsid w:val="00103C4A"/>
    <w:rsid w:val="00103CC5"/>
    <w:rsid w:val="00103D09"/>
    <w:rsid w:val="00103D78"/>
    <w:rsid w:val="00103E4A"/>
    <w:rsid w:val="00103E8B"/>
    <w:rsid w:val="00103F47"/>
    <w:rsid w:val="00104024"/>
    <w:rsid w:val="00104072"/>
    <w:rsid w:val="001040E1"/>
    <w:rsid w:val="001041A0"/>
    <w:rsid w:val="001041D0"/>
    <w:rsid w:val="001041D3"/>
    <w:rsid w:val="00104283"/>
    <w:rsid w:val="00104332"/>
    <w:rsid w:val="0010438D"/>
    <w:rsid w:val="001043C3"/>
    <w:rsid w:val="001043E2"/>
    <w:rsid w:val="0010460B"/>
    <w:rsid w:val="00104676"/>
    <w:rsid w:val="0010470F"/>
    <w:rsid w:val="001047AD"/>
    <w:rsid w:val="00104913"/>
    <w:rsid w:val="001049FE"/>
    <w:rsid w:val="00104B9F"/>
    <w:rsid w:val="00104CAA"/>
    <w:rsid w:val="001050C0"/>
    <w:rsid w:val="001050F4"/>
    <w:rsid w:val="001051D8"/>
    <w:rsid w:val="0010523E"/>
    <w:rsid w:val="001052DD"/>
    <w:rsid w:val="0010533A"/>
    <w:rsid w:val="001053B7"/>
    <w:rsid w:val="00105582"/>
    <w:rsid w:val="001055CD"/>
    <w:rsid w:val="001055E7"/>
    <w:rsid w:val="00105609"/>
    <w:rsid w:val="00105859"/>
    <w:rsid w:val="001059E8"/>
    <w:rsid w:val="00105B0C"/>
    <w:rsid w:val="00105B15"/>
    <w:rsid w:val="00105B8E"/>
    <w:rsid w:val="00105C55"/>
    <w:rsid w:val="00105D23"/>
    <w:rsid w:val="00105D4E"/>
    <w:rsid w:val="00105F89"/>
    <w:rsid w:val="001061BB"/>
    <w:rsid w:val="0010623C"/>
    <w:rsid w:val="001063A1"/>
    <w:rsid w:val="001063D2"/>
    <w:rsid w:val="001063E5"/>
    <w:rsid w:val="0010654D"/>
    <w:rsid w:val="0010657F"/>
    <w:rsid w:val="0010699E"/>
    <w:rsid w:val="00106BFC"/>
    <w:rsid w:val="00106D46"/>
    <w:rsid w:val="00106DD9"/>
    <w:rsid w:val="00106E19"/>
    <w:rsid w:val="00106E59"/>
    <w:rsid w:val="00106E83"/>
    <w:rsid w:val="00106E8A"/>
    <w:rsid w:val="00106EE0"/>
    <w:rsid w:val="00106FB9"/>
    <w:rsid w:val="00107000"/>
    <w:rsid w:val="00107133"/>
    <w:rsid w:val="00107146"/>
    <w:rsid w:val="00107197"/>
    <w:rsid w:val="001071A1"/>
    <w:rsid w:val="001071D4"/>
    <w:rsid w:val="0010721E"/>
    <w:rsid w:val="0010723C"/>
    <w:rsid w:val="0010739D"/>
    <w:rsid w:val="00107409"/>
    <w:rsid w:val="0010741A"/>
    <w:rsid w:val="0010748A"/>
    <w:rsid w:val="001075AA"/>
    <w:rsid w:val="001075F9"/>
    <w:rsid w:val="001077EB"/>
    <w:rsid w:val="0010789C"/>
    <w:rsid w:val="001078BD"/>
    <w:rsid w:val="001078E4"/>
    <w:rsid w:val="001079B6"/>
    <w:rsid w:val="001079F0"/>
    <w:rsid w:val="00107A74"/>
    <w:rsid w:val="00107AB7"/>
    <w:rsid w:val="00107ABA"/>
    <w:rsid w:val="00107B14"/>
    <w:rsid w:val="00107C7A"/>
    <w:rsid w:val="00107D13"/>
    <w:rsid w:val="00107D6B"/>
    <w:rsid w:val="00107E20"/>
    <w:rsid w:val="00107FB4"/>
    <w:rsid w:val="001100E2"/>
    <w:rsid w:val="00110133"/>
    <w:rsid w:val="00110143"/>
    <w:rsid w:val="001101B3"/>
    <w:rsid w:val="00110254"/>
    <w:rsid w:val="00110280"/>
    <w:rsid w:val="001102F7"/>
    <w:rsid w:val="0011046A"/>
    <w:rsid w:val="00110529"/>
    <w:rsid w:val="0011068B"/>
    <w:rsid w:val="0011073A"/>
    <w:rsid w:val="00110805"/>
    <w:rsid w:val="00110816"/>
    <w:rsid w:val="00110A7C"/>
    <w:rsid w:val="00110AE0"/>
    <w:rsid w:val="00110B45"/>
    <w:rsid w:val="00110C1B"/>
    <w:rsid w:val="00110D0E"/>
    <w:rsid w:val="00110D84"/>
    <w:rsid w:val="00110DA7"/>
    <w:rsid w:val="00110E13"/>
    <w:rsid w:val="00110E2C"/>
    <w:rsid w:val="00110E5F"/>
    <w:rsid w:val="00110F12"/>
    <w:rsid w:val="00111089"/>
    <w:rsid w:val="001110C3"/>
    <w:rsid w:val="00111211"/>
    <w:rsid w:val="00111357"/>
    <w:rsid w:val="001113B2"/>
    <w:rsid w:val="0011143A"/>
    <w:rsid w:val="0011170B"/>
    <w:rsid w:val="001117BF"/>
    <w:rsid w:val="00111869"/>
    <w:rsid w:val="001118BD"/>
    <w:rsid w:val="001118E1"/>
    <w:rsid w:val="001119F6"/>
    <w:rsid w:val="00111A0C"/>
    <w:rsid w:val="00111EC8"/>
    <w:rsid w:val="00111ED7"/>
    <w:rsid w:val="00111EE0"/>
    <w:rsid w:val="00111F45"/>
    <w:rsid w:val="0011200A"/>
    <w:rsid w:val="00112078"/>
    <w:rsid w:val="001121BC"/>
    <w:rsid w:val="001121D3"/>
    <w:rsid w:val="0011232E"/>
    <w:rsid w:val="00112455"/>
    <w:rsid w:val="00112463"/>
    <w:rsid w:val="001126A4"/>
    <w:rsid w:val="0011270A"/>
    <w:rsid w:val="00112940"/>
    <w:rsid w:val="001129D9"/>
    <w:rsid w:val="00112ADB"/>
    <w:rsid w:val="00112B6A"/>
    <w:rsid w:val="00112D6E"/>
    <w:rsid w:val="00112DCB"/>
    <w:rsid w:val="00112EAC"/>
    <w:rsid w:val="00112F97"/>
    <w:rsid w:val="001130F9"/>
    <w:rsid w:val="00113169"/>
    <w:rsid w:val="001131E6"/>
    <w:rsid w:val="00113217"/>
    <w:rsid w:val="00113391"/>
    <w:rsid w:val="001133AF"/>
    <w:rsid w:val="001133DE"/>
    <w:rsid w:val="00113411"/>
    <w:rsid w:val="001135E6"/>
    <w:rsid w:val="0011364C"/>
    <w:rsid w:val="001136DA"/>
    <w:rsid w:val="00113729"/>
    <w:rsid w:val="00113824"/>
    <w:rsid w:val="00113900"/>
    <w:rsid w:val="00113940"/>
    <w:rsid w:val="00113A71"/>
    <w:rsid w:val="00113B5B"/>
    <w:rsid w:val="00113C97"/>
    <w:rsid w:val="00113E62"/>
    <w:rsid w:val="0011405B"/>
    <w:rsid w:val="00114067"/>
    <w:rsid w:val="00114117"/>
    <w:rsid w:val="001141E6"/>
    <w:rsid w:val="00114232"/>
    <w:rsid w:val="001142B2"/>
    <w:rsid w:val="001143F6"/>
    <w:rsid w:val="001145FA"/>
    <w:rsid w:val="00114712"/>
    <w:rsid w:val="00114806"/>
    <w:rsid w:val="001148B3"/>
    <w:rsid w:val="00114911"/>
    <w:rsid w:val="001149CD"/>
    <w:rsid w:val="001149DF"/>
    <w:rsid w:val="00114A41"/>
    <w:rsid w:val="00114B26"/>
    <w:rsid w:val="00114C0F"/>
    <w:rsid w:val="00114CB3"/>
    <w:rsid w:val="00114CE1"/>
    <w:rsid w:val="00114E23"/>
    <w:rsid w:val="00114E4C"/>
    <w:rsid w:val="00114F1F"/>
    <w:rsid w:val="00114F9F"/>
    <w:rsid w:val="00115017"/>
    <w:rsid w:val="00115024"/>
    <w:rsid w:val="00115058"/>
    <w:rsid w:val="001150C0"/>
    <w:rsid w:val="001150C7"/>
    <w:rsid w:val="0011532E"/>
    <w:rsid w:val="001153F9"/>
    <w:rsid w:val="0011552B"/>
    <w:rsid w:val="00115549"/>
    <w:rsid w:val="0011557C"/>
    <w:rsid w:val="0011565A"/>
    <w:rsid w:val="00115749"/>
    <w:rsid w:val="00115782"/>
    <w:rsid w:val="00115893"/>
    <w:rsid w:val="00115934"/>
    <w:rsid w:val="001159AB"/>
    <w:rsid w:val="00115A85"/>
    <w:rsid w:val="00115A99"/>
    <w:rsid w:val="00115B42"/>
    <w:rsid w:val="00115C7F"/>
    <w:rsid w:val="00115D29"/>
    <w:rsid w:val="00115ECC"/>
    <w:rsid w:val="00116117"/>
    <w:rsid w:val="0011631E"/>
    <w:rsid w:val="00116387"/>
    <w:rsid w:val="001163E9"/>
    <w:rsid w:val="00116521"/>
    <w:rsid w:val="0011652F"/>
    <w:rsid w:val="00116573"/>
    <w:rsid w:val="001165C7"/>
    <w:rsid w:val="001165F0"/>
    <w:rsid w:val="001165F6"/>
    <w:rsid w:val="0011668C"/>
    <w:rsid w:val="001166CA"/>
    <w:rsid w:val="001166E8"/>
    <w:rsid w:val="00116786"/>
    <w:rsid w:val="001167DC"/>
    <w:rsid w:val="00116815"/>
    <w:rsid w:val="00116828"/>
    <w:rsid w:val="001168CE"/>
    <w:rsid w:val="00116938"/>
    <w:rsid w:val="0011693C"/>
    <w:rsid w:val="00116BEA"/>
    <w:rsid w:val="00116D58"/>
    <w:rsid w:val="00116E10"/>
    <w:rsid w:val="00116E91"/>
    <w:rsid w:val="00117137"/>
    <w:rsid w:val="001172C0"/>
    <w:rsid w:val="00117300"/>
    <w:rsid w:val="00117405"/>
    <w:rsid w:val="00117457"/>
    <w:rsid w:val="001174AC"/>
    <w:rsid w:val="0011757F"/>
    <w:rsid w:val="001175A4"/>
    <w:rsid w:val="001176B3"/>
    <w:rsid w:val="001178F4"/>
    <w:rsid w:val="00117A21"/>
    <w:rsid w:val="00117D0D"/>
    <w:rsid w:val="00117D7B"/>
    <w:rsid w:val="00117FDA"/>
    <w:rsid w:val="001200FC"/>
    <w:rsid w:val="0012011A"/>
    <w:rsid w:val="001201DD"/>
    <w:rsid w:val="0012028D"/>
    <w:rsid w:val="001202A6"/>
    <w:rsid w:val="00120352"/>
    <w:rsid w:val="001203C7"/>
    <w:rsid w:val="001205EA"/>
    <w:rsid w:val="001205F4"/>
    <w:rsid w:val="00120654"/>
    <w:rsid w:val="00120699"/>
    <w:rsid w:val="00120885"/>
    <w:rsid w:val="00120D13"/>
    <w:rsid w:val="00120DBA"/>
    <w:rsid w:val="00120E0D"/>
    <w:rsid w:val="00120EFE"/>
    <w:rsid w:val="00120F68"/>
    <w:rsid w:val="00120F7C"/>
    <w:rsid w:val="00121137"/>
    <w:rsid w:val="00121181"/>
    <w:rsid w:val="001212EB"/>
    <w:rsid w:val="00121303"/>
    <w:rsid w:val="001213A9"/>
    <w:rsid w:val="001213B1"/>
    <w:rsid w:val="001213C0"/>
    <w:rsid w:val="0012141E"/>
    <w:rsid w:val="00121556"/>
    <w:rsid w:val="00121557"/>
    <w:rsid w:val="00121576"/>
    <w:rsid w:val="0012172B"/>
    <w:rsid w:val="001217F5"/>
    <w:rsid w:val="00121844"/>
    <w:rsid w:val="001218A1"/>
    <w:rsid w:val="001218E3"/>
    <w:rsid w:val="001219BF"/>
    <w:rsid w:val="001219DB"/>
    <w:rsid w:val="00121A13"/>
    <w:rsid w:val="00121B66"/>
    <w:rsid w:val="00121BCA"/>
    <w:rsid w:val="00121C29"/>
    <w:rsid w:val="00121D2E"/>
    <w:rsid w:val="00121D3A"/>
    <w:rsid w:val="00121D85"/>
    <w:rsid w:val="00121DF3"/>
    <w:rsid w:val="00121E7B"/>
    <w:rsid w:val="001221A8"/>
    <w:rsid w:val="0012221D"/>
    <w:rsid w:val="00122286"/>
    <w:rsid w:val="00122363"/>
    <w:rsid w:val="00122423"/>
    <w:rsid w:val="00122512"/>
    <w:rsid w:val="00122833"/>
    <w:rsid w:val="001228C1"/>
    <w:rsid w:val="00122B0D"/>
    <w:rsid w:val="00122B48"/>
    <w:rsid w:val="00122B66"/>
    <w:rsid w:val="00122CA0"/>
    <w:rsid w:val="00122D02"/>
    <w:rsid w:val="00122F6D"/>
    <w:rsid w:val="0012308D"/>
    <w:rsid w:val="00123192"/>
    <w:rsid w:val="001232A4"/>
    <w:rsid w:val="001234E5"/>
    <w:rsid w:val="00123520"/>
    <w:rsid w:val="00123619"/>
    <w:rsid w:val="00123660"/>
    <w:rsid w:val="00123678"/>
    <w:rsid w:val="00123732"/>
    <w:rsid w:val="0012376A"/>
    <w:rsid w:val="00123932"/>
    <w:rsid w:val="00123A80"/>
    <w:rsid w:val="00123AF0"/>
    <w:rsid w:val="00123AF3"/>
    <w:rsid w:val="00123CA0"/>
    <w:rsid w:val="00123CD5"/>
    <w:rsid w:val="00123EE8"/>
    <w:rsid w:val="00123F2B"/>
    <w:rsid w:val="00123FC5"/>
    <w:rsid w:val="0012402F"/>
    <w:rsid w:val="00124125"/>
    <w:rsid w:val="0012414D"/>
    <w:rsid w:val="001241B6"/>
    <w:rsid w:val="00124227"/>
    <w:rsid w:val="001242AC"/>
    <w:rsid w:val="001242D3"/>
    <w:rsid w:val="00124312"/>
    <w:rsid w:val="00124430"/>
    <w:rsid w:val="00124471"/>
    <w:rsid w:val="00124506"/>
    <w:rsid w:val="00124664"/>
    <w:rsid w:val="00124904"/>
    <w:rsid w:val="00124AFD"/>
    <w:rsid w:val="00124B05"/>
    <w:rsid w:val="00124B16"/>
    <w:rsid w:val="00124B63"/>
    <w:rsid w:val="00124BEA"/>
    <w:rsid w:val="00124E41"/>
    <w:rsid w:val="00124EB5"/>
    <w:rsid w:val="00124F3A"/>
    <w:rsid w:val="00125092"/>
    <w:rsid w:val="00125111"/>
    <w:rsid w:val="00125297"/>
    <w:rsid w:val="0012529F"/>
    <w:rsid w:val="001252EB"/>
    <w:rsid w:val="0012530E"/>
    <w:rsid w:val="001253D6"/>
    <w:rsid w:val="00125426"/>
    <w:rsid w:val="001256B5"/>
    <w:rsid w:val="0012575D"/>
    <w:rsid w:val="001257C3"/>
    <w:rsid w:val="00125915"/>
    <w:rsid w:val="00125995"/>
    <w:rsid w:val="001259F4"/>
    <w:rsid w:val="00125B28"/>
    <w:rsid w:val="00125B51"/>
    <w:rsid w:val="00125B84"/>
    <w:rsid w:val="00125B8A"/>
    <w:rsid w:val="00125C84"/>
    <w:rsid w:val="00125C8E"/>
    <w:rsid w:val="00125C9A"/>
    <w:rsid w:val="00125CFE"/>
    <w:rsid w:val="00125E72"/>
    <w:rsid w:val="00126156"/>
    <w:rsid w:val="0012624F"/>
    <w:rsid w:val="0012625C"/>
    <w:rsid w:val="00126368"/>
    <w:rsid w:val="00126412"/>
    <w:rsid w:val="0012646D"/>
    <w:rsid w:val="00126518"/>
    <w:rsid w:val="00126607"/>
    <w:rsid w:val="0012679D"/>
    <w:rsid w:val="001268B9"/>
    <w:rsid w:val="001268D8"/>
    <w:rsid w:val="00126931"/>
    <w:rsid w:val="001269D5"/>
    <w:rsid w:val="00126AB4"/>
    <w:rsid w:val="00126D57"/>
    <w:rsid w:val="00126F5B"/>
    <w:rsid w:val="00127117"/>
    <w:rsid w:val="00127147"/>
    <w:rsid w:val="001271C8"/>
    <w:rsid w:val="001272D7"/>
    <w:rsid w:val="001272E0"/>
    <w:rsid w:val="00127349"/>
    <w:rsid w:val="00127491"/>
    <w:rsid w:val="001274A0"/>
    <w:rsid w:val="0012755E"/>
    <w:rsid w:val="001275A5"/>
    <w:rsid w:val="00127643"/>
    <w:rsid w:val="001276FA"/>
    <w:rsid w:val="001277CC"/>
    <w:rsid w:val="00127857"/>
    <w:rsid w:val="00127917"/>
    <w:rsid w:val="0012793E"/>
    <w:rsid w:val="001279AE"/>
    <w:rsid w:val="00127A3E"/>
    <w:rsid w:val="00127A69"/>
    <w:rsid w:val="00127B4C"/>
    <w:rsid w:val="00127BD7"/>
    <w:rsid w:val="00127CDE"/>
    <w:rsid w:val="00127E39"/>
    <w:rsid w:val="00127EF8"/>
    <w:rsid w:val="00127FC7"/>
    <w:rsid w:val="001300C5"/>
    <w:rsid w:val="00130115"/>
    <w:rsid w:val="0013012B"/>
    <w:rsid w:val="00130170"/>
    <w:rsid w:val="001301FC"/>
    <w:rsid w:val="00130240"/>
    <w:rsid w:val="001302A3"/>
    <w:rsid w:val="00130389"/>
    <w:rsid w:val="00130527"/>
    <w:rsid w:val="00130533"/>
    <w:rsid w:val="00130764"/>
    <w:rsid w:val="001307AF"/>
    <w:rsid w:val="0013081E"/>
    <w:rsid w:val="00130858"/>
    <w:rsid w:val="00130867"/>
    <w:rsid w:val="00130890"/>
    <w:rsid w:val="00130999"/>
    <w:rsid w:val="00130B4B"/>
    <w:rsid w:val="00130CC0"/>
    <w:rsid w:val="00131031"/>
    <w:rsid w:val="001310E5"/>
    <w:rsid w:val="001310EB"/>
    <w:rsid w:val="001310F7"/>
    <w:rsid w:val="001311DD"/>
    <w:rsid w:val="001313C6"/>
    <w:rsid w:val="00131441"/>
    <w:rsid w:val="0013166B"/>
    <w:rsid w:val="001316A0"/>
    <w:rsid w:val="001316A4"/>
    <w:rsid w:val="001316CB"/>
    <w:rsid w:val="0013171F"/>
    <w:rsid w:val="00131803"/>
    <w:rsid w:val="00131957"/>
    <w:rsid w:val="00131CCC"/>
    <w:rsid w:val="00131D4F"/>
    <w:rsid w:val="00131DA9"/>
    <w:rsid w:val="00131DE8"/>
    <w:rsid w:val="00131F28"/>
    <w:rsid w:val="00132025"/>
    <w:rsid w:val="0013221E"/>
    <w:rsid w:val="001322DB"/>
    <w:rsid w:val="00132386"/>
    <w:rsid w:val="001323A3"/>
    <w:rsid w:val="0013246A"/>
    <w:rsid w:val="001326B1"/>
    <w:rsid w:val="00132730"/>
    <w:rsid w:val="0013289B"/>
    <w:rsid w:val="001328DA"/>
    <w:rsid w:val="00132AE8"/>
    <w:rsid w:val="00132B8D"/>
    <w:rsid w:val="00132B9B"/>
    <w:rsid w:val="00132CEA"/>
    <w:rsid w:val="00132CFD"/>
    <w:rsid w:val="00132D1E"/>
    <w:rsid w:val="00132D8B"/>
    <w:rsid w:val="00132F72"/>
    <w:rsid w:val="00133046"/>
    <w:rsid w:val="00133134"/>
    <w:rsid w:val="00133261"/>
    <w:rsid w:val="001332F7"/>
    <w:rsid w:val="0013341F"/>
    <w:rsid w:val="001337CE"/>
    <w:rsid w:val="0013382B"/>
    <w:rsid w:val="0013394F"/>
    <w:rsid w:val="00133975"/>
    <w:rsid w:val="00133993"/>
    <w:rsid w:val="001339D8"/>
    <w:rsid w:val="00133A4D"/>
    <w:rsid w:val="00133C86"/>
    <w:rsid w:val="00133CED"/>
    <w:rsid w:val="00133D50"/>
    <w:rsid w:val="00134011"/>
    <w:rsid w:val="0013404A"/>
    <w:rsid w:val="001341E5"/>
    <w:rsid w:val="00134278"/>
    <w:rsid w:val="001342A9"/>
    <w:rsid w:val="001342F5"/>
    <w:rsid w:val="00134446"/>
    <w:rsid w:val="001344E2"/>
    <w:rsid w:val="001345E9"/>
    <w:rsid w:val="00134728"/>
    <w:rsid w:val="001347D6"/>
    <w:rsid w:val="001348C9"/>
    <w:rsid w:val="00134D4F"/>
    <w:rsid w:val="00134D69"/>
    <w:rsid w:val="00134DE7"/>
    <w:rsid w:val="00134DEC"/>
    <w:rsid w:val="00134E35"/>
    <w:rsid w:val="00134F06"/>
    <w:rsid w:val="00135024"/>
    <w:rsid w:val="00135045"/>
    <w:rsid w:val="0013505C"/>
    <w:rsid w:val="00135097"/>
    <w:rsid w:val="00135147"/>
    <w:rsid w:val="001352FF"/>
    <w:rsid w:val="00135308"/>
    <w:rsid w:val="0013535C"/>
    <w:rsid w:val="00135644"/>
    <w:rsid w:val="00135652"/>
    <w:rsid w:val="001356C9"/>
    <w:rsid w:val="00135785"/>
    <w:rsid w:val="00135881"/>
    <w:rsid w:val="0013599E"/>
    <w:rsid w:val="00135BC5"/>
    <w:rsid w:val="00135BD0"/>
    <w:rsid w:val="00135D66"/>
    <w:rsid w:val="00135E05"/>
    <w:rsid w:val="00135F02"/>
    <w:rsid w:val="00135F76"/>
    <w:rsid w:val="00135FCC"/>
    <w:rsid w:val="001360E4"/>
    <w:rsid w:val="0013628F"/>
    <w:rsid w:val="001362D9"/>
    <w:rsid w:val="001362DA"/>
    <w:rsid w:val="001365DE"/>
    <w:rsid w:val="001366A7"/>
    <w:rsid w:val="00136747"/>
    <w:rsid w:val="001367B7"/>
    <w:rsid w:val="001367B9"/>
    <w:rsid w:val="00136857"/>
    <w:rsid w:val="001368C0"/>
    <w:rsid w:val="00136A99"/>
    <w:rsid w:val="00136AE4"/>
    <w:rsid w:val="00136C43"/>
    <w:rsid w:val="00136C60"/>
    <w:rsid w:val="00136CBC"/>
    <w:rsid w:val="00136E9E"/>
    <w:rsid w:val="0013715A"/>
    <w:rsid w:val="00137239"/>
    <w:rsid w:val="0013734C"/>
    <w:rsid w:val="0013748F"/>
    <w:rsid w:val="00137755"/>
    <w:rsid w:val="0013775E"/>
    <w:rsid w:val="00137887"/>
    <w:rsid w:val="001378B8"/>
    <w:rsid w:val="001379C4"/>
    <w:rsid w:val="00137A81"/>
    <w:rsid w:val="00137B14"/>
    <w:rsid w:val="00137C36"/>
    <w:rsid w:val="00137C3C"/>
    <w:rsid w:val="00137C7D"/>
    <w:rsid w:val="00137C8E"/>
    <w:rsid w:val="00137D6B"/>
    <w:rsid w:val="00137D6C"/>
    <w:rsid w:val="00137DF5"/>
    <w:rsid w:val="00137E4A"/>
    <w:rsid w:val="00140112"/>
    <w:rsid w:val="001401C6"/>
    <w:rsid w:val="00140251"/>
    <w:rsid w:val="00140310"/>
    <w:rsid w:val="001404E3"/>
    <w:rsid w:val="0014053B"/>
    <w:rsid w:val="001405E6"/>
    <w:rsid w:val="001406A0"/>
    <w:rsid w:val="0014071A"/>
    <w:rsid w:val="0014079D"/>
    <w:rsid w:val="00140897"/>
    <w:rsid w:val="00140900"/>
    <w:rsid w:val="00140943"/>
    <w:rsid w:val="001409EB"/>
    <w:rsid w:val="001409F4"/>
    <w:rsid w:val="00140C75"/>
    <w:rsid w:val="00140CE0"/>
    <w:rsid w:val="00140EA9"/>
    <w:rsid w:val="00140EDB"/>
    <w:rsid w:val="001411B6"/>
    <w:rsid w:val="00141231"/>
    <w:rsid w:val="001414F9"/>
    <w:rsid w:val="00141505"/>
    <w:rsid w:val="0014159F"/>
    <w:rsid w:val="0014163C"/>
    <w:rsid w:val="001416C4"/>
    <w:rsid w:val="0014179D"/>
    <w:rsid w:val="0014180F"/>
    <w:rsid w:val="001418C7"/>
    <w:rsid w:val="0014193D"/>
    <w:rsid w:val="00141A92"/>
    <w:rsid w:val="00141AAC"/>
    <w:rsid w:val="00141C15"/>
    <w:rsid w:val="00141CE0"/>
    <w:rsid w:val="00141EED"/>
    <w:rsid w:val="00141EF8"/>
    <w:rsid w:val="00141F35"/>
    <w:rsid w:val="0014201F"/>
    <w:rsid w:val="00142143"/>
    <w:rsid w:val="00142178"/>
    <w:rsid w:val="00142419"/>
    <w:rsid w:val="001426F2"/>
    <w:rsid w:val="00142806"/>
    <w:rsid w:val="00142E5E"/>
    <w:rsid w:val="00142EA8"/>
    <w:rsid w:val="00142FB7"/>
    <w:rsid w:val="00142FBA"/>
    <w:rsid w:val="0014311D"/>
    <w:rsid w:val="001431CF"/>
    <w:rsid w:val="00143258"/>
    <w:rsid w:val="00143268"/>
    <w:rsid w:val="001432DE"/>
    <w:rsid w:val="001432EA"/>
    <w:rsid w:val="00143356"/>
    <w:rsid w:val="00143534"/>
    <w:rsid w:val="001437A1"/>
    <w:rsid w:val="00143903"/>
    <w:rsid w:val="001439B8"/>
    <w:rsid w:val="00143A93"/>
    <w:rsid w:val="00143C44"/>
    <w:rsid w:val="00143C47"/>
    <w:rsid w:val="00143E4A"/>
    <w:rsid w:val="0014411C"/>
    <w:rsid w:val="0014429A"/>
    <w:rsid w:val="001443D2"/>
    <w:rsid w:val="00144546"/>
    <w:rsid w:val="0014455D"/>
    <w:rsid w:val="00144647"/>
    <w:rsid w:val="0014474B"/>
    <w:rsid w:val="00144844"/>
    <w:rsid w:val="00144900"/>
    <w:rsid w:val="001449A0"/>
    <w:rsid w:val="00144AFD"/>
    <w:rsid w:val="00144B3F"/>
    <w:rsid w:val="00144BA7"/>
    <w:rsid w:val="00144EAF"/>
    <w:rsid w:val="00144F9C"/>
    <w:rsid w:val="00145123"/>
    <w:rsid w:val="0014519A"/>
    <w:rsid w:val="001452F9"/>
    <w:rsid w:val="001453C0"/>
    <w:rsid w:val="001454C5"/>
    <w:rsid w:val="00145756"/>
    <w:rsid w:val="00145757"/>
    <w:rsid w:val="001457AC"/>
    <w:rsid w:val="001459CF"/>
    <w:rsid w:val="00145A7F"/>
    <w:rsid w:val="00145A9C"/>
    <w:rsid w:val="00145AD2"/>
    <w:rsid w:val="00145BBE"/>
    <w:rsid w:val="00145BC4"/>
    <w:rsid w:val="00145C74"/>
    <w:rsid w:val="00145D22"/>
    <w:rsid w:val="00145DA1"/>
    <w:rsid w:val="00145ED1"/>
    <w:rsid w:val="00145EDF"/>
    <w:rsid w:val="00145F30"/>
    <w:rsid w:val="00145F6C"/>
    <w:rsid w:val="00145FA5"/>
    <w:rsid w:val="00145FBC"/>
    <w:rsid w:val="00145FD3"/>
    <w:rsid w:val="001460D6"/>
    <w:rsid w:val="0014610F"/>
    <w:rsid w:val="0014619D"/>
    <w:rsid w:val="00146299"/>
    <w:rsid w:val="001462AA"/>
    <w:rsid w:val="00146371"/>
    <w:rsid w:val="001463BA"/>
    <w:rsid w:val="001464F2"/>
    <w:rsid w:val="0014656D"/>
    <w:rsid w:val="0014657E"/>
    <w:rsid w:val="001466BC"/>
    <w:rsid w:val="00146731"/>
    <w:rsid w:val="00146892"/>
    <w:rsid w:val="00146A81"/>
    <w:rsid w:val="00146B45"/>
    <w:rsid w:val="00146D4B"/>
    <w:rsid w:val="00146DC5"/>
    <w:rsid w:val="00146F67"/>
    <w:rsid w:val="00146F99"/>
    <w:rsid w:val="00146FEE"/>
    <w:rsid w:val="001471C5"/>
    <w:rsid w:val="00147287"/>
    <w:rsid w:val="0014739D"/>
    <w:rsid w:val="001473B7"/>
    <w:rsid w:val="0014742F"/>
    <w:rsid w:val="001475AC"/>
    <w:rsid w:val="00147690"/>
    <w:rsid w:val="00147822"/>
    <w:rsid w:val="001478C3"/>
    <w:rsid w:val="001478DC"/>
    <w:rsid w:val="0014791E"/>
    <w:rsid w:val="00147BC3"/>
    <w:rsid w:val="00147D69"/>
    <w:rsid w:val="00147DA6"/>
    <w:rsid w:val="00147FB7"/>
    <w:rsid w:val="00150107"/>
    <w:rsid w:val="001505BC"/>
    <w:rsid w:val="001506A0"/>
    <w:rsid w:val="0015070B"/>
    <w:rsid w:val="00150749"/>
    <w:rsid w:val="001508AA"/>
    <w:rsid w:val="00150A35"/>
    <w:rsid w:val="00150AAF"/>
    <w:rsid w:val="00150B98"/>
    <w:rsid w:val="00150E30"/>
    <w:rsid w:val="00150EF4"/>
    <w:rsid w:val="00151023"/>
    <w:rsid w:val="001510D4"/>
    <w:rsid w:val="001511ED"/>
    <w:rsid w:val="001512FA"/>
    <w:rsid w:val="001513A5"/>
    <w:rsid w:val="00151488"/>
    <w:rsid w:val="00151553"/>
    <w:rsid w:val="001515E5"/>
    <w:rsid w:val="001517DC"/>
    <w:rsid w:val="001518E5"/>
    <w:rsid w:val="00151AD6"/>
    <w:rsid w:val="00151B6C"/>
    <w:rsid w:val="00151B86"/>
    <w:rsid w:val="00151C32"/>
    <w:rsid w:val="00151C41"/>
    <w:rsid w:val="00151D50"/>
    <w:rsid w:val="00151D65"/>
    <w:rsid w:val="00152000"/>
    <w:rsid w:val="00152211"/>
    <w:rsid w:val="00152455"/>
    <w:rsid w:val="00152476"/>
    <w:rsid w:val="00152482"/>
    <w:rsid w:val="00152540"/>
    <w:rsid w:val="001526E6"/>
    <w:rsid w:val="001528BA"/>
    <w:rsid w:val="00152999"/>
    <w:rsid w:val="00152C2B"/>
    <w:rsid w:val="00152CA5"/>
    <w:rsid w:val="00152D72"/>
    <w:rsid w:val="00152DD7"/>
    <w:rsid w:val="00152E57"/>
    <w:rsid w:val="00152F82"/>
    <w:rsid w:val="00153025"/>
    <w:rsid w:val="001530D0"/>
    <w:rsid w:val="00153159"/>
    <w:rsid w:val="001532DA"/>
    <w:rsid w:val="0015331E"/>
    <w:rsid w:val="00153402"/>
    <w:rsid w:val="0015364E"/>
    <w:rsid w:val="001536A8"/>
    <w:rsid w:val="00153728"/>
    <w:rsid w:val="0015381A"/>
    <w:rsid w:val="00153867"/>
    <w:rsid w:val="00153868"/>
    <w:rsid w:val="001539D3"/>
    <w:rsid w:val="00153A09"/>
    <w:rsid w:val="00153A26"/>
    <w:rsid w:val="00153AB0"/>
    <w:rsid w:val="00153AB9"/>
    <w:rsid w:val="00153B8E"/>
    <w:rsid w:val="00153BBB"/>
    <w:rsid w:val="00153C62"/>
    <w:rsid w:val="00153D1B"/>
    <w:rsid w:val="00153DFB"/>
    <w:rsid w:val="00153DFD"/>
    <w:rsid w:val="001540D2"/>
    <w:rsid w:val="0015416F"/>
    <w:rsid w:val="00154281"/>
    <w:rsid w:val="001542AB"/>
    <w:rsid w:val="001543B7"/>
    <w:rsid w:val="00154467"/>
    <w:rsid w:val="00154601"/>
    <w:rsid w:val="001546B0"/>
    <w:rsid w:val="0015473D"/>
    <w:rsid w:val="00154960"/>
    <w:rsid w:val="001549B1"/>
    <w:rsid w:val="00154A17"/>
    <w:rsid w:val="00154AB5"/>
    <w:rsid w:val="00154BB7"/>
    <w:rsid w:val="00154BC3"/>
    <w:rsid w:val="00154CD6"/>
    <w:rsid w:val="00154E3C"/>
    <w:rsid w:val="001552B8"/>
    <w:rsid w:val="0015545F"/>
    <w:rsid w:val="00155504"/>
    <w:rsid w:val="00155736"/>
    <w:rsid w:val="00155919"/>
    <w:rsid w:val="001559EB"/>
    <w:rsid w:val="001559F3"/>
    <w:rsid w:val="00155B01"/>
    <w:rsid w:val="00155B05"/>
    <w:rsid w:val="00155BD0"/>
    <w:rsid w:val="00155C06"/>
    <w:rsid w:val="00155C3C"/>
    <w:rsid w:val="00155C40"/>
    <w:rsid w:val="00155D45"/>
    <w:rsid w:val="00155D63"/>
    <w:rsid w:val="00155DB9"/>
    <w:rsid w:val="00155E45"/>
    <w:rsid w:val="00155E94"/>
    <w:rsid w:val="00155F81"/>
    <w:rsid w:val="0015609E"/>
    <w:rsid w:val="00156134"/>
    <w:rsid w:val="001561F8"/>
    <w:rsid w:val="00156411"/>
    <w:rsid w:val="0015659B"/>
    <w:rsid w:val="001565E8"/>
    <w:rsid w:val="00156720"/>
    <w:rsid w:val="001567C3"/>
    <w:rsid w:val="001569AB"/>
    <w:rsid w:val="00156C5E"/>
    <w:rsid w:val="00156C70"/>
    <w:rsid w:val="00156D50"/>
    <w:rsid w:val="00156DFC"/>
    <w:rsid w:val="0015709C"/>
    <w:rsid w:val="00157449"/>
    <w:rsid w:val="0015767B"/>
    <w:rsid w:val="00157790"/>
    <w:rsid w:val="001579A0"/>
    <w:rsid w:val="00157A7A"/>
    <w:rsid w:val="00157AB1"/>
    <w:rsid w:val="00157AEE"/>
    <w:rsid w:val="00157C93"/>
    <w:rsid w:val="00157CD9"/>
    <w:rsid w:val="00157E9F"/>
    <w:rsid w:val="00157EA7"/>
    <w:rsid w:val="00157F03"/>
    <w:rsid w:val="00160160"/>
    <w:rsid w:val="001601A6"/>
    <w:rsid w:val="001601EA"/>
    <w:rsid w:val="001601F0"/>
    <w:rsid w:val="00160688"/>
    <w:rsid w:val="001607EB"/>
    <w:rsid w:val="001609A8"/>
    <w:rsid w:val="001609DF"/>
    <w:rsid w:val="00160CD0"/>
    <w:rsid w:val="001611C2"/>
    <w:rsid w:val="001612FF"/>
    <w:rsid w:val="001613A7"/>
    <w:rsid w:val="001613FA"/>
    <w:rsid w:val="001614AF"/>
    <w:rsid w:val="00161546"/>
    <w:rsid w:val="00161653"/>
    <w:rsid w:val="00161726"/>
    <w:rsid w:val="0016186D"/>
    <w:rsid w:val="001618AD"/>
    <w:rsid w:val="001618B8"/>
    <w:rsid w:val="001619B6"/>
    <w:rsid w:val="00161A68"/>
    <w:rsid w:val="00161B00"/>
    <w:rsid w:val="00161BA9"/>
    <w:rsid w:val="00161DFD"/>
    <w:rsid w:val="00161E9A"/>
    <w:rsid w:val="00161F81"/>
    <w:rsid w:val="001620B9"/>
    <w:rsid w:val="001620D6"/>
    <w:rsid w:val="0016235E"/>
    <w:rsid w:val="001625A3"/>
    <w:rsid w:val="001625CE"/>
    <w:rsid w:val="001625D8"/>
    <w:rsid w:val="001625D9"/>
    <w:rsid w:val="001625F5"/>
    <w:rsid w:val="0016260C"/>
    <w:rsid w:val="00162633"/>
    <w:rsid w:val="001626CC"/>
    <w:rsid w:val="001626D1"/>
    <w:rsid w:val="001627DF"/>
    <w:rsid w:val="00162AD0"/>
    <w:rsid w:val="00162BD5"/>
    <w:rsid w:val="00162E47"/>
    <w:rsid w:val="00162EC5"/>
    <w:rsid w:val="00162F4F"/>
    <w:rsid w:val="00162FB5"/>
    <w:rsid w:val="0016304A"/>
    <w:rsid w:val="00163368"/>
    <w:rsid w:val="001634FF"/>
    <w:rsid w:val="001635C9"/>
    <w:rsid w:val="0016361E"/>
    <w:rsid w:val="0016366A"/>
    <w:rsid w:val="001637C6"/>
    <w:rsid w:val="00163873"/>
    <w:rsid w:val="00163876"/>
    <w:rsid w:val="00163B41"/>
    <w:rsid w:val="00163BD6"/>
    <w:rsid w:val="00163C5E"/>
    <w:rsid w:val="00163CCD"/>
    <w:rsid w:val="00163CF0"/>
    <w:rsid w:val="00163D03"/>
    <w:rsid w:val="00163D23"/>
    <w:rsid w:val="00163D6D"/>
    <w:rsid w:val="00163D91"/>
    <w:rsid w:val="00163E41"/>
    <w:rsid w:val="001640E4"/>
    <w:rsid w:val="0016413A"/>
    <w:rsid w:val="001641BD"/>
    <w:rsid w:val="001641F0"/>
    <w:rsid w:val="00164377"/>
    <w:rsid w:val="0016466D"/>
    <w:rsid w:val="001646AC"/>
    <w:rsid w:val="00164756"/>
    <w:rsid w:val="001647B1"/>
    <w:rsid w:val="00164A12"/>
    <w:rsid w:val="00164C20"/>
    <w:rsid w:val="00164C44"/>
    <w:rsid w:val="00164C67"/>
    <w:rsid w:val="00164CA1"/>
    <w:rsid w:val="00164D96"/>
    <w:rsid w:val="00164F8D"/>
    <w:rsid w:val="0016504B"/>
    <w:rsid w:val="0016506F"/>
    <w:rsid w:val="00165198"/>
    <w:rsid w:val="001651BD"/>
    <w:rsid w:val="00165255"/>
    <w:rsid w:val="001653B9"/>
    <w:rsid w:val="00165451"/>
    <w:rsid w:val="00165598"/>
    <w:rsid w:val="00165666"/>
    <w:rsid w:val="0016580F"/>
    <w:rsid w:val="001658EA"/>
    <w:rsid w:val="00165A7A"/>
    <w:rsid w:val="00165AE5"/>
    <w:rsid w:val="00165CC4"/>
    <w:rsid w:val="00165D36"/>
    <w:rsid w:val="00165E84"/>
    <w:rsid w:val="00165EF2"/>
    <w:rsid w:val="0016601C"/>
    <w:rsid w:val="0016605B"/>
    <w:rsid w:val="001661F6"/>
    <w:rsid w:val="001665B7"/>
    <w:rsid w:val="00166629"/>
    <w:rsid w:val="0016677D"/>
    <w:rsid w:val="00166818"/>
    <w:rsid w:val="0016694D"/>
    <w:rsid w:val="00166953"/>
    <w:rsid w:val="00166AB7"/>
    <w:rsid w:val="00166AE2"/>
    <w:rsid w:val="00166B7D"/>
    <w:rsid w:val="00166BB3"/>
    <w:rsid w:val="00166E3E"/>
    <w:rsid w:val="00166E44"/>
    <w:rsid w:val="00167042"/>
    <w:rsid w:val="00167054"/>
    <w:rsid w:val="00167095"/>
    <w:rsid w:val="001672A3"/>
    <w:rsid w:val="00167368"/>
    <w:rsid w:val="0016738D"/>
    <w:rsid w:val="00167393"/>
    <w:rsid w:val="00167415"/>
    <w:rsid w:val="0016746B"/>
    <w:rsid w:val="001675D9"/>
    <w:rsid w:val="0016767E"/>
    <w:rsid w:val="001677B2"/>
    <w:rsid w:val="0016796E"/>
    <w:rsid w:val="001679B3"/>
    <w:rsid w:val="00167A5C"/>
    <w:rsid w:val="00167B06"/>
    <w:rsid w:val="00167C11"/>
    <w:rsid w:val="00167CCE"/>
    <w:rsid w:val="00167D57"/>
    <w:rsid w:val="00167E95"/>
    <w:rsid w:val="00167EA0"/>
    <w:rsid w:val="0017000B"/>
    <w:rsid w:val="0017001F"/>
    <w:rsid w:val="0017002C"/>
    <w:rsid w:val="00170092"/>
    <w:rsid w:val="00170121"/>
    <w:rsid w:val="00170384"/>
    <w:rsid w:val="00170399"/>
    <w:rsid w:val="001703DB"/>
    <w:rsid w:val="0017042B"/>
    <w:rsid w:val="00170490"/>
    <w:rsid w:val="00170623"/>
    <w:rsid w:val="0017067A"/>
    <w:rsid w:val="00170685"/>
    <w:rsid w:val="00170717"/>
    <w:rsid w:val="001709D6"/>
    <w:rsid w:val="00170A42"/>
    <w:rsid w:val="00170AB7"/>
    <w:rsid w:val="00170ABE"/>
    <w:rsid w:val="00170B5F"/>
    <w:rsid w:val="00170BBB"/>
    <w:rsid w:val="00170C41"/>
    <w:rsid w:val="00170C80"/>
    <w:rsid w:val="00170E04"/>
    <w:rsid w:val="00170EF1"/>
    <w:rsid w:val="00170F8D"/>
    <w:rsid w:val="00170FAF"/>
    <w:rsid w:val="00170FE1"/>
    <w:rsid w:val="001711FE"/>
    <w:rsid w:val="00171215"/>
    <w:rsid w:val="001712F0"/>
    <w:rsid w:val="0017155E"/>
    <w:rsid w:val="001715BB"/>
    <w:rsid w:val="00171906"/>
    <w:rsid w:val="00171910"/>
    <w:rsid w:val="00171934"/>
    <w:rsid w:val="001719F6"/>
    <w:rsid w:val="00171A1C"/>
    <w:rsid w:val="00171A33"/>
    <w:rsid w:val="00171BD8"/>
    <w:rsid w:val="00171C4D"/>
    <w:rsid w:val="00171D56"/>
    <w:rsid w:val="00171F72"/>
    <w:rsid w:val="00171FEA"/>
    <w:rsid w:val="001720EF"/>
    <w:rsid w:val="001720F8"/>
    <w:rsid w:val="00172226"/>
    <w:rsid w:val="0017224E"/>
    <w:rsid w:val="001722C1"/>
    <w:rsid w:val="00172346"/>
    <w:rsid w:val="00172374"/>
    <w:rsid w:val="0017243B"/>
    <w:rsid w:val="00172457"/>
    <w:rsid w:val="0017247C"/>
    <w:rsid w:val="00172595"/>
    <w:rsid w:val="001725EE"/>
    <w:rsid w:val="00172620"/>
    <w:rsid w:val="001726D6"/>
    <w:rsid w:val="0017281A"/>
    <w:rsid w:val="001728CB"/>
    <w:rsid w:val="001729BE"/>
    <w:rsid w:val="00172A31"/>
    <w:rsid w:val="00172AC6"/>
    <w:rsid w:val="00172BF8"/>
    <w:rsid w:val="00172C9D"/>
    <w:rsid w:val="00172CE3"/>
    <w:rsid w:val="00172DA1"/>
    <w:rsid w:val="00172DDF"/>
    <w:rsid w:val="00172EEE"/>
    <w:rsid w:val="00172FC2"/>
    <w:rsid w:val="00173006"/>
    <w:rsid w:val="0017322A"/>
    <w:rsid w:val="001732DF"/>
    <w:rsid w:val="001733C3"/>
    <w:rsid w:val="001735D3"/>
    <w:rsid w:val="0017360C"/>
    <w:rsid w:val="0017369A"/>
    <w:rsid w:val="00173725"/>
    <w:rsid w:val="00173815"/>
    <w:rsid w:val="00173882"/>
    <w:rsid w:val="001738DC"/>
    <w:rsid w:val="00173A84"/>
    <w:rsid w:val="00173B48"/>
    <w:rsid w:val="00173B58"/>
    <w:rsid w:val="00173BA0"/>
    <w:rsid w:val="00173DE8"/>
    <w:rsid w:val="0017408F"/>
    <w:rsid w:val="001740DA"/>
    <w:rsid w:val="00174181"/>
    <w:rsid w:val="001741A7"/>
    <w:rsid w:val="001741B7"/>
    <w:rsid w:val="00174242"/>
    <w:rsid w:val="0017443E"/>
    <w:rsid w:val="00174441"/>
    <w:rsid w:val="0017451B"/>
    <w:rsid w:val="0017452E"/>
    <w:rsid w:val="001745E9"/>
    <w:rsid w:val="00174606"/>
    <w:rsid w:val="00174612"/>
    <w:rsid w:val="00174785"/>
    <w:rsid w:val="001747A8"/>
    <w:rsid w:val="0017480A"/>
    <w:rsid w:val="00174813"/>
    <w:rsid w:val="001748E8"/>
    <w:rsid w:val="00174CFE"/>
    <w:rsid w:val="00174DB6"/>
    <w:rsid w:val="00175100"/>
    <w:rsid w:val="001751AF"/>
    <w:rsid w:val="0017526E"/>
    <w:rsid w:val="00175475"/>
    <w:rsid w:val="001754A5"/>
    <w:rsid w:val="001754A8"/>
    <w:rsid w:val="001754BD"/>
    <w:rsid w:val="001756AF"/>
    <w:rsid w:val="001756D0"/>
    <w:rsid w:val="001759C9"/>
    <w:rsid w:val="00175A8E"/>
    <w:rsid w:val="00175B17"/>
    <w:rsid w:val="00175B23"/>
    <w:rsid w:val="00175BAD"/>
    <w:rsid w:val="00175C72"/>
    <w:rsid w:val="00175E5D"/>
    <w:rsid w:val="0017604A"/>
    <w:rsid w:val="001760A5"/>
    <w:rsid w:val="001760AD"/>
    <w:rsid w:val="00176211"/>
    <w:rsid w:val="0017627C"/>
    <w:rsid w:val="0017635F"/>
    <w:rsid w:val="00176380"/>
    <w:rsid w:val="00176387"/>
    <w:rsid w:val="00176443"/>
    <w:rsid w:val="0017652B"/>
    <w:rsid w:val="00176556"/>
    <w:rsid w:val="00176565"/>
    <w:rsid w:val="00176577"/>
    <w:rsid w:val="001765F5"/>
    <w:rsid w:val="00176685"/>
    <w:rsid w:val="001766C2"/>
    <w:rsid w:val="001766FD"/>
    <w:rsid w:val="00176700"/>
    <w:rsid w:val="00176717"/>
    <w:rsid w:val="001768CB"/>
    <w:rsid w:val="0017698E"/>
    <w:rsid w:val="00176BF5"/>
    <w:rsid w:val="00176C14"/>
    <w:rsid w:val="00176CAE"/>
    <w:rsid w:val="00176D5E"/>
    <w:rsid w:val="00176DB9"/>
    <w:rsid w:val="00177091"/>
    <w:rsid w:val="001770AC"/>
    <w:rsid w:val="00177125"/>
    <w:rsid w:val="001771AD"/>
    <w:rsid w:val="001771F1"/>
    <w:rsid w:val="001771F5"/>
    <w:rsid w:val="00177353"/>
    <w:rsid w:val="001773D3"/>
    <w:rsid w:val="001774B4"/>
    <w:rsid w:val="0017751B"/>
    <w:rsid w:val="001776BE"/>
    <w:rsid w:val="00177751"/>
    <w:rsid w:val="00177764"/>
    <w:rsid w:val="001778A3"/>
    <w:rsid w:val="001778A8"/>
    <w:rsid w:val="00177A45"/>
    <w:rsid w:val="00177A90"/>
    <w:rsid w:val="00177C1E"/>
    <w:rsid w:val="00177C43"/>
    <w:rsid w:val="00177C61"/>
    <w:rsid w:val="00177C7A"/>
    <w:rsid w:val="00177CD1"/>
    <w:rsid w:val="00177DD9"/>
    <w:rsid w:val="00177E47"/>
    <w:rsid w:val="00177F0B"/>
    <w:rsid w:val="00177FA7"/>
    <w:rsid w:val="001800F5"/>
    <w:rsid w:val="001802DE"/>
    <w:rsid w:val="00180319"/>
    <w:rsid w:val="001803B9"/>
    <w:rsid w:val="00180427"/>
    <w:rsid w:val="001804BE"/>
    <w:rsid w:val="00180551"/>
    <w:rsid w:val="00180627"/>
    <w:rsid w:val="0018062D"/>
    <w:rsid w:val="00180679"/>
    <w:rsid w:val="00180685"/>
    <w:rsid w:val="00180780"/>
    <w:rsid w:val="001807BB"/>
    <w:rsid w:val="001807F5"/>
    <w:rsid w:val="0018082E"/>
    <w:rsid w:val="001808CE"/>
    <w:rsid w:val="00180916"/>
    <w:rsid w:val="00180AE5"/>
    <w:rsid w:val="00180C1D"/>
    <w:rsid w:val="00180C6A"/>
    <w:rsid w:val="00180C7C"/>
    <w:rsid w:val="00180CBC"/>
    <w:rsid w:val="00180D09"/>
    <w:rsid w:val="00180D71"/>
    <w:rsid w:val="001810C0"/>
    <w:rsid w:val="00181175"/>
    <w:rsid w:val="00181197"/>
    <w:rsid w:val="001811BB"/>
    <w:rsid w:val="00181203"/>
    <w:rsid w:val="001812E4"/>
    <w:rsid w:val="0018151C"/>
    <w:rsid w:val="0018159B"/>
    <w:rsid w:val="001815C4"/>
    <w:rsid w:val="00181671"/>
    <w:rsid w:val="001816D1"/>
    <w:rsid w:val="00181922"/>
    <w:rsid w:val="00181932"/>
    <w:rsid w:val="00181969"/>
    <w:rsid w:val="00181A03"/>
    <w:rsid w:val="00181A65"/>
    <w:rsid w:val="00181A6D"/>
    <w:rsid w:val="00181B64"/>
    <w:rsid w:val="00181BB6"/>
    <w:rsid w:val="00181C31"/>
    <w:rsid w:val="00181DA4"/>
    <w:rsid w:val="00181F99"/>
    <w:rsid w:val="00181FC6"/>
    <w:rsid w:val="0018200B"/>
    <w:rsid w:val="00182041"/>
    <w:rsid w:val="00182047"/>
    <w:rsid w:val="001820A7"/>
    <w:rsid w:val="001820C8"/>
    <w:rsid w:val="0018223E"/>
    <w:rsid w:val="00182348"/>
    <w:rsid w:val="001823B2"/>
    <w:rsid w:val="001825D0"/>
    <w:rsid w:val="0018279A"/>
    <w:rsid w:val="001827C0"/>
    <w:rsid w:val="00182825"/>
    <w:rsid w:val="00182856"/>
    <w:rsid w:val="00182894"/>
    <w:rsid w:val="00182A1B"/>
    <w:rsid w:val="00182AE7"/>
    <w:rsid w:val="00182AF0"/>
    <w:rsid w:val="00182BA4"/>
    <w:rsid w:val="00182CCD"/>
    <w:rsid w:val="00182E74"/>
    <w:rsid w:val="00182E7E"/>
    <w:rsid w:val="00182F97"/>
    <w:rsid w:val="00182FD0"/>
    <w:rsid w:val="0018311E"/>
    <w:rsid w:val="0018319B"/>
    <w:rsid w:val="0018320D"/>
    <w:rsid w:val="001832BF"/>
    <w:rsid w:val="00183499"/>
    <w:rsid w:val="001834A9"/>
    <w:rsid w:val="001834D8"/>
    <w:rsid w:val="0018353E"/>
    <w:rsid w:val="00183685"/>
    <w:rsid w:val="0018374D"/>
    <w:rsid w:val="001837B4"/>
    <w:rsid w:val="001837F9"/>
    <w:rsid w:val="00183830"/>
    <w:rsid w:val="00183974"/>
    <w:rsid w:val="00183A08"/>
    <w:rsid w:val="00183A57"/>
    <w:rsid w:val="00183B0D"/>
    <w:rsid w:val="00183CDE"/>
    <w:rsid w:val="00183DF1"/>
    <w:rsid w:val="00183E2C"/>
    <w:rsid w:val="00183F33"/>
    <w:rsid w:val="00183FCF"/>
    <w:rsid w:val="00184019"/>
    <w:rsid w:val="00184186"/>
    <w:rsid w:val="001841F4"/>
    <w:rsid w:val="001843A3"/>
    <w:rsid w:val="001843C8"/>
    <w:rsid w:val="0018446F"/>
    <w:rsid w:val="0018453B"/>
    <w:rsid w:val="00184562"/>
    <w:rsid w:val="0018458F"/>
    <w:rsid w:val="0018468D"/>
    <w:rsid w:val="0018478A"/>
    <w:rsid w:val="001847B9"/>
    <w:rsid w:val="001848B6"/>
    <w:rsid w:val="001848B7"/>
    <w:rsid w:val="00184908"/>
    <w:rsid w:val="00184929"/>
    <w:rsid w:val="0018499B"/>
    <w:rsid w:val="001849E9"/>
    <w:rsid w:val="00184A00"/>
    <w:rsid w:val="00184A41"/>
    <w:rsid w:val="00184A43"/>
    <w:rsid w:val="00184A90"/>
    <w:rsid w:val="00184C76"/>
    <w:rsid w:val="00184D17"/>
    <w:rsid w:val="00184D9D"/>
    <w:rsid w:val="00184F60"/>
    <w:rsid w:val="00184F7A"/>
    <w:rsid w:val="00185048"/>
    <w:rsid w:val="001850D4"/>
    <w:rsid w:val="00185300"/>
    <w:rsid w:val="00185312"/>
    <w:rsid w:val="001854B6"/>
    <w:rsid w:val="001857E8"/>
    <w:rsid w:val="00185805"/>
    <w:rsid w:val="00185970"/>
    <w:rsid w:val="00185A2A"/>
    <w:rsid w:val="00185AAC"/>
    <w:rsid w:val="00185BE0"/>
    <w:rsid w:val="00185C68"/>
    <w:rsid w:val="00185D04"/>
    <w:rsid w:val="00185D60"/>
    <w:rsid w:val="00185DA9"/>
    <w:rsid w:val="00185DAB"/>
    <w:rsid w:val="00185DB9"/>
    <w:rsid w:val="00185E90"/>
    <w:rsid w:val="0018603A"/>
    <w:rsid w:val="00186072"/>
    <w:rsid w:val="0018610B"/>
    <w:rsid w:val="00186209"/>
    <w:rsid w:val="00186271"/>
    <w:rsid w:val="001864BF"/>
    <w:rsid w:val="001864E4"/>
    <w:rsid w:val="001866A2"/>
    <w:rsid w:val="00186858"/>
    <w:rsid w:val="00186A9F"/>
    <w:rsid w:val="00186ADB"/>
    <w:rsid w:val="00186B2B"/>
    <w:rsid w:val="00186D93"/>
    <w:rsid w:val="00186DD4"/>
    <w:rsid w:val="00186DFA"/>
    <w:rsid w:val="00186F2C"/>
    <w:rsid w:val="0018704C"/>
    <w:rsid w:val="00187056"/>
    <w:rsid w:val="001870A4"/>
    <w:rsid w:val="001870E8"/>
    <w:rsid w:val="001871A0"/>
    <w:rsid w:val="001871C3"/>
    <w:rsid w:val="00187209"/>
    <w:rsid w:val="00187366"/>
    <w:rsid w:val="001873A7"/>
    <w:rsid w:val="001873CA"/>
    <w:rsid w:val="0018748D"/>
    <w:rsid w:val="001874D3"/>
    <w:rsid w:val="0018756E"/>
    <w:rsid w:val="0018758C"/>
    <w:rsid w:val="001876A8"/>
    <w:rsid w:val="001876C4"/>
    <w:rsid w:val="001878EF"/>
    <w:rsid w:val="001878F7"/>
    <w:rsid w:val="00187953"/>
    <w:rsid w:val="001879BF"/>
    <w:rsid w:val="00187A36"/>
    <w:rsid w:val="00187A75"/>
    <w:rsid w:val="00187B56"/>
    <w:rsid w:val="00187C1B"/>
    <w:rsid w:val="00187D11"/>
    <w:rsid w:val="00187DC2"/>
    <w:rsid w:val="0019013B"/>
    <w:rsid w:val="00190180"/>
    <w:rsid w:val="00190190"/>
    <w:rsid w:val="00190297"/>
    <w:rsid w:val="001903A8"/>
    <w:rsid w:val="00190579"/>
    <w:rsid w:val="00190582"/>
    <w:rsid w:val="001906AE"/>
    <w:rsid w:val="001907E9"/>
    <w:rsid w:val="001908C4"/>
    <w:rsid w:val="00190948"/>
    <w:rsid w:val="001909E9"/>
    <w:rsid w:val="00190A16"/>
    <w:rsid w:val="00190A2E"/>
    <w:rsid w:val="00190BD9"/>
    <w:rsid w:val="00190CA1"/>
    <w:rsid w:val="00190D07"/>
    <w:rsid w:val="00190E53"/>
    <w:rsid w:val="00191005"/>
    <w:rsid w:val="001911AF"/>
    <w:rsid w:val="001911EF"/>
    <w:rsid w:val="001912AD"/>
    <w:rsid w:val="001913F4"/>
    <w:rsid w:val="00191552"/>
    <w:rsid w:val="001915DA"/>
    <w:rsid w:val="00191613"/>
    <w:rsid w:val="0019162B"/>
    <w:rsid w:val="00191644"/>
    <w:rsid w:val="00191677"/>
    <w:rsid w:val="00191703"/>
    <w:rsid w:val="00191710"/>
    <w:rsid w:val="00191757"/>
    <w:rsid w:val="001917DF"/>
    <w:rsid w:val="001917E6"/>
    <w:rsid w:val="001917F3"/>
    <w:rsid w:val="001918F6"/>
    <w:rsid w:val="001919A4"/>
    <w:rsid w:val="001919E7"/>
    <w:rsid w:val="00191A6D"/>
    <w:rsid w:val="00191A8F"/>
    <w:rsid w:val="00191BFD"/>
    <w:rsid w:val="00191C11"/>
    <w:rsid w:val="00191C6D"/>
    <w:rsid w:val="00191D47"/>
    <w:rsid w:val="00191DEE"/>
    <w:rsid w:val="00191E26"/>
    <w:rsid w:val="00191E4B"/>
    <w:rsid w:val="00191FC8"/>
    <w:rsid w:val="00192016"/>
    <w:rsid w:val="001921DB"/>
    <w:rsid w:val="001923C7"/>
    <w:rsid w:val="001923D3"/>
    <w:rsid w:val="0019258E"/>
    <w:rsid w:val="00192647"/>
    <w:rsid w:val="0019268A"/>
    <w:rsid w:val="0019289A"/>
    <w:rsid w:val="00192946"/>
    <w:rsid w:val="00192972"/>
    <w:rsid w:val="00192997"/>
    <w:rsid w:val="001929C3"/>
    <w:rsid w:val="00192D20"/>
    <w:rsid w:val="00192D2A"/>
    <w:rsid w:val="00192FA5"/>
    <w:rsid w:val="00193001"/>
    <w:rsid w:val="00193031"/>
    <w:rsid w:val="001930E6"/>
    <w:rsid w:val="00193154"/>
    <w:rsid w:val="001931CD"/>
    <w:rsid w:val="00193279"/>
    <w:rsid w:val="00193280"/>
    <w:rsid w:val="001932A8"/>
    <w:rsid w:val="001932A9"/>
    <w:rsid w:val="0019337C"/>
    <w:rsid w:val="001933D4"/>
    <w:rsid w:val="00193404"/>
    <w:rsid w:val="0019342A"/>
    <w:rsid w:val="001934A6"/>
    <w:rsid w:val="00193611"/>
    <w:rsid w:val="00193615"/>
    <w:rsid w:val="001936D7"/>
    <w:rsid w:val="0019375D"/>
    <w:rsid w:val="001938ED"/>
    <w:rsid w:val="001938EF"/>
    <w:rsid w:val="00193933"/>
    <w:rsid w:val="00193941"/>
    <w:rsid w:val="00193958"/>
    <w:rsid w:val="00193968"/>
    <w:rsid w:val="00193969"/>
    <w:rsid w:val="00193A41"/>
    <w:rsid w:val="00193ADB"/>
    <w:rsid w:val="00193C3B"/>
    <w:rsid w:val="00193CD2"/>
    <w:rsid w:val="00193EB6"/>
    <w:rsid w:val="00193F58"/>
    <w:rsid w:val="00193F97"/>
    <w:rsid w:val="00194029"/>
    <w:rsid w:val="001940F1"/>
    <w:rsid w:val="0019413E"/>
    <w:rsid w:val="00194146"/>
    <w:rsid w:val="00194164"/>
    <w:rsid w:val="00194171"/>
    <w:rsid w:val="001942B0"/>
    <w:rsid w:val="001942E0"/>
    <w:rsid w:val="001942F4"/>
    <w:rsid w:val="00194344"/>
    <w:rsid w:val="00194478"/>
    <w:rsid w:val="001946B3"/>
    <w:rsid w:val="001946CB"/>
    <w:rsid w:val="0019471E"/>
    <w:rsid w:val="0019492F"/>
    <w:rsid w:val="00194936"/>
    <w:rsid w:val="0019494E"/>
    <w:rsid w:val="00194956"/>
    <w:rsid w:val="0019498B"/>
    <w:rsid w:val="00194A5B"/>
    <w:rsid w:val="00194A9F"/>
    <w:rsid w:val="00194C6C"/>
    <w:rsid w:val="00194DB4"/>
    <w:rsid w:val="00194E5B"/>
    <w:rsid w:val="00194E63"/>
    <w:rsid w:val="00194EDA"/>
    <w:rsid w:val="00194F3E"/>
    <w:rsid w:val="00195001"/>
    <w:rsid w:val="0019516E"/>
    <w:rsid w:val="00195262"/>
    <w:rsid w:val="00195267"/>
    <w:rsid w:val="001952D8"/>
    <w:rsid w:val="001952DE"/>
    <w:rsid w:val="001952F7"/>
    <w:rsid w:val="00195373"/>
    <w:rsid w:val="0019547B"/>
    <w:rsid w:val="00195630"/>
    <w:rsid w:val="00195762"/>
    <w:rsid w:val="00195766"/>
    <w:rsid w:val="00195769"/>
    <w:rsid w:val="00195789"/>
    <w:rsid w:val="00195869"/>
    <w:rsid w:val="001958B5"/>
    <w:rsid w:val="00195CB3"/>
    <w:rsid w:val="00195E34"/>
    <w:rsid w:val="00195E5D"/>
    <w:rsid w:val="00195E93"/>
    <w:rsid w:val="00195EE1"/>
    <w:rsid w:val="00195EEE"/>
    <w:rsid w:val="00195FE0"/>
    <w:rsid w:val="00196018"/>
    <w:rsid w:val="00196057"/>
    <w:rsid w:val="00196067"/>
    <w:rsid w:val="001960B1"/>
    <w:rsid w:val="00196146"/>
    <w:rsid w:val="0019614F"/>
    <w:rsid w:val="0019616D"/>
    <w:rsid w:val="00196247"/>
    <w:rsid w:val="001963C8"/>
    <w:rsid w:val="00196525"/>
    <w:rsid w:val="00196612"/>
    <w:rsid w:val="00196800"/>
    <w:rsid w:val="00196A38"/>
    <w:rsid w:val="00196A6C"/>
    <w:rsid w:val="00196A77"/>
    <w:rsid w:val="00196CE8"/>
    <w:rsid w:val="00196DB8"/>
    <w:rsid w:val="00196E30"/>
    <w:rsid w:val="00196ED2"/>
    <w:rsid w:val="00196F37"/>
    <w:rsid w:val="00196FF6"/>
    <w:rsid w:val="0019714D"/>
    <w:rsid w:val="0019721C"/>
    <w:rsid w:val="001972C9"/>
    <w:rsid w:val="00197359"/>
    <w:rsid w:val="00197713"/>
    <w:rsid w:val="00197932"/>
    <w:rsid w:val="0019796C"/>
    <w:rsid w:val="00197C81"/>
    <w:rsid w:val="00197D1C"/>
    <w:rsid w:val="00197E6A"/>
    <w:rsid w:val="00197E93"/>
    <w:rsid w:val="00197EA9"/>
    <w:rsid w:val="00197F1D"/>
    <w:rsid w:val="00197FCE"/>
    <w:rsid w:val="001A0121"/>
    <w:rsid w:val="001A021D"/>
    <w:rsid w:val="001A033F"/>
    <w:rsid w:val="001A0413"/>
    <w:rsid w:val="001A0573"/>
    <w:rsid w:val="001A0595"/>
    <w:rsid w:val="001A0638"/>
    <w:rsid w:val="001A0644"/>
    <w:rsid w:val="001A088D"/>
    <w:rsid w:val="001A08AC"/>
    <w:rsid w:val="001A08D5"/>
    <w:rsid w:val="001A08F6"/>
    <w:rsid w:val="001A0A4E"/>
    <w:rsid w:val="001A0C36"/>
    <w:rsid w:val="001A0C6B"/>
    <w:rsid w:val="001A0D20"/>
    <w:rsid w:val="001A0D52"/>
    <w:rsid w:val="001A0D98"/>
    <w:rsid w:val="001A0F59"/>
    <w:rsid w:val="001A1050"/>
    <w:rsid w:val="001A11D3"/>
    <w:rsid w:val="001A122F"/>
    <w:rsid w:val="001A12CD"/>
    <w:rsid w:val="001A1351"/>
    <w:rsid w:val="001A137F"/>
    <w:rsid w:val="001A1397"/>
    <w:rsid w:val="001A13D7"/>
    <w:rsid w:val="001A1437"/>
    <w:rsid w:val="001A1495"/>
    <w:rsid w:val="001A1507"/>
    <w:rsid w:val="001A1533"/>
    <w:rsid w:val="001A15D8"/>
    <w:rsid w:val="001A1704"/>
    <w:rsid w:val="001A187A"/>
    <w:rsid w:val="001A196E"/>
    <w:rsid w:val="001A1AFA"/>
    <w:rsid w:val="001A1B4D"/>
    <w:rsid w:val="001A1B98"/>
    <w:rsid w:val="001A1C00"/>
    <w:rsid w:val="001A1C18"/>
    <w:rsid w:val="001A1D30"/>
    <w:rsid w:val="001A1D4D"/>
    <w:rsid w:val="001A1DAA"/>
    <w:rsid w:val="001A1DF1"/>
    <w:rsid w:val="001A1DF7"/>
    <w:rsid w:val="001A1EAB"/>
    <w:rsid w:val="001A203A"/>
    <w:rsid w:val="001A2055"/>
    <w:rsid w:val="001A2273"/>
    <w:rsid w:val="001A2379"/>
    <w:rsid w:val="001A23E1"/>
    <w:rsid w:val="001A2412"/>
    <w:rsid w:val="001A25BD"/>
    <w:rsid w:val="001A25D5"/>
    <w:rsid w:val="001A261C"/>
    <w:rsid w:val="001A26D1"/>
    <w:rsid w:val="001A273C"/>
    <w:rsid w:val="001A293E"/>
    <w:rsid w:val="001A297E"/>
    <w:rsid w:val="001A2A2C"/>
    <w:rsid w:val="001A2B39"/>
    <w:rsid w:val="001A2BF1"/>
    <w:rsid w:val="001A2E33"/>
    <w:rsid w:val="001A2FD1"/>
    <w:rsid w:val="001A3136"/>
    <w:rsid w:val="001A3201"/>
    <w:rsid w:val="001A323D"/>
    <w:rsid w:val="001A325D"/>
    <w:rsid w:val="001A329E"/>
    <w:rsid w:val="001A32F9"/>
    <w:rsid w:val="001A3419"/>
    <w:rsid w:val="001A3435"/>
    <w:rsid w:val="001A343F"/>
    <w:rsid w:val="001A3493"/>
    <w:rsid w:val="001A3683"/>
    <w:rsid w:val="001A36D7"/>
    <w:rsid w:val="001A37B8"/>
    <w:rsid w:val="001A37D3"/>
    <w:rsid w:val="001A386F"/>
    <w:rsid w:val="001A3951"/>
    <w:rsid w:val="001A3B0C"/>
    <w:rsid w:val="001A3B8F"/>
    <w:rsid w:val="001A3BD3"/>
    <w:rsid w:val="001A3C37"/>
    <w:rsid w:val="001A3DCF"/>
    <w:rsid w:val="001A3FD1"/>
    <w:rsid w:val="001A4097"/>
    <w:rsid w:val="001A40C5"/>
    <w:rsid w:val="001A4129"/>
    <w:rsid w:val="001A41C2"/>
    <w:rsid w:val="001A4254"/>
    <w:rsid w:val="001A4261"/>
    <w:rsid w:val="001A433E"/>
    <w:rsid w:val="001A44F0"/>
    <w:rsid w:val="001A44FE"/>
    <w:rsid w:val="001A4521"/>
    <w:rsid w:val="001A470E"/>
    <w:rsid w:val="001A487A"/>
    <w:rsid w:val="001A499B"/>
    <w:rsid w:val="001A49CF"/>
    <w:rsid w:val="001A4AC5"/>
    <w:rsid w:val="001A4CA1"/>
    <w:rsid w:val="001A4CD2"/>
    <w:rsid w:val="001A4F8B"/>
    <w:rsid w:val="001A502F"/>
    <w:rsid w:val="001A50E8"/>
    <w:rsid w:val="001A519C"/>
    <w:rsid w:val="001A52A4"/>
    <w:rsid w:val="001A53B4"/>
    <w:rsid w:val="001A53BE"/>
    <w:rsid w:val="001A5498"/>
    <w:rsid w:val="001A5650"/>
    <w:rsid w:val="001A573D"/>
    <w:rsid w:val="001A5798"/>
    <w:rsid w:val="001A580E"/>
    <w:rsid w:val="001A583A"/>
    <w:rsid w:val="001A588F"/>
    <w:rsid w:val="001A594F"/>
    <w:rsid w:val="001A5AB9"/>
    <w:rsid w:val="001A5BDA"/>
    <w:rsid w:val="001A5D72"/>
    <w:rsid w:val="001A5F1D"/>
    <w:rsid w:val="001A5F76"/>
    <w:rsid w:val="001A6132"/>
    <w:rsid w:val="001A61DD"/>
    <w:rsid w:val="001A61FD"/>
    <w:rsid w:val="001A6241"/>
    <w:rsid w:val="001A65EC"/>
    <w:rsid w:val="001A66E8"/>
    <w:rsid w:val="001A67AA"/>
    <w:rsid w:val="001A682B"/>
    <w:rsid w:val="001A6AF3"/>
    <w:rsid w:val="001A6BA4"/>
    <w:rsid w:val="001A6DAA"/>
    <w:rsid w:val="001A6DE8"/>
    <w:rsid w:val="001A6ED5"/>
    <w:rsid w:val="001A6F33"/>
    <w:rsid w:val="001A6F91"/>
    <w:rsid w:val="001A7042"/>
    <w:rsid w:val="001A72D4"/>
    <w:rsid w:val="001A72F9"/>
    <w:rsid w:val="001A7302"/>
    <w:rsid w:val="001A741A"/>
    <w:rsid w:val="001A7424"/>
    <w:rsid w:val="001A7439"/>
    <w:rsid w:val="001A76D3"/>
    <w:rsid w:val="001A76E5"/>
    <w:rsid w:val="001A7739"/>
    <w:rsid w:val="001A788F"/>
    <w:rsid w:val="001A7895"/>
    <w:rsid w:val="001A78AB"/>
    <w:rsid w:val="001A79AE"/>
    <w:rsid w:val="001A79E2"/>
    <w:rsid w:val="001A7A01"/>
    <w:rsid w:val="001A7A04"/>
    <w:rsid w:val="001A7ACA"/>
    <w:rsid w:val="001A7AD8"/>
    <w:rsid w:val="001A7AD9"/>
    <w:rsid w:val="001A7DD2"/>
    <w:rsid w:val="001A7F2B"/>
    <w:rsid w:val="001A7FBA"/>
    <w:rsid w:val="001B00B8"/>
    <w:rsid w:val="001B01D9"/>
    <w:rsid w:val="001B01DC"/>
    <w:rsid w:val="001B0275"/>
    <w:rsid w:val="001B0421"/>
    <w:rsid w:val="001B0442"/>
    <w:rsid w:val="001B0508"/>
    <w:rsid w:val="001B05B1"/>
    <w:rsid w:val="001B06FF"/>
    <w:rsid w:val="001B0754"/>
    <w:rsid w:val="001B077D"/>
    <w:rsid w:val="001B09BF"/>
    <w:rsid w:val="001B0C18"/>
    <w:rsid w:val="001B0C42"/>
    <w:rsid w:val="001B0D8B"/>
    <w:rsid w:val="001B0E72"/>
    <w:rsid w:val="001B0EE1"/>
    <w:rsid w:val="001B0F5F"/>
    <w:rsid w:val="001B1022"/>
    <w:rsid w:val="001B1078"/>
    <w:rsid w:val="001B10DC"/>
    <w:rsid w:val="001B1172"/>
    <w:rsid w:val="001B11B0"/>
    <w:rsid w:val="001B1281"/>
    <w:rsid w:val="001B12FF"/>
    <w:rsid w:val="001B14BA"/>
    <w:rsid w:val="001B14F5"/>
    <w:rsid w:val="001B1582"/>
    <w:rsid w:val="001B15B2"/>
    <w:rsid w:val="001B185D"/>
    <w:rsid w:val="001B190A"/>
    <w:rsid w:val="001B1A28"/>
    <w:rsid w:val="001B1C0E"/>
    <w:rsid w:val="001B1C0F"/>
    <w:rsid w:val="001B1D7E"/>
    <w:rsid w:val="001B1E41"/>
    <w:rsid w:val="001B1EB1"/>
    <w:rsid w:val="001B2157"/>
    <w:rsid w:val="001B2202"/>
    <w:rsid w:val="001B2246"/>
    <w:rsid w:val="001B2396"/>
    <w:rsid w:val="001B2450"/>
    <w:rsid w:val="001B2496"/>
    <w:rsid w:val="001B249B"/>
    <w:rsid w:val="001B256A"/>
    <w:rsid w:val="001B2650"/>
    <w:rsid w:val="001B2753"/>
    <w:rsid w:val="001B27EB"/>
    <w:rsid w:val="001B2813"/>
    <w:rsid w:val="001B2818"/>
    <w:rsid w:val="001B2842"/>
    <w:rsid w:val="001B28AE"/>
    <w:rsid w:val="001B28BB"/>
    <w:rsid w:val="001B2951"/>
    <w:rsid w:val="001B2988"/>
    <w:rsid w:val="001B2AA3"/>
    <w:rsid w:val="001B2C22"/>
    <w:rsid w:val="001B2C9F"/>
    <w:rsid w:val="001B2CDB"/>
    <w:rsid w:val="001B2E80"/>
    <w:rsid w:val="001B3009"/>
    <w:rsid w:val="001B334A"/>
    <w:rsid w:val="001B340E"/>
    <w:rsid w:val="001B3431"/>
    <w:rsid w:val="001B34DC"/>
    <w:rsid w:val="001B3537"/>
    <w:rsid w:val="001B3619"/>
    <w:rsid w:val="001B3680"/>
    <w:rsid w:val="001B371D"/>
    <w:rsid w:val="001B3725"/>
    <w:rsid w:val="001B383A"/>
    <w:rsid w:val="001B38B6"/>
    <w:rsid w:val="001B391B"/>
    <w:rsid w:val="001B3947"/>
    <w:rsid w:val="001B39CC"/>
    <w:rsid w:val="001B3A79"/>
    <w:rsid w:val="001B3B8F"/>
    <w:rsid w:val="001B3D18"/>
    <w:rsid w:val="001B3DF2"/>
    <w:rsid w:val="001B3EA4"/>
    <w:rsid w:val="001B3ED0"/>
    <w:rsid w:val="001B3EE1"/>
    <w:rsid w:val="001B3FF4"/>
    <w:rsid w:val="001B4043"/>
    <w:rsid w:val="001B4189"/>
    <w:rsid w:val="001B4210"/>
    <w:rsid w:val="001B42C9"/>
    <w:rsid w:val="001B4361"/>
    <w:rsid w:val="001B4367"/>
    <w:rsid w:val="001B458C"/>
    <w:rsid w:val="001B45F3"/>
    <w:rsid w:val="001B4600"/>
    <w:rsid w:val="001B4626"/>
    <w:rsid w:val="001B46FC"/>
    <w:rsid w:val="001B4731"/>
    <w:rsid w:val="001B47CB"/>
    <w:rsid w:val="001B4851"/>
    <w:rsid w:val="001B49F7"/>
    <w:rsid w:val="001B4A1E"/>
    <w:rsid w:val="001B4CD3"/>
    <w:rsid w:val="001B4D0D"/>
    <w:rsid w:val="001B4DAE"/>
    <w:rsid w:val="001B4E37"/>
    <w:rsid w:val="001B51F2"/>
    <w:rsid w:val="001B559E"/>
    <w:rsid w:val="001B55AE"/>
    <w:rsid w:val="001B56F8"/>
    <w:rsid w:val="001B5708"/>
    <w:rsid w:val="001B5795"/>
    <w:rsid w:val="001B5831"/>
    <w:rsid w:val="001B5ABC"/>
    <w:rsid w:val="001B5B90"/>
    <w:rsid w:val="001B5C6E"/>
    <w:rsid w:val="001B5D80"/>
    <w:rsid w:val="001B5EA1"/>
    <w:rsid w:val="001B5F57"/>
    <w:rsid w:val="001B62A5"/>
    <w:rsid w:val="001B62D9"/>
    <w:rsid w:val="001B62EE"/>
    <w:rsid w:val="001B63DF"/>
    <w:rsid w:val="001B64FA"/>
    <w:rsid w:val="001B6539"/>
    <w:rsid w:val="001B66F3"/>
    <w:rsid w:val="001B6768"/>
    <w:rsid w:val="001B67A2"/>
    <w:rsid w:val="001B68CA"/>
    <w:rsid w:val="001B6A20"/>
    <w:rsid w:val="001B6A40"/>
    <w:rsid w:val="001B6A48"/>
    <w:rsid w:val="001B6B5D"/>
    <w:rsid w:val="001B6BC4"/>
    <w:rsid w:val="001B6CC8"/>
    <w:rsid w:val="001B6D98"/>
    <w:rsid w:val="001B6E33"/>
    <w:rsid w:val="001B6E8A"/>
    <w:rsid w:val="001B6EA5"/>
    <w:rsid w:val="001B6EBE"/>
    <w:rsid w:val="001B6EC9"/>
    <w:rsid w:val="001B6F36"/>
    <w:rsid w:val="001B70DF"/>
    <w:rsid w:val="001B710E"/>
    <w:rsid w:val="001B721C"/>
    <w:rsid w:val="001B7311"/>
    <w:rsid w:val="001B7395"/>
    <w:rsid w:val="001B746A"/>
    <w:rsid w:val="001B7472"/>
    <w:rsid w:val="001B74AD"/>
    <w:rsid w:val="001B74F4"/>
    <w:rsid w:val="001B750A"/>
    <w:rsid w:val="001B7563"/>
    <w:rsid w:val="001B759A"/>
    <w:rsid w:val="001B75C6"/>
    <w:rsid w:val="001B75D1"/>
    <w:rsid w:val="001B75F4"/>
    <w:rsid w:val="001B77A6"/>
    <w:rsid w:val="001B77FF"/>
    <w:rsid w:val="001B78EE"/>
    <w:rsid w:val="001B798D"/>
    <w:rsid w:val="001B7C3A"/>
    <w:rsid w:val="001B7D20"/>
    <w:rsid w:val="001B7DBC"/>
    <w:rsid w:val="001B7E5C"/>
    <w:rsid w:val="001B7F39"/>
    <w:rsid w:val="001B7F73"/>
    <w:rsid w:val="001B7FEF"/>
    <w:rsid w:val="001C0036"/>
    <w:rsid w:val="001C00E0"/>
    <w:rsid w:val="001C011D"/>
    <w:rsid w:val="001C01A8"/>
    <w:rsid w:val="001C01CD"/>
    <w:rsid w:val="001C02D3"/>
    <w:rsid w:val="001C03B7"/>
    <w:rsid w:val="001C0668"/>
    <w:rsid w:val="001C06F3"/>
    <w:rsid w:val="001C092A"/>
    <w:rsid w:val="001C095B"/>
    <w:rsid w:val="001C0962"/>
    <w:rsid w:val="001C0976"/>
    <w:rsid w:val="001C09EC"/>
    <w:rsid w:val="001C0BBE"/>
    <w:rsid w:val="001C0C43"/>
    <w:rsid w:val="001C0E9B"/>
    <w:rsid w:val="001C0FD7"/>
    <w:rsid w:val="001C1090"/>
    <w:rsid w:val="001C1130"/>
    <w:rsid w:val="001C1310"/>
    <w:rsid w:val="001C132A"/>
    <w:rsid w:val="001C13B0"/>
    <w:rsid w:val="001C13FF"/>
    <w:rsid w:val="001C1477"/>
    <w:rsid w:val="001C14B0"/>
    <w:rsid w:val="001C1614"/>
    <w:rsid w:val="001C176F"/>
    <w:rsid w:val="001C1778"/>
    <w:rsid w:val="001C1AE5"/>
    <w:rsid w:val="001C1B7A"/>
    <w:rsid w:val="001C1C42"/>
    <w:rsid w:val="001C1C4E"/>
    <w:rsid w:val="001C1C6A"/>
    <w:rsid w:val="001C1C6E"/>
    <w:rsid w:val="001C1D70"/>
    <w:rsid w:val="001C1E63"/>
    <w:rsid w:val="001C1E64"/>
    <w:rsid w:val="001C1E79"/>
    <w:rsid w:val="001C1F8B"/>
    <w:rsid w:val="001C2176"/>
    <w:rsid w:val="001C21E4"/>
    <w:rsid w:val="001C2224"/>
    <w:rsid w:val="001C2242"/>
    <w:rsid w:val="001C2276"/>
    <w:rsid w:val="001C22E8"/>
    <w:rsid w:val="001C2351"/>
    <w:rsid w:val="001C2366"/>
    <w:rsid w:val="001C239A"/>
    <w:rsid w:val="001C2549"/>
    <w:rsid w:val="001C25EB"/>
    <w:rsid w:val="001C2621"/>
    <w:rsid w:val="001C262A"/>
    <w:rsid w:val="001C2711"/>
    <w:rsid w:val="001C2853"/>
    <w:rsid w:val="001C290F"/>
    <w:rsid w:val="001C29DD"/>
    <w:rsid w:val="001C2C3B"/>
    <w:rsid w:val="001C2D50"/>
    <w:rsid w:val="001C2EFE"/>
    <w:rsid w:val="001C2F4B"/>
    <w:rsid w:val="001C2FD5"/>
    <w:rsid w:val="001C3233"/>
    <w:rsid w:val="001C3246"/>
    <w:rsid w:val="001C331A"/>
    <w:rsid w:val="001C3403"/>
    <w:rsid w:val="001C355C"/>
    <w:rsid w:val="001C36C1"/>
    <w:rsid w:val="001C3761"/>
    <w:rsid w:val="001C383D"/>
    <w:rsid w:val="001C3844"/>
    <w:rsid w:val="001C3846"/>
    <w:rsid w:val="001C3988"/>
    <w:rsid w:val="001C3B5C"/>
    <w:rsid w:val="001C3FCE"/>
    <w:rsid w:val="001C40D4"/>
    <w:rsid w:val="001C40E4"/>
    <w:rsid w:val="001C4132"/>
    <w:rsid w:val="001C4197"/>
    <w:rsid w:val="001C426F"/>
    <w:rsid w:val="001C4404"/>
    <w:rsid w:val="001C440F"/>
    <w:rsid w:val="001C446D"/>
    <w:rsid w:val="001C4523"/>
    <w:rsid w:val="001C456A"/>
    <w:rsid w:val="001C4723"/>
    <w:rsid w:val="001C47DF"/>
    <w:rsid w:val="001C4824"/>
    <w:rsid w:val="001C48E7"/>
    <w:rsid w:val="001C4A07"/>
    <w:rsid w:val="001C4A4E"/>
    <w:rsid w:val="001C4A83"/>
    <w:rsid w:val="001C4BA2"/>
    <w:rsid w:val="001C4CF8"/>
    <w:rsid w:val="001C4E29"/>
    <w:rsid w:val="001C4E54"/>
    <w:rsid w:val="001C51B0"/>
    <w:rsid w:val="001C53AA"/>
    <w:rsid w:val="001C5425"/>
    <w:rsid w:val="001C54FE"/>
    <w:rsid w:val="001C5533"/>
    <w:rsid w:val="001C555F"/>
    <w:rsid w:val="001C55A4"/>
    <w:rsid w:val="001C55AD"/>
    <w:rsid w:val="001C56EB"/>
    <w:rsid w:val="001C56F6"/>
    <w:rsid w:val="001C5786"/>
    <w:rsid w:val="001C581D"/>
    <w:rsid w:val="001C5917"/>
    <w:rsid w:val="001C5939"/>
    <w:rsid w:val="001C5A34"/>
    <w:rsid w:val="001C5E13"/>
    <w:rsid w:val="001C5EAA"/>
    <w:rsid w:val="001C6055"/>
    <w:rsid w:val="001C6130"/>
    <w:rsid w:val="001C614E"/>
    <w:rsid w:val="001C63C4"/>
    <w:rsid w:val="001C6717"/>
    <w:rsid w:val="001C685F"/>
    <w:rsid w:val="001C6930"/>
    <w:rsid w:val="001C6931"/>
    <w:rsid w:val="001C69C4"/>
    <w:rsid w:val="001C6A5C"/>
    <w:rsid w:val="001C6BAD"/>
    <w:rsid w:val="001C6BD5"/>
    <w:rsid w:val="001C6C48"/>
    <w:rsid w:val="001C6C8B"/>
    <w:rsid w:val="001C6D63"/>
    <w:rsid w:val="001C6DC4"/>
    <w:rsid w:val="001C6EFD"/>
    <w:rsid w:val="001C6F08"/>
    <w:rsid w:val="001C6F1D"/>
    <w:rsid w:val="001C6FA1"/>
    <w:rsid w:val="001C71BE"/>
    <w:rsid w:val="001C71EB"/>
    <w:rsid w:val="001C7272"/>
    <w:rsid w:val="001C7298"/>
    <w:rsid w:val="001C7337"/>
    <w:rsid w:val="001C7352"/>
    <w:rsid w:val="001C7397"/>
    <w:rsid w:val="001C73FE"/>
    <w:rsid w:val="001C7684"/>
    <w:rsid w:val="001C76D4"/>
    <w:rsid w:val="001C77A5"/>
    <w:rsid w:val="001C77BF"/>
    <w:rsid w:val="001C7859"/>
    <w:rsid w:val="001C799C"/>
    <w:rsid w:val="001C79EC"/>
    <w:rsid w:val="001C7A53"/>
    <w:rsid w:val="001C7A99"/>
    <w:rsid w:val="001C7B0A"/>
    <w:rsid w:val="001C7C66"/>
    <w:rsid w:val="001C7C79"/>
    <w:rsid w:val="001C7E37"/>
    <w:rsid w:val="001C7E48"/>
    <w:rsid w:val="001C7E4C"/>
    <w:rsid w:val="001C7E85"/>
    <w:rsid w:val="001C7ED5"/>
    <w:rsid w:val="001C7F9A"/>
    <w:rsid w:val="001D0096"/>
    <w:rsid w:val="001D00F7"/>
    <w:rsid w:val="001D0127"/>
    <w:rsid w:val="001D0189"/>
    <w:rsid w:val="001D01BD"/>
    <w:rsid w:val="001D01FA"/>
    <w:rsid w:val="001D0261"/>
    <w:rsid w:val="001D029C"/>
    <w:rsid w:val="001D040D"/>
    <w:rsid w:val="001D04B0"/>
    <w:rsid w:val="001D051A"/>
    <w:rsid w:val="001D0526"/>
    <w:rsid w:val="001D0A81"/>
    <w:rsid w:val="001D0B2E"/>
    <w:rsid w:val="001D0B9A"/>
    <w:rsid w:val="001D0D80"/>
    <w:rsid w:val="001D0EE6"/>
    <w:rsid w:val="001D0F25"/>
    <w:rsid w:val="001D0F90"/>
    <w:rsid w:val="001D104C"/>
    <w:rsid w:val="001D10FF"/>
    <w:rsid w:val="001D1116"/>
    <w:rsid w:val="001D111D"/>
    <w:rsid w:val="001D115C"/>
    <w:rsid w:val="001D11EB"/>
    <w:rsid w:val="001D12A7"/>
    <w:rsid w:val="001D12BA"/>
    <w:rsid w:val="001D1433"/>
    <w:rsid w:val="001D14AA"/>
    <w:rsid w:val="001D1527"/>
    <w:rsid w:val="001D15E7"/>
    <w:rsid w:val="001D17D4"/>
    <w:rsid w:val="001D182A"/>
    <w:rsid w:val="001D1872"/>
    <w:rsid w:val="001D18F3"/>
    <w:rsid w:val="001D191F"/>
    <w:rsid w:val="001D1A0C"/>
    <w:rsid w:val="001D1A34"/>
    <w:rsid w:val="001D1A37"/>
    <w:rsid w:val="001D1BEF"/>
    <w:rsid w:val="001D1DD0"/>
    <w:rsid w:val="001D201F"/>
    <w:rsid w:val="001D2264"/>
    <w:rsid w:val="001D24BA"/>
    <w:rsid w:val="001D24E0"/>
    <w:rsid w:val="001D2503"/>
    <w:rsid w:val="001D2587"/>
    <w:rsid w:val="001D25DD"/>
    <w:rsid w:val="001D2A09"/>
    <w:rsid w:val="001D2B9B"/>
    <w:rsid w:val="001D2DC7"/>
    <w:rsid w:val="001D2EB7"/>
    <w:rsid w:val="001D2F18"/>
    <w:rsid w:val="001D2FD2"/>
    <w:rsid w:val="001D3075"/>
    <w:rsid w:val="001D30DE"/>
    <w:rsid w:val="001D31DE"/>
    <w:rsid w:val="001D32DA"/>
    <w:rsid w:val="001D33D3"/>
    <w:rsid w:val="001D3548"/>
    <w:rsid w:val="001D3551"/>
    <w:rsid w:val="001D36B5"/>
    <w:rsid w:val="001D36CF"/>
    <w:rsid w:val="001D36D1"/>
    <w:rsid w:val="001D3727"/>
    <w:rsid w:val="001D3892"/>
    <w:rsid w:val="001D38C2"/>
    <w:rsid w:val="001D3A33"/>
    <w:rsid w:val="001D3A34"/>
    <w:rsid w:val="001D3BAB"/>
    <w:rsid w:val="001D3C5F"/>
    <w:rsid w:val="001D3F10"/>
    <w:rsid w:val="001D3F51"/>
    <w:rsid w:val="001D3FE6"/>
    <w:rsid w:val="001D3FFE"/>
    <w:rsid w:val="001D40BF"/>
    <w:rsid w:val="001D41F5"/>
    <w:rsid w:val="001D4315"/>
    <w:rsid w:val="001D4323"/>
    <w:rsid w:val="001D434A"/>
    <w:rsid w:val="001D43EC"/>
    <w:rsid w:val="001D44CC"/>
    <w:rsid w:val="001D44ED"/>
    <w:rsid w:val="001D4530"/>
    <w:rsid w:val="001D4560"/>
    <w:rsid w:val="001D456C"/>
    <w:rsid w:val="001D45AE"/>
    <w:rsid w:val="001D47F0"/>
    <w:rsid w:val="001D481B"/>
    <w:rsid w:val="001D484D"/>
    <w:rsid w:val="001D48E4"/>
    <w:rsid w:val="001D4947"/>
    <w:rsid w:val="001D49AB"/>
    <w:rsid w:val="001D49BB"/>
    <w:rsid w:val="001D4C3C"/>
    <w:rsid w:val="001D4C74"/>
    <w:rsid w:val="001D4DE5"/>
    <w:rsid w:val="001D4E22"/>
    <w:rsid w:val="001D4E3B"/>
    <w:rsid w:val="001D4F36"/>
    <w:rsid w:val="001D4F3D"/>
    <w:rsid w:val="001D511E"/>
    <w:rsid w:val="001D5176"/>
    <w:rsid w:val="001D5246"/>
    <w:rsid w:val="001D5305"/>
    <w:rsid w:val="001D5349"/>
    <w:rsid w:val="001D539B"/>
    <w:rsid w:val="001D54C8"/>
    <w:rsid w:val="001D5728"/>
    <w:rsid w:val="001D5759"/>
    <w:rsid w:val="001D5871"/>
    <w:rsid w:val="001D5A66"/>
    <w:rsid w:val="001D5AB6"/>
    <w:rsid w:val="001D5C69"/>
    <w:rsid w:val="001D5C9E"/>
    <w:rsid w:val="001D5CD1"/>
    <w:rsid w:val="001D5D1C"/>
    <w:rsid w:val="001D5D3B"/>
    <w:rsid w:val="001D5E3D"/>
    <w:rsid w:val="001D5E53"/>
    <w:rsid w:val="001D5F06"/>
    <w:rsid w:val="001D5F11"/>
    <w:rsid w:val="001D5F87"/>
    <w:rsid w:val="001D5F92"/>
    <w:rsid w:val="001D5FB6"/>
    <w:rsid w:val="001D602E"/>
    <w:rsid w:val="001D624F"/>
    <w:rsid w:val="001D63BD"/>
    <w:rsid w:val="001D641E"/>
    <w:rsid w:val="001D6485"/>
    <w:rsid w:val="001D64BF"/>
    <w:rsid w:val="001D66C6"/>
    <w:rsid w:val="001D6784"/>
    <w:rsid w:val="001D67ED"/>
    <w:rsid w:val="001D69A2"/>
    <w:rsid w:val="001D6A10"/>
    <w:rsid w:val="001D6C1C"/>
    <w:rsid w:val="001D6F4D"/>
    <w:rsid w:val="001D710F"/>
    <w:rsid w:val="001D716A"/>
    <w:rsid w:val="001D71B3"/>
    <w:rsid w:val="001D7340"/>
    <w:rsid w:val="001D748A"/>
    <w:rsid w:val="001D758D"/>
    <w:rsid w:val="001D75BB"/>
    <w:rsid w:val="001D7653"/>
    <w:rsid w:val="001D7832"/>
    <w:rsid w:val="001D788E"/>
    <w:rsid w:val="001D792A"/>
    <w:rsid w:val="001D7A9A"/>
    <w:rsid w:val="001D7AC7"/>
    <w:rsid w:val="001D7B3C"/>
    <w:rsid w:val="001D7B5B"/>
    <w:rsid w:val="001D7EDB"/>
    <w:rsid w:val="001D7FE9"/>
    <w:rsid w:val="001E00F4"/>
    <w:rsid w:val="001E03FD"/>
    <w:rsid w:val="001E051A"/>
    <w:rsid w:val="001E05C1"/>
    <w:rsid w:val="001E0755"/>
    <w:rsid w:val="001E076C"/>
    <w:rsid w:val="001E081A"/>
    <w:rsid w:val="001E0856"/>
    <w:rsid w:val="001E092E"/>
    <w:rsid w:val="001E093C"/>
    <w:rsid w:val="001E0B39"/>
    <w:rsid w:val="001E0B4F"/>
    <w:rsid w:val="001E0C00"/>
    <w:rsid w:val="001E0C08"/>
    <w:rsid w:val="001E0C24"/>
    <w:rsid w:val="001E0D07"/>
    <w:rsid w:val="001E0D56"/>
    <w:rsid w:val="001E0E30"/>
    <w:rsid w:val="001E0F21"/>
    <w:rsid w:val="001E1001"/>
    <w:rsid w:val="001E1160"/>
    <w:rsid w:val="001E128C"/>
    <w:rsid w:val="001E14AE"/>
    <w:rsid w:val="001E152E"/>
    <w:rsid w:val="001E1613"/>
    <w:rsid w:val="001E1619"/>
    <w:rsid w:val="001E1A39"/>
    <w:rsid w:val="001E1AC1"/>
    <w:rsid w:val="001E1B74"/>
    <w:rsid w:val="001E1D2C"/>
    <w:rsid w:val="001E1D70"/>
    <w:rsid w:val="001E2157"/>
    <w:rsid w:val="001E219F"/>
    <w:rsid w:val="001E23BE"/>
    <w:rsid w:val="001E247B"/>
    <w:rsid w:val="001E24F3"/>
    <w:rsid w:val="001E26E9"/>
    <w:rsid w:val="001E27E7"/>
    <w:rsid w:val="001E284D"/>
    <w:rsid w:val="001E2880"/>
    <w:rsid w:val="001E28BC"/>
    <w:rsid w:val="001E2943"/>
    <w:rsid w:val="001E2B33"/>
    <w:rsid w:val="001E2BFC"/>
    <w:rsid w:val="001E2BFF"/>
    <w:rsid w:val="001E2C0C"/>
    <w:rsid w:val="001E2C1A"/>
    <w:rsid w:val="001E2CD7"/>
    <w:rsid w:val="001E2D0F"/>
    <w:rsid w:val="001E2E21"/>
    <w:rsid w:val="001E2F5E"/>
    <w:rsid w:val="001E2F9E"/>
    <w:rsid w:val="001E2FE0"/>
    <w:rsid w:val="001E3064"/>
    <w:rsid w:val="001E30BD"/>
    <w:rsid w:val="001E30CC"/>
    <w:rsid w:val="001E30EB"/>
    <w:rsid w:val="001E313A"/>
    <w:rsid w:val="001E3213"/>
    <w:rsid w:val="001E323D"/>
    <w:rsid w:val="001E3422"/>
    <w:rsid w:val="001E3575"/>
    <w:rsid w:val="001E3579"/>
    <w:rsid w:val="001E38A5"/>
    <w:rsid w:val="001E3A69"/>
    <w:rsid w:val="001E3B06"/>
    <w:rsid w:val="001E3B17"/>
    <w:rsid w:val="001E3B7F"/>
    <w:rsid w:val="001E3CBA"/>
    <w:rsid w:val="001E3F64"/>
    <w:rsid w:val="001E3FC7"/>
    <w:rsid w:val="001E4165"/>
    <w:rsid w:val="001E418C"/>
    <w:rsid w:val="001E42A2"/>
    <w:rsid w:val="001E42CD"/>
    <w:rsid w:val="001E44A3"/>
    <w:rsid w:val="001E44B3"/>
    <w:rsid w:val="001E45F1"/>
    <w:rsid w:val="001E4603"/>
    <w:rsid w:val="001E4711"/>
    <w:rsid w:val="001E4730"/>
    <w:rsid w:val="001E4746"/>
    <w:rsid w:val="001E4931"/>
    <w:rsid w:val="001E4937"/>
    <w:rsid w:val="001E495E"/>
    <w:rsid w:val="001E49E4"/>
    <w:rsid w:val="001E4A59"/>
    <w:rsid w:val="001E4BA9"/>
    <w:rsid w:val="001E4BB0"/>
    <w:rsid w:val="001E4BDC"/>
    <w:rsid w:val="001E4C66"/>
    <w:rsid w:val="001E4D3A"/>
    <w:rsid w:val="001E4EF6"/>
    <w:rsid w:val="001E4F15"/>
    <w:rsid w:val="001E5132"/>
    <w:rsid w:val="001E51EC"/>
    <w:rsid w:val="001E521F"/>
    <w:rsid w:val="001E522D"/>
    <w:rsid w:val="001E524C"/>
    <w:rsid w:val="001E528B"/>
    <w:rsid w:val="001E5341"/>
    <w:rsid w:val="001E538C"/>
    <w:rsid w:val="001E53D0"/>
    <w:rsid w:val="001E5433"/>
    <w:rsid w:val="001E5516"/>
    <w:rsid w:val="001E5677"/>
    <w:rsid w:val="001E567A"/>
    <w:rsid w:val="001E56DC"/>
    <w:rsid w:val="001E570C"/>
    <w:rsid w:val="001E5990"/>
    <w:rsid w:val="001E59F8"/>
    <w:rsid w:val="001E5A1B"/>
    <w:rsid w:val="001E5ACD"/>
    <w:rsid w:val="001E5BF1"/>
    <w:rsid w:val="001E5C80"/>
    <w:rsid w:val="001E5CB9"/>
    <w:rsid w:val="001E5D35"/>
    <w:rsid w:val="001E5DE1"/>
    <w:rsid w:val="001E5DF6"/>
    <w:rsid w:val="001E5F87"/>
    <w:rsid w:val="001E5FD0"/>
    <w:rsid w:val="001E60EE"/>
    <w:rsid w:val="001E6446"/>
    <w:rsid w:val="001E644E"/>
    <w:rsid w:val="001E6521"/>
    <w:rsid w:val="001E668A"/>
    <w:rsid w:val="001E6705"/>
    <w:rsid w:val="001E6725"/>
    <w:rsid w:val="001E6761"/>
    <w:rsid w:val="001E69EF"/>
    <w:rsid w:val="001E6AF1"/>
    <w:rsid w:val="001E6B13"/>
    <w:rsid w:val="001E6B3D"/>
    <w:rsid w:val="001E6C29"/>
    <w:rsid w:val="001E6CEA"/>
    <w:rsid w:val="001E6E36"/>
    <w:rsid w:val="001E6F2D"/>
    <w:rsid w:val="001E708D"/>
    <w:rsid w:val="001E70CC"/>
    <w:rsid w:val="001E70F4"/>
    <w:rsid w:val="001E71E4"/>
    <w:rsid w:val="001E7205"/>
    <w:rsid w:val="001E7261"/>
    <w:rsid w:val="001E7298"/>
    <w:rsid w:val="001E72BE"/>
    <w:rsid w:val="001E72D0"/>
    <w:rsid w:val="001E777D"/>
    <w:rsid w:val="001E7789"/>
    <w:rsid w:val="001E78AA"/>
    <w:rsid w:val="001E78CD"/>
    <w:rsid w:val="001E7986"/>
    <w:rsid w:val="001E79D4"/>
    <w:rsid w:val="001E7A08"/>
    <w:rsid w:val="001E7B18"/>
    <w:rsid w:val="001E7B22"/>
    <w:rsid w:val="001E7E5B"/>
    <w:rsid w:val="001E7E6F"/>
    <w:rsid w:val="001E7F70"/>
    <w:rsid w:val="001E7F85"/>
    <w:rsid w:val="001E7FC9"/>
    <w:rsid w:val="001E8664"/>
    <w:rsid w:val="001F0069"/>
    <w:rsid w:val="001F00A7"/>
    <w:rsid w:val="001F015F"/>
    <w:rsid w:val="001F0253"/>
    <w:rsid w:val="001F0342"/>
    <w:rsid w:val="001F034C"/>
    <w:rsid w:val="001F0B2D"/>
    <w:rsid w:val="001F0B38"/>
    <w:rsid w:val="001F0C1C"/>
    <w:rsid w:val="001F0C46"/>
    <w:rsid w:val="001F0CB1"/>
    <w:rsid w:val="001F0DCE"/>
    <w:rsid w:val="001F0E4B"/>
    <w:rsid w:val="001F0EF6"/>
    <w:rsid w:val="001F1083"/>
    <w:rsid w:val="001F12C2"/>
    <w:rsid w:val="001F12F1"/>
    <w:rsid w:val="001F13E5"/>
    <w:rsid w:val="001F1417"/>
    <w:rsid w:val="001F16D6"/>
    <w:rsid w:val="001F16E0"/>
    <w:rsid w:val="001F1798"/>
    <w:rsid w:val="001F17A4"/>
    <w:rsid w:val="001F192E"/>
    <w:rsid w:val="001F1B5D"/>
    <w:rsid w:val="001F1E7A"/>
    <w:rsid w:val="001F20B4"/>
    <w:rsid w:val="001F20C5"/>
    <w:rsid w:val="001F214B"/>
    <w:rsid w:val="001F215B"/>
    <w:rsid w:val="001F21EC"/>
    <w:rsid w:val="001F222B"/>
    <w:rsid w:val="001F2365"/>
    <w:rsid w:val="001F2399"/>
    <w:rsid w:val="001F2443"/>
    <w:rsid w:val="001F24A8"/>
    <w:rsid w:val="001F2510"/>
    <w:rsid w:val="001F2553"/>
    <w:rsid w:val="001F2583"/>
    <w:rsid w:val="001F25F4"/>
    <w:rsid w:val="001F277F"/>
    <w:rsid w:val="001F2B01"/>
    <w:rsid w:val="001F2BCC"/>
    <w:rsid w:val="001F2BEC"/>
    <w:rsid w:val="001F2BF6"/>
    <w:rsid w:val="001F2C1D"/>
    <w:rsid w:val="001F2C23"/>
    <w:rsid w:val="001F2DCF"/>
    <w:rsid w:val="001F2DEA"/>
    <w:rsid w:val="001F2F11"/>
    <w:rsid w:val="001F307E"/>
    <w:rsid w:val="001F3147"/>
    <w:rsid w:val="001F3148"/>
    <w:rsid w:val="001F320B"/>
    <w:rsid w:val="001F3240"/>
    <w:rsid w:val="001F327F"/>
    <w:rsid w:val="001F3281"/>
    <w:rsid w:val="001F337A"/>
    <w:rsid w:val="001F3516"/>
    <w:rsid w:val="001F363C"/>
    <w:rsid w:val="001F38A4"/>
    <w:rsid w:val="001F3B81"/>
    <w:rsid w:val="001F3BF8"/>
    <w:rsid w:val="001F3C3D"/>
    <w:rsid w:val="001F3D89"/>
    <w:rsid w:val="001F3DAF"/>
    <w:rsid w:val="001F3F05"/>
    <w:rsid w:val="001F4252"/>
    <w:rsid w:val="001F45CE"/>
    <w:rsid w:val="001F467A"/>
    <w:rsid w:val="001F4684"/>
    <w:rsid w:val="001F47DC"/>
    <w:rsid w:val="001F47DF"/>
    <w:rsid w:val="001F4807"/>
    <w:rsid w:val="001F4831"/>
    <w:rsid w:val="001F4AB5"/>
    <w:rsid w:val="001F4B47"/>
    <w:rsid w:val="001F4E0D"/>
    <w:rsid w:val="001F4E7C"/>
    <w:rsid w:val="001F4ECB"/>
    <w:rsid w:val="001F4ECF"/>
    <w:rsid w:val="001F4F65"/>
    <w:rsid w:val="001F501A"/>
    <w:rsid w:val="001F509C"/>
    <w:rsid w:val="001F50AC"/>
    <w:rsid w:val="001F510B"/>
    <w:rsid w:val="001F5234"/>
    <w:rsid w:val="001F5287"/>
    <w:rsid w:val="001F5375"/>
    <w:rsid w:val="001F56A5"/>
    <w:rsid w:val="001F57E8"/>
    <w:rsid w:val="001F5B56"/>
    <w:rsid w:val="001F5BF8"/>
    <w:rsid w:val="001F5CB6"/>
    <w:rsid w:val="001F5D0E"/>
    <w:rsid w:val="001F5D27"/>
    <w:rsid w:val="001F5D77"/>
    <w:rsid w:val="001F5DCE"/>
    <w:rsid w:val="001F6066"/>
    <w:rsid w:val="001F626E"/>
    <w:rsid w:val="001F654C"/>
    <w:rsid w:val="001F6555"/>
    <w:rsid w:val="001F65AE"/>
    <w:rsid w:val="001F65DB"/>
    <w:rsid w:val="001F67B3"/>
    <w:rsid w:val="001F68F8"/>
    <w:rsid w:val="001F6A29"/>
    <w:rsid w:val="001F6A73"/>
    <w:rsid w:val="001F6AE5"/>
    <w:rsid w:val="001F6DB0"/>
    <w:rsid w:val="001F6DC0"/>
    <w:rsid w:val="001F6E5D"/>
    <w:rsid w:val="001F6EAC"/>
    <w:rsid w:val="001F6EE0"/>
    <w:rsid w:val="001F704C"/>
    <w:rsid w:val="001F706E"/>
    <w:rsid w:val="001F70E2"/>
    <w:rsid w:val="001F726C"/>
    <w:rsid w:val="001F777B"/>
    <w:rsid w:val="001F7B3A"/>
    <w:rsid w:val="001F7BBC"/>
    <w:rsid w:val="001F7DD8"/>
    <w:rsid w:val="001F7DE1"/>
    <w:rsid w:val="001F7E6F"/>
    <w:rsid w:val="001F7EBE"/>
    <w:rsid w:val="001F7F6A"/>
    <w:rsid w:val="001F7F88"/>
    <w:rsid w:val="002002FC"/>
    <w:rsid w:val="00200368"/>
    <w:rsid w:val="002005E9"/>
    <w:rsid w:val="002005EB"/>
    <w:rsid w:val="00200650"/>
    <w:rsid w:val="0020069D"/>
    <w:rsid w:val="002006A1"/>
    <w:rsid w:val="002009BD"/>
    <w:rsid w:val="002009FC"/>
    <w:rsid w:val="00200C07"/>
    <w:rsid w:val="00200C97"/>
    <w:rsid w:val="00200CB2"/>
    <w:rsid w:val="00200E05"/>
    <w:rsid w:val="00200EA1"/>
    <w:rsid w:val="00200EAF"/>
    <w:rsid w:val="00200EEE"/>
    <w:rsid w:val="0020108D"/>
    <w:rsid w:val="00201093"/>
    <w:rsid w:val="00201162"/>
    <w:rsid w:val="00201274"/>
    <w:rsid w:val="00201284"/>
    <w:rsid w:val="002013F0"/>
    <w:rsid w:val="0020149B"/>
    <w:rsid w:val="0020168B"/>
    <w:rsid w:val="00201835"/>
    <w:rsid w:val="00201864"/>
    <w:rsid w:val="0020197D"/>
    <w:rsid w:val="00201A0B"/>
    <w:rsid w:val="00201A76"/>
    <w:rsid w:val="00201A82"/>
    <w:rsid w:val="00201AFC"/>
    <w:rsid w:val="00201BC5"/>
    <w:rsid w:val="00201BD3"/>
    <w:rsid w:val="00201DA3"/>
    <w:rsid w:val="00201F12"/>
    <w:rsid w:val="00201F8F"/>
    <w:rsid w:val="00202169"/>
    <w:rsid w:val="0020254D"/>
    <w:rsid w:val="002025BF"/>
    <w:rsid w:val="00202613"/>
    <w:rsid w:val="002026DB"/>
    <w:rsid w:val="00202777"/>
    <w:rsid w:val="002027E2"/>
    <w:rsid w:val="002028A4"/>
    <w:rsid w:val="00202AFA"/>
    <w:rsid w:val="00202B2C"/>
    <w:rsid w:val="00202B7B"/>
    <w:rsid w:val="00202B83"/>
    <w:rsid w:val="00202BCA"/>
    <w:rsid w:val="00202DCA"/>
    <w:rsid w:val="00202DE6"/>
    <w:rsid w:val="00202EED"/>
    <w:rsid w:val="002030AF"/>
    <w:rsid w:val="002030DF"/>
    <w:rsid w:val="0020312F"/>
    <w:rsid w:val="002032E6"/>
    <w:rsid w:val="0020332B"/>
    <w:rsid w:val="0020332D"/>
    <w:rsid w:val="00203348"/>
    <w:rsid w:val="0020337E"/>
    <w:rsid w:val="002033CC"/>
    <w:rsid w:val="002034DD"/>
    <w:rsid w:val="002035EA"/>
    <w:rsid w:val="00203761"/>
    <w:rsid w:val="00203788"/>
    <w:rsid w:val="00203805"/>
    <w:rsid w:val="00203810"/>
    <w:rsid w:val="002038AD"/>
    <w:rsid w:val="00203938"/>
    <w:rsid w:val="002039E1"/>
    <w:rsid w:val="00203B3C"/>
    <w:rsid w:val="00203B5B"/>
    <w:rsid w:val="00203BCC"/>
    <w:rsid w:val="00203CB7"/>
    <w:rsid w:val="00203E22"/>
    <w:rsid w:val="00203E97"/>
    <w:rsid w:val="00203EF9"/>
    <w:rsid w:val="00203FD5"/>
    <w:rsid w:val="00203FEA"/>
    <w:rsid w:val="002040EB"/>
    <w:rsid w:val="0020410F"/>
    <w:rsid w:val="00204125"/>
    <w:rsid w:val="00204136"/>
    <w:rsid w:val="002041A5"/>
    <w:rsid w:val="00204205"/>
    <w:rsid w:val="002042FF"/>
    <w:rsid w:val="002043F0"/>
    <w:rsid w:val="00204503"/>
    <w:rsid w:val="002046DF"/>
    <w:rsid w:val="00204723"/>
    <w:rsid w:val="00204739"/>
    <w:rsid w:val="00204814"/>
    <w:rsid w:val="00204AFC"/>
    <w:rsid w:val="00204B13"/>
    <w:rsid w:val="00204C44"/>
    <w:rsid w:val="00204C5F"/>
    <w:rsid w:val="00204CE8"/>
    <w:rsid w:val="00204D0F"/>
    <w:rsid w:val="00204D91"/>
    <w:rsid w:val="00204FEF"/>
    <w:rsid w:val="0020508E"/>
    <w:rsid w:val="00205095"/>
    <w:rsid w:val="00205167"/>
    <w:rsid w:val="0020518D"/>
    <w:rsid w:val="00205236"/>
    <w:rsid w:val="0020523A"/>
    <w:rsid w:val="00205384"/>
    <w:rsid w:val="0020551F"/>
    <w:rsid w:val="00205530"/>
    <w:rsid w:val="00205597"/>
    <w:rsid w:val="002055B3"/>
    <w:rsid w:val="00205682"/>
    <w:rsid w:val="00205801"/>
    <w:rsid w:val="0020595B"/>
    <w:rsid w:val="00205AE2"/>
    <w:rsid w:val="00205B9C"/>
    <w:rsid w:val="00205C84"/>
    <w:rsid w:val="00205CD2"/>
    <w:rsid w:val="00205D71"/>
    <w:rsid w:val="00205DC0"/>
    <w:rsid w:val="00205EC4"/>
    <w:rsid w:val="00205F06"/>
    <w:rsid w:val="002060FF"/>
    <w:rsid w:val="0020614C"/>
    <w:rsid w:val="0020617F"/>
    <w:rsid w:val="0020621C"/>
    <w:rsid w:val="00206330"/>
    <w:rsid w:val="002064E7"/>
    <w:rsid w:val="002066EC"/>
    <w:rsid w:val="00206707"/>
    <w:rsid w:val="00206733"/>
    <w:rsid w:val="002067A8"/>
    <w:rsid w:val="002067C8"/>
    <w:rsid w:val="00206852"/>
    <w:rsid w:val="002068F0"/>
    <w:rsid w:val="00206982"/>
    <w:rsid w:val="00206A92"/>
    <w:rsid w:val="00206A99"/>
    <w:rsid w:val="00206B18"/>
    <w:rsid w:val="00206C58"/>
    <w:rsid w:val="00206CE6"/>
    <w:rsid w:val="00206EE6"/>
    <w:rsid w:val="00206FEC"/>
    <w:rsid w:val="00207009"/>
    <w:rsid w:val="002070DE"/>
    <w:rsid w:val="00207322"/>
    <w:rsid w:val="002073A5"/>
    <w:rsid w:val="002073BD"/>
    <w:rsid w:val="002074C5"/>
    <w:rsid w:val="00207827"/>
    <w:rsid w:val="00207851"/>
    <w:rsid w:val="00207944"/>
    <w:rsid w:val="0020799D"/>
    <w:rsid w:val="00207A80"/>
    <w:rsid w:val="00207AD4"/>
    <w:rsid w:val="00207CBA"/>
    <w:rsid w:val="00207D2B"/>
    <w:rsid w:val="00207DEE"/>
    <w:rsid w:val="00207E8E"/>
    <w:rsid w:val="002100A8"/>
    <w:rsid w:val="002103C5"/>
    <w:rsid w:val="002104BC"/>
    <w:rsid w:val="00210605"/>
    <w:rsid w:val="0021061F"/>
    <w:rsid w:val="002106B2"/>
    <w:rsid w:val="002107C7"/>
    <w:rsid w:val="00210828"/>
    <w:rsid w:val="0021083D"/>
    <w:rsid w:val="002108D6"/>
    <w:rsid w:val="002109CA"/>
    <w:rsid w:val="00210BAD"/>
    <w:rsid w:val="00210BBB"/>
    <w:rsid w:val="00210E30"/>
    <w:rsid w:val="00210EAD"/>
    <w:rsid w:val="00210ED7"/>
    <w:rsid w:val="00210F03"/>
    <w:rsid w:val="00210F12"/>
    <w:rsid w:val="00210F4B"/>
    <w:rsid w:val="00210FF8"/>
    <w:rsid w:val="0021106A"/>
    <w:rsid w:val="0021116F"/>
    <w:rsid w:val="002111C3"/>
    <w:rsid w:val="00211202"/>
    <w:rsid w:val="0021120E"/>
    <w:rsid w:val="002112FB"/>
    <w:rsid w:val="0021139B"/>
    <w:rsid w:val="00211661"/>
    <w:rsid w:val="002119A5"/>
    <w:rsid w:val="00211B78"/>
    <w:rsid w:val="00211DC4"/>
    <w:rsid w:val="00211F76"/>
    <w:rsid w:val="00211FA6"/>
    <w:rsid w:val="00212010"/>
    <w:rsid w:val="0021212F"/>
    <w:rsid w:val="00212138"/>
    <w:rsid w:val="0021218A"/>
    <w:rsid w:val="0021222A"/>
    <w:rsid w:val="0021222E"/>
    <w:rsid w:val="00212297"/>
    <w:rsid w:val="002122BA"/>
    <w:rsid w:val="002122E3"/>
    <w:rsid w:val="0021236F"/>
    <w:rsid w:val="002123D2"/>
    <w:rsid w:val="00212416"/>
    <w:rsid w:val="00212586"/>
    <w:rsid w:val="0021277D"/>
    <w:rsid w:val="0021280A"/>
    <w:rsid w:val="00212881"/>
    <w:rsid w:val="0021294A"/>
    <w:rsid w:val="00212A5C"/>
    <w:rsid w:val="00212AE0"/>
    <w:rsid w:val="00212D1F"/>
    <w:rsid w:val="00212DA6"/>
    <w:rsid w:val="00212EBC"/>
    <w:rsid w:val="00212F26"/>
    <w:rsid w:val="002130E6"/>
    <w:rsid w:val="0021311C"/>
    <w:rsid w:val="002131E0"/>
    <w:rsid w:val="0021320E"/>
    <w:rsid w:val="00213240"/>
    <w:rsid w:val="0021332D"/>
    <w:rsid w:val="00213386"/>
    <w:rsid w:val="00213655"/>
    <w:rsid w:val="00213715"/>
    <w:rsid w:val="002137E6"/>
    <w:rsid w:val="00213804"/>
    <w:rsid w:val="002138A7"/>
    <w:rsid w:val="00213AF9"/>
    <w:rsid w:val="00213C3F"/>
    <w:rsid w:val="00213CA2"/>
    <w:rsid w:val="00213DA4"/>
    <w:rsid w:val="00213E91"/>
    <w:rsid w:val="00213E96"/>
    <w:rsid w:val="00213E9B"/>
    <w:rsid w:val="00213F27"/>
    <w:rsid w:val="00213F2B"/>
    <w:rsid w:val="00214053"/>
    <w:rsid w:val="00214071"/>
    <w:rsid w:val="002140D2"/>
    <w:rsid w:val="0021412D"/>
    <w:rsid w:val="002142A5"/>
    <w:rsid w:val="0021434C"/>
    <w:rsid w:val="0021439F"/>
    <w:rsid w:val="002144E1"/>
    <w:rsid w:val="0021454D"/>
    <w:rsid w:val="0021457D"/>
    <w:rsid w:val="00214651"/>
    <w:rsid w:val="002148C9"/>
    <w:rsid w:val="00214B42"/>
    <w:rsid w:val="00214B96"/>
    <w:rsid w:val="00214C22"/>
    <w:rsid w:val="00214CCD"/>
    <w:rsid w:val="00214EC6"/>
    <w:rsid w:val="00214F26"/>
    <w:rsid w:val="00214F28"/>
    <w:rsid w:val="00215158"/>
    <w:rsid w:val="00215191"/>
    <w:rsid w:val="00215264"/>
    <w:rsid w:val="002152E1"/>
    <w:rsid w:val="002153FD"/>
    <w:rsid w:val="002154DD"/>
    <w:rsid w:val="00215561"/>
    <w:rsid w:val="0021572D"/>
    <w:rsid w:val="002157F1"/>
    <w:rsid w:val="00215806"/>
    <w:rsid w:val="00215899"/>
    <w:rsid w:val="002158A4"/>
    <w:rsid w:val="00215982"/>
    <w:rsid w:val="002159E7"/>
    <w:rsid w:val="00215A59"/>
    <w:rsid w:val="00215AC2"/>
    <w:rsid w:val="00215B25"/>
    <w:rsid w:val="00215C5D"/>
    <w:rsid w:val="00215CA3"/>
    <w:rsid w:val="00215D79"/>
    <w:rsid w:val="00215DDD"/>
    <w:rsid w:val="0021618E"/>
    <w:rsid w:val="00216250"/>
    <w:rsid w:val="002162A3"/>
    <w:rsid w:val="0021630F"/>
    <w:rsid w:val="0021631B"/>
    <w:rsid w:val="002163C8"/>
    <w:rsid w:val="00216609"/>
    <w:rsid w:val="00216661"/>
    <w:rsid w:val="0021669C"/>
    <w:rsid w:val="0021684B"/>
    <w:rsid w:val="0021689D"/>
    <w:rsid w:val="002169D5"/>
    <w:rsid w:val="002169E5"/>
    <w:rsid w:val="00216BEE"/>
    <w:rsid w:val="00216CD8"/>
    <w:rsid w:val="00216F3E"/>
    <w:rsid w:val="00217008"/>
    <w:rsid w:val="00217392"/>
    <w:rsid w:val="0021749F"/>
    <w:rsid w:val="00217566"/>
    <w:rsid w:val="002175F6"/>
    <w:rsid w:val="0021771C"/>
    <w:rsid w:val="00217720"/>
    <w:rsid w:val="002177B9"/>
    <w:rsid w:val="00217991"/>
    <w:rsid w:val="00217AD1"/>
    <w:rsid w:val="00217D29"/>
    <w:rsid w:val="00217D6A"/>
    <w:rsid w:val="00217DE6"/>
    <w:rsid w:val="00217FA8"/>
    <w:rsid w:val="002201C5"/>
    <w:rsid w:val="002201D4"/>
    <w:rsid w:val="0022020F"/>
    <w:rsid w:val="002202B4"/>
    <w:rsid w:val="00220374"/>
    <w:rsid w:val="00220453"/>
    <w:rsid w:val="00220532"/>
    <w:rsid w:val="0022060C"/>
    <w:rsid w:val="00220681"/>
    <w:rsid w:val="00220790"/>
    <w:rsid w:val="002207C6"/>
    <w:rsid w:val="002208AC"/>
    <w:rsid w:val="002208D2"/>
    <w:rsid w:val="00220941"/>
    <w:rsid w:val="00220AE5"/>
    <w:rsid w:val="00220CCB"/>
    <w:rsid w:val="00220D56"/>
    <w:rsid w:val="00220D7E"/>
    <w:rsid w:val="00220D8A"/>
    <w:rsid w:val="00220D8D"/>
    <w:rsid w:val="00220DEE"/>
    <w:rsid w:val="00220E87"/>
    <w:rsid w:val="00220EB8"/>
    <w:rsid w:val="00220F86"/>
    <w:rsid w:val="00220F90"/>
    <w:rsid w:val="00220FDC"/>
    <w:rsid w:val="00221008"/>
    <w:rsid w:val="00221146"/>
    <w:rsid w:val="00221389"/>
    <w:rsid w:val="0022152A"/>
    <w:rsid w:val="002215AE"/>
    <w:rsid w:val="00221709"/>
    <w:rsid w:val="002217AC"/>
    <w:rsid w:val="002217B8"/>
    <w:rsid w:val="002217F2"/>
    <w:rsid w:val="002218B3"/>
    <w:rsid w:val="00221ADD"/>
    <w:rsid w:val="00221B66"/>
    <w:rsid w:val="00221EA2"/>
    <w:rsid w:val="0022201E"/>
    <w:rsid w:val="0022209B"/>
    <w:rsid w:val="0022209D"/>
    <w:rsid w:val="002223C3"/>
    <w:rsid w:val="00222451"/>
    <w:rsid w:val="002224E6"/>
    <w:rsid w:val="0022265B"/>
    <w:rsid w:val="00222841"/>
    <w:rsid w:val="002228EF"/>
    <w:rsid w:val="0022291A"/>
    <w:rsid w:val="00222932"/>
    <w:rsid w:val="00222A00"/>
    <w:rsid w:val="00222A51"/>
    <w:rsid w:val="00222A9A"/>
    <w:rsid w:val="00222AAA"/>
    <w:rsid w:val="00222B79"/>
    <w:rsid w:val="00222CA0"/>
    <w:rsid w:val="00222E10"/>
    <w:rsid w:val="00222E54"/>
    <w:rsid w:val="00222EA1"/>
    <w:rsid w:val="00222EF9"/>
    <w:rsid w:val="00223043"/>
    <w:rsid w:val="0022313B"/>
    <w:rsid w:val="002231D3"/>
    <w:rsid w:val="0022326E"/>
    <w:rsid w:val="00223299"/>
    <w:rsid w:val="002234E0"/>
    <w:rsid w:val="002235AE"/>
    <w:rsid w:val="002235EC"/>
    <w:rsid w:val="002236B0"/>
    <w:rsid w:val="0022374B"/>
    <w:rsid w:val="00223921"/>
    <w:rsid w:val="00223A53"/>
    <w:rsid w:val="00223A7F"/>
    <w:rsid w:val="00223A8A"/>
    <w:rsid w:val="00223B03"/>
    <w:rsid w:val="00223B65"/>
    <w:rsid w:val="00223C3B"/>
    <w:rsid w:val="00223CC2"/>
    <w:rsid w:val="00223D36"/>
    <w:rsid w:val="00223DA0"/>
    <w:rsid w:val="00223E09"/>
    <w:rsid w:val="00223E26"/>
    <w:rsid w:val="00223EE1"/>
    <w:rsid w:val="00223F7A"/>
    <w:rsid w:val="00223FBC"/>
    <w:rsid w:val="00224012"/>
    <w:rsid w:val="0022421F"/>
    <w:rsid w:val="00224317"/>
    <w:rsid w:val="002243DF"/>
    <w:rsid w:val="00224439"/>
    <w:rsid w:val="0022465E"/>
    <w:rsid w:val="00224678"/>
    <w:rsid w:val="00224761"/>
    <w:rsid w:val="002249EF"/>
    <w:rsid w:val="00224B59"/>
    <w:rsid w:val="00224B80"/>
    <w:rsid w:val="00224CF2"/>
    <w:rsid w:val="00224D2F"/>
    <w:rsid w:val="00224DE3"/>
    <w:rsid w:val="00224EF9"/>
    <w:rsid w:val="00224F10"/>
    <w:rsid w:val="00224F96"/>
    <w:rsid w:val="00225169"/>
    <w:rsid w:val="0022525F"/>
    <w:rsid w:val="00225269"/>
    <w:rsid w:val="002252AC"/>
    <w:rsid w:val="00225324"/>
    <w:rsid w:val="00225400"/>
    <w:rsid w:val="0022547D"/>
    <w:rsid w:val="00225566"/>
    <w:rsid w:val="002255AB"/>
    <w:rsid w:val="00225616"/>
    <w:rsid w:val="00225670"/>
    <w:rsid w:val="002258BB"/>
    <w:rsid w:val="0022598E"/>
    <w:rsid w:val="00225AC7"/>
    <w:rsid w:val="00225C56"/>
    <w:rsid w:val="00225DEF"/>
    <w:rsid w:val="00225ED8"/>
    <w:rsid w:val="00225F14"/>
    <w:rsid w:val="0022614B"/>
    <w:rsid w:val="0022626B"/>
    <w:rsid w:val="002263F6"/>
    <w:rsid w:val="002263F9"/>
    <w:rsid w:val="00226469"/>
    <w:rsid w:val="0022655A"/>
    <w:rsid w:val="00226600"/>
    <w:rsid w:val="00226708"/>
    <w:rsid w:val="0022673F"/>
    <w:rsid w:val="0022676A"/>
    <w:rsid w:val="002267E8"/>
    <w:rsid w:val="00226822"/>
    <w:rsid w:val="0022685F"/>
    <w:rsid w:val="002269DE"/>
    <w:rsid w:val="00226A1D"/>
    <w:rsid w:val="00226A3A"/>
    <w:rsid w:val="00226A52"/>
    <w:rsid w:val="00226C10"/>
    <w:rsid w:val="00226D9A"/>
    <w:rsid w:val="00226DA6"/>
    <w:rsid w:val="00226E4D"/>
    <w:rsid w:val="00226E56"/>
    <w:rsid w:val="00227059"/>
    <w:rsid w:val="002270B0"/>
    <w:rsid w:val="002270BC"/>
    <w:rsid w:val="002270E9"/>
    <w:rsid w:val="002270F7"/>
    <w:rsid w:val="0022713B"/>
    <w:rsid w:val="002272B2"/>
    <w:rsid w:val="002272CE"/>
    <w:rsid w:val="002272D1"/>
    <w:rsid w:val="00227320"/>
    <w:rsid w:val="00227386"/>
    <w:rsid w:val="0022740F"/>
    <w:rsid w:val="0022757D"/>
    <w:rsid w:val="002275DB"/>
    <w:rsid w:val="00227624"/>
    <w:rsid w:val="00227726"/>
    <w:rsid w:val="0022775F"/>
    <w:rsid w:val="002277BE"/>
    <w:rsid w:val="00227949"/>
    <w:rsid w:val="00227971"/>
    <w:rsid w:val="002279A2"/>
    <w:rsid w:val="002279A9"/>
    <w:rsid w:val="002279CF"/>
    <w:rsid w:val="00227B9A"/>
    <w:rsid w:val="00227C41"/>
    <w:rsid w:val="00227CE2"/>
    <w:rsid w:val="00227D1E"/>
    <w:rsid w:val="00227E86"/>
    <w:rsid w:val="00227F93"/>
    <w:rsid w:val="00230081"/>
    <w:rsid w:val="00230124"/>
    <w:rsid w:val="002303DC"/>
    <w:rsid w:val="00230435"/>
    <w:rsid w:val="00230477"/>
    <w:rsid w:val="00230478"/>
    <w:rsid w:val="002304B1"/>
    <w:rsid w:val="00230554"/>
    <w:rsid w:val="00230617"/>
    <w:rsid w:val="0023061E"/>
    <w:rsid w:val="00230652"/>
    <w:rsid w:val="002306EC"/>
    <w:rsid w:val="00230741"/>
    <w:rsid w:val="002307FE"/>
    <w:rsid w:val="002308DA"/>
    <w:rsid w:val="0023091C"/>
    <w:rsid w:val="00230A7A"/>
    <w:rsid w:val="00230A8E"/>
    <w:rsid w:val="00230AA3"/>
    <w:rsid w:val="00230C1A"/>
    <w:rsid w:val="00230C7E"/>
    <w:rsid w:val="00231016"/>
    <w:rsid w:val="002310BD"/>
    <w:rsid w:val="0023111F"/>
    <w:rsid w:val="00231161"/>
    <w:rsid w:val="0023118A"/>
    <w:rsid w:val="002311E1"/>
    <w:rsid w:val="002311EE"/>
    <w:rsid w:val="00231290"/>
    <w:rsid w:val="002312AE"/>
    <w:rsid w:val="002312D2"/>
    <w:rsid w:val="0023134A"/>
    <w:rsid w:val="002315A2"/>
    <w:rsid w:val="0023176D"/>
    <w:rsid w:val="00231A93"/>
    <w:rsid w:val="00231FF9"/>
    <w:rsid w:val="0023200A"/>
    <w:rsid w:val="0023215D"/>
    <w:rsid w:val="00232175"/>
    <w:rsid w:val="00232334"/>
    <w:rsid w:val="002323CD"/>
    <w:rsid w:val="00232425"/>
    <w:rsid w:val="00232505"/>
    <w:rsid w:val="00232590"/>
    <w:rsid w:val="00232623"/>
    <w:rsid w:val="0023265B"/>
    <w:rsid w:val="00232685"/>
    <w:rsid w:val="002326AD"/>
    <w:rsid w:val="0023270F"/>
    <w:rsid w:val="0023278D"/>
    <w:rsid w:val="002327B0"/>
    <w:rsid w:val="002327CB"/>
    <w:rsid w:val="0023290B"/>
    <w:rsid w:val="0023296C"/>
    <w:rsid w:val="00232A90"/>
    <w:rsid w:val="00232AF2"/>
    <w:rsid w:val="00232AF6"/>
    <w:rsid w:val="00232BCA"/>
    <w:rsid w:val="00232BF8"/>
    <w:rsid w:val="00232C8F"/>
    <w:rsid w:val="00232D5E"/>
    <w:rsid w:val="00232E54"/>
    <w:rsid w:val="00232E59"/>
    <w:rsid w:val="00232E92"/>
    <w:rsid w:val="00232E95"/>
    <w:rsid w:val="00232EA8"/>
    <w:rsid w:val="00232F28"/>
    <w:rsid w:val="002330BF"/>
    <w:rsid w:val="00233118"/>
    <w:rsid w:val="0023313B"/>
    <w:rsid w:val="00233219"/>
    <w:rsid w:val="00233321"/>
    <w:rsid w:val="0023338B"/>
    <w:rsid w:val="002333AF"/>
    <w:rsid w:val="00233482"/>
    <w:rsid w:val="002335B3"/>
    <w:rsid w:val="00233633"/>
    <w:rsid w:val="002336E9"/>
    <w:rsid w:val="002337CA"/>
    <w:rsid w:val="00233A89"/>
    <w:rsid w:val="00233B1A"/>
    <w:rsid w:val="00233CBE"/>
    <w:rsid w:val="00233EA5"/>
    <w:rsid w:val="00233F13"/>
    <w:rsid w:val="00233FE4"/>
    <w:rsid w:val="00233FFE"/>
    <w:rsid w:val="002340F0"/>
    <w:rsid w:val="0023411D"/>
    <w:rsid w:val="002342D6"/>
    <w:rsid w:val="0023430E"/>
    <w:rsid w:val="00234311"/>
    <w:rsid w:val="0023442A"/>
    <w:rsid w:val="0023445F"/>
    <w:rsid w:val="0023448C"/>
    <w:rsid w:val="002344AA"/>
    <w:rsid w:val="0023450F"/>
    <w:rsid w:val="00234524"/>
    <w:rsid w:val="002348D6"/>
    <w:rsid w:val="00234939"/>
    <w:rsid w:val="00234B24"/>
    <w:rsid w:val="00234C24"/>
    <w:rsid w:val="00234CD7"/>
    <w:rsid w:val="00234D7B"/>
    <w:rsid w:val="00234D97"/>
    <w:rsid w:val="00234EB7"/>
    <w:rsid w:val="00234F2C"/>
    <w:rsid w:val="00235033"/>
    <w:rsid w:val="00235043"/>
    <w:rsid w:val="00235080"/>
    <w:rsid w:val="0023508C"/>
    <w:rsid w:val="002350A3"/>
    <w:rsid w:val="0023512A"/>
    <w:rsid w:val="00235351"/>
    <w:rsid w:val="002353AB"/>
    <w:rsid w:val="002353CB"/>
    <w:rsid w:val="0023541A"/>
    <w:rsid w:val="00235455"/>
    <w:rsid w:val="00235550"/>
    <w:rsid w:val="002355E5"/>
    <w:rsid w:val="002358CE"/>
    <w:rsid w:val="002358E1"/>
    <w:rsid w:val="00235992"/>
    <w:rsid w:val="002359B8"/>
    <w:rsid w:val="002359D2"/>
    <w:rsid w:val="00235B41"/>
    <w:rsid w:val="00235B45"/>
    <w:rsid w:val="00235B78"/>
    <w:rsid w:val="00235C68"/>
    <w:rsid w:val="00235D5D"/>
    <w:rsid w:val="00235D90"/>
    <w:rsid w:val="00235FA3"/>
    <w:rsid w:val="002360A4"/>
    <w:rsid w:val="0023619C"/>
    <w:rsid w:val="00236229"/>
    <w:rsid w:val="00236286"/>
    <w:rsid w:val="002362B6"/>
    <w:rsid w:val="0023637D"/>
    <w:rsid w:val="0023642D"/>
    <w:rsid w:val="00236445"/>
    <w:rsid w:val="00236520"/>
    <w:rsid w:val="002365A0"/>
    <w:rsid w:val="00236695"/>
    <w:rsid w:val="0023688F"/>
    <w:rsid w:val="0023689E"/>
    <w:rsid w:val="00236993"/>
    <w:rsid w:val="002369F1"/>
    <w:rsid w:val="00236A04"/>
    <w:rsid w:val="00236AC9"/>
    <w:rsid w:val="00236C35"/>
    <w:rsid w:val="00236C42"/>
    <w:rsid w:val="00236C64"/>
    <w:rsid w:val="00236D16"/>
    <w:rsid w:val="00236D2B"/>
    <w:rsid w:val="00236D7C"/>
    <w:rsid w:val="00236DDC"/>
    <w:rsid w:val="00236E8A"/>
    <w:rsid w:val="00236F13"/>
    <w:rsid w:val="00237054"/>
    <w:rsid w:val="002370C3"/>
    <w:rsid w:val="0023716E"/>
    <w:rsid w:val="002371DB"/>
    <w:rsid w:val="002371F1"/>
    <w:rsid w:val="00237305"/>
    <w:rsid w:val="00237367"/>
    <w:rsid w:val="0023739B"/>
    <w:rsid w:val="00237511"/>
    <w:rsid w:val="002375D7"/>
    <w:rsid w:val="002376F1"/>
    <w:rsid w:val="00237819"/>
    <w:rsid w:val="00237885"/>
    <w:rsid w:val="00237991"/>
    <w:rsid w:val="00237A58"/>
    <w:rsid w:val="00237A79"/>
    <w:rsid w:val="00237AB4"/>
    <w:rsid w:val="00237B10"/>
    <w:rsid w:val="00237B3A"/>
    <w:rsid w:val="00237C1F"/>
    <w:rsid w:val="00237C26"/>
    <w:rsid w:val="00237CCF"/>
    <w:rsid w:val="00237CE5"/>
    <w:rsid w:val="00237D66"/>
    <w:rsid w:val="00237DA3"/>
    <w:rsid w:val="00237DAC"/>
    <w:rsid w:val="00237EBB"/>
    <w:rsid w:val="00240053"/>
    <w:rsid w:val="00240092"/>
    <w:rsid w:val="002400FE"/>
    <w:rsid w:val="00240100"/>
    <w:rsid w:val="00240107"/>
    <w:rsid w:val="00240156"/>
    <w:rsid w:val="00240193"/>
    <w:rsid w:val="002401F0"/>
    <w:rsid w:val="00240225"/>
    <w:rsid w:val="00240348"/>
    <w:rsid w:val="002403C8"/>
    <w:rsid w:val="00240410"/>
    <w:rsid w:val="002405E5"/>
    <w:rsid w:val="002406E8"/>
    <w:rsid w:val="00240771"/>
    <w:rsid w:val="002407D9"/>
    <w:rsid w:val="002408B5"/>
    <w:rsid w:val="002408C2"/>
    <w:rsid w:val="002409C7"/>
    <w:rsid w:val="00240A15"/>
    <w:rsid w:val="00240A87"/>
    <w:rsid w:val="00240B58"/>
    <w:rsid w:val="00240B80"/>
    <w:rsid w:val="00240BC6"/>
    <w:rsid w:val="00240BCD"/>
    <w:rsid w:val="00240BF7"/>
    <w:rsid w:val="00240C72"/>
    <w:rsid w:val="00240D58"/>
    <w:rsid w:val="00240DEF"/>
    <w:rsid w:val="00240E05"/>
    <w:rsid w:val="00240E3C"/>
    <w:rsid w:val="00240E64"/>
    <w:rsid w:val="00240E84"/>
    <w:rsid w:val="00240E88"/>
    <w:rsid w:val="00240E90"/>
    <w:rsid w:val="00240F41"/>
    <w:rsid w:val="002410CF"/>
    <w:rsid w:val="00241203"/>
    <w:rsid w:val="00241262"/>
    <w:rsid w:val="00241661"/>
    <w:rsid w:val="0024167D"/>
    <w:rsid w:val="00241AEA"/>
    <w:rsid w:val="00241B63"/>
    <w:rsid w:val="00241BB9"/>
    <w:rsid w:val="00241C43"/>
    <w:rsid w:val="00241C56"/>
    <w:rsid w:val="00241E0F"/>
    <w:rsid w:val="00241E97"/>
    <w:rsid w:val="00241F3E"/>
    <w:rsid w:val="00241F82"/>
    <w:rsid w:val="00241FB4"/>
    <w:rsid w:val="0024204C"/>
    <w:rsid w:val="00242184"/>
    <w:rsid w:val="002421B7"/>
    <w:rsid w:val="002421BB"/>
    <w:rsid w:val="0024221F"/>
    <w:rsid w:val="002422D7"/>
    <w:rsid w:val="00242366"/>
    <w:rsid w:val="0024268A"/>
    <w:rsid w:val="00242691"/>
    <w:rsid w:val="002426B9"/>
    <w:rsid w:val="002427AC"/>
    <w:rsid w:val="002428B3"/>
    <w:rsid w:val="002428F8"/>
    <w:rsid w:val="0024299E"/>
    <w:rsid w:val="002429C2"/>
    <w:rsid w:val="00242ACC"/>
    <w:rsid w:val="00242B03"/>
    <w:rsid w:val="00242B0D"/>
    <w:rsid w:val="00242BA9"/>
    <w:rsid w:val="00242BE4"/>
    <w:rsid w:val="00242C22"/>
    <w:rsid w:val="00242C27"/>
    <w:rsid w:val="00242CF1"/>
    <w:rsid w:val="00242D54"/>
    <w:rsid w:val="00242D8E"/>
    <w:rsid w:val="00242DFB"/>
    <w:rsid w:val="00242DFC"/>
    <w:rsid w:val="00242F15"/>
    <w:rsid w:val="00242F69"/>
    <w:rsid w:val="00242F71"/>
    <w:rsid w:val="00242F8A"/>
    <w:rsid w:val="0024304E"/>
    <w:rsid w:val="0024317A"/>
    <w:rsid w:val="0024319A"/>
    <w:rsid w:val="002431CD"/>
    <w:rsid w:val="00243272"/>
    <w:rsid w:val="00243330"/>
    <w:rsid w:val="002433AA"/>
    <w:rsid w:val="002433E0"/>
    <w:rsid w:val="0024346A"/>
    <w:rsid w:val="0024346F"/>
    <w:rsid w:val="002435EC"/>
    <w:rsid w:val="0024369A"/>
    <w:rsid w:val="00243738"/>
    <w:rsid w:val="00243951"/>
    <w:rsid w:val="00243A10"/>
    <w:rsid w:val="00243A4B"/>
    <w:rsid w:val="00243A69"/>
    <w:rsid w:val="00243AC7"/>
    <w:rsid w:val="00243B00"/>
    <w:rsid w:val="00243B45"/>
    <w:rsid w:val="00243BFA"/>
    <w:rsid w:val="00243C27"/>
    <w:rsid w:val="00243C2A"/>
    <w:rsid w:val="00243D20"/>
    <w:rsid w:val="00243D4E"/>
    <w:rsid w:val="00243EEE"/>
    <w:rsid w:val="00243F24"/>
    <w:rsid w:val="00243F30"/>
    <w:rsid w:val="00244150"/>
    <w:rsid w:val="002441D8"/>
    <w:rsid w:val="002444CE"/>
    <w:rsid w:val="0024456C"/>
    <w:rsid w:val="002445D6"/>
    <w:rsid w:val="00244648"/>
    <w:rsid w:val="0024477C"/>
    <w:rsid w:val="002448D7"/>
    <w:rsid w:val="00244A1C"/>
    <w:rsid w:val="00244B81"/>
    <w:rsid w:val="00244B9A"/>
    <w:rsid w:val="00244BED"/>
    <w:rsid w:val="00244C83"/>
    <w:rsid w:val="00244CD7"/>
    <w:rsid w:val="00244D72"/>
    <w:rsid w:val="00245005"/>
    <w:rsid w:val="002450CF"/>
    <w:rsid w:val="002450E2"/>
    <w:rsid w:val="00245148"/>
    <w:rsid w:val="002452BB"/>
    <w:rsid w:val="002453A1"/>
    <w:rsid w:val="002453C1"/>
    <w:rsid w:val="0024546B"/>
    <w:rsid w:val="002454EB"/>
    <w:rsid w:val="00245601"/>
    <w:rsid w:val="002456A1"/>
    <w:rsid w:val="002456C6"/>
    <w:rsid w:val="002457E9"/>
    <w:rsid w:val="00245815"/>
    <w:rsid w:val="00245840"/>
    <w:rsid w:val="0024595A"/>
    <w:rsid w:val="002459ED"/>
    <w:rsid w:val="00245BC3"/>
    <w:rsid w:val="00245BE6"/>
    <w:rsid w:val="00245C2E"/>
    <w:rsid w:val="00245EAA"/>
    <w:rsid w:val="00245F74"/>
    <w:rsid w:val="00246084"/>
    <w:rsid w:val="002460A1"/>
    <w:rsid w:val="002461EB"/>
    <w:rsid w:val="00246228"/>
    <w:rsid w:val="00246352"/>
    <w:rsid w:val="00246376"/>
    <w:rsid w:val="002463BE"/>
    <w:rsid w:val="002464BD"/>
    <w:rsid w:val="002464F3"/>
    <w:rsid w:val="00246679"/>
    <w:rsid w:val="00246685"/>
    <w:rsid w:val="00246734"/>
    <w:rsid w:val="00246764"/>
    <w:rsid w:val="00246A1C"/>
    <w:rsid w:val="00246A65"/>
    <w:rsid w:val="00246AA4"/>
    <w:rsid w:val="00246AB7"/>
    <w:rsid w:val="00246B3B"/>
    <w:rsid w:val="00246BF3"/>
    <w:rsid w:val="00246BF4"/>
    <w:rsid w:val="00246C47"/>
    <w:rsid w:val="00246F1A"/>
    <w:rsid w:val="002470FB"/>
    <w:rsid w:val="00247124"/>
    <w:rsid w:val="0024712C"/>
    <w:rsid w:val="002471FD"/>
    <w:rsid w:val="00247214"/>
    <w:rsid w:val="00247279"/>
    <w:rsid w:val="00247375"/>
    <w:rsid w:val="00247479"/>
    <w:rsid w:val="0024748D"/>
    <w:rsid w:val="00247567"/>
    <w:rsid w:val="00247655"/>
    <w:rsid w:val="00247779"/>
    <w:rsid w:val="00247917"/>
    <w:rsid w:val="00247A24"/>
    <w:rsid w:val="00247E2A"/>
    <w:rsid w:val="00247EFF"/>
    <w:rsid w:val="00247F23"/>
    <w:rsid w:val="00250153"/>
    <w:rsid w:val="00250347"/>
    <w:rsid w:val="00250354"/>
    <w:rsid w:val="002503DE"/>
    <w:rsid w:val="002504FC"/>
    <w:rsid w:val="00250644"/>
    <w:rsid w:val="0025065D"/>
    <w:rsid w:val="00250716"/>
    <w:rsid w:val="00250760"/>
    <w:rsid w:val="00250776"/>
    <w:rsid w:val="0025081C"/>
    <w:rsid w:val="0025094C"/>
    <w:rsid w:val="0025097D"/>
    <w:rsid w:val="00250A12"/>
    <w:rsid w:val="00250B93"/>
    <w:rsid w:val="00250E5F"/>
    <w:rsid w:val="00250FAE"/>
    <w:rsid w:val="0025104D"/>
    <w:rsid w:val="00251235"/>
    <w:rsid w:val="00251370"/>
    <w:rsid w:val="00251436"/>
    <w:rsid w:val="0025143D"/>
    <w:rsid w:val="00251506"/>
    <w:rsid w:val="00251604"/>
    <w:rsid w:val="0025163E"/>
    <w:rsid w:val="002516A6"/>
    <w:rsid w:val="002516B5"/>
    <w:rsid w:val="0025170A"/>
    <w:rsid w:val="0025196C"/>
    <w:rsid w:val="0025197C"/>
    <w:rsid w:val="00251A23"/>
    <w:rsid w:val="00251AD5"/>
    <w:rsid w:val="00251B40"/>
    <w:rsid w:val="00251DE8"/>
    <w:rsid w:val="00251E07"/>
    <w:rsid w:val="00251E98"/>
    <w:rsid w:val="002521B5"/>
    <w:rsid w:val="0025230F"/>
    <w:rsid w:val="002523B9"/>
    <w:rsid w:val="002524A4"/>
    <w:rsid w:val="0025268A"/>
    <w:rsid w:val="002529E9"/>
    <w:rsid w:val="00252A1F"/>
    <w:rsid w:val="00252BA2"/>
    <w:rsid w:val="00252C38"/>
    <w:rsid w:val="00252D3A"/>
    <w:rsid w:val="00252EF3"/>
    <w:rsid w:val="00252FC8"/>
    <w:rsid w:val="0025319A"/>
    <w:rsid w:val="00253241"/>
    <w:rsid w:val="00253249"/>
    <w:rsid w:val="00253487"/>
    <w:rsid w:val="0025359C"/>
    <w:rsid w:val="002536DA"/>
    <w:rsid w:val="002537F0"/>
    <w:rsid w:val="00253800"/>
    <w:rsid w:val="0025382D"/>
    <w:rsid w:val="002538DE"/>
    <w:rsid w:val="00253910"/>
    <w:rsid w:val="00253964"/>
    <w:rsid w:val="002539FD"/>
    <w:rsid w:val="00253AC1"/>
    <w:rsid w:val="00253AF6"/>
    <w:rsid w:val="00253AFF"/>
    <w:rsid w:val="00253B13"/>
    <w:rsid w:val="00253C61"/>
    <w:rsid w:val="00253CAD"/>
    <w:rsid w:val="00253FF2"/>
    <w:rsid w:val="002543F9"/>
    <w:rsid w:val="0025449E"/>
    <w:rsid w:val="002546FA"/>
    <w:rsid w:val="002547FE"/>
    <w:rsid w:val="002549E6"/>
    <w:rsid w:val="00254A89"/>
    <w:rsid w:val="00254ACC"/>
    <w:rsid w:val="00254B80"/>
    <w:rsid w:val="00254C08"/>
    <w:rsid w:val="00254CBF"/>
    <w:rsid w:val="00254D66"/>
    <w:rsid w:val="00254F36"/>
    <w:rsid w:val="00255163"/>
    <w:rsid w:val="0025541C"/>
    <w:rsid w:val="002554CD"/>
    <w:rsid w:val="0025573C"/>
    <w:rsid w:val="0025576F"/>
    <w:rsid w:val="00255941"/>
    <w:rsid w:val="00255986"/>
    <w:rsid w:val="00255B20"/>
    <w:rsid w:val="00255B83"/>
    <w:rsid w:val="00255BB6"/>
    <w:rsid w:val="00255BC6"/>
    <w:rsid w:val="00255C14"/>
    <w:rsid w:val="00255CB3"/>
    <w:rsid w:val="00255D89"/>
    <w:rsid w:val="00255E76"/>
    <w:rsid w:val="00255EB6"/>
    <w:rsid w:val="00255EC8"/>
    <w:rsid w:val="00255FDF"/>
    <w:rsid w:val="002560D0"/>
    <w:rsid w:val="002560E2"/>
    <w:rsid w:val="00256121"/>
    <w:rsid w:val="002562B6"/>
    <w:rsid w:val="00256391"/>
    <w:rsid w:val="0025652A"/>
    <w:rsid w:val="002565AB"/>
    <w:rsid w:val="0025679C"/>
    <w:rsid w:val="002567A2"/>
    <w:rsid w:val="002567F9"/>
    <w:rsid w:val="00256845"/>
    <w:rsid w:val="002568D3"/>
    <w:rsid w:val="0025693E"/>
    <w:rsid w:val="002569F6"/>
    <w:rsid w:val="00256A11"/>
    <w:rsid w:val="00256A81"/>
    <w:rsid w:val="00256A8A"/>
    <w:rsid w:val="00256B62"/>
    <w:rsid w:val="00256B8A"/>
    <w:rsid w:val="00256E59"/>
    <w:rsid w:val="00256E87"/>
    <w:rsid w:val="00256F95"/>
    <w:rsid w:val="00256FC7"/>
    <w:rsid w:val="00257062"/>
    <w:rsid w:val="002572C0"/>
    <w:rsid w:val="0025747E"/>
    <w:rsid w:val="0025767D"/>
    <w:rsid w:val="002576CE"/>
    <w:rsid w:val="002576D4"/>
    <w:rsid w:val="002577A3"/>
    <w:rsid w:val="002578D0"/>
    <w:rsid w:val="002579CE"/>
    <w:rsid w:val="00257B17"/>
    <w:rsid w:val="00257C18"/>
    <w:rsid w:val="00257D1F"/>
    <w:rsid w:val="00257DAB"/>
    <w:rsid w:val="00257E2D"/>
    <w:rsid w:val="00257ED1"/>
    <w:rsid w:val="00257EF9"/>
    <w:rsid w:val="00257F24"/>
    <w:rsid w:val="00257F52"/>
    <w:rsid w:val="00257FD1"/>
    <w:rsid w:val="0026003D"/>
    <w:rsid w:val="002600DB"/>
    <w:rsid w:val="0026012D"/>
    <w:rsid w:val="002603DA"/>
    <w:rsid w:val="002603E0"/>
    <w:rsid w:val="002603E7"/>
    <w:rsid w:val="00260485"/>
    <w:rsid w:val="00260519"/>
    <w:rsid w:val="002605E6"/>
    <w:rsid w:val="002606B9"/>
    <w:rsid w:val="00260704"/>
    <w:rsid w:val="00260954"/>
    <w:rsid w:val="00260AB9"/>
    <w:rsid w:val="00260DA6"/>
    <w:rsid w:val="00260DC3"/>
    <w:rsid w:val="00260E48"/>
    <w:rsid w:val="00260E85"/>
    <w:rsid w:val="00260EF4"/>
    <w:rsid w:val="0026103B"/>
    <w:rsid w:val="002610AC"/>
    <w:rsid w:val="00261175"/>
    <w:rsid w:val="002611EC"/>
    <w:rsid w:val="0026130C"/>
    <w:rsid w:val="002613DD"/>
    <w:rsid w:val="002613F3"/>
    <w:rsid w:val="0026141B"/>
    <w:rsid w:val="00261420"/>
    <w:rsid w:val="00261584"/>
    <w:rsid w:val="00261B64"/>
    <w:rsid w:val="00261B69"/>
    <w:rsid w:val="00261C02"/>
    <w:rsid w:val="00261CC8"/>
    <w:rsid w:val="00261D2D"/>
    <w:rsid w:val="00261D7B"/>
    <w:rsid w:val="00261E0D"/>
    <w:rsid w:val="00261E7A"/>
    <w:rsid w:val="00261EB6"/>
    <w:rsid w:val="00261F42"/>
    <w:rsid w:val="00261F55"/>
    <w:rsid w:val="00262010"/>
    <w:rsid w:val="0026212D"/>
    <w:rsid w:val="00262134"/>
    <w:rsid w:val="00262168"/>
    <w:rsid w:val="0026231A"/>
    <w:rsid w:val="00262482"/>
    <w:rsid w:val="0026251C"/>
    <w:rsid w:val="0026255C"/>
    <w:rsid w:val="0026258F"/>
    <w:rsid w:val="002626E7"/>
    <w:rsid w:val="00262700"/>
    <w:rsid w:val="002628DA"/>
    <w:rsid w:val="0026295C"/>
    <w:rsid w:val="002629BC"/>
    <w:rsid w:val="00262B0D"/>
    <w:rsid w:val="00262B40"/>
    <w:rsid w:val="00262D5B"/>
    <w:rsid w:val="00262D69"/>
    <w:rsid w:val="00262D98"/>
    <w:rsid w:val="00262E51"/>
    <w:rsid w:val="00262EEB"/>
    <w:rsid w:val="00262F00"/>
    <w:rsid w:val="0026307B"/>
    <w:rsid w:val="0026335C"/>
    <w:rsid w:val="00263369"/>
    <w:rsid w:val="002633A4"/>
    <w:rsid w:val="002633D8"/>
    <w:rsid w:val="00263478"/>
    <w:rsid w:val="00263508"/>
    <w:rsid w:val="002635AE"/>
    <w:rsid w:val="002635B9"/>
    <w:rsid w:val="0026367B"/>
    <w:rsid w:val="00263757"/>
    <w:rsid w:val="0026382C"/>
    <w:rsid w:val="00263846"/>
    <w:rsid w:val="00263903"/>
    <w:rsid w:val="002639AE"/>
    <w:rsid w:val="00263B83"/>
    <w:rsid w:val="00263C0E"/>
    <w:rsid w:val="00263C1B"/>
    <w:rsid w:val="00263CF8"/>
    <w:rsid w:val="00263D4A"/>
    <w:rsid w:val="00263E64"/>
    <w:rsid w:val="00263F5E"/>
    <w:rsid w:val="00264060"/>
    <w:rsid w:val="00264390"/>
    <w:rsid w:val="002643C2"/>
    <w:rsid w:val="002643E2"/>
    <w:rsid w:val="00264415"/>
    <w:rsid w:val="00264464"/>
    <w:rsid w:val="00264883"/>
    <w:rsid w:val="0026492C"/>
    <w:rsid w:val="00264A55"/>
    <w:rsid w:val="00264BA9"/>
    <w:rsid w:val="00264C1F"/>
    <w:rsid w:val="00264C9A"/>
    <w:rsid w:val="00264D0A"/>
    <w:rsid w:val="00264DFE"/>
    <w:rsid w:val="00264ECC"/>
    <w:rsid w:val="00264FF0"/>
    <w:rsid w:val="00265088"/>
    <w:rsid w:val="002651BB"/>
    <w:rsid w:val="002651BD"/>
    <w:rsid w:val="00265289"/>
    <w:rsid w:val="0026538C"/>
    <w:rsid w:val="00265395"/>
    <w:rsid w:val="002654BF"/>
    <w:rsid w:val="0026552E"/>
    <w:rsid w:val="002655A0"/>
    <w:rsid w:val="002655D1"/>
    <w:rsid w:val="002655EC"/>
    <w:rsid w:val="0026564C"/>
    <w:rsid w:val="002656D0"/>
    <w:rsid w:val="002658C5"/>
    <w:rsid w:val="00265A53"/>
    <w:rsid w:val="00265AFD"/>
    <w:rsid w:val="00265C45"/>
    <w:rsid w:val="00265D9B"/>
    <w:rsid w:val="00265ECB"/>
    <w:rsid w:val="00265F56"/>
    <w:rsid w:val="00265FFF"/>
    <w:rsid w:val="00266025"/>
    <w:rsid w:val="0026604E"/>
    <w:rsid w:val="00266059"/>
    <w:rsid w:val="002660A1"/>
    <w:rsid w:val="002661A1"/>
    <w:rsid w:val="002661BB"/>
    <w:rsid w:val="002661D6"/>
    <w:rsid w:val="002662BA"/>
    <w:rsid w:val="0026630C"/>
    <w:rsid w:val="00266315"/>
    <w:rsid w:val="002665B9"/>
    <w:rsid w:val="0026667F"/>
    <w:rsid w:val="00266702"/>
    <w:rsid w:val="0026675D"/>
    <w:rsid w:val="00266A65"/>
    <w:rsid w:val="00266B11"/>
    <w:rsid w:val="00266B3A"/>
    <w:rsid w:val="00266B7B"/>
    <w:rsid w:val="00266BAF"/>
    <w:rsid w:val="00266C02"/>
    <w:rsid w:val="00266C08"/>
    <w:rsid w:val="00266E7E"/>
    <w:rsid w:val="00266EC4"/>
    <w:rsid w:val="00266FD4"/>
    <w:rsid w:val="00267113"/>
    <w:rsid w:val="00267233"/>
    <w:rsid w:val="00267412"/>
    <w:rsid w:val="002674CD"/>
    <w:rsid w:val="002676B2"/>
    <w:rsid w:val="0026781A"/>
    <w:rsid w:val="002679A3"/>
    <w:rsid w:val="00267A3A"/>
    <w:rsid w:val="00267B27"/>
    <w:rsid w:val="00267BDF"/>
    <w:rsid w:val="00267BFF"/>
    <w:rsid w:val="00267D13"/>
    <w:rsid w:val="00267D67"/>
    <w:rsid w:val="00267DDE"/>
    <w:rsid w:val="00267FD2"/>
    <w:rsid w:val="00270112"/>
    <w:rsid w:val="002701A1"/>
    <w:rsid w:val="002702F3"/>
    <w:rsid w:val="00270393"/>
    <w:rsid w:val="002704E8"/>
    <w:rsid w:val="00270586"/>
    <w:rsid w:val="00270634"/>
    <w:rsid w:val="002706B5"/>
    <w:rsid w:val="0027070C"/>
    <w:rsid w:val="00270794"/>
    <w:rsid w:val="00270A5E"/>
    <w:rsid w:val="00270A88"/>
    <w:rsid w:val="00270ACA"/>
    <w:rsid w:val="00270AEB"/>
    <w:rsid w:val="00270C50"/>
    <w:rsid w:val="00270CD6"/>
    <w:rsid w:val="00270D91"/>
    <w:rsid w:val="00270E56"/>
    <w:rsid w:val="00270EAD"/>
    <w:rsid w:val="00270FBB"/>
    <w:rsid w:val="002710F0"/>
    <w:rsid w:val="00271149"/>
    <w:rsid w:val="0027115A"/>
    <w:rsid w:val="0027118C"/>
    <w:rsid w:val="0027143C"/>
    <w:rsid w:val="002714BF"/>
    <w:rsid w:val="002715EF"/>
    <w:rsid w:val="0027165A"/>
    <w:rsid w:val="002716A1"/>
    <w:rsid w:val="002716AE"/>
    <w:rsid w:val="00271700"/>
    <w:rsid w:val="0027183A"/>
    <w:rsid w:val="002718CE"/>
    <w:rsid w:val="002719B4"/>
    <w:rsid w:val="00271B58"/>
    <w:rsid w:val="00271C6E"/>
    <w:rsid w:val="00271D6B"/>
    <w:rsid w:val="00271DD9"/>
    <w:rsid w:val="00271DFD"/>
    <w:rsid w:val="00272066"/>
    <w:rsid w:val="002720C2"/>
    <w:rsid w:val="002720C6"/>
    <w:rsid w:val="002720F2"/>
    <w:rsid w:val="00272110"/>
    <w:rsid w:val="0027233B"/>
    <w:rsid w:val="002723ED"/>
    <w:rsid w:val="00272454"/>
    <w:rsid w:val="00272576"/>
    <w:rsid w:val="002725AD"/>
    <w:rsid w:val="002726D4"/>
    <w:rsid w:val="00272785"/>
    <w:rsid w:val="002728E3"/>
    <w:rsid w:val="0027292D"/>
    <w:rsid w:val="002729ED"/>
    <w:rsid w:val="00272A42"/>
    <w:rsid w:val="00272A63"/>
    <w:rsid w:val="00272ADF"/>
    <w:rsid w:val="00272B50"/>
    <w:rsid w:val="00272B66"/>
    <w:rsid w:val="00272CBD"/>
    <w:rsid w:val="00272D79"/>
    <w:rsid w:val="00272F27"/>
    <w:rsid w:val="00272F7E"/>
    <w:rsid w:val="00273186"/>
    <w:rsid w:val="002731F1"/>
    <w:rsid w:val="00273448"/>
    <w:rsid w:val="002736D3"/>
    <w:rsid w:val="00273763"/>
    <w:rsid w:val="0027377C"/>
    <w:rsid w:val="002738C5"/>
    <w:rsid w:val="00273B13"/>
    <w:rsid w:val="00273B55"/>
    <w:rsid w:val="00273C50"/>
    <w:rsid w:val="00273CA6"/>
    <w:rsid w:val="00273D3F"/>
    <w:rsid w:val="00273EDA"/>
    <w:rsid w:val="00273F16"/>
    <w:rsid w:val="00273F22"/>
    <w:rsid w:val="00273FE6"/>
    <w:rsid w:val="002740A7"/>
    <w:rsid w:val="00274104"/>
    <w:rsid w:val="00274118"/>
    <w:rsid w:val="0027420A"/>
    <w:rsid w:val="0027426F"/>
    <w:rsid w:val="00274352"/>
    <w:rsid w:val="0027453C"/>
    <w:rsid w:val="00274573"/>
    <w:rsid w:val="0027465A"/>
    <w:rsid w:val="0027467D"/>
    <w:rsid w:val="002748EA"/>
    <w:rsid w:val="00274956"/>
    <w:rsid w:val="00274A58"/>
    <w:rsid w:val="00274B30"/>
    <w:rsid w:val="00274B8C"/>
    <w:rsid w:val="00274C0E"/>
    <w:rsid w:val="00274D51"/>
    <w:rsid w:val="00274E2B"/>
    <w:rsid w:val="00274F1C"/>
    <w:rsid w:val="00275067"/>
    <w:rsid w:val="00275179"/>
    <w:rsid w:val="002753DF"/>
    <w:rsid w:val="002754DD"/>
    <w:rsid w:val="002754EC"/>
    <w:rsid w:val="00275643"/>
    <w:rsid w:val="0027582D"/>
    <w:rsid w:val="00275AC1"/>
    <w:rsid w:val="00275ACF"/>
    <w:rsid w:val="00275AD6"/>
    <w:rsid w:val="00275BAC"/>
    <w:rsid w:val="00275C39"/>
    <w:rsid w:val="00275C97"/>
    <w:rsid w:val="00275D34"/>
    <w:rsid w:val="00275E0D"/>
    <w:rsid w:val="00275EFE"/>
    <w:rsid w:val="00275FA1"/>
    <w:rsid w:val="0027603E"/>
    <w:rsid w:val="0027605A"/>
    <w:rsid w:val="002760E2"/>
    <w:rsid w:val="0027610A"/>
    <w:rsid w:val="00276297"/>
    <w:rsid w:val="0027629B"/>
    <w:rsid w:val="002762B0"/>
    <w:rsid w:val="002762D0"/>
    <w:rsid w:val="00276318"/>
    <w:rsid w:val="00276469"/>
    <w:rsid w:val="002764C6"/>
    <w:rsid w:val="0027654C"/>
    <w:rsid w:val="00276812"/>
    <w:rsid w:val="00276889"/>
    <w:rsid w:val="002768D6"/>
    <w:rsid w:val="00276972"/>
    <w:rsid w:val="00276995"/>
    <w:rsid w:val="00276BBF"/>
    <w:rsid w:val="00276CDF"/>
    <w:rsid w:val="00276CE8"/>
    <w:rsid w:val="00276EAC"/>
    <w:rsid w:val="00276EAD"/>
    <w:rsid w:val="002770D1"/>
    <w:rsid w:val="002770E2"/>
    <w:rsid w:val="00277192"/>
    <w:rsid w:val="002771AA"/>
    <w:rsid w:val="00277314"/>
    <w:rsid w:val="0027745C"/>
    <w:rsid w:val="002774EB"/>
    <w:rsid w:val="002774ED"/>
    <w:rsid w:val="00277524"/>
    <w:rsid w:val="002776A1"/>
    <w:rsid w:val="002777B6"/>
    <w:rsid w:val="0027784A"/>
    <w:rsid w:val="00277891"/>
    <w:rsid w:val="00277AD2"/>
    <w:rsid w:val="00277B82"/>
    <w:rsid w:val="00277B97"/>
    <w:rsid w:val="00277CA7"/>
    <w:rsid w:val="00277CD2"/>
    <w:rsid w:val="00277E38"/>
    <w:rsid w:val="00277E9E"/>
    <w:rsid w:val="00277EC6"/>
    <w:rsid w:val="0028002F"/>
    <w:rsid w:val="0028016E"/>
    <w:rsid w:val="00280221"/>
    <w:rsid w:val="00280443"/>
    <w:rsid w:val="00280474"/>
    <w:rsid w:val="002806FB"/>
    <w:rsid w:val="0028090B"/>
    <w:rsid w:val="00280918"/>
    <w:rsid w:val="002809A9"/>
    <w:rsid w:val="002809B5"/>
    <w:rsid w:val="00280ABD"/>
    <w:rsid w:val="00280AD5"/>
    <w:rsid w:val="00280CC3"/>
    <w:rsid w:val="00280D08"/>
    <w:rsid w:val="00280D9D"/>
    <w:rsid w:val="00280DDB"/>
    <w:rsid w:val="00280E13"/>
    <w:rsid w:val="00280E96"/>
    <w:rsid w:val="00281156"/>
    <w:rsid w:val="00281198"/>
    <w:rsid w:val="0028125B"/>
    <w:rsid w:val="002814F6"/>
    <w:rsid w:val="00281596"/>
    <w:rsid w:val="002815B5"/>
    <w:rsid w:val="00281656"/>
    <w:rsid w:val="002817BF"/>
    <w:rsid w:val="002817F4"/>
    <w:rsid w:val="00281888"/>
    <w:rsid w:val="002819A2"/>
    <w:rsid w:val="002819CF"/>
    <w:rsid w:val="00281A2E"/>
    <w:rsid w:val="00281B5C"/>
    <w:rsid w:val="00281C9A"/>
    <w:rsid w:val="00281C9D"/>
    <w:rsid w:val="00281D08"/>
    <w:rsid w:val="00281DE4"/>
    <w:rsid w:val="00281E57"/>
    <w:rsid w:val="00281F72"/>
    <w:rsid w:val="002823F9"/>
    <w:rsid w:val="002824A6"/>
    <w:rsid w:val="00282532"/>
    <w:rsid w:val="002825A4"/>
    <w:rsid w:val="002825CF"/>
    <w:rsid w:val="00282930"/>
    <w:rsid w:val="002829D9"/>
    <w:rsid w:val="00282BF8"/>
    <w:rsid w:val="00282CAF"/>
    <w:rsid w:val="00282CE3"/>
    <w:rsid w:val="00282CF5"/>
    <w:rsid w:val="00283019"/>
    <w:rsid w:val="002833AA"/>
    <w:rsid w:val="002833B6"/>
    <w:rsid w:val="002837D5"/>
    <w:rsid w:val="002838D2"/>
    <w:rsid w:val="002839D8"/>
    <w:rsid w:val="00283A19"/>
    <w:rsid w:val="00283A1E"/>
    <w:rsid w:val="00283A50"/>
    <w:rsid w:val="00283B29"/>
    <w:rsid w:val="00283C28"/>
    <w:rsid w:val="00283C4E"/>
    <w:rsid w:val="00283C5F"/>
    <w:rsid w:val="00283D3F"/>
    <w:rsid w:val="00283E1D"/>
    <w:rsid w:val="00283F19"/>
    <w:rsid w:val="00283F51"/>
    <w:rsid w:val="00283F63"/>
    <w:rsid w:val="00283FA7"/>
    <w:rsid w:val="00284003"/>
    <w:rsid w:val="00284081"/>
    <w:rsid w:val="002840A9"/>
    <w:rsid w:val="002840E8"/>
    <w:rsid w:val="002840EA"/>
    <w:rsid w:val="00284181"/>
    <w:rsid w:val="0028419D"/>
    <w:rsid w:val="002841F5"/>
    <w:rsid w:val="00284406"/>
    <w:rsid w:val="002845A5"/>
    <w:rsid w:val="002845CC"/>
    <w:rsid w:val="002846C3"/>
    <w:rsid w:val="0028478F"/>
    <w:rsid w:val="00284A5E"/>
    <w:rsid w:val="00284AD6"/>
    <w:rsid w:val="00284ADC"/>
    <w:rsid w:val="00284B0B"/>
    <w:rsid w:val="00284B52"/>
    <w:rsid w:val="00284B6A"/>
    <w:rsid w:val="00284C30"/>
    <w:rsid w:val="00284DAF"/>
    <w:rsid w:val="00284DB8"/>
    <w:rsid w:val="00284DBE"/>
    <w:rsid w:val="00284EC6"/>
    <w:rsid w:val="0028516C"/>
    <w:rsid w:val="00285359"/>
    <w:rsid w:val="00285367"/>
    <w:rsid w:val="0028537D"/>
    <w:rsid w:val="002853AF"/>
    <w:rsid w:val="00285486"/>
    <w:rsid w:val="0028550B"/>
    <w:rsid w:val="0028554E"/>
    <w:rsid w:val="00285555"/>
    <w:rsid w:val="002855AF"/>
    <w:rsid w:val="002855D3"/>
    <w:rsid w:val="002855E0"/>
    <w:rsid w:val="0028570C"/>
    <w:rsid w:val="00285842"/>
    <w:rsid w:val="002858A7"/>
    <w:rsid w:val="002859CC"/>
    <w:rsid w:val="00285A7E"/>
    <w:rsid w:val="00285AE5"/>
    <w:rsid w:val="00285BAE"/>
    <w:rsid w:val="00285C3B"/>
    <w:rsid w:val="00285CCF"/>
    <w:rsid w:val="00285CF6"/>
    <w:rsid w:val="00285EB7"/>
    <w:rsid w:val="00285F82"/>
    <w:rsid w:val="00285FCA"/>
    <w:rsid w:val="00286135"/>
    <w:rsid w:val="002861B7"/>
    <w:rsid w:val="002863A3"/>
    <w:rsid w:val="0028642B"/>
    <w:rsid w:val="00286649"/>
    <w:rsid w:val="0028672F"/>
    <w:rsid w:val="00286760"/>
    <w:rsid w:val="00286855"/>
    <w:rsid w:val="002868F1"/>
    <w:rsid w:val="0028692F"/>
    <w:rsid w:val="00286969"/>
    <w:rsid w:val="00286988"/>
    <w:rsid w:val="00286A25"/>
    <w:rsid w:val="00286A93"/>
    <w:rsid w:val="00286AA7"/>
    <w:rsid w:val="00286BD4"/>
    <w:rsid w:val="00286BDC"/>
    <w:rsid w:val="00286C58"/>
    <w:rsid w:val="00286C5C"/>
    <w:rsid w:val="00286C9B"/>
    <w:rsid w:val="00286E35"/>
    <w:rsid w:val="00286E5C"/>
    <w:rsid w:val="00286E9D"/>
    <w:rsid w:val="00286EB4"/>
    <w:rsid w:val="00286F1D"/>
    <w:rsid w:val="00286F29"/>
    <w:rsid w:val="00286F93"/>
    <w:rsid w:val="00286FBA"/>
    <w:rsid w:val="0028703A"/>
    <w:rsid w:val="002871D7"/>
    <w:rsid w:val="002871E1"/>
    <w:rsid w:val="0028726A"/>
    <w:rsid w:val="002872BD"/>
    <w:rsid w:val="0028730A"/>
    <w:rsid w:val="00287337"/>
    <w:rsid w:val="00287476"/>
    <w:rsid w:val="00287594"/>
    <w:rsid w:val="002876BD"/>
    <w:rsid w:val="00287814"/>
    <w:rsid w:val="002879A6"/>
    <w:rsid w:val="002879C8"/>
    <w:rsid w:val="00287AC2"/>
    <w:rsid w:val="00287B6A"/>
    <w:rsid w:val="00287D48"/>
    <w:rsid w:val="00287D71"/>
    <w:rsid w:val="00287FBD"/>
    <w:rsid w:val="00287FE6"/>
    <w:rsid w:val="002900E8"/>
    <w:rsid w:val="00290145"/>
    <w:rsid w:val="0029023A"/>
    <w:rsid w:val="0029025D"/>
    <w:rsid w:val="002902E0"/>
    <w:rsid w:val="00290379"/>
    <w:rsid w:val="00290425"/>
    <w:rsid w:val="00290490"/>
    <w:rsid w:val="002904F0"/>
    <w:rsid w:val="00290575"/>
    <w:rsid w:val="00290725"/>
    <w:rsid w:val="00290749"/>
    <w:rsid w:val="00290854"/>
    <w:rsid w:val="00290866"/>
    <w:rsid w:val="00290882"/>
    <w:rsid w:val="00290971"/>
    <w:rsid w:val="00290A5F"/>
    <w:rsid w:val="00290B9B"/>
    <w:rsid w:val="00290BB1"/>
    <w:rsid w:val="00290CF8"/>
    <w:rsid w:val="00290E62"/>
    <w:rsid w:val="00290EFA"/>
    <w:rsid w:val="00291083"/>
    <w:rsid w:val="00291124"/>
    <w:rsid w:val="002911F4"/>
    <w:rsid w:val="00291222"/>
    <w:rsid w:val="002912F7"/>
    <w:rsid w:val="002913BC"/>
    <w:rsid w:val="00291512"/>
    <w:rsid w:val="002915FE"/>
    <w:rsid w:val="00291647"/>
    <w:rsid w:val="00291873"/>
    <w:rsid w:val="002918F6"/>
    <w:rsid w:val="002919B6"/>
    <w:rsid w:val="00291A0C"/>
    <w:rsid w:val="00291A90"/>
    <w:rsid w:val="00291AD9"/>
    <w:rsid w:val="00291C66"/>
    <w:rsid w:val="00291DF3"/>
    <w:rsid w:val="00291E7C"/>
    <w:rsid w:val="00291EDF"/>
    <w:rsid w:val="00291EF4"/>
    <w:rsid w:val="00291FEE"/>
    <w:rsid w:val="002920D6"/>
    <w:rsid w:val="00292223"/>
    <w:rsid w:val="0029236F"/>
    <w:rsid w:val="00292473"/>
    <w:rsid w:val="0029256F"/>
    <w:rsid w:val="00292599"/>
    <w:rsid w:val="0029262C"/>
    <w:rsid w:val="0029274C"/>
    <w:rsid w:val="002927B7"/>
    <w:rsid w:val="0029282B"/>
    <w:rsid w:val="002928E0"/>
    <w:rsid w:val="002928E1"/>
    <w:rsid w:val="00292A37"/>
    <w:rsid w:val="00292B02"/>
    <w:rsid w:val="00292BE0"/>
    <w:rsid w:val="00292C27"/>
    <w:rsid w:val="00292D34"/>
    <w:rsid w:val="00292EBC"/>
    <w:rsid w:val="00293000"/>
    <w:rsid w:val="002930BA"/>
    <w:rsid w:val="002930FC"/>
    <w:rsid w:val="00293156"/>
    <w:rsid w:val="0029319E"/>
    <w:rsid w:val="0029325B"/>
    <w:rsid w:val="002932FE"/>
    <w:rsid w:val="00293426"/>
    <w:rsid w:val="00293492"/>
    <w:rsid w:val="00293776"/>
    <w:rsid w:val="002937AD"/>
    <w:rsid w:val="002938A2"/>
    <w:rsid w:val="00293AA9"/>
    <w:rsid w:val="00293B2C"/>
    <w:rsid w:val="00293CE2"/>
    <w:rsid w:val="00293CFE"/>
    <w:rsid w:val="00293E2B"/>
    <w:rsid w:val="00293E38"/>
    <w:rsid w:val="00293EA9"/>
    <w:rsid w:val="002940CB"/>
    <w:rsid w:val="002941AC"/>
    <w:rsid w:val="002941EF"/>
    <w:rsid w:val="00294233"/>
    <w:rsid w:val="00294240"/>
    <w:rsid w:val="002943C4"/>
    <w:rsid w:val="002944C4"/>
    <w:rsid w:val="002945AB"/>
    <w:rsid w:val="002945CD"/>
    <w:rsid w:val="002945FE"/>
    <w:rsid w:val="0029463A"/>
    <w:rsid w:val="00294730"/>
    <w:rsid w:val="00294789"/>
    <w:rsid w:val="002947D7"/>
    <w:rsid w:val="0029496A"/>
    <w:rsid w:val="002949B7"/>
    <w:rsid w:val="00294A45"/>
    <w:rsid w:val="00294A4A"/>
    <w:rsid w:val="00294C64"/>
    <w:rsid w:val="00294C6E"/>
    <w:rsid w:val="00294DAE"/>
    <w:rsid w:val="00294E1B"/>
    <w:rsid w:val="00294FE3"/>
    <w:rsid w:val="00295022"/>
    <w:rsid w:val="00295047"/>
    <w:rsid w:val="00295059"/>
    <w:rsid w:val="002950CD"/>
    <w:rsid w:val="002951A6"/>
    <w:rsid w:val="00295270"/>
    <w:rsid w:val="00295294"/>
    <w:rsid w:val="002952B8"/>
    <w:rsid w:val="002952BB"/>
    <w:rsid w:val="00295447"/>
    <w:rsid w:val="002954CD"/>
    <w:rsid w:val="00295527"/>
    <w:rsid w:val="0029552E"/>
    <w:rsid w:val="00295560"/>
    <w:rsid w:val="00295591"/>
    <w:rsid w:val="002956A5"/>
    <w:rsid w:val="0029579D"/>
    <w:rsid w:val="00295B35"/>
    <w:rsid w:val="00295B9E"/>
    <w:rsid w:val="00295BA7"/>
    <w:rsid w:val="00295E34"/>
    <w:rsid w:val="00295E74"/>
    <w:rsid w:val="00295FCA"/>
    <w:rsid w:val="002960AD"/>
    <w:rsid w:val="0029631A"/>
    <w:rsid w:val="0029656A"/>
    <w:rsid w:val="002965B4"/>
    <w:rsid w:val="00296627"/>
    <w:rsid w:val="00296757"/>
    <w:rsid w:val="00296825"/>
    <w:rsid w:val="002969E2"/>
    <w:rsid w:val="00296AA0"/>
    <w:rsid w:val="00296D6B"/>
    <w:rsid w:val="00296DE9"/>
    <w:rsid w:val="00296E40"/>
    <w:rsid w:val="00296E55"/>
    <w:rsid w:val="00296E7C"/>
    <w:rsid w:val="00296F93"/>
    <w:rsid w:val="00296F9D"/>
    <w:rsid w:val="002970A2"/>
    <w:rsid w:val="002970BD"/>
    <w:rsid w:val="00297264"/>
    <w:rsid w:val="00297490"/>
    <w:rsid w:val="00297548"/>
    <w:rsid w:val="00297549"/>
    <w:rsid w:val="00297571"/>
    <w:rsid w:val="00297584"/>
    <w:rsid w:val="0029761B"/>
    <w:rsid w:val="00297767"/>
    <w:rsid w:val="00297785"/>
    <w:rsid w:val="0029790E"/>
    <w:rsid w:val="00297957"/>
    <w:rsid w:val="00297BBC"/>
    <w:rsid w:val="00297E36"/>
    <w:rsid w:val="00297EF6"/>
    <w:rsid w:val="00297FEA"/>
    <w:rsid w:val="002A0039"/>
    <w:rsid w:val="002A0259"/>
    <w:rsid w:val="002A0269"/>
    <w:rsid w:val="002A02C0"/>
    <w:rsid w:val="002A040A"/>
    <w:rsid w:val="002A04DB"/>
    <w:rsid w:val="002A055B"/>
    <w:rsid w:val="002A0692"/>
    <w:rsid w:val="002A0772"/>
    <w:rsid w:val="002A07D9"/>
    <w:rsid w:val="002A0888"/>
    <w:rsid w:val="002A0B8E"/>
    <w:rsid w:val="002A0BA7"/>
    <w:rsid w:val="002A0CD7"/>
    <w:rsid w:val="002A100F"/>
    <w:rsid w:val="002A10FC"/>
    <w:rsid w:val="002A115D"/>
    <w:rsid w:val="002A11A3"/>
    <w:rsid w:val="002A1379"/>
    <w:rsid w:val="002A1408"/>
    <w:rsid w:val="002A1424"/>
    <w:rsid w:val="002A148B"/>
    <w:rsid w:val="002A15E0"/>
    <w:rsid w:val="002A1907"/>
    <w:rsid w:val="002A1A6E"/>
    <w:rsid w:val="002A1C1F"/>
    <w:rsid w:val="002A1C54"/>
    <w:rsid w:val="002A1CF2"/>
    <w:rsid w:val="002A1DAC"/>
    <w:rsid w:val="002A1FDA"/>
    <w:rsid w:val="002A2149"/>
    <w:rsid w:val="002A22BB"/>
    <w:rsid w:val="002A247C"/>
    <w:rsid w:val="002A261C"/>
    <w:rsid w:val="002A2801"/>
    <w:rsid w:val="002A2A4C"/>
    <w:rsid w:val="002A2A7C"/>
    <w:rsid w:val="002A2BC4"/>
    <w:rsid w:val="002A2C71"/>
    <w:rsid w:val="002A2C93"/>
    <w:rsid w:val="002A2CD4"/>
    <w:rsid w:val="002A2EF3"/>
    <w:rsid w:val="002A2FBE"/>
    <w:rsid w:val="002A30B9"/>
    <w:rsid w:val="002A313A"/>
    <w:rsid w:val="002A315B"/>
    <w:rsid w:val="002A31F4"/>
    <w:rsid w:val="002A32B0"/>
    <w:rsid w:val="002A32FA"/>
    <w:rsid w:val="002A3377"/>
    <w:rsid w:val="002A33BF"/>
    <w:rsid w:val="002A3570"/>
    <w:rsid w:val="002A366B"/>
    <w:rsid w:val="002A36E3"/>
    <w:rsid w:val="002A3705"/>
    <w:rsid w:val="002A37ED"/>
    <w:rsid w:val="002A38BB"/>
    <w:rsid w:val="002A3944"/>
    <w:rsid w:val="002A3977"/>
    <w:rsid w:val="002A3996"/>
    <w:rsid w:val="002A3A4C"/>
    <w:rsid w:val="002A3AE0"/>
    <w:rsid w:val="002A3CE3"/>
    <w:rsid w:val="002A3D1E"/>
    <w:rsid w:val="002A3E5D"/>
    <w:rsid w:val="002A40C6"/>
    <w:rsid w:val="002A4108"/>
    <w:rsid w:val="002A41D5"/>
    <w:rsid w:val="002A4254"/>
    <w:rsid w:val="002A4543"/>
    <w:rsid w:val="002A4597"/>
    <w:rsid w:val="002A4643"/>
    <w:rsid w:val="002A4736"/>
    <w:rsid w:val="002A478D"/>
    <w:rsid w:val="002A482F"/>
    <w:rsid w:val="002A48A4"/>
    <w:rsid w:val="002A4A56"/>
    <w:rsid w:val="002A4DA1"/>
    <w:rsid w:val="002A4DB9"/>
    <w:rsid w:val="002A4DDB"/>
    <w:rsid w:val="002A4E7F"/>
    <w:rsid w:val="002A4E9F"/>
    <w:rsid w:val="002A4F11"/>
    <w:rsid w:val="002A4FFE"/>
    <w:rsid w:val="002A52AA"/>
    <w:rsid w:val="002A53FA"/>
    <w:rsid w:val="002A540B"/>
    <w:rsid w:val="002A5460"/>
    <w:rsid w:val="002A5462"/>
    <w:rsid w:val="002A5499"/>
    <w:rsid w:val="002A55DA"/>
    <w:rsid w:val="002A57CF"/>
    <w:rsid w:val="002A5929"/>
    <w:rsid w:val="002A5A2C"/>
    <w:rsid w:val="002A5BC1"/>
    <w:rsid w:val="002A5C45"/>
    <w:rsid w:val="002A5C9B"/>
    <w:rsid w:val="002A5D18"/>
    <w:rsid w:val="002A5D96"/>
    <w:rsid w:val="002A5D9C"/>
    <w:rsid w:val="002A5E19"/>
    <w:rsid w:val="002A5E9F"/>
    <w:rsid w:val="002A5FC2"/>
    <w:rsid w:val="002A6097"/>
    <w:rsid w:val="002A60E4"/>
    <w:rsid w:val="002A6186"/>
    <w:rsid w:val="002A6204"/>
    <w:rsid w:val="002A62D4"/>
    <w:rsid w:val="002A6403"/>
    <w:rsid w:val="002A6405"/>
    <w:rsid w:val="002A64D0"/>
    <w:rsid w:val="002A6557"/>
    <w:rsid w:val="002A65A0"/>
    <w:rsid w:val="002A66D7"/>
    <w:rsid w:val="002A67E7"/>
    <w:rsid w:val="002A6805"/>
    <w:rsid w:val="002A695D"/>
    <w:rsid w:val="002A6A3E"/>
    <w:rsid w:val="002A6ABD"/>
    <w:rsid w:val="002A6AF0"/>
    <w:rsid w:val="002A6C35"/>
    <w:rsid w:val="002A6E22"/>
    <w:rsid w:val="002A6E51"/>
    <w:rsid w:val="002A6F65"/>
    <w:rsid w:val="002A7036"/>
    <w:rsid w:val="002A717E"/>
    <w:rsid w:val="002A73C4"/>
    <w:rsid w:val="002A74D4"/>
    <w:rsid w:val="002A74E1"/>
    <w:rsid w:val="002A74F9"/>
    <w:rsid w:val="002A764C"/>
    <w:rsid w:val="002A76B6"/>
    <w:rsid w:val="002A789C"/>
    <w:rsid w:val="002A789D"/>
    <w:rsid w:val="002A78BD"/>
    <w:rsid w:val="002A7907"/>
    <w:rsid w:val="002A79C9"/>
    <w:rsid w:val="002A7A6E"/>
    <w:rsid w:val="002A7AB2"/>
    <w:rsid w:val="002A7B7C"/>
    <w:rsid w:val="002A7BB5"/>
    <w:rsid w:val="002A7D10"/>
    <w:rsid w:val="002A7D1A"/>
    <w:rsid w:val="002B013E"/>
    <w:rsid w:val="002B0167"/>
    <w:rsid w:val="002B0283"/>
    <w:rsid w:val="002B033D"/>
    <w:rsid w:val="002B03F6"/>
    <w:rsid w:val="002B0446"/>
    <w:rsid w:val="002B060D"/>
    <w:rsid w:val="002B090C"/>
    <w:rsid w:val="002B0945"/>
    <w:rsid w:val="002B0A84"/>
    <w:rsid w:val="002B0B70"/>
    <w:rsid w:val="002B0D50"/>
    <w:rsid w:val="002B0DB5"/>
    <w:rsid w:val="002B0DD4"/>
    <w:rsid w:val="002B0E8E"/>
    <w:rsid w:val="002B10CE"/>
    <w:rsid w:val="002B1272"/>
    <w:rsid w:val="002B12C5"/>
    <w:rsid w:val="002B12E2"/>
    <w:rsid w:val="002B14A7"/>
    <w:rsid w:val="002B14E3"/>
    <w:rsid w:val="002B151E"/>
    <w:rsid w:val="002B15F5"/>
    <w:rsid w:val="002B1671"/>
    <w:rsid w:val="002B16B5"/>
    <w:rsid w:val="002B1761"/>
    <w:rsid w:val="002B19F7"/>
    <w:rsid w:val="002B1A95"/>
    <w:rsid w:val="002B1CE6"/>
    <w:rsid w:val="002B1D2B"/>
    <w:rsid w:val="002B1D39"/>
    <w:rsid w:val="002B1DB1"/>
    <w:rsid w:val="002B1E16"/>
    <w:rsid w:val="002B1EA1"/>
    <w:rsid w:val="002B1F37"/>
    <w:rsid w:val="002B217A"/>
    <w:rsid w:val="002B220F"/>
    <w:rsid w:val="002B23BB"/>
    <w:rsid w:val="002B23F6"/>
    <w:rsid w:val="002B241C"/>
    <w:rsid w:val="002B244F"/>
    <w:rsid w:val="002B2481"/>
    <w:rsid w:val="002B253E"/>
    <w:rsid w:val="002B25A6"/>
    <w:rsid w:val="002B271A"/>
    <w:rsid w:val="002B272B"/>
    <w:rsid w:val="002B2852"/>
    <w:rsid w:val="002B287B"/>
    <w:rsid w:val="002B28B1"/>
    <w:rsid w:val="002B2908"/>
    <w:rsid w:val="002B29F8"/>
    <w:rsid w:val="002B2A3A"/>
    <w:rsid w:val="002B2A73"/>
    <w:rsid w:val="002B2AA6"/>
    <w:rsid w:val="002B2B54"/>
    <w:rsid w:val="002B2C43"/>
    <w:rsid w:val="002B2CC2"/>
    <w:rsid w:val="002B2E10"/>
    <w:rsid w:val="002B2E8B"/>
    <w:rsid w:val="002B2F39"/>
    <w:rsid w:val="002B30C7"/>
    <w:rsid w:val="002B318A"/>
    <w:rsid w:val="002B324A"/>
    <w:rsid w:val="002B3277"/>
    <w:rsid w:val="002B3597"/>
    <w:rsid w:val="002B3710"/>
    <w:rsid w:val="002B37D0"/>
    <w:rsid w:val="002B3881"/>
    <w:rsid w:val="002B3947"/>
    <w:rsid w:val="002B3983"/>
    <w:rsid w:val="002B3A05"/>
    <w:rsid w:val="002B3A2A"/>
    <w:rsid w:val="002B3A85"/>
    <w:rsid w:val="002B3B68"/>
    <w:rsid w:val="002B3B6A"/>
    <w:rsid w:val="002B3CE1"/>
    <w:rsid w:val="002B3CE6"/>
    <w:rsid w:val="002B3D26"/>
    <w:rsid w:val="002B3E7B"/>
    <w:rsid w:val="002B4028"/>
    <w:rsid w:val="002B40EA"/>
    <w:rsid w:val="002B4156"/>
    <w:rsid w:val="002B4162"/>
    <w:rsid w:val="002B41F7"/>
    <w:rsid w:val="002B4310"/>
    <w:rsid w:val="002B4410"/>
    <w:rsid w:val="002B4450"/>
    <w:rsid w:val="002B456B"/>
    <w:rsid w:val="002B468F"/>
    <w:rsid w:val="002B4972"/>
    <w:rsid w:val="002B4987"/>
    <w:rsid w:val="002B4B01"/>
    <w:rsid w:val="002B4B69"/>
    <w:rsid w:val="002B4C1A"/>
    <w:rsid w:val="002B4C3D"/>
    <w:rsid w:val="002B4D11"/>
    <w:rsid w:val="002B521F"/>
    <w:rsid w:val="002B5250"/>
    <w:rsid w:val="002B5303"/>
    <w:rsid w:val="002B537D"/>
    <w:rsid w:val="002B5380"/>
    <w:rsid w:val="002B53E1"/>
    <w:rsid w:val="002B54C4"/>
    <w:rsid w:val="002B54F1"/>
    <w:rsid w:val="002B5546"/>
    <w:rsid w:val="002B5593"/>
    <w:rsid w:val="002B571E"/>
    <w:rsid w:val="002B592F"/>
    <w:rsid w:val="002B5A67"/>
    <w:rsid w:val="002B5B0C"/>
    <w:rsid w:val="002B5B24"/>
    <w:rsid w:val="002B5B72"/>
    <w:rsid w:val="002B5C35"/>
    <w:rsid w:val="002B5C92"/>
    <w:rsid w:val="002B5D6A"/>
    <w:rsid w:val="002B5DA7"/>
    <w:rsid w:val="002B5DD3"/>
    <w:rsid w:val="002B5E12"/>
    <w:rsid w:val="002B5E58"/>
    <w:rsid w:val="002B5F0F"/>
    <w:rsid w:val="002B5FC4"/>
    <w:rsid w:val="002B606E"/>
    <w:rsid w:val="002B619C"/>
    <w:rsid w:val="002B61CC"/>
    <w:rsid w:val="002B6340"/>
    <w:rsid w:val="002B635D"/>
    <w:rsid w:val="002B6424"/>
    <w:rsid w:val="002B65A9"/>
    <w:rsid w:val="002B65C5"/>
    <w:rsid w:val="002B67CD"/>
    <w:rsid w:val="002B6A7E"/>
    <w:rsid w:val="002B6C3A"/>
    <w:rsid w:val="002B6C9A"/>
    <w:rsid w:val="002B6CA9"/>
    <w:rsid w:val="002B6DD2"/>
    <w:rsid w:val="002B6E91"/>
    <w:rsid w:val="002B6F2E"/>
    <w:rsid w:val="002B7049"/>
    <w:rsid w:val="002B70E7"/>
    <w:rsid w:val="002B7361"/>
    <w:rsid w:val="002B744D"/>
    <w:rsid w:val="002B75B5"/>
    <w:rsid w:val="002B75D3"/>
    <w:rsid w:val="002B77A8"/>
    <w:rsid w:val="002B787F"/>
    <w:rsid w:val="002B78B5"/>
    <w:rsid w:val="002B78C8"/>
    <w:rsid w:val="002B7C27"/>
    <w:rsid w:val="002B7DA5"/>
    <w:rsid w:val="002B7DCB"/>
    <w:rsid w:val="002B7E04"/>
    <w:rsid w:val="002B7EA0"/>
    <w:rsid w:val="002B7FC0"/>
    <w:rsid w:val="002C0039"/>
    <w:rsid w:val="002C0047"/>
    <w:rsid w:val="002C0076"/>
    <w:rsid w:val="002C00CE"/>
    <w:rsid w:val="002C03B9"/>
    <w:rsid w:val="002C03DB"/>
    <w:rsid w:val="002C0565"/>
    <w:rsid w:val="002C0582"/>
    <w:rsid w:val="002C05A9"/>
    <w:rsid w:val="002C062B"/>
    <w:rsid w:val="002C0703"/>
    <w:rsid w:val="002C0746"/>
    <w:rsid w:val="002C07C2"/>
    <w:rsid w:val="002C07CF"/>
    <w:rsid w:val="002C0806"/>
    <w:rsid w:val="002C0809"/>
    <w:rsid w:val="002C090A"/>
    <w:rsid w:val="002C091B"/>
    <w:rsid w:val="002C0937"/>
    <w:rsid w:val="002C09A0"/>
    <w:rsid w:val="002C09CF"/>
    <w:rsid w:val="002C09E9"/>
    <w:rsid w:val="002C0B5D"/>
    <w:rsid w:val="002C0B71"/>
    <w:rsid w:val="002C0C4C"/>
    <w:rsid w:val="002C0C87"/>
    <w:rsid w:val="002C0DF4"/>
    <w:rsid w:val="002C0E1B"/>
    <w:rsid w:val="002C0E91"/>
    <w:rsid w:val="002C0F5F"/>
    <w:rsid w:val="002C100F"/>
    <w:rsid w:val="002C1169"/>
    <w:rsid w:val="002C1228"/>
    <w:rsid w:val="002C1266"/>
    <w:rsid w:val="002C1401"/>
    <w:rsid w:val="002C1411"/>
    <w:rsid w:val="002C1594"/>
    <w:rsid w:val="002C1633"/>
    <w:rsid w:val="002C16D6"/>
    <w:rsid w:val="002C18CA"/>
    <w:rsid w:val="002C1A40"/>
    <w:rsid w:val="002C1A73"/>
    <w:rsid w:val="002C1C22"/>
    <w:rsid w:val="002C1CC4"/>
    <w:rsid w:val="002C1D34"/>
    <w:rsid w:val="002C1E13"/>
    <w:rsid w:val="002C1FB0"/>
    <w:rsid w:val="002C2088"/>
    <w:rsid w:val="002C20F2"/>
    <w:rsid w:val="002C2188"/>
    <w:rsid w:val="002C21AC"/>
    <w:rsid w:val="002C221A"/>
    <w:rsid w:val="002C2221"/>
    <w:rsid w:val="002C2256"/>
    <w:rsid w:val="002C236E"/>
    <w:rsid w:val="002C24B0"/>
    <w:rsid w:val="002C258A"/>
    <w:rsid w:val="002C25A3"/>
    <w:rsid w:val="002C272E"/>
    <w:rsid w:val="002C27D5"/>
    <w:rsid w:val="002C286C"/>
    <w:rsid w:val="002C2910"/>
    <w:rsid w:val="002C2927"/>
    <w:rsid w:val="002C295C"/>
    <w:rsid w:val="002C2ABE"/>
    <w:rsid w:val="002C2C0A"/>
    <w:rsid w:val="002C2C75"/>
    <w:rsid w:val="002C2C8A"/>
    <w:rsid w:val="002C2CB4"/>
    <w:rsid w:val="002C2E22"/>
    <w:rsid w:val="002C2E3B"/>
    <w:rsid w:val="002C2EA0"/>
    <w:rsid w:val="002C2EC6"/>
    <w:rsid w:val="002C2EC9"/>
    <w:rsid w:val="002C2FA2"/>
    <w:rsid w:val="002C313C"/>
    <w:rsid w:val="002C3302"/>
    <w:rsid w:val="002C3332"/>
    <w:rsid w:val="002C33B0"/>
    <w:rsid w:val="002C350B"/>
    <w:rsid w:val="002C351C"/>
    <w:rsid w:val="002C3523"/>
    <w:rsid w:val="002C3537"/>
    <w:rsid w:val="002C35DB"/>
    <w:rsid w:val="002C3608"/>
    <w:rsid w:val="002C3776"/>
    <w:rsid w:val="002C387E"/>
    <w:rsid w:val="002C3933"/>
    <w:rsid w:val="002C3AEA"/>
    <w:rsid w:val="002C3B30"/>
    <w:rsid w:val="002C3C64"/>
    <w:rsid w:val="002C3C96"/>
    <w:rsid w:val="002C3EEA"/>
    <w:rsid w:val="002C4102"/>
    <w:rsid w:val="002C4138"/>
    <w:rsid w:val="002C41A9"/>
    <w:rsid w:val="002C41C2"/>
    <w:rsid w:val="002C42B0"/>
    <w:rsid w:val="002C42EF"/>
    <w:rsid w:val="002C436E"/>
    <w:rsid w:val="002C43E8"/>
    <w:rsid w:val="002C4470"/>
    <w:rsid w:val="002C4548"/>
    <w:rsid w:val="002C4820"/>
    <w:rsid w:val="002C4A13"/>
    <w:rsid w:val="002C4AD5"/>
    <w:rsid w:val="002C4AFE"/>
    <w:rsid w:val="002C4B1D"/>
    <w:rsid w:val="002C4B63"/>
    <w:rsid w:val="002C4C4F"/>
    <w:rsid w:val="002C4DE0"/>
    <w:rsid w:val="002C4E4F"/>
    <w:rsid w:val="002C4EAF"/>
    <w:rsid w:val="002C4F5D"/>
    <w:rsid w:val="002C50A1"/>
    <w:rsid w:val="002C511E"/>
    <w:rsid w:val="002C5223"/>
    <w:rsid w:val="002C5243"/>
    <w:rsid w:val="002C5293"/>
    <w:rsid w:val="002C52A5"/>
    <w:rsid w:val="002C53A4"/>
    <w:rsid w:val="002C5560"/>
    <w:rsid w:val="002C559A"/>
    <w:rsid w:val="002C579B"/>
    <w:rsid w:val="002C580D"/>
    <w:rsid w:val="002C58E7"/>
    <w:rsid w:val="002C5978"/>
    <w:rsid w:val="002C5BA9"/>
    <w:rsid w:val="002C5C23"/>
    <w:rsid w:val="002C5E00"/>
    <w:rsid w:val="002C5E93"/>
    <w:rsid w:val="002C61FC"/>
    <w:rsid w:val="002C6226"/>
    <w:rsid w:val="002C6289"/>
    <w:rsid w:val="002C6395"/>
    <w:rsid w:val="002C63E6"/>
    <w:rsid w:val="002C64FA"/>
    <w:rsid w:val="002C6518"/>
    <w:rsid w:val="002C656B"/>
    <w:rsid w:val="002C65CE"/>
    <w:rsid w:val="002C660B"/>
    <w:rsid w:val="002C6677"/>
    <w:rsid w:val="002C667A"/>
    <w:rsid w:val="002C6733"/>
    <w:rsid w:val="002C686C"/>
    <w:rsid w:val="002C68D8"/>
    <w:rsid w:val="002C6941"/>
    <w:rsid w:val="002C6950"/>
    <w:rsid w:val="002C6A0E"/>
    <w:rsid w:val="002C6CD0"/>
    <w:rsid w:val="002C6CF2"/>
    <w:rsid w:val="002C6D35"/>
    <w:rsid w:val="002C6E1D"/>
    <w:rsid w:val="002C6F06"/>
    <w:rsid w:val="002C6F67"/>
    <w:rsid w:val="002C6F79"/>
    <w:rsid w:val="002C714C"/>
    <w:rsid w:val="002C734F"/>
    <w:rsid w:val="002C73EB"/>
    <w:rsid w:val="002C7540"/>
    <w:rsid w:val="002C7544"/>
    <w:rsid w:val="002C75DC"/>
    <w:rsid w:val="002C767F"/>
    <w:rsid w:val="002C7737"/>
    <w:rsid w:val="002C773C"/>
    <w:rsid w:val="002C786C"/>
    <w:rsid w:val="002C793D"/>
    <w:rsid w:val="002C7D9A"/>
    <w:rsid w:val="002C7FE1"/>
    <w:rsid w:val="002D0035"/>
    <w:rsid w:val="002D0070"/>
    <w:rsid w:val="002D0217"/>
    <w:rsid w:val="002D042F"/>
    <w:rsid w:val="002D04F1"/>
    <w:rsid w:val="002D0609"/>
    <w:rsid w:val="002D0736"/>
    <w:rsid w:val="002D077A"/>
    <w:rsid w:val="002D07F9"/>
    <w:rsid w:val="002D0904"/>
    <w:rsid w:val="002D098B"/>
    <w:rsid w:val="002D09A7"/>
    <w:rsid w:val="002D0AC9"/>
    <w:rsid w:val="002D0BC6"/>
    <w:rsid w:val="002D0C11"/>
    <w:rsid w:val="002D0C52"/>
    <w:rsid w:val="002D0CAA"/>
    <w:rsid w:val="002D0F4A"/>
    <w:rsid w:val="002D124E"/>
    <w:rsid w:val="002D130B"/>
    <w:rsid w:val="002D13F2"/>
    <w:rsid w:val="002D1483"/>
    <w:rsid w:val="002D1654"/>
    <w:rsid w:val="002D16BC"/>
    <w:rsid w:val="002D1759"/>
    <w:rsid w:val="002D188A"/>
    <w:rsid w:val="002D1AF5"/>
    <w:rsid w:val="002D1B29"/>
    <w:rsid w:val="002D1B46"/>
    <w:rsid w:val="002D1C98"/>
    <w:rsid w:val="002D1CB6"/>
    <w:rsid w:val="002D1CFE"/>
    <w:rsid w:val="002D1ED3"/>
    <w:rsid w:val="002D1F20"/>
    <w:rsid w:val="002D1FD8"/>
    <w:rsid w:val="002D2059"/>
    <w:rsid w:val="002D209E"/>
    <w:rsid w:val="002D2182"/>
    <w:rsid w:val="002D21EA"/>
    <w:rsid w:val="002D2221"/>
    <w:rsid w:val="002D2298"/>
    <w:rsid w:val="002D22BC"/>
    <w:rsid w:val="002D22EA"/>
    <w:rsid w:val="002D237A"/>
    <w:rsid w:val="002D239D"/>
    <w:rsid w:val="002D23E2"/>
    <w:rsid w:val="002D23E6"/>
    <w:rsid w:val="002D2442"/>
    <w:rsid w:val="002D26FC"/>
    <w:rsid w:val="002D287B"/>
    <w:rsid w:val="002D29EE"/>
    <w:rsid w:val="002D2A04"/>
    <w:rsid w:val="002D2A98"/>
    <w:rsid w:val="002D2C22"/>
    <w:rsid w:val="002D2DBB"/>
    <w:rsid w:val="002D2E5E"/>
    <w:rsid w:val="002D2ED8"/>
    <w:rsid w:val="002D2FA9"/>
    <w:rsid w:val="002D2FD7"/>
    <w:rsid w:val="002D2FEC"/>
    <w:rsid w:val="002D30BE"/>
    <w:rsid w:val="002D30DC"/>
    <w:rsid w:val="002D3100"/>
    <w:rsid w:val="002D313B"/>
    <w:rsid w:val="002D3177"/>
    <w:rsid w:val="002D3191"/>
    <w:rsid w:val="002D31D7"/>
    <w:rsid w:val="002D3295"/>
    <w:rsid w:val="002D33B8"/>
    <w:rsid w:val="002D360F"/>
    <w:rsid w:val="002D363E"/>
    <w:rsid w:val="002D37D7"/>
    <w:rsid w:val="002D3820"/>
    <w:rsid w:val="002D38BD"/>
    <w:rsid w:val="002D39AA"/>
    <w:rsid w:val="002D39F6"/>
    <w:rsid w:val="002D3A87"/>
    <w:rsid w:val="002D3B5C"/>
    <w:rsid w:val="002D3BC3"/>
    <w:rsid w:val="002D3C8E"/>
    <w:rsid w:val="002D3CC1"/>
    <w:rsid w:val="002D3D30"/>
    <w:rsid w:val="002D3E9F"/>
    <w:rsid w:val="002D3FC2"/>
    <w:rsid w:val="002D4245"/>
    <w:rsid w:val="002D42F7"/>
    <w:rsid w:val="002D444C"/>
    <w:rsid w:val="002D45A4"/>
    <w:rsid w:val="002D45B0"/>
    <w:rsid w:val="002D471A"/>
    <w:rsid w:val="002D48D8"/>
    <w:rsid w:val="002D49EA"/>
    <w:rsid w:val="002D4A2B"/>
    <w:rsid w:val="002D4A4A"/>
    <w:rsid w:val="002D4BE4"/>
    <w:rsid w:val="002D4CE0"/>
    <w:rsid w:val="002D4DDA"/>
    <w:rsid w:val="002D4DEC"/>
    <w:rsid w:val="002D4FFD"/>
    <w:rsid w:val="002D51E9"/>
    <w:rsid w:val="002D522A"/>
    <w:rsid w:val="002D5251"/>
    <w:rsid w:val="002D52C5"/>
    <w:rsid w:val="002D53A3"/>
    <w:rsid w:val="002D54D9"/>
    <w:rsid w:val="002D54DA"/>
    <w:rsid w:val="002D54EA"/>
    <w:rsid w:val="002D55E2"/>
    <w:rsid w:val="002D56A1"/>
    <w:rsid w:val="002D56F8"/>
    <w:rsid w:val="002D5C54"/>
    <w:rsid w:val="002D5CA1"/>
    <w:rsid w:val="002D5D5C"/>
    <w:rsid w:val="002D5D9A"/>
    <w:rsid w:val="002D5E88"/>
    <w:rsid w:val="002D609B"/>
    <w:rsid w:val="002D614C"/>
    <w:rsid w:val="002D61CB"/>
    <w:rsid w:val="002D643B"/>
    <w:rsid w:val="002D653D"/>
    <w:rsid w:val="002D685D"/>
    <w:rsid w:val="002D689A"/>
    <w:rsid w:val="002D6947"/>
    <w:rsid w:val="002D695E"/>
    <w:rsid w:val="002D6AC2"/>
    <w:rsid w:val="002D6B5C"/>
    <w:rsid w:val="002D6C6B"/>
    <w:rsid w:val="002D6F95"/>
    <w:rsid w:val="002D6FBD"/>
    <w:rsid w:val="002D7102"/>
    <w:rsid w:val="002D7119"/>
    <w:rsid w:val="002D7213"/>
    <w:rsid w:val="002D7350"/>
    <w:rsid w:val="002D740A"/>
    <w:rsid w:val="002D75AA"/>
    <w:rsid w:val="002D76EF"/>
    <w:rsid w:val="002D7768"/>
    <w:rsid w:val="002D7784"/>
    <w:rsid w:val="002D7809"/>
    <w:rsid w:val="002D7835"/>
    <w:rsid w:val="002D7903"/>
    <w:rsid w:val="002D7A98"/>
    <w:rsid w:val="002D7ABD"/>
    <w:rsid w:val="002D7CD2"/>
    <w:rsid w:val="002D7CFD"/>
    <w:rsid w:val="002D7D5E"/>
    <w:rsid w:val="002D7D7C"/>
    <w:rsid w:val="002D7DB5"/>
    <w:rsid w:val="002D7E03"/>
    <w:rsid w:val="002D7F18"/>
    <w:rsid w:val="002D7F70"/>
    <w:rsid w:val="002D7FF0"/>
    <w:rsid w:val="002E0012"/>
    <w:rsid w:val="002E0049"/>
    <w:rsid w:val="002E0103"/>
    <w:rsid w:val="002E0226"/>
    <w:rsid w:val="002E0239"/>
    <w:rsid w:val="002E02FB"/>
    <w:rsid w:val="002E039B"/>
    <w:rsid w:val="002E05FF"/>
    <w:rsid w:val="002E062E"/>
    <w:rsid w:val="002E0651"/>
    <w:rsid w:val="002E0707"/>
    <w:rsid w:val="002E081A"/>
    <w:rsid w:val="002E0830"/>
    <w:rsid w:val="002E084D"/>
    <w:rsid w:val="002E0897"/>
    <w:rsid w:val="002E0A04"/>
    <w:rsid w:val="002E0A39"/>
    <w:rsid w:val="002E0AB9"/>
    <w:rsid w:val="002E0AE0"/>
    <w:rsid w:val="002E0C6C"/>
    <w:rsid w:val="002E0C75"/>
    <w:rsid w:val="002E0CA2"/>
    <w:rsid w:val="002E0D2E"/>
    <w:rsid w:val="002E0D7B"/>
    <w:rsid w:val="002E0E16"/>
    <w:rsid w:val="002E0E4B"/>
    <w:rsid w:val="002E11C9"/>
    <w:rsid w:val="002E1218"/>
    <w:rsid w:val="002E142D"/>
    <w:rsid w:val="002E1634"/>
    <w:rsid w:val="002E1692"/>
    <w:rsid w:val="002E184B"/>
    <w:rsid w:val="002E18CD"/>
    <w:rsid w:val="002E1B31"/>
    <w:rsid w:val="002E1BF1"/>
    <w:rsid w:val="002E1E02"/>
    <w:rsid w:val="002E1E15"/>
    <w:rsid w:val="002E1E85"/>
    <w:rsid w:val="002E1EB9"/>
    <w:rsid w:val="002E1EDB"/>
    <w:rsid w:val="002E1F35"/>
    <w:rsid w:val="002E1FA8"/>
    <w:rsid w:val="002E200F"/>
    <w:rsid w:val="002E2076"/>
    <w:rsid w:val="002E20A8"/>
    <w:rsid w:val="002E20E2"/>
    <w:rsid w:val="002E21C3"/>
    <w:rsid w:val="002E260C"/>
    <w:rsid w:val="002E261E"/>
    <w:rsid w:val="002E2797"/>
    <w:rsid w:val="002E29DF"/>
    <w:rsid w:val="002E2A6B"/>
    <w:rsid w:val="002E2B55"/>
    <w:rsid w:val="002E2B5C"/>
    <w:rsid w:val="002E2B73"/>
    <w:rsid w:val="002E2B8F"/>
    <w:rsid w:val="002E2B94"/>
    <w:rsid w:val="002E2C09"/>
    <w:rsid w:val="002E2CBF"/>
    <w:rsid w:val="002E2CF1"/>
    <w:rsid w:val="002E2D5A"/>
    <w:rsid w:val="002E2E79"/>
    <w:rsid w:val="002E2EE7"/>
    <w:rsid w:val="002E3002"/>
    <w:rsid w:val="002E31CD"/>
    <w:rsid w:val="002E325C"/>
    <w:rsid w:val="002E345A"/>
    <w:rsid w:val="002E34F1"/>
    <w:rsid w:val="002E3503"/>
    <w:rsid w:val="002E3575"/>
    <w:rsid w:val="002E35AD"/>
    <w:rsid w:val="002E3640"/>
    <w:rsid w:val="002E3662"/>
    <w:rsid w:val="002E36B1"/>
    <w:rsid w:val="002E3712"/>
    <w:rsid w:val="002E37DF"/>
    <w:rsid w:val="002E38A0"/>
    <w:rsid w:val="002E3933"/>
    <w:rsid w:val="002E393F"/>
    <w:rsid w:val="002E39D4"/>
    <w:rsid w:val="002E3A18"/>
    <w:rsid w:val="002E3A1A"/>
    <w:rsid w:val="002E3A5C"/>
    <w:rsid w:val="002E3ABB"/>
    <w:rsid w:val="002E3B6E"/>
    <w:rsid w:val="002E3E63"/>
    <w:rsid w:val="002E3F16"/>
    <w:rsid w:val="002E416A"/>
    <w:rsid w:val="002E429B"/>
    <w:rsid w:val="002E43C4"/>
    <w:rsid w:val="002E44C7"/>
    <w:rsid w:val="002E45F2"/>
    <w:rsid w:val="002E468D"/>
    <w:rsid w:val="002E4860"/>
    <w:rsid w:val="002E48F1"/>
    <w:rsid w:val="002E4936"/>
    <w:rsid w:val="002E4B43"/>
    <w:rsid w:val="002E4BEE"/>
    <w:rsid w:val="002E4D04"/>
    <w:rsid w:val="002E4D45"/>
    <w:rsid w:val="002E4DAB"/>
    <w:rsid w:val="002E4DAD"/>
    <w:rsid w:val="002E4E8C"/>
    <w:rsid w:val="002E4EE3"/>
    <w:rsid w:val="002E4EF8"/>
    <w:rsid w:val="002E4F5C"/>
    <w:rsid w:val="002E50E9"/>
    <w:rsid w:val="002E5259"/>
    <w:rsid w:val="002E542C"/>
    <w:rsid w:val="002E545A"/>
    <w:rsid w:val="002E57FA"/>
    <w:rsid w:val="002E5803"/>
    <w:rsid w:val="002E5818"/>
    <w:rsid w:val="002E5A07"/>
    <w:rsid w:val="002E5B32"/>
    <w:rsid w:val="002E5B48"/>
    <w:rsid w:val="002E5CE4"/>
    <w:rsid w:val="002E5DF2"/>
    <w:rsid w:val="002E5FB5"/>
    <w:rsid w:val="002E5FD6"/>
    <w:rsid w:val="002E611E"/>
    <w:rsid w:val="002E6141"/>
    <w:rsid w:val="002E6189"/>
    <w:rsid w:val="002E623F"/>
    <w:rsid w:val="002E629C"/>
    <w:rsid w:val="002E635E"/>
    <w:rsid w:val="002E6384"/>
    <w:rsid w:val="002E63AC"/>
    <w:rsid w:val="002E646A"/>
    <w:rsid w:val="002E654B"/>
    <w:rsid w:val="002E6585"/>
    <w:rsid w:val="002E6608"/>
    <w:rsid w:val="002E6652"/>
    <w:rsid w:val="002E67DE"/>
    <w:rsid w:val="002E6811"/>
    <w:rsid w:val="002E6849"/>
    <w:rsid w:val="002E6924"/>
    <w:rsid w:val="002E699A"/>
    <w:rsid w:val="002E6A61"/>
    <w:rsid w:val="002E6ADC"/>
    <w:rsid w:val="002E6D08"/>
    <w:rsid w:val="002E6D36"/>
    <w:rsid w:val="002E6E26"/>
    <w:rsid w:val="002E6EA0"/>
    <w:rsid w:val="002E6ED0"/>
    <w:rsid w:val="002E71A2"/>
    <w:rsid w:val="002E71AB"/>
    <w:rsid w:val="002E72B1"/>
    <w:rsid w:val="002E756A"/>
    <w:rsid w:val="002E75F3"/>
    <w:rsid w:val="002E7756"/>
    <w:rsid w:val="002E7794"/>
    <w:rsid w:val="002E7A9A"/>
    <w:rsid w:val="002E7AF7"/>
    <w:rsid w:val="002E7B13"/>
    <w:rsid w:val="002E7BBD"/>
    <w:rsid w:val="002E7C77"/>
    <w:rsid w:val="002E7E40"/>
    <w:rsid w:val="002E7E5A"/>
    <w:rsid w:val="002E7E8F"/>
    <w:rsid w:val="002E7E90"/>
    <w:rsid w:val="002E7E97"/>
    <w:rsid w:val="002F0089"/>
    <w:rsid w:val="002F0117"/>
    <w:rsid w:val="002F013D"/>
    <w:rsid w:val="002F022F"/>
    <w:rsid w:val="002F02A5"/>
    <w:rsid w:val="002F0457"/>
    <w:rsid w:val="002F0560"/>
    <w:rsid w:val="002F0574"/>
    <w:rsid w:val="002F0663"/>
    <w:rsid w:val="002F0715"/>
    <w:rsid w:val="002F0959"/>
    <w:rsid w:val="002F09D4"/>
    <w:rsid w:val="002F0A5A"/>
    <w:rsid w:val="002F0AD0"/>
    <w:rsid w:val="002F0B5F"/>
    <w:rsid w:val="002F0B80"/>
    <w:rsid w:val="002F0D6F"/>
    <w:rsid w:val="002F0DB2"/>
    <w:rsid w:val="002F0E66"/>
    <w:rsid w:val="002F0EE6"/>
    <w:rsid w:val="002F1015"/>
    <w:rsid w:val="002F1079"/>
    <w:rsid w:val="002F114A"/>
    <w:rsid w:val="002F11E2"/>
    <w:rsid w:val="002F1435"/>
    <w:rsid w:val="002F15E9"/>
    <w:rsid w:val="002F163E"/>
    <w:rsid w:val="002F16DC"/>
    <w:rsid w:val="002F1732"/>
    <w:rsid w:val="002F18FE"/>
    <w:rsid w:val="002F1AA3"/>
    <w:rsid w:val="002F1CAF"/>
    <w:rsid w:val="002F1D4B"/>
    <w:rsid w:val="002F1E04"/>
    <w:rsid w:val="002F1F18"/>
    <w:rsid w:val="002F1F8B"/>
    <w:rsid w:val="002F2028"/>
    <w:rsid w:val="002F207A"/>
    <w:rsid w:val="002F2094"/>
    <w:rsid w:val="002F2161"/>
    <w:rsid w:val="002F2299"/>
    <w:rsid w:val="002F22C4"/>
    <w:rsid w:val="002F2333"/>
    <w:rsid w:val="002F23E9"/>
    <w:rsid w:val="002F24BC"/>
    <w:rsid w:val="002F24D0"/>
    <w:rsid w:val="002F25F8"/>
    <w:rsid w:val="002F2671"/>
    <w:rsid w:val="002F2705"/>
    <w:rsid w:val="002F2747"/>
    <w:rsid w:val="002F28A2"/>
    <w:rsid w:val="002F2985"/>
    <w:rsid w:val="002F298C"/>
    <w:rsid w:val="002F2A20"/>
    <w:rsid w:val="002F2A2F"/>
    <w:rsid w:val="002F2A78"/>
    <w:rsid w:val="002F2AB0"/>
    <w:rsid w:val="002F2AE5"/>
    <w:rsid w:val="002F2B43"/>
    <w:rsid w:val="002F2C25"/>
    <w:rsid w:val="002F2D2A"/>
    <w:rsid w:val="002F2D72"/>
    <w:rsid w:val="002F2F10"/>
    <w:rsid w:val="002F2FAE"/>
    <w:rsid w:val="002F3042"/>
    <w:rsid w:val="002F3327"/>
    <w:rsid w:val="002F3500"/>
    <w:rsid w:val="002F35F6"/>
    <w:rsid w:val="002F3614"/>
    <w:rsid w:val="002F369E"/>
    <w:rsid w:val="002F36CE"/>
    <w:rsid w:val="002F375F"/>
    <w:rsid w:val="002F3792"/>
    <w:rsid w:val="002F3803"/>
    <w:rsid w:val="002F3865"/>
    <w:rsid w:val="002F39BB"/>
    <w:rsid w:val="002F3AE1"/>
    <w:rsid w:val="002F3C1D"/>
    <w:rsid w:val="002F3CF0"/>
    <w:rsid w:val="002F3D58"/>
    <w:rsid w:val="002F3D7C"/>
    <w:rsid w:val="002F3F18"/>
    <w:rsid w:val="002F4007"/>
    <w:rsid w:val="002F4033"/>
    <w:rsid w:val="002F40A8"/>
    <w:rsid w:val="002F4358"/>
    <w:rsid w:val="002F43E5"/>
    <w:rsid w:val="002F462F"/>
    <w:rsid w:val="002F475C"/>
    <w:rsid w:val="002F48CC"/>
    <w:rsid w:val="002F494D"/>
    <w:rsid w:val="002F495C"/>
    <w:rsid w:val="002F496D"/>
    <w:rsid w:val="002F4A1F"/>
    <w:rsid w:val="002F4AA3"/>
    <w:rsid w:val="002F4C3C"/>
    <w:rsid w:val="002F4D43"/>
    <w:rsid w:val="002F4D60"/>
    <w:rsid w:val="002F4DE3"/>
    <w:rsid w:val="002F4EE2"/>
    <w:rsid w:val="002F4FCF"/>
    <w:rsid w:val="002F501E"/>
    <w:rsid w:val="002F5196"/>
    <w:rsid w:val="002F52B6"/>
    <w:rsid w:val="002F535E"/>
    <w:rsid w:val="002F5396"/>
    <w:rsid w:val="002F5631"/>
    <w:rsid w:val="002F5785"/>
    <w:rsid w:val="002F5832"/>
    <w:rsid w:val="002F59FB"/>
    <w:rsid w:val="002F5A94"/>
    <w:rsid w:val="002F5ABF"/>
    <w:rsid w:val="002F5AE0"/>
    <w:rsid w:val="002F5BD0"/>
    <w:rsid w:val="002F5C03"/>
    <w:rsid w:val="002F6050"/>
    <w:rsid w:val="002F60C4"/>
    <w:rsid w:val="002F60F5"/>
    <w:rsid w:val="002F614A"/>
    <w:rsid w:val="002F6190"/>
    <w:rsid w:val="002F64AD"/>
    <w:rsid w:val="002F64E6"/>
    <w:rsid w:val="002F65AE"/>
    <w:rsid w:val="002F65E5"/>
    <w:rsid w:val="002F6678"/>
    <w:rsid w:val="002F68EE"/>
    <w:rsid w:val="002F6900"/>
    <w:rsid w:val="002F692E"/>
    <w:rsid w:val="002F6952"/>
    <w:rsid w:val="002F6A96"/>
    <w:rsid w:val="002F6AAE"/>
    <w:rsid w:val="002F6AFA"/>
    <w:rsid w:val="002F6C86"/>
    <w:rsid w:val="002F6DB7"/>
    <w:rsid w:val="002F6DB9"/>
    <w:rsid w:val="002F6EA3"/>
    <w:rsid w:val="002F7064"/>
    <w:rsid w:val="002F70DB"/>
    <w:rsid w:val="002F710F"/>
    <w:rsid w:val="002F7203"/>
    <w:rsid w:val="002F7268"/>
    <w:rsid w:val="002F728B"/>
    <w:rsid w:val="002F7291"/>
    <w:rsid w:val="002F7301"/>
    <w:rsid w:val="002F7322"/>
    <w:rsid w:val="002F737E"/>
    <w:rsid w:val="002F743F"/>
    <w:rsid w:val="002F7460"/>
    <w:rsid w:val="002F74F0"/>
    <w:rsid w:val="002F7559"/>
    <w:rsid w:val="002F756C"/>
    <w:rsid w:val="002F7591"/>
    <w:rsid w:val="002F7734"/>
    <w:rsid w:val="002F788F"/>
    <w:rsid w:val="002F7B0B"/>
    <w:rsid w:val="002F7CDB"/>
    <w:rsid w:val="002F7DD8"/>
    <w:rsid w:val="002F7E36"/>
    <w:rsid w:val="002F7F70"/>
    <w:rsid w:val="002F7F95"/>
    <w:rsid w:val="00300063"/>
    <w:rsid w:val="003000A9"/>
    <w:rsid w:val="0030014C"/>
    <w:rsid w:val="0030023C"/>
    <w:rsid w:val="0030031A"/>
    <w:rsid w:val="0030032B"/>
    <w:rsid w:val="00300373"/>
    <w:rsid w:val="003006DA"/>
    <w:rsid w:val="0030076C"/>
    <w:rsid w:val="00300814"/>
    <w:rsid w:val="0030081F"/>
    <w:rsid w:val="003008F1"/>
    <w:rsid w:val="00300A4A"/>
    <w:rsid w:val="00300A7F"/>
    <w:rsid w:val="00300AEA"/>
    <w:rsid w:val="00300B9E"/>
    <w:rsid w:val="00300C9B"/>
    <w:rsid w:val="00300EE1"/>
    <w:rsid w:val="00300F1C"/>
    <w:rsid w:val="00301048"/>
    <w:rsid w:val="003010DB"/>
    <w:rsid w:val="00301194"/>
    <w:rsid w:val="003011D5"/>
    <w:rsid w:val="00301287"/>
    <w:rsid w:val="003013B8"/>
    <w:rsid w:val="0030142D"/>
    <w:rsid w:val="0030157A"/>
    <w:rsid w:val="00301975"/>
    <w:rsid w:val="003019DE"/>
    <w:rsid w:val="00301A00"/>
    <w:rsid w:val="00301A75"/>
    <w:rsid w:val="00301A8C"/>
    <w:rsid w:val="00301C79"/>
    <w:rsid w:val="00301CC7"/>
    <w:rsid w:val="00301E26"/>
    <w:rsid w:val="00301E49"/>
    <w:rsid w:val="0030202C"/>
    <w:rsid w:val="003020F9"/>
    <w:rsid w:val="003021FD"/>
    <w:rsid w:val="00302206"/>
    <w:rsid w:val="00302306"/>
    <w:rsid w:val="0030232C"/>
    <w:rsid w:val="003023F6"/>
    <w:rsid w:val="00302445"/>
    <w:rsid w:val="0030249A"/>
    <w:rsid w:val="003024EE"/>
    <w:rsid w:val="00302533"/>
    <w:rsid w:val="0030264F"/>
    <w:rsid w:val="003026A0"/>
    <w:rsid w:val="003026DA"/>
    <w:rsid w:val="0030276A"/>
    <w:rsid w:val="003027ED"/>
    <w:rsid w:val="00302800"/>
    <w:rsid w:val="003028B4"/>
    <w:rsid w:val="003028E0"/>
    <w:rsid w:val="00302B1A"/>
    <w:rsid w:val="00302B79"/>
    <w:rsid w:val="00302C03"/>
    <w:rsid w:val="00302C0F"/>
    <w:rsid w:val="00302C7A"/>
    <w:rsid w:val="00302C8A"/>
    <w:rsid w:val="00302F47"/>
    <w:rsid w:val="00302F5F"/>
    <w:rsid w:val="00302FAD"/>
    <w:rsid w:val="00303241"/>
    <w:rsid w:val="003032BC"/>
    <w:rsid w:val="0030333A"/>
    <w:rsid w:val="003033BC"/>
    <w:rsid w:val="00303458"/>
    <w:rsid w:val="00303482"/>
    <w:rsid w:val="0030352D"/>
    <w:rsid w:val="003035C7"/>
    <w:rsid w:val="0030364A"/>
    <w:rsid w:val="0030371D"/>
    <w:rsid w:val="0030373D"/>
    <w:rsid w:val="00303AE8"/>
    <w:rsid w:val="00303B23"/>
    <w:rsid w:val="00303B70"/>
    <w:rsid w:val="00303C19"/>
    <w:rsid w:val="00303C3D"/>
    <w:rsid w:val="00303F5B"/>
    <w:rsid w:val="00303F7F"/>
    <w:rsid w:val="003040F8"/>
    <w:rsid w:val="003042E8"/>
    <w:rsid w:val="003044F2"/>
    <w:rsid w:val="0030459B"/>
    <w:rsid w:val="003045D8"/>
    <w:rsid w:val="003045DE"/>
    <w:rsid w:val="003045F8"/>
    <w:rsid w:val="0030467D"/>
    <w:rsid w:val="00304710"/>
    <w:rsid w:val="00304881"/>
    <w:rsid w:val="00304A3C"/>
    <w:rsid w:val="00304A70"/>
    <w:rsid w:val="00304A75"/>
    <w:rsid w:val="00304AA3"/>
    <w:rsid w:val="00304AAC"/>
    <w:rsid w:val="00304C78"/>
    <w:rsid w:val="00304D15"/>
    <w:rsid w:val="00304D39"/>
    <w:rsid w:val="00304D46"/>
    <w:rsid w:val="00304DED"/>
    <w:rsid w:val="00304E4A"/>
    <w:rsid w:val="00304F43"/>
    <w:rsid w:val="00304FD5"/>
    <w:rsid w:val="00305084"/>
    <w:rsid w:val="00305094"/>
    <w:rsid w:val="00305140"/>
    <w:rsid w:val="003051B8"/>
    <w:rsid w:val="0030525F"/>
    <w:rsid w:val="00305275"/>
    <w:rsid w:val="003053F0"/>
    <w:rsid w:val="0030546E"/>
    <w:rsid w:val="00305523"/>
    <w:rsid w:val="0030566E"/>
    <w:rsid w:val="003057E9"/>
    <w:rsid w:val="00305865"/>
    <w:rsid w:val="0030587D"/>
    <w:rsid w:val="0030587E"/>
    <w:rsid w:val="003058CD"/>
    <w:rsid w:val="003058F9"/>
    <w:rsid w:val="003059BB"/>
    <w:rsid w:val="00305A18"/>
    <w:rsid w:val="00305A2D"/>
    <w:rsid w:val="00305AB4"/>
    <w:rsid w:val="00305DD7"/>
    <w:rsid w:val="00305E3A"/>
    <w:rsid w:val="00305F28"/>
    <w:rsid w:val="00305F74"/>
    <w:rsid w:val="00305F82"/>
    <w:rsid w:val="00305FF7"/>
    <w:rsid w:val="003060DC"/>
    <w:rsid w:val="003060F3"/>
    <w:rsid w:val="0030615E"/>
    <w:rsid w:val="00306313"/>
    <w:rsid w:val="003063FE"/>
    <w:rsid w:val="0030657B"/>
    <w:rsid w:val="00306590"/>
    <w:rsid w:val="003065AE"/>
    <w:rsid w:val="003066AE"/>
    <w:rsid w:val="00306893"/>
    <w:rsid w:val="0030697C"/>
    <w:rsid w:val="00306AAC"/>
    <w:rsid w:val="00306BB0"/>
    <w:rsid w:val="00306CE7"/>
    <w:rsid w:val="00306D49"/>
    <w:rsid w:val="00306E04"/>
    <w:rsid w:val="0030708B"/>
    <w:rsid w:val="0030709D"/>
    <w:rsid w:val="0030712B"/>
    <w:rsid w:val="00307257"/>
    <w:rsid w:val="00307279"/>
    <w:rsid w:val="003072E5"/>
    <w:rsid w:val="00307417"/>
    <w:rsid w:val="00307533"/>
    <w:rsid w:val="003076DD"/>
    <w:rsid w:val="00307727"/>
    <w:rsid w:val="00307745"/>
    <w:rsid w:val="00307842"/>
    <w:rsid w:val="003078F6"/>
    <w:rsid w:val="0030796F"/>
    <w:rsid w:val="00307AC9"/>
    <w:rsid w:val="00307E32"/>
    <w:rsid w:val="00307F2E"/>
    <w:rsid w:val="00307F9D"/>
    <w:rsid w:val="00310011"/>
    <w:rsid w:val="00310074"/>
    <w:rsid w:val="00310098"/>
    <w:rsid w:val="003101E5"/>
    <w:rsid w:val="003102B3"/>
    <w:rsid w:val="003102F7"/>
    <w:rsid w:val="0031054B"/>
    <w:rsid w:val="003105D3"/>
    <w:rsid w:val="00310648"/>
    <w:rsid w:val="00310875"/>
    <w:rsid w:val="003109D8"/>
    <w:rsid w:val="00310B53"/>
    <w:rsid w:val="00310B5B"/>
    <w:rsid w:val="00310C2A"/>
    <w:rsid w:val="00310D67"/>
    <w:rsid w:val="00310DA2"/>
    <w:rsid w:val="00310F45"/>
    <w:rsid w:val="00310F97"/>
    <w:rsid w:val="00311131"/>
    <w:rsid w:val="003111C2"/>
    <w:rsid w:val="00311257"/>
    <w:rsid w:val="003112FB"/>
    <w:rsid w:val="0031137E"/>
    <w:rsid w:val="00311467"/>
    <w:rsid w:val="003116A8"/>
    <w:rsid w:val="003116E3"/>
    <w:rsid w:val="00311791"/>
    <w:rsid w:val="00311843"/>
    <w:rsid w:val="0031193D"/>
    <w:rsid w:val="00311A38"/>
    <w:rsid w:val="00311A86"/>
    <w:rsid w:val="00311B6D"/>
    <w:rsid w:val="00311BA3"/>
    <w:rsid w:val="00311BDE"/>
    <w:rsid w:val="00311D2F"/>
    <w:rsid w:val="00311D9D"/>
    <w:rsid w:val="00311E92"/>
    <w:rsid w:val="00311FC8"/>
    <w:rsid w:val="00312240"/>
    <w:rsid w:val="00312333"/>
    <w:rsid w:val="00312344"/>
    <w:rsid w:val="00312363"/>
    <w:rsid w:val="00312397"/>
    <w:rsid w:val="0031242A"/>
    <w:rsid w:val="0031259D"/>
    <w:rsid w:val="003125B4"/>
    <w:rsid w:val="00312625"/>
    <w:rsid w:val="003126D3"/>
    <w:rsid w:val="003126E9"/>
    <w:rsid w:val="003129DA"/>
    <w:rsid w:val="00312AA0"/>
    <w:rsid w:val="00312AF1"/>
    <w:rsid w:val="00312B11"/>
    <w:rsid w:val="00312D94"/>
    <w:rsid w:val="00312EDA"/>
    <w:rsid w:val="00312F82"/>
    <w:rsid w:val="00313201"/>
    <w:rsid w:val="00313212"/>
    <w:rsid w:val="0031328C"/>
    <w:rsid w:val="003132E0"/>
    <w:rsid w:val="003134DA"/>
    <w:rsid w:val="003135F3"/>
    <w:rsid w:val="00313683"/>
    <w:rsid w:val="0031393A"/>
    <w:rsid w:val="0031399F"/>
    <w:rsid w:val="003139D8"/>
    <w:rsid w:val="00313A23"/>
    <w:rsid w:val="00313BAD"/>
    <w:rsid w:val="00313C26"/>
    <w:rsid w:val="00313EAB"/>
    <w:rsid w:val="00313F97"/>
    <w:rsid w:val="00313FA5"/>
    <w:rsid w:val="00313FB7"/>
    <w:rsid w:val="0031422D"/>
    <w:rsid w:val="00314351"/>
    <w:rsid w:val="003143A0"/>
    <w:rsid w:val="00314473"/>
    <w:rsid w:val="003144DE"/>
    <w:rsid w:val="00314514"/>
    <w:rsid w:val="003146FD"/>
    <w:rsid w:val="00314818"/>
    <w:rsid w:val="00314863"/>
    <w:rsid w:val="003148C8"/>
    <w:rsid w:val="003149AB"/>
    <w:rsid w:val="00314A31"/>
    <w:rsid w:val="00314AC4"/>
    <w:rsid w:val="00314C08"/>
    <w:rsid w:val="00314DCA"/>
    <w:rsid w:val="00314EF3"/>
    <w:rsid w:val="00314FCE"/>
    <w:rsid w:val="0031508B"/>
    <w:rsid w:val="003150E2"/>
    <w:rsid w:val="00315141"/>
    <w:rsid w:val="003151CF"/>
    <w:rsid w:val="003151D6"/>
    <w:rsid w:val="003152B2"/>
    <w:rsid w:val="003153D8"/>
    <w:rsid w:val="003154BA"/>
    <w:rsid w:val="00315684"/>
    <w:rsid w:val="00315777"/>
    <w:rsid w:val="00315804"/>
    <w:rsid w:val="00315920"/>
    <w:rsid w:val="00315AD8"/>
    <w:rsid w:val="00315B0B"/>
    <w:rsid w:val="00315B8A"/>
    <w:rsid w:val="00315C47"/>
    <w:rsid w:val="00315D5A"/>
    <w:rsid w:val="00315E13"/>
    <w:rsid w:val="00315F63"/>
    <w:rsid w:val="00316027"/>
    <w:rsid w:val="003166B5"/>
    <w:rsid w:val="00316915"/>
    <w:rsid w:val="003169D4"/>
    <w:rsid w:val="003169E6"/>
    <w:rsid w:val="00316A1E"/>
    <w:rsid w:val="00316A60"/>
    <w:rsid w:val="00316ACD"/>
    <w:rsid w:val="00316B2C"/>
    <w:rsid w:val="00316CF1"/>
    <w:rsid w:val="00316DEA"/>
    <w:rsid w:val="00316E9F"/>
    <w:rsid w:val="00316F1B"/>
    <w:rsid w:val="00316F83"/>
    <w:rsid w:val="00316F86"/>
    <w:rsid w:val="00316F8E"/>
    <w:rsid w:val="00317018"/>
    <w:rsid w:val="00317073"/>
    <w:rsid w:val="003170F7"/>
    <w:rsid w:val="00317134"/>
    <w:rsid w:val="00317297"/>
    <w:rsid w:val="00317513"/>
    <w:rsid w:val="00317575"/>
    <w:rsid w:val="00317637"/>
    <w:rsid w:val="00317742"/>
    <w:rsid w:val="00317758"/>
    <w:rsid w:val="00317875"/>
    <w:rsid w:val="00317A7E"/>
    <w:rsid w:val="00317AB4"/>
    <w:rsid w:val="00317D5F"/>
    <w:rsid w:val="00317D95"/>
    <w:rsid w:val="00317D98"/>
    <w:rsid w:val="00317E08"/>
    <w:rsid w:val="00317E9F"/>
    <w:rsid w:val="00317EFE"/>
    <w:rsid w:val="00317F0A"/>
    <w:rsid w:val="00320067"/>
    <w:rsid w:val="00320098"/>
    <w:rsid w:val="00320142"/>
    <w:rsid w:val="003202E1"/>
    <w:rsid w:val="00320302"/>
    <w:rsid w:val="00320304"/>
    <w:rsid w:val="00320406"/>
    <w:rsid w:val="003204C3"/>
    <w:rsid w:val="0032052F"/>
    <w:rsid w:val="00320638"/>
    <w:rsid w:val="003206D8"/>
    <w:rsid w:val="00320791"/>
    <w:rsid w:val="00320A8C"/>
    <w:rsid w:val="00320B25"/>
    <w:rsid w:val="00320B79"/>
    <w:rsid w:val="00320B82"/>
    <w:rsid w:val="00320D37"/>
    <w:rsid w:val="00320E04"/>
    <w:rsid w:val="00320EBF"/>
    <w:rsid w:val="00321040"/>
    <w:rsid w:val="0032108C"/>
    <w:rsid w:val="003211A0"/>
    <w:rsid w:val="00321435"/>
    <w:rsid w:val="0032149B"/>
    <w:rsid w:val="0032151F"/>
    <w:rsid w:val="0032154E"/>
    <w:rsid w:val="0032159C"/>
    <w:rsid w:val="00321695"/>
    <w:rsid w:val="00321832"/>
    <w:rsid w:val="00321980"/>
    <w:rsid w:val="00321A23"/>
    <w:rsid w:val="00321A4F"/>
    <w:rsid w:val="00321A9B"/>
    <w:rsid w:val="00321C7F"/>
    <w:rsid w:val="00321E4F"/>
    <w:rsid w:val="00321FE8"/>
    <w:rsid w:val="00322062"/>
    <w:rsid w:val="00322493"/>
    <w:rsid w:val="003224F2"/>
    <w:rsid w:val="0032266B"/>
    <w:rsid w:val="00322674"/>
    <w:rsid w:val="00322699"/>
    <w:rsid w:val="003226E7"/>
    <w:rsid w:val="00322817"/>
    <w:rsid w:val="00322860"/>
    <w:rsid w:val="00322910"/>
    <w:rsid w:val="0032294D"/>
    <w:rsid w:val="00322AB8"/>
    <w:rsid w:val="00322B7B"/>
    <w:rsid w:val="00322C01"/>
    <w:rsid w:val="00322CE3"/>
    <w:rsid w:val="00322D64"/>
    <w:rsid w:val="00322D91"/>
    <w:rsid w:val="00323092"/>
    <w:rsid w:val="003233F3"/>
    <w:rsid w:val="003233FD"/>
    <w:rsid w:val="0032340A"/>
    <w:rsid w:val="003234FC"/>
    <w:rsid w:val="00323623"/>
    <w:rsid w:val="00323684"/>
    <w:rsid w:val="003236AA"/>
    <w:rsid w:val="0032381A"/>
    <w:rsid w:val="003238DF"/>
    <w:rsid w:val="00323A32"/>
    <w:rsid w:val="00323AB3"/>
    <w:rsid w:val="00323B31"/>
    <w:rsid w:val="00323B3A"/>
    <w:rsid w:val="00323C03"/>
    <w:rsid w:val="00323C68"/>
    <w:rsid w:val="00323CD0"/>
    <w:rsid w:val="00324093"/>
    <w:rsid w:val="0032413A"/>
    <w:rsid w:val="0032415C"/>
    <w:rsid w:val="00324195"/>
    <w:rsid w:val="0032423A"/>
    <w:rsid w:val="0032427D"/>
    <w:rsid w:val="0032432C"/>
    <w:rsid w:val="00324520"/>
    <w:rsid w:val="00324560"/>
    <w:rsid w:val="00324673"/>
    <w:rsid w:val="003247FC"/>
    <w:rsid w:val="003248C3"/>
    <w:rsid w:val="00324935"/>
    <w:rsid w:val="00324955"/>
    <w:rsid w:val="00324C2D"/>
    <w:rsid w:val="00324D17"/>
    <w:rsid w:val="00324F78"/>
    <w:rsid w:val="00325015"/>
    <w:rsid w:val="00325280"/>
    <w:rsid w:val="00325297"/>
    <w:rsid w:val="00325465"/>
    <w:rsid w:val="003254A9"/>
    <w:rsid w:val="003254EF"/>
    <w:rsid w:val="0032573D"/>
    <w:rsid w:val="003257A9"/>
    <w:rsid w:val="00325875"/>
    <w:rsid w:val="0032593A"/>
    <w:rsid w:val="003259F3"/>
    <w:rsid w:val="00325B77"/>
    <w:rsid w:val="00325D00"/>
    <w:rsid w:val="00325D2B"/>
    <w:rsid w:val="00325D59"/>
    <w:rsid w:val="00326107"/>
    <w:rsid w:val="00326156"/>
    <w:rsid w:val="00326172"/>
    <w:rsid w:val="00326188"/>
    <w:rsid w:val="003262D1"/>
    <w:rsid w:val="003262EE"/>
    <w:rsid w:val="00326344"/>
    <w:rsid w:val="00326449"/>
    <w:rsid w:val="0032644E"/>
    <w:rsid w:val="0032655E"/>
    <w:rsid w:val="00326580"/>
    <w:rsid w:val="003266CB"/>
    <w:rsid w:val="0032675F"/>
    <w:rsid w:val="00326815"/>
    <w:rsid w:val="00326871"/>
    <w:rsid w:val="00326B40"/>
    <w:rsid w:val="00326BCC"/>
    <w:rsid w:val="00326C88"/>
    <w:rsid w:val="00326F4E"/>
    <w:rsid w:val="0032710D"/>
    <w:rsid w:val="00327159"/>
    <w:rsid w:val="00327244"/>
    <w:rsid w:val="0032725A"/>
    <w:rsid w:val="003273ED"/>
    <w:rsid w:val="003273F7"/>
    <w:rsid w:val="0032748A"/>
    <w:rsid w:val="003274C1"/>
    <w:rsid w:val="00327556"/>
    <w:rsid w:val="00327588"/>
    <w:rsid w:val="00327672"/>
    <w:rsid w:val="003276C5"/>
    <w:rsid w:val="00327740"/>
    <w:rsid w:val="0032787E"/>
    <w:rsid w:val="003278C4"/>
    <w:rsid w:val="00327908"/>
    <w:rsid w:val="003279C1"/>
    <w:rsid w:val="00327D1A"/>
    <w:rsid w:val="00327E47"/>
    <w:rsid w:val="00327E6A"/>
    <w:rsid w:val="0033000D"/>
    <w:rsid w:val="00330030"/>
    <w:rsid w:val="0033007F"/>
    <w:rsid w:val="00330088"/>
    <w:rsid w:val="0033015A"/>
    <w:rsid w:val="003301E9"/>
    <w:rsid w:val="003302EA"/>
    <w:rsid w:val="003302F6"/>
    <w:rsid w:val="003304C9"/>
    <w:rsid w:val="00330507"/>
    <w:rsid w:val="00330661"/>
    <w:rsid w:val="003306FC"/>
    <w:rsid w:val="00330798"/>
    <w:rsid w:val="003307A6"/>
    <w:rsid w:val="0033084B"/>
    <w:rsid w:val="0033091F"/>
    <w:rsid w:val="003309BF"/>
    <w:rsid w:val="00330A88"/>
    <w:rsid w:val="00330BB3"/>
    <w:rsid w:val="00330BD5"/>
    <w:rsid w:val="00330C4B"/>
    <w:rsid w:val="00330C86"/>
    <w:rsid w:val="00330D3E"/>
    <w:rsid w:val="00330D4E"/>
    <w:rsid w:val="00330D70"/>
    <w:rsid w:val="00330E01"/>
    <w:rsid w:val="00330E1A"/>
    <w:rsid w:val="00330E87"/>
    <w:rsid w:val="00331144"/>
    <w:rsid w:val="0033115B"/>
    <w:rsid w:val="0033118D"/>
    <w:rsid w:val="0033139D"/>
    <w:rsid w:val="003314C7"/>
    <w:rsid w:val="00331798"/>
    <w:rsid w:val="003317CE"/>
    <w:rsid w:val="0033194B"/>
    <w:rsid w:val="003319B8"/>
    <w:rsid w:val="00331AA5"/>
    <w:rsid w:val="00331AE2"/>
    <w:rsid w:val="00331C4D"/>
    <w:rsid w:val="00331D4A"/>
    <w:rsid w:val="00331DA5"/>
    <w:rsid w:val="00331EF1"/>
    <w:rsid w:val="003321DF"/>
    <w:rsid w:val="0033239C"/>
    <w:rsid w:val="003326CB"/>
    <w:rsid w:val="00332847"/>
    <w:rsid w:val="00332869"/>
    <w:rsid w:val="0033291D"/>
    <w:rsid w:val="00332A11"/>
    <w:rsid w:val="00332AFE"/>
    <w:rsid w:val="00332B73"/>
    <w:rsid w:val="00332B8C"/>
    <w:rsid w:val="00332BD7"/>
    <w:rsid w:val="00332C0B"/>
    <w:rsid w:val="00332C49"/>
    <w:rsid w:val="00332C8B"/>
    <w:rsid w:val="00332D10"/>
    <w:rsid w:val="00332DA1"/>
    <w:rsid w:val="00332DE2"/>
    <w:rsid w:val="00332F08"/>
    <w:rsid w:val="00332F21"/>
    <w:rsid w:val="0033312D"/>
    <w:rsid w:val="00333460"/>
    <w:rsid w:val="003334CC"/>
    <w:rsid w:val="003334D5"/>
    <w:rsid w:val="0033358D"/>
    <w:rsid w:val="00333725"/>
    <w:rsid w:val="00333795"/>
    <w:rsid w:val="0033386D"/>
    <w:rsid w:val="00333925"/>
    <w:rsid w:val="00333A07"/>
    <w:rsid w:val="00333A6A"/>
    <w:rsid w:val="00333A75"/>
    <w:rsid w:val="00333ACF"/>
    <w:rsid w:val="00333AFA"/>
    <w:rsid w:val="00333B9E"/>
    <w:rsid w:val="00333BE5"/>
    <w:rsid w:val="00333BE7"/>
    <w:rsid w:val="00333C77"/>
    <w:rsid w:val="00333C8B"/>
    <w:rsid w:val="00333D09"/>
    <w:rsid w:val="00333DC2"/>
    <w:rsid w:val="00333DC7"/>
    <w:rsid w:val="00333E27"/>
    <w:rsid w:val="00333E9E"/>
    <w:rsid w:val="00334060"/>
    <w:rsid w:val="00334062"/>
    <w:rsid w:val="00334069"/>
    <w:rsid w:val="00334147"/>
    <w:rsid w:val="00334367"/>
    <w:rsid w:val="0033436C"/>
    <w:rsid w:val="003343B2"/>
    <w:rsid w:val="003343BA"/>
    <w:rsid w:val="0033451E"/>
    <w:rsid w:val="00334738"/>
    <w:rsid w:val="0033473F"/>
    <w:rsid w:val="003347E8"/>
    <w:rsid w:val="00334909"/>
    <w:rsid w:val="00334987"/>
    <w:rsid w:val="003349E3"/>
    <w:rsid w:val="00334B61"/>
    <w:rsid w:val="00334B8D"/>
    <w:rsid w:val="00334BAF"/>
    <w:rsid w:val="00334C24"/>
    <w:rsid w:val="00334D50"/>
    <w:rsid w:val="00334DA3"/>
    <w:rsid w:val="00334DB9"/>
    <w:rsid w:val="00334DBB"/>
    <w:rsid w:val="0033503B"/>
    <w:rsid w:val="0033505E"/>
    <w:rsid w:val="003352C8"/>
    <w:rsid w:val="00335368"/>
    <w:rsid w:val="00335469"/>
    <w:rsid w:val="003355E1"/>
    <w:rsid w:val="00335679"/>
    <w:rsid w:val="00335735"/>
    <w:rsid w:val="00335930"/>
    <w:rsid w:val="00335960"/>
    <w:rsid w:val="00335A12"/>
    <w:rsid w:val="00335ACB"/>
    <w:rsid w:val="00335B35"/>
    <w:rsid w:val="00335B9D"/>
    <w:rsid w:val="00335C23"/>
    <w:rsid w:val="00335CC3"/>
    <w:rsid w:val="00335CCE"/>
    <w:rsid w:val="00335E3A"/>
    <w:rsid w:val="00335F7A"/>
    <w:rsid w:val="00335F85"/>
    <w:rsid w:val="00335FE7"/>
    <w:rsid w:val="003360F2"/>
    <w:rsid w:val="0033611F"/>
    <w:rsid w:val="003361B6"/>
    <w:rsid w:val="003362C6"/>
    <w:rsid w:val="00336437"/>
    <w:rsid w:val="003364E4"/>
    <w:rsid w:val="003365EC"/>
    <w:rsid w:val="003366C0"/>
    <w:rsid w:val="00336802"/>
    <w:rsid w:val="0033680E"/>
    <w:rsid w:val="003368A2"/>
    <w:rsid w:val="00336915"/>
    <w:rsid w:val="0033692D"/>
    <w:rsid w:val="00336A84"/>
    <w:rsid w:val="00336AAE"/>
    <w:rsid w:val="00336ABF"/>
    <w:rsid w:val="00336BCE"/>
    <w:rsid w:val="00336BD0"/>
    <w:rsid w:val="00336CCF"/>
    <w:rsid w:val="00336D01"/>
    <w:rsid w:val="00336DFE"/>
    <w:rsid w:val="00337035"/>
    <w:rsid w:val="00337043"/>
    <w:rsid w:val="00337091"/>
    <w:rsid w:val="003375A7"/>
    <w:rsid w:val="00337693"/>
    <w:rsid w:val="003376C9"/>
    <w:rsid w:val="00337713"/>
    <w:rsid w:val="003377A7"/>
    <w:rsid w:val="0033795E"/>
    <w:rsid w:val="00337A99"/>
    <w:rsid w:val="00337B30"/>
    <w:rsid w:val="00337BDA"/>
    <w:rsid w:val="00337CFF"/>
    <w:rsid w:val="00337D97"/>
    <w:rsid w:val="00337DEE"/>
    <w:rsid w:val="00337EF3"/>
    <w:rsid w:val="00337F19"/>
    <w:rsid w:val="00337F91"/>
    <w:rsid w:val="00337FAB"/>
    <w:rsid w:val="00337FC5"/>
    <w:rsid w:val="0034007A"/>
    <w:rsid w:val="0034021B"/>
    <w:rsid w:val="00340239"/>
    <w:rsid w:val="0034030B"/>
    <w:rsid w:val="003403EE"/>
    <w:rsid w:val="003404D0"/>
    <w:rsid w:val="003406BE"/>
    <w:rsid w:val="00340724"/>
    <w:rsid w:val="003408C9"/>
    <w:rsid w:val="00340A33"/>
    <w:rsid w:val="00340CBB"/>
    <w:rsid w:val="00340D2D"/>
    <w:rsid w:val="00340EA5"/>
    <w:rsid w:val="00340F1E"/>
    <w:rsid w:val="00340F6F"/>
    <w:rsid w:val="003413C6"/>
    <w:rsid w:val="003413F4"/>
    <w:rsid w:val="003417A8"/>
    <w:rsid w:val="003417B3"/>
    <w:rsid w:val="00341862"/>
    <w:rsid w:val="003418E6"/>
    <w:rsid w:val="00341904"/>
    <w:rsid w:val="003419DB"/>
    <w:rsid w:val="00341A4F"/>
    <w:rsid w:val="00341BD3"/>
    <w:rsid w:val="00341CEF"/>
    <w:rsid w:val="00341D3B"/>
    <w:rsid w:val="00341D98"/>
    <w:rsid w:val="00341EEA"/>
    <w:rsid w:val="00341F21"/>
    <w:rsid w:val="0034216C"/>
    <w:rsid w:val="003421A5"/>
    <w:rsid w:val="003421BD"/>
    <w:rsid w:val="003421D3"/>
    <w:rsid w:val="003421FA"/>
    <w:rsid w:val="003424DB"/>
    <w:rsid w:val="0034259C"/>
    <w:rsid w:val="003425C9"/>
    <w:rsid w:val="00342613"/>
    <w:rsid w:val="00342795"/>
    <w:rsid w:val="00342A42"/>
    <w:rsid w:val="00342B7C"/>
    <w:rsid w:val="00342B9D"/>
    <w:rsid w:val="00342BF5"/>
    <w:rsid w:val="00342E86"/>
    <w:rsid w:val="00342F21"/>
    <w:rsid w:val="00342FAC"/>
    <w:rsid w:val="003430C7"/>
    <w:rsid w:val="0034320D"/>
    <w:rsid w:val="003432FE"/>
    <w:rsid w:val="003433EB"/>
    <w:rsid w:val="00343494"/>
    <w:rsid w:val="003434CC"/>
    <w:rsid w:val="003435A7"/>
    <w:rsid w:val="00343692"/>
    <w:rsid w:val="00343748"/>
    <w:rsid w:val="00343770"/>
    <w:rsid w:val="00343856"/>
    <w:rsid w:val="00343973"/>
    <w:rsid w:val="0034399B"/>
    <w:rsid w:val="00343BAF"/>
    <w:rsid w:val="00343C14"/>
    <w:rsid w:val="00343D16"/>
    <w:rsid w:val="00343DA8"/>
    <w:rsid w:val="00343E8E"/>
    <w:rsid w:val="00343F68"/>
    <w:rsid w:val="00343FF6"/>
    <w:rsid w:val="00344013"/>
    <w:rsid w:val="00344051"/>
    <w:rsid w:val="003440D8"/>
    <w:rsid w:val="003441AC"/>
    <w:rsid w:val="003441D9"/>
    <w:rsid w:val="00344248"/>
    <w:rsid w:val="003442A6"/>
    <w:rsid w:val="003442FA"/>
    <w:rsid w:val="00344381"/>
    <w:rsid w:val="003445A5"/>
    <w:rsid w:val="0034463F"/>
    <w:rsid w:val="0034464D"/>
    <w:rsid w:val="00344777"/>
    <w:rsid w:val="003447E5"/>
    <w:rsid w:val="0034485A"/>
    <w:rsid w:val="00344995"/>
    <w:rsid w:val="00344A3A"/>
    <w:rsid w:val="00344A68"/>
    <w:rsid w:val="00344B21"/>
    <w:rsid w:val="00344BFD"/>
    <w:rsid w:val="00344CB0"/>
    <w:rsid w:val="00344E1F"/>
    <w:rsid w:val="00344E65"/>
    <w:rsid w:val="00344F6B"/>
    <w:rsid w:val="00344FDB"/>
    <w:rsid w:val="0034508F"/>
    <w:rsid w:val="00345186"/>
    <w:rsid w:val="003452B8"/>
    <w:rsid w:val="00345318"/>
    <w:rsid w:val="00345343"/>
    <w:rsid w:val="0034537D"/>
    <w:rsid w:val="003455F0"/>
    <w:rsid w:val="00345686"/>
    <w:rsid w:val="003457D0"/>
    <w:rsid w:val="0034581C"/>
    <w:rsid w:val="0034589E"/>
    <w:rsid w:val="003459AE"/>
    <w:rsid w:val="003459ED"/>
    <w:rsid w:val="00345A14"/>
    <w:rsid w:val="00345AC8"/>
    <w:rsid w:val="00345B29"/>
    <w:rsid w:val="00345BE9"/>
    <w:rsid w:val="00345DB6"/>
    <w:rsid w:val="00345EA5"/>
    <w:rsid w:val="00345EDB"/>
    <w:rsid w:val="00346157"/>
    <w:rsid w:val="003461BF"/>
    <w:rsid w:val="00346251"/>
    <w:rsid w:val="00346344"/>
    <w:rsid w:val="003463A6"/>
    <w:rsid w:val="00346779"/>
    <w:rsid w:val="00346808"/>
    <w:rsid w:val="00346891"/>
    <w:rsid w:val="00346903"/>
    <w:rsid w:val="003469FF"/>
    <w:rsid w:val="00346A3E"/>
    <w:rsid w:val="00346A58"/>
    <w:rsid w:val="00346B7D"/>
    <w:rsid w:val="00346B99"/>
    <w:rsid w:val="00346C0A"/>
    <w:rsid w:val="00346D52"/>
    <w:rsid w:val="00346DC1"/>
    <w:rsid w:val="00346E2C"/>
    <w:rsid w:val="00346FF3"/>
    <w:rsid w:val="0034702E"/>
    <w:rsid w:val="00347097"/>
    <w:rsid w:val="003470AF"/>
    <w:rsid w:val="003470DD"/>
    <w:rsid w:val="003470E3"/>
    <w:rsid w:val="003470E4"/>
    <w:rsid w:val="0034719F"/>
    <w:rsid w:val="0034722B"/>
    <w:rsid w:val="0034723A"/>
    <w:rsid w:val="00347265"/>
    <w:rsid w:val="0034746E"/>
    <w:rsid w:val="00347488"/>
    <w:rsid w:val="0034757A"/>
    <w:rsid w:val="0034759D"/>
    <w:rsid w:val="00347828"/>
    <w:rsid w:val="0034783D"/>
    <w:rsid w:val="003478CA"/>
    <w:rsid w:val="003478F2"/>
    <w:rsid w:val="00347AD6"/>
    <w:rsid w:val="00347B35"/>
    <w:rsid w:val="00347BE0"/>
    <w:rsid w:val="00347C88"/>
    <w:rsid w:val="00347CD7"/>
    <w:rsid w:val="00347EB6"/>
    <w:rsid w:val="00347F6E"/>
    <w:rsid w:val="00347F8E"/>
    <w:rsid w:val="0035003D"/>
    <w:rsid w:val="00350110"/>
    <w:rsid w:val="003501B5"/>
    <w:rsid w:val="0035023D"/>
    <w:rsid w:val="00350278"/>
    <w:rsid w:val="003502E5"/>
    <w:rsid w:val="003503D4"/>
    <w:rsid w:val="00350490"/>
    <w:rsid w:val="003505E1"/>
    <w:rsid w:val="00350641"/>
    <w:rsid w:val="003508B7"/>
    <w:rsid w:val="00350AF8"/>
    <w:rsid w:val="00350CBF"/>
    <w:rsid w:val="00350CE0"/>
    <w:rsid w:val="00350CE8"/>
    <w:rsid w:val="00350DC9"/>
    <w:rsid w:val="00350E16"/>
    <w:rsid w:val="00350F63"/>
    <w:rsid w:val="00350F66"/>
    <w:rsid w:val="00350FC1"/>
    <w:rsid w:val="00351139"/>
    <w:rsid w:val="003511C2"/>
    <w:rsid w:val="00351307"/>
    <w:rsid w:val="003513ED"/>
    <w:rsid w:val="00351605"/>
    <w:rsid w:val="00351612"/>
    <w:rsid w:val="0035166D"/>
    <w:rsid w:val="003516A5"/>
    <w:rsid w:val="00351844"/>
    <w:rsid w:val="00351B46"/>
    <w:rsid w:val="00351C35"/>
    <w:rsid w:val="00351F52"/>
    <w:rsid w:val="00351FE6"/>
    <w:rsid w:val="0035205D"/>
    <w:rsid w:val="003522D0"/>
    <w:rsid w:val="003523A7"/>
    <w:rsid w:val="00352451"/>
    <w:rsid w:val="00352455"/>
    <w:rsid w:val="003525D8"/>
    <w:rsid w:val="00352711"/>
    <w:rsid w:val="00352878"/>
    <w:rsid w:val="003528DC"/>
    <w:rsid w:val="003528E9"/>
    <w:rsid w:val="00352B1B"/>
    <w:rsid w:val="00352C71"/>
    <w:rsid w:val="00352C89"/>
    <w:rsid w:val="00352C8E"/>
    <w:rsid w:val="00352D3A"/>
    <w:rsid w:val="00352D67"/>
    <w:rsid w:val="00352DF3"/>
    <w:rsid w:val="00352E1F"/>
    <w:rsid w:val="00352E8F"/>
    <w:rsid w:val="00353033"/>
    <w:rsid w:val="0035306F"/>
    <w:rsid w:val="0035310D"/>
    <w:rsid w:val="003531E1"/>
    <w:rsid w:val="00353210"/>
    <w:rsid w:val="0035325B"/>
    <w:rsid w:val="003532EC"/>
    <w:rsid w:val="003533E1"/>
    <w:rsid w:val="003534D3"/>
    <w:rsid w:val="0035358C"/>
    <w:rsid w:val="003535FE"/>
    <w:rsid w:val="00353616"/>
    <w:rsid w:val="003536B5"/>
    <w:rsid w:val="003537AF"/>
    <w:rsid w:val="00353969"/>
    <w:rsid w:val="00353AFF"/>
    <w:rsid w:val="00353B28"/>
    <w:rsid w:val="00353CC2"/>
    <w:rsid w:val="00353D90"/>
    <w:rsid w:val="003540CE"/>
    <w:rsid w:val="003540F6"/>
    <w:rsid w:val="00354155"/>
    <w:rsid w:val="00354246"/>
    <w:rsid w:val="00354318"/>
    <w:rsid w:val="0035434A"/>
    <w:rsid w:val="00354437"/>
    <w:rsid w:val="0035469D"/>
    <w:rsid w:val="003546FE"/>
    <w:rsid w:val="0035478F"/>
    <w:rsid w:val="00354869"/>
    <w:rsid w:val="0035494C"/>
    <w:rsid w:val="00354976"/>
    <w:rsid w:val="00354AB9"/>
    <w:rsid w:val="00354AE4"/>
    <w:rsid w:val="00354C25"/>
    <w:rsid w:val="00354C54"/>
    <w:rsid w:val="00354D06"/>
    <w:rsid w:val="00354D5E"/>
    <w:rsid w:val="0035506A"/>
    <w:rsid w:val="00355126"/>
    <w:rsid w:val="003551BA"/>
    <w:rsid w:val="003551EE"/>
    <w:rsid w:val="00355296"/>
    <w:rsid w:val="00355298"/>
    <w:rsid w:val="00355350"/>
    <w:rsid w:val="00355487"/>
    <w:rsid w:val="003555A2"/>
    <w:rsid w:val="0035565E"/>
    <w:rsid w:val="0035566B"/>
    <w:rsid w:val="00355710"/>
    <w:rsid w:val="00355723"/>
    <w:rsid w:val="003557FA"/>
    <w:rsid w:val="0035587A"/>
    <w:rsid w:val="00355CF8"/>
    <w:rsid w:val="00355D1D"/>
    <w:rsid w:val="00355DA6"/>
    <w:rsid w:val="00355FBC"/>
    <w:rsid w:val="00355FC1"/>
    <w:rsid w:val="00356063"/>
    <w:rsid w:val="003561B7"/>
    <w:rsid w:val="00356244"/>
    <w:rsid w:val="0035632A"/>
    <w:rsid w:val="00356384"/>
    <w:rsid w:val="003564B0"/>
    <w:rsid w:val="003564C1"/>
    <w:rsid w:val="00356567"/>
    <w:rsid w:val="003565B3"/>
    <w:rsid w:val="003568B6"/>
    <w:rsid w:val="00356962"/>
    <w:rsid w:val="00356AE9"/>
    <w:rsid w:val="00356B16"/>
    <w:rsid w:val="00356BAE"/>
    <w:rsid w:val="00356BFF"/>
    <w:rsid w:val="00356D3F"/>
    <w:rsid w:val="00356DBA"/>
    <w:rsid w:val="0035701D"/>
    <w:rsid w:val="00357056"/>
    <w:rsid w:val="0035711E"/>
    <w:rsid w:val="003571D0"/>
    <w:rsid w:val="00357269"/>
    <w:rsid w:val="003572EE"/>
    <w:rsid w:val="0035730E"/>
    <w:rsid w:val="003573F7"/>
    <w:rsid w:val="00357617"/>
    <w:rsid w:val="00357681"/>
    <w:rsid w:val="003576A6"/>
    <w:rsid w:val="003576E2"/>
    <w:rsid w:val="00357765"/>
    <w:rsid w:val="003577A0"/>
    <w:rsid w:val="003578EE"/>
    <w:rsid w:val="0035790F"/>
    <w:rsid w:val="0035792C"/>
    <w:rsid w:val="00357BCD"/>
    <w:rsid w:val="00357BF6"/>
    <w:rsid w:val="00357C3E"/>
    <w:rsid w:val="00357D8D"/>
    <w:rsid w:val="00357E58"/>
    <w:rsid w:val="00357E8F"/>
    <w:rsid w:val="00357F15"/>
    <w:rsid w:val="00357F33"/>
    <w:rsid w:val="00360080"/>
    <w:rsid w:val="003600ED"/>
    <w:rsid w:val="00360196"/>
    <w:rsid w:val="003603C1"/>
    <w:rsid w:val="0036047D"/>
    <w:rsid w:val="003604A8"/>
    <w:rsid w:val="00360518"/>
    <w:rsid w:val="0036060C"/>
    <w:rsid w:val="00360639"/>
    <w:rsid w:val="00360685"/>
    <w:rsid w:val="0036081B"/>
    <w:rsid w:val="0036088E"/>
    <w:rsid w:val="0036089F"/>
    <w:rsid w:val="003608E7"/>
    <w:rsid w:val="00360A85"/>
    <w:rsid w:val="00360D8E"/>
    <w:rsid w:val="00360F10"/>
    <w:rsid w:val="00360FB6"/>
    <w:rsid w:val="00361140"/>
    <w:rsid w:val="00361397"/>
    <w:rsid w:val="00361410"/>
    <w:rsid w:val="0036146F"/>
    <w:rsid w:val="003614D1"/>
    <w:rsid w:val="003614F1"/>
    <w:rsid w:val="0036156F"/>
    <w:rsid w:val="003616FE"/>
    <w:rsid w:val="00361743"/>
    <w:rsid w:val="0036179E"/>
    <w:rsid w:val="003617E0"/>
    <w:rsid w:val="003617FC"/>
    <w:rsid w:val="003617FE"/>
    <w:rsid w:val="003618DA"/>
    <w:rsid w:val="0036196E"/>
    <w:rsid w:val="00361B7A"/>
    <w:rsid w:val="00361C6B"/>
    <w:rsid w:val="00361DAD"/>
    <w:rsid w:val="00361E53"/>
    <w:rsid w:val="00361FE0"/>
    <w:rsid w:val="00361FE3"/>
    <w:rsid w:val="00362051"/>
    <w:rsid w:val="0036221C"/>
    <w:rsid w:val="0036226E"/>
    <w:rsid w:val="0036228C"/>
    <w:rsid w:val="003622A3"/>
    <w:rsid w:val="003622B6"/>
    <w:rsid w:val="0036235A"/>
    <w:rsid w:val="003624D3"/>
    <w:rsid w:val="0036260D"/>
    <w:rsid w:val="003627CD"/>
    <w:rsid w:val="003627D7"/>
    <w:rsid w:val="003628DB"/>
    <w:rsid w:val="00362B25"/>
    <w:rsid w:val="00362B7E"/>
    <w:rsid w:val="00362B96"/>
    <w:rsid w:val="00362CBB"/>
    <w:rsid w:val="00362D60"/>
    <w:rsid w:val="00362D7E"/>
    <w:rsid w:val="00362E7C"/>
    <w:rsid w:val="00362F5E"/>
    <w:rsid w:val="00362FB3"/>
    <w:rsid w:val="00363038"/>
    <w:rsid w:val="00363240"/>
    <w:rsid w:val="003632C0"/>
    <w:rsid w:val="003632C3"/>
    <w:rsid w:val="003633EF"/>
    <w:rsid w:val="003635B7"/>
    <w:rsid w:val="003635BF"/>
    <w:rsid w:val="0036370D"/>
    <w:rsid w:val="00363756"/>
    <w:rsid w:val="003637FB"/>
    <w:rsid w:val="00363804"/>
    <w:rsid w:val="00363806"/>
    <w:rsid w:val="00363820"/>
    <w:rsid w:val="003638A6"/>
    <w:rsid w:val="0036394E"/>
    <w:rsid w:val="0036397F"/>
    <w:rsid w:val="003639E6"/>
    <w:rsid w:val="00363A10"/>
    <w:rsid w:val="00363ABA"/>
    <w:rsid w:val="00363B2D"/>
    <w:rsid w:val="00363B5E"/>
    <w:rsid w:val="00363ED8"/>
    <w:rsid w:val="0036406D"/>
    <w:rsid w:val="00364094"/>
    <w:rsid w:val="003641D9"/>
    <w:rsid w:val="00364499"/>
    <w:rsid w:val="0036458B"/>
    <w:rsid w:val="003646D1"/>
    <w:rsid w:val="003646FC"/>
    <w:rsid w:val="003647FC"/>
    <w:rsid w:val="0036482C"/>
    <w:rsid w:val="003648B7"/>
    <w:rsid w:val="0036491D"/>
    <w:rsid w:val="00364942"/>
    <w:rsid w:val="003649BC"/>
    <w:rsid w:val="003649FA"/>
    <w:rsid w:val="00364A43"/>
    <w:rsid w:val="00364D26"/>
    <w:rsid w:val="00364EA3"/>
    <w:rsid w:val="00364F9B"/>
    <w:rsid w:val="0036505D"/>
    <w:rsid w:val="0036526C"/>
    <w:rsid w:val="00365340"/>
    <w:rsid w:val="0036546D"/>
    <w:rsid w:val="00365473"/>
    <w:rsid w:val="003654AD"/>
    <w:rsid w:val="003655B4"/>
    <w:rsid w:val="00365699"/>
    <w:rsid w:val="003656E7"/>
    <w:rsid w:val="0036571D"/>
    <w:rsid w:val="0036576F"/>
    <w:rsid w:val="00365923"/>
    <w:rsid w:val="00365AE7"/>
    <w:rsid w:val="00365B02"/>
    <w:rsid w:val="00365C01"/>
    <w:rsid w:val="00365C12"/>
    <w:rsid w:val="00365CFB"/>
    <w:rsid w:val="00365D03"/>
    <w:rsid w:val="00365E1D"/>
    <w:rsid w:val="00365EB6"/>
    <w:rsid w:val="00365F29"/>
    <w:rsid w:val="00365F64"/>
    <w:rsid w:val="0036603E"/>
    <w:rsid w:val="00366124"/>
    <w:rsid w:val="00366192"/>
    <w:rsid w:val="003661A9"/>
    <w:rsid w:val="003661EA"/>
    <w:rsid w:val="00366253"/>
    <w:rsid w:val="003663A3"/>
    <w:rsid w:val="00366501"/>
    <w:rsid w:val="0036656E"/>
    <w:rsid w:val="0036679F"/>
    <w:rsid w:val="003669AC"/>
    <w:rsid w:val="00366A6A"/>
    <w:rsid w:val="00366C0C"/>
    <w:rsid w:val="00366C0E"/>
    <w:rsid w:val="00366E89"/>
    <w:rsid w:val="00366EE1"/>
    <w:rsid w:val="00366F12"/>
    <w:rsid w:val="0036713E"/>
    <w:rsid w:val="0036716D"/>
    <w:rsid w:val="00367186"/>
    <w:rsid w:val="003672CF"/>
    <w:rsid w:val="00367449"/>
    <w:rsid w:val="003674A9"/>
    <w:rsid w:val="0036769D"/>
    <w:rsid w:val="003676AB"/>
    <w:rsid w:val="003677AE"/>
    <w:rsid w:val="003679D4"/>
    <w:rsid w:val="00367AEE"/>
    <w:rsid w:val="00367C99"/>
    <w:rsid w:val="00367D37"/>
    <w:rsid w:val="00367EB6"/>
    <w:rsid w:val="00367F36"/>
    <w:rsid w:val="00367FEE"/>
    <w:rsid w:val="00370140"/>
    <w:rsid w:val="0037014B"/>
    <w:rsid w:val="0037041C"/>
    <w:rsid w:val="00370433"/>
    <w:rsid w:val="00370537"/>
    <w:rsid w:val="00370567"/>
    <w:rsid w:val="003705B6"/>
    <w:rsid w:val="003705C8"/>
    <w:rsid w:val="003706E5"/>
    <w:rsid w:val="0037070A"/>
    <w:rsid w:val="0037081A"/>
    <w:rsid w:val="00370AC8"/>
    <w:rsid w:val="00370AF3"/>
    <w:rsid w:val="00370BBB"/>
    <w:rsid w:val="00370C24"/>
    <w:rsid w:val="00370E8B"/>
    <w:rsid w:val="00371431"/>
    <w:rsid w:val="003715D8"/>
    <w:rsid w:val="0037175F"/>
    <w:rsid w:val="00371799"/>
    <w:rsid w:val="0037180A"/>
    <w:rsid w:val="0037184E"/>
    <w:rsid w:val="00371859"/>
    <w:rsid w:val="003718C3"/>
    <w:rsid w:val="00371A27"/>
    <w:rsid w:val="00371A71"/>
    <w:rsid w:val="00371B0B"/>
    <w:rsid w:val="00371BB8"/>
    <w:rsid w:val="00371DA6"/>
    <w:rsid w:val="00371E8A"/>
    <w:rsid w:val="00371EB7"/>
    <w:rsid w:val="00371F3E"/>
    <w:rsid w:val="003720E9"/>
    <w:rsid w:val="00372210"/>
    <w:rsid w:val="003722B1"/>
    <w:rsid w:val="003722E1"/>
    <w:rsid w:val="00372411"/>
    <w:rsid w:val="0037249F"/>
    <w:rsid w:val="00372526"/>
    <w:rsid w:val="003725E7"/>
    <w:rsid w:val="0037279F"/>
    <w:rsid w:val="00372874"/>
    <w:rsid w:val="0037290A"/>
    <w:rsid w:val="0037290D"/>
    <w:rsid w:val="003729A5"/>
    <w:rsid w:val="00372AF4"/>
    <w:rsid w:val="00372C15"/>
    <w:rsid w:val="00372D33"/>
    <w:rsid w:val="00372D58"/>
    <w:rsid w:val="00372D5B"/>
    <w:rsid w:val="00372DEA"/>
    <w:rsid w:val="00372E95"/>
    <w:rsid w:val="00372ED3"/>
    <w:rsid w:val="00372FBA"/>
    <w:rsid w:val="0037315E"/>
    <w:rsid w:val="003732B0"/>
    <w:rsid w:val="00373317"/>
    <w:rsid w:val="0037343A"/>
    <w:rsid w:val="0037345C"/>
    <w:rsid w:val="003736B6"/>
    <w:rsid w:val="003736DE"/>
    <w:rsid w:val="003737DD"/>
    <w:rsid w:val="003738D8"/>
    <w:rsid w:val="00373950"/>
    <w:rsid w:val="00373A16"/>
    <w:rsid w:val="00373AEF"/>
    <w:rsid w:val="00373AF3"/>
    <w:rsid w:val="00373B63"/>
    <w:rsid w:val="00373BDF"/>
    <w:rsid w:val="00373D48"/>
    <w:rsid w:val="00373E78"/>
    <w:rsid w:val="00373ED9"/>
    <w:rsid w:val="00373EFA"/>
    <w:rsid w:val="0037403E"/>
    <w:rsid w:val="003740A3"/>
    <w:rsid w:val="003741B8"/>
    <w:rsid w:val="003742D5"/>
    <w:rsid w:val="003742D8"/>
    <w:rsid w:val="003742F5"/>
    <w:rsid w:val="003743F0"/>
    <w:rsid w:val="00374573"/>
    <w:rsid w:val="003745E9"/>
    <w:rsid w:val="0037468E"/>
    <w:rsid w:val="003746B9"/>
    <w:rsid w:val="003746F2"/>
    <w:rsid w:val="00374747"/>
    <w:rsid w:val="003747CB"/>
    <w:rsid w:val="00374923"/>
    <w:rsid w:val="00374ACB"/>
    <w:rsid w:val="00374C13"/>
    <w:rsid w:val="00374F47"/>
    <w:rsid w:val="00375027"/>
    <w:rsid w:val="003750BF"/>
    <w:rsid w:val="003751F0"/>
    <w:rsid w:val="00375328"/>
    <w:rsid w:val="0037569B"/>
    <w:rsid w:val="003756B7"/>
    <w:rsid w:val="00375727"/>
    <w:rsid w:val="0037578E"/>
    <w:rsid w:val="00375908"/>
    <w:rsid w:val="0037596A"/>
    <w:rsid w:val="00375AEC"/>
    <w:rsid w:val="00375B5D"/>
    <w:rsid w:val="00375BDE"/>
    <w:rsid w:val="00375E68"/>
    <w:rsid w:val="00375E97"/>
    <w:rsid w:val="00375EB7"/>
    <w:rsid w:val="00375F51"/>
    <w:rsid w:val="00376049"/>
    <w:rsid w:val="003760E2"/>
    <w:rsid w:val="003762F3"/>
    <w:rsid w:val="00376354"/>
    <w:rsid w:val="00376384"/>
    <w:rsid w:val="00376500"/>
    <w:rsid w:val="00376503"/>
    <w:rsid w:val="003767E8"/>
    <w:rsid w:val="0037688A"/>
    <w:rsid w:val="003768A7"/>
    <w:rsid w:val="003768B8"/>
    <w:rsid w:val="00376A39"/>
    <w:rsid w:val="00376A92"/>
    <w:rsid w:val="00376B19"/>
    <w:rsid w:val="00376B32"/>
    <w:rsid w:val="00376B7A"/>
    <w:rsid w:val="00376CD2"/>
    <w:rsid w:val="00376DEB"/>
    <w:rsid w:val="00376EF8"/>
    <w:rsid w:val="00376F59"/>
    <w:rsid w:val="00377005"/>
    <w:rsid w:val="00377117"/>
    <w:rsid w:val="0037715D"/>
    <w:rsid w:val="003771AE"/>
    <w:rsid w:val="00377260"/>
    <w:rsid w:val="003772AF"/>
    <w:rsid w:val="003773CA"/>
    <w:rsid w:val="00377407"/>
    <w:rsid w:val="00377495"/>
    <w:rsid w:val="003774A9"/>
    <w:rsid w:val="003774F2"/>
    <w:rsid w:val="0037765B"/>
    <w:rsid w:val="0037768A"/>
    <w:rsid w:val="0037773D"/>
    <w:rsid w:val="003777FA"/>
    <w:rsid w:val="00377A0C"/>
    <w:rsid w:val="00377AF0"/>
    <w:rsid w:val="00377C60"/>
    <w:rsid w:val="00377D8B"/>
    <w:rsid w:val="00377DFD"/>
    <w:rsid w:val="00377F09"/>
    <w:rsid w:val="00377FC3"/>
    <w:rsid w:val="00380100"/>
    <w:rsid w:val="003802FD"/>
    <w:rsid w:val="0038030C"/>
    <w:rsid w:val="00380422"/>
    <w:rsid w:val="00380561"/>
    <w:rsid w:val="003805DD"/>
    <w:rsid w:val="00380656"/>
    <w:rsid w:val="0038067E"/>
    <w:rsid w:val="00380817"/>
    <w:rsid w:val="003808D7"/>
    <w:rsid w:val="00380974"/>
    <w:rsid w:val="00380C1A"/>
    <w:rsid w:val="00380D8B"/>
    <w:rsid w:val="00380E85"/>
    <w:rsid w:val="00380FD3"/>
    <w:rsid w:val="0038115C"/>
    <w:rsid w:val="0038133F"/>
    <w:rsid w:val="003813DB"/>
    <w:rsid w:val="003815EF"/>
    <w:rsid w:val="00381637"/>
    <w:rsid w:val="00381644"/>
    <w:rsid w:val="00381896"/>
    <w:rsid w:val="003818E4"/>
    <w:rsid w:val="00381944"/>
    <w:rsid w:val="00381AA8"/>
    <w:rsid w:val="00381BAA"/>
    <w:rsid w:val="00381CAA"/>
    <w:rsid w:val="00381D83"/>
    <w:rsid w:val="00381D91"/>
    <w:rsid w:val="00381DE9"/>
    <w:rsid w:val="00381E53"/>
    <w:rsid w:val="00381F86"/>
    <w:rsid w:val="00381FA3"/>
    <w:rsid w:val="00382104"/>
    <w:rsid w:val="003821BF"/>
    <w:rsid w:val="0038220D"/>
    <w:rsid w:val="003824AD"/>
    <w:rsid w:val="00382539"/>
    <w:rsid w:val="003826A8"/>
    <w:rsid w:val="003826E0"/>
    <w:rsid w:val="0038272C"/>
    <w:rsid w:val="0038278B"/>
    <w:rsid w:val="00382840"/>
    <w:rsid w:val="00382A38"/>
    <w:rsid w:val="00382AAE"/>
    <w:rsid w:val="00382ACB"/>
    <w:rsid w:val="00382C54"/>
    <w:rsid w:val="00382DA5"/>
    <w:rsid w:val="00382DDA"/>
    <w:rsid w:val="00382E1C"/>
    <w:rsid w:val="00382E69"/>
    <w:rsid w:val="00382E8A"/>
    <w:rsid w:val="00382ECA"/>
    <w:rsid w:val="00383018"/>
    <w:rsid w:val="0038307A"/>
    <w:rsid w:val="00383113"/>
    <w:rsid w:val="003831E2"/>
    <w:rsid w:val="003833B4"/>
    <w:rsid w:val="003833F5"/>
    <w:rsid w:val="00383581"/>
    <w:rsid w:val="0038377F"/>
    <w:rsid w:val="003838B8"/>
    <w:rsid w:val="0038395A"/>
    <w:rsid w:val="00383A0D"/>
    <w:rsid w:val="00383A10"/>
    <w:rsid w:val="00383AA4"/>
    <w:rsid w:val="00383B21"/>
    <w:rsid w:val="00383BAB"/>
    <w:rsid w:val="00383D41"/>
    <w:rsid w:val="00383D61"/>
    <w:rsid w:val="00383D80"/>
    <w:rsid w:val="00383ECC"/>
    <w:rsid w:val="0038440C"/>
    <w:rsid w:val="003845FB"/>
    <w:rsid w:val="003846CC"/>
    <w:rsid w:val="00384771"/>
    <w:rsid w:val="00384884"/>
    <w:rsid w:val="0038490F"/>
    <w:rsid w:val="00384A75"/>
    <w:rsid w:val="00384A99"/>
    <w:rsid w:val="00384ADF"/>
    <w:rsid w:val="00384AEE"/>
    <w:rsid w:val="00384D6B"/>
    <w:rsid w:val="00384E20"/>
    <w:rsid w:val="00384E73"/>
    <w:rsid w:val="00384ED7"/>
    <w:rsid w:val="003850B4"/>
    <w:rsid w:val="003851D3"/>
    <w:rsid w:val="003851FA"/>
    <w:rsid w:val="003852DA"/>
    <w:rsid w:val="003853ED"/>
    <w:rsid w:val="0038540B"/>
    <w:rsid w:val="00385548"/>
    <w:rsid w:val="003855E0"/>
    <w:rsid w:val="003855EA"/>
    <w:rsid w:val="00385624"/>
    <w:rsid w:val="0038586D"/>
    <w:rsid w:val="00385912"/>
    <w:rsid w:val="0038595B"/>
    <w:rsid w:val="003859B5"/>
    <w:rsid w:val="00385A37"/>
    <w:rsid w:val="00385A3D"/>
    <w:rsid w:val="00385BB5"/>
    <w:rsid w:val="00385C6D"/>
    <w:rsid w:val="00385D6A"/>
    <w:rsid w:val="00385DF6"/>
    <w:rsid w:val="00386012"/>
    <w:rsid w:val="003860BE"/>
    <w:rsid w:val="0038620D"/>
    <w:rsid w:val="00386480"/>
    <w:rsid w:val="0038648A"/>
    <w:rsid w:val="0038657A"/>
    <w:rsid w:val="0038661D"/>
    <w:rsid w:val="003866AC"/>
    <w:rsid w:val="003866F6"/>
    <w:rsid w:val="003867C8"/>
    <w:rsid w:val="0038685F"/>
    <w:rsid w:val="003868EC"/>
    <w:rsid w:val="0038690A"/>
    <w:rsid w:val="00386A45"/>
    <w:rsid w:val="00386A65"/>
    <w:rsid w:val="00386AAF"/>
    <w:rsid w:val="00386AF0"/>
    <w:rsid w:val="00386BC0"/>
    <w:rsid w:val="00386CC9"/>
    <w:rsid w:val="003870DC"/>
    <w:rsid w:val="0038715B"/>
    <w:rsid w:val="00387241"/>
    <w:rsid w:val="0038739E"/>
    <w:rsid w:val="003873A8"/>
    <w:rsid w:val="0038742F"/>
    <w:rsid w:val="003874FE"/>
    <w:rsid w:val="003875FB"/>
    <w:rsid w:val="00387747"/>
    <w:rsid w:val="00387768"/>
    <w:rsid w:val="003877A0"/>
    <w:rsid w:val="0038782A"/>
    <w:rsid w:val="00387879"/>
    <w:rsid w:val="00387A87"/>
    <w:rsid w:val="00387AC7"/>
    <w:rsid w:val="00387B74"/>
    <w:rsid w:val="00387C13"/>
    <w:rsid w:val="00387C16"/>
    <w:rsid w:val="00387CC4"/>
    <w:rsid w:val="00387CE6"/>
    <w:rsid w:val="00387D5D"/>
    <w:rsid w:val="00387DCB"/>
    <w:rsid w:val="00387E4D"/>
    <w:rsid w:val="00387EAA"/>
    <w:rsid w:val="00387EE3"/>
    <w:rsid w:val="00387FD3"/>
    <w:rsid w:val="0039005C"/>
    <w:rsid w:val="00390088"/>
    <w:rsid w:val="003901D2"/>
    <w:rsid w:val="003901D6"/>
    <w:rsid w:val="0039025F"/>
    <w:rsid w:val="0039028F"/>
    <w:rsid w:val="003902A9"/>
    <w:rsid w:val="003906A3"/>
    <w:rsid w:val="0039072C"/>
    <w:rsid w:val="0039087D"/>
    <w:rsid w:val="00390958"/>
    <w:rsid w:val="00390ACF"/>
    <w:rsid w:val="00390C3C"/>
    <w:rsid w:val="00390CDF"/>
    <w:rsid w:val="00390D75"/>
    <w:rsid w:val="00390D7D"/>
    <w:rsid w:val="00390E44"/>
    <w:rsid w:val="00390F44"/>
    <w:rsid w:val="00390FEB"/>
    <w:rsid w:val="003910DB"/>
    <w:rsid w:val="0039129F"/>
    <w:rsid w:val="00391441"/>
    <w:rsid w:val="00391561"/>
    <w:rsid w:val="003916CA"/>
    <w:rsid w:val="003916F3"/>
    <w:rsid w:val="0039172C"/>
    <w:rsid w:val="00391867"/>
    <w:rsid w:val="00391889"/>
    <w:rsid w:val="003918FC"/>
    <w:rsid w:val="00391991"/>
    <w:rsid w:val="003919FD"/>
    <w:rsid w:val="00391A2C"/>
    <w:rsid w:val="00391BE4"/>
    <w:rsid w:val="00391C16"/>
    <w:rsid w:val="00391C8B"/>
    <w:rsid w:val="00391CED"/>
    <w:rsid w:val="00391D74"/>
    <w:rsid w:val="00391DB9"/>
    <w:rsid w:val="00391DCF"/>
    <w:rsid w:val="00391E5D"/>
    <w:rsid w:val="00391E89"/>
    <w:rsid w:val="00391F04"/>
    <w:rsid w:val="00392047"/>
    <w:rsid w:val="00392069"/>
    <w:rsid w:val="00392351"/>
    <w:rsid w:val="00392488"/>
    <w:rsid w:val="0039249E"/>
    <w:rsid w:val="003924C2"/>
    <w:rsid w:val="003924E7"/>
    <w:rsid w:val="003926D9"/>
    <w:rsid w:val="00392725"/>
    <w:rsid w:val="0039282A"/>
    <w:rsid w:val="0039283D"/>
    <w:rsid w:val="0039299D"/>
    <w:rsid w:val="00392B33"/>
    <w:rsid w:val="00392C93"/>
    <w:rsid w:val="00392D64"/>
    <w:rsid w:val="00392E5B"/>
    <w:rsid w:val="00392F97"/>
    <w:rsid w:val="00392FF8"/>
    <w:rsid w:val="003930BB"/>
    <w:rsid w:val="00393200"/>
    <w:rsid w:val="0039334E"/>
    <w:rsid w:val="003933B2"/>
    <w:rsid w:val="00393472"/>
    <w:rsid w:val="003934A3"/>
    <w:rsid w:val="003934AD"/>
    <w:rsid w:val="0039353F"/>
    <w:rsid w:val="003936D1"/>
    <w:rsid w:val="003936F7"/>
    <w:rsid w:val="00393848"/>
    <w:rsid w:val="00393992"/>
    <w:rsid w:val="003939EC"/>
    <w:rsid w:val="003939ED"/>
    <w:rsid w:val="00393A6A"/>
    <w:rsid w:val="00393AC1"/>
    <w:rsid w:val="00393AC3"/>
    <w:rsid w:val="00393B43"/>
    <w:rsid w:val="00393C67"/>
    <w:rsid w:val="00393CB1"/>
    <w:rsid w:val="00393E01"/>
    <w:rsid w:val="00393E1E"/>
    <w:rsid w:val="00393E39"/>
    <w:rsid w:val="00393F1B"/>
    <w:rsid w:val="00393F8B"/>
    <w:rsid w:val="00393F98"/>
    <w:rsid w:val="003940AA"/>
    <w:rsid w:val="00394198"/>
    <w:rsid w:val="00394246"/>
    <w:rsid w:val="0039426A"/>
    <w:rsid w:val="0039427F"/>
    <w:rsid w:val="0039432C"/>
    <w:rsid w:val="003947F4"/>
    <w:rsid w:val="003948B9"/>
    <w:rsid w:val="00394A0B"/>
    <w:rsid w:val="00394A14"/>
    <w:rsid w:val="00394AFE"/>
    <w:rsid w:val="00394C26"/>
    <w:rsid w:val="00394D79"/>
    <w:rsid w:val="00394E0C"/>
    <w:rsid w:val="00394F32"/>
    <w:rsid w:val="00394F8D"/>
    <w:rsid w:val="0039506F"/>
    <w:rsid w:val="00395280"/>
    <w:rsid w:val="003953ED"/>
    <w:rsid w:val="00395431"/>
    <w:rsid w:val="00395437"/>
    <w:rsid w:val="003955CE"/>
    <w:rsid w:val="0039561D"/>
    <w:rsid w:val="00395667"/>
    <w:rsid w:val="0039567A"/>
    <w:rsid w:val="0039573A"/>
    <w:rsid w:val="00395907"/>
    <w:rsid w:val="00395D17"/>
    <w:rsid w:val="00395DCF"/>
    <w:rsid w:val="00396077"/>
    <w:rsid w:val="00396239"/>
    <w:rsid w:val="0039625D"/>
    <w:rsid w:val="003965C7"/>
    <w:rsid w:val="003965CA"/>
    <w:rsid w:val="003965CF"/>
    <w:rsid w:val="003965DE"/>
    <w:rsid w:val="00396624"/>
    <w:rsid w:val="0039666E"/>
    <w:rsid w:val="003966D0"/>
    <w:rsid w:val="003967A1"/>
    <w:rsid w:val="003967EB"/>
    <w:rsid w:val="00396816"/>
    <w:rsid w:val="00396924"/>
    <w:rsid w:val="003969A7"/>
    <w:rsid w:val="00396A3A"/>
    <w:rsid w:val="00396C4F"/>
    <w:rsid w:val="00396C5A"/>
    <w:rsid w:val="00396C78"/>
    <w:rsid w:val="00396DF6"/>
    <w:rsid w:val="00396E5F"/>
    <w:rsid w:val="00396E6A"/>
    <w:rsid w:val="00396EB8"/>
    <w:rsid w:val="00396EDD"/>
    <w:rsid w:val="00396F78"/>
    <w:rsid w:val="00396FAC"/>
    <w:rsid w:val="00396FAF"/>
    <w:rsid w:val="00396FE7"/>
    <w:rsid w:val="00397087"/>
    <w:rsid w:val="003970DA"/>
    <w:rsid w:val="00397105"/>
    <w:rsid w:val="003971DD"/>
    <w:rsid w:val="00397229"/>
    <w:rsid w:val="00397268"/>
    <w:rsid w:val="003972E5"/>
    <w:rsid w:val="0039741E"/>
    <w:rsid w:val="0039744C"/>
    <w:rsid w:val="003975C1"/>
    <w:rsid w:val="0039776A"/>
    <w:rsid w:val="003977EA"/>
    <w:rsid w:val="00397946"/>
    <w:rsid w:val="00397995"/>
    <w:rsid w:val="00397A3D"/>
    <w:rsid w:val="00397AB0"/>
    <w:rsid w:val="00397B68"/>
    <w:rsid w:val="00397B6C"/>
    <w:rsid w:val="00397C61"/>
    <w:rsid w:val="003A0000"/>
    <w:rsid w:val="003A01AF"/>
    <w:rsid w:val="003A0328"/>
    <w:rsid w:val="003A03A2"/>
    <w:rsid w:val="003A03E2"/>
    <w:rsid w:val="003A0564"/>
    <w:rsid w:val="003A06DA"/>
    <w:rsid w:val="003A0836"/>
    <w:rsid w:val="003A08E6"/>
    <w:rsid w:val="003A096E"/>
    <w:rsid w:val="003A09C1"/>
    <w:rsid w:val="003A0B3F"/>
    <w:rsid w:val="003A0CF7"/>
    <w:rsid w:val="003A0D82"/>
    <w:rsid w:val="003A0F58"/>
    <w:rsid w:val="003A0F70"/>
    <w:rsid w:val="003A0F8F"/>
    <w:rsid w:val="003A0FA5"/>
    <w:rsid w:val="003A1084"/>
    <w:rsid w:val="003A1142"/>
    <w:rsid w:val="003A12EE"/>
    <w:rsid w:val="003A1540"/>
    <w:rsid w:val="003A1742"/>
    <w:rsid w:val="003A177A"/>
    <w:rsid w:val="003A1795"/>
    <w:rsid w:val="003A1915"/>
    <w:rsid w:val="003A1A73"/>
    <w:rsid w:val="003A1B1D"/>
    <w:rsid w:val="003A1B99"/>
    <w:rsid w:val="003A1BA7"/>
    <w:rsid w:val="003A1C20"/>
    <w:rsid w:val="003A1C52"/>
    <w:rsid w:val="003A1D42"/>
    <w:rsid w:val="003A1DDB"/>
    <w:rsid w:val="003A1E32"/>
    <w:rsid w:val="003A1E59"/>
    <w:rsid w:val="003A20F4"/>
    <w:rsid w:val="003A2117"/>
    <w:rsid w:val="003A2184"/>
    <w:rsid w:val="003A238B"/>
    <w:rsid w:val="003A23AF"/>
    <w:rsid w:val="003A23B3"/>
    <w:rsid w:val="003A2418"/>
    <w:rsid w:val="003A2564"/>
    <w:rsid w:val="003A25CD"/>
    <w:rsid w:val="003A25F7"/>
    <w:rsid w:val="003A26C3"/>
    <w:rsid w:val="003A287E"/>
    <w:rsid w:val="003A28A2"/>
    <w:rsid w:val="003A29E4"/>
    <w:rsid w:val="003A2A57"/>
    <w:rsid w:val="003A2CF5"/>
    <w:rsid w:val="003A2DEF"/>
    <w:rsid w:val="003A2EBF"/>
    <w:rsid w:val="003A2F24"/>
    <w:rsid w:val="003A2F52"/>
    <w:rsid w:val="003A30BE"/>
    <w:rsid w:val="003A3376"/>
    <w:rsid w:val="003A344D"/>
    <w:rsid w:val="003A3454"/>
    <w:rsid w:val="003A354A"/>
    <w:rsid w:val="003A35B8"/>
    <w:rsid w:val="003A367A"/>
    <w:rsid w:val="003A36E9"/>
    <w:rsid w:val="003A370B"/>
    <w:rsid w:val="003A3835"/>
    <w:rsid w:val="003A3916"/>
    <w:rsid w:val="003A391F"/>
    <w:rsid w:val="003A3A5F"/>
    <w:rsid w:val="003A3AF8"/>
    <w:rsid w:val="003A3D7E"/>
    <w:rsid w:val="003A3DC1"/>
    <w:rsid w:val="003A3E4B"/>
    <w:rsid w:val="003A3E73"/>
    <w:rsid w:val="003A3ED0"/>
    <w:rsid w:val="003A411F"/>
    <w:rsid w:val="003A443E"/>
    <w:rsid w:val="003A467C"/>
    <w:rsid w:val="003A46F6"/>
    <w:rsid w:val="003A48EE"/>
    <w:rsid w:val="003A4951"/>
    <w:rsid w:val="003A4B08"/>
    <w:rsid w:val="003A4B5E"/>
    <w:rsid w:val="003A4C16"/>
    <w:rsid w:val="003A4C77"/>
    <w:rsid w:val="003A4CA4"/>
    <w:rsid w:val="003A4D13"/>
    <w:rsid w:val="003A4D5D"/>
    <w:rsid w:val="003A4DBE"/>
    <w:rsid w:val="003A4FE0"/>
    <w:rsid w:val="003A50BF"/>
    <w:rsid w:val="003A5243"/>
    <w:rsid w:val="003A5287"/>
    <w:rsid w:val="003A536E"/>
    <w:rsid w:val="003A537E"/>
    <w:rsid w:val="003A54DC"/>
    <w:rsid w:val="003A562B"/>
    <w:rsid w:val="003A573C"/>
    <w:rsid w:val="003A5789"/>
    <w:rsid w:val="003A5AB7"/>
    <w:rsid w:val="003A5AD1"/>
    <w:rsid w:val="003A5AFB"/>
    <w:rsid w:val="003A5B45"/>
    <w:rsid w:val="003A5C56"/>
    <w:rsid w:val="003A5CDB"/>
    <w:rsid w:val="003A5D19"/>
    <w:rsid w:val="003A5E2D"/>
    <w:rsid w:val="003A5E62"/>
    <w:rsid w:val="003A5E8A"/>
    <w:rsid w:val="003A5E97"/>
    <w:rsid w:val="003A602E"/>
    <w:rsid w:val="003A6090"/>
    <w:rsid w:val="003A6101"/>
    <w:rsid w:val="003A6178"/>
    <w:rsid w:val="003A6203"/>
    <w:rsid w:val="003A620E"/>
    <w:rsid w:val="003A6250"/>
    <w:rsid w:val="003A6285"/>
    <w:rsid w:val="003A64B9"/>
    <w:rsid w:val="003A6533"/>
    <w:rsid w:val="003A6561"/>
    <w:rsid w:val="003A66B4"/>
    <w:rsid w:val="003A674B"/>
    <w:rsid w:val="003A67AD"/>
    <w:rsid w:val="003A6873"/>
    <w:rsid w:val="003A68AD"/>
    <w:rsid w:val="003A6923"/>
    <w:rsid w:val="003A696A"/>
    <w:rsid w:val="003A69BA"/>
    <w:rsid w:val="003A6A52"/>
    <w:rsid w:val="003A6C26"/>
    <w:rsid w:val="003A6D24"/>
    <w:rsid w:val="003A6EF8"/>
    <w:rsid w:val="003A6F0B"/>
    <w:rsid w:val="003A70EC"/>
    <w:rsid w:val="003A7327"/>
    <w:rsid w:val="003A736A"/>
    <w:rsid w:val="003A73E9"/>
    <w:rsid w:val="003A7458"/>
    <w:rsid w:val="003A7585"/>
    <w:rsid w:val="003A75A7"/>
    <w:rsid w:val="003A7648"/>
    <w:rsid w:val="003A769C"/>
    <w:rsid w:val="003A76E5"/>
    <w:rsid w:val="003A7749"/>
    <w:rsid w:val="003A775E"/>
    <w:rsid w:val="003A77DB"/>
    <w:rsid w:val="003A7806"/>
    <w:rsid w:val="003A782A"/>
    <w:rsid w:val="003A78FE"/>
    <w:rsid w:val="003A7A1B"/>
    <w:rsid w:val="003A7AEA"/>
    <w:rsid w:val="003A7B28"/>
    <w:rsid w:val="003A7BFD"/>
    <w:rsid w:val="003A7C01"/>
    <w:rsid w:val="003A7C53"/>
    <w:rsid w:val="003A7CBB"/>
    <w:rsid w:val="003A7CD1"/>
    <w:rsid w:val="003A7D50"/>
    <w:rsid w:val="003A7DAC"/>
    <w:rsid w:val="003A7EAA"/>
    <w:rsid w:val="003B000A"/>
    <w:rsid w:val="003B01BF"/>
    <w:rsid w:val="003B01F3"/>
    <w:rsid w:val="003B02FD"/>
    <w:rsid w:val="003B0311"/>
    <w:rsid w:val="003B0583"/>
    <w:rsid w:val="003B05BB"/>
    <w:rsid w:val="003B0635"/>
    <w:rsid w:val="003B0636"/>
    <w:rsid w:val="003B0665"/>
    <w:rsid w:val="003B0682"/>
    <w:rsid w:val="003B07F5"/>
    <w:rsid w:val="003B08F4"/>
    <w:rsid w:val="003B0A00"/>
    <w:rsid w:val="003B0B1E"/>
    <w:rsid w:val="003B0CF5"/>
    <w:rsid w:val="003B0D5E"/>
    <w:rsid w:val="003B0D66"/>
    <w:rsid w:val="003B0F5B"/>
    <w:rsid w:val="003B0F6F"/>
    <w:rsid w:val="003B0F84"/>
    <w:rsid w:val="003B1046"/>
    <w:rsid w:val="003B1252"/>
    <w:rsid w:val="003B1379"/>
    <w:rsid w:val="003B171E"/>
    <w:rsid w:val="003B189D"/>
    <w:rsid w:val="003B18F3"/>
    <w:rsid w:val="003B1941"/>
    <w:rsid w:val="003B1A1B"/>
    <w:rsid w:val="003B1A36"/>
    <w:rsid w:val="003B1B93"/>
    <w:rsid w:val="003B1C3B"/>
    <w:rsid w:val="003B1DC5"/>
    <w:rsid w:val="003B1DDD"/>
    <w:rsid w:val="003B1F7B"/>
    <w:rsid w:val="003B1FCC"/>
    <w:rsid w:val="003B1FE3"/>
    <w:rsid w:val="003B20C0"/>
    <w:rsid w:val="003B2195"/>
    <w:rsid w:val="003B2434"/>
    <w:rsid w:val="003B2591"/>
    <w:rsid w:val="003B25BF"/>
    <w:rsid w:val="003B26E2"/>
    <w:rsid w:val="003B2701"/>
    <w:rsid w:val="003B286C"/>
    <w:rsid w:val="003B2A51"/>
    <w:rsid w:val="003B2A56"/>
    <w:rsid w:val="003B2A78"/>
    <w:rsid w:val="003B2AF3"/>
    <w:rsid w:val="003B2BA2"/>
    <w:rsid w:val="003B2C31"/>
    <w:rsid w:val="003B2C48"/>
    <w:rsid w:val="003B2CBC"/>
    <w:rsid w:val="003B2D78"/>
    <w:rsid w:val="003B2D7F"/>
    <w:rsid w:val="003B2E38"/>
    <w:rsid w:val="003B2F5C"/>
    <w:rsid w:val="003B3385"/>
    <w:rsid w:val="003B33B7"/>
    <w:rsid w:val="003B3405"/>
    <w:rsid w:val="003B3408"/>
    <w:rsid w:val="003B341C"/>
    <w:rsid w:val="003B3653"/>
    <w:rsid w:val="003B371E"/>
    <w:rsid w:val="003B392E"/>
    <w:rsid w:val="003B395C"/>
    <w:rsid w:val="003B3A78"/>
    <w:rsid w:val="003B3C0B"/>
    <w:rsid w:val="003B3CFA"/>
    <w:rsid w:val="003B3D41"/>
    <w:rsid w:val="003B3DFA"/>
    <w:rsid w:val="003B3ECE"/>
    <w:rsid w:val="003B3EDD"/>
    <w:rsid w:val="003B3F74"/>
    <w:rsid w:val="003B3F7E"/>
    <w:rsid w:val="003B3F89"/>
    <w:rsid w:val="003B4092"/>
    <w:rsid w:val="003B43DA"/>
    <w:rsid w:val="003B4471"/>
    <w:rsid w:val="003B4550"/>
    <w:rsid w:val="003B4568"/>
    <w:rsid w:val="003B45CA"/>
    <w:rsid w:val="003B45E1"/>
    <w:rsid w:val="003B45E2"/>
    <w:rsid w:val="003B4674"/>
    <w:rsid w:val="003B476A"/>
    <w:rsid w:val="003B4795"/>
    <w:rsid w:val="003B48ED"/>
    <w:rsid w:val="003B496F"/>
    <w:rsid w:val="003B49B4"/>
    <w:rsid w:val="003B4AF9"/>
    <w:rsid w:val="003B4BA3"/>
    <w:rsid w:val="003B4BED"/>
    <w:rsid w:val="003B4C68"/>
    <w:rsid w:val="003B4D4C"/>
    <w:rsid w:val="003B4E26"/>
    <w:rsid w:val="003B4E51"/>
    <w:rsid w:val="003B4EE1"/>
    <w:rsid w:val="003B500C"/>
    <w:rsid w:val="003B5084"/>
    <w:rsid w:val="003B50CE"/>
    <w:rsid w:val="003B50CF"/>
    <w:rsid w:val="003B51D1"/>
    <w:rsid w:val="003B5257"/>
    <w:rsid w:val="003B5496"/>
    <w:rsid w:val="003B5569"/>
    <w:rsid w:val="003B55E1"/>
    <w:rsid w:val="003B5646"/>
    <w:rsid w:val="003B595B"/>
    <w:rsid w:val="003B5AB1"/>
    <w:rsid w:val="003B5AB9"/>
    <w:rsid w:val="003B5BFF"/>
    <w:rsid w:val="003B5C92"/>
    <w:rsid w:val="003B5D75"/>
    <w:rsid w:val="003B5E07"/>
    <w:rsid w:val="003B5E70"/>
    <w:rsid w:val="003B5F0E"/>
    <w:rsid w:val="003B626C"/>
    <w:rsid w:val="003B6351"/>
    <w:rsid w:val="003B63F5"/>
    <w:rsid w:val="003B63F6"/>
    <w:rsid w:val="003B64D9"/>
    <w:rsid w:val="003B65B3"/>
    <w:rsid w:val="003B65E0"/>
    <w:rsid w:val="003B6649"/>
    <w:rsid w:val="003B6693"/>
    <w:rsid w:val="003B6694"/>
    <w:rsid w:val="003B66EA"/>
    <w:rsid w:val="003B674B"/>
    <w:rsid w:val="003B677D"/>
    <w:rsid w:val="003B67A0"/>
    <w:rsid w:val="003B6837"/>
    <w:rsid w:val="003B68C2"/>
    <w:rsid w:val="003B695F"/>
    <w:rsid w:val="003B69AB"/>
    <w:rsid w:val="003B6A34"/>
    <w:rsid w:val="003B6A8E"/>
    <w:rsid w:val="003B6BF1"/>
    <w:rsid w:val="003B6E12"/>
    <w:rsid w:val="003B6E84"/>
    <w:rsid w:val="003B7208"/>
    <w:rsid w:val="003B7352"/>
    <w:rsid w:val="003B7567"/>
    <w:rsid w:val="003B75FB"/>
    <w:rsid w:val="003B76A3"/>
    <w:rsid w:val="003B7854"/>
    <w:rsid w:val="003B78CD"/>
    <w:rsid w:val="003B7900"/>
    <w:rsid w:val="003B791C"/>
    <w:rsid w:val="003B791D"/>
    <w:rsid w:val="003B7BE3"/>
    <w:rsid w:val="003B7C2D"/>
    <w:rsid w:val="003B7C59"/>
    <w:rsid w:val="003B7C7F"/>
    <w:rsid w:val="003B7CF0"/>
    <w:rsid w:val="003B7DAE"/>
    <w:rsid w:val="003B7E62"/>
    <w:rsid w:val="003B7FC2"/>
    <w:rsid w:val="003C002F"/>
    <w:rsid w:val="003C0097"/>
    <w:rsid w:val="003C00A0"/>
    <w:rsid w:val="003C015A"/>
    <w:rsid w:val="003C019E"/>
    <w:rsid w:val="003C01C8"/>
    <w:rsid w:val="003C023A"/>
    <w:rsid w:val="003C065D"/>
    <w:rsid w:val="003C06B3"/>
    <w:rsid w:val="003C0947"/>
    <w:rsid w:val="003C0B05"/>
    <w:rsid w:val="003C0B2F"/>
    <w:rsid w:val="003C0B79"/>
    <w:rsid w:val="003C0CCF"/>
    <w:rsid w:val="003C0CE3"/>
    <w:rsid w:val="003C0D79"/>
    <w:rsid w:val="003C0E8C"/>
    <w:rsid w:val="003C0EB8"/>
    <w:rsid w:val="003C0F56"/>
    <w:rsid w:val="003C1045"/>
    <w:rsid w:val="003C1051"/>
    <w:rsid w:val="003C1195"/>
    <w:rsid w:val="003C1209"/>
    <w:rsid w:val="003C120C"/>
    <w:rsid w:val="003C1314"/>
    <w:rsid w:val="003C1427"/>
    <w:rsid w:val="003C14D3"/>
    <w:rsid w:val="003C1683"/>
    <w:rsid w:val="003C1776"/>
    <w:rsid w:val="003C1784"/>
    <w:rsid w:val="003C18A5"/>
    <w:rsid w:val="003C1923"/>
    <w:rsid w:val="003C1D9A"/>
    <w:rsid w:val="003C1E30"/>
    <w:rsid w:val="003C1E37"/>
    <w:rsid w:val="003C1EE5"/>
    <w:rsid w:val="003C1EF1"/>
    <w:rsid w:val="003C1F3B"/>
    <w:rsid w:val="003C1FD8"/>
    <w:rsid w:val="003C2006"/>
    <w:rsid w:val="003C20AE"/>
    <w:rsid w:val="003C22E4"/>
    <w:rsid w:val="003C234E"/>
    <w:rsid w:val="003C23CA"/>
    <w:rsid w:val="003C24C9"/>
    <w:rsid w:val="003C2562"/>
    <w:rsid w:val="003C26EA"/>
    <w:rsid w:val="003C2770"/>
    <w:rsid w:val="003C28B5"/>
    <w:rsid w:val="003C295B"/>
    <w:rsid w:val="003C29F9"/>
    <w:rsid w:val="003C2A96"/>
    <w:rsid w:val="003C2C78"/>
    <w:rsid w:val="003C2E51"/>
    <w:rsid w:val="003C2E7B"/>
    <w:rsid w:val="003C2EAF"/>
    <w:rsid w:val="003C3096"/>
    <w:rsid w:val="003C30A4"/>
    <w:rsid w:val="003C3149"/>
    <w:rsid w:val="003C3279"/>
    <w:rsid w:val="003C330C"/>
    <w:rsid w:val="003C35B6"/>
    <w:rsid w:val="003C3694"/>
    <w:rsid w:val="003C3736"/>
    <w:rsid w:val="003C3742"/>
    <w:rsid w:val="003C3743"/>
    <w:rsid w:val="003C38F4"/>
    <w:rsid w:val="003C3A9F"/>
    <w:rsid w:val="003C3C43"/>
    <w:rsid w:val="003C3D45"/>
    <w:rsid w:val="003C3EDD"/>
    <w:rsid w:val="003C3F19"/>
    <w:rsid w:val="003C407D"/>
    <w:rsid w:val="003C4128"/>
    <w:rsid w:val="003C42FC"/>
    <w:rsid w:val="003C4382"/>
    <w:rsid w:val="003C446B"/>
    <w:rsid w:val="003C455D"/>
    <w:rsid w:val="003C45F9"/>
    <w:rsid w:val="003C46A8"/>
    <w:rsid w:val="003C471D"/>
    <w:rsid w:val="003C4734"/>
    <w:rsid w:val="003C4809"/>
    <w:rsid w:val="003C4969"/>
    <w:rsid w:val="003C496E"/>
    <w:rsid w:val="003C49D1"/>
    <w:rsid w:val="003C4A91"/>
    <w:rsid w:val="003C4B46"/>
    <w:rsid w:val="003C4BC0"/>
    <w:rsid w:val="003C4D5A"/>
    <w:rsid w:val="003C4D99"/>
    <w:rsid w:val="003C4EC0"/>
    <w:rsid w:val="003C507D"/>
    <w:rsid w:val="003C50A3"/>
    <w:rsid w:val="003C50A7"/>
    <w:rsid w:val="003C50AD"/>
    <w:rsid w:val="003C50E4"/>
    <w:rsid w:val="003C50EB"/>
    <w:rsid w:val="003C5167"/>
    <w:rsid w:val="003C5199"/>
    <w:rsid w:val="003C51A2"/>
    <w:rsid w:val="003C51CD"/>
    <w:rsid w:val="003C52E3"/>
    <w:rsid w:val="003C5304"/>
    <w:rsid w:val="003C54B2"/>
    <w:rsid w:val="003C54DE"/>
    <w:rsid w:val="003C5555"/>
    <w:rsid w:val="003C55C2"/>
    <w:rsid w:val="003C5676"/>
    <w:rsid w:val="003C5680"/>
    <w:rsid w:val="003C5686"/>
    <w:rsid w:val="003C56A3"/>
    <w:rsid w:val="003C57D1"/>
    <w:rsid w:val="003C5888"/>
    <w:rsid w:val="003C59B8"/>
    <w:rsid w:val="003C5A1A"/>
    <w:rsid w:val="003C5A8D"/>
    <w:rsid w:val="003C5AD7"/>
    <w:rsid w:val="003C5B9B"/>
    <w:rsid w:val="003C5C54"/>
    <w:rsid w:val="003C5C72"/>
    <w:rsid w:val="003C5CB2"/>
    <w:rsid w:val="003C5EB5"/>
    <w:rsid w:val="003C5F75"/>
    <w:rsid w:val="003C5F9B"/>
    <w:rsid w:val="003C5FF4"/>
    <w:rsid w:val="003C60D4"/>
    <w:rsid w:val="003C6121"/>
    <w:rsid w:val="003C6156"/>
    <w:rsid w:val="003C6167"/>
    <w:rsid w:val="003C64E0"/>
    <w:rsid w:val="003C64EC"/>
    <w:rsid w:val="003C64F8"/>
    <w:rsid w:val="003C655E"/>
    <w:rsid w:val="003C65D5"/>
    <w:rsid w:val="003C669D"/>
    <w:rsid w:val="003C6751"/>
    <w:rsid w:val="003C6A31"/>
    <w:rsid w:val="003C6B36"/>
    <w:rsid w:val="003C6CB0"/>
    <w:rsid w:val="003C6D52"/>
    <w:rsid w:val="003C6F7E"/>
    <w:rsid w:val="003C6FF0"/>
    <w:rsid w:val="003C70AA"/>
    <w:rsid w:val="003C70D5"/>
    <w:rsid w:val="003C7194"/>
    <w:rsid w:val="003C71D1"/>
    <w:rsid w:val="003C726C"/>
    <w:rsid w:val="003C734C"/>
    <w:rsid w:val="003C73DF"/>
    <w:rsid w:val="003C7406"/>
    <w:rsid w:val="003C7503"/>
    <w:rsid w:val="003C75ED"/>
    <w:rsid w:val="003C774B"/>
    <w:rsid w:val="003C7792"/>
    <w:rsid w:val="003C7847"/>
    <w:rsid w:val="003C7974"/>
    <w:rsid w:val="003C79E2"/>
    <w:rsid w:val="003C7A9D"/>
    <w:rsid w:val="003C7B04"/>
    <w:rsid w:val="003C7B22"/>
    <w:rsid w:val="003C7B26"/>
    <w:rsid w:val="003C7C45"/>
    <w:rsid w:val="003C7C47"/>
    <w:rsid w:val="003C7CD1"/>
    <w:rsid w:val="003C7E66"/>
    <w:rsid w:val="003C7E8A"/>
    <w:rsid w:val="003C7F65"/>
    <w:rsid w:val="003D00CF"/>
    <w:rsid w:val="003D00FF"/>
    <w:rsid w:val="003D0116"/>
    <w:rsid w:val="003D02FE"/>
    <w:rsid w:val="003D03C2"/>
    <w:rsid w:val="003D03EA"/>
    <w:rsid w:val="003D0469"/>
    <w:rsid w:val="003D071D"/>
    <w:rsid w:val="003D0730"/>
    <w:rsid w:val="003D0922"/>
    <w:rsid w:val="003D0BBE"/>
    <w:rsid w:val="003D0BD9"/>
    <w:rsid w:val="003D0BE2"/>
    <w:rsid w:val="003D0D72"/>
    <w:rsid w:val="003D0DE9"/>
    <w:rsid w:val="003D0E4F"/>
    <w:rsid w:val="003D0E92"/>
    <w:rsid w:val="003D0F17"/>
    <w:rsid w:val="003D1008"/>
    <w:rsid w:val="003D10B9"/>
    <w:rsid w:val="003D119F"/>
    <w:rsid w:val="003D13B6"/>
    <w:rsid w:val="003D1535"/>
    <w:rsid w:val="003D15DB"/>
    <w:rsid w:val="003D1625"/>
    <w:rsid w:val="003D1632"/>
    <w:rsid w:val="003D16B2"/>
    <w:rsid w:val="003D1728"/>
    <w:rsid w:val="003D174C"/>
    <w:rsid w:val="003D18FC"/>
    <w:rsid w:val="003D1B1D"/>
    <w:rsid w:val="003D1C6A"/>
    <w:rsid w:val="003D1CBE"/>
    <w:rsid w:val="003D1D04"/>
    <w:rsid w:val="003D1DC6"/>
    <w:rsid w:val="003D1F98"/>
    <w:rsid w:val="003D1F9F"/>
    <w:rsid w:val="003D2016"/>
    <w:rsid w:val="003D20D2"/>
    <w:rsid w:val="003D20F7"/>
    <w:rsid w:val="003D213C"/>
    <w:rsid w:val="003D2166"/>
    <w:rsid w:val="003D21D4"/>
    <w:rsid w:val="003D2246"/>
    <w:rsid w:val="003D22C4"/>
    <w:rsid w:val="003D2695"/>
    <w:rsid w:val="003D2897"/>
    <w:rsid w:val="003D28C2"/>
    <w:rsid w:val="003D2A23"/>
    <w:rsid w:val="003D2AE1"/>
    <w:rsid w:val="003D2C1C"/>
    <w:rsid w:val="003D2E7D"/>
    <w:rsid w:val="003D2ED9"/>
    <w:rsid w:val="003D2F4A"/>
    <w:rsid w:val="003D319D"/>
    <w:rsid w:val="003D365C"/>
    <w:rsid w:val="003D3760"/>
    <w:rsid w:val="003D38BA"/>
    <w:rsid w:val="003D38C2"/>
    <w:rsid w:val="003D38FA"/>
    <w:rsid w:val="003D394B"/>
    <w:rsid w:val="003D3D08"/>
    <w:rsid w:val="003D3D32"/>
    <w:rsid w:val="003D3DF5"/>
    <w:rsid w:val="003D3E67"/>
    <w:rsid w:val="003D3F4E"/>
    <w:rsid w:val="003D3F86"/>
    <w:rsid w:val="003D4034"/>
    <w:rsid w:val="003D40E4"/>
    <w:rsid w:val="003D438E"/>
    <w:rsid w:val="003D4436"/>
    <w:rsid w:val="003D44F0"/>
    <w:rsid w:val="003D452E"/>
    <w:rsid w:val="003D4542"/>
    <w:rsid w:val="003D456C"/>
    <w:rsid w:val="003D45EF"/>
    <w:rsid w:val="003D46E7"/>
    <w:rsid w:val="003D47CD"/>
    <w:rsid w:val="003D47D2"/>
    <w:rsid w:val="003D4988"/>
    <w:rsid w:val="003D49E6"/>
    <w:rsid w:val="003D4A25"/>
    <w:rsid w:val="003D4BA9"/>
    <w:rsid w:val="003D4C11"/>
    <w:rsid w:val="003D4C82"/>
    <w:rsid w:val="003D4CD1"/>
    <w:rsid w:val="003D4D09"/>
    <w:rsid w:val="003D4E16"/>
    <w:rsid w:val="003D4F48"/>
    <w:rsid w:val="003D4FF3"/>
    <w:rsid w:val="003D504D"/>
    <w:rsid w:val="003D5232"/>
    <w:rsid w:val="003D52DC"/>
    <w:rsid w:val="003D53F5"/>
    <w:rsid w:val="003D5603"/>
    <w:rsid w:val="003D5860"/>
    <w:rsid w:val="003D5862"/>
    <w:rsid w:val="003D5891"/>
    <w:rsid w:val="003D595C"/>
    <w:rsid w:val="003D59DF"/>
    <w:rsid w:val="003D5B0A"/>
    <w:rsid w:val="003D5F4C"/>
    <w:rsid w:val="003D5F68"/>
    <w:rsid w:val="003D5F7B"/>
    <w:rsid w:val="003D60A7"/>
    <w:rsid w:val="003D6109"/>
    <w:rsid w:val="003D6152"/>
    <w:rsid w:val="003D6205"/>
    <w:rsid w:val="003D6272"/>
    <w:rsid w:val="003D6279"/>
    <w:rsid w:val="003D673C"/>
    <w:rsid w:val="003D6820"/>
    <w:rsid w:val="003D6853"/>
    <w:rsid w:val="003D6934"/>
    <w:rsid w:val="003D6992"/>
    <w:rsid w:val="003D6A62"/>
    <w:rsid w:val="003D6B8F"/>
    <w:rsid w:val="003D6BC0"/>
    <w:rsid w:val="003D6E03"/>
    <w:rsid w:val="003D6E06"/>
    <w:rsid w:val="003D6E16"/>
    <w:rsid w:val="003D7014"/>
    <w:rsid w:val="003D7271"/>
    <w:rsid w:val="003D7428"/>
    <w:rsid w:val="003D7447"/>
    <w:rsid w:val="003D7512"/>
    <w:rsid w:val="003D755B"/>
    <w:rsid w:val="003D75BF"/>
    <w:rsid w:val="003D75C6"/>
    <w:rsid w:val="003D7760"/>
    <w:rsid w:val="003D7787"/>
    <w:rsid w:val="003D784E"/>
    <w:rsid w:val="003D7CB7"/>
    <w:rsid w:val="003D7D3E"/>
    <w:rsid w:val="003D7DD7"/>
    <w:rsid w:val="003D7E8D"/>
    <w:rsid w:val="003D7F9B"/>
    <w:rsid w:val="003D7FBD"/>
    <w:rsid w:val="003E0047"/>
    <w:rsid w:val="003E0138"/>
    <w:rsid w:val="003E0351"/>
    <w:rsid w:val="003E064F"/>
    <w:rsid w:val="003E075F"/>
    <w:rsid w:val="003E0D42"/>
    <w:rsid w:val="003E0E51"/>
    <w:rsid w:val="003E0EBB"/>
    <w:rsid w:val="003E0FFE"/>
    <w:rsid w:val="003E10A2"/>
    <w:rsid w:val="003E1206"/>
    <w:rsid w:val="003E1271"/>
    <w:rsid w:val="003E1277"/>
    <w:rsid w:val="003E129F"/>
    <w:rsid w:val="003E12CB"/>
    <w:rsid w:val="003E12FF"/>
    <w:rsid w:val="003E16E8"/>
    <w:rsid w:val="003E1790"/>
    <w:rsid w:val="003E17E8"/>
    <w:rsid w:val="003E17F3"/>
    <w:rsid w:val="003E1917"/>
    <w:rsid w:val="003E191A"/>
    <w:rsid w:val="003E1930"/>
    <w:rsid w:val="003E1934"/>
    <w:rsid w:val="003E1949"/>
    <w:rsid w:val="003E19CE"/>
    <w:rsid w:val="003E1A33"/>
    <w:rsid w:val="003E1AF9"/>
    <w:rsid w:val="003E1B4E"/>
    <w:rsid w:val="003E1B7E"/>
    <w:rsid w:val="003E1BD8"/>
    <w:rsid w:val="003E1BF2"/>
    <w:rsid w:val="003E1CFF"/>
    <w:rsid w:val="003E1DDD"/>
    <w:rsid w:val="003E1DE4"/>
    <w:rsid w:val="003E1EDB"/>
    <w:rsid w:val="003E1FDE"/>
    <w:rsid w:val="003E20B0"/>
    <w:rsid w:val="003E21B2"/>
    <w:rsid w:val="003E246A"/>
    <w:rsid w:val="003E2487"/>
    <w:rsid w:val="003E2612"/>
    <w:rsid w:val="003E281C"/>
    <w:rsid w:val="003E293F"/>
    <w:rsid w:val="003E2999"/>
    <w:rsid w:val="003E2A0C"/>
    <w:rsid w:val="003E2AD5"/>
    <w:rsid w:val="003E2B06"/>
    <w:rsid w:val="003E2B0D"/>
    <w:rsid w:val="003E2BFE"/>
    <w:rsid w:val="003E2C1F"/>
    <w:rsid w:val="003E2C74"/>
    <w:rsid w:val="003E2E48"/>
    <w:rsid w:val="003E2E93"/>
    <w:rsid w:val="003E2F18"/>
    <w:rsid w:val="003E2F49"/>
    <w:rsid w:val="003E2F80"/>
    <w:rsid w:val="003E2FA0"/>
    <w:rsid w:val="003E300D"/>
    <w:rsid w:val="003E31C3"/>
    <w:rsid w:val="003E328D"/>
    <w:rsid w:val="003E32B6"/>
    <w:rsid w:val="003E336F"/>
    <w:rsid w:val="003E3584"/>
    <w:rsid w:val="003E36E0"/>
    <w:rsid w:val="003E377A"/>
    <w:rsid w:val="003E38A4"/>
    <w:rsid w:val="003E39A6"/>
    <w:rsid w:val="003E3C2D"/>
    <w:rsid w:val="003E3C40"/>
    <w:rsid w:val="003E3D0E"/>
    <w:rsid w:val="003E3DDB"/>
    <w:rsid w:val="003E3DDF"/>
    <w:rsid w:val="003E3F1D"/>
    <w:rsid w:val="003E409E"/>
    <w:rsid w:val="003E40C5"/>
    <w:rsid w:val="003E40DA"/>
    <w:rsid w:val="003E4145"/>
    <w:rsid w:val="003E416A"/>
    <w:rsid w:val="003E418C"/>
    <w:rsid w:val="003E418F"/>
    <w:rsid w:val="003E4220"/>
    <w:rsid w:val="003E4246"/>
    <w:rsid w:val="003E4347"/>
    <w:rsid w:val="003E4599"/>
    <w:rsid w:val="003E483E"/>
    <w:rsid w:val="003E48AA"/>
    <w:rsid w:val="003E4924"/>
    <w:rsid w:val="003E49D9"/>
    <w:rsid w:val="003E4C5A"/>
    <w:rsid w:val="003E4C8D"/>
    <w:rsid w:val="003E4D92"/>
    <w:rsid w:val="003E4F4D"/>
    <w:rsid w:val="003E4FAE"/>
    <w:rsid w:val="003E5177"/>
    <w:rsid w:val="003E522A"/>
    <w:rsid w:val="003E54D4"/>
    <w:rsid w:val="003E55D4"/>
    <w:rsid w:val="003E56E0"/>
    <w:rsid w:val="003E5747"/>
    <w:rsid w:val="003E57C4"/>
    <w:rsid w:val="003E5859"/>
    <w:rsid w:val="003E5A76"/>
    <w:rsid w:val="003E5A88"/>
    <w:rsid w:val="003E5B08"/>
    <w:rsid w:val="003E5B83"/>
    <w:rsid w:val="003E5BCA"/>
    <w:rsid w:val="003E5C11"/>
    <w:rsid w:val="003E5CCA"/>
    <w:rsid w:val="003E5DE3"/>
    <w:rsid w:val="003E5F7A"/>
    <w:rsid w:val="003E60FA"/>
    <w:rsid w:val="003E61A3"/>
    <w:rsid w:val="003E621B"/>
    <w:rsid w:val="003E62B0"/>
    <w:rsid w:val="003E64B0"/>
    <w:rsid w:val="003E669C"/>
    <w:rsid w:val="003E6733"/>
    <w:rsid w:val="003E6851"/>
    <w:rsid w:val="003E68DE"/>
    <w:rsid w:val="003E6948"/>
    <w:rsid w:val="003E6ACF"/>
    <w:rsid w:val="003E6AD1"/>
    <w:rsid w:val="003E6B75"/>
    <w:rsid w:val="003E6D0E"/>
    <w:rsid w:val="003E6F34"/>
    <w:rsid w:val="003E7213"/>
    <w:rsid w:val="003E758F"/>
    <w:rsid w:val="003E75EE"/>
    <w:rsid w:val="003E767B"/>
    <w:rsid w:val="003E78EB"/>
    <w:rsid w:val="003E7C6F"/>
    <w:rsid w:val="003E7D02"/>
    <w:rsid w:val="003E7D09"/>
    <w:rsid w:val="003E7F99"/>
    <w:rsid w:val="003E7FE0"/>
    <w:rsid w:val="003E7FF0"/>
    <w:rsid w:val="003F005F"/>
    <w:rsid w:val="003F00B9"/>
    <w:rsid w:val="003F0259"/>
    <w:rsid w:val="003F031B"/>
    <w:rsid w:val="003F0588"/>
    <w:rsid w:val="003F062D"/>
    <w:rsid w:val="003F08DD"/>
    <w:rsid w:val="003F08F7"/>
    <w:rsid w:val="003F0968"/>
    <w:rsid w:val="003F096C"/>
    <w:rsid w:val="003F09A4"/>
    <w:rsid w:val="003F0B8F"/>
    <w:rsid w:val="003F0B9A"/>
    <w:rsid w:val="003F0CE0"/>
    <w:rsid w:val="003F0D7E"/>
    <w:rsid w:val="003F0EB7"/>
    <w:rsid w:val="003F0EC5"/>
    <w:rsid w:val="003F0F3A"/>
    <w:rsid w:val="003F0F41"/>
    <w:rsid w:val="003F1036"/>
    <w:rsid w:val="003F1136"/>
    <w:rsid w:val="003F1163"/>
    <w:rsid w:val="003F11C3"/>
    <w:rsid w:val="003F11E5"/>
    <w:rsid w:val="003F1395"/>
    <w:rsid w:val="003F1493"/>
    <w:rsid w:val="003F1543"/>
    <w:rsid w:val="003F160A"/>
    <w:rsid w:val="003F16D3"/>
    <w:rsid w:val="003F16DC"/>
    <w:rsid w:val="003F18CC"/>
    <w:rsid w:val="003F19FE"/>
    <w:rsid w:val="003F1A58"/>
    <w:rsid w:val="003F1AC6"/>
    <w:rsid w:val="003F1AF0"/>
    <w:rsid w:val="003F1BF7"/>
    <w:rsid w:val="003F1C02"/>
    <w:rsid w:val="003F1CE4"/>
    <w:rsid w:val="003F1CE6"/>
    <w:rsid w:val="003F1E1E"/>
    <w:rsid w:val="003F1E1F"/>
    <w:rsid w:val="003F1EA0"/>
    <w:rsid w:val="003F1F55"/>
    <w:rsid w:val="003F1FAC"/>
    <w:rsid w:val="003F210B"/>
    <w:rsid w:val="003F2168"/>
    <w:rsid w:val="003F21EF"/>
    <w:rsid w:val="003F240E"/>
    <w:rsid w:val="003F2449"/>
    <w:rsid w:val="003F246C"/>
    <w:rsid w:val="003F248F"/>
    <w:rsid w:val="003F24D2"/>
    <w:rsid w:val="003F253A"/>
    <w:rsid w:val="003F254B"/>
    <w:rsid w:val="003F254C"/>
    <w:rsid w:val="003F25C2"/>
    <w:rsid w:val="003F25D0"/>
    <w:rsid w:val="003F2604"/>
    <w:rsid w:val="003F26E1"/>
    <w:rsid w:val="003F2728"/>
    <w:rsid w:val="003F27DB"/>
    <w:rsid w:val="003F2847"/>
    <w:rsid w:val="003F2993"/>
    <w:rsid w:val="003F2A65"/>
    <w:rsid w:val="003F2B0D"/>
    <w:rsid w:val="003F2CE4"/>
    <w:rsid w:val="003F2D34"/>
    <w:rsid w:val="003F2DD4"/>
    <w:rsid w:val="003F2DDE"/>
    <w:rsid w:val="003F2E0D"/>
    <w:rsid w:val="003F2F89"/>
    <w:rsid w:val="003F30D1"/>
    <w:rsid w:val="003F3121"/>
    <w:rsid w:val="003F3192"/>
    <w:rsid w:val="003F3193"/>
    <w:rsid w:val="003F32B8"/>
    <w:rsid w:val="003F3329"/>
    <w:rsid w:val="003F3557"/>
    <w:rsid w:val="003F35DB"/>
    <w:rsid w:val="003F35F2"/>
    <w:rsid w:val="003F3720"/>
    <w:rsid w:val="003F381C"/>
    <w:rsid w:val="003F3A2C"/>
    <w:rsid w:val="003F3B26"/>
    <w:rsid w:val="003F3B51"/>
    <w:rsid w:val="003F3B9E"/>
    <w:rsid w:val="003F3BCF"/>
    <w:rsid w:val="003F3BF1"/>
    <w:rsid w:val="003F3C38"/>
    <w:rsid w:val="003F3F25"/>
    <w:rsid w:val="003F405D"/>
    <w:rsid w:val="003F413F"/>
    <w:rsid w:val="003F4165"/>
    <w:rsid w:val="003F417F"/>
    <w:rsid w:val="003F4411"/>
    <w:rsid w:val="003F442A"/>
    <w:rsid w:val="003F45C6"/>
    <w:rsid w:val="003F48F7"/>
    <w:rsid w:val="003F499C"/>
    <w:rsid w:val="003F4B2D"/>
    <w:rsid w:val="003F4BB1"/>
    <w:rsid w:val="003F4C37"/>
    <w:rsid w:val="003F4C3C"/>
    <w:rsid w:val="003F4C60"/>
    <w:rsid w:val="003F4C99"/>
    <w:rsid w:val="003F4D3D"/>
    <w:rsid w:val="003F4DD5"/>
    <w:rsid w:val="003F5050"/>
    <w:rsid w:val="003F50D8"/>
    <w:rsid w:val="003F513F"/>
    <w:rsid w:val="003F51E5"/>
    <w:rsid w:val="003F52C2"/>
    <w:rsid w:val="003F5363"/>
    <w:rsid w:val="003F53D0"/>
    <w:rsid w:val="003F5463"/>
    <w:rsid w:val="003F54A6"/>
    <w:rsid w:val="003F5516"/>
    <w:rsid w:val="003F555A"/>
    <w:rsid w:val="003F55B3"/>
    <w:rsid w:val="003F56D2"/>
    <w:rsid w:val="003F58DA"/>
    <w:rsid w:val="003F5B3F"/>
    <w:rsid w:val="003F5CD3"/>
    <w:rsid w:val="003F5EEE"/>
    <w:rsid w:val="003F5F0A"/>
    <w:rsid w:val="003F6210"/>
    <w:rsid w:val="003F6272"/>
    <w:rsid w:val="003F62C7"/>
    <w:rsid w:val="003F62FC"/>
    <w:rsid w:val="003F637C"/>
    <w:rsid w:val="003F64F7"/>
    <w:rsid w:val="003F6555"/>
    <w:rsid w:val="003F6684"/>
    <w:rsid w:val="003F66F7"/>
    <w:rsid w:val="003F66FD"/>
    <w:rsid w:val="003F67E3"/>
    <w:rsid w:val="003F68CC"/>
    <w:rsid w:val="003F6940"/>
    <w:rsid w:val="003F69A5"/>
    <w:rsid w:val="003F6A70"/>
    <w:rsid w:val="003F6B96"/>
    <w:rsid w:val="003F6BCF"/>
    <w:rsid w:val="003F6E15"/>
    <w:rsid w:val="003F6E31"/>
    <w:rsid w:val="003F7086"/>
    <w:rsid w:val="003F709B"/>
    <w:rsid w:val="003F723E"/>
    <w:rsid w:val="003F7341"/>
    <w:rsid w:val="003F73C4"/>
    <w:rsid w:val="003F74FE"/>
    <w:rsid w:val="003F7559"/>
    <w:rsid w:val="003F75BF"/>
    <w:rsid w:val="003F76DE"/>
    <w:rsid w:val="003F771A"/>
    <w:rsid w:val="003F778D"/>
    <w:rsid w:val="003F7A73"/>
    <w:rsid w:val="003F7B31"/>
    <w:rsid w:val="003F7B53"/>
    <w:rsid w:val="003F7B73"/>
    <w:rsid w:val="003F7D6C"/>
    <w:rsid w:val="003F7DAF"/>
    <w:rsid w:val="003F7DFA"/>
    <w:rsid w:val="003F7F02"/>
    <w:rsid w:val="0040009D"/>
    <w:rsid w:val="0040023F"/>
    <w:rsid w:val="00400247"/>
    <w:rsid w:val="0040033A"/>
    <w:rsid w:val="00400418"/>
    <w:rsid w:val="0040047F"/>
    <w:rsid w:val="004005D4"/>
    <w:rsid w:val="004006FB"/>
    <w:rsid w:val="0040073F"/>
    <w:rsid w:val="004007FA"/>
    <w:rsid w:val="00400803"/>
    <w:rsid w:val="0040089E"/>
    <w:rsid w:val="004008A3"/>
    <w:rsid w:val="004008B3"/>
    <w:rsid w:val="004009DB"/>
    <w:rsid w:val="004009F5"/>
    <w:rsid w:val="00400B27"/>
    <w:rsid w:val="00400C8F"/>
    <w:rsid w:val="00400D84"/>
    <w:rsid w:val="00400E8B"/>
    <w:rsid w:val="00400FBF"/>
    <w:rsid w:val="0040104C"/>
    <w:rsid w:val="0040107A"/>
    <w:rsid w:val="004010DE"/>
    <w:rsid w:val="004010F6"/>
    <w:rsid w:val="0040122C"/>
    <w:rsid w:val="00401276"/>
    <w:rsid w:val="004012A9"/>
    <w:rsid w:val="004013E5"/>
    <w:rsid w:val="00401441"/>
    <w:rsid w:val="004015D8"/>
    <w:rsid w:val="00401667"/>
    <w:rsid w:val="00401672"/>
    <w:rsid w:val="004016B5"/>
    <w:rsid w:val="004016D2"/>
    <w:rsid w:val="00401920"/>
    <w:rsid w:val="00401B1F"/>
    <w:rsid w:val="00401CBE"/>
    <w:rsid w:val="00401D77"/>
    <w:rsid w:val="00401DCE"/>
    <w:rsid w:val="00401E33"/>
    <w:rsid w:val="00401E47"/>
    <w:rsid w:val="00401E50"/>
    <w:rsid w:val="00401E8E"/>
    <w:rsid w:val="00401EC4"/>
    <w:rsid w:val="00401FEA"/>
    <w:rsid w:val="004021A9"/>
    <w:rsid w:val="00402214"/>
    <w:rsid w:val="0040227D"/>
    <w:rsid w:val="004022D9"/>
    <w:rsid w:val="00402413"/>
    <w:rsid w:val="00402424"/>
    <w:rsid w:val="0040248D"/>
    <w:rsid w:val="0040258A"/>
    <w:rsid w:val="004025E0"/>
    <w:rsid w:val="0040281C"/>
    <w:rsid w:val="004028AA"/>
    <w:rsid w:val="0040291D"/>
    <w:rsid w:val="00402D3D"/>
    <w:rsid w:val="00402D53"/>
    <w:rsid w:val="00402FDC"/>
    <w:rsid w:val="00402FFA"/>
    <w:rsid w:val="0040301C"/>
    <w:rsid w:val="004030DF"/>
    <w:rsid w:val="004031ED"/>
    <w:rsid w:val="004032E3"/>
    <w:rsid w:val="0040334E"/>
    <w:rsid w:val="0040338E"/>
    <w:rsid w:val="004033D4"/>
    <w:rsid w:val="00403506"/>
    <w:rsid w:val="00403584"/>
    <w:rsid w:val="00403674"/>
    <w:rsid w:val="004037FD"/>
    <w:rsid w:val="004038B2"/>
    <w:rsid w:val="00403917"/>
    <w:rsid w:val="0040396B"/>
    <w:rsid w:val="004039A8"/>
    <w:rsid w:val="00403A0B"/>
    <w:rsid w:val="00403B27"/>
    <w:rsid w:val="00403BE4"/>
    <w:rsid w:val="00403BE6"/>
    <w:rsid w:val="00403BE9"/>
    <w:rsid w:val="00403C98"/>
    <w:rsid w:val="00403CAF"/>
    <w:rsid w:val="00403F9F"/>
    <w:rsid w:val="0040417C"/>
    <w:rsid w:val="0040418F"/>
    <w:rsid w:val="004041C5"/>
    <w:rsid w:val="004041F0"/>
    <w:rsid w:val="00404393"/>
    <w:rsid w:val="0040450A"/>
    <w:rsid w:val="00404575"/>
    <w:rsid w:val="00404590"/>
    <w:rsid w:val="0040480E"/>
    <w:rsid w:val="00404968"/>
    <w:rsid w:val="00404A49"/>
    <w:rsid w:val="00404B19"/>
    <w:rsid w:val="00404B62"/>
    <w:rsid w:val="00404D5A"/>
    <w:rsid w:val="00404D9A"/>
    <w:rsid w:val="00404E4E"/>
    <w:rsid w:val="00404E5E"/>
    <w:rsid w:val="00404FD3"/>
    <w:rsid w:val="0040504F"/>
    <w:rsid w:val="0040581C"/>
    <w:rsid w:val="00405869"/>
    <w:rsid w:val="00405875"/>
    <w:rsid w:val="00405896"/>
    <w:rsid w:val="004058F9"/>
    <w:rsid w:val="00405A14"/>
    <w:rsid w:val="00405C69"/>
    <w:rsid w:val="00405CDA"/>
    <w:rsid w:val="00405D06"/>
    <w:rsid w:val="00405D24"/>
    <w:rsid w:val="00405D60"/>
    <w:rsid w:val="00405D8B"/>
    <w:rsid w:val="00405E69"/>
    <w:rsid w:val="00405EA0"/>
    <w:rsid w:val="00405F0C"/>
    <w:rsid w:val="0040605E"/>
    <w:rsid w:val="004061E6"/>
    <w:rsid w:val="004062B9"/>
    <w:rsid w:val="00406328"/>
    <w:rsid w:val="0040634C"/>
    <w:rsid w:val="004065F9"/>
    <w:rsid w:val="004066C9"/>
    <w:rsid w:val="00406722"/>
    <w:rsid w:val="00406738"/>
    <w:rsid w:val="00406770"/>
    <w:rsid w:val="004067B8"/>
    <w:rsid w:val="004067EA"/>
    <w:rsid w:val="0040696E"/>
    <w:rsid w:val="004069EC"/>
    <w:rsid w:val="004069F7"/>
    <w:rsid w:val="00406BD5"/>
    <w:rsid w:val="00406E87"/>
    <w:rsid w:val="00406FB9"/>
    <w:rsid w:val="004070CC"/>
    <w:rsid w:val="0040723E"/>
    <w:rsid w:val="004072D4"/>
    <w:rsid w:val="0040735F"/>
    <w:rsid w:val="00407402"/>
    <w:rsid w:val="0040769A"/>
    <w:rsid w:val="004076E7"/>
    <w:rsid w:val="0040770D"/>
    <w:rsid w:val="004077E9"/>
    <w:rsid w:val="00407804"/>
    <w:rsid w:val="004078AA"/>
    <w:rsid w:val="00407BEF"/>
    <w:rsid w:val="00407CB7"/>
    <w:rsid w:val="00407D10"/>
    <w:rsid w:val="00407D77"/>
    <w:rsid w:val="00407D7D"/>
    <w:rsid w:val="00407E9D"/>
    <w:rsid w:val="004100C9"/>
    <w:rsid w:val="004101CF"/>
    <w:rsid w:val="00410229"/>
    <w:rsid w:val="00410276"/>
    <w:rsid w:val="00410348"/>
    <w:rsid w:val="0041038D"/>
    <w:rsid w:val="004104BF"/>
    <w:rsid w:val="00410548"/>
    <w:rsid w:val="004105FB"/>
    <w:rsid w:val="00410690"/>
    <w:rsid w:val="004106C3"/>
    <w:rsid w:val="004107A1"/>
    <w:rsid w:val="004108E5"/>
    <w:rsid w:val="00410959"/>
    <w:rsid w:val="004109F2"/>
    <w:rsid w:val="00410A44"/>
    <w:rsid w:val="00410B73"/>
    <w:rsid w:val="00410B9B"/>
    <w:rsid w:val="00410BE2"/>
    <w:rsid w:val="00410BFE"/>
    <w:rsid w:val="00410C57"/>
    <w:rsid w:val="00410DC5"/>
    <w:rsid w:val="00410DE6"/>
    <w:rsid w:val="00410FFA"/>
    <w:rsid w:val="00411140"/>
    <w:rsid w:val="00411152"/>
    <w:rsid w:val="00411339"/>
    <w:rsid w:val="00411401"/>
    <w:rsid w:val="00411463"/>
    <w:rsid w:val="004114AC"/>
    <w:rsid w:val="00411576"/>
    <w:rsid w:val="00411680"/>
    <w:rsid w:val="0041172E"/>
    <w:rsid w:val="00411790"/>
    <w:rsid w:val="004117AE"/>
    <w:rsid w:val="00411825"/>
    <w:rsid w:val="00411ED4"/>
    <w:rsid w:val="00411F7B"/>
    <w:rsid w:val="00412035"/>
    <w:rsid w:val="004120EF"/>
    <w:rsid w:val="0041212F"/>
    <w:rsid w:val="00412236"/>
    <w:rsid w:val="0041225D"/>
    <w:rsid w:val="004123C7"/>
    <w:rsid w:val="004123DC"/>
    <w:rsid w:val="004123FF"/>
    <w:rsid w:val="00412428"/>
    <w:rsid w:val="0041242F"/>
    <w:rsid w:val="0041248C"/>
    <w:rsid w:val="0041256C"/>
    <w:rsid w:val="0041268F"/>
    <w:rsid w:val="004126AC"/>
    <w:rsid w:val="004126C5"/>
    <w:rsid w:val="004126C7"/>
    <w:rsid w:val="00412711"/>
    <w:rsid w:val="00412768"/>
    <w:rsid w:val="00412850"/>
    <w:rsid w:val="004128A9"/>
    <w:rsid w:val="00412B10"/>
    <w:rsid w:val="00412B77"/>
    <w:rsid w:val="00412B8E"/>
    <w:rsid w:val="00412C83"/>
    <w:rsid w:val="00412FC4"/>
    <w:rsid w:val="00413061"/>
    <w:rsid w:val="004130D6"/>
    <w:rsid w:val="004130D9"/>
    <w:rsid w:val="00413297"/>
    <w:rsid w:val="004134C9"/>
    <w:rsid w:val="0041354F"/>
    <w:rsid w:val="004135BA"/>
    <w:rsid w:val="0041360E"/>
    <w:rsid w:val="00413709"/>
    <w:rsid w:val="00413761"/>
    <w:rsid w:val="0041390F"/>
    <w:rsid w:val="004139BF"/>
    <w:rsid w:val="00413AAE"/>
    <w:rsid w:val="00413C25"/>
    <w:rsid w:val="00413CBD"/>
    <w:rsid w:val="00413DF0"/>
    <w:rsid w:val="00413E07"/>
    <w:rsid w:val="00413E12"/>
    <w:rsid w:val="00413E43"/>
    <w:rsid w:val="00413E54"/>
    <w:rsid w:val="00413E5D"/>
    <w:rsid w:val="00413EE4"/>
    <w:rsid w:val="00414078"/>
    <w:rsid w:val="0041407C"/>
    <w:rsid w:val="004140AE"/>
    <w:rsid w:val="004140FB"/>
    <w:rsid w:val="004141D0"/>
    <w:rsid w:val="004142AF"/>
    <w:rsid w:val="00414337"/>
    <w:rsid w:val="004143EA"/>
    <w:rsid w:val="004144B8"/>
    <w:rsid w:val="004144DE"/>
    <w:rsid w:val="004145A2"/>
    <w:rsid w:val="004146A3"/>
    <w:rsid w:val="0041470D"/>
    <w:rsid w:val="00414738"/>
    <w:rsid w:val="00414746"/>
    <w:rsid w:val="004147F9"/>
    <w:rsid w:val="00414861"/>
    <w:rsid w:val="0041487B"/>
    <w:rsid w:val="004148A9"/>
    <w:rsid w:val="00414BCD"/>
    <w:rsid w:val="00414C15"/>
    <w:rsid w:val="00414DD1"/>
    <w:rsid w:val="00414F94"/>
    <w:rsid w:val="0041502B"/>
    <w:rsid w:val="00415073"/>
    <w:rsid w:val="0041507E"/>
    <w:rsid w:val="0041510E"/>
    <w:rsid w:val="004153C3"/>
    <w:rsid w:val="00415664"/>
    <w:rsid w:val="004156BE"/>
    <w:rsid w:val="00415733"/>
    <w:rsid w:val="0041579A"/>
    <w:rsid w:val="00415901"/>
    <w:rsid w:val="0041599C"/>
    <w:rsid w:val="00415AA7"/>
    <w:rsid w:val="00415BC4"/>
    <w:rsid w:val="00415C80"/>
    <w:rsid w:val="00415CF4"/>
    <w:rsid w:val="00415DBA"/>
    <w:rsid w:val="00415F07"/>
    <w:rsid w:val="00415F86"/>
    <w:rsid w:val="00416166"/>
    <w:rsid w:val="004161FF"/>
    <w:rsid w:val="0041631A"/>
    <w:rsid w:val="0041634F"/>
    <w:rsid w:val="0041638D"/>
    <w:rsid w:val="004163B7"/>
    <w:rsid w:val="004163C9"/>
    <w:rsid w:val="0041648A"/>
    <w:rsid w:val="004164B2"/>
    <w:rsid w:val="00416516"/>
    <w:rsid w:val="0041654F"/>
    <w:rsid w:val="00416604"/>
    <w:rsid w:val="004166D1"/>
    <w:rsid w:val="004166E9"/>
    <w:rsid w:val="0041670F"/>
    <w:rsid w:val="00416715"/>
    <w:rsid w:val="00416739"/>
    <w:rsid w:val="0041681D"/>
    <w:rsid w:val="00416BD1"/>
    <w:rsid w:val="00416C49"/>
    <w:rsid w:val="00416C73"/>
    <w:rsid w:val="00416DCE"/>
    <w:rsid w:val="00416E24"/>
    <w:rsid w:val="00416E6F"/>
    <w:rsid w:val="00416EC4"/>
    <w:rsid w:val="00416FC8"/>
    <w:rsid w:val="00417070"/>
    <w:rsid w:val="004171C8"/>
    <w:rsid w:val="0041720F"/>
    <w:rsid w:val="004172DC"/>
    <w:rsid w:val="0041737B"/>
    <w:rsid w:val="00417418"/>
    <w:rsid w:val="00417456"/>
    <w:rsid w:val="004174EE"/>
    <w:rsid w:val="0041753C"/>
    <w:rsid w:val="004175AC"/>
    <w:rsid w:val="00417609"/>
    <w:rsid w:val="0041764C"/>
    <w:rsid w:val="00417684"/>
    <w:rsid w:val="004176B5"/>
    <w:rsid w:val="004178C0"/>
    <w:rsid w:val="00417A59"/>
    <w:rsid w:val="00417B6D"/>
    <w:rsid w:val="00417BD4"/>
    <w:rsid w:val="00417C43"/>
    <w:rsid w:val="00417DBF"/>
    <w:rsid w:val="00417E87"/>
    <w:rsid w:val="00417F5C"/>
    <w:rsid w:val="00417F84"/>
    <w:rsid w:val="00417FA5"/>
    <w:rsid w:val="0042007E"/>
    <w:rsid w:val="0042012D"/>
    <w:rsid w:val="004201B2"/>
    <w:rsid w:val="004201F6"/>
    <w:rsid w:val="0042022D"/>
    <w:rsid w:val="0042040D"/>
    <w:rsid w:val="00420463"/>
    <w:rsid w:val="00420540"/>
    <w:rsid w:val="00420587"/>
    <w:rsid w:val="00420595"/>
    <w:rsid w:val="00420646"/>
    <w:rsid w:val="00420820"/>
    <w:rsid w:val="00420948"/>
    <w:rsid w:val="004209AB"/>
    <w:rsid w:val="004209C6"/>
    <w:rsid w:val="00420B1B"/>
    <w:rsid w:val="00420B2F"/>
    <w:rsid w:val="00420BD3"/>
    <w:rsid w:val="00420C16"/>
    <w:rsid w:val="00420C3F"/>
    <w:rsid w:val="00420E49"/>
    <w:rsid w:val="00420F84"/>
    <w:rsid w:val="0042102F"/>
    <w:rsid w:val="004210B8"/>
    <w:rsid w:val="004211DF"/>
    <w:rsid w:val="004211E3"/>
    <w:rsid w:val="004211ED"/>
    <w:rsid w:val="004212A0"/>
    <w:rsid w:val="00421365"/>
    <w:rsid w:val="00421410"/>
    <w:rsid w:val="004214D9"/>
    <w:rsid w:val="0042155D"/>
    <w:rsid w:val="004215DF"/>
    <w:rsid w:val="00421624"/>
    <w:rsid w:val="00421627"/>
    <w:rsid w:val="00421656"/>
    <w:rsid w:val="00421662"/>
    <w:rsid w:val="0042174A"/>
    <w:rsid w:val="004217D5"/>
    <w:rsid w:val="004217EF"/>
    <w:rsid w:val="00421AC6"/>
    <w:rsid w:val="00421B61"/>
    <w:rsid w:val="00421BE7"/>
    <w:rsid w:val="00421C51"/>
    <w:rsid w:val="00421C5C"/>
    <w:rsid w:val="00421D96"/>
    <w:rsid w:val="00421DFE"/>
    <w:rsid w:val="00421EA0"/>
    <w:rsid w:val="00421EF8"/>
    <w:rsid w:val="00421F55"/>
    <w:rsid w:val="00421FAC"/>
    <w:rsid w:val="00421FFA"/>
    <w:rsid w:val="00422079"/>
    <w:rsid w:val="00422146"/>
    <w:rsid w:val="0042244E"/>
    <w:rsid w:val="004224AF"/>
    <w:rsid w:val="0042257B"/>
    <w:rsid w:val="00422587"/>
    <w:rsid w:val="004225B7"/>
    <w:rsid w:val="004225FD"/>
    <w:rsid w:val="004227B5"/>
    <w:rsid w:val="00422876"/>
    <w:rsid w:val="0042294C"/>
    <w:rsid w:val="0042295A"/>
    <w:rsid w:val="004229B8"/>
    <w:rsid w:val="004229DF"/>
    <w:rsid w:val="00422A0B"/>
    <w:rsid w:val="00422A6A"/>
    <w:rsid w:val="00422BBA"/>
    <w:rsid w:val="00422C34"/>
    <w:rsid w:val="00422C50"/>
    <w:rsid w:val="00422D0C"/>
    <w:rsid w:val="00422E2A"/>
    <w:rsid w:val="00422E73"/>
    <w:rsid w:val="00422F3C"/>
    <w:rsid w:val="0042324B"/>
    <w:rsid w:val="00423367"/>
    <w:rsid w:val="004234AA"/>
    <w:rsid w:val="004234E7"/>
    <w:rsid w:val="00423733"/>
    <w:rsid w:val="004237DC"/>
    <w:rsid w:val="0042380C"/>
    <w:rsid w:val="0042388A"/>
    <w:rsid w:val="004239B2"/>
    <w:rsid w:val="004239DC"/>
    <w:rsid w:val="00423A2B"/>
    <w:rsid w:val="00423A75"/>
    <w:rsid w:val="00423B0B"/>
    <w:rsid w:val="00423B7B"/>
    <w:rsid w:val="00423BCF"/>
    <w:rsid w:val="00423C42"/>
    <w:rsid w:val="00423CA6"/>
    <w:rsid w:val="00423DC3"/>
    <w:rsid w:val="00423E22"/>
    <w:rsid w:val="00423FC1"/>
    <w:rsid w:val="00424115"/>
    <w:rsid w:val="0042411A"/>
    <w:rsid w:val="004241DE"/>
    <w:rsid w:val="00424369"/>
    <w:rsid w:val="0042437B"/>
    <w:rsid w:val="00424492"/>
    <w:rsid w:val="0042458A"/>
    <w:rsid w:val="0042464E"/>
    <w:rsid w:val="00424691"/>
    <w:rsid w:val="00424725"/>
    <w:rsid w:val="00424ACE"/>
    <w:rsid w:val="00424DCE"/>
    <w:rsid w:val="00424E5F"/>
    <w:rsid w:val="00424FFD"/>
    <w:rsid w:val="004250C9"/>
    <w:rsid w:val="00425273"/>
    <w:rsid w:val="00425549"/>
    <w:rsid w:val="004256E9"/>
    <w:rsid w:val="00425840"/>
    <w:rsid w:val="00425877"/>
    <w:rsid w:val="0042593E"/>
    <w:rsid w:val="00425ADC"/>
    <w:rsid w:val="00425B05"/>
    <w:rsid w:val="00425B3D"/>
    <w:rsid w:val="00425C49"/>
    <w:rsid w:val="00425C4B"/>
    <w:rsid w:val="00425CDA"/>
    <w:rsid w:val="00425D07"/>
    <w:rsid w:val="00425FB6"/>
    <w:rsid w:val="004261EB"/>
    <w:rsid w:val="00426226"/>
    <w:rsid w:val="00426296"/>
    <w:rsid w:val="0042631C"/>
    <w:rsid w:val="00426395"/>
    <w:rsid w:val="00426602"/>
    <w:rsid w:val="00426651"/>
    <w:rsid w:val="0042671B"/>
    <w:rsid w:val="00426733"/>
    <w:rsid w:val="0042683F"/>
    <w:rsid w:val="004268C5"/>
    <w:rsid w:val="00426A22"/>
    <w:rsid w:val="00426CC9"/>
    <w:rsid w:val="00426CCB"/>
    <w:rsid w:val="00426D9E"/>
    <w:rsid w:val="00426EA7"/>
    <w:rsid w:val="00426F09"/>
    <w:rsid w:val="00426F37"/>
    <w:rsid w:val="00426FAF"/>
    <w:rsid w:val="00427074"/>
    <w:rsid w:val="0042722B"/>
    <w:rsid w:val="0042739A"/>
    <w:rsid w:val="00427404"/>
    <w:rsid w:val="00427407"/>
    <w:rsid w:val="00427475"/>
    <w:rsid w:val="00427605"/>
    <w:rsid w:val="0042767B"/>
    <w:rsid w:val="00427705"/>
    <w:rsid w:val="00427722"/>
    <w:rsid w:val="004278AA"/>
    <w:rsid w:val="004279F1"/>
    <w:rsid w:val="00427A11"/>
    <w:rsid w:val="00427A65"/>
    <w:rsid w:val="00427B68"/>
    <w:rsid w:val="00427B84"/>
    <w:rsid w:val="00427CCE"/>
    <w:rsid w:val="00427D40"/>
    <w:rsid w:val="00427E6E"/>
    <w:rsid w:val="00427EE8"/>
    <w:rsid w:val="00427F88"/>
    <w:rsid w:val="00427FB1"/>
    <w:rsid w:val="00430064"/>
    <w:rsid w:val="00430145"/>
    <w:rsid w:val="0043019C"/>
    <w:rsid w:val="00430207"/>
    <w:rsid w:val="004302C0"/>
    <w:rsid w:val="004302FD"/>
    <w:rsid w:val="00430391"/>
    <w:rsid w:val="00430482"/>
    <w:rsid w:val="004305F6"/>
    <w:rsid w:val="00430690"/>
    <w:rsid w:val="004307C2"/>
    <w:rsid w:val="004307F6"/>
    <w:rsid w:val="0043099C"/>
    <w:rsid w:val="00430A07"/>
    <w:rsid w:val="00430A6B"/>
    <w:rsid w:val="00430ACC"/>
    <w:rsid w:val="00430B67"/>
    <w:rsid w:val="00430B6A"/>
    <w:rsid w:val="00430B90"/>
    <w:rsid w:val="00430E2C"/>
    <w:rsid w:val="00430E9B"/>
    <w:rsid w:val="00431034"/>
    <w:rsid w:val="00431043"/>
    <w:rsid w:val="00431118"/>
    <w:rsid w:val="0043115F"/>
    <w:rsid w:val="00431165"/>
    <w:rsid w:val="004311ED"/>
    <w:rsid w:val="00431272"/>
    <w:rsid w:val="00431347"/>
    <w:rsid w:val="0043138F"/>
    <w:rsid w:val="00431463"/>
    <w:rsid w:val="00431487"/>
    <w:rsid w:val="004316CC"/>
    <w:rsid w:val="004317EA"/>
    <w:rsid w:val="00431807"/>
    <w:rsid w:val="00431813"/>
    <w:rsid w:val="00431902"/>
    <w:rsid w:val="004319AD"/>
    <w:rsid w:val="004319F2"/>
    <w:rsid w:val="00431AF7"/>
    <w:rsid w:val="00431B22"/>
    <w:rsid w:val="00431CEF"/>
    <w:rsid w:val="00431CF2"/>
    <w:rsid w:val="0043200D"/>
    <w:rsid w:val="0043217B"/>
    <w:rsid w:val="0043222E"/>
    <w:rsid w:val="00432407"/>
    <w:rsid w:val="00432443"/>
    <w:rsid w:val="0043245E"/>
    <w:rsid w:val="004324C4"/>
    <w:rsid w:val="004324F4"/>
    <w:rsid w:val="00432799"/>
    <w:rsid w:val="004328B0"/>
    <w:rsid w:val="00432945"/>
    <w:rsid w:val="004329DA"/>
    <w:rsid w:val="00432B26"/>
    <w:rsid w:val="00432D01"/>
    <w:rsid w:val="00432DC1"/>
    <w:rsid w:val="00432E45"/>
    <w:rsid w:val="00432E90"/>
    <w:rsid w:val="00432E9C"/>
    <w:rsid w:val="00433034"/>
    <w:rsid w:val="00433049"/>
    <w:rsid w:val="0043309D"/>
    <w:rsid w:val="00433183"/>
    <w:rsid w:val="004331DF"/>
    <w:rsid w:val="004333F9"/>
    <w:rsid w:val="0043345C"/>
    <w:rsid w:val="004334AF"/>
    <w:rsid w:val="0043358A"/>
    <w:rsid w:val="0043360E"/>
    <w:rsid w:val="0043365B"/>
    <w:rsid w:val="004336B1"/>
    <w:rsid w:val="004337F7"/>
    <w:rsid w:val="00433806"/>
    <w:rsid w:val="0043389A"/>
    <w:rsid w:val="0043398F"/>
    <w:rsid w:val="00433AB1"/>
    <w:rsid w:val="00433B79"/>
    <w:rsid w:val="00433BB4"/>
    <w:rsid w:val="00433CB6"/>
    <w:rsid w:val="00433E24"/>
    <w:rsid w:val="00433E48"/>
    <w:rsid w:val="00433EB1"/>
    <w:rsid w:val="00433F50"/>
    <w:rsid w:val="004340D0"/>
    <w:rsid w:val="004343B7"/>
    <w:rsid w:val="004343BB"/>
    <w:rsid w:val="00434492"/>
    <w:rsid w:val="004345E7"/>
    <w:rsid w:val="004346E0"/>
    <w:rsid w:val="004347D8"/>
    <w:rsid w:val="0043487E"/>
    <w:rsid w:val="004348D7"/>
    <w:rsid w:val="004348EE"/>
    <w:rsid w:val="004348FD"/>
    <w:rsid w:val="0043493B"/>
    <w:rsid w:val="00434970"/>
    <w:rsid w:val="00434976"/>
    <w:rsid w:val="00434ADC"/>
    <w:rsid w:val="00434E2F"/>
    <w:rsid w:val="00435059"/>
    <w:rsid w:val="004350CA"/>
    <w:rsid w:val="00435282"/>
    <w:rsid w:val="004352C6"/>
    <w:rsid w:val="0043543E"/>
    <w:rsid w:val="00435442"/>
    <w:rsid w:val="00435458"/>
    <w:rsid w:val="0043549E"/>
    <w:rsid w:val="0043554E"/>
    <w:rsid w:val="004355CA"/>
    <w:rsid w:val="004356B9"/>
    <w:rsid w:val="00435802"/>
    <w:rsid w:val="00435C75"/>
    <w:rsid w:val="00435D3B"/>
    <w:rsid w:val="00435D42"/>
    <w:rsid w:val="00435DB0"/>
    <w:rsid w:val="00435DDE"/>
    <w:rsid w:val="00435E34"/>
    <w:rsid w:val="00435E39"/>
    <w:rsid w:val="00435F45"/>
    <w:rsid w:val="004360C4"/>
    <w:rsid w:val="004360F6"/>
    <w:rsid w:val="004361B5"/>
    <w:rsid w:val="004361D8"/>
    <w:rsid w:val="00436227"/>
    <w:rsid w:val="0043629F"/>
    <w:rsid w:val="00436351"/>
    <w:rsid w:val="004363C8"/>
    <w:rsid w:val="004366C2"/>
    <w:rsid w:val="004366FF"/>
    <w:rsid w:val="0043672E"/>
    <w:rsid w:val="00436731"/>
    <w:rsid w:val="00436753"/>
    <w:rsid w:val="004367D3"/>
    <w:rsid w:val="004367E8"/>
    <w:rsid w:val="0043686A"/>
    <w:rsid w:val="00436956"/>
    <w:rsid w:val="00436B37"/>
    <w:rsid w:val="00436C08"/>
    <w:rsid w:val="00436CF2"/>
    <w:rsid w:val="00436DB4"/>
    <w:rsid w:val="00436DFA"/>
    <w:rsid w:val="00436F79"/>
    <w:rsid w:val="00436F97"/>
    <w:rsid w:val="00437078"/>
    <w:rsid w:val="004370F7"/>
    <w:rsid w:val="004372C0"/>
    <w:rsid w:val="00437393"/>
    <w:rsid w:val="004375D5"/>
    <w:rsid w:val="0043764F"/>
    <w:rsid w:val="00437696"/>
    <w:rsid w:val="004376A9"/>
    <w:rsid w:val="004376B9"/>
    <w:rsid w:val="00437716"/>
    <w:rsid w:val="00437808"/>
    <w:rsid w:val="0043792B"/>
    <w:rsid w:val="0043795B"/>
    <w:rsid w:val="00437965"/>
    <w:rsid w:val="004379B6"/>
    <w:rsid w:val="004379CC"/>
    <w:rsid w:val="00437A8E"/>
    <w:rsid w:val="00437C79"/>
    <w:rsid w:val="00437CDB"/>
    <w:rsid w:val="00437E40"/>
    <w:rsid w:val="00437F4B"/>
    <w:rsid w:val="0044013A"/>
    <w:rsid w:val="00440427"/>
    <w:rsid w:val="00440439"/>
    <w:rsid w:val="00440561"/>
    <w:rsid w:val="00440839"/>
    <w:rsid w:val="004408BF"/>
    <w:rsid w:val="004408FE"/>
    <w:rsid w:val="004409E0"/>
    <w:rsid w:val="00440B4A"/>
    <w:rsid w:val="00440CAA"/>
    <w:rsid w:val="00440FAB"/>
    <w:rsid w:val="004411DC"/>
    <w:rsid w:val="00441320"/>
    <w:rsid w:val="004413EB"/>
    <w:rsid w:val="0044140C"/>
    <w:rsid w:val="004414DD"/>
    <w:rsid w:val="00441572"/>
    <w:rsid w:val="0044184B"/>
    <w:rsid w:val="004418B3"/>
    <w:rsid w:val="0044193D"/>
    <w:rsid w:val="00441A38"/>
    <w:rsid w:val="00441B94"/>
    <w:rsid w:val="00441BFE"/>
    <w:rsid w:val="00441D60"/>
    <w:rsid w:val="00441EC4"/>
    <w:rsid w:val="00441FAE"/>
    <w:rsid w:val="0044200B"/>
    <w:rsid w:val="00442219"/>
    <w:rsid w:val="00442306"/>
    <w:rsid w:val="00442318"/>
    <w:rsid w:val="004423A1"/>
    <w:rsid w:val="004423F1"/>
    <w:rsid w:val="004425DE"/>
    <w:rsid w:val="0044261B"/>
    <w:rsid w:val="0044264C"/>
    <w:rsid w:val="00442667"/>
    <w:rsid w:val="00442734"/>
    <w:rsid w:val="004428DB"/>
    <w:rsid w:val="00442A5E"/>
    <w:rsid w:val="00442BEE"/>
    <w:rsid w:val="00442BF2"/>
    <w:rsid w:val="00442C19"/>
    <w:rsid w:val="00442EC7"/>
    <w:rsid w:val="00442FDE"/>
    <w:rsid w:val="004430A6"/>
    <w:rsid w:val="00443130"/>
    <w:rsid w:val="004431B8"/>
    <w:rsid w:val="004432CA"/>
    <w:rsid w:val="004434A7"/>
    <w:rsid w:val="00443743"/>
    <w:rsid w:val="004439DE"/>
    <w:rsid w:val="004439FC"/>
    <w:rsid w:val="00443A6C"/>
    <w:rsid w:val="00443A80"/>
    <w:rsid w:val="00443AA5"/>
    <w:rsid w:val="00443ABF"/>
    <w:rsid w:val="00443B2D"/>
    <w:rsid w:val="00443B30"/>
    <w:rsid w:val="00443B50"/>
    <w:rsid w:val="00443C23"/>
    <w:rsid w:val="00443D8B"/>
    <w:rsid w:val="00443FF0"/>
    <w:rsid w:val="004440AF"/>
    <w:rsid w:val="00444171"/>
    <w:rsid w:val="0044422A"/>
    <w:rsid w:val="00444256"/>
    <w:rsid w:val="00444373"/>
    <w:rsid w:val="004443B1"/>
    <w:rsid w:val="004443C1"/>
    <w:rsid w:val="004443CD"/>
    <w:rsid w:val="004443FE"/>
    <w:rsid w:val="00444434"/>
    <w:rsid w:val="004445F0"/>
    <w:rsid w:val="004445FA"/>
    <w:rsid w:val="0044461A"/>
    <w:rsid w:val="00444660"/>
    <w:rsid w:val="00444668"/>
    <w:rsid w:val="00444695"/>
    <w:rsid w:val="004446A2"/>
    <w:rsid w:val="004447D8"/>
    <w:rsid w:val="004447F6"/>
    <w:rsid w:val="00444BBB"/>
    <w:rsid w:val="00444BD5"/>
    <w:rsid w:val="00444BEB"/>
    <w:rsid w:val="00444C03"/>
    <w:rsid w:val="00444D50"/>
    <w:rsid w:val="00444D5A"/>
    <w:rsid w:val="00444DE8"/>
    <w:rsid w:val="00444E5C"/>
    <w:rsid w:val="00444F77"/>
    <w:rsid w:val="00444FB8"/>
    <w:rsid w:val="00445059"/>
    <w:rsid w:val="004450CB"/>
    <w:rsid w:val="0044519F"/>
    <w:rsid w:val="00445225"/>
    <w:rsid w:val="00445508"/>
    <w:rsid w:val="004458A8"/>
    <w:rsid w:val="00445ACD"/>
    <w:rsid w:val="00445B04"/>
    <w:rsid w:val="00445B0C"/>
    <w:rsid w:val="00445E43"/>
    <w:rsid w:val="00445EB2"/>
    <w:rsid w:val="0044600C"/>
    <w:rsid w:val="00446022"/>
    <w:rsid w:val="00446173"/>
    <w:rsid w:val="004461C1"/>
    <w:rsid w:val="004461D9"/>
    <w:rsid w:val="0044626E"/>
    <w:rsid w:val="004462D1"/>
    <w:rsid w:val="004463D3"/>
    <w:rsid w:val="00446400"/>
    <w:rsid w:val="004465EA"/>
    <w:rsid w:val="00446662"/>
    <w:rsid w:val="0044674D"/>
    <w:rsid w:val="00446775"/>
    <w:rsid w:val="00446827"/>
    <w:rsid w:val="00446876"/>
    <w:rsid w:val="004469FF"/>
    <w:rsid w:val="00446A6F"/>
    <w:rsid w:val="00446AAE"/>
    <w:rsid w:val="00446B29"/>
    <w:rsid w:val="00446BD7"/>
    <w:rsid w:val="00446C81"/>
    <w:rsid w:val="00446D38"/>
    <w:rsid w:val="00446E91"/>
    <w:rsid w:val="00446E97"/>
    <w:rsid w:val="00447075"/>
    <w:rsid w:val="00447177"/>
    <w:rsid w:val="00447182"/>
    <w:rsid w:val="004472CB"/>
    <w:rsid w:val="00447314"/>
    <w:rsid w:val="0044733F"/>
    <w:rsid w:val="00447446"/>
    <w:rsid w:val="00447504"/>
    <w:rsid w:val="004475D8"/>
    <w:rsid w:val="0044762D"/>
    <w:rsid w:val="00447693"/>
    <w:rsid w:val="00447B9A"/>
    <w:rsid w:val="00447B9C"/>
    <w:rsid w:val="00447C86"/>
    <w:rsid w:val="00447D06"/>
    <w:rsid w:val="00447D6E"/>
    <w:rsid w:val="00447EDD"/>
    <w:rsid w:val="0045002C"/>
    <w:rsid w:val="0045010A"/>
    <w:rsid w:val="004503CB"/>
    <w:rsid w:val="0045072F"/>
    <w:rsid w:val="0045078F"/>
    <w:rsid w:val="0045080D"/>
    <w:rsid w:val="0045086F"/>
    <w:rsid w:val="00450874"/>
    <w:rsid w:val="004508D8"/>
    <w:rsid w:val="004509E3"/>
    <w:rsid w:val="00450B32"/>
    <w:rsid w:val="00450CB5"/>
    <w:rsid w:val="00450EA5"/>
    <w:rsid w:val="00450FB7"/>
    <w:rsid w:val="00450FDF"/>
    <w:rsid w:val="004511C0"/>
    <w:rsid w:val="004511E6"/>
    <w:rsid w:val="004511F0"/>
    <w:rsid w:val="00451432"/>
    <w:rsid w:val="00451463"/>
    <w:rsid w:val="0045150E"/>
    <w:rsid w:val="004515E8"/>
    <w:rsid w:val="004516BD"/>
    <w:rsid w:val="0045176E"/>
    <w:rsid w:val="004518ED"/>
    <w:rsid w:val="004519BD"/>
    <w:rsid w:val="00451A17"/>
    <w:rsid w:val="00451D32"/>
    <w:rsid w:val="00451F4E"/>
    <w:rsid w:val="00451FA9"/>
    <w:rsid w:val="004520A8"/>
    <w:rsid w:val="004521B9"/>
    <w:rsid w:val="004521D9"/>
    <w:rsid w:val="0045220B"/>
    <w:rsid w:val="0045221C"/>
    <w:rsid w:val="00452529"/>
    <w:rsid w:val="0045254C"/>
    <w:rsid w:val="0045276F"/>
    <w:rsid w:val="00452903"/>
    <w:rsid w:val="0045298D"/>
    <w:rsid w:val="00452B41"/>
    <w:rsid w:val="00452BD7"/>
    <w:rsid w:val="00452BE3"/>
    <w:rsid w:val="00452C16"/>
    <w:rsid w:val="00452EF1"/>
    <w:rsid w:val="00452F25"/>
    <w:rsid w:val="00452F48"/>
    <w:rsid w:val="0045307E"/>
    <w:rsid w:val="004530CB"/>
    <w:rsid w:val="00453111"/>
    <w:rsid w:val="0045312B"/>
    <w:rsid w:val="00453155"/>
    <w:rsid w:val="0045329F"/>
    <w:rsid w:val="00453328"/>
    <w:rsid w:val="0045344C"/>
    <w:rsid w:val="00453476"/>
    <w:rsid w:val="00453632"/>
    <w:rsid w:val="00453806"/>
    <w:rsid w:val="0045385C"/>
    <w:rsid w:val="004539A9"/>
    <w:rsid w:val="00453A17"/>
    <w:rsid w:val="00453A19"/>
    <w:rsid w:val="00453AB6"/>
    <w:rsid w:val="00453C86"/>
    <w:rsid w:val="00453C8A"/>
    <w:rsid w:val="00453CE3"/>
    <w:rsid w:val="00453E0A"/>
    <w:rsid w:val="00453F17"/>
    <w:rsid w:val="00453FAE"/>
    <w:rsid w:val="00453FCC"/>
    <w:rsid w:val="0045409A"/>
    <w:rsid w:val="004540C3"/>
    <w:rsid w:val="004541F1"/>
    <w:rsid w:val="00454627"/>
    <w:rsid w:val="004546BF"/>
    <w:rsid w:val="004546C5"/>
    <w:rsid w:val="0045471A"/>
    <w:rsid w:val="00454737"/>
    <w:rsid w:val="004548A3"/>
    <w:rsid w:val="004548C3"/>
    <w:rsid w:val="004548EC"/>
    <w:rsid w:val="00454938"/>
    <w:rsid w:val="00454BBD"/>
    <w:rsid w:val="00454D14"/>
    <w:rsid w:val="00454D77"/>
    <w:rsid w:val="00454E68"/>
    <w:rsid w:val="00454E77"/>
    <w:rsid w:val="00454E8C"/>
    <w:rsid w:val="00454EDD"/>
    <w:rsid w:val="00455090"/>
    <w:rsid w:val="00455140"/>
    <w:rsid w:val="0045519B"/>
    <w:rsid w:val="0045521F"/>
    <w:rsid w:val="004552DE"/>
    <w:rsid w:val="00455359"/>
    <w:rsid w:val="004553DE"/>
    <w:rsid w:val="004553E0"/>
    <w:rsid w:val="00455409"/>
    <w:rsid w:val="0045543B"/>
    <w:rsid w:val="004555FB"/>
    <w:rsid w:val="0045560B"/>
    <w:rsid w:val="0045566B"/>
    <w:rsid w:val="00455870"/>
    <w:rsid w:val="0045592D"/>
    <w:rsid w:val="00455A58"/>
    <w:rsid w:val="00455A77"/>
    <w:rsid w:val="00455BCB"/>
    <w:rsid w:val="00455BDB"/>
    <w:rsid w:val="00455D2B"/>
    <w:rsid w:val="00455D4B"/>
    <w:rsid w:val="00455D6D"/>
    <w:rsid w:val="00455F5D"/>
    <w:rsid w:val="004561E6"/>
    <w:rsid w:val="004562E3"/>
    <w:rsid w:val="00456383"/>
    <w:rsid w:val="00456500"/>
    <w:rsid w:val="00456713"/>
    <w:rsid w:val="004567AE"/>
    <w:rsid w:val="00456929"/>
    <w:rsid w:val="00456A85"/>
    <w:rsid w:val="00456AE4"/>
    <w:rsid w:val="00456C86"/>
    <w:rsid w:val="00456CBF"/>
    <w:rsid w:val="00456CDC"/>
    <w:rsid w:val="00456DA5"/>
    <w:rsid w:val="00456E26"/>
    <w:rsid w:val="00456EC7"/>
    <w:rsid w:val="00457031"/>
    <w:rsid w:val="0045703E"/>
    <w:rsid w:val="00457082"/>
    <w:rsid w:val="0045708A"/>
    <w:rsid w:val="00457389"/>
    <w:rsid w:val="00457458"/>
    <w:rsid w:val="0045748C"/>
    <w:rsid w:val="00457554"/>
    <w:rsid w:val="00457599"/>
    <w:rsid w:val="00457671"/>
    <w:rsid w:val="00457698"/>
    <w:rsid w:val="004577AB"/>
    <w:rsid w:val="0045781D"/>
    <w:rsid w:val="00457AEB"/>
    <w:rsid w:val="00457B3F"/>
    <w:rsid w:val="00457D18"/>
    <w:rsid w:val="00457E2A"/>
    <w:rsid w:val="00457E60"/>
    <w:rsid w:val="00457EA9"/>
    <w:rsid w:val="00457ED8"/>
    <w:rsid w:val="004600CA"/>
    <w:rsid w:val="00460240"/>
    <w:rsid w:val="0046025F"/>
    <w:rsid w:val="00460266"/>
    <w:rsid w:val="00460494"/>
    <w:rsid w:val="004604AA"/>
    <w:rsid w:val="00460559"/>
    <w:rsid w:val="004607E6"/>
    <w:rsid w:val="00460894"/>
    <w:rsid w:val="00460909"/>
    <w:rsid w:val="00460976"/>
    <w:rsid w:val="004609D6"/>
    <w:rsid w:val="00460A69"/>
    <w:rsid w:val="00460C6C"/>
    <w:rsid w:val="00460D52"/>
    <w:rsid w:val="00460E6B"/>
    <w:rsid w:val="00460F87"/>
    <w:rsid w:val="00460FCE"/>
    <w:rsid w:val="004612F3"/>
    <w:rsid w:val="004614CC"/>
    <w:rsid w:val="004616EA"/>
    <w:rsid w:val="004616FD"/>
    <w:rsid w:val="00461787"/>
    <w:rsid w:val="004617F1"/>
    <w:rsid w:val="0046193A"/>
    <w:rsid w:val="00461976"/>
    <w:rsid w:val="00461A86"/>
    <w:rsid w:val="00461B09"/>
    <w:rsid w:val="00461BCC"/>
    <w:rsid w:val="00461BEC"/>
    <w:rsid w:val="00461C29"/>
    <w:rsid w:val="00461C91"/>
    <w:rsid w:val="00461DC5"/>
    <w:rsid w:val="00461EB8"/>
    <w:rsid w:val="00461FBF"/>
    <w:rsid w:val="004620F4"/>
    <w:rsid w:val="00462198"/>
    <w:rsid w:val="004621FA"/>
    <w:rsid w:val="0046224D"/>
    <w:rsid w:val="00462273"/>
    <w:rsid w:val="00462318"/>
    <w:rsid w:val="004624ED"/>
    <w:rsid w:val="00462521"/>
    <w:rsid w:val="004625F6"/>
    <w:rsid w:val="004627FF"/>
    <w:rsid w:val="004628F0"/>
    <w:rsid w:val="004628FC"/>
    <w:rsid w:val="00462939"/>
    <w:rsid w:val="00462940"/>
    <w:rsid w:val="00462973"/>
    <w:rsid w:val="00462997"/>
    <w:rsid w:val="00462A5D"/>
    <w:rsid w:val="00462A64"/>
    <w:rsid w:val="00462A9F"/>
    <w:rsid w:val="00462E59"/>
    <w:rsid w:val="00462E8D"/>
    <w:rsid w:val="00462F52"/>
    <w:rsid w:val="0046307E"/>
    <w:rsid w:val="004630C5"/>
    <w:rsid w:val="00463141"/>
    <w:rsid w:val="004631DB"/>
    <w:rsid w:val="00463218"/>
    <w:rsid w:val="004632E5"/>
    <w:rsid w:val="004634BC"/>
    <w:rsid w:val="004635FE"/>
    <w:rsid w:val="00463747"/>
    <w:rsid w:val="0046374D"/>
    <w:rsid w:val="004637B7"/>
    <w:rsid w:val="0046392F"/>
    <w:rsid w:val="004639E6"/>
    <w:rsid w:val="004639FB"/>
    <w:rsid w:val="00463B58"/>
    <w:rsid w:val="00463B59"/>
    <w:rsid w:val="00463D5D"/>
    <w:rsid w:val="00463E7C"/>
    <w:rsid w:val="00463EB9"/>
    <w:rsid w:val="00464014"/>
    <w:rsid w:val="00464216"/>
    <w:rsid w:val="00464231"/>
    <w:rsid w:val="00464259"/>
    <w:rsid w:val="0046425C"/>
    <w:rsid w:val="0046441E"/>
    <w:rsid w:val="004644FB"/>
    <w:rsid w:val="00464660"/>
    <w:rsid w:val="00464695"/>
    <w:rsid w:val="0046483B"/>
    <w:rsid w:val="004648AC"/>
    <w:rsid w:val="00464AFC"/>
    <w:rsid w:val="00464B54"/>
    <w:rsid w:val="00464C7C"/>
    <w:rsid w:val="00464CA8"/>
    <w:rsid w:val="00464F9A"/>
    <w:rsid w:val="00464FDD"/>
    <w:rsid w:val="004651C8"/>
    <w:rsid w:val="0046532F"/>
    <w:rsid w:val="0046539D"/>
    <w:rsid w:val="004653A8"/>
    <w:rsid w:val="004653F3"/>
    <w:rsid w:val="0046549F"/>
    <w:rsid w:val="0046561C"/>
    <w:rsid w:val="004656E6"/>
    <w:rsid w:val="0046586E"/>
    <w:rsid w:val="00465899"/>
    <w:rsid w:val="00465A0D"/>
    <w:rsid w:val="00465B51"/>
    <w:rsid w:val="00465C41"/>
    <w:rsid w:val="00465D30"/>
    <w:rsid w:val="00465E22"/>
    <w:rsid w:val="00465E4E"/>
    <w:rsid w:val="00465F5D"/>
    <w:rsid w:val="00466198"/>
    <w:rsid w:val="004667E5"/>
    <w:rsid w:val="004668EF"/>
    <w:rsid w:val="00466901"/>
    <w:rsid w:val="00466B49"/>
    <w:rsid w:val="00466B55"/>
    <w:rsid w:val="00466B8F"/>
    <w:rsid w:val="00466BE7"/>
    <w:rsid w:val="00466D40"/>
    <w:rsid w:val="00466E08"/>
    <w:rsid w:val="00466E43"/>
    <w:rsid w:val="00466E66"/>
    <w:rsid w:val="00466F79"/>
    <w:rsid w:val="00466FC2"/>
    <w:rsid w:val="00467023"/>
    <w:rsid w:val="0046728E"/>
    <w:rsid w:val="00467477"/>
    <w:rsid w:val="004674A4"/>
    <w:rsid w:val="004674F8"/>
    <w:rsid w:val="0046751B"/>
    <w:rsid w:val="00467947"/>
    <w:rsid w:val="00467AB4"/>
    <w:rsid w:val="00467B5A"/>
    <w:rsid w:val="00467BD5"/>
    <w:rsid w:val="00467BDE"/>
    <w:rsid w:val="00467CFC"/>
    <w:rsid w:val="00467D01"/>
    <w:rsid w:val="00467E93"/>
    <w:rsid w:val="00470124"/>
    <w:rsid w:val="004701F8"/>
    <w:rsid w:val="004702A2"/>
    <w:rsid w:val="004703F7"/>
    <w:rsid w:val="004703FC"/>
    <w:rsid w:val="0047051B"/>
    <w:rsid w:val="00470629"/>
    <w:rsid w:val="00470759"/>
    <w:rsid w:val="0047087B"/>
    <w:rsid w:val="00470AA5"/>
    <w:rsid w:val="00470ADB"/>
    <w:rsid w:val="00470B54"/>
    <w:rsid w:val="00470BC9"/>
    <w:rsid w:val="00470DC7"/>
    <w:rsid w:val="00470F8C"/>
    <w:rsid w:val="00470FE7"/>
    <w:rsid w:val="004711A3"/>
    <w:rsid w:val="004711AB"/>
    <w:rsid w:val="0047128E"/>
    <w:rsid w:val="00471386"/>
    <w:rsid w:val="00471480"/>
    <w:rsid w:val="0047154E"/>
    <w:rsid w:val="0047161E"/>
    <w:rsid w:val="00471648"/>
    <w:rsid w:val="00471763"/>
    <w:rsid w:val="004717C1"/>
    <w:rsid w:val="00471A82"/>
    <w:rsid w:val="00471C0F"/>
    <w:rsid w:val="0047209D"/>
    <w:rsid w:val="00472116"/>
    <w:rsid w:val="0047224D"/>
    <w:rsid w:val="004722ED"/>
    <w:rsid w:val="00472396"/>
    <w:rsid w:val="004723BC"/>
    <w:rsid w:val="004723FA"/>
    <w:rsid w:val="00472413"/>
    <w:rsid w:val="004724A3"/>
    <w:rsid w:val="004724C5"/>
    <w:rsid w:val="00472A3B"/>
    <w:rsid w:val="00472A5C"/>
    <w:rsid w:val="00472ACD"/>
    <w:rsid w:val="00472B70"/>
    <w:rsid w:val="00472CEA"/>
    <w:rsid w:val="00472FBC"/>
    <w:rsid w:val="00472FD9"/>
    <w:rsid w:val="00473032"/>
    <w:rsid w:val="0047312E"/>
    <w:rsid w:val="0047315E"/>
    <w:rsid w:val="004731B0"/>
    <w:rsid w:val="004731FA"/>
    <w:rsid w:val="00473251"/>
    <w:rsid w:val="004732D1"/>
    <w:rsid w:val="0047336E"/>
    <w:rsid w:val="0047338E"/>
    <w:rsid w:val="0047345F"/>
    <w:rsid w:val="004735C4"/>
    <w:rsid w:val="004735CE"/>
    <w:rsid w:val="004735CF"/>
    <w:rsid w:val="00473617"/>
    <w:rsid w:val="0047361E"/>
    <w:rsid w:val="004736B8"/>
    <w:rsid w:val="0047372E"/>
    <w:rsid w:val="004738F4"/>
    <w:rsid w:val="00473AB8"/>
    <w:rsid w:val="00473AC1"/>
    <w:rsid w:val="00473BB3"/>
    <w:rsid w:val="00473DB3"/>
    <w:rsid w:val="00473E40"/>
    <w:rsid w:val="00473E46"/>
    <w:rsid w:val="00473E73"/>
    <w:rsid w:val="00473EB5"/>
    <w:rsid w:val="00473ECA"/>
    <w:rsid w:val="00473EDD"/>
    <w:rsid w:val="00473EE4"/>
    <w:rsid w:val="00473F48"/>
    <w:rsid w:val="00473F55"/>
    <w:rsid w:val="00474154"/>
    <w:rsid w:val="004741B1"/>
    <w:rsid w:val="004741F5"/>
    <w:rsid w:val="00474220"/>
    <w:rsid w:val="004743FE"/>
    <w:rsid w:val="0047449A"/>
    <w:rsid w:val="00474535"/>
    <w:rsid w:val="0047456F"/>
    <w:rsid w:val="0047459D"/>
    <w:rsid w:val="00474685"/>
    <w:rsid w:val="0047473A"/>
    <w:rsid w:val="004747C8"/>
    <w:rsid w:val="00474828"/>
    <w:rsid w:val="004748F6"/>
    <w:rsid w:val="00474949"/>
    <w:rsid w:val="00474A06"/>
    <w:rsid w:val="00474B5B"/>
    <w:rsid w:val="00474BCC"/>
    <w:rsid w:val="00474C11"/>
    <w:rsid w:val="00474F27"/>
    <w:rsid w:val="00474F74"/>
    <w:rsid w:val="0047501E"/>
    <w:rsid w:val="004750C5"/>
    <w:rsid w:val="0047511E"/>
    <w:rsid w:val="0047514E"/>
    <w:rsid w:val="0047526C"/>
    <w:rsid w:val="004752C0"/>
    <w:rsid w:val="0047539D"/>
    <w:rsid w:val="0047541C"/>
    <w:rsid w:val="0047553C"/>
    <w:rsid w:val="0047559B"/>
    <w:rsid w:val="004755DA"/>
    <w:rsid w:val="004755EC"/>
    <w:rsid w:val="004756DF"/>
    <w:rsid w:val="00475715"/>
    <w:rsid w:val="00475797"/>
    <w:rsid w:val="004757FD"/>
    <w:rsid w:val="0047580D"/>
    <w:rsid w:val="004758A0"/>
    <w:rsid w:val="00475C78"/>
    <w:rsid w:val="00475EA9"/>
    <w:rsid w:val="00475F0F"/>
    <w:rsid w:val="00475F5D"/>
    <w:rsid w:val="00475FEB"/>
    <w:rsid w:val="00476002"/>
    <w:rsid w:val="00476022"/>
    <w:rsid w:val="0047607E"/>
    <w:rsid w:val="004760CE"/>
    <w:rsid w:val="00476217"/>
    <w:rsid w:val="00476309"/>
    <w:rsid w:val="00476391"/>
    <w:rsid w:val="004763EE"/>
    <w:rsid w:val="004763FB"/>
    <w:rsid w:val="004764B8"/>
    <w:rsid w:val="0047650D"/>
    <w:rsid w:val="0047657E"/>
    <w:rsid w:val="004766AC"/>
    <w:rsid w:val="00476771"/>
    <w:rsid w:val="004768DB"/>
    <w:rsid w:val="00476A13"/>
    <w:rsid w:val="00476B45"/>
    <w:rsid w:val="00476CB5"/>
    <w:rsid w:val="00476CDC"/>
    <w:rsid w:val="00476E03"/>
    <w:rsid w:val="00476EC3"/>
    <w:rsid w:val="00476EC8"/>
    <w:rsid w:val="00477189"/>
    <w:rsid w:val="0047719F"/>
    <w:rsid w:val="004773B5"/>
    <w:rsid w:val="004774C1"/>
    <w:rsid w:val="00477578"/>
    <w:rsid w:val="0047760D"/>
    <w:rsid w:val="004776C6"/>
    <w:rsid w:val="0047775D"/>
    <w:rsid w:val="004777A6"/>
    <w:rsid w:val="004777DD"/>
    <w:rsid w:val="004777F0"/>
    <w:rsid w:val="004778E4"/>
    <w:rsid w:val="004778EE"/>
    <w:rsid w:val="00477947"/>
    <w:rsid w:val="00477C03"/>
    <w:rsid w:val="00477C93"/>
    <w:rsid w:val="00477CDB"/>
    <w:rsid w:val="00477CE2"/>
    <w:rsid w:val="00477D2C"/>
    <w:rsid w:val="00477F13"/>
    <w:rsid w:val="00477FEB"/>
    <w:rsid w:val="00480014"/>
    <w:rsid w:val="00480151"/>
    <w:rsid w:val="00480187"/>
    <w:rsid w:val="00480302"/>
    <w:rsid w:val="00480453"/>
    <w:rsid w:val="0048047D"/>
    <w:rsid w:val="00480541"/>
    <w:rsid w:val="00480580"/>
    <w:rsid w:val="00480624"/>
    <w:rsid w:val="004807F7"/>
    <w:rsid w:val="004808BC"/>
    <w:rsid w:val="00480A87"/>
    <w:rsid w:val="00480AB5"/>
    <w:rsid w:val="00480BBD"/>
    <w:rsid w:val="00480BE8"/>
    <w:rsid w:val="00480BEB"/>
    <w:rsid w:val="00480E15"/>
    <w:rsid w:val="00480E63"/>
    <w:rsid w:val="00480FF3"/>
    <w:rsid w:val="00480FFF"/>
    <w:rsid w:val="00481096"/>
    <w:rsid w:val="0048110F"/>
    <w:rsid w:val="00481171"/>
    <w:rsid w:val="00481182"/>
    <w:rsid w:val="004811DC"/>
    <w:rsid w:val="004812BD"/>
    <w:rsid w:val="0048132E"/>
    <w:rsid w:val="00481336"/>
    <w:rsid w:val="00481366"/>
    <w:rsid w:val="00481433"/>
    <w:rsid w:val="00481490"/>
    <w:rsid w:val="004814C8"/>
    <w:rsid w:val="0048155E"/>
    <w:rsid w:val="004815DC"/>
    <w:rsid w:val="0048165E"/>
    <w:rsid w:val="004816FC"/>
    <w:rsid w:val="0048177C"/>
    <w:rsid w:val="00481845"/>
    <w:rsid w:val="004819AD"/>
    <w:rsid w:val="00481A56"/>
    <w:rsid w:val="00481A6C"/>
    <w:rsid w:val="00481C35"/>
    <w:rsid w:val="00481C5D"/>
    <w:rsid w:val="00481D46"/>
    <w:rsid w:val="00481D71"/>
    <w:rsid w:val="00481E27"/>
    <w:rsid w:val="00481E71"/>
    <w:rsid w:val="00481F7C"/>
    <w:rsid w:val="00482003"/>
    <w:rsid w:val="00482008"/>
    <w:rsid w:val="004820FB"/>
    <w:rsid w:val="004821BF"/>
    <w:rsid w:val="004821DD"/>
    <w:rsid w:val="004821F2"/>
    <w:rsid w:val="00482302"/>
    <w:rsid w:val="004823E3"/>
    <w:rsid w:val="00482418"/>
    <w:rsid w:val="0048253D"/>
    <w:rsid w:val="00482682"/>
    <w:rsid w:val="00482747"/>
    <w:rsid w:val="004829F8"/>
    <w:rsid w:val="00482A7B"/>
    <w:rsid w:val="00482AA7"/>
    <w:rsid w:val="00482AD7"/>
    <w:rsid w:val="00482B25"/>
    <w:rsid w:val="00482B27"/>
    <w:rsid w:val="00482C36"/>
    <w:rsid w:val="00482C7D"/>
    <w:rsid w:val="00482D89"/>
    <w:rsid w:val="00482E24"/>
    <w:rsid w:val="00482E48"/>
    <w:rsid w:val="00482EEC"/>
    <w:rsid w:val="00482F0B"/>
    <w:rsid w:val="00482F9A"/>
    <w:rsid w:val="00483074"/>
    <w:rsid w:val="004830BF"/>
    <w:rsid w:val="00483108"/>
    <w:rsid w:val="00483111"/>
    <w:rsid w:val="004831CC"/>
    <w:rsid w:val="00483286"/>
    <w:rsid w:val="004834A0"/>
    <w:rsid w:val="004834D4"/>
    <w:rsid w:val="004836BC"/>
    <w:rsid w:val="0048377B"/>
    <w:rsid w:val="004838DA"/>
    <w:rsid w:val="004838F1"/>
    <w:rsid w:val="00483A58"/>
    <w:rsid w:val="00483A7D"/>
    <w:rsid w:val="00483B18"/>
    <w:rsid w:val="00483B2A"/>
    <w:rsid w:val="00483B37"/>
    <w:rsid w:val="00483B64"/>
    <w:rsid w:val="00483B77"/>
    <w:rsid w:val="00483CCB"/>
    <w:rsid w:val="00483DA1"/>
    <w:rsid w:val="004841F4"/>
    <w:rsid w:val="0048427D"/>
    <w:rsid w:val="00484284"/>
    <w:rsid w:val="004842AF"/>
    <w:rsid w:val="004842F7"/>
    <w:rsid w:val="00484393"/>
    <w:rsid w:val="00484435"/>
    <w:rsid w:val="00484511"/>
    <w:rsid w:val="0048458E"/>
    <w:rsid w:val="004845FC"/>
    <w:rsid w:val="00484707"/>
    <w:rsid w:val="00484741"/>
    <w:rsid w:val="004848CE"/>
    <w:rsid w:val="004849D0"/>
    <w:rsid w:val="004849E9"/>
    <w:rsid w:val="00484A0B"/>
    <w:rsid w:val="00484A12"/>
    <w:rsid w:val="00484A9D"/>
    <w:rsid w:val="00484ACC"/>
    <w:rsid w:val="00484B4A"/>
    <w:rsid w:val="00484D8D"/>
    <w:rsid w:val="00484DDD"/>
    <w:rsid w:val="00484FF4"/>
    <w:rsid w:val="00485002"/>
    <w:rsid w:val="0048507A"/>
    <w:rsid w:val="004850D7"/>
    <w:rsid w:val="00485133"/>
    <w:rsid w:val="0048518A"/>
    <w:rsid w:val="00485203"/>
    <w:rsid w:val="00485211"/>
    <w:rsid w:val="004852A4"/>
    <w:rsid w:val="00485384"/>
    <w:rsid w:val="00485609"/>
    <w:rsid w:val="004858F5"/>
    <w:rsid w:val="00485A50"/>
    <w:rsid w:val="00485A77"/>
    <w:rsid w:val="00485BB5"/>
    <w:rsid w:val="00485C30"/>
    <w:rsid w:val="00485E28"/>
    <w:rsid w:val="00485F8B"/>
    <w:rsid w:val="004860AC"/>
    <w:rsid w:val="00486210"/>
    <w:rsid w:val="004862A2"/>
    <w:rsid w:val="00486301"/>
    <w:rsid w:val="0048642A"/>
    <w:rsid w:val="00486541"/>
    <w:rsid w:val="004865F6"/>
    <w:rsid w:val="00486603"/>
    <w:rsid w:val="0048660F"/>
    <w:rsid w:val="004867A2"/>
    <w:rsid w:val="004867D8"/>
    <w:rsid w:val="00486A22"/>
    <w:rsid w:val="00486A5B"/>
    <w:rsid w:val="00486B57"/>
    <w:rsid w:val="00486BED"/>
    <w:rsid w:val="00486C5A"/>
    <w:rsid w:val="00486CE2"/>
    <w:rsid w:val="00486D53"/>
    <w:rsid w:val="00486E69"/>
    <w:rsid w:val="004871C4"/>
    <w:rsid w:val="00487440"/>
    <w:rsid w:val="00487616"/>
    <w:rsid w:val="00487675"/>
    <w:rsid w:val="0048773A"/>
    <w:rsid w:val="0048784B"/>
    <w:rsid w:val="004878C7"/>
    <w:rsid w:val="00487C9F"/>
    <w:rsid w:val="00487CD0"/>
    <w:rsid w:val="00487D4D"/>
    <w:rsid w:val="00487DC6"/>
    <w:rsid w:val="0049001A"/>
    <w:rsid w:val="004901AA"/>
    <w:rsid w:val="004902A0"/>
    <w:rsid w:val="004902CF"/>
    <w:rsid w:val="00490323"/>
    <w:rsid w:val="004903F6"/>
    <w:rsid w:val="0049051E"/>
    <w:rsid w:val="004905F0"/>
    <w:rsid w:val="00490600"/>
    <w:rsid w:val="0049063C"/>
    <w:rsid w:val="00490646"/>
    <w:rsid w:val="00490720"/>
    <w:rsid w:val="00490864"/>
    <w:rsid w:val="00490903"/>
    <w:rsid w:val="004909B2"/>
    <w:rsid w:val="00490A36"/>
    <w:rsid w:val="00490BD5"/>
    <w:rsid w:val="00490C5F"/>
    <w:rsid w:val="00490E0B"/>
    <w:rsid w:val="00490FBB"/>
    <w:rsid w:val="004911C9"/>
    <w:rsid w:val="004911FC"/>
    <w:rsid w:val="00491263"/>
    <w:rsid w:val="004912AE"/>
    <w:rsid w:val="004914C5"/>
    <w:rsid w:val="00491507"/>
    <w:rsid w:val="004915E7"/>
    <w:rsid w:val="00491794"/>
    <w:rsid w:val="004918C2"/>
    <w:rsid w:val="00491A51"/>
    <w:rsid w:val="00491B93"/>
    <w:rsid w:val="00491CF4"/>
    <w:rsid w:val="00491D41"/>
    <w:rsid w:val="00491D8D"/>
    <w:rsid w:val="00491E90"/>
    <w:rsid w:val="00491F1F"/>
    <w:rsid w:val="00491F84"/>
    <w:rsid w:val="00492016"/>
    <w:rsid w:val="00492257"/>
    <w:rsid w:val="00492300"/>
    <w:rsid w:val="0049232E"/>
    <w:rsid w:val="004926EA"/>
    <w:rsid w:val="00492806"/>
    <w:rsid w:val="00492942"/>
    <w:rsid w:val="00492B0C"/>
    <w:rsid w:val="00492B79"/>
    <w:rsid w:val="00492BF6"/>
    <w:rsid w:val="00492EFA"/>
    <w:rsid w:val="00492F51"/>
    <w:rsid w:val="00492F70"/>
    <w:rsid w:val="0049307A"/>
    <w:rsid w:val="004930D3"/>
    <w:rsid w:val="00493251"/>
    <w:rsid w:val="00493331"/>
    <w:rsid w:val="0049335E"/>
    <w:rsid w:val="004934F0"/>
    <w:rsid w:val="004935D5"/>
    <w:rsid w:val="004935ED"/>
    <w:rsid w:val="00493676"/>
    <w:rsid w:val="0049367E"/>
    <w:rsid w:val="004936FB"/>
    <w:rsid w:val="004937A6"/>
    <w:rsid w:val="004938F2"/>
    <w:rsid w:val="00493940"/>
    <w:rsid w:val="00493943"/>
    <w:rsid w:val="00493B59"/>
    <w:rsid w:val="00493B5B"/>
    <w:rsid w:val="00493BDB"/>
    <w:rsid w:val="00493EA0"/>
    <w:rsid w:val="00494038"/>
    <w:rsid w:val="004940D7"/>
    <w:rsid w:val="004941A2"/>
    <w:rsid w:val="004941E6"/>
    <w:rsid w:val="00494245"/>
    <w:rsid w:val="004942D5"/>
    <w:rsid w:val="004943DA"/>
    <w:rsid w:val="00494464"/>
    <w:rsid w:val="0049455F"/>
    <w:rsid w:val="004946C8"/>
    <w:rsid w:val="00494728"/>
    <w:rsid w:val="00494760"/>
    <w:rsid w:val="0049478A"/>
    <w:rsid w:val="004947F9"/>
    <w:rsid w:val="0049496C"/>
    <w:rsid w:val="004949A5"/>
    <w:rsid w:val="004949F1"/>
    <w:rsid w:val="00494B10"/>
    <w:rsid w:val="00494BA8"/>
    <w:rsid w:val="00494D5A"/>
    <w:rsid w:val="00494E3D"/>
    <w:rsid w:val="00494F00"/>
    <w:rsid w:val="00494F51"/>
    <w:rsid w:val="00494F89"/>
    <w:rsid w:val="004952A4"/>
    <w:rsid w:val="00495364"/>
    <w:rsid w:val="0049538A"/>
    <w:rsid w:val="004954FC"/>
    <w:rsid w:val="004955AD"/>
    <w:rsid w:val="00495790"/>
    <w:rsid w:val="00495872"/>
    <w:rsid w:val="004958AC"/>
    <w:rsid w:val="004958F3"/>
    <w:rsid w:val="00495952"/>
    <w:rsid w:val="004959E6"/>
    <w:rsid w:val="00495C90"/>
    <w:rsid w:val="00495CC2"/>
    <w:rsid w:val="00495D87"/>
    <w:rsid w:val="00495F02"/>
    <w:rsid w:val="0049608D"/>
    <w:rsid w:val="004960C1"/>
    <w:rsid w:val="004960CC"/>
    <w:rsid w:val="004961B1"/>
    <w:rsid w:val="00496217"/>
    <w:rsid w:val="00496272"/>
    <w:rsid w:val="004962B9"/>
    <w:rsid w:val="0049658F"/>
    <w:rsid w:val="0049674F"/>
    <w:rsid w:val="004967B7"/>
    <w:rsid w:val="00496817"/>
    <w:rsid w:val="00496B3C"/>
    <w:rsid w:val="00496C17"/>
    <w:rsid w:val="00496E59"/>
    <w:rsid w:val="0049712F"/>
    <w:rsid w:val="00497160"/>
    <w:rsid w:val="00497167"/>
    <w:rsid w:val="004972D7"/>
    <w:rsid w:val="004972E7"/>
    <w:rsid w:val="00497334"/>
    <w:rsid w:val="004974C6"/>
    <w:rsid w:val="00497646"/>
    <w:rsid w:val="00497857"/>
    <w:rsid w:val="004978C0"/>
    <w:rsid w:val="00497924"/>
    <w:rsid w:val="00497AEE"/>
    <w:rsid w:val="00497C1D"/>
    <w:rsid w:val="00497D37"/>
    <w:rsid w:val="00497D3E"/>
    <w:rsid w:val="00497DA2"/>
    <w:rsid w:val="00497E7A"/>
    <w:rsid w:val="00497E96"/>
    <w:rsid w:val="00497EB3"/>
    <w:rsid w:val="00497ED4"/>
    <w:rsid w:val="004A0036"/>
    <w:rsid w:val="004A00AA"/>
    <w:rsid w:val="004A00AB"/>
    <w:rsid w:val="004A0221"/>
    <w:rsid w:val="004A02B6"/>
    <w:rsid w:val="004A02C3"/>
    <w:rsid w:val="004A0453"/>
    <w:rsid w:val="004A0472"/>
    <w:rsid w:val="004A04DE"/>
    <w:rsid w:val="004A05B4"/>
    <w:rsid w:val="004A05F2"/>
    <w:rsid w:val="004A0625"/>
    <w:rsid w:val="004A071A"/>
    <w:rsid w:val="004A073B"/>
    <w:rsid w:val="004A07FE"/>
    <w:rsid w:val="004A085E"/>
    <w:rsid w:val="004A088B"/>
    <w:rsid w:val="004A096F"/>
    <w:rsid w:val="004A0AB4"/>
    <w:rsid w:val="004A0C23"/>
    <w:rsid w:val="004A0C8B"/>
    <w:rsid w:val="004A0DB5"/>
    <w:rsid w:val="004A0EB1"/>
    <w:rsid w:val="004A105C"/>
    <w:rsid w:val="004A105E"/>
    <w:rsid w:val="004A107E"/>
    <w:rsid w:val="004A10A6"/>
    <w:rsid w:val="004A11B4"/>
    <w:rsid w:val="004A1347"/>
    <w:rsid w:val="004A145B"/>
    <w:rsid w:val="004A1505"/>
    <w:rsid w:val="004A150F"/>
    <w:rsid w:val="004A15E4"/>
    <w:rsid w:val="004A16D4"/>
    <w:rsid w:val="004A178D"/>
    <w:rsid w:val="004A179D"/>
    <w:rsid w:val="004A19C6"/>
    <w:rsid w:val="004A1AA7"/>
    <w:rsid w:val="004A1AB4"/>
    <w:rsid w:val="004A1C45"/>
    <w:rsid w:val="004A1E61"/>
    <w:rsid w:val="004A1E7F"/>
    <w:rsid w:val="004A1EBA"/>
    <w:rsid w:val="004A1EBB"/>
    <w:rsid w:val="004A1F0C"/>
    <w:rsid w:val="004A2380"/>
    <w:rsid w:val="004A2396"/>
    <w:rsid w:val="004A2413"/>
    <w:rsid w:val="004A2518"/>
    <w:rsid w:val="004A2541"/>
    <w:rsid w:val="004A2548"/>
    <w:rsid w:val="004A25EB"/>
    <w:rsid w:val="004A2634"/>
    <w:rsid w:val="004A2653"/>
    <w:rsid w:val="004A2674"/>
    <w:rsid w:val="004A26F3"/>
    <w:rsid w:val="004A273F"/>
    <w:rsid w:val="004A2759"/>
    <w:rsid w:val="004A27FA"/>
    <w:rsid w:val="004A2825"/>
    <w:rsid w:val="004A289E"/>
    <w:rsid w:val="004A28A7"/>
    <w:rsid w:val="004A292A"/>
    <w:rsid w:val="004A2962"/>
    <w:rsid w:val="004A2973"/>
    <w:rsid w:val="004A2ADA"/>
    <w:rsid w:val="004A2B6A"/>
    <w:rsid w:val="004A2C4A"/>
    <w:rsid w:val="004A2C73"/>
    <w:rsid w:val="004A2EE0"/>
    <w:rsid w:val="004A3007"/>
    <w:rsid w:val="004A3110"/>
    <w:rsid w:val="004A3188"/>
    <w:rsid w:val="004A31DC"/>
    <w:rsid w:val="004A321F"/>
    <w:rsid w:val="004A324A"/>
    <w:rsid w:val="004A34B6"/>
    <w:rsid w:val="004A35EF"/>
    <w:rsid w:val="004A361C"/>
    <w:rsid w:val="004A37D4"/>
    <w:rsid w:val="004A3943"/>
    <w:rsid w:val="004A39C3"/>
    <w:rsid w:val="004A3A23"/>
    <w:rsid w:val="004A3DED"/>
    <w:rsid w:val="004A3F7E"/>
    <w:rsid w:val="004A40CF"/>
    <w:rsid w:val="004A41C4"/>
    <w:rsid w:val="004A4233"/>
    <w:rsid w:val="004A4251"/>
    <w:rsid w:val="004A4380"/>
    <w:rsid w:val="004A443F"/>
    <w:rsid w:val="004A44FC"/>
    <w:rsid w:val="004A480D"/>
    <w:rsid w:val="004A4912"/>
    <w:rsid w:val="004A4B46"/>
    <w:rsid w:val="004A4B47"/>
    <w:rsid w:val="004A4D5F"/>
    <w:rsid w:val="004A4E0D"/>
    <w:rsid w:val="004A4E74"/>
    <w:rsid w:val="004A50A8"/>
    <w:rsid w:val="004A50E1"/>
    <w:rsid w:val="004A5232"/>
    <w:rsid w:val="004A5269"/>
    <w:rsid w:val="004A52E8"/>
    <w:rsid w:val="004A530A"/>
    <w:rsid w:val="004A53D7"/>
    <w:rsid w:val="004A54C3"/>
    <w:rsid w:val="004A5557"/>
    <w:rsid w:val="004A5686"/>
    <w:rsid w:val="004A595E"/>
    <w:rsid w:val="004A59E9"/>
    <w:rsid w:val="004A5A4D"/>
    <w:rsid w:val="004A5CEA"/>
    <w:rsid w:val="004A5E45"/>
    <w:rsid w:val="004A5F7F"/>
    <w:rsid w:val="004A60D2"/>
    <w:rsid w:val="004A60F3"/>
    <w:rsid w:val="004A61DE"/>
    <w:rsid w:val="004A635C"/>
    <w:rsid w:val="004A6412"/>
    <w:rsid w:val="004A6449"/>
    <w:rsid w:val="004A64EF"/>
    <w:rsid w:val="004A6653"/>
    <w:rsid w:val="004A66C2"/>
    <w:rsid w:val="004A66E1"/>
    <w:rsid w:val="004A6707"/>
    <w:rsid w:val="004A6752"/>
    <w:rsid w:val="004A67A5"/>
    <w:rsid w:val="004A67E3"/>
    <w:rsid w:val="004A685A"/>
    <w:rsid w:val="004A6865"/>
    <w:rsid w:val="004A695C"/>
    <w:rsid w:val="004A696A"/>
    <w:rsid w:val="004A69AC"/>
    <w:rsid w:val="004A6CF9"/>
    <w:rsid w:val="004A6F6C"/>
    <w:rsid w:val="004A6FA8"/>
    <w:rsid w:val="004A6FB1"/>
    <w:rsid w:val="004A7200"/>
    <w:rsid w:val="004A72BC"/>
    <w:rsid w:val="004A73E7"/>
    <w:rsid w:val="004A74ED"/>
    <w:rsid w:val="004A7500"/>
    <w:rsid w:val="004A7503"/>
    <w:rsid w:val="004A75CD"/>
    <w:rsid w:val="004A77C3"/>
    <w:rsid w:val="004A781A"/>
    <w:rsid w:val="004A79F6"/>
    <w:rsid w:val="004A7A96"/>
    <w:rsid w:val="004A7B08"/>
    <w:rsid w:val="004A7B38"/>
    <w:rsid w:val="004A7B92"/>
    <w:rsid w:val="004A7BB7"/>
    <w:rsid w:val="004A7E66"/>
    <w:rsid w:val="004A7ECE"/>
    <w:rsid w:val="004B008D"/>
    <w:rsid w:val="004B0118"/>
    <w:rsid w:val="004B0139"/>
    <w:rsid w:val="004B016A"/>
    <w:rsid w:val="004B02AB"/>
    <w:rsid w:val="004B02C2"/>
    <w:rsid w:val="004B032E"/>
    <w:rsid w:val="004B044C"/>
    <w:rsid w:val="004B04C1"/>
    <w:rsid w:val="004B05A5"/>
    <w:rsid w:val="004B0620"/>
    <w:rsid w:val="004B0716"/>
    <w:rsid w:val="004B0762"/>
    <w:rsid w:val="004B079D"/>
    <w:rsid w:val="004B07B9"/>
    <w:rsid w:val="004B098A"/>
    <w:rsid w:val="004B09D6"/>
    <w:rsid w:val="004B0A10"/>
    <w:rsid w:val="004B0A54"/>
    <w:rsid w:val="004B0B04"/>
    <w:rsid w:val="004B0BA7"/>
    <w:rsid w:val="004B0CA9"/>
    <w:rsid w:val="004B0F28"/>
    <w:rsid w:val="004B0F87"/>
    <w:rsid w:val="004B0FBB"/>
    <w:rsid w:val="004B1193"/>
    <w:rsid w:val="004B1255"/>
    <w:rsid w:val="004B12E5"/>
    <w:rsid w:val="004B137B"/>
    <w:rsid w:val="004B1420"/>
    <w:rsid w:val="004B144F"/>
    <w:rsid w:val="004B148A"/>
    <w:rsid w:val="004B15C4"/>
    <w:rsid w:val="004B1680"/>
    <w:rsid w:val="004B1765"/>
    <w:rsid w:val="004B185C"/>
    <w:rsid w:val="004B1993"/>
    <w:rsid w:val="004B1A0E"/>
    <w:rsid w:val="004B1AB8"/>
    <w:rsid w:val="004B1AD0"/>
    <w:rsid w:val="004B1B46"/>
    <w:rsid w:val="004B1E88"/>
    <w:rsid w:val="004B1F75"/>
    <w:rsid w:val="004B1FD8"/>
    <w:rsid w:val="004B200B"/>
    <w:rsid w:val="004B2084"/>
    <w:rsid w:val="004B212E"/>
    <w:rsid w:val="004B216A"/>
    <w:rsid w:val="004B231E"/>
    <w:rsid w:val="004B2636"/>
    <w:rsid w:val="004B273C"/>
    <w:rsid w:val="004B2797"/>
    <w:rsid w:val="004B28F5"/>
    <w:rsid w:val="004B29BD"/>
    <w:rsid w:val="004B2A1D"/>
    <w:rsid w:val="004B2A81"/>
    <w:rsid w:val="004B2EA6"/>
    <w:rsid w:val="004B2F71"/>
    <w:rsid w:val="004B3213"/>
    <w:rsid w:val="004B3345"/>
    <w:rsid w:val="004B34B9"/>
    <w:rsid w:val="004B34D4"/>
    <w:rsid w:val="004B37B0"/>
    <w:rsid w:val="004B37F7"/>
    <w:rsid w:val="004B3984"/>
    <w:rsid w:val="004B3A16"/>
    <w:rsid w:val="004B3A73"/>
    <w:rsid w:val="004B3A91"/>
    <w:rsid w:val="004B3B91"/>
    <w:rsid w:val="004B3CB3"/>
    <w:rsid w:val="004B3CBF"/>
    <w:rsid w:val="004B3D3F"/>
    <w:rsid w:val="004B3E41"/>
    <w:rsid w:val="004B3E7F"/>
    <w:rsid w:val="004B3ECB"/>
    <w:rsid w:val="004B4005"/>
    <w:rsid w:val="004B415F"/>
    <w:rsid w:val="004B4169"/>
    <w:rsid w:val="004B42F4"/>
    <w:rsid w:val="004B4526"/>
    <w:rsid w:val="004B454D"/>
    <w:rsid w:val="004B47DD"/>
    <w:rsid w:val="004B48EA"/>
    <w:rsid w:val="004B4A76"/>
    <w:rsid w:val="004B4B41"/>
    <w:rsid w:val="004B4B62"/>
    <w:rsid w:val="004B4CA9"/>
    <w:rsid w:val="004B4CAF"/>
    <w:rsid w:val="004B4D44"/>
    <w:rsid w:val="004B4FE9"/>
    <w:rsid w:val="004B5079"/>
    <w:rsid w:val="004B518F"/>
    <w:rsid w:val="004B53DE"/>
    <w:rsid w:val="004B5431"/>
    <w:rsid w:val="004B5488"/>
    <w:rsid w:val="004B55AB"/>
    <w:rsid w:val="004B57B2"/>
    <w:rsid w:val="004B5808"/>
    <w:rsid w:val="004B589B"/>
    <w:rsid w:val="004B592C"/>
    <w:rsid w:val="004B5964"/>
    <w:rsid w:val="004B59D1"/>
    <w:rsid w:val="004B5C31"/>
    <w:rsid w:val="004B5C5A"/>
    <w:rsid w:val="004B5D85"/>
    <w:rsid w:val="004B61A3"/>
    <w:rsid w:val="004B6228"/>
    <w:rsid w:val="004B63B0"/>
    <w:rsid w:val="004B63CE"/>
    <w:rsid w:val="004B63D3"/>
    <w:rsid w:val="004B64A9"/>
    <w:rsid w:val="004B64AE"/>
    <w:rsid w:val="004B64B4"/>
    <w:rsid w:val="004B64CE"/>
    <w:rsid w:val="004B6598"/>
    <w:rsid w:val="004B6702"/>
    <w:rsid w:val="004B6704"/>
    <w:rsid w:val="004B6713"/>
    <w:rsid w:val="004B6791"/>
    <w:rsid w:val="004B67C6"/>
    <w:rsid w:val="004B686A"/>
    <w:rsid w:val="004B69A4"/>
    <w:rsid w:val="004B69CC"/>
    <w:rsid w:val="004B6AF4"/>
    <w:rsid w:val="004B6C03"/>
    <w:rsid w:val="004B6CDD"/>
    <w:rsid w:val="004B6CFA"/>
    <w:rsid w:val="004B6D4B"/>
    <w:rsid w:val="004B6E87"/>
    <w:rsid w:val="004B71D4"/>
    <w:rsid w:val="004B721E"/>
    <w:rsid w:val="004B72D7"/>
    <w:rsid w:val="004B73D6"/>
    <w:rsid w:val="004B742C"/>
    <w:rsid w:val="004B753B"/>
    <w:rsid w:val="004B75D1"/>
    <w:rsid w:val="004B77EB"/>
    <w:rsid w:val="004B78A6"/>
    <w:rsid w:val="004B7907"/>
    <w:rsid w:val="004B7920"/>
    <w:rsid w:val="004B7C2B"/>
    <w:rsid w:val="004B7CC8"/>
    <w:rsid w:val="004B7CE8"/>
    <w:rsid w:val="004B7F69"/>
    <w:rsid w:val="004C0025"/>
    <w:rsid w:val="004C0184"/>
    <w:rsid w:val="004C02BA"/>
    <w:rsid w:val="004C02C7"/>
    <w:rsid w:val="004C05B4"/>
    <w:rsid w:val="004C06A7"/>
    <w:rsid w:val="004C081C"/>
    <w:rsid w:val="004C0A45"/>
    <w:rsid w:val="004C0BB4"/>
    <w:rsid w:val="004C0CC1"/>
    <w:rsid w:val="004C0D25"/>
    <w:rsid w:val="004C0D59"/>
    <w:rsid w:val="004C0DB4"/>
    <w:rsid w:val="004C0DE5"/>
    <w:rsid w:val="004C0E7B"/>
    <w:rsid w:val="004C0F2B"/>
    <w:rsid w:val="004C0FA3"/>
    <w:rsid w:val="004C10A9"/>
    <w:rsid w:val="004C1155"/>
    <w:rsid w:val="004C120F"/>
    <w:rsid w:val="004C1250"/>
    <w:rsid w:val="004C1290"/>
    <w:rsid w:val="004C1347"/>
    <w:rsid w:val="004C150C"/>
    <w:rsid w:val="004C15A5"/>
    <w:rsid w:val="004C15AD"/>
    <w:rsid w:val="004C17D1"/>
    <w:rsid w:val="004C17E2"/>
    <w:rsid w:val="004C190A"/>
    <w:rsid w:val="004C1944"/>
    <w:rsid w:val="004C1985"/>
    <w:rsid w:val="004C1A3B"/>
    <w:rsid w:val="004C1A62"/>
    <w:rsid w:val="004C1B09"/>
    <w:rsid w:val="004C1B37"/>
    <w:rsid w:val="004C1D0E"/>
    <w:rsid w:val="004C1DE6"/>
    <w:rsid w:val="004C1E3E"/>
    <w:rsid w:val="004C1E4F"/>
    <w:rsid w:val="004C1EEC"/>
    <w:rsid w:val="004C1F01"/>
    <w:rsid w:val="004C1F4E"/>
    <w:rsid w:val="004C1F5E"/>
    <w:rsid w:val="004C2195"/>
    <w:rsid w:val="004C2282"/>
    <w:rsid w:val="004C230A"/>
    <w:rsid w:val="004C23C1"/>
    <w:rsid w:val="004C253D"/>
    <w:rsid w:val="004C2615"/>
    <w:rsid w:val="004C261F"/>
    <w:rsid w:val="004C2675"/>
    <w:rsid w:val="004C2762"/>
    <w:rsid w:val="004C283C"/>
    <w:rsid w:val="004C28BA"/>
    <w:rsid w:val="004C28D1"/>
    <w:rsid w:val="004C2A94"/>
    <w:rsid w:val="004C2C62"/>
    <w:rsid w:val="004C2C97"/>
    <w:rsid w:val="004C2CBA"/>
    <w:rsid w:val="004C2CF6"/>
    <w:rsid w:val="004C2DC7"/>
    <w:rsid w:val="004C2DFE"/>
    <w:rsid w:val="004C2EB3"/>
    <w:rsid w:val="004C300E"/>
    <w:rsid w:val="004C307D"/>
    <w:rsid w:val="004C30BF"/>
    <w:rsid w:val="004C3185"/>
    <w:rsid w:val="004C332E"/>
    <w:rsid w:val="004C335E"/>
    <w:rsid w:val="004C3404"/>
    <w:rsid w:val="004C3439"/>
    <w:rsid w:val="004C35F0"/>
    <w:rsid w:val="004C35FB"/>
    <w:rsid w:val="004C3603"/>
    <w:rsid w:val="004C360D"/>
    <w:rsid w:val="004C3688"/>
    <w:rsid w:val="004C374E"/>
    <w:rsid w:val="004C379C"/>
    <w:rsid w:val="004C385A"/>
    <w:rsid w:val="004C3864"/>
    <w:rsid w:val="004C38F5"/>
    <w:rsid w:val="004C3964"/>
    <w:rsid w:val="004C39A5"/>
    <w:rsid w:val="004C39AF"/>
    <w:rsid w:val="004C3A12"/>
    <w:rsid w:val="004C3A3B"/>
    <w:rsid w:val="004C3AD2"/>
    <w:rsid w:val="004C3B77"/>
    <w:rsid w:val="004C3D1E"/>
    <w:rsid w:val="004C3DB1"/>
    <w:rsid w:val="004C3E26"/>
    <w:rsid w:val="004C3E6D"/>
    <w:rsid w:val="004C3EBA"/>
    <w:rsid w:val="004C4055"/>
    <w:rsid w:val="004C40B8"/>
    <w:rsid w:val="004C41EC"/>
    <w:rsid w:val="004C429C"/>
    <w:rsid w:val="004C42A4"/>
    <w:rsid w:val="004C439A"/>
    <w:rsid w:val="004C4611"/>
    <w:rsid w:val="004C4705"/>
    <w:rsid w:val="004C478B"/>
    <w:rsid w:val="004C4877"/>
    <w:rsid w:val="004C48C4"/>
    <w:rsid w:val="004C4C72"/>
    <w:rsid w:val="004C4D6F"/>
    <w:rsid w:val="004C4DA4"/>
    <w:rsid w:val="004C4E08"/>
    <w:rsid w:val="004C4E18"/>
    <w:rsid w:val="004C4E62"/>
    <w:rsid w:val="004C4ECA"/>
    <w:rsid w:val="004C500A"/>
    <w:rsid w:val="004C526A"/>
    <w:rsid w:val="004C53BA"/>
    <w:rsid w:val="004C54A2"/>
    <w:rsid w:val="004C54D1"/>
    <w:rsid w:val="004C54E9"/>
    <w:rsid w:val="004C552A"/>
    <w:rsid w:val="004C56B0"/>
    <w:rsid w:val="004C57E6"/>
    <w:rsid w:val="004C5CEC"/>
    <w:rsid w:val="004C5CFB"/>
    <w:rsid w:val="004C5D49"/>
    <w:rsid w:val="004C5E0E"/>
    <w:rsid w:val="004C5ECD"/>
    <w:rsid w:val="004C5F39"/>
    <w:rsid w:val="004C5FA4"/>
    <w:rsid w:val="004C5FF2"/>
    <w:rsid w:val="004C6008"/>
    <w:rsid w:val="004C6025"/>
    <w:rsid w:val="004C60CB"/>
    <w:rsid w:val="004C60E8"/>
    <w:rsid w:val="004C61CD"/>
    <w:rsid w:val="004C6297"/>
    <w:rsid w:val="004C62BE"/>
    <w:rsid w:val="004C6360"/>
    <w:rsid w:val="004C63D4"/>
    <w:rsid w:val="004C63E9"/>
    <w:rsid w:val="004C64F9"/>
    <w:rsid w:val="004C6841"/>
    <w:rsid w:val="004C68A2"/>
    <w:rsid w:val="004C695D"/>
    <w:rsid w:val="004C6985"/>
    <w:rsid w:val="004C6A67"/>
    <w:rsid w:val="004C6B33"/>
    <w:rsid w:val="004C6D90"/>
    <w:rsid w:val="004C6DB4"/>
    <w:rsid w:val="004C6DC9"/>
    <w:rsid w:val="004C6DF9"/>
    <w:rsid w:val="004C6E66"/>
    <w:rsid w:val="004C6F02"/>
    <w:rsid w:val="004C6FB3"/>
    <w:rsid w:val="004C7000"/>
    <w:rsid w:val="004C70F5"/>
    <w:rsid w:val="004C7193"/>
    <w:rsid w:val="004C719F"/>
    <w:rsid w:val="004C7254"/>
    <w:rsid w:val="004C736F"/>
    <w:rsid w:val="004C73E3"/>
    <w:rsid w:val="004C742F"/>
    <w:rsid w:val="004C7515"/>
    <w:rsid w:val="004C75FE"/>
    <w:rsid w:val="004C7810"/>
    <w:rsid w:val="004C7824"/>
    <w:rsid w:val="004C7884"/>
    <w:rsid w:val="004C78F5"/>
    <w:rsid w:val="004C7910"/>
    <w:rsid w:val="004C797C"/>
    <w:rsid w:val="004C7B8D"/>
    <w:rsid w:val="004C7B96"/>
    <w:rsid w:val="004C7BA1"/>
    <w:rsid w:val="004C7C5A"/>
    <w:rsid w:val="004C7CAF"/>
    <w:rsid w:val="004C7DA2"/>
    <w:rsid w:val="004C7DBB"/>
    <w:rsid w:val="004C7FE3"/>
    <w:rsid w:val="004C7FED"/>
    <w:rsid w:val="004D0058"/>
    <w:rsid w:val="004D0059"/>
    <w:rsid w:val="004D00EE"/>
    <w:rsid w:val="004D0172"/>
    <w:rsid w:val="004D01A0"/>
    <w:rsid w:val="004D02C2"/>
    <w:rsid w:val="004D03B0"/>
    <w:rsid w:val="004D03B6"/>
    <w:rsid w:val="004D040F"/>
    <w:rsid w:val="004D06F5"/>
    <w:rsid w:val="004D087A"/>
    <w:rsid w:val="004D0CD9"/>
    <w:rsid w:val="004D0FAF"/>
    <w:rsid w:val="004D0FBB"/>
    <w:rsid w:val="004D0FCE"/>
    <w:rsid w:val="004D10FC"/>
    <w:rsid w:val="004D11B5"/>
    <w:rsid w:val="004D11ED"/>
    <w:rsid w:val="004D1216"/>
    <w:rsid w:val="004D121D"/>
    <w:rsid w:val="004D13BF"/>
    <w:rsid w:val="004D1489"/>
    <w:rsid w:val="004D1539"/>
    <w:rsid w:val="004D1559"/>
    <w:rsid w:val="004D156F"/>
    <w:rsid w:val="004D15D2"/>
    <w:rsid w:val="004D1701"/>
    <w:rsid w:val="004D1729"/>
    <w:rsid w:val="004D17D9"/>
    <w:rsid w:val="004D17DC"/>
    <w:rsid w:val="004D18BA"/>
    <w:rsid w:val="004D1B15"/>
    <w:rsid w:val="004D1B60"/>
    <w:rsid w:val="004D1C93"/>
    <w:rsid w:val="004D1D71"/>
    <w:rsid w:val="004D1E0C"/>
    <w:rsid w:val="004D20A3"/>
    <w:rsid w:val="004D2223"/>
    <w:rsid w:val="004D227E"/>
    <w:rsid w:val="004D25FE"/>
    <w:rsid w:val="004D2606"/>
    <w:rsid w:val="004D269F"/>
    <w:rsid w:val="004D26C6"/>
    <w:rsid w:val="004D27A1"/>
    <w:rsid w:val="004D2899"/>
    <w:rsid w:val="004D28D2"/>
    <w:rsid w:val="004D293E"/>
    <w:rsid w:val="004D2992"/>
    <w:rsid w:val="004D2AE5"/>
    <w:rsid w:val="004D2AE8"/>
    <w:rsid w:val="004D2BF4"/>
    <w:rsid w:val="004D2C4C"/>
    <w:rsid w:val="004D2C7E"/>
    <w:rsid w:val="004D2D18"/>
    <w:rsid w:val="004D2E6C"/>
    <w:rsid w:val="004D2E7C"/>
    <w:rsid w:val="004D2FDF"/>
    <w:rsid w:val="004D2FF7"/>
    <w:rsid w:val="004D3000"/>
    <w:rsid w:val="004D3041"/>
    <w:rsid w:val="004D3193"/>
    <w:rsid w:val="004D31F7"/>
    <w:rsid w:val="004D3254"/>
    <w:rsid w:val="004D3277"/>
    <w:rsid w:val="004D32B4"/>
    <w:rsid w:val="004D34B4"/>
    <w:rsid w:val="004D34E4"/>
    <w:rsid w:val="004D3558"/>
    <w:rsid w:val="004D3958"/>
    <w:rsid w:val="004D3C1E"/>
    <w:rsid w:val="004D3C57"/>
    <w:rsid w:val="004D3E4B"/>
    <w:rsid w:val="004D3EA0"/>
    <w:rsid w:val="004D3EA5"/>
    <w:rsid w:val="004D3EB5"/>
    <w:rsid w:val="004D4099"/>
    <w:rsid w:val="004D409A"/>
    <w:rsid w:val="004D40A5"/>
    <w:rsid w:val="004D40D4"/>
    <w:rsid w:val="004D4120"/>
    <w:rsid w:val="004D4451"/>
    <w:rsid w:val="004D4556"/>
    <w:rsid w:val="004D46EB"/>
    <w:rsid w:val="004D4740"/>
    <w:rsid w:val="004D4753"/>
    <w:rsid w:val="004D4763"/>
    <w:rsid w:val="004D47D4"/>
    <w:rsid w:val="004D48FB"/>
    <w:rsid w:val="004D493D"/>
    <w:rsid w:val="004D4953"/>
    <w:rsid w:val="004D49F1"/>
    <w:rsid w:val="004D4A32"/>
    <w:rsid w:val="004D4BBE"/>
    <w:rsid w:val="004D4BC3"/>
    <w:rsid w:val="004D4BC9"/>
    <w:rsid w:val="004D4C3F"/>
    <w:rsid w:val="004D4D74"/>
    <w:rsid w:val="004D4E98"/>
    <w:rsid w:val="004D4F1E"/>
    <w:rsid w:val="004D5086"/>
    <w:rsid w:val="004D509E"/>
    <w:rsid w:val="004D51D0"/>
    <w:rsid w:val="004D523C"/>
    <w:rsid w:val="004D52F1"/>
    <w:rsid w:val="004D543E"/>
    <w:rsid w:val="004D55A0"/>
    <w:rsid w:val="004D5603"/>
    <w:rsid w:val="004D564B"/>
    <w:rsid w:val="004D5723"/>
    <w:rsid w:val="004D58F6"/>
    <w:rsid w:val="004D59CF"/>
    <w:rsid w:val="004D5A36"/>
    <w:rsid w:val="004D5B9E"/>
    <w:rsid w:val="004D5BA6"/>
    <w:rsid w:val="004D5C64"/>
    <w:rsid w:val="004D5DA0"/>
    <w:rsid w:val="004D5F6A"/>
    <w:rsid w:val="004D603C"/>
    <w:rsid w:val="004D603D"/>
    <w:rsid w:val="004D6047"/>
    <w:rsid w:val="004D60F2"/>
    <w:rsid w:val="004D6158"/>
    <w:rsid w:val="004D6213"/>
    <w:rsid w:val="004D6344"/>
    <w:rsid w:val="004D6366"/>
    <w:rsid w:val="004D640C"/>
    <w:rsid w:val="004D6445"/>
    <w:rsid w:val="004D6447"/>
    <w:rsid w:val="004D6465"/>
    <w:rsid w:val="004D64E4"/>
    <w:rsid w:val="004D654C"/>
    <w:rsid w:val="004D6615"/>
    <w:rsid w:val="004D669E"/>
    <w:rsid w:val="004D6759"/>
    <w:rsid w:val="004D67FE"/>
    <w:rsid w:val="004D6915"/>
    <w:rsid w:val="004D691F"/>
    <w:rsid w:val="004D696E"/>
    <w:rsid w:val="004D69AA"/>
    <w:rsid w:val="004D69CC"/>
    <w:rsid w:val="004D6A21"/>
    <w:rsid w:val="004D6CD5"/>
    <w:rsid w:val="004D6D07"/>
    <w:rsid w:val="004D6DDB"/>
    <w:rsid w:val="004D6E83"/>
    <w:rsid w:val="004D6EC6"/>
    <w:rsid w:val="004D6F9A"/>
    <w:rsid w:val="004D7136"/>
    <w:rsid w:val="004D74BF"/>
    <w:rsid w:val="004D7513"/>
    <w:rsid w:val="004D7649"/>
    <w:rsid w:val="004D77CF"/>
    <w:rsid w:val="004D77DD"/>
    <w:rsid w:val="004D7A01"/>
    <w:rsid w:val="004D7B18"/>
    <w:rsid w:val="004D7BC8"/>
    <w:rsid w:val="004D7D17"/>
    <w:rsid w:val="004D7E22"/>
    <w:rsid w:val="004D7E3F"/>
    <w:rsid w:val="004D7EC5"/>
    <w:rsid w:val="004D7F14"/>
    <w:rsid w:val="004D7F81"/>
    <w:rsid w:val="004E0083"/>
    <w:rsid w:val="004E0237"/>
    <w:rsid w:val="004E037F"/>
    <w:rsid w:val="004E03EF"/>
    <w:rsid w:val="004E04EE"/>
    <w:rsid w:val="004E050D"/>
    <w:rsid w:val="004E055D"/>
    <w:rsid w:val="004E063B"/>
    <w:rsid w:val="004E06BE"/>
    <w:rsid w:val="004E0717"/>
    <w:rsid w:val="004E07A2"/>
    <w:rsid w:val="004E07E8"/>
    <w:rsid w:val="004E07EC"/>
    <w:rsid w:val="004E090B"/>
    <w:rsid w:val="004E09C7"/>
    <w:rsid w:val="004E09FB"/>
    <w:rsid w:val="004E0A09"/>
    <w:rsid w:val="004E0A82"/>
    <w:rsid w:val="004E0ABA"/>
    <w:rsid w:val="004E0AF8"/>
    <w:rsid w:val="004E0E39"/>
    <w:rsid w:val="004E0F77"/>
    <w:rsid w:val="004E0FAE"/>
    <w:rsid w:val="004E0FFF"/>
    <w:rsid w:val="004E1176"/>
    <w:rsid w:val="004E1259"/>
    <w:rsid w:val="004E1331"/>
    <w:rsid w:val="004E14B2"/>
    <w:rsid w:val="004E1570"/>
    <w:rsid w:val="004E1627"/>
    <w:rsid w:val="004E16D8"/>
    <w:rsid w:val="004E1819"/>
    <w:rsid w:val="004E18B0"/>
    <w:rsid w:val="004E19E8"/>
    <w:rsid w:val="004E19FA"/>
    <w:rsid w:val="004E1C55"/>
    <w:rsid w:val="004E1CD3"/>
    <w:rsid w:val="004E1DEC"/>
    <w:rsid w:val="004E1EAD"/>
    <w:rsid w:val="004E1EDE"/>
    <w:rsid w:val="004E1EF9"/>
    <w:rsid w:val="004E1F0C"/>
    <w:rsid w:val="004E1F1B"/>
    <w:rsid w:val="004E1F89"/>
    <w:rsid w:val="004E202C"/>
    <w:rsid w:val="004E2294"/>
    <w:rsid w:val="004E23CB"/>
    <w:rsid w:val="004E246B"/>
    <w:rsid w:val="004E2666"/>
    <w:rsid w:val="004E2ADA"/>
    <w:rsid w:val="004E2AEA"/>
    <w:rsid w:val="004E2C99"/>
    <w:rsid w:val="004E2D5C"/>
    <w:rsid w:val="004E2DD2"/>
    <w:rsid w:val="004E3002"/>
    <w:rsid w:val="004E3005"/>
    <w:rsid w:val="004E31F7"/>
    <w:rsid w:val="004E3270"/>
    <w:rsid w:val="004E32CD"/>
    <w:rsid w:val="004E3394"/>
    <w:rsid w:val="004E342B"/>
    <w:rsid w:val="004E3476"/>
    <w:rsid w:val="004E3679"/>
    <w:rsid w:val="004E3775"/>
    <w:rsid w:val="004E38D7"/>
    <w:rsid w:val="004E39E5"/>
    <w:rsid w:val="004E3A55"/>
    <w:rsid w:val="004E3B1E"/>
    <w:rsid w:val="004E3D03"/>
    <w:rsid w:val="004E3D78"/>
    <w:rsid w:val="004E3DD4"/>
    <w:rsid w:val="004E3DE3"/>
    <w:rsid w:val="004E3E4F"/>
    <w:rsid w:val="004E3EBD"/>
    <w:rsid w:val="004E3FB6"/>
    <w:rsid w:val="004E400F"/>
    <w:rsid w:val="004E4027"/>
    <w:rsid w:val="004E4094"/>
    <w:rsid w:val="004E428F"/>
    <w:rsid w:val="004E42F4"/>
    <w:rsid w:val="004E435C"/>
    <w:rsid w:val="004E438E"/>
    <w:rsid w:val="004E4425"/>
    <w:rsid w:val="004E452D"/>
    <w:rsid w:val="004E461C"/>
    <w:rsid w:val="004E4645"/>
    <w:rsid w:val="004E46AF"/>
    <w:rsid w:val="004E4750"/>
    <w:rsid w:val="004E47A9"/>
    <w:rsid w:val="004E47F7"/>
    <w:rsid w:val="004E4AB0"/>
    <w:rsid w:val="004E4B18"/>
    <w:rsid w:val="004E4B9D"/>
    <w:rsid w:val="004E4BAC"/>
    <w:rsid w:val="004E4C15"/>
    <w:rsid w:val="004E4CDD"/>
    <w:rsid w:val="004E4D94"/>
    <w:rsid w:val="004E4E71"/>
    <w:rsid w:val="004E4EA9"/>
    <w:rsid w:val="004E4ED2"/>
    <w:rsid w:val="004E4ED8"/>
    <w:rsid w:val="004E4EE1"/>
    <w:rsid w:val="004E4F71"/>
    <w:rsid w:val="004E4FDC"/>
    <w:rsid w:val="004E504C"/>
    <w:rsid w:val="004E505E"/>
    <w:rsid w:val="004E5120"/>
    <w:rsid w:val="004E5153"/>
    <w:rsid w:val="004E51F5"/>
    <w:rsid w:val="004E5237"/>
    <w:rsid w:val="004E52DE"/>
    <w:rsid w:val="004E531C"/>
    <w:rsid w:val="004E5323"/>
    <w:rsid w:val="004E5490"/>
    <w:rsid w:val="004E5498"/>
    <w:rsid w:val="004E5545"/>
    <w:rsid w:val="004E5559"/>
    <w:rsid w:val="004E55E4"/>
    <w:rsid w:val="004E562A"/>
    <w:rsid w:val="004E5780"/>
    <w:rsid w:val="004E58C5"/>
    <w:rsid w:val="004E5940"/>
    <w:rsid w:val="004E5959"/>
    <w:rsid w:val="004E5960"/>
    <w:rsid w:val="004E5BA1"/>
    <w:rsid w:val="004E5BC8"/>
    <w:rsid w:val="004E5C22"/>
    <w:rsid w:val="004E5C44"/>
    <w:rsid w:val="004E5D10"/>
    <w:rsid w:val="004E5D37"/>
    <w:rsid w:val="004E5DAE"/>
    <w:rsid w:val="004E5DBE"/>
    <w:rsid w:val="004E5E27"/>
    <w:rsid w:val="004E5F10"/>
    <w:rsid w:val="004E5F67"/>
    <w:rsid w:val="004E5F7A"/>
    <w:rsid w:val="004E6095"/>
    <w:rsid w:val="004E60E0"/>
    <w:rsid w:val="004E610E"/>
    <w:rsid w:val="004E61B6"/>
    <w:rsid w:val="004E62E4"/>
    <w:rsid w:val="004E6323"/>
    <w:rsid w:val="004E63D3"/>
    <w:rsid w:val="004E6444"/>
    <w:rsid w:val="004E64C8"/>
    <w:rsid w:val="004E6661"/>
    <w:rsid w:val="004E669D"/>
    <w:rsid w:val="004E6785"/>
    <w:rsid w:val="004E679B"/>
    <w:rsid w:val="004E69D0"/>
    <w:rsid w:val="004E6AC0"/>
    <w:rsid w:val="004E6BED"/>
    <w:rsid w:val="004E6C12"/>
    <w:rsid w:val="004E6CE4"/>
    <w:rsid w:val="004E6D72"/>
    <w:rsid w:val="004E6D9A"/>
    <w:rsid w:val="004E6F2D"/>
    <w:rsid w:val="004E6F43"/>
    <w:rsid w:val="004E7142"/>
    <w:rsid w:val="004E71C7"/>
    <w:rsid w:val="004E727C"/>
    <w:rsid w:val="004E7356"/>
    <w:rsid w:val="004E7498"/>
    <w:rsid w:val="004E74FD"/>
    <w:rsid w:val="004E7692"/>
    <w:rsid w:val="004E7923"/>
    <w:rsid w:val="004E7A8F"/>
    <w:rsid w:val="004E7AE0"/>
    <w:rsid w:val="004E7E61"/>
    <w:rsid w:val="004E7EFF"/>
    <w:rsid w:val="004E7F4E"/>
    <w:rsid w:val="004F018D"/>
    <w:rsid w:val="004F0192"/>
    <w:rsid w:val="004F0272"/>
    <w:rsid w:val="004F03BA"/>
    <w:rsid w:val="004F0407"/>
    <w:rsid w:val="004F0465"/>
    <w:rsid w:val="004F046F"/>
    <w:rsid w:val="004F0730"/>
    <w:rsid w:val="004F07B2"/>
    <w:rsid w:val="004F09B2"/>
    <w:rsid w:val="004F0A20"/>
    <w:rsid w:val="004F0AD6"/>
    <w:rsid w:val="004F0B48"/>
    <w:rsid w:val="004F0B9F"/>
    <w:rsid w:val="004F0C08"/>
    <w:rsid w:val="004F0C89"/>
    <w:rsid w:val="004F0CED"/>
    <w:rsid w:val="004F0D14"/>
    <w:rsid w:val="004F0DBF"/>
    <w:rsid w:val="004F0F39"/>
    <w:rsid w:val="004F0FF1"/>
    <w:rsid w:val="004F1045"/>
    <w:rsid w:val="004F1120"/>
    <w:rsid w:val="004F1123"/>
    <w:rsid w:val="004F1199"/>
    <w:rsid w:val="004F140E"/>
    <w:rsid w:val="004F141A"/>
    <w:rsid w:val="004F166A"/>
    <w:rsid w:val="004F16FC"/>
    <w:rsid w:val="004F1770"/>
    <w:rsid w:val="004F181F"/>
    <w:rsid w:val="004F18DB"/>
    <w:rsid w:val="004F1919"/>
    <w:rsid w:val="004F19C4"/>
    <w:rsid w:val="004F1A4E"/>
    <w:rsid w:val="004F1AD7"/>
    <w:rsid w:val="004F1AFE"/>
    <w:rsid w:val="004F1B2B"/>
    <w:rsid w:val="004F1C1A"/>
    <w:rsid w:val="004F1C97"/>
    <w:rsid w:val="004F1D70"/>
    <w:rsid w:val="004F1DBD"/>
    <w:rsid w:val="004F1DC8"/>
    <w:rsid w:val="004F1E91"/>
    <w:rsid w:val="004F2043"/>
    <w:rsid w:val="004F205D"/>
    <w:rsid w:val="004F209A"/>
    <w:rsid w:val="004F20CB"/>
    <w:rsid w:val="004F20F4"/>
    <w:rsid w:val="004F2201"/>
    <w:rsid w:val="004F2360"/>
    <w:rsid w:val="004F23ED"/>
    <w:rsid w:val="004F2529"/>
    <w:rsid w:val="004F25CB"/>
    <w:rsid w:val="004F25D4"/>
    <w:rsid w:val="004F2637"/>
    <w:rsid w:val="004F2694"/>
    <w:rsid w:val="004F26DA"/>
    <w:rsid w:val="004F2765"/>
    <w:rsid w:val="004F27A3"/>
    <w:rsid w:val="004F2816"/>
    <w:rsid w:val="004F28D6"/>
    <w:rsid w:val="004F28E9"/>
    <w:rsid w:val="004F2923"/>
    <w:rsid w:val="004F292C"/>
    <w:rsid w:val="004F2982"/>
    <w:rsid w:val="004F29CA"/>
    <w:rsid w:val="004F2A33"/>
    <w:rsid w:val="004F2ABF"/>
    <w:rsid w:val="004F2B8A"/>
    <w:rsid w:val="004F2C86"/>
    <w:rsid w:val="004F2D7F"/>
    <w:rsid w:val="004F2DE6"/>
    <w:rsid w:val="004F2E5B"/>
    <w:rsid w:val="004F2E96"/>
    <w:rsid w:val="004F2EC1"/>
    <w:rsid w:val="004F2F4F"/>
    <w:rsid w:val="004F310E"/>
    <w:rsid w:val="004F3164"/>
    <w:rsid w:val="004F3232"/>
    <w:rsid w:val="004F324A"/>
    <w:rsid w:val="004F333C"/>
    <w:rsid w:val="004F36B1"/>
    <w:rsid w:val="004F3713"/>
    <w:rsid w:val="004F3737"/>
    <w:rsid w:val="004F376A"/>
    <w:rsid w:val="004F3777"/>
    <w:rsid w:val="004F385D"/>
    <w:rsid w:val="004F390C"/>
    <w:rsid w:val="004F3938"/>
    <w:rsid w:val="004F3A1F"/>
    <w:rsid w:val="004F3A8B"/>
    <w:rsid w:val="004F3CDA"/>
    <w:rsid w:val="004F3D12"/>
    <w:rsid w:val="004F3D45"/>
    <w:rsid w:val="004F3D92"/>
    <w:rsid w:val="004F3ECC"/>
    <w:rsid w:val="004F3EE0"/>
    <w:rsid w:val="004F3EED"/>
    <w:rsid w:val="004F4320"/>
    <w:rsid w:val="004F4349"/>
    <w:rsid w:val="004F4572"/>
    <w:rsid w:val="004F466D"/>
    <w:rsid w:val="004F4964"/>
    <w:rsid w:val="004F49E8"/>
    <w:rsid w:val="004F4A85"/>
    <w:rsid w:val="004F4B9A"/>
    <w:rsid w:val="004F4DB2"/>
    <w:rsid w:val="004F4E3C"/>
    <w:rsid w:val="004F4EB7"/>
    <w:rsid w:val="004F4F33"/>
    <w:rsid w:val="004F4F7E"/>
    <w:rsid w:val="004F5060"/>
    <w:rsid w:val="004F5112"/>
    <w:rsid w:val="004F51DB"/>
    <w:rsid w:val="004F5267"/>
    <w:rsid w:val="004F52B7"/>
    <w:rsid w:val="004F5546"/>
    <w:rsid w:val="004F5740"/>
    <w:rsid w:val="004F5807"/>
    <w:rsid w:val="004F5810"/>
    <w:rsid w:val="004F5880"/>
    <w:rsid w:val="004F5A81"/>
    <w:rsid w:val="004F5ACC"/>
    <w:rsid w:val="004F5BD8"/>
    <w:rsid w:val="004F5BE8"/>
    <w:rsid w:val="004F5CE1"/>
    <w:rsid w:val="004F5D1B"/>
    <w:rsid w:val="004F5D99"/>
    <w:rsid w:val="004F5DD9"/>
    <w:rsid w:val="004F5E49"/>
    <w:rsid w:val="004F5F5B"/>
    <w:rsid w:val="004F61AA"/>
    <w:rsid w:val="004F6224"/>
    <w:rsid w:val="004F62DA"/>
    <w:rsid w:val="004F634A"/>
    <w:rsid w:val="004F6352"/>
    <w:rsid w:val="004F63D2"/>
    <w:rsid w:val="004F6450"/>
    <w:rsid w:val="004F6631"/>
    <w:rsid w:val="004F66DA"/>
    <w:rsid w:val="004F66F2"/>
    <w:rsid w:val="004F66FD"/>
    <w:rsid w:val="004F6752"/>
    <w:rsid w:val="004F6C5D"/>
    <w:rsid w:val="004F6C92"/>
    <w:rsid w:val="004F6DD3"/>
    <w:rsid w:val="004F6E11"/>
    <w:rsid w:val="004F6F57"/>
    <w:rsid w:val="004F6FD8"/>
    <w:rsid w:val="004F7115"/>
    <w:rsid w:val="004F7176"/>
    <w:rsid w:val="004F71D1"/>
    <w:rsid w:val="004F723E"/>
    <w:rsid w:val="004F766D"/>
    <w:rsid w:val="004F76BF"/>
    <w:rsid w:val="004F77FD"/>
    <w:rsid w:val="004F78B6"/>
    <w:rsid w:val="004F78F5"/>
    <w:rsid w:val="004F7977"/>
    <w:rsid w:val="004F79E3"/>
    <w:rsid w:val="004F7A68"/>
    <w:rsid w:val="004F7AE3"/>
    <w:rsid w:val="004F7C2C"/>
    <w:rsid w:val="004F7D7A"/>
    <w:rsid w:val="004F7DDC"/>
    <w:rsid w:val="004F7E02"/>
    <w:rsid w:val="004F7E65"/>
    <w:rsid w:val="004F7E71"/>
    <w:rsid w:val="00500040"/>
    <w:rsid w:val="00500069"/>
    <w:rsid w:val="005000F2"/>
    <w:rsid w:val="005002AF"/>
    <w:rsid w:val="00500397"/>
    <w:rsid w:val="005003B5"/>
    <w:rsid w:val="0050044D"/>
    <w:rsid w:val="005004B6"/>
    <w:rsid w:val="0050056E"/>
    <w:rsid w:val="0050063C"/>
    <w:rsid w:val="005006F9"/>
    <w:rsid w:val="005007B5"/>
    <w:rsid w:val="005007E8"/>
    <w:rsid w:val="005008C0"/>
    <w:rsid w:val="005008C6"/>
    <w:rsid w:val="0050091F"/>
    <w:rsid w:val="00500925"/>
    <w:rsid w:val="00500927"/>
    <w:rsid w:val="00500A05"/>
    <w:rsid w:val="00500B68"/>
    <w:rsid w:val="00500BE5"/>
    <w:rsid w:val="00500C42"/>
    <w:rsid w:val="00500C88"/>
    <w:rsid w:val="00500D17"/>
    <w:rsid w:val="00500F0B"/>
    <w:rsid w:val="0050106C"/>
    <w:rsid w:val="0050114E"/>
    <w:rsid w:val="00501176"/>
    <w:rsid w:val="005012A2"/>
    <w:rsid w:val="005012EE"/>
    <w:rsid w:val="00501313"/>
    <w:rsid w:val="0050133B"/>
    <w:rsid w:val="00501411"/>
    <w:rsid w:val="00501496"/>
    <w:rsid w:val="00501501"/>
    <w:rsid w:val="00501596"/>
    <w:rsid w:val="00501707"/>
    <w:rsid w:val="00501783"/>
    <w:rsid w:val="0050186B"/>
    <w:rsid w:val="00501B01"/>
    <w:rsid w:val="00501B9A"/>
    <w:rsid w:val="00501C91"/>
    <w:rsid w:val="00501C95"/>
    <w:rsid w:val="00501CBC"/>
    <w:rsid w:val="00501D3A"/>
    <w:rsid w:val="00501D7C"/>
    <w:rsid w:val="00501DB5"/>
    <w:rsid w:val="00501EFD"/>
    <w:rsid w:val="00501F03"/>
    <w:rsid w:val="00501F57"/>
    <w:rsid w:val="00501FBF"/>
    <w:rsid w:val="00502111"/>
    <w:rsid w:val="005022A8"/>
    <w:rsid w:val="00502311"/>
    <w:rsid w:val="005024B9"/>
    <w:rsid w:val="0050250B"/>
    <w:rsid w:val="00502576"/>
    <w:rsid w:val="00502682"/>
    <w:rsid w:val="00502688"/>
    <w:rsid w:val="005027CC"/>
    <w:rsid w:val="00502839"/>
    <w:rsid w:val="0050290F"/>
    <w:rsid w:val="0050298E"/>
    <w:rsid w:val="00502BD2"/>
    <w:rsid w:val="00502D9A"/>
    <w:rsid w:val="00502E9B"/>
    <w:rsid w:val="00502F12"/>
    <w:rsid w:val="00502FFC"/>
    <w:rsid w:val="0050300E"/>
    <w:rsid w:val="005030A3"/>
    <w:rsid w:val="005030DC"/>
    <w:rsid w:val="005030EA"/>
    <w:rsid w:val="00503297"/>
    <w:rsid w:val="00503394"/>
    <w:rsid w:val="00503439"/>
    <w:rsid w:val="00503472"/>
    <w:rsid w:val="0050369B"/>
    <w:rsid w:val="005036B3"/>
    <w:rsid w:val="005036E0"/>
    <w:rsid w:val="00503718"/>
    <w:rsid w:val="00503779"/>
    <w:rsid w:val="0050383F"/>
    <w:rsid w:val="00503992"/>
    <w:rsid w:val="00503ADD"/>
    <w:rsid w:val="00503B02"/>
    <w:rsid w:val="00503B5C"/>
    <w:rsid w:val="00503CCF"/>
    <w:rsid w:val="00503DC3"/>
    <w:rsid w:val="00503E30"/>
    <w:rsid w:val="00503F83"/>
    <w:rsid w:val="005040CF"/>
    <w:rsid w:val="0050430C"/>
    <w:rsid w:val="00504314"/>
    <w:rsid w:val="00504420"/>
    <w:rsid w:val="005044B3"/>
    <w:rsid w:val="005046D5"/>
    <w:rsid w:val="005046F8"/>
    <w:rsid w:val="0050470E"/>
    <w:rsid w:val="00504736"/>
    <w:rsid w:val="0050491D"/>
    <w:rsid w:val="00504930"/>
    <w:rsid w:val="00504AF0"/>
    <w:rsid w:val="00504B18"/>
    <w:rsid w:val="00504BAA"/>
    <w:rsid w:val="00504C57"/>
    <w:rsid w:val="00504CF9"/>
    <w:rsid w:val="00504D94"/>
    <w:rsid w:val="00504E02"/>
    <w:rsid w:val="00504FF0"/>
    <w:rsid w:val="0050529F"/>
    <w:rsid w:val="00505511"/>
    <w:rsid w:val="0050554E"/>
    <w:rsid w:val="00505582"/>
    <w:rsid w:val="005055DA"/>
    <w:rsid w:val="00505644"/>
    <w:rsid w:val="00505696"/>
    <w:rsid w:val="005057A4"/>
    <w:rsid w:val="005058EA"/>
    <w:rsid w:val="0050593D"/>
    <w:rsid w:val="00505AA6"/>
    <w:rsid w:val="00505B6A"/>
    <w:rsid w:val="00505D87"/>
    <w:rsid w:val="00506009"/>
    <w:rsid w:val="00506072"/>
    <w:rsid w:val="00506272"/>
    <w:rsid w:val="0050631B"/>
    <w:rsid w:val="005063EE"/>
    <w:rsid w:val="005065B8"/>
    <w:rsid w:val="00506658"/>
    <w:rsid w:val="005066EE"/>
    <w:rsid w:val="00506723"/>
    <w:rsid w:val="005067BD"/>
    <w:rsid w:val="005067E9"/>
    <w:rsid w:val="005067EB"/>
    <w:rsid w:val="00506815"/>
    <w:rsid w:val="0050685D"/>
    <w:rsid w:val="00506875"/>
    <w:rsid w:val="0050688A"/>
    <w:rsid w:val="0050697A"/>
    <w:rsid w:val="0050699A"/>
    <w:rsid w:val="005069FC"/>
    <w:rsid w:val="00506A48"/>
    <w:rsid w:val="00506AE1"/>
    <w:rsid w:val="00506D5E"/>
    <w:rsid w:val="00506E74"/>
    <w:rsid w:val="00506EDE"/>
    <w:rsid w:val="00506EEB"/>
    <w:rsid w:val="00506EED"/>
    <w:rsid w:val="00506F3E"/>
    <w:rsid w:val="00506F4C"/>
    <w:rsid w:val="00506F91"/>
    <w:rsid w:val="00506FC2"/>
    <w:rsid w:val="00507001"/>
    <w:rsid w:val="005070E3"/>
    <w:rsid w:val="00507287"/>
    <w:rsid w:val="005072A5"/>
    <w:rsid w:val="00507385"/>
    <w:rsid w:val="005073A0"/>
    <w:rsid w:val="00507462"/>
    <w:rsid w:val="005074EA"/>
    <w:rsid w:val="00507555"/>
    <w:rsid w:val="0050770D"/>
    <w:rsid w:val="0050784B"/>
    <w:rsid w:val="005079D0"/>
    <w:rsid w:val="00507ACF"/>
    <w:rsid w:val="00507B25"/>
    <w:rsid w:val="00507B81"/>
    <w:rsid w:val="00507DB1"/>
    <w:rsid w:val="00507DFC"/>
    <w:rsid w:val="00507F30"/>
    <w:rsid w:val="005101AA"/>
    <w:rsid w:val="0051033A"/>
    <w:rsid w:val="00510342"/>
    <w:rsid w:val="0051035A"/>
    <w:rsid w:val="00510392"/>
    <w:rsid w:val="0051044B"/>
    <w:rsid w:val="005104DB"/>
    <w:rsid w:val="0051052D"/>
    <w:rsid w:val="00510604"/>
    <w:rsid w:val="00510614"/>
    <w:rsid w:val="0051066F"/>
    <w:rsid w:val="005108C8"/>
    <w:rsid w:val="00510990"/>
    <w:rsid w:val="005109B3"/>
    <w:rsid w:val="00510B74"/>
    <w:rsid w:val="00510BEF"/>
    <w:rsid w:val="00510F0E"/>
    <w:rsid w:val="00510F71"/>
    <w:rsid w:val="00510FF2"/>
    <w:rsid w:val="0051111C"/>
    <w:rsid w:val="00511514"/>
    <w:rsid w:val="005115B1"/>
    <w:rsid w:val="005116BC"/>
    <w:rsid w:val="005117F6"/>
    <w:rsid w:val="00511949"/>
    <w:rsid w:val="0051199B"/>
    <w:rsid w:val="00511B37"/>
    <w:rsid w:val="00511C80"/>
    <w:rsid w:val="00511C85"/>
    <w:rsid w:val="00511C8B"/>
    <w:rsid w:val="00511DAB"/>
    <w:rsid w:val="00511E83"/>
    <w:rsid w:val="00511EC2"/>
    <w:rsid w:val="00511FE7"/>
    <w:rsid w:val="005121F2"/>
    <w:rsid w:val="005121F8"/>
    <w:rsid w:val="0051226E"/>
    <w:rsid w:val="005122B4"/>
    <w:rsid w:val="005124F5"/>
    <w:rsid w:val="00512546"/>
    <w:rsid w:val="005126A8"/>
    <w:rsid w:val="00512842"/>
    <w:rsid w:val="0051285D"/>
    <w:rsid w:val="005128A2"/>
    <w:rsid w:val="005128AE"/>
    <w:rsid w:val="005128C9"/>
    <w:rsid w:val="005129EC"/>
    <w:rsid w:val="00512AFC"/>
    <w:rsid w:val="00512C3A"/>
    <w:rsid w:val="00512C7C"/>
    <w:rsid w:val="00512CC5"/>
    <w:rsid w:val="00512D10"/>
    <w:rsid w:val="00512D58"/>
    <w:rsid w:val="00512D81"/>
    <w:rsid w:val="00512F6B"/>
    <w:rsid w:val="00512FCE"/>
    <w:rsid w:val="00512FE2"/>
    <w:rsid w:val="00512FE6"/>
    <w:rsid w:val="005130DE"/>
    <w:rsid w:val="00513124"/>
    <w:rsid w:val="0051329D"/>
    <w:rsid w:val="0051333D"/>
    <w:rsid w:val="005134E1"/>
    <w:rsid w:val="00513596"/>
    <w:rsid w:val="005135E1"/>
    <w:rsid w:val="005135E3"/>
    <w:rsid w:val="0051361A"/>
    <w:rsid w:val="0051366F"/>
    <w:rsid w:val="00513677"/>
    <w:rsid w:val="005136BD"/>
    <w:rsid w:val="0051387D"/>
    <w:rsid w:val="005138F5"/>
    <w:rsid w:val="00513911"/>
    <w:rsid w:val="00513A24"/>
    <w:rsid w:val="00513A3C"/>
    <w:rsid w:val="00513A64"/>
    <w:rsid w:val="00513A98"/>
    <w:rsid w:val="00513B8C"/>
    <w:rsid w:val="00513B93"/>
    <w:rsid w:val="00513BFF"/>
    <w:rsid w:val="00513F79"/>
    <w:rsid w:val="00513F96"/>
    <w:rsid w:val="00514060"/>
    <w:rsid w:val="0051408A"/>
    <w:rsid w:val="005140E0"/>
    <w:rsid w:val="00514196"/>
    <w:rsid w:val="00514318"/>
    <w:rsid w:val="005143B3"/>
    <w:rsid w:val="00514706"/>
    <w:rsid w:val="0051470A"/>
    <w:rsid w:val="0051474E"/>
    <w:rsid w:val="00514851"/>
    <w:rsid w:val="005148CF"/>
    <w:rsid w:val="0051494A"/>
    <w:rsid w:val="00514994"/>
    <w:rsid w:val="00514A09"/>
    <w:rsid w:val="00514C9E"/>
    <w:rsid w:val="00514D94"/>
    <w:rsid w:val="00514DE7"/>
    <w:rsid w:val="00514E88"/>
    <w:rsid w:val="00514EF0"/>
    <w:rsid w:val="00515079"/>
    <w:rsid w:val="0051516C"/>
    <w:rsid w:val="00515294"/>
    <w:rsid w:val="00515443"/>
    <w:rsid w:val="005155C6"/>
    <w:rsid w:val="00515691"/>
    <w:rsid w:val="0051569F"/>
    <w:rsid w:val="0051575B"/>
    <w:rsid w:val="00515923"/>
    <w:rsid w:val="00515970"/>
    <w:rsid w:val="005159CA"/>
    <w:rsid w:val="00515A48"/>
    <w:rsid w:val="00515B19"/>
    <w:rsid w:val="00515B2F"/>
    <w:rsid w:val="00515B57"/>
    <w:rsid w:val="00515BA7"/>
    <w:rsid w:val="00515CE9"/>
    <w:rsid w:val="00515E5D"/>
    <w:rsid w:val="00515EC0"/>
    <w:rsid w:val="005160A2"/>
    <w:rsid w:val="00516103"/>
    <w:rsid w:val="005163F3"/>
    <w:rsid w:val="00516432"/>
    <w:rsid w:val="00516475"/>
    <w:rsid w:val="005164A2"/>
    <w:rsid w:val="005165DF"/>
    <w:rsid w:val="005166E0"/>
    <w:rsid w:val="00516770"/>
    <w:rsid w:val="00516A04"/>
    <w:rsid w:val="00516A94"/>
    <w:rsid w:val="00516B0D"/>
    <w:rsid w:val="00516C8C"/>
    <w:rsid w:val="00516F12"/>
    <w:rsid w:val="00517127"/>
    <w:rsid w:val="00517139"/>
    <w:rsid w:val="0051713D"/>
    <w:rsid w:val="00517172"/>
    <w:rsid w:val="005171B9"/>
    <w:rsid w:val="00517202"/>
    <w:rsid w:val="0051728B"/>
    <w:rsid w:val="005172EC"/>
    <w:rsid w:val="005174E6"/>
    <w:rsid w:val="005175E6"/>
    <w:rsid w:val="00517758"/>
    <w:rsid w:val="005177D5"/>
    <w:rsid w:val="005178A1"/>
    <w:rsid w:val="005179D7"/>
    <w:rsid w:val="00517A37"/>
    <w:rsid w:val="00517B4C"/>
    <w:rsid w:val="00517D88"/>
    <w:rsid w:val="00517DC4"/>
    <w:rsid w:val="00517DD7"/>
    <w:rsid w:val="00517DE3"/>
    <w:rsid w:val="00517E78"/>
    <w:rsid w:val="00517F45"/>
    <w:rsid w:val="00517F4E"/>
    <w:rsid w:val="00517FCC"/>
    <w:rsid w:val="00517FE8"/>
    <w:rsid w:val="0052001E"/>
    <w:rsid w:val="00520225"/>
    <w:rsid w:val="0052024A"/>
    <w:rsid w:val="00520359"/>
    <w:rsid w:val="005203F6"/>
    <w:rsid w:val="00520413"/>
    <w:rsid w:val="005207D3"/>
    <w:rsid w:val="005207E2"/>
    <w:rsid w:val="0052095B"/>
    <w:rsid w:val="00520BE3"/>
    <w:rsid w:val="00520D10"/>
    <w:rsid w:val="00520E27"/>
    <w:rsid w:val="00520F0A"/>
    <w:rsid w:val="00520F38"/>
    <w:rsid w:val="00520FB2"/>
    <w:rsid w:val="005210A8"/>
    <w:rsid w:val="00521143"/>
    <w:rsid w:val="005212A7"/>
    <w:rsid w:val="005212E1"/>
    <w:rsid w:val="0052132B"/>
    <w:rsid w:val="00521349"/>
    <w:rsid w:val="005213DB"/>
    <w:rsid w:val="00521483"/>
    <w:rsid w:val="00521488"/>
    <w:rsid w:val="005214C6"/>
    <w:rsid w:val="00521599"/>
    <w:rsid w:val="0052159D"/>
    <w:rsid w:val="00521705"/>
    <w:rsid w:val="0052172E"/>
    <w:rsid w:val="005217F8"/>
    <w:rsid w:val="005217FB"/>
    <w:rsid w:val="00521B3D"/>
    <w:rsid w:val="00521B42"/>
    <w:rsid w:val="00521BC4"/>
    <w:rsid w:val="00521C07"/>
    <w:rsid w:val="00521D05"/>
    <w:rsid w:val="00521E18"/>
    <w:rsid w:val="00521EA5"/>
    <w:rsid w:val="00521FA6"/>
    <w:rsid w:val="00521FB4"/>
    <w:rsid w:val="0052202C"/>
    <w:rsid w:val="00522031"/>
    <w:rsid w:val="00522062"/>
    <w:rsid w:val="0052211A"/>
    <w:rsid w:val="0052220E"/>
    <w:rsid w:val="0052226B"/>
    <w:rsid w:val="00522421"/>
    <w:rsid w:val="0052259B"/>
    <w:rsid w:val="0052262F"/>
    <w:rsid w:val="005226EA"/>
    <w:rsid w:val="005227E9"/>
    <w:rsid w:val="005227FA"/>
    <w:rsid w:val="00522820"/>
    <w:rsid w:val="00522837"/>
    <w:rsid w:val="00522847"/>
    <w:rsid w:val="00522986"/>
    <w:rsid w:val="00522D80"/>
    <w:rsid w:val="00522E1B"/>
    <w:rsid w:val="00522E5D"/>
    <w:rsid w:val="00522EC4"/>
    <w:rsid w:val="00522ECB"/>
    <w:rsid w:val="00523023"/>
    <w:rsid w:val="005230B7"/>
    <w:rsid w:val="0052310D"/>
    <w:rsid w:val="0052310E"/>
    <w:rsid w:val="0052314D"/>
    <w:rsid w:val="00523173"/>
    <w:rsid w:val="0052324D"/>
    <w:rsid w:val="0052359E"/>
    <w:rsid w:val="0052369F"/>
    <w:rsid w:val="00523726"/>
    <w:rsid w:val="00523910"/>
    <w:rsid w:val="00523ADE"/>
    <w:rsid w:val="00523B21"/>
    <w:rsid w:val="00523B62"/>
    <w:rsid w:val="00523C04"/>
    <w:rsid w:val="00523C12"/>
    <w:rsid w:val="00523C44"/>
    <w:rsid w:val="00523C77"/>
    <w:rsid w:val="00523CA0"/>
    <w:rsid w:val="00523CB8"/>
    <w:rsid w:val="00523DA7"/>
    <w:rsid w:val="00523DB9"/>
    <w:rsid w:val="00523E70"/>
    <w:rsid w:val="00523FDB"/>
    <w:rsid w:val="005240CB"/>
    <w:rsid w:val="005242B9"/>
    <w:rsid w:val="005243B1"/>
    <w:rsid w:val="005243DD"/>
    <w:rsid w:val="005243E7"/>
    <w:rsid w:val="005243F9"/>
    <w:rsid w:val="00524461"/>
    <w:rsid w:val="00524470"/>
    <w:rsid w:val="005244D7"/>
    <w:rsid w:val="005244FF"/>
    <w:rsid w:val="005246FA"/>
    <w:rsid w:val="00524779"/>
    <w:rsid w:val="00524941"/>
    <w:rsid w:val="0052495E"/>
    <w:rsid w:val="00524C14"/>
    <w:rsid w:val="00524CE2"/>
    <w:rsid w:val="00524D00"/>
    <w:rsid w:val="00524DB4"/>
    <w:rsid w:val="00524F0F"/>
    <w:rsid w:val="00524F94"/>
    <w:rsid w:val="005250C5"/>
    <w:rsid w:val="005250E0"/>
    <w:rsid w:val="00525205"/>
    <w:rsid w:val="00525229"/>
    <w:rsid w:val="00525236"/>
    <w:rsid w:val="005252C2"/>
    <w:rsid w:val="005252F5"/>
    <w:rsid w:val="00525341"/>
    <w:rsid w:val="005253ED"/>
    <w:rsid w:val="00525467"/>
    <w:rsid w:val="005254A4"/>
    <w:rsid w:val="005255CB"/>
    <w:rsid w:val="0052562E"/>
    <w:rsid w:val="00525759"/>
    <w:rsid w:val="0052584E"/>
    <w:rsid w:val="005258E0"/>
    <w:rsid w:val="005258EA"/>
    <w:rsid w:val="00525A8D"/>
    <w:rsid w:val="00526042"/>
    <w:rsid w:val="0052621B"/>
    <w:rsid w:val="0052621D"/>
    <w:rsid w:val="00526319"/>
    <w:rsid w:val="00526442"/>
    <w:rsid w:val="005267C3"/>
    <w:rsid w:val="005267FF"/>
    <w:rsid w:val="00526A1A"/>
    <w:rsid w:val="00526A26"/>
    <w:rsid w:val="00526A76"/>
    <w:rsid w:val="00526AAD"/>
    <w:rsid w:val="00526C0E"/>
    <w:rsid w:val="00526D9F"/>
    <w:rsid w:val="00526E0C"/>
    <w:rsid w:val="00526F1B"/>
    <w:rsid w:val="0052713C"/>
    <w:rsid w:val="0052726B"/>
    <w:rsid w:val="005274B9"/>
    <w:rsid w:val="00527723"/>
    <w:rsid w:val="0052772C"/>
    <w:rsid w:val="00527768"/>
    <w:rsid w:val="00527832"/>
    <w:rsid w:val="0052794C"/>
    <w:rsid w:val="00527A21"/>
    <w:rsid w:val="00527A8D"/>
    <w:rsid w:val="00527AA9"/>
    <w:rsid w:val="00527B26"/>
    <w:rsid w:val="00527B2C"/>
    <w:rsid w:val="00527BD1"/>
    <w:rsid w:val="00527D7B"/>
    <w:rsid w:val="00527D7F"/>
    <w:rsid w:val="00527E80"/>
    <w:rsid w:val="00527EA9"/>
    <w:rsid w:val="00527EB6"/>
    <w:rsid w:val="00527EEC"/>
    <w:rsid w:val="00530059"/>
    <w:rsid w:val="005300A6"/>
    <w:rsid w:val="0053013A"/>
    <w:rsid w:val="00530156"/>
    <w:rsid w:val="00530254"/>
    <w:rsid w:val="005302A3"/>
    <w:rsid w:val="005303E2"/>
    <w:rsid w:val="0053048B"/>
    <w:rsid w:val="00530786"/>
    <w:rsid w:val="005308AD"/>
    <w:rsid w:val="00530914"/>
    <w:rsid w:val="00530AE2"/>
    <w:rsid w:val="00530B70"/>
    <w:rsid w:val="00530E7F"/>
    <w:rsid w:val="00530F56"/>
    <w:rsid w:val="00530F93"/>
    <w:rsid w:val="005310BF"/>
    <w:rsid w:val="00531133"/>
    <w:rsid w:val="00531186"/>
    <w:rsid w:val="0053130A"/>
    <w:rsid w:val="00531587"/>
    <w:rsid w:val="0053164E"/>
    <w:rsid w:val="005317DA"/>
    <w:rsid w:val="00531907"/>
    <w:rsid w:val="00531937"/>
    <w:rsid w:val="00531B21"/>
    <w:rsid w:val="00531B58"/>
    <w:rsid w:val="00531BBA"/>
    <w:rsid w:val="00531D05"/>
    <w:rsid w:val="00531D26"/>
    <w:rsid w:val="00531D79"/>
    <w:rsid w:val="00531E87"/>
    <w:rsid w:val="00531F71"/>
    <w:rsid w:val="00532146"/>
    <w:rsid w:val="00532269"/>
    <w:rsid w:val="00532280"/>
    <w:rsid w:val="005323F7"/>
    <w:rsid w:val="005324E8"/>
    <w:rsid w:val="005325D8"/>
    <w:rsid w:val="00532671"/>
    <w:rsid w:val="005326C6"/>
    <w:rsid w:val="00532779"/>
    <w:rsid w:val="005327CE"/>
    <w:rsid w:val="00532834"/>
    <w:rsid w:val="00532984"/>
    <w:rsid w:val="00532A9B"/>
    <w:rsid w:val="00532C0C"/>
    <w:rsid w:val="00532C1A"/>
    <w:rsid w:val="00532C6E"/>
    <w:rsid w:val="00532E32"/>
    <w:rsid w:val="00532E8E"/>
    <w:rsid w:val="005331EF"/>
    <w:rsid w:val="00533207"/>
    <w:rsid w:val="0053325D"/>
    <w:rsid w:val="0053326A"/>
    <w:rsid w:val="0053339E"/>
    <w:rsid w:val="005336B5"/>
    <w:rsid w:val="005336DE"/>
    <w:rsid w:val="00533774"/>
    <w:rsid w:val="0053377D"/>
    <w:rsid w:val="00533792"/>
    <w:rsid w:val="005337C1"/>
    <w:rsid w:val="005337FF"/>
    <w:rsid w:val="00533893"/>
    <w:rsid w:val="0053390E"/>
    <w:rsid w:val="005339C3"/>
    <w:rsid w:val="00533A68"/>
    <w:rsid w:val="00533C50"/>
    <w:rsid w:val="00533E06"/>
    <w:rsid w:val="00533E5A"/>
    <w:rsid w:val="00533F03"/>
    <w:rsid w:val="00533F9C"/>
    <w:rsid w:val="00533FA1"/>
    <w:rsid w:val="00533FDF"/>
    <w:rsid w:val="005343E0"/>
    <w:rsid w:val="00534522"/>
    <w:rsid w:val="005345BD"/>
    <w:rsid w:val="00534705"/>
    <w:rsid w:val="00534753"/>
    <w:rsid w:val="005348A4"/>
    <w:rsid w:val="005348B6"/>
    <w:rsid w:val="00534959"/>
    <w:rsid w:val="005349D7"/>
    <w:rsid w:val="00534BF8"/>
    <w:rsid w:val="00534DB6"/>
    <w:rsid w:val="00534E77"/>
    <w:rsid w:val="005350DE"/>
    <w:rsid w:val="00535113"/>
    <w:rsid w:val="0053513C"/>
    <w:rsid w:val="005351E4"/>
    <w:rsid w:val="0053523C"/>
    <w:rsid w:val="0053524F"/>
    <w:rsid w:val="0053527A"/>
    <w:rsid w:val="005352BD"/>
    <w:rsid w:val="0053536B"/>
    <w:rsid w:val="00535429"/>
    <w:rsid w:val="00535451"/>
    <w:rsid w:val="0053559C"/>
    <w:rsid w:val="00535632"/>
    <w:rsid w:val="0053567E"/>
    <w:rsid w:val="005357FA"/>
    <w:rsid w:val="00535866"/>
    <w:rsid w:val="00535876"/>
    <w:rsid w:val="00535A18"/>
    <w:rsid w:val="00535B4C"/>
    <w:rsid w:val="00535B52"/>
    <w:rsid w:val="00535B5C"/>
    <w:rsid w:val="00535CF1"/>
    <w:rsid w:val="00535DBE"/>
    <w:rsid w:val="00535E62"/>
    <w:rsid w:val="00535FAB"/>
    <w:rsid w:val="00536021"/>
    <w:rsid w:val="00536047"/>
    <w:rsid w:val="00536150"/>
    <w:rsid w:val="0053617B"/>
    <w:rsid w:val="00536211"/>
    <w:rsid w:val="00536269"/>
    <w:rsid w:val="0053637F"/>
    <w:rsid w:val="00536415"/>
    <w:rsid w:val="00536667"/>
    <w:rsid w:val="00536AA9"/>
    <w:rsid w:val="00536AC0"/>
    <w:rsid w:val="00536CDB"/>
    <w:rsid w:val="00536DCE"/>
    <w:rsid w:val="005371C6"/>
    <w:rsid w:val="0053727A"/>
    <w:rsid w:val="005372C3"/>
    <w:rsid w:val="00537531"/>
    <w:rsid w:val="005375B8"/>
    <w:rsid w:val="0053772C"/>
    <w:rsid w:val="0053772F"/>
    <w:rsid w:val="00537735"/>
    <w:rsid w:val="0053774B"/>
    <w:rsid w:val="00537986"/>
    <w:rsid w:val="00537A08"/>
    <w:rsid w:val="00537AAC"/>
    <w:rsid w:val="00537B69"/>
    <w:rsid w:val="00537BA8"/>
    <w:rsid w:val="00537BAA"/>
    <w:rsid w:val="00537C5A"/>
    <w:rsid w:val="00537DA6"/>
    <w:rsid w:val="00537EAA"/>
    <w:rsid w:val="00540093"/>
    <w:rsid w:val="005400C5"/>
    <w:rsid w:val="0054024C"/>
    <w:rsid w:val="0054026F"/>
    <w:rsid w:val="005403BA"/>
    <w:rsid w:val="00540487"/>
    <w:rsid w:val="005404D9"/>
    <w:rsid w:val="00540557"/>
    <w:rsid w:val="00540587"/>
    <w:rsid w:val="00540607"/>
    <w:rsid w:val="00540757"/>
    <w:rsid w:val="005409DA"/>
    <w:rsid w:val="00540A04"/>
    <w:rsid w:val="00540A2D"/>
    <w:rsid w:val="00540A3D"/>
    <w:rsid w:val="00540AC1"/>
    <w:rsid w:val="00540E0E"/>
    <w:rsid w:val="00540ECA"/>
    <w:rsid w:val="00540EE9"/>
    <w:rsid w:val="00541062"/>
    <w:rsid w:val="005410D9"/>
    <w:rsid w:val="005410FB"/>
    <w:rsid w:val="0054114B"/>
    <w:rsid w:val="00541211"/>
    <w:rsid w:val="00541275"/>
    <w:rsid w:val="005412F5"/>
    <w:rsid w:val="0054139B"/>
    <w:rsid w:val="0054147C"/>
    <w:rsid w:val="00541550"/>
    <w:rsid w:val="005415A5"/>
    <w:rsid w:val="00541600"/>
    <w:rsid w:val="00541638"/>
    <w:rsid w:val="00541736"/>
    <w:rsid w:val="00541764"/>
    <w:rsid w:val="00541791"/>
    <w:rsid w:val="0054180B"/>
    <w:rsid w:val="00541AD5"/>
    <w:rsid w:val="00541B02"/>
    <w:rsid w:val="00541B04"/>
    <w:rsid w:val="00541BD2"/>
    <w:rsid w:val="00541BE4"/>
    <w:rsid w:val="00541D24"/>
    <w:rsid w:val="00541D51"/>
    <w:rsid w:val="00541D52"/>
    <w:rsid w:val="00541D7F"/>
    <w:rsid w:val="00541E86"/>
    <w:rsid w:val="00541F36"/>
    <w:rsid w:val="00541FDA"/>
    <w:rsid w:val="00542092"/>
    <w:rsid w:val="005423E8"/>
    <w:rsid w:val="0054248B"/>
    <w:rsid w:val="005424B9"/>
    <w:rsid w:val="00542677"/>
    <w:rsid w:val="0054268F"/>
    <w:rsid w:val="005426A1"/>
    <w:rsid w:val="005426F5"/>
    <w:rsid w:val="00542845"/>
    <w:rsid w:val="0054286F"/>
    <w:rsid w:val="0054295F"/>
    <w:rsid w:val="00542A91"/>
    <w:rsid w:val="00542B01"/>
    <w:rsid w:val="00542C3C"/>
    <w:rsid w:val="00542CA6"/>
    <w:rsid w:val="00542D69"/>
    <w:rsid w:val="00542EA1"/>
    <w:rsid w:val="00542EC6"/>
    <w:rsid w:val="00543003"/>
    <w:rsid w:val="00543162"/>
    <w:rsid w:val="0054321A"/>
    <w:rsid w:val="00543389"/>
    <w:rsid w:val="00543567"/>
    <w:rsid w:val="0054359C"/>
    <w:rsid w:val="00543683"/>
    <w:rsid w:val="005436B2"/>
    <w:rsid w:val="005436C3"/>
    <w:rsid w:val="0054378E"/>
    <w:rsid w:val="005439B5"/>
    <w:rsid w:val="00543B07"/>
    <w:rsid w:val="00543B38"/>
    <w:rsid w:val="00543BF7"/>
    <w:rsid w:val="00543C06"/>
    <w:rsid w:val="00543C2C"/>
    <w:rsid w:val="00543D91"/>
    <w:rsid w:val="00543E09"/>
    <w:rsid w:val="00543E4C"/>
    <w:rsid w:val="00543ECA"/>
    <w:rsid w:val="00543FA0"/>
    <w:rsid w:val="00544151"/>
    <w:rsid w:val="0054415F"/>
    <w:rsid w:val="0054417F"/>
    <w:rsid w:val="005441D4"/>
    <w:rsid w:val="005442A7"/>
    <w:rsid w:val="005442C2"/>
    <w:rsid w:val="005443AF"/>
    <w:rsid w:val="0054440B"/>
    <w:rsid w:val="00544749"/>
    <w:rsid w:val="0054477D"/>
    <w:rsid w:val="00544826"/>
    <w:rsid w:val="005448E5"/>
    <w:rsid w:val="005449C5"/>
    <w:rsid w:val="005449F1"/>
    <w:rsid w:val="00544A04"/>
    <w:rsid w:val="00544ABD"/>
    <w:rsid w:val="00544DBD"/>
    <w:rsid w:val="00545081"/>
    <w:rsid w:val="005450CC"/>
    <w:rsid w:val="005450D7"/>
    <w:rsid w:val="0054519D"/>
    <w:rsid w:val="00545566"/>
    <w:rsid w:val="0054556E"/>
    <w:rsid w:val="005456BB"/>
    <w:rsid w:val="0054571A"/>
    <w:rsid w:val="005457AA"/>
    <w:rsid w:val="005457B5"/>
    <w:rsid w:val="005459B8"/>
    <w:rsid w:val="00545BD2"/>
    <w:rsid w:val="00545DAE"/>
    <w:rsid w:val="00545E43"/>
    <w:rsid w:val="00545E65"/>
    <w:rsid w:val="00545E73"/>
    <w:rsid w:val="00545F03"/>
    <w:rsid w:val="00545FE2"/>
    <w:rsid w:val="00546132"/>
    <w:rsid w:val="0054620E"/>
    <w:rsid w:val="005462B2"/>
    <w:rsid w:val="00546339"/>
    <w:rsid w:val="00546346"/>
    <w:rsid w:val="005463E2"/>
    <w:rsid w:val="005463F7"/>
    <w:rsid w:val="005466AB"/>
    <w:rsid w:val="00546788"/>
    <w:rsid w:val="00546801"/>
    <w:rsid w:val="00546823"/>
    <w:rsid w:val="00546885"/>
    <w:rsid w:val="005469BC"/>
    <w:rsid w:val="00546A6D"/>
    <w:rsid w:val="00546B42"/>
    <w:rsid w:val="00546C95"/>
    <w:rsid w:val="00546E13"/>
    <w:rsid w:val="00546EE2"/>
    <w:rsid w:val="00546F37"/>
    <w:rsid w:val="00546F50"/>
    <w:rsid w:val="0054703D"/>
    <w:rsid w:val="005470AF"/>
    <w:rsid w:val="00547196"/>
    <w:rsid w:val="005471B0"/>
    <w:rsid w:val="005471BD"/>
    <w:rsid w:val="005472AF"/>
    <w:rsid w:val="00547353"/>
    <w:rsid w:val="00547386"/>
    <w:rsid w:val="0054738D"/>
    <w:rsid w:val="00547608"/>
    <w:rsid w:val="005476A2"/>
    <w:rsid w:val="005476B0"/>
    <w:rsid w:val="005476EC"/>
    <w:rsid w:val="0054776C"/>
    <w:rsid w:val="005479A9"/>
    <w:rsid w:val="00547A77"/>
    <w:rsid w:val="00547AEB"/>
    <w:rsid w:val="00547CD3"/>
    <w:rsid w:val="00547CDE"/>
    <w:rsid w:val="00547D17"/>
    <w:rsid w:val="00547D6C"/>
    <w:rsid w:val="00547F2D"/>
    <w:rsid w:val="00547F4B"/>
    <w:rsid w:val="00550016"/>
    <w:rsid w:val="0055018E"/>
    <w:rsid w:val="00550212"/>
    <w:rsid w:val="0055024D"/>
    <w:rsid w:val="005503E7"/>
    <w:rsid w:val="0055048F"/>
    <w:rsid w:val="00550562"/>
    <w:rsid w:val="0055066E"/>
    <w:rsid w:val="00550A32"/>
    <w:rsid w:val="00550BBA"/>
    <w:rsid w:val="00550BD2"/>
    <w:rsid w:val="00550BD8"/>
    <w:rsid w:val="00550D2F"/>
    <w:rsid w:val="00550D7F"/>
    <w:rsid w:val="00550E34"/>
    <w:rsid w:val="00550E7A"/>
    <w:rsid w:val="00550E87"/>
    <w:rsid w:val="00550EFC"/>
    <w:rsid w:val="00550FA6"/>
    <w:rsid w:val="00551037"/>
    <w:rsid w:val="0055107B"/>
    <w:rsid w:val="005510D6"/>
    <w:rsid w:val="00551151"/>
    <w:rsid w:val="00551257"/>
    <w:rsid w:val="00551270"/>
    <w:rsid w:val="0055138B"/>
    <w:rsid w:val="00551405"/>
    <w:rsid w:val="005515B4"/>
    <w:rsid w:val="00551612"/>
    <w:rsid w:val="00551646"/>
    <w:rsid w:val="005516B1"/>
    <w:rsid w:val="005516B5"/>
    <w:rsid w:val="005516CF"/>
    <w:rsid w:val="005516E0"/>
    <w:rsid w:val="00551867"/>
    <w:rsid w:val="00551964"/>
    <w:rsid w:val="00551A1C"/>
    <w:rsid w:val="00551B9D"/>
    <w:rsid w:val="00551C2C"/>
    <w:rsid w:val="00551DE4"/>
    <w:rsid w:val="00551F6B"/>
    <w:rsid w:val="0055203F"/>
    <w:rsid w:val="005520C5"/>
    <w:rsid w:val="00552155"/>
    <w:rsid w:val="00552216"/>
    <w:rsid w:val="0055237B"/>
    <w:rsid w:val="005523BD"/>
    <w:rsid w:val="00552480"/>
    <w:rsid w:val="00552516"/>
    <w:rsid w:val="00552619"/>
    <w:rsid w:val="0055265B"/>
    <w:rsid w:val="00552751"/>
    <w:rsid w:val="0055275B"/>
    <w:rsid w:val="00552973"/>
    <w:rsid w:val="00552B0F"/>
    <w:rsid w:val="00552B14"/>
    <w:rsid w:val="00552B49"/>
    <w:rsid w:val="00552B5D"/>
    <w:rsid w:val="00552C7A"/>
    <w:rsid w:val="00552C94"/>
    <w:rsid w:val="00552CD2"/>
    <w:rsid w:val="00552CF9"/>
    <w:rsid w:val="00552D47"/>
    <w:rsid w:val="00552E46"/>
    <w:rsid w:val="0055308C"/>
    <w:rsid w:val="005530B3"/>
    <w:rsid w:val="005530DC"/>
    <w:rsid w:val="0055310A"/>
    <w:rsid w:val="00553189"/>
    <w:rsid w:val="00553263"/>
    <w:rsid w:val="005532FA"/>
    <w:rsid w:val="00553610"/>
    <w:rsid w:val="005537EA"/>
    <w:rsid w:val="005537EF"/>
    <w:rsid w:val="0055380D"/>
    <w:rsid w:val="00553931"/>
    <w:rsid w:val="00553A37"/>
    <w:rsid w:val="00553B08"/>
    <w:rsid w:val="00553B13"/>
    <w:rsid w:val="00553B78"/>
    <w:rsid w:val="00553C07"/>
    <w:rsid w:val="00553CCD"/>
    <w:rsid w:val="00553D35"/>
    <w:rsid w:val="00553E3A"/>
    <w:rsid w:val="00553E5F"/>
    <w:rsid w:val="00553FD4"/>
    <w:rsid w:val="00553FDC"/>
    <w:rsid w:val="00553FF4"/>
    <w:rsid w:val="00554032"/>
    <w:rsid w:val="005540C7"/>
    <w:rsid w:val="005540E3"/>
    <w:rsid w:val="00554183"/>
    <w:rsid w:val="00554199"/>
    <w:rsid w:val="00554255"/>
    <w:rsid w:val="00554442"/>
    <w:rsid w:val="00554527"/>
    <w:rsid w:val="0055464E"/>
    <w:rsid w:val="0055475D"/>
    <w:rsid w:val="0055485E"/>
    <w:rsid w:val="00554885"/>
    <w:rsid w:val="005548A2"/>
    <w:rsid w:val="00554941"/>
    <w:rsid w:val="00554A3A"/>
    <w:rsid w:val="00554B20"/>
    <w:rsid w:val="00554B9E"/>
    <w:rsid w:val="00554BDD"/>
    <w:rsid w:val="00554C8F"/>
    <w:rsid w:val="00554CFD"/>
    <w:rsid w:val="00554D41"/>
    <w:rsid w:val="00554EFD"/>
    <w:rsid w:val="00554F27"/>
    <w:rsid w:val="0055509F"/>
    <w:rsid w:val="00555201"/>
    <w:rsid w:val="00555252"/>
    <w:rsid w:val="005552BA"/>
    <w:rsid w:val="00555577"/>
    <w:rsid w:val="0055568A"/>
    <w:rsid w:val="005556C4"/>
    <w:rsid w:val="005556DF"/>
    <w:rsid w:val="00555700"/>
    <w:rsid w:val="00555873"/>
    <w:rsid w:val="0055598F"/>
    <w:rsid w:val="00555B44"/>
    <w:rsid w:val="00555BC5"/>
    <w:rsid w:val="00555BDE"/>
    <w:rsid w:val="00555BE1"/>
    <w:rsid w:val="00555C53"/>
    <w:rsid w:val="00555E00"/>
    <w:rsid w:val="00555E38"/>
    <w:rsid w:val="005560BD"/>
    <w:rsid w:val="005561CE"/>
    <w:rsid w:val="005562D0"/>
    <w:rsid w:val="005562DB"/>
    <w:rsid w:val="0055646F"/>
    <w:rsid w:val="005565D2"/>
    <w:rsid w:val="00556609"/>
    <w:rsid w:val="0055674D"/>
    <w:rsid w:val="005568BA"/>
    <w:rsid w:val="00556927"/>
    <w:rsid w:val="00556AEC"/>
    <w:rsid w:val="00556B3A"/>
    <w:rsid w:val="00556B48"/>
    <w:rsid w:val="00556B64"/>
    <w:rsid w:val="00556B70"/>
    <w:rsid w:val="00556C2A"/>
    <w:rsid w:val="00556CFF"/>
    <w:rsid w:val="00556D59"/>
    <w:rsid w:val="00556DF3"/>
    <w:rsid w:val="00556FBA"/>
    <w:rsid w:val="00556FFE"/>
    <w:rsid w:val="0055707A"/>
    <w:rsid w:val="0055707C"/>
    <w:rsid w:val="005570C0"/>
    <w:rsid w:val="00557150"/>
    <w:rsid w:val="005571E3"/>
    <w:rsid w:val="005574EC"/>
    <w:rsid w:val="00557592"/>
    <w:rsid w:val="0055760A"/>
    <w:rsid w:val="00557774"/>
    <w:rsid w:val="0055780E"/>
    <w:rsid w:val="005578A6"/>
    <w:rsid w:val="00557A52"/>
    <w:rsid w:val="00557A85"/>
    <w:rsid w:val="00557AA1"/>
    <w:rsid w:val="00557AB9"/>
    <w:rsid w:val="00557B62"/>
    <w:rsid w:val="00557C11"/>
    <w:rsid w:val="00557D7B"/>
    <w:rsid w:val="00557DBF"/>
    <w:rsid w:val="00557F5B"/>
    <w:rsid w:val="005601FA"/>
    <w:rsid w:val="00560209"/>
    <w:rsid w:val="00560412"/>
    <w:rsid w:val="0056045B"/>
    <w:rsid w:val="00560556"/>
    <w:rsid w:val="0056058F"/>
    <w:rsid w:val="005607F3"/>
    <w:rsid w:val="005608D8"/>
    <w:rsid w:val="005609C3"/>
    <w:rsid w:val="005609E9"/>
    <w:rsid w:val="00560B5A"/>
    <w:rsid w:val="00560F28"/>
    <w:rsid w:val="00560F88"/>
    <w:rsid w:val="00560FA2"/>
    <w:rsid w:val="0056105B"/>
    <w:rsid w:val="005610DB"/>
    <w:rsid w:val="005610EB"/>
    <w:rsid w:val="00561139"/>
    <w:rsid w:val="00561150"/>
    <w:rsid w:val="005611A2"/>
    <w:rsid w:val="0056122E"/>
    <w:rsid w:val="005612D4"/>
    <w:rsid w:val="0056130B"/>
    <w:rsid w:val="0056139B"/>
    <w:rsid w:val="005613C7"/>
    <w:rsid w:val="00561561"/>
    <w:rsid w:val="00561678"/>
    <w:rsid w:val="00561747"/>
    <w:rsid w:val="00561766"/>
    <w:rsid w:val="005617EE"/>
    <w:rsid w:val="0056180B"/>
    <w:rsid w:val="00561880"/>
    <w:rsid w:val="005618D2"/>
    <w:rsid w:val="005618F4"/>
    <w:rsid w:val="0056193F"/>
    <w:rsid w:val="00561A6F"/>
    <w:rsid w:val="00561BE2"/>
    <w:rsid w:val="00561D7A"/>
    <w:rsid w:val="005621C9"/>
    <w:rsid w:val="00562282"/>
    <w:rsid w:val="0056228F"/>
    <w:rsid w:val="005623C2"/>
    <w:rsid w:val="005624F4"/>
    <w:rsid w:val="005625BF"/>
    <w:rsid w:val="00562604"/>
    <w:rsid w:val="00562609"/>
    <w:rsid w:val="00562639"/>
    <w:rsid w:val="005628D8"/>
    <w:rsid w:val="00562954"/>
    <w:rsid w:val="0056295B"/>
    <w:rsid w:val="00562B00"/>
    <w:rsid w:val="00562BF0"/>
    <w:rsid w:val="00562D05"/>
    <w:rsid w:val="0056308B"/>
    <w:rsid w:val="005631A1"/>
    <w:rsid w:val="00563307"/>
    <w:rsid w:val="0056370C"/>
    <w:rsid w:val="0056376A"/>
    <w:rsid w:val="00563854"/>
    <w:rsid w:val="005639AF"/>
    <w:rsid w:val="005639E0"/>
    <w:rsid w:val="00563A23"/>
    <w:rsid w:val="00563BD4"/>
    <w:rsid w:val="00563BFE"/>
    <w:rsid w:val="00563C3B"/>
    <w:rsid w:val="00563C4E"/>
    <w:rsid w:val="00563C73"/>
    <w:rsid w:val="00563CA0"/>
    <w:rsid w:val="00563CA9"/>
    <w:rsid w:val="00563CB4"/>
    <w:rsid w:val="00563CC1"/>
    <w:rsid w:val="00563E26"/>
    <w:rsid w:val="00563EC1"/>
    <w:rsid w:val="00563F7D"/>
    <w:rsid w:val="00564210"/>
    <w:rsid w:val="00564274"/>
    <w:rsid w:val="0056452E"/>
    <w:rsid w:val="00564540"/>
    <w:rsid w:val="00564549"/>
    <w:rsid w:val="005647AD"/>
    <w:rsid w:val="005647D3"/>
    <w:rsid w:val="005649B8"/>
    <w:rsid w:val="00564A7B"/>
    <w:rsid w:val="00564B54"/>
    <w:rsid w:val="00564B6E"/>
    <w:rsid w:val="00564C04"/>
    <w:rsid w:val="00564EF9"/>
    <w:rsid w:val="005650D3"/>
    <w:rsid w:val="005652DA"/>
    <w:rsid w:val="005652DD"/>
    <w:rsid w:val="0056530C"/>
    <w:rsid w:val="005653A0"/>
    <w:rsid w:val="00565640"/>
    <w:rsid w:val="00565685"/>
    <w:rsid w:val="005656F6"/>
    <w:rsid w:val="005658E9"/>
    <w:rsid w:val="00565A13"/>
    <w:rsid w:val="00565ABD"/>
    <w:rsid w:val="00565AC6"/>
    <w:rsid w:val="00565B49"/>
    <w:rsid w:val="00565B78"/>
    <w:rsid w:val="00565C3F"/>
    <w:rsid w:val="00565C45"/>
    <w:rsid w:val="00565DB6"/>
    <w:rsid w:val="00565F04"/>
    <w:rsid w:val="00565F62"/>
    <w:rsid w:val="00565F8B"/>
    <w:rsid w:val="00565FA8"/>
    <w:rsid w:val="005660EF"/>
    <w:rsid w:val="00566212"/>
    <w:rsid w:val="00566247"/>
    <w:rsid w:val="00566669"/>
    <w:rsid w:val="005666DC"/>
    <w:rsid w:val="005667F3"/>
    <w:rsid w:val="00566A64"/>
    <w:rsid w:val="00566AE9"/>
    <w:rsid w:val="00566BF6"/>
    <w:rsid w:val="00566C01"/>
    <w:rsid w:val="00566CB7"/>
    <w:rsid w:val="00566DB6"/>
    <w:rsid w:val="00566ED7"/>
    <w:rsid w:val="00567220"/>
    <w:rsid w:val="005674E9"/>
    <w:rsid w:val="005674FF"/>
    <w:rsid w:val="00567541"/>
    <w:rsid w:val="00567687"/>
    <w:rsid w:val="00567830"/>
    <w:rsid w:val="005678A0"/>
    <w:rsid w:val="005678E2"/>
    <w:rsid w:val="00567A29"/>
    <w:rsid w:val="00567DD9"/>
    <w:rsid w:val="00567ECB"/>
    <w:rsid w:val="00567FA5"/>
    <w:rsid w:val="00567FB8"/>
    <w:rsid w:val="005700BA"/>
    <w:rsid w:val="005700E2"/>
    <w:rsid w:val="005701EE"/>
    <w:rsid w:val="00570251"/>
    <w:rsid w:val="0057028C"/>
    <w:rsid w:val="005702C9"/>
    <w:rsid w:val="00570330"/>
    <w:rsid w:val="00570369"/>
    <w:rsid w:val="00570488"/>
    <w:rsid w:val="00570493"/>
    <w:rsid w:val="00570556"/>
    <w:rsid w:val="0057067F"/>
    <w:rsid w:val="0057081D"/>
    <w:rsid w:val="0057081E"/>
    <w:rsid w:val="0057086A"/>
    <w:rsid w:val="0057096A"/>
    <w:rsid w:val="005709CA"/>
    <w:rsid w:val="00570A10"/>
    <w:rsid w:val="00570AE2"/>
    <w:rsid w:val="00570AE7"/>
    <w:rsid w:val="00570AEF"/>
    <w:rsid w:val="00570B87"/>
    <w:rsid w:val="00570BC4"/>
    <w:rsid w:val="00570C0B"/>
    <w:rsid w:val="00570C26"/>
    <w:rsid w:val="00570C2C"/>
    <w:rsid w:val="00570D61"/>
    <w:rsid w:val="00570E78"/>
    <w:rsid w:val="00571018"/>
    <w:rsid w:val="00571093"/>
    <w:rsid w:val="0057119C"/>
    <w:rsid w:val="005712D9"/>
    <w:rsid w:val="005712EC"/>
    <w:rsid w:val="005712F3"/>
    <w:rsid w:val="005714B5"/>
    <w:rsid w:val="00571514"/>
    <w:rsid w:val="0057156B"/>
    <w:rsid w:val="005716E4"/>
    <w:rsid w:val="0057177A"/>
    <w:rsid w:val="00571810"/>
    <w:rsid w:val="00571851"/>
    <w:rsid w:val="00571967"/>
    <w:rsid w:val="0057196A"/>
    <w:rsid w:val="00571A23"/>
    <w:rsid w:val="00571A5B"/>
    <w:rsid w:val="00571C72"/>
    <w:rsid w:val="00571CB8"/>
    <w:rsid w:val="00571E1E"/>
    <w:rsid w:val="00571F3C"/>
    <w:rsid w:val="0057205C"/>
    <w:rsid w:val="00572095"/>
    <w:rsid w:val="005720E0"/>
    <w:rsid w:val="0057218F"/>
    <w:rsid w:val="005722DB"/>
    <w:rsid w:val="00572311"/>
    <w:rsid w:val="0057240F"/>
    <w:rsid w:val="00572475"/>
    <w:rsid w:val="005724A2"/>
    <w:rsid w:val="00572746"/>
    <w:rsid w:val="005727BC"/>
    <w:rsid w:val="005727F0"/>
    <w:rsid w:val="00572809"/>
    <w:rsid w:val="0057281C"/>
    <w:rsid w:val="0057286B"/>
    <w:rsid w:val="00572C2E"/>
    <w:rsid w:val="00572C5C"/>
    <w:rsid w:val="00572D59"/>
    <w:rsid w:val="00572D6F"/>
    <w:rsid w:val="00572F08"/>
    <w:rsid w:val="00572F9D"/>
    <w:rsid w:val="00572FB7"/>
    <w:rsid w:val="00573213"/>
    <w:rsid w:val="00573248"/>
    <w:rsid w:val="0057336C"/>
    <w:rsid w:val="005735C7"/>
    <w:rsid w:val="005735C9"/>
    <w:rsid w:val="00573664"/>
    <w:rsid w:val="00573794"/>
    <w:rsid w:val="005737D1"/>
    <w:rsid w:val="0057382A"/>
    <w:rsid w:val="005739A6"/>
    <w:rsid w:val="00573A0A"/>
    <w:rsid w:val="00573C04"/>
    <w:rsid w:val="00573C94"/>
    <w:rsid w:val="00573D5F"/>
    <w:rsid w:val="00573E64"/>
    <w:rsid w:val="00573EB6"/>
    <w:rsid w:val="00573F51"/>
    <w:rsid w:val="005742A1"/>
    <w:rsid w:val="00574334"/>
    <w:rsid w:val="0057438A"/>
    <w:rsid w:val="00574893"/>
    <w:rsid w:val="005748E3"/>
    <w:rsid w:val="005748E9"/>
    <w:rsid w:val="0057498C"/>
    <w:rsid w:val="00574AA8"/>
    <w:rsid w:val="00574B1C"/>
    <w:rsid w:val="00574C66"/>
    <w:rsid w:val="00574CA6"/>
    <w:rsid w:val="00574D0E"/>
    <w:rsid w:val="00574D58"/>
    <w:rsid w:val="00574EF6"/>
    <w:rsid w:val="00574F7C"/>
    <w:rsid w:val="00574FB9"/>
    <w:rsid w:val="005750CE"/>
    <w:rsid w:val="005750F9"/>
    <w:rsid w:val="00575100"/>
    <w:rsid w:val="0057513A"/>
    <w:rsid w:val="0057524B"/>
    <w:rsid w:val="005752FE"/>
    <w:rsid w:val="0057535E"/>
    <w:rsid w:val="00575367"/>
    <w:rsid w:val="00575379"/>
    <w:rsid w:val="005753EF"/>
    <w:rsid w:val="005754D3"/>
    <w:rsid w:val="0057550D"/>
    <w:rsid w:val="00575518"/>
    <w:rsid w:val="005755F9"/>
    <w:rsid w:val="00575A08"/>
    <w:rsid w:val="00575A5B"/>
    <w:rsid w:val="00575A74"/>
    <w:rsid w:val="00575B5E"/>
    <w:rsid w:val="00575CF0"/>
    <w:rsid w:val="00575D58"/>
    <w:rsid w:val="00575DB2"/>
    <w:rsid w:val="00575E46"/>
    <w:rsid w:val="005760D1"/>
    <w:rsid w:val="00576155"/>
    <w:rsid w:val="0057619B"/>
    <w:rsid w:val="005761CB"/>
    <w:rsid w:val="005761E5"/>
    <w:rsid w:val="005761F7"/>
    <w:rsid w:val="0057631D"/>
    <w:rsid w:val="00576417"/>
    <w:rsid w:val="0057641A"/>
    <w:rsid w:val="0057657F"/>
    <w:rsid w:val="00576624"/>
    <w:rsid w:val="00576673"/>
    <w:rsid w:val="00576767"/>
    <w:rsid w:val="005767CA"/>
    <w:rsid w:val="00576940"/>
    <w:rsid w:val="005769F1"/>
    <w:rsid w:val="00576AB8"/>
    <w:rsid w:val="00576B29"/>
    <w:rsid w:val="00576C94"/>
    <w:rsid w:val="00576DEB"/>
    <w:rsid w:val="00576E01"/>
    <w:rsid w:val="00576EB9"/>
    <w:rsid w:val="00576FD7"/>
    <w:rsid w:val="005770ED"/>
    <w:rsid w:val="005770F4"/>
    <w:rsid w:val="0057717B"/>
    <w:rsid w:val="005771E4"/>
    <w:rsid w:val="00577355"/>
    <w:rsid w:val="005774A0"/>
    <w:rsid w:val="005776AB"/>
    <w:rsid w:val="0057778B"/>
    <w:rsid w:val="00577876"/>
    <w:rsid w:val="00577914"/>
    <w:rsid w:val="0057793C"/>
    <w:rsid w:val="005779B9"/>
    <w:rsid w:val="005779CF"/>
    <w:rsid w:val="005779EB"/>
    <w:rsid w:val="00577C76"/>
    <w:rsid w:val="00577C7B"/>
    <w:rsid w:val="00577C9D"/>
    <w:rsid w:val="00577D77"/>
    <w:rsid w:val="00577F87"/>
    <w:rsid w:val="00577FF5"/>
    <w:rsid w:val="005800F7"/>
    <w:rsid w:val="005805C9"/>
    <w:rsid w:val="00580623"/>
    <w:rsid w:val="00580672"/>
    <w:rsid w:val="00580684"/>
    <w:rsid w:val="005806CE"/>
    <w:rsid w:val="00580711"/>
    <w:rsid w:val="005807B1"/>
    <w:rsid w:val="00580848"/>
    <w:rsid w:val="00580862"/>
    <w:rsid w:val="00580870"/>
    <w:rsid w:val="005808FC"/>
    <w:rsid w:val="00580AB1"/>
    <w:rsid w:val="00580AE2"/>
    <w:rsid w:val="00580B05"/>
    <w:rsid w:val="00580B6F"/>
    <w:rsid w:val="00580D52"/>
    <w:rsid w:val="00580DB5"/>
    <w:rsid w:val="00580DEF"/>
    <w:rsid w:val="00580E3B"/>
    <w:rsid w:val="00580E71"/>
    <w:rsid w:val="00581286"/>
    <w:rsid w:val="0058138F"/>
    <w:rsid w:val="005813AD"/>
    <w:rsid w:val="00581439"/>
    <w:rsid w:val="00581449"/>
    <w:rsid w:val="00581458"/>
    <w:rsid w:val="0058155E"/>
    <w:rsid w:val="00581565"/>
    <w:rsid w:val="0058173A"/>
    <w:rsid w:val="005817FA"/>
    <w:rsid w:val="0058180B"/>
    <w:rsid w:val="0058195F"/>
    <w:rsid w:val="00581986"/>
    <w:rsid w:val="005819F8"/>
    <w:rsid w:val="00581A58"/>
    <w:rsid w:val="00581B88"/>
    <w:rsid w:val="00581BB9"/>
    <w:rsid w:val="00581C88"/>
    <w:rsid w:val="00581D00"/>
    <w:rsid w:val="00581DAB"/>
    <w:rsid w:val="00581DBD"/>
    <w:rsid w:val="00581DD6"/>
    <w:rsid w:val="00581EAE"/>
    <w:rsid w:val="00581EDF"/>
    <w:rsid w:val="00581FD9"/>
    <w:rsid w:val="0058204D"/>
    <w:rsid w:val="00582092"/>
    <w:rsid w:val="005820C7"/>
    <w:rsid w:val="0058210A"/>
    <w:rsid w:val="005821D4"/>
    <w:rsid w:val="005821E4"/>
    <w:rsid w:val="005822A5"/>
    <w:rsid w:val="00582342"/>
    <w:rsid w:val="005824E1"/>
    <w:rsid w:val="005825AB"/>
    <w:rsid w:val="005826A8"/>
    <w:rsid w:val="005826F4"/>
    <w:rsid w:val="00582720"/>
    <w:rsid w:val="0058276D"/>
    <w:rsid w:val="00582A1C"/>
    <w:rsid w:val="00582A81"/>
    <w:rsid w:val="00582AAC"/>
    <w:rsid w:val="00582BC0"/>
    <w:rsid w:val="00582C76"/>
    <w:rsid w:val="00582CC8"/>
    <w:rsid w:val="00582E6C"/>
    <w:rsid w:val="00582ED4"/>
    <w:rsid w:val="0058302C"/>
    <w:rsid w:val="00583088"/>
    <w:rsid w:val="005830E3"/>
    <w:rsid w:val="005831B1"/>
    <w:rsid w:val="00583245"/>
    <w:rsid w:val="0058338F"/>
    <w:rsid w:val="005833AA"/>
    <w:rsid w:val="005833DE"/>
    <w:rsid w:val="005834A7"/>
    <w:rsid w:val="005834FC"/>
    <w:rsid w:val="00583546"/>
    <w:rsid w:val="005835D9"/>
    <w:rsid w:val="00583689"/>
    <w:rsid w:val="005836C6"/>
    <w:rsid w:val="00583759"/>
    <w:rsid w:val="005837A1"/>
    <w:rsid w:val="005837B7"/>
    <w:rsid w:val="005839B7"/>
    <w:rsid w:val="00583D11"/>
    <w:rsid w:val="00583E39"/>
    <w:rsid w:val="00583FE9"/>
    <w:rsid w:val="00584005"/>
    <w:rsid w:val="0058409F"/>
    <w:rsid w:val="00584218"/>
    <w:rsid w:val="00584246"/>
    <w:rsid w:val="00584266"/>
    <w:rsid w:val="0058438E"/>
    <w:rsid w:val="005843D0"/>
    <w:rsid w:val="005844D5"/>
    <w:rsid w:val="00584584"/>
    <w:rsid w:val="005847D2"/>
    <w:rsid w:val="005848B7"/>
    <w:rsid w:val="005849CD"/>
    <w:rsid w:val="005849E1"/>
    <w:rsid w:val="00584A19"/>
    <w:rsid w:val="00584DB1"/>
    <w:rsid w:val="00584EB7"/>
    <w:rsid w:val="00584FB1"/>
    <w:rsid w:val="00585085"/>
    <w:rsid w:val="005852A9"/>
    <w:rsid w:val="0058530B"/>
    <w:rsid w:val="00585318"/>
    <w:rsid w:val="00585363"/>
    <w:rsid w:val="005855C1"/>
    <w:rsid w:val="00585694"/>
    <w:rsid w:val="0058584E"/>
    <w:rsid w:val="0058590A"/>
    <w:rsid w:val="00585A05"/>
    <w:rsid w:val="00585AEC"/>
    <w:rsid w:val="00585B2A"/>
    <w:rsid w:val="00585BC3"/>
    <w:rsid w:val="00585BEC"/>
    <w:rsid w:val="00585D26"/>
    <w:rsid w:val="00585E08"/>
    <w:rsid w:val="00585EEC"/>
    <w:rsid w:val="00585F1F"/>
    <w:rsid w:val="00585F43"/>
    <w:rsid w:val="005860C4"/>
    <w:rsid w:val="005860DE"/>
    <w:rsid w:val="005861B0"/>
    <w:rsid w:val="005861BB"/>
    <w:rsid w:val="005861C5"/>
    <w:rsid w:val="005864F9"/>
    <w:rsid w:val="0058654D"/>
    <w:rsid w:val="0058657B"/>
    <w:rsid w:val="005865E9"/>
    <w:rsid w:val="00586606"/>
    <w:rsid w:val="005867EF"/>
    <w:rsid w:val="0058681E"/>
    <w:rsid w:val="005869EE"/>
    <w:rsid w:val="00586C82"/>
    <w:rsid w:val="00586CFB"/>
    <w:rsid w:val="00586D24"/>
    <w:rsid w:val="00586ECC"/>
    <w:rsid w:val="00586F02"/>
    <w:rsid w:val="00586F08"/>
    <w:rsid w:val="00586FF5"/>
    <w:rsid w:val="00587083"/>
    <w:rsid w:val="0058717F"/>
    <w:rsid w:val="00587392"/>
    <w:rsid w:val="0058741D"/>
    <w:rsid w:val="005875B9"/>
    <w:rsid w:val="00587834"/>
    <w:rsid w:val="005878EC"/>
    <w:rsid w:val="00587A9A"/>
    <w:rsid w:val="00587AFD"/>
    <w:rsid w:val="00587B19"/>
    <w:rsid w:val="00587C40"/>
    <w:rsid w:val="00587D6E"/>
    <w:rsid w:val="00590053"/>
    <w:rsid w:val="00590086"/>
    <w:rsid w:val="005900B2"/>
    <w:rsid w:val="005900FA"/>
    <w:rsid w:val="00590151"/>
    <w:rsid w:val="005901A1"/>
    <w:rsid w:val="005901D1"/>
    <w:rsid w:val="00590271"/>
    <w:rsid w:val="00590297"/>
    <w:rsid w:val="0059037B"/>
    <w:rsid w:val="005903BE"/>
    <w:rsid w:val="005903D7"/>
    <w:rsid w:val="00590519"/>
    <w:rsid w:val="005905BB"/>
    <w:rsid w:val="005906FE"/>
    <w:rsid w:val="00590794"/>
    <w:rsid w:val="005907E1"/>
    <w:rsid w:val="005907EE"/>
    <w:rsid w:val="005908C7"/>
    <w:rsid w:val="00590935"/>
    <w:rsid w:val="005909BD"/>
    <w:rsid w:val="00590AB4"/>
    <w:rsid w:val="00590B60"/>
    <w:rsid w:val="00590C11"/>
    <w:rsid w:val="00590CB7"/>
    <w:rsid w:val="00590E99"/>
    <w:rsid w:val="00590FC6"/>
    <w:rsid w:val="00591056"/>
    <w:rsid w:val="00591079"/>
    <w:rsid w:val="00591105"/>
    <w:rsid w:val="00591197"/>
    <w:rsid w:val="0059123D"/>
    <w:rsid w:val="00591342"/>
    <w:rsid w:val="0059135B"/>
    <w:rsid w:val="0059150A"/>
    <w:rsid w:val="00591593"/>
    <w:rsid w:val="0059173F"/>
    <w:rsid w:val="0059179D"/>
    <w:rsid w:val="005917C9"/>
    <w:rsid w:val="005918A1"/>
    <w:rsid w:val="0059198C"/>
    <w:rsid w:val="005919A9"/>
    <w:rsid w:val="00591B14"/>
    <w:rsid w:val="00591B5D"/>
    <w:rsid w:val="00591BFA"/>
    <w:rsid w:val="00591C7D"/>
    <w:rsid w:val="00591D51"/>
    <w:rsid w:val="00591D59"/>
    <w:rsid w:val="00591F3A"/>
    <w:rsid w:val="00591F4D"/>
    <w:rsid w:val="00591F64"/>
    <w:rsid w:val="00591F70"/>
    <w:rsid w:val="00592027"/>
    <w:rsid w:val="005920B3"/>
    <w:rsid w:val="005920B6"/>
    <w:rsid w:val="0059222A"/>
    <w:rsid w:val="0059228A"/>
    <w:rsid w:val="005922A4"/>
    <w:rsid w:val="0059230D"/>
    <w:rsid w:val="00592471"/>
    <w:rsid w:val="005925CF"/>
    <w:rsid w:val="005929AB"/>
    <w:rsid w:val="00592A5D"/>
    <w:rsid w:val="00592B33"/>
    <w:rsid w:val="00592B49"/>
    <w:rsid w:val="00592BB8"/>
    <w:rsid w:val="00592D05"/>
    <w:rsid w:val="00592D4E"/>
    <w:rsid w:val="00592D55"/>
    <w:rsid w:val="00592D8A"/>
    <w:rsid w:val="00592FC4"/>
    <w:rsid w:val="00592FC9"/>
    <w:rsid w:val="00592FEF"/>
    <w:rsid w:val="00593002"/>
    <w:rsid w:val="00593176"/>
    <w:rsid w:val="005931EA"/>
    <w:rsid w:val="0059327E"/>
    <w:rsid w:val="00593604"/>
    <w:rsid w:val="00593766"/>
    <w:rsid w:val="005938A1"/>
    <w:rsid w:val="005938AF"/>
    <w:rsid w:val="0059394F"/>
    <w:rsid w:val="005939A9"/>
    <w:rsid w:val="005939E8"/>
    <w:rsid w:val="00593AAE"/>
    <w:rsid w:val="00593E78"/>
    <w:rsid w:val="0059407E"/>
    <w:rsid w:val="00594085"/>
    <w:rsid w:val="005941E7"/>
    <w:rsid w:val="0059425E"/>
    <w:rsid w:val="00594353"/>
    <w:rsid w:val="00594409"/>
    <w:rsid w:val="005944D5"/>
    <w:rsid w:val="005944EA"/>
    <w:rsid w:val="005946C3"/>
    <w:rsid w:val="00594715"/>
    <w:rsid w:val="0059479F"/>
    <w:rsid w:val="005948BF"/>
    <w:rsid w:val="005949C8"/>
    <w:rsid w:val="005949E1"/>
    <w:rsid w:val="00594A34"/>
    <w:rsid w:val="00594C30"/>
    <w:rsid w:val="00594CAA"/>
    <w:rsid w:val="00594D59"/>
    <w:rsid w:val="00594D9A"/>
    <w:rsid w:val="00594F1B"/>
    <w:rsid w:val="00594F27"/>
    <w:rsid w:val="00594FDF"/>
    <w:rsid w:val="00595043"/>
    <w:rsid w:val="0059507F"/>
    <w:rsid w:val="005951C5"/>
    <w:rsid w:val="00595223"/>
    <w:rsid w:val="005954BA"/>
    <w:rsid w:val="005957CE"/>
    <w:rsid w:val="00595802"/>
    <w:rsid w:val="00595862"/>
    <w:rsid w:val="00595879"/>
    <w:rsid w:val="00595889"/>
    <w:rsid w:val="00595923"/>
    <w:rsid w:val="00595A15"/>
    <w:rsid w:val="00595A4D"/>
    <w:rsid w:val="00595B20"/>
    <w:rsid w:val="00595B6A"/>
    <w:rsid w:val="00595B9A"/>
    <w:rsid w:val="00595BD6"/>
    <w:rsid w:val="00595C2A"/>
    <w:rsid w:val="00595C5C"/>
    <w:rsid w:val="00595D02"/>
    <w:rsid w:val="00595D12"/>
    <w:rsid w:val="00595E12"/>
    <w:rsid w:val="0059600B"/>
    <w:rsid w:val="005960C5"/>
    <w:rsid w:val="00596104"/>
    <w:rsid w:val="0059611D"/>
    <w:rsid w:val="00596237"/>
    <w:rsid w:val="005963C6"/>
    <w:rsid w:val="00596408"/>
    <w:rsid w:val="0059642D"/>
    <w:rsid w:val="00596658"/>
    <w:rsid w:val="0059665F"/>
    <w:rsid w:val="0059679A"/>
    <w:rsid w:val="00596A5C"/>
    <w:rsid w:val="00596AA2"/>
    <w:rsid w:val="00596AEF"/>
    <w:rsid w:val="00596BCC"/>
    <w:rsid w:val="00596D19"/>
    <w:rsid w:val="00596D3F"/>
    <w:rsid w:val="00596E24"/>
    <w:rsid w:val="00596EFA"/>
    <w:rsid w:val="005970C2"/>
    <w:rsid w:val="005970F4"/>
    <w:rsid w:val="0059711E"/>
    <w:rsid w:val="005971E2"/>
    <w:rsid w:val="00597234"/>
    <w:rsid w:val="00597345"/>
    <w:rsid w:val="00597533"/>
    <w:rsid w:val="00597540"/>
    <w:rsid w:val="005975A1"/>
    <w:rsid w:val="005977EC"/>
    <w:rsid w:val="0059782A"/>
    <w:rsid w:val="005978FF"/>
    <w:rsid w:val="00597AE2"/>
    <w:rsid w:val="00597C6E"/>
    <w:rsid w:val="00597CB8"/>
    <w:rsid w:val="00597CE0"/>
    <w:rsid w:val="00597DE7"/>
    <w:rsid w:val="00597E60"/>
    <w:rsid w:val="00597FE0"/>
    <w:rsid w:val="00597FEE"/>
    <w:rsid w:val="005A017C"/>
    <w:rsid w:val="005A018A"/>
    <w:rsid w:val="005A01C1"/>
    <w:rsid w:val="005A035F"/>
    <w:rsid w:val="005A041D"/>
    <w:rsid w:val="005A0431"/>
    <w:rsid w:val="005A0701"/>
    <w:rsid w:val="005A089B"/>
    <w:rsid w:val="005A08B4"/>
    <w:rsid w:val="005A0C2F"/>
    <w:rsid w:val="005A0C68"/>
    <w:rsid w:val="005A0DDB"/>
    <w:rsid w:val="005A10B5"/>
    <w:rsid w:val="005A11C6"/>
    <w:rsid w:val="005A127A"/>
    <w:rsid w:val="005A131E"/>
    <w:rsid w:val="005A1387"/>
    <w:rsid w:val="005A1442"/>
    <w:rsid w:val="005A1501"/>
    <w:rsid w:val="005A1586"/>
    <w:rsid w:val="005A173D"/>
    <w:rsid w:val="005A17B9"/>
    <w:rsid w:val="005A17D4"/>
    <w:rsid w:val="005A18CD"/>
    <w:rsid w:val="005A19C1"/>
    <w:rsid w:val="005A1AFE"/>
    <w:rsid w:val="005A1C0C"/>
    <w:rsid w:val="005A1CB8"/>
    <w:rsid w:val="005A1CBB"/>
    <w:rsid w:val="005A1E4C"/>
    <w:rsid w:val="005A1F55"/>
    <w:rsid w:val="005A1FB7"/>
    <w:rsid w:val="005A1FE2"/>
    <w:rsid w:val="005A20AB"/>
    <w:rsid w:val="005A20F9"/>
    <w:rsid w:val="005A224F"/>
    <w:rsid w:val="005A22AB"/>
    <w:rsid w:val="005A2315"/>
    <w:rsid w:val="005A2389"/>
    <w:rsid w:val="005A23BB"/>
    <w:rsid w:val="005A2406"/>
    <w:rsid w:val="005A240E"/>
    <w:rsid w:val="005A24A0"/>
    <w:rsid w:val="005A2518"/>
    <w:rsid w:val="005A2897"/>
    <w:rsid w:val="005A297F"/>
    <w:rsid w:val="005A2A8A"/>
    <w:rsid w:val="005A2CE4"/>
    <w:rsid w:val="005A2D1D"/>
    <w:rsid w:val="005A2DE2"/>
    <w:rsid w:val="005A2EBB"/>
    <w:rsid w:val="005A3011"/>
    <w:rsid w:val="005A3162"/>
    <w:rsid w:val="005A32CE"/>
    <w:rsid w:val="005A334C"/>
    <w:rsid w:val="005A3432"/>
    <w:rsid w:val="005A34F8"/>
    <w:rsid w:val="005A3701"/>
    <w:rsid w:val="005A37F8"/>
    <w:rsid w:val="005A382A"/>
    <w:rsid w:val="005A3882"/>
    <w:rsid w:val="005A3D0C"/>
    <w:rsid w:val="005A3F68"/>
    <w:rsid w:val="005A409A"/>
    <w:rsid w:val="005A41D1"/>
    <w:rsid w:val="005A4290"/>
    <w:rsid w:val="005A4461"/>
    <w:rsid w:val="005A44AB"/>
    <w:rsid w:val="005A45B8"/>
    <w:rsid w:val="005A4608"/>
    <w:rsid w:val="005A4634"/>
    <w:rsid w:val="005A46AB"/>
    <w:rsid w:val="005A46D1"/>
    <w:rsid w:val="005A477F"/>
    <w:rsid w:val="005A47C4"/>
    <w:rsid w:val="005A48E8"/>
    <w:rsid w:val="005A492A"/>
    <w:rsid w:val="005A49DA"/>
    <w:rsid w:val="005A49FF"/>
    <w:rsid w:val="005A4B5A"/>
    <w:rsid w:val="005A4BB2"/>
    <w:rsid w:val="005A4BE1"/>
    <w:rsid w:val="005A4CB2"/>
    <w:rsid w:val="005A4D4C"/>
    <w:rsid w:val="005A4DD8"/>
    <w:rsid w:val="005A4E3D"/>
    <w:rsid w:val="005A4F2E"/>
    <w:rsid w:val="005A4F34"/>
    <w:rsid w:val="005A4F70"/>
    <w:rsid w:val="005A4F7C"/>
    <w:rsid w:val="005A4F7E"/>
    <w:rsid w:val="005A503A"/>
    <w:rsid w:val="005A5195"/>
    <w:rsid w:val="005A51BF"/>
    <w:rsid w:val="005A52DA"/>
    <w:rsid w:val="005A52E2"/>
    <w:rsid w:val="005A5321"/>
    <w:rsid w:val="005A5385"/>
    <w:rsid w:val="005A5459"/>
    <w:rsid w:val="005A555B"/>
    <w:rsid w:val="005A5715"/>
    <w:rsid w:val="005A5869"/>
    <w:rsid w:val="005A5901"/>
    <w:rsid w:val="005A5947"/>
    <w:rsid w:val="005A5A0A"/>
    <w:rsid w:val="005A5ABE"/>
    <w:rsid w:val="005A5B19"/>
    <w:rsid w:val="005A5CD0"/>
    <w:rsid w:val="005A5ECD"/>
    <w:rsid w:val="005A5FFA"/>
    <w:rsid w:val="005A6139"/>
    <w:rsid w:val="005A6147"/>
    <w:rsid w:val="005A614F"/>
    <w:rsid w:val="005A620F"/>
    <w:rsid w:val="005A6274"/>
    <w:rsid w:val="005A63A5"/>
    <w:rsid w:val="005A6402"/>
    <w:rsid w:val="005A6497"/>
    <w:rsid w:val="005A66A8"/>
    <w:rsid w:val="005A66B1"/>
    <w:rsid w:val="005A670B"/>
    <w:rsid w:val="005A683F"/>
    <w:rsid w:val="005A68AE"/>
    <w:rsid w:val="005A6963"/>
    <w:rsid w:val="005A6AEF"/>
    <w:rsid w:val="005A6B1C"/>
    <w:rsid w:val="005A6CDB"/>
    <w:rsid w:val="005A6D7C"/>
    <w:rsid w:val="005A6DEA"/>
    <w:rsid w:val="005A6E16"/>
    <w:rsid w:val="005A6EBD"/>
    <w:rsid w:val="005A7117"/>
    <w:rsid w:val="005A7179"/>
    <w:rsid w:val="005A71E9"/>
    <w:rsid w:val="005A720C"/>
    <w:rsid w:val="005A7486"/>
    <w:rsid w:val="005A7593"/>
    <w:rsid w:val="005A75D8"/>
    <w:rsid w:val="005A76C9"/>
    <w:rsid w:val="005A76CD"/>
    <w:rsid w:val="005A77B7"/>
    <w:rsid w:val="005A78D5"/>
    <w:rsid w:val="005A794B"/>
    <w:rsid w:val="005A7955"/>
    <w:rsid w:val="005A7979"/>
    <w:rsid w:val="005A7AC8"/>
    <w:rsid w:val="005A7B22"/>
    <w:rsid w:val="005A7B67"/>
    <w:rsid w:val="005A7B8A"/>
    <w:rsid w:val="005A7B9C"/>
    <w:rsid w:val="005A7D35"/>
    <w:rsid w:val="005A7E63"/>
    <w:rsid w:val="005A7EB2"/>
    <w:rsid w:val="005B01A0"/>
    <w:rsid w:val="005B01D2"/>
    <w:rsid w:val="005B0204"/>
    <w:rsid w:val="005B0211"/>
    <w:rsid w:val="005B0392"/>
    <w:rsid w:val="005B043E"/>
    <w:rsid w:val="005B0531"/>
    <w:rsid w:val="005B0664"/>
    <w:rsid w:val="005B075C"/>
    <w:rsid w:val="005B078D"/>
    <w:rsid w:val="005B0A64"/>
    <w:rsid w:val="005B0AFC"/>
    <w:rsid w:val="005B0B2D"/>
    <w:rsid w:val="005B0B90"/>
    <w:rsid w:val="005B0D0D"/>
    <w:rsid w:val="005B0E2F"/>
    <w:rsid w:val="005B0ED0"/>
    <w:rsid w:val="005B104E"/>
    <w:rsid w:val="005B10A3"/>
    <w:rsid w:val="005B1288"/>
    <w:rsid w:val="005B12AF"/>
    <w:rsid w:val="005B1321"/>
    <w:rsid w:val="005B1458"/>
    <w:rsid w:val="005B14DA"/>
    <w:rsid w:val="005B15F6"/>
    <w:rsid w:val="005B17B0"/>
    <w:rsid w:val="005B1A2E"/>
    <w:rsid w:val="005B1AA8"/>
    <w:rsid w:val="005B1BDD"/>
    <w:rsid w:val="005B1C4A"/>
    <w:rsid w:val="005B1C96"/>
    <w:rsid w:val="005B1CA2"/>
    <w:rsid w:val="005B1CEF"/>
    <w:rsid w:val="005B1D14"/>
    <w:rsid w:val="005B1D79"/>
    <w:rsid w:val="005B1D98"/>
    <w:rsid w:val="005B1DE7"/>
    <w:rsid w:val="005B1F81"/>
    <w:rsid w:val="005B21C4"/>
    <w:rsid w:val="005B21CC"/>
    <w:rsid w:val="005B224E"/>
    <w:rsid w:val="005B2472"/>
    <w:rsid w:val="005B252A"/>
    <w:rsid w:val="005B252B"/>
    <w:rsid w:val="005B25D2"/>
    <w:rsid w:val="005B2815"/>
    <w:rsid w:val="005B29B7"/>
    <w:rsid w:val="005B2B02"/>
    <w:rsid w:val="005B2B47"/>
    <w:rsid w:val="005B2DB7"/>
    <w:rsid w:val="005B2ED4"/>
    <w:rsid w:val="005B2F12"/>
    <w:rsid w:val="005B2F26"/>
    <w:rsid w:val="005B2F43"/>
    <w:rsid w:val="005B30CD"/>
    <w:rsid w:val="005B30ED"/>
    <w:rsid w:val="005B3152"/>
    <w:rsid w:val="005B31C2"/>
    <w:rsid w:val="005B31C3"/>
    <w:rsid w:val="005B31F9"/>
    <w:rsid w:val="005B328F"/>
    <w:rsid w:val="005B32B9"/>
    <w:rsid w:val="005B33C1"/>
    <w:rsid w:val="005B35D6"/>
    <w:rsid w:val="005B360D"/>
    <w:rsid w:val="005B3619"/>
    <w:rsid w:val="005B370A"/>
    <w:rsid w:val="005B3721"/>
    <w:rsid w:val="005B3942"/>
    <w:rsid w:val="005B397E"/>
    <w:rsid w:val="005B39A3"/>
    <w:rsid w:val="005B3AD7"/>
    <w:rsid w:val="005B3AF5"/>
    <w:rsid w:val="005B3C20"/>
    <w:rsid w:val="005B3C70"/>
    <w:rsid w:val="005B3CC0"/>
    <w:rsid w:val="005B3CE5"/>
    <w:rsid w:val="005B3DCE"/>
    <w:rsid w:val="005B3E48"/>
    <w:rsid w:val="005B3E50"/>
    <w:rsid w:val="005B3E5A"/>
    <w:rsid w:val="005B3F43"/>
    <w:rsid w:val="005B403E"/>
    <w:rsid w:val="005B406A"/>
    <w:rsid w:val="005B4114"/>
    <w:rsid w:val="005B41B2"/>
    <w:rsid w:val="005B424F"/>
    <w:rsid w:val="005B4251"/>
    <w:rsid w:val="005B4253"/>
    <w:rsid w:val="005B425A"/>
    <w:rsid w:val="005B42E3"/>
    <w:rsid w:val="005B4348"/>
    <w:rsid w:val="005B440E"/>
    <w:rsid w:val="005B456A"/>
    <w:rsid w:val="005B45B3"/>
    <w:rsid w:val="005B46DF"/>
    <w:rsid w:val="005B488C"/>
    <w:rsid w:val="005B48B0"/>
    <w:rsid w:val="005B4AEA"/>
    <w:rsid w:val="005B4B25"/>
    <w:rsid w:val="005B4B53"/>
    <w:rsid w:val="005B4BD5"/>
    <w:rsid w:val="005B4C7C"/>
    <w:rsid w:val="005B4CAB"/>
    <w:rsid w:val="005B4D1B"/>
    <w:rsid w:val="005B4D6D"/>
    <w:rsid w:val="005B4DD0"/>
    <w:rsid w:val="005B4E25"/>
    <w:rsid w:val="005B4E7C"/>
    <w:rsid w:val="005B4F2B"/>
    <w:rsid w:val="005B5058"/>
    <w:rsid w:val="005B5077"/>
    <w:rsid w:val="005B5098"/>
    <w:rsid w:val="005B5160"/>
    <w:rsid w:val="005B52D9"/>
    <w:rsid w:val="005B5347"/>
    <w:rsid w:val="005B535F"/>
    <w:rsid w:val="005B5456"/>
    <w:rsid w:val="005B5683"/>
    <w:rsid w:val="005B5760"/>
    <w:rsid w:val="005B589C"/>
    <w:rsid w:val="005B594C"/>
    <w:rsid w:val="005B5A84"/>
    <w:rsid w:val="005B5BAB"/>
    <w:rsid w:val="005B5BFC"/>
    <w:rsid w:val="005B5C0A"/>
    <w:rsid w:val="005B5C50"/>
    <w:rsid w:val="005B5DAD"/>
    <w:rsid w:val="005B5DC8"/>
    <w:rsid w:val="005B5DD1"/>
    <w:rsid w:val="005B5F9A"/>
    <w:rsid w:val="005B60A8"/>
    <w:rsid w:val="005B62F8"/>
    <w:rsid w:val="005B6343"/>
    <w:rsid w:val="005B6380"/>
    <w:rsid w:val="005B6531"/>
    <w:rsid w:val="005B65EA"/>
    <w:rsid w:val="005B662B"/>
    <w:rsid w:val="005B66A5"/>
    <w:rsid w:val="005B6920"/>
    <w:rsid w:val="005B69BE"/>
    <w:rsid w:val="005B69D7"/>
    <w:rsid w:val="005B69ED"/>
    <w:rsid w:val="005B6A56"/>
    <w:rsid w:val="005B6C59"/>
    <w:rsid w:val="005B6C70"/>
    <w:rsid w:val="005B6D4C"/>
    <w:rsid w:val="005B6D59"/>
    <w:rsid w:val="005B6F74"/>
    <w:rsid w:val="005B6FDE"/>
    <w:rsid w:val="005B718E"/>
    <w:rsid w:val="005B7203"/>
    <w:rsid w:val="005B72CD"/>
    <w:rsid w:val="005B7471"/>
    <w:rsid w:val="005B748D"/>
    <w:rsid w:val="005B74A6"/>
    <w:rsid w:val="005B74D0"/>
    <w:rsid w:val="005B7510"/>
    <w:rsid w:val="005B7578"/>
    <w:rsid w:val="005B75C0"/>
    <w:rsid w:val="005B7707"/>
    <w:rsid w:val="005B7758"/>
    <w:rsid w:val="005B7861"/>
    <w:rsid w:val="005B78AD"/>
    <w:rsid w:val="005B79DA"/>
    <w:rsid w:val="005B7CEF"/>
    <w:rsid w:val="005B7DA0"/>
    <w:rsid w:val="005B7F81"/>
    <w:rsid w:val="005C0128"/>
    <w:rsid w:val="005C025E"/>
    <w:rsid w:val="005C0298"/>
    <w:rsid w:val="005C0408"/>
    <w:rsid w:val="005C041F"/>
    <w:rsid w:val="005C0445"/>
    <w:rsid w:val="005C049B"/>
    <w:rsid w:val="005C0637"/>
    <w:rsid w:val="005C083B"/>
    <w:rsid w:val="005C08E5"/>
    <w:rsid w:val="005C0913"/>
    <w:rsid w:val="005C0970"/>
    <w:rsid w:val="005C0A84"/>
    <w:rsid w:val="005C0CE2"/>
    <w:rsid w:val="005C0CE9"/>
    <w:rsid w:val="005C0D57"/>
    <w:rsid w:val="005C0E00"/>
    <w:rsid w:val="005C0E1D"/>
    <w:rsid w:val="005C0FF0"/>
    <w:rsid w:val="005C10BC"/>
    <w:rsid w:val="005C10E1"/>
    <w:rsid w:val="005C1230"/>
    <w:rsid w:val="005C1399"/>
    <w:rsid w:val="005C16B2"/>
    <w:rsid w:val="005C175A"/>
    <w:rsid w:val="005C192A"/>
    <w:rsid w:val="005C1B56"/>
    <w:rsid w:val="005C1B97"/>
    <w:rsid w:val="005C1E68"/>
    <w:rsid w:val="005C1F0D"/>
    <w:rsid w:val="005C1F3C"/>
    <w:rsid w:val="005C1F5A"/>
    <w:rsid w:val="005C1FE3"/>
    <w:rsid w:val="005C23F0"/>
    <w:rsid w:val="005C241C"/>
    <w:rsid w:val="005C24FB"/>
    <w:rsid w:val="005C2779"/>
    <w:rsid w:val="005C2919"/>
    <w:rsid w:val="005C29D5"/>
    <w:rsid w:val="005C2A1F"/>
    <w:rsid w:val="005C2B27"/>
    <w:rsid w:val="005C2B84"/>
    <w:rsid w:val="005C2BE7"/>
    <w:rsid w:val="005C2E7C"/>
    <w:rsid w:val="005C2F0C"/>
    <w:rsid w:val="005C309A"/>
    <w:rsid w:val="005C3126"/>
    <w:rsid w:val="005C316D"/>
    <w:rsid w:val="005C320F"/>
    <w:rsid w:val="005C3240"/>
    <w:rsid w:val="005C329C"/>
    <w:rsid w:val="005C3318"/>
    <w:rsid w:val="005C33B2"/>
    <w:rsid w:val="005C34DA"/>
    <w:rsid w:val="005C352D"/>
    <w:rsid w:val="005C3669"/>
    <w:rsid w:val="005C367B"/>
    <w:rsid w:val="005C3717"/>
    <w:rsid w:val="005C373E"/>
    <w:rsid w:val="005C3874"/>
    <w:rsid w:val="005C3975"/>
    <w:rsid w:val="005C3A08"/>
    <w:rsid w:val="005C3B1A"/>
    <w:rsid w:val="005C3B24"/>
    <w:rsid w:val="005C3BE9"/>
    <w:rsid w:val="005C3BF3"/>
    <w:rsid w:val="005C3D19"/>
    <w:rsid w:val="005C3D61"/>
    <w:rsid w:val="005C3FDF"/>
    <w:rsid w:val="005C400E"/>
    <w:rsid w:val="005C415D"/>
    <w:rsid w:val="005C4277"/>
    <w:rsid w:val="005C4402"/>
    <w:rsid w:val="005C4539"/>
    <w:rsid w:val="005C45C9"/>
    <w:rsid w:val="005C463E"/>
    <w:rsid w:val="005C4786"/>
    <w:rsid w:val="005C478B"/>
    <w:rsid w:val="005C47A5"/>
    <w:rsid w:val="005C48B2"/>
    <w:rsid w:val="005C48D4"/>
    <w:rsid w:val="005C4A4E"/>
    <w:rsid w:val="005C4AB0"/>
    <w:rsid w:val="005C4AD9"/>
    <w:rsid w:val="005C4B1A"/>
    <w:rsid w:val="005C4BFB"/>
    <w:rsid w:val="005C4C15"/>
    <w:rsid w:val="005C4DC2"/>
    <w:rsid w:val="005C4DD2"/>
    <w:rsid w:val="005C4DF8"/>
    <w:rsid w:val="005C4F73"/>
    <w:rsid w:val="005C4FA5"/>
    <w:rsid w:val="005C5025"/>
    <w:rsid w:val="005C50B9"/>
    <w:rsid w:val="005C5220"/>
    <w:rsid w:val="005C5312"/>
    <w:rsid w:val="005C5314"/>
    <w:rsid w:val="005C5373"/>
    <w:rsid w:val="005C54C7"/>
    <w:rsid w:val="005C57F5"/>
    <w:rsid w:val="005C5910"/>
    <w:rsid w:val="005C5979"/>
    <w:rsid w:val="005C5A58"/>
    <w:rsid w:val="005C5A90"/>
    <w:rsid w:val="005C5AF0"/>
    <w:rsid w:val="005C5B6A"/>
    <w:rsid w:val="005C5BAA"/>
    <w:rsid w:val="005C5BB5"/>
    <w:rsid w:val="005C5C5A"/>
    <w:rsid w:val="005C5C94"/>
    <w:rsid w:val="005C5CB0"/>
    <w:rsid w:val="005C5D67"/>
    <w:rsid w:val="005C5DB2"/>
    <w:rsid w:val="005C5E13"/>
    <w:rsid w:val="005C5E63"/>
    <w:rsid w:val="005C5EC7"/>
    <w:rsid w:val="005C5EE0"/>
    <w:rsid w:val="005C5EFA"/>
    <w:rsid w:val="005C5F68"/>
    <w:rsid w:val="005C5F6C"/>
    <w:rsid w:val="005C5FCB"/>
    <w:rsid w:val="005C5FFE"/>
    <w:rsid w:val="005C601F"/>
    <w:rsid w:val="005C60B0"/>
    <w:rsid w:val="005C6235"/>
    <w:rsid w:val="005C69FA"/>
    <w:rsid w:val="005C6AAC"/>
    <w:rsid w:val="005C6BFA"/>
    <w:rsid w:val="005C6D70"/>
    <w:rsid w:val="005C6E43"/>
    <w:rsid w:val="005C6F03"/>
    <w:rsid w:val="005C6F44"/>
    <w:rsid w:val="005C715B"/>
    <w:rsid w:val="005C716E"/>
    <w:rsid w:val="005C71FF"/>
    <w:rsid w:val="005C7287"/>
    <w:rsid w:val="005C739A"/>
    <w:rsid w:val="005C73AD"/>
    <w:rsid w:val="005C747D"/>
    <w:rsid w:val="005C7674"/>
    <w:rsid w:val="005C773E"/>
    <w:rsid w:val="005C7839"/>
    <w:rsid w:val="005C785E"/>
    <w:rsid w:val="005C79ED"/>
    <w:rsid w:val="005C7AC0"/>
    <w:rsid w:val="005C7C60"/>
    <w:rsid w:val="005C7D07"/>
    <w:rsid w:val="005C7DDA"/>
    <w:rsid w:val="005C7EAB"/>
    <w:rsid w:val="005C7EF5"/>
    <w:rsid w:val="005D004E"/>
    <w:rsid w:val="005D0420"/>
    <w:rsid w:val="005D044C"/>
    <w:rsid w:val="005D063E"/>
    <w:rsid w:val="005D06ED"/>
    <w:rsid w:val="005D077E"/>
    <w:rsid w:val="005D07D7"/>
    <w:rsid w:val="005D07E6"/>
    <w:rsid w:val="005D0805"/>
    <w:rsid w:val="005D080B"/>
    <w:rsid w:val="005D0919"/>
    <w:rsid w:val="005D0920"/>
    <w:rsid w:val="005D09A7"/>
    <w:rsid w:val="005D09E2"/>
    <w:rsid w:val="005D09EA"/>
    <w:rsid w:val="005D0A1A"/>
    <w:rsid w:val="005D0ACC"/>
    <w:rsid w:val="005D0AE4"/>
    <w:rsid w:val="005D0B90"/>
    <w:rsid w:val="005D0CD1"/>
    <w:rsid w:val="005D0D28"/>
    <w:rsid w:val="005D0E70"/>
    <w:rsid w:val="005D0EF0"/>
    <w:rsid w:val="005D1018"/>
    <w:rsid w:val="005D10EA"/>
    <w:rsid w:val="005D111E"/>
    <w:rsid w:val="005D1127"/>
    <w:rsid w:val="005D11F1"/>
    <w:rsid w:val="005D125B"/>
    <w:rsid w:val="005D1316"/>
    <w:rsid w:val="005D1453"/>
    <w:rsid w:val="005D1711"/>
    <w:rsid w:val="005D1888"/>
    <w:rsid w:val="005D18C6"/>
    <w:rsid w:val="005D199E"/>
    <w:rsid w:val="005D1AD7"/>
    <w:rsid w:val="005D1C3B"/>
    <w:rsid w:val="005D1C8E"/>
    <w:rsid w:val="005D1C9C"/>
    <w:rsid w:val="005D1DB7"/>
    <w:rsid w:val="005D1F10"/>
    <w:rsid w:val="005D1F3A"/>
    <w:rsid w:val="005D2025"/>
    <w:rsid w:val="005D2137"/>
    <w:rsid w:val="005D23A4"/>
    <w:rsid w:val="005D23AA"/>
    <w:rsid w:val="005D240B"/>
    <w:rsid w:val="005D24C3"/>
    <w:rsid w:val="005D24EA"/>
    <w:rsid w:val="005D2576"/>
    <w:rsid w:val="005D258E"/>
    <w:rsid w:val="005D2711"/>
    <w:rsid w:val="005D273F"/>
    <w:rsid w:val="005D2855"/>
    <w:rsid w:val="005D2981"/>
    <w:rsid w:val="005D29D4"/>
    <w:rsid w:val="005D2A37"/>
    <w:rsid w:val="005D2A43"/>
    <w:rsid w:val="005D2B66"/>
    <w:rsid w:val="005D2B7A"/>
    <w:rsid w:val="005D2B9D"/>
    <w:rsid w:val="005D2C0F"/>
    <w:rsid w:val="005D2D61"/>
    <w:rsid w:val="005D2D68"/>
    <w:rsid w:val="005D2D95"/>
    <w:rsid w:val="005D2EF5"/>
    <w:rsid w:val="005D2F0F"/>
    <w:rsid w:val="005D2F2E"/>
    <w:rsid w:val="005D300E"/>
    <w:rsid w:val="005D3016"/>
    <w:rsid w:val="005D3061"/>
    <w:rsid w:val="005D339E"/>
    <w:rsid w:val="005D33E8"/>
    <w:rsid w:val="005D3442"/>
    <w:rsid w:val="005D3444"/>
    <w:rsid w:val="005D344C"/>
    <w:rsid w:val="005D3592"/>
    <w:rsid w:val="005D3617"/>
    <w:rsid w:val="005D3666"/>
    <w:rsid w:val="005D36DE"/>
    <w:rsid w:val="005D36E2"/>
    <w:rsid w:val="005D3800"/>
    <w:rsid w:val="005D3876"/>
    <w:rsid w:val="005D389E"/>
    <w:rsid w:val="005D38F9"/>
    <w:rsid w:val="005D3B95"/>
    <w:rsid w:val="005D3BBE"/>
    <w:rsid w:val="005D3BC1"/>
    <w:rsid w:val="005D3BC5"/>
    <w:rsid w:val="005D3C03"/>
    <w:rsid w:val="005D3C29"/>
    <w:rsid w:val="005D3D88"/>
    <w:rsid w:val="005D3E72"/>
    <w:rsid w:val="005D3E9E"/>
    <w:rsid w:val="005D3F01"/>
    <w:rsid w:val="005D41DE"/>
    <w:rsid w:val="005D421A"/>
    <w:rsid w:val="005D4256"/>
    <w:rsid w:val="005D42B0"/>
    <w:rsid w:val="005D4399"/>
    <w:rsid w:val="005D442B"/>
    <w:rsid w:val="005D4492"/>
    <w:rsid w:val="005D4515"/>
    <w:rsid w:val="005D4516"/>
    <w:rsid w:val="005D47BD"/>
    <w:rsid w:val="005D47E3"/>
    <w:rsid w:val="005D482C"/>
    <w:rsid w:val="005D4947"/>
    <w:rsid w:val="005D4A2D"/>
    <w:rsid w:val="005D4A44"/>
    <w:rsid w:val="005D4AA9"/>
    <w:rsid w:val="005D4AAE"/>
    <w:rsid w:val="005D4B98"/>
    <w:rsid w:val="005D4D4B"/>
    <w:rsid w:val="005D4D7C"/>
    <w:rsid w:val="005D4DDC"/>
    <w:rsid w:val="005D4E78"/>
    <w:rsid w:val="005D4ECC"/>
    <w:rsid w:val="005D5052"/>
    <w:rsid w:val="005D5127"/>
    <w:rsid w:val="005D512C"/>
    <w:rsid w:val="005D516A"/>
    <w:rsid w:val="005D5249"/>
    <w:rsid w:val="005D5250"/>
    <w:rsid w:val="005D525C"/>
    <w:rsid w:val="005D52DF"/>
    <w:rsid w:val="005D52FC"/>
    <w:rsid w:val="005D5374"/>
    <w:rsid w:val="005D5398"/>
    <w:rsid w:val="005D53F5"/>
    <w:rsid w:val="005D54C4"/>
    <w:rsid w:val="005D54F5"/>
    <w:rsid w:val="005D5596"/>
    <w:rsid w:val="005D55F1"/>
    <w:rsid w:val="005D5658"/>
    <w:rsid w:val="005D56DD"/>
    <w:rsid w:val="005D5711"/>
    <w:rsid w:val="005D582E"/>
    <w:rsid w:val="005D587C"/>
    <w:rsid w:val="005D58CC"/>
    <w:rsid w:val="005D59B9"/>
    <w:rsid w:val="005D59D4"/>
    <w:rsid w:val="005D5CC2"/>
    <w:rsid w:val="005D5D5E"/>
    <w:rsid w:val="005D5D8F"/>
    <w:rsid w:val="005D5DC1"/>
    <w:rsid w:val="005D5DFA"/>
    <w:rsid w:val="005D5EE5"/>
    <w:rsid w:val="005D5F52"/>
    <w:rsid w:val="005D60B6"/>
    <w:rsid w:val="005D60E1"/>
    <w:rsid w:val="005D6179"/>
    <w:rsid w:val="005D636D"/>
    <w:rsid w:val="005D6373"/>
    <w:rsid w:val="005D63E9"/>
    <w:rsid w:val="005D641E"/>
    <w:rsid w:val="005D649F"/>
    <w:rsid w:val="005D64C5"/>
    <w:rsid w:val="005D64E9"/>
    <w:rsid w:val="005D654D"/>
    <w:rsid w:val="005D665E"/>
    <w:rsid w:val="005D665F"/>
    <w:rsid w:val="005D6734"/>
    <w:rsid w:val="005D6767"/>
    <w:rsid w:val="005D677C"/>
    <w:rsid w:val="005D68E4"/>
    <w:rsid w:val="005D68FA"/>
    <w:rsid w:val="005D692F"/>
    <w:rsid w:val="005D69A5"/>
    <w:rsid w:val="005D69AA"/>
    <w:rsid w:val="005D69E8"/>
    <w:rsid w:val="005D6A20"/>
    <w:rsid w:val="005D6A5E"/>
    <w:rsid w:val="005D6B4D"/>
    <w:rsid w:val="005D6E9D"/>
    <w:rsid w:val="005D6EAA"/>
    <w:rsid w:val="005D6F52"/>
    <w:rsid w:val="005D701B"/>
    <w:rsid w:val="005D7061"/>
    <w:rsid w:val="005D717A"/>
    <w:rsid w:val="005D71F6"/>
    <w:rsid w:val="005D7293"/>
    <w:rsid w:val="005D7438"/>
    <w:rsid w:val="005D7449"/>
    <w:rsid w:val="005D7450"/>
    <w:rsid w:val="005D7522"/>
    <w:rsid w:val="005D7589"/>
    <w:rsid w:val="005D75A6"/>
    <w:rsid w:val="005D75BE"/>
    <w:rsid w:val="005D7621"/>
    <w:rsid w:val="005D78C7"/>
    <w:rsid w:val="005D7A40"/>
    <w:rsid w:val="005D7C45"/>
    <w:rsid w:val="005D7C8A"/>
    <w:rsid w:val="005D7CB0"/>
    <w:rsid w:val="005D7D4F"/>
    <w:rsid w:val="005D7F8E"/>
    <w:rsid w:val="005E004B"/>
    <w:rsid w:val="005E00AA"/>
    <w:rsid w:val="005E00C6"/>
    <w:rsid w:val="005E02E7"/>
    <w:rsid w:val="005E0318"/>
    <w:rsid w:val="005E0490"/>
    <w:rsid w:val="005E08EB"/>
    <w:rsid w:val="005E09D0"/>
    <w:rsid w:val="005E0A64"/>
    <w:rsid w:val="005E0BA3"/>
    <w:rsid w:val="005E0BA6"/>
    <w:rsid w:val="005E0D78"/>
    <w:rsid w:val="005E10B4"/>
    <w:rsid w:val="005E1191"/>
    <w:rsid w:val="005E12ED"/>
    <w:rsid w:val="005E1363"/>
    <w:rsid w:val="005E139F"/>
    <w:rsid w:val="005E1414"/>
    <w:rsid w:val="005E160C"/>
    <w:rsid w:val="005E16E2"/>
    <w:rsid w:val="005E17E1"/>
    <w:rsid w:val="005E18C6"/>
    <w:rsid w:val="005E18DA"/>
    <w:rsid w:val="005E1959"/>
    <w:rsid w:val="005E195E"/>
    <w:rsid w:val="005E19AA"/>
    <w:rsid w:val="005E19F0"/>
    <w:rsid w:val="005E1CA6"/>
    <w:rsid w:val="005E1E0A"/>
    <w:rsid w:val="005E1F1E"/>
    <w:rsid w:val="005E1FA1"/>
    <w:rsid w:val="005E2092"/>
    <w:rsid w:val="005E25AC"/>
    <w:rsid w:val="005E2791"/>
    <w:rsid w:val="005E27AB"/>
    <w:rsid w:val="005E2A0F"/>
    <w:rsid w:val="005E2A3D"/>
    <w:rsid w:val="005E2A74"/>
    <w:rsid w:val="005E2B31"/>
    <w:rsid w:val="005E2B44"/>
    <w:rsid w:val="005E2B99"/>
    <w:rsid w:val="005E2BB7"/>
    <w:rsid w:val="005E2BC9"/>
    <w:rsid w:val="005E2C3C"/>
    <w:rsid w:val="005E2CBA"/>
    <w:rsid w:val="005E2D7C"/>
    <w:rsid w:val="005E2DBF"/>
    <w:rsid w:val="005E2E92"/>
    <w:rsid w:val="005E2F6D"/>
    <w:rsid w:val="005E307C"/>
    <w:rsid w:val="005E3102"/>
    <w:rsid w:val="005E3170"/>
    <w:rsid w:val="005E31FE"/>
    <w:rsid w:val="005E32D8"/>
    <w:rsid w:val="005E32F7"/>
    <w:rsid w:val="005E33A6"/>
    <w:rsid w:val="005E33AA"/>
    <w:rsid w:val="005E3484"/>
    <w:rsid w:val="005E3654"/>
    <w:rsid w:val="005E3909"/>
    <w:rsid w:val="005E3A32"/>
    <w:rsid w:val="005E3D07"/>
    <w:rsid w:val="005E3D0F"/>
    <w:rsid w:val="005E3D11"/>
    <w:rsid w:val="005E3D50"/>
    <w:rsid w:val="005E3D69"/>
    <w:rsid w:val="005E4052"/>
    <w:rsid w:val="005E41A2"/>
    <w:rsid w:val="005E420C"/>
    <w:rsid w:val="005E4230"/>
    <w:rsid w:val="005E4351"/>
    <w:rsid w:val="005E43E8"/>
    <w:rsid w:val="005E4426"/>
    <w:rsid w:val="005E4932"/>
    <w:rsid w:val="005E4994"/>
    <w:rsid w:val="005E49F8"/>
    <w:rsid w:val="005E4C75"/>
    <w:rsid w:val="005E4D8E"/>
    <w:rsid w:val="005E4E2E"/>
    <w:rsid w:val="005E4FE6"/>
    <w:rsid w:val="005E5076"/>
    <w:rsid w:val="005E519F"/>
    <w:rsid w:val="005E5276"/>
    <w:rsid w:val="005E5388"/>
    <w:rsid w:val="005E53E7"/>
    <w:rsid w:val="005E53E8"/>
    <w:rsid w:val="005E54FB"/>
    <w:rsid w:val="005E554A"/>
    <w:rsid w:val="005E562E"/>
    <w:rsid w:val="005E56BA"/>
    <w:rsid w:val="005E56CC"/>
    <w:rsid w:val="005E56F0"/>
    <w:rsid w:val="005E56FB"/>
    <w:rsid w:val="005E5702"/>
    <w:rsid w:val="005E57C1"/>
    <w:rsid w:val="005E5807"/>
    <w:rsid w:val="005E587D"/>
    <w:rsid w:val="005E58E4"/>
    <w:rsid w:val="005E5952"/>
    <w:rsid w:val="005E5975"/>
    <w:rsid w:val="005E5A1F"/>
    <w:rsid w:val="005E5B49"/>
    <w:rsid w:val="005E5B77"/>
    <w:rsid w:val="005E5BDB"/>
    <w:rsid w:val="005E5C6C"/>
    <w:rsid w:val="005E5C73"/>
    <w:rsid w:val="005E5D6E"/>
    <w:rsid w:val="005E5E79"/>
    <w:rsid w:val="005E5EB7"/>
    <w:rsid w:val="005E5EC3"/>
    <w:rsid w:val="005E5ECC"/>
    <w:rsid w:val="005E6021"/>
    <w:rsid w:val="005E610D"/>
    <w:rsid w:val="005E614C"/>
    <w:rsid w:val="005E6366"/>
    <w:rsid w:val="005E63C1"/>
    <w:rsid w:val="005E6444"/>
    <w:rsid w:val="005E64CF"/>
    <w:rsid w:val="005E6549"/>
    <w:rsid w:val="005E672C"/>
    <w:rsid w:val="005E6884"/>
    <w:rsid w:val="005E69E5"/>
    <w:rsid w:val="005E6A03"/>
    <w:rsid w:val="005E6B45"/>
    <w:rsid w:val="005E6C21"/>
    <w:rsid w:val="005E6CAA"/>
    <w:rsid w:val="005E6E52"/>
    <w:rsid w:val="005E6E55"/>
    <w:rsid w:val="005E6EDF"/>
    <w:rsid w:val="005E6F3B"/>
    <w:rsid w:val="005E7036"/>
    <w:rsid w:val="005E7084"/>
    <w:rsid w:val="005E71E7"/>
    <w:rsid w:val="005E722C"/>
    <w:rsid w:val="005E72BA"/>
    <w:rsid w:val="005E72CF"/>
    <w:rsid w:val="005E72DE"/>
    <w:rsid w:val="005E7301"/>
    <w:rsid w:val="005E7524"/>
    <w:rsid w:val="005E75B9"/>
    <w:rsid w:val="005E78D7"/>
    <w:rsid w:val="005E78EE"/>
    <w:rsid w:val="005E7E38"/>
    <w:rsid w:val="005E7EC2"/>
    <w:rsid w:val="005E7EFE"/>
    <w:rsid w:val="005F007D"/>
    <w:rsid w:val="005F028D"/>
    <w:rsid w:val="005F039E"/>
    <w:rsid w:val="005F058E"/>
    <w:rsid w:val="005F06BF"/>
    <w:rsid w:val="005F06C7"/>
    <w:rsid w:val="005F0811"/>
    <w:rsid w:val="005F08EE"/>
    <w:rsid w:val="005F0A03"/>
    <w:rsid w:val="005F0C19"/>
    <w:rsid w:val="005F0C6B"/>
    <w:rsid w:val="005F0D75"/>
    <w:rsid w:val="005F0D7B"/>
    <w:rsid w:val="005F0E5A"/>
    <w:rsid w:val="005F0E74"/>
    <w:rsid w:val="005F0F12"/>
    <w:rsid w:val="005F0FE1"/>
    <w:rsid w:val="005F0FE5"/>
    <w:rsid w:val="005F1240"/>
    <w:rsid w:val="005F128B"/>
    <w:rsid w:val="005F1377"/>
    <w:rsid w:val="005F140A"/>
    <w:rsid w:val="005F1453"/>
    <w:rsid w:val="005F147C"/>
    <w:rsid w:val="005F14EF"/>
    <w:rsid w:val="005F15C6"/>
    <w:rsid w:val="005F16C2"/>
    <w:rsid w:val="005F16DA"/>
    <w:rsid w:val="005F172D"/>
    <w:rsid w:val="005F1816"/>
    <w:rsid w:val="005F18D6"/>
    <w:rsid w:val="005F18F4"/>
    <w:rsid w:val="005F1B80"/>
    <w:rsid w:val="005F1C4C"/>
    <w:rsid w:val="005F1DCE"/>
    <w:rsid w:val="005F1E29"/>
    <w:rsid w:val="005F1E5C"/>
    <w:rsid w:val="005F1EE8"/>
    <w:rsid w:val="005F1F53"/>
    <w:rsid w:val="005F1FDF"/>
    <w:rsid w:val="005F201B"/>
    <w:rsid w:val="005F20E2"/>
    <w:rsid w:val="005F2125"/>
    <w:rsid w:val="005F21A2"/>
    <w:rsid w:val="005F2262"/>
    <w:rsid w:val="005F2400"/>
    <w:rsid w:val="005F241B"/>
    <w:rsid w:val="005F24B0"/>
    <w:rsid w:val="005F24B6"/>
    <w:rsid w:val="005F257A"/>
    <w:rsid w:val="005F25EF"/>
    <w:rsid w:val="005F2622"/>
    <w:rsid w:val="005F2623"/>
    <w:rsid w:val="005F26B8"/>
    <w:rsid w:val="005F271A"/>
    <w:rsid w:val="005F287B"/>
    <w:rsid w:val="005F2BF8"/>
    <w:rsid w:val="005F2DDE"/>
    <w:rsid w:val="005F2EE3"/>
    <w:rsid w:val="005F2F73"/>
    <w:rsid w:val="005F2FB4"/>
    <w:rsid w:val="005F3039"/>
    <w:rsid w:val="005F30A7"/>
    <w:rsid w:val="005F31CF"/>
    <w:rsid w:val="005F31F1"/>
    <w:rsid w:val="005F32A1"/>
    <w:rsid w:val="005F3325"/>
    <w:rsid w:val="005F3432"/>
    <w:rsid w:val="005F349B"/>
    <w:rsid w:val="005F34FC"/>
    <w:rsid w:val="005F36BD"/>
    <w:rsid w:val="005F3832"/>
    <w:rsid w:val="005F3867"/>
    <w:rsid w:val="005F3C3B"/>
    <w:rsid w:val="005F3D4D"/>
    <w:rsid w:val="005F3E84"/>
    <w:rsid w:val="005F3F12"/>
    <w:rsid w:val="005F3F16"/>
    <w:rsid w:val="005F3FAA"/>
    <w:rsid w:val="005F3FBD"/>
    <w:rsid w:val="005F3FD1"/>
    <w:rsid w:val="005F4059"/>
    <w:rsid w:val="005F40FA"/>
    <w:rsid w:val="005F4120"/>
    <w:rsid w:val="005F41D2"/>
    <w:rsid w:val="005F41E1"/>
    <w:rsid w:val="005F429B"/>
    <w:rsid w:val="005F45A7"/>
    <w:rsid w:val="005F45F4"/>
    <w:rsid w:val="005F476C"/>
    <w:rsid w:val="005F48E6"/>
    <w:rsid w:val="005F4935"/>
    <w:rsid w:val="005F4BA7"/>
    <w:rsid w:val="005F4BFC"/>
    <w:rsid w:val="005F4C53"/>
    <w:rsid w:val="005F4D74"/>
    <w:rsid w:val="005F4D84"/>
    <w:rsid w:val="005F4DA2"/>
    <w:rsid w:val="005F4DAB"/>
    <w:rsid w:val="005F4E8B"/>
    <w:rsid w:val="005F50BA"/>
    <w:rsid w:val="005F5398"/>
    <w:rsid w:val="005F540D"/>
    <w:rsid w:val="005F5444"/>
    <w:rsid w:val="005F5523"/>
    <w:rsid w:val="005F555E"/>
    <w:rsid w:val="005F569C"/>
    <w:rsid w:val="005F56B8"/>
    <w:rsid w:val="005F5898"/>
    <w:rsid w:val="005F593E"/>
    <w:rsid w:val="005F5AFE"/>
    <w:rsid w:val="005F5BF4"/>
    <w:rsid w:val="005F5BFC"/>
    <w:rsid w:val="005F5CDF"/>
    <w:rsid w:val="005F5D03"/>
    <w:rsid w:val="005F5D0E"/>
    <w:rsid w:val="005F5D50"/>
    <w:rsid w:val="005F5DB6"/>
    <w:rsid w:val="005F5E4F"/>
    <w:rsid w:val="005F5F26"/>
    <w:rsid w:val="005F60A7"/>
    <w:rsid w:val="005F6293"/>
    <w:rsid w:val="005F6311"/>
    <w:rsid w:val="005F63FF"/>
    <w:rsid w:val="005F6445"/>
    <w:rsid w:val="005F647A"/>
    <w:rsid w:val="005F65DB"/>
    <w:rsid w:val="005F6617"/>
    <w:rsid w:val="005F66F8"/>
    <w:rsid w:val="005F671E"/>
    <w:rsid w:val="005F6724"/>
    <w:rsid w:val="005F680E"/>
    <w:rsid w:val="005F682F"/>
    <w:rsid w:val="005F685C"/>
    <w:rsid w:val="005F6974"/>
    <w:rsid w:val="005F69A3"/>
    <w:rsid w:val="005F69EE"/>
    <w:rsid w:val="005F6A74"/>
    <w:rsid w:val="005F6A7A"/>
    <w:rsid w:val="005F6B64"/>
    <w:rsid w:val="005F6BBC"/>
    <w:rsid w:val="005F6CDA"/>
    <w:rsid w:val="005F6DA5"/>
    <w:rsid w:val="005F6EA4"/>
    <w:rsid w:val="005F6F1F"/>
    <w:rsid w:val="005F74D1"/>
    <w:rsid w:val="005F74DC"/>
    <w:rsid w:val="005F759C"/>
    <w:rsid w:val="005F7607"/>
    <w:rsid w:val="005F760C"/>
    <w:rsid w:val="005F7792"/>
    <w:rsid w:val="005F782D"/>
    <w:rsid w:val="005F78E6"/>
    <w:rsid w:val="005F7979"/>
    <w:rsid w:val="005F7998"/>
    <w:rsid w:val="005F79B0"/>
    <w:rsid w:val="005F79EA"/>
    <w:rsid w:val="005F79FC"/>
    <w:rsid w:val="005F7AED"/>
    <w:rsid w:val="005F7AF4"/>
    <w:rsid w:val="005F7C97"/>
    <w:rsid w:val="005F7D73"/>
    <w:rsid w:val="005F7DBB"/>
    <w:rsid w:val="005F7E42"/>
    <w:rsid w:val="00600001"/>
    <w:rsid w:val="00600122"/>
    <w:rsid w:val="006002CF"/>
    <w:rsid w:val="006004ED"/>
    <w:rsid w:val="00600586"/>
    <w:rsid w:val="006005C5"/>
    <w:rsid w:val="006005EF"/>
    <w:rsid w:val="00600828"/>
    <w:rsid w:val="0060086B"/>
    <w:rsid w:val="00600955"/>
    <w:rsid w:val="00600B0B"/>
    <w:rsid w:val="00600B38"/>
    <w:rsid w:val="00600B92"/>
    <w:rsid w:val="00600C22"/>
    <w:rsid w:val="00600C68"/>
    <w:rsid w:val="00600CC9"/>
    <w:rsid w:val="00600DBF"/>
    <w:rsid w:val="00600E36"/>
    <w:rsid w:val="00600FE6"/>
    <w:rsid w:val="00601057"/>
    <w:rsid w:val="00601058"/>
    <w:rsid w:val="006011AA"/>
    <w:rsid w:val="00601292"/>
    <w:rsid w:val="0060129B"/>
    <w:rsid w:val="006012B0"/>
    <w:rsid w:val="006013C2"/>
    <w:rsid w:val="00601470"/>
    <w:rsid w:val="00601536"/>
    <w:rsid w:val="0060155F"/>
    <w:rsid w:val="00601607"/>
    <w:rsid w:val="00601728"/>
    <w:rsid w:val="00601759"/>
    <w:rsid w:val="00601889"/>
    <w:rsid w:val="006018A9"/>
    <w:rsid w:val="00601939"/>
    <w:rsid w:val="006019A5"/>
    <w:rsid w:val="006019AD"/>
    <w:rsid w:val="00601AB3"/>
    <w:rsid w:val="00601B7E"/>
    <w:rsid w:val="00601CFE"/>
    <w:rsid w:val="00601DF3"/>
    <w:rsid w:val="00601DFE"/>
    <w:rsid w:val="00601E27"/>
    <w:rsid w:val="00601E8A"/>
    <w:rsid w:val="00601F58"/>
    <w:rsid w:val="00601F70"/>
    <w:rsid w:val="00601FEB"/>
    <w:rsid w:val="006021EA"/>
    <w:rsid w:val="00602250"/>
    <w:rsid w:val="006024FA"/>
    <w:rsid w:val="0060256E"/>
    <w:rsid w:val="0060260F"/>
    <w:rsid w:val="00602673"/>
    <w:rsid w:val="006026FE"/>
    <w:rsid w:val="0060270F"/>
    <w:rsid w:val="00602731"/>
    <w:rsid w:val="006027FD"/>
    <w:rsid w:val="0060283D"/>
    <w:rsid w:val="006028AD"/>
    <w:rsid w:val="00602AA5"/>
    <w:rsid w:val="00602D42"/>
    <w:rsid w:val="00602ED0"/>
    <w:rsid w:val="00603038"/>
    <w:rsid w:val="006030CC"/>
    <w:rsid w:val="00603109"/>
    <w:rsid w:val="006034EF"/>
    <w:rsid w:val="0060364A"/>
    <w:rsid w:val="00603662"/>
    <w:rsid w:val="006036E1"/>
    <w:rsid w:val="0060386F"/>
    <w:rsid w:val="006038C2"/>
    <w:rsid w:val="00603A2B"/>
    <w:rsid w:val="00603A89"/>
    <w:rsid w:val="00603ACA"/>
    <w:rsid w:val="00603B65"/>
    <w:rsid w:val="00603D32"/>
    <w:rsid w:val="00603D7D"/>
    <w:rsid w:val="00603D88"/>
    <w:rsid w:val="00603E23"/>
    <w:rsid w:val="00603E65"/>
    <w:rsid w:val="00603F64"/>
    <w:rsid w:val="006040C3"/>
    <w:rsid w:val="00604144"/>
    <w:rsid w:val="006041AC"/>
    <w:rsid w:val="00604262"/>
    <w:rsid w:val="00604321"/>
    <w:rsid w:val="00604425"/>
    <w:rsid w:val="00604439"/>
    <w:rsid w:val="006044C3"/>
    <w:rsid w:val="00604580"/>
    <w:rsid w:val="00604616"/>
    <w:rsid w:val="0060473D"/>
    <w:rsid w:val="00604745"/>
    <w:rsid w:val="006047C0"/>
    <w:rsid w:val="006048C7"/>
    <w:rsid w:val="006049E4"/>
    <w:rsid w:val="00604ABA"/>
    <w:rsid w:val="00604BE6"/>
    <w:rsid w:val="00604C23"/>
    <w:rsid w:val="00604C6F"/>
    <w:rsid w:val="00604C87"/>
    <w:rsid w:val="00604D35"/>
    <w:rsid w:val="00604DCC"/>
    <w:rsid w:val="00604E92"/>
    <w:rsid w:val="00604ECC"/>
    <w:rsid w:val="0060539A"/>
    <w:rsid w:val="006053DD"/>
    <w:rsid w:val="00605488"/>
    <w:rsid w:val="00605633"/>
    <w:rsid w:val="0060569A"/>
    <w:rsid w:val="00605739"/>
    <w:rsid w:val="00605753"/>
    <w:rsid w:val="006057B2"/>
    <w:rsid w:val="00605806"/>
    <w:rsid w:val="006058D9"/>
    <w:rsid w:val="0060592C"/>
    <w:rsid w:val="00605A8A"/>
    <w:rsid w:val="00605D9F"/>
    <w:rsid w:val="00605DC2"/>
    <w:rsid w:val="00605F2F"/>
    <w:rsid w:val="00605F78"/>
    <w:rsid w:val="00606037"/>
    <w:rsid w:val="006060E2"/>
    <w:rsid w:val="006063C1"/>
    <w:rsid w:val="00606641"/>
    <w:rsid w:val="0060665A"/>
    <w:rsid w:val="00606794"/>
    <w:rsid w:val="0060683A"/>
    <w:rsid w:val="006069D3"/>
    <w:rsid w:val="00606AAA"/>
    <w:rsid w:val="00606B0C"/>
    <w:rsid w:val="00606C5E"/>
    <w:rsid w:val="00606D23"/>
    <w:rsid w:val="00606F9F"/>
    <w:rsid w:val="006070F0"/>
    <w:rsid w:val="00607139"/>
    <w:rsid w:val="006071B9"/>
    <w:rsid w:val="00607211"/>
    <w:rsid w:val="006072B9"/>
    <w:rsid w:val="006072CB"/>
    <w:rsid w:val="00607381"/>
    <w:rsid w:val="006074DD"/>
    <w:rsid w:val="006075D9"/>
    <w:rsid w:val="006076A5"/>
    <w:rsid w:val="00607728"/>
    <w:rsid w:val="006077D5"/>
    <w:rsid w:val="006077FD"/>
    <w:rsid w:val="00607943"/>
    <w:rsid w:val="00607980"/>
    <w:rsid w:val="00607BF1"/>
    <w:rsid w:val="00607C35"/>
    <w:rsid w:val="00607C87"/>
    <w:rsid w:val="00607CC6"/>
    <w:rsid w:val="00607CFC"/>
    <w:rsid w:val="00607D55"/>
    <w:rsid w:val="00607EF9"/>
    <w:rsid w:val="00607F26"/>
    <w:rsid w:val="00607FDF"/>
    <w:rsid w:val="0061001C"/>
    <w:rsid w:val="00610061"/>
    <w:rsid w:val="00610072"/>
    <w:rsid w:val="006102DD"/>
    <w:rsid w:val="0061038E"/>
    <w:rsid w:val="00610469"/>
    <w:rsid w:val="0061046C"/>
    <w:rsid w:val="00610542"/>
    <w:rsid w:val="00610555"/>
    <w:rsid w:val="006106A3"/>
    <w:rsid w:val="006106BF"/>
    <w:rsid w:val="00610788"/>
    <w:rsid w:val="00610914"/>
    <w:rsid w:val="00610936"/>
    <w:rsid w:val="00610938"/>
    <w:rsid w:val="00610967"/>
    <w:rsid w:val="00610B2E"/>
    <w:rsid w:val="00610E35"/>
    <w:rsid w:val="00610E5B"/>
    <w:rsid w:val="00611265"/>
    <w:rsid w:val="00611356"/>
    <w:rsid w:val="006113AC"/>
    <w:rsid w:val="00611497"/>
    <w:rsid w:val="006114D7"/>
    <w:rsid w:val="00611538"/>
    <w:rsid w:val="00611559"/>
    <w:rsid w:val="006117D6"/>
    <w:rsid w:val="00611831"/>
    <w:rsid w:val="00611929"/>
    <w:rsid w:val="00611945"/>
    <w:rsid w:val="00611987"/>
    <w:rsid w:val="00611A99"/>
    <w:rsid w:val="00611AD0"/>
    <w:rsid w:val="00611AF3"/>
    <w:rsid w:val="00611B2D"/>
    <w:rsid w:val="00611CEC"/>
    <w:rsid w:val="00611D0F"/>
    <w:rsid w:val="00611D38"/>
    <w:rsid w:val="00611DD4"/>
    <w:rsid w:val="00611F06"/>
    <w:rsid w:val="00612003"/>
    <w:rsid w:val="00612006"/>
    <w:rsid w:val="00612163"/>
    <w:rsid w:val="006121C2"/>
    <w:rsid w:val="00612384"/>
    <w:rsid w:val="006123D7"/>
    <w:rsid w:val="00612562"/>
    <w:rsid w:val="00612598"/>
    <w:rsid w:val="006126D0"/>
    <w:rsid w:val="00612757"/>
    <w:rsid w:val="006128AD"/>
    <w:rsid w:val="0061299E"/>
    <w:rsid w:val="006129B3"/>
    <w:rsid w:val="00612A09"/>
    <w:rsid w:val="00612A8A"/>
    <w:rsid w:val="00612B98"/>
    <w:rsid w:val="00612DDE"/>
    <w:rsid w:val="00612DFC"/>
    <w:rsid w:val="00612F53"/>
    <w:rsid w:val="00612FDD"/>
    <w:rsid w:val="00613082"/>
    <w:rsid w:val="0061314E"/>
    <w:rsid w:val="00613157"/>
    <w:rsid w:val="00613224"/>
    <w:rsid w:val="0061324E"/>
    <w:rsid w:val="006134B4"/>
    <w:rsid w:val="0061351D"/>
    <w:rsid w:val="006137C1"/>
    <w:rsid w:val="006137D4"/>
    <w:rsid w:val="006138B4"/>
    <w:rsid w:val="0061391C"/>
    <w:rsid w:val="00613977"/>
    <w:rsid w:val="00613A5B"/>
    <w:rsid w:val="00613AFD"/>
    <w:rsid w:val="00613B84"/>
    <w:rsid w:val="00613BB7"/>
    <w:rsid w:val="00613BC6"/>
    <w:rsid w:val="00613DF3"/>
    <w:rsid w:val="00613F19"/>
    <w:rsid w:val="00613F9F"/>
    <w:rsid w:val="006140EF"/>
    <w:rsid w:val="006141D5"/>
    <w:rsid w:val="006142C6"/>
    <w:rsid w:val="006142D6"/>
    <w:rsid w:val="0061433F"/>
    <w:rsid w:val="006144DF"/>
    <w:rsid w:val="00614537"/>
    <w:rsid w:val="006145E6"/>
    <w:rsid w:val="0061462C"/>
    <w:rsid w:val="00614657"/>
    <w:rsid w:val="006146D8"/>
    <w:rsid w:val="006146E5"/>
    <w:rsid w:val="00614734"/>
    <w:rsid w:val="006147C5"/>
    <w:rsid w:val="00614843"/>
    <w:rsid w:val="0061499E"/>
    <w:rsid w:val="00614CD2"/>
    <w:rsid w:val="00614CF1"/>
    <w:rsid w:val="00614D00"/>
    <w:rsid w:val="00614E07"/>
    <w:rsid w:val="00614E42"/>
    <w:rsid w:val="00614F8C"/>
    <w:rsid w:val="00614F96"/>
    <w:rsid w:val="00615107"/>
    <w:rsid w:val="00615114"/>
    <w:rsid w:val="0061521C"/>
    <w:rsid w:val="0061522E"/>
    <w:rsid w:val="00615459"/>
    <w:rsid w:val="00615478"/>
    <w:rsid w:val="0061566F"/>
    <w:rsid w:val="006157A7"/>
    <w:rsid w:val="0061598D"/>
    <w:rsid w:val="00615A3B"/>
    <w:rsid w:val="00615AAF"/>
    <w:rsid w:val="00615CB5"/>
    <w:rsid w:val="00615D4A"/>
    <w:rsid w:val="00615DAD"/>
    <w:rsid w:val="00615FFA"/>
    <w:rsid w:val="0061606D"/>
    <w:rsid w:val="00616233"/>
    <w:rsid w:val="0061630A"/>
    <w:rsid w:val="00616567"/>
    <w:rsid w:val="00616608"/>
    <w:rsid w:val="00616697"/>
    <w:rsid w:val="006166D3"/>
    <w:rsid w:val="006167E4"/>
    <w:rsid w:val="006169E9"/>
    <w:rsid w:val="006169F3"/>
    <w:rsid w:val="00616C38"/>
    <w:rsid w:val="00616D53"/>
    <w:rsid w:val="0061707D"/>
    <w:rsid w:val="00617133"/>
    <w:rsid w:val="00617197"/>
    <w:rsid w:val="006173D9"/>
    <w:rsid w:val="0061754B"/>
    <w:rsid w:val="00617635"/>
    <w:rsid w:val="00617836"/>
    <w:rsid w:val="00617ADF"/>
    <w:rsid w:val="00617AF8"/>
    <w:rsid w:val="00617B4B"/>
    <w:rsid w:val="00617BEE"/>
    <w:rsid w:val="00617C3B"/>
    <w:rsid w:val="00617C91"/>
    <w:rsid w:val="00617CF4"/>
    <w:rsid w:val="00617E8F"/>
    <w:rsid w:val="006200B6"/>
    <w:rsid w:val="006201B5"/>
    <w:rsid w:val="0062031C"/>
    <w:rsid w:val="00620359"/>
    <w:rsid w:val="00620429"/>
    <w:rsid w:val="006204D9"/>
    <w:rsid w:val="0062054C"/>
    <w:rsid w:val="00620596"/>
    <w:rsid w:val="0062060F"/>
    <w:rsid w:val="0062062C"/>
    <w:rsid w:val="00620635"/>
    <w:rsid w:val="00620693"/>
    <w:rsid w:val="00620857"/>
    <w:rsid w:val="00620902"/>
    <w:rsid w:val="006209BB"/>
    <w:rsid w:val="00620A1F"/>
    <w:rsid w:val="00620B09"/>
    <w:rsid w:val="00620B88"/>
    <w:rsid w:val="00620C93"/>
    <w:rsid w:val="00620EA7"/>
    <w:rsid w:val="00620EB9"/>
    <w:rsid w:val="0062102A"/>
    <w:rsid w:val="00621160"/>
    <w:rsid w:val="0062116E"/>
    <w:rsid w:val="0062135C"/>
    <w:rsid w:val="00621369"/>
    <w:rsid w:val="0062138A"/>
    <w:rsid w:val="006213EC"/>
    <w:rsid w:val="0062145A"/>
    <w:rsid w:val="00621460"/>
    <w:rsid w:val="0062157B"/>
    <w:rsid w:val="00621691"/>
    <w:rsid w:val="006216C8"/>
    <w:rsid w:val="00621B01"/>
    <w:rsid w:val="00621B4E"/>
    <w:rsid w:val="00621BB1"/>
    <w:rsid w:val="00621CD7"/>
    <w:rsid w:val="00621CE3"/>
    <w:rsid w:val="00621D55"/>
    <w:rsid w:val="00621E1B"/>
    <w:rsid w:val="00621E4E"/>
    <w:rsid w:val="0062218F"/>
    <w:rsid w:val="006221B6"/>
    <w:rsid w:val="00622262"/>
    <w:rsid w:val="0062232C"/>
    <w:rsid w:val="00622381"/>
    <w:rsid w:val="006223B2"/>
    <w:rsid w:val="006223C5"/>
    <w:rsid w:val="0062249C"/>
    <w:rsid w:val="006225B9"/>
    <w:rsid w:val="006226C3"/>
    <w:rsid w:val="0062275C"/>
    <w:rsid w:val="00622851"/>
    <w:rsid w:val="006228CE"/>
    <w:rsid w:val="0062290A"/>
    <w:rsid w:val="0062299A"/>
    <w:rsid w:val="00622B40"/>
    <w:rsid w:val="00622C62"/>
    <w:rsid w:val="00622CDE"/>
    <w:rsid w:val="00622D15"/>
    <w:rsid w:val="00622D7D"/>
    <w:rsid w:val="00622DD2"/>
    <w:rsid w:val="00622FB9"/>
    <w:rsid w:val="006230FB"/>
    <w:rsid w:val="00623266"/>
    <w:rsid w:val="00623334"/>
    <w:rsid w:val="006233EB"/>
    <w:rsid w:val="00623457"/>
    <w:rsid w:val="00623572"/>
    <w:rsid w:val="00623678"/>
    <w:rsid w:val="00623716"/>
    <w:rsid w:val="00623734"/>
    <w:rsid w:val="00623854"/>
    <w:rsid w:val="0062396A"/>
    <w:rsid w:val="00623A2C"/>
    <w:rsid w:val="00623AC6"/>
    <w:rsid w:val="00623B8F"/>
    <w:rsid w:val="00623C7F"/>
    <w:rsid w:val="00623CD3"/>
    <w:rsid w:val="00623D26"/>
    <w:rsid w:val="00623D85"/>
    <w:rsid w:val="00623E1C"/>
    <w:rsid w:val="00623E50"/>
    <w:rsid w:val="00623F51"/>
    <w:rsid w:val="00624007"/>
    <w:rsid w:val="0062400C"/>
    <w:rsid w:val="006241C8"/>
    <w:rsid w:val="0062422E"/>
    <w:rsid w:val="006242AB"/>
    <w:rsid w:val="00624339"/>
    <w:rsid w:val="0062460C"/>
    <w:rsid w:val="00624698"/>
    <w:rsid w:val="00624721"/>
    <w:rsid w:val="00624906"/>
    <w:rsid w:val="00624A87"/>
    <w:rsid w:val="00624B1B"/>
    <w:rsid w:val="00624C40"/>
    <w:rsid w:val="00624D3A"/>
    <w:rsid w:val="00624D7F"/>
    <w:rsid w:val="00624E5C"/>
    <w:rsid w:val="00624E96"/>
    <w:rsid w:val="00624F5B"/>
    <w:rsid w:val="00625241"/>
    <w:rsid w:val="006252E4"/>
    <w:rsid w:val="0062534A"/>
    <w:rsid w:val="006253A3"/>
    <w:rsid w:val="006253BC"/>
    <w:rsid w:val="00625567"/>
    <w:rsid w:val="00625609"/>
    <w:rsid w:val="0062560E"/>
    <w:rsid w:val="0062572D"/>
    <w:rsid w:val="006257DE"/>
    <w:rsid w:val="00625876"/>
    <w:rsid w:val="006258D0"/>
    <w:rsid w:val="00625B2A"/>
    <w:rsid w:val="00625C2E"/>
    <w:rsid w:val="00625CA9"/>
    <w:rsid w:val="00625CC6"/>
    <w:rsid w:val="00625D8E"/>
    <w:rsid w:val="00625E26"/>
    <w:rsid w:val="00625E66"/>
    <w:rsid w:val="00625EE0"/>
    <w:rsid w:val="00625F99"/>
    <w:rsid w:val="00625FC8"/>
    <w:rsid w:val="00625FF8"/>
    <w:rsid w:val="00626093"/>
    <w:rsid w:val="00626283"/>
    <w:rsid w:val="00626336"/>
    <w:rsid w:val="0062646E"/>
    <w:rsid w:val="006265AF"/>
    <w:rsid w:val="006265B9"/>
    <w:rsid w:val="006265D1"/>
    <w:rsid w:val="006266CA"/>
    <w:rsid w:val="00626999"/>
    <w:rsid w:val="00626A38"/>
    <w:rsid w:val="00626D39"/>
    <w:rsid w:val="00626D4D"/>
    <w:rsid w:val="00626ED6"/>
    <w:rsid w:val="00627019"/>
    <w:rsid w:val="006270D5"/>
    <w:rsid w:val="00627204"/>
    <w:rsid w:val="00627208"/>
    <w:rsid w:val="006272D7"/>
    <w:rsid w:val="00627345"/>
    <w:rsid w:val="0062739D"/>
    <w:rsid w:val="006273CF"/>
    <w:rsid w:val="00627424"/>
    <w:rsid w:val="006274B7"/>
    <w:rsid w:val="00627563"/>
    <w:rsid w:val="0062772F"/>
    <w:rsid w:val="006278D7"/>
    <w:rsid w:val="006278D8"/>
    <w:rsid w:val="00627A8A"/>
    <w:rsid w:val="00627AF4"/>
    <w:rsid w:val="00627C04"/>
    <w:rsid w:val="00627CE4"/>
    <w:rsid w:val="00627E63"/>
    <w:rsid w:val="00627E7D"/>
    <w:rsid w:val="00627FBA"/>
    <w:rsid w:val="0062AC0C"/>
    <w:rsid w:val="00630057"/>
    <w:rsid w:val="0063016F"/>
    <w:rsid w:val="00630224"/>
    <w:rsid w:val="0063046F"/>
    <w:rsid w:val="00630508"/>
    <w:rsid w:val="006305CC"/>
    <w:rsid w:val="0063061F"/>
    <w:rsid w:val="00630665"/>
    <w:rsid w:val="00630740"/>
    <w:rsid w:val="00630AA4"/>
    <w:rsid w:val="00630B6A"/>
    <w:rsid w:val="00630C74"/>
    <w:rsid w:val="00630E60"/>
    <w:rsid w:val="00631164"/>
    <w:rsid w:val="006311FE"/>
    <w:rsid w:val="006313F9"/>
    <w:rsid w:val="00631401"/>
    <w:rsid w:val="0063149B"/>
    <w:rsid w:val="006314CD"/>
    <w:rsid w:val="00631502"/>
    <w:rsid w:val="0063162A"/>
    <w:rsid w:val="006317D2"/>
    <w:rsid w:val="0063190C"/>
    <w:rsid w:val="00631A55"/>
    <w:rsid w:val="00631CD6"/>
    <w:rsid w:val="00631CFB"/>
    <w:rsid w:val="00631DB7"/>
    <w:rsid w:val="00631E4C"/>
    <w:rsid w:val="00631E64"/>
    <w:rsid w:val="00631E80"/>
    <w:rsid w:val="00631F39"/>
    <w:rsid w:val="006320D5"/>
    <w:rsid w:val="0063215A"/>
    <w:rsid w:val="00632231"/>
    <w:rsid w:val="006322B4"/>
    <w:rsid w:val="00632484"/>
    <w:rsid w:val="006326AD"/>
    <w:rsid w:val="0063282C"/>
    <w:rsid w:val="00632869"/>
    <w:rsid w:val="00632AD0"/>
    <w:rsid w:val="00632B31"/>
    <w:rsid w:val="00632F36"/>
    <w:rsid w:val="00632F77"/>
    <w:rsid w:val="006330A9"/>
    <w:rsid w:val="006331D4"/>
    <w:rsid w:val="006332F8"/>
    <w:rsid w:val="00633311"/>
    <w:rsid w:val="0063331B"/>
    <w:rsid w:val="00633442"/>
    <w:rsid w:val="006335AD"/>
    <w:rsid w:val="006335BA"/>
    <w:rsid w:val="0063364E"/>
    <w:rsid w:val="0063366D"/>
    <w:rsid w:val="00633C35"/>
    <w:rsid w:val="00633C72"/>
    <w:rsid w:val="00633CB2"/>
    <w:rsid w:val="00633DC4"/>
    <w:rsid w:val="00633F5B"/>
    <w:rsid w:val="00633F89"/>
    <w:rsid w:val="006340D0"/>
    <w:rsid w:val="006340D2"/>
    <w:rsid w:val="0063428B"/>
    <w:rsid w:val="006342D8"/>
    <w:rsid w:val="00634464"/>
    <w:rsid w:val="00634485"/>
    <w:rsid w:val="006347FE"/>
    <w:rsid w:val="006347FF"/>
    <w:rsid w:val="00634974"/>
    <w:rsid w:val="00634C7C"/>
    <w:rsid w:val="00634CDE"/>
    <w:rsid w:val="00634E35"/>
    <w:rsid w:val="00635010"/>
    <w:rsid w:val="0063509C"/>
    <w:rsid w:val="0063520E"/>
    <w:rsid w:val="006353EE"/>
    <w:rsid w:val="00635557"/>
    <w:rsid w:val="006356A3"/>
    <w:rsid w:val="00635755"/>
    <w:rsid w:val="00635896"/>
    <w:rsid w:val="006359B0"/>
    <w:rsid w:val="00635A83"/>
    <w:rsid w:val="00635B58"/>
    <w:rsid w:val="00635CDD"/>
    <w:rsid w:val="00635F13"/>
    <w:rsid w:val="00635F3A"/>
    <w:rsid w:val="006362AD"/>
    <w:rsid w:val="00636354"/>
    <w:rsid w:val="0063644C"/>
    <w:rsid w:val="00636623"/>
    <w:rsid w:val="00636729"/>
    <w:rsid w:val="006367B9"/>
    <w:rsid w:val="006368A4"/>
    <w:rsid w:val="006369AA"/>
    <w:rsid w:val="00636AAD"/>
    <w:rsid w:val="00636ADE"/>
    <w:rsid w:val="00636C1E"/>
    <w:rsid w:val="00636C45"/>
    <w:rsid w:val="00636C49"/>
    <w:rsid w:val="00636C51"/>
    <w:rsid w:val="00636DAF"/>
    <w:rsid w:val="00636E77"/>
    <w:rsid w:val="00636EE8"/>
    <w:rsid w:val="00636F07"/>
    <w:rsid w:val="00636FD9"/>
    <w:rsid w:val="00637009"/>
    <w:rsid w:val="0063717C"/>
    <w:rsid w:val="0063717D"/>
    <w:rsid w:val="00637274"/>
    <w:rsid w:val="00637400"/>
    <w:rsid w:val="00637433"/>
    <w:rsid w:val="006374C4"/>
    <w:rsid w:val="006374DD"/>
    <w:rsid w:val="00637603"/>
    <w:rsid w:val="006378CA"/>
    <w:rsid w:val="006379DE"/>
    <w:rsid w:val="006379E6"/>
    <w:rsid w:val="00637B93"/>
    <w:rsid w:val="00637BB3"/>
    <w:rsid w:val="00637CA9"/>
    <w:rsid w:val="00637D26"/>
    <w:rsid w:val="00637E5A"/>
    <w:rsid w:val="00637F1E"/>
    <w:rsid w:val="00637FB0"/>
    <w:rsid w:val="00640032"/>
    <w:rsid w:val="006402BC"/>
    <w:rsid w:val="006402D3"/>
    <w:rsid w:val="00640359"/>
    <w:rsid w:val="006403A4"/>
    <w:rsid w:val="006403E5"/>
    <w:rsid w:val="00640422"/>
    <w:rsid w:val="0064042E"/>
    <w:rsid w:val="0064047B"/>
    <w:rsid w:val="00640547"/>
    <w:rsid w:val="00640629"/>
    <w:rsid w:val="00640761"/>
    <w:rsid w:val="00640790"/>
    <w:rsid w:val="00640826"/>
    <w:rsid w:val="006408DC"/>
    <w:rsid w:val="00640962"/>
    <w:rsid w:val="006409BC"/>
    <w:rsid w:val="00640A2C"/>
    <w:rsid w:val="00640B3C"/>
    <w:rsid w:val="00640BD1"/>
    <w:rsid w:val="00640C88"/>
    <w:rsid w:val="00640D3B"/>
    <w:rsid w:val="00640DA4"/>
    <w:rsid w:val="00640EBD"/>
    <w:rsid w:val="00640F12"/>
    <w:rsid w:val="00640F2E"/>
    <w:rsid w:val="00640FCC"/>
    <w:rsid w:val="00640FFE"/>
    <w:rsid w:val="0064119A"/>
    <w:rsid w:val="0064121A"/>
    <w:rsid w:val="00641250"/>
    <w:rsid w:val="006412EA"/>
    <w:rsid w:val="00641332"/>
    <w:rsid w:val="0064140A"/>
    <w:rsid w:val="00641545"/>
    <w:rsid w:val="006416A6"/>
    <w:rsid w:val="006417A8"/>
    <w:rsid w:val="006417F0"/>
    <w:rsid w:val="00641996"/>
    <w:rsid w:val="00641ADC"/>
    <w:rsid w:val="00641B81"/>
    <w:rsid w:val="00641CE3"/>
    <w:rsid w:val="00641D01"/>
    <w:rsid w:val="00641DA3"/>
    <w:rsid w:val="00641DA5"/>
    <w:rsid w:val="0064208C"/>
    <w:rsid w:val="00642178"/>
    <w:rsid w:val="00642245"/>
    <w:rsid w:val="0064232A"/>
    <w:rsid w:val="006423AC"/>
    <w:rsid w:val="006423FE"/>
    <w:rsid w:val="0064263C"/>
    <w:rsid w:val="00642647"/>
    <w:rsid w:val="006426CC"/>
    <w:rsid w:val="0064275F"/>
    <w:rsid w:val="0064281E"/>
    <w:rsid w:val="00642833"/>
    <w:rsid w:val="00642BF7"/>
    <w:rsid w:val="00642C6C"/>
    <w:rsid w:val="00642D28"/>
    <w:rsid w:val="00642D2E"/>
    <w:rsid w:val="00642D90"/>
    <w:rsid w:val="00642E87"/>
    <w:rsid w:val="00642EDA"/>
    <w:rsid w:val="00642F0C"/>
    <w:rsid w:val="00642F80"/>
    <w:rsid w:val="00643004"/>
    <w:rsid w:val="006431FA"/>
    <w:rsid w:val="00643204"/>
    <w:rsid w:val="0064333D"/>
    <w:rsid w:val="00643383"/>
    <w:rsid w:val="00643476"/>
    <w:rsid w:val="00643540"/>
    <w:rsid w:val="006436D3"/>
    <w:rsid w:val="00643836"/>
    <w:rsid w:val="00643900"/>
    <w:rsid w:val="00643A04"/>
    <w:rsid w:val="00643B52"/>
    <w:rsid w:val="00643BF0"/>
    <w:rsid w:val="00643CE7"/>
    <w:rsid w:val="00643DB7"/>
    <w:rsid w:val="00643F0C"/>
    <w:rsid w:val="0064402F"/>
    <w:rsid w:val="00644057"/>
    <w:rsid w:val="0064410E"/>
    <w:rsid w:val="006441F9"/>
    <w:rsid w:val="0064424B"/>
    <w:rsid w:val="00644327"/>
    <w:rsid w:val="00644329"/>
    <w:rsid w:val="0064434C"/>
    <w:rsid w:val="00644430"/>
    <w:rsid w:val="0064445C"/>
    <w:rsid w:val="00644503"/>
    <w:rsid w:val="00644546"/>
    <w:rsid w:val="0064456C"/>
    <w:rsid w:val="006445AC"/>
    <w:rsid w:val="006445FC"/>
    <w:rsid w:val="0064468A"/>
    <w:rsid w:val="0064476B"/>
    <w:rsid w:val="00644897"/>
    <w:rsid w:val="00644955"/>
    <w:rsid w:val="0064498A"/>
    <w:rsid w:val="00644AB3"/>
    <w:rsid w:val="00644AD8"/>
    <w:rsid w:val="00644B54"/>
    <w:rsid w:val="00644BA5"/>
    <w:rsid w:val="00644C5B"/>
    <w:rsid w:val="006451A7"/>
    <w:rsid w:val="0064527B"/>
    <w:rsid w:val="006454D5"/>
    <w:rsid w:val="0064569F"/>
    <w:rsid w:val="0064582D"/>
    <w:rsid w:val="006458A1"/>
    <w:rsid w:val="006459B8"/>
    <w:rsid w:val="00645B62"/>
    <w:rsid w:val="00645C24"/>
    <w:rsid w:val="00645EE1"/>
    <w:rsid w:val="00645EE7"/>
    <w:rsid w:val="0064600E"/>
    <w:rsid w:val="0064612B"/>
    <w:rsid w:val="00646183"/>
    <w:rsid w:val="0064630A"/>
    <w:rsid w:val="0064632C"/>
    <w:rsid w:val="006464DD"/>
    <w:rsid w:val="006465CE"/>
    <w:rsid w:val="006466F0"/>
    <w:rsid w:val="00646773"/>
    <w:rsid w:val="00646938"/>
    <w:rsid w:val="00646990"/>
    <w:rsid w:val="006469AD"/>
    <w:rsid w:val="006469B8"/>
    <w:rsid w:val="006469EC"/>
    <w:rsid w:val="00646A94"/>
    <w:rsid w:val="00646AB4"/>
    <w:rsid w:val="00646D3B"/>
    <w:rsid w:val="00646D89"/>
    <w:rsid w:val="00646DDF"/>
    <w:rsid w:val="00646E05"/>
    <w:rsid w:val="00646ED0"/>
    <w:rsid w:val="00646F50"/>
    <w:rsid w:val="00647000"/>
    <w:rsid w:val="006470C2"/>
    <w:rsid w:val="00647253"/>
    <w:rsid w:val="0064728C"/>
    <w:rsid w:val="0064734C"/>
    <w:rsid w:val="0064737E"/>
    <w:rsid w:val="00647429"/>
    <w:rsid w:val="00647568"/>
    <w:rsid w:val="00647614"/>
    <w:rsid w:val="006476AD"/>
    <w:rsid w:val="00647837"/>
    <w:rsid w:val="0064786D"/>
    <w:rsid w:val="00647A8E"/>
    <w:rsid w:val="00647AB6"/>
    <w:rsid w:val="00647B42"/>
    <w:rsid w:val="00647BD7"/>
    <w:rsid w:val="00647C24"/>
    <w:rsid w:val="00647C8F"/>
    <w:rsid w:val="00647D4D"/>
    <w:rsid w:val="00647D50"/>
    <w:rsid w:val="00647EF2"/>
    <w:rsid w:val="00647F60"/>
    <w:rsid w:val="00647F94"/>
    <w:rsid w:val="00647F96"/>
    <w:rsid w:val="00650019"/>
    <w:rsid w:val="0065067F"/>
    <w:rsid w:val="00650750"/>
    <w:rsid w:val="0065075D"/>
    <w:rsid w:val="006507A5"/>
    <w:rsid w:val="006507AB"/>
    <w:rsid w:val="00650815"/>
    <w:rsid w:val="0065086C"/>
    <w:rsid w:val="00650989"/>
    <w:rsid w:val="00650B7B"/>
    <w:rsid w:val="00650C7E"/>
    <w:rsid w:val="00650D8B"/>
    <w:rsid w:val="00650EBB"/>
    <w:rsid w:val="00651112"/>
    <w:rsid w:val="00651134"/>
    <w:rsid w:val="00651180"/>
    <w:rsid w:val="00651280"/>
    <w:rsid w:val="0065129D"/>
    <w:rsid w:val="0065147E"/>
    <w:rsid w:val="00651567"/>
    <w:rsid w:val="00651771"/>
    <w:rsid w:val="00651882"/>
    <w:rsid w:val="006518C8"/>
    <w:rsid w:val="00651901"/>
    <w:rsid w:val="00651CB6"/>
    <w:rsid w:val="00651DC2"/>
    <w:rsid w:val="00651DCA"/>
    <w:rsid w:val="0065203A"/>
    <w:rsid w:val="00652121"/>
    <w:rsid w:val="00652342"/>
    <w:rsid w:val="0065238B"/>
    <w:rsid w:val="006523C6"/>
    <w:rsid w:val="0065241A"/>
    <w:rsid w:val="006524E8"/>
    <w:rsid w:val="00652560"/>
    <w:rsid w:val="00652568"/>
    <w:rsid w:val="006526BD"/>
    <w:rsid w:val="00652828"/>
    <w:rsid w:val="006528E7"/>
    <w:rsid w:val="006528EC"/>
    <w:rsid w:val="00652ADD"/>
    <w:rsid w:val="00652C6E"/>
    <w:rsid w:val="00652D3C"/>
    <w:rsid w:val="006532FA"/>
    <w:rsid w:val="00653415"/>
    <w:rsid w:val="006534D7"/>
    <w:rsid w:val="00653526"/>
    <w:rsid w:val="006535BF"/>
    <w:rsid w:val="006537FA"/>
    <w:rsid w:val="0065380C"/>
    <w:rsid w:val="0065386C"/>
    <w:rsid w:val="00653901"/>
    <w:rsid w:val="0065395D"/>
    <w:rsid w:val="00653BF5"/>
    <w:rsid w:val="00653C91"/>
    <w:rsid w:val="00653D81"/>
    <w:rsid w:val="00653E33"/>
    <w:rsid w:val="00653EA9"/>
    <w:rsid w:val="00653F13"/>
    <w:rsid w:val="00653FCD"/>
    <w:rsid w:val="0065400F"/>
    <w:rsid w:val="00654010"/>
    <w:rsid w:val="006540B7"/>
    <w:rsid w:val="00654162"/>
    <w:rsid w:val="006541C1"/>
    <w:rsid w:val="006541F1"/>
    <w:rsid w:val="00654272"/>
    <w:rsid w:val="00654281"/>
    <w:rsid w:val="006542A7"/>
    <w:rsid w:val="00654318"/>
    <w:rsid w:val="006543A3"/>
    <w:rsid w:val="00654498"/>
    <w:rsid w:val="00654511"/>
    <w:rsid w:val="006546FC"/>
    <w:rsid w:val="00654818"/>
    <w:rsid w:val="0065489E"/>
    <w:rsid w:val="0065492D"/>
    <w:rsid w:val="0065498C"/>
    <w:rsid w:val="006549BF"/>
    <w:rsid w:val="006549C4"/>
    <w:rsid w:val="00654CAB"/>
    <w:rsid w:val="00654CCB"/>
    <w:rsid w:val="00654D1D"/>
    <w:rsid w:val="00654EF3"/>
    <w:rsid w:val="0065509F"/>
    <w:rsid w:val="00655178"/>
    <w:rsid w:val="006552FF"/>
    <w:rsid w:val="006553D2"/>
    <w:rsid w:val="006555B0"/>
    <w:rsid w:val="006556E2"/>
    <w:rsid w:val="00655744"/>
    <w:rsid w:val="0065575D"/>
    <w:rsid w:val="006557C0"/>
    <w:rsid w:val="00655C7F"/>
    <w:rsid w:val="00655C88"/>
    <w:rsid w:val="00655CFA"/>
    <w:rsid w:val="00655D62"/>
    <w:rsid w:val="00655EA3"/>
    <w:rsid w:val="00655F4F"/>
    <w:rsid w:val="00655F72"/>
    <w:rsid w:val="00656013"/>
    <w:rsid w:val="00656029"/>
    <w:rsid w:val="00656138"/>
    <w:rsid w:val="00656156"/>
    <w:rsid w:val="0065617F"/>
    <w:rsid w:val="006562DF"/>
    <w:rsid w:val="006563AF"/>
    <w:rsid w:val="006565F4"/>
    <w:rsid w:val="00656656"/>
    <w:rsid w:val="0065666D"/>
    <w:rsid w:val="006567B5"/>
    <w:rsid w:val="00656972"/>
    <w:rsid w:val="00656AA7"/>
    <w:rsid w:val="00656EF3"/>
    <w:rsid w:val="00656F19"/>
    <w:rsid w:val="00656F90"/>
    <w:rsid w:val="00657092"/>
    <w:rsid w:val="006571A3"/>
    <w:rsid w:val="006571EA"/>
    <w:rsid w:val="00657279"/>
    <w:rsid w:val="0065736C"/>
    <w:rsid w:val="006573C6"/>
    <w:rsid w:val="006573ED"/>
    <w:rsid w:val="006576C8"/>
    <w:rsid w:val="006577E5"/>
    <w:rsid w:val="0065782F"/>
    <w:rsid w:val="0065797C"/>
    <w:rsid w:val="00657B5E"/>
    <w:rsid w:val="00657BCD"/>
    <w:rsid w:val="00657D5A"/>
    <w:rsid w:val="00657E93"/>
    <w:rsid w:val="00657ED4"/>
    <w:rsid w:val="00660224"/>
    <w:rsid w:val="006603F5"/>
    <w:rsid w:val="00660572"/>
    <w:rsid w:val="00660579"/>
    <w:rsid w:val="006606D4"/>
    <w:rsid w:val="00660759"/>
    <w:rsid w:val="00660B96"/>
    <w:rsid w:val="00660D61"/>
    <w:rsid w:val="00660D69"/>
    <w:rsid w:val="00660DC2"/>
    <w:rsid w:val="00660DEA"/>
    <w:rsid w:val="00660F66"/>
    <w:rsid w:val="00661015"/>
    <w:rsid w:val="006610A5"/>
    <w:rsid w:val="00661165"/>
    <w:rsid w:val="0066117C"/>
    <w:rsid w:val="006612F1"/>
    <w:rsid w:val="0066141A"/>
    <w:rsid w:val="00661449"/>
    <w:rsid w:val="00661576"/>
    <w:rsid w:val="006616A2"/>
    <w:rsid w:val="0066178B"/>
    <w:rsid w:val="0066179C"/>
    <w:rsid w:val="0066184A"/>
    <w:rsid w:val="00661929"/>
    <w:rsid w:val="00661971"/>
    <w:rsid w:val="006619FB"/>
    <w:rsid w:val="00661B29"/>
    <w:rsid w:val="00661BDC"/>
    <w:rsid w:val="00661C85"/>
    <w:rsid w:val="00661CFF"/>
    <w:rsid w:val="00661DCB"/>
    <w:rsid w:val="00661EF7"/>
    <w:rsid w:val="00661F42"/>
    <w:rsid w:val="00661FEF"/>
    <w:rsid w:val="0066209B"/>
    <w:rsid w:val="006620D6"/>
    <w:rsid w:val="006620EC"/>
    <w:rsid w:val="00662113"/>
    <w:rsid w:val="006621D2"/>
    <w:rsid w:val="00662259"/>
    <w:rsid w:val="0066225C"/>
    <w:rsid w:val="00662364"/>
    <w:rsid w:val="0066236D"/>
    <w:rsid w:val="0066245A"/>
    <w:rsid w:val="0066253E"/>
    <w:rsid w:val="00662624"/>
    <w:rsid w:val="0066269D"/>
    <w:rsid w:val="006626A7"/>
    <w:rsid w:val="00662834"/>
    <w:rsid w:val="00662860"/>
    <w:rsid w:val="00662899"/>
    <w:rsid w:val="00662AD0"/>
    <w:rsid w:val="00662BAB"/>
    <w:rsid w:val="00662C4A"/>
    <w:rsid w:val="00662D8C"/>
    <w:rsid w:val="00662D9B"/>
    <w:rsid w:val="0066300D"/>
    <w:rsid w:val="0066306F"/>
    <w:rsid w:val="00663098"/>
    <w:rsid w:val="006630CD"/>
    <w:rsid w:val="00663103"/>
    <w:rsid w:val="00663171"/>
    <w:rsid w:val="0066322D"/>
    <w:rsid w:val="00663270"/>
    <w:rsid w:val="006632C3"/>
    <w:rsid w:val="00663517"/>
    <w:rsid w:val="006636ED"/>
    <w:rsid w:val="006637BC"/>
    <w:rsid w:val="006637DD"/>
    <w:rsid w:val="0066386B"/>
    <w:rsid w:val="00663B8D"/>
    <w:rsid w:val="00663C41"/>
    <w:rsid w:val="00663D81"/>
    <w:rsid w:val="00663E43"/>
    <w:rsid w:val="00663EC8"/>
    <w:rsid w:val="00663F00"/>
    <w:rsid w:val="00663FF3"/>
    <w:rsid w:val="00664092"/>
    <w:rsid w:val="006640D8"/>
    <w:rsid w:val="0066420D"/>
    <w:rsid w:val="00664275"/>
    <w:rsid w:val="00664276"/>
    <w:rsid w:val="006642FE"/>
    <w:rsid w:val="00664324"/>
    <w:rsid w:val="0066442D"/>
    <w:rsid w:val="00664465"/>
    <w:rsid w:val="0066464D"/>
    <w:rsid w:val="00664662"/>
    <w:rsid w:val="0066466D"/>
    <w:rsid w:val="0066471C"/>
    <w:rsid w:val="00664755"/>
    <w:rsid w:val="00664898"/>
    <w:rsid w:val="00664AC6"/>
    <w:rsid w:val="00664AEE"/>
    <w:rsid w:val="00664C24"/>
    <w:rsid w:val="00664DA0"/>
    <w:rsid w:val="00664DAA"/>
    <w:rsid w:val="00664F44"/>
    <w:rsid w:val="00664F7B"/>
    <w:rsid w:val="006650D7"/>
    <w:rsid w:val="006651CE"/>
    <w:rsid w:val="00665315"/>
    <w:rsid w:val="0066536E"/>
    <w:rsid w:val="006653C0"/>
    <w:rsid w:val="00665501"/>
    <w:rsid w:val="00665554"/>
    <w:rsid w:val="006655A7"/>
    <w:rsid w:val="006655B6"/>
    <w:rsid w:val="00665602"/>
    <w:rsid w:val="0066575C"/>
    <w:rsid w:val="006658E0"/>
    <w:rsid w:val="00665B27"/>
    <w:rsid w:val="00665DB9"/>
    <w:rsid w:val="00665F51"/>
    <w:rsid w:val="00665F5E"/>
    <w:rsid w:val="00665F61"/>
    <w:rsid w:val="00665F6A"/>
    <w:rsid w:val="00666095"/>
    <w:rsid w:val="006660AD"/>
    <w:rsid w:val="0066611D"/>
    <w:rsid w:val="006661E7"/>
    <w:rsid w:val="0066622F"/>
    <w:rsid w:val="006663CE"/>
    <w:rsid w:val="00666416"/>
    <w:rsid w:val="0066643F"/>
    <w:rsid w:val="00666446"/>
    <w:rsid w:val="0066653C"/>
    <w:rsid w:val="0066662B"/>
    <w:rsid w:val="006666FF"/>
    <w:rsid w:val="00666702"/>
    <w:rsid w:val="00666751"/>
    <w:rsid w:val="006667E4"/>
    <w:rsid w:val="00666817"/>
    <w:rsid w:val="006668DB"/>
    <w:rsid w:val="00666949"/>
    <w:rsid w:val="00666A5B"/>
    <w:rsid w:val="00666AB9"/>
    <w:rsid w:val="00666AF2"/>
    <w:rsid w:val="00666BBD"/>
    <w:rsid w:val="00666DA4"/>
    <w:rsid w:val="00666DA7"/>
    <w:rsid w:val="00666E3D"/>
    <w:rsid w:val="00667241"/>
    <w:rsid w:val="006672FC"/>
    <w:rsid w:val="00667379"/>
    <w:rsid w:val="006674C8"/>
    <w:rsid w:val="00667594"/>
    <w:rsid w:val="00667636"/>
    <w:rsid w:val="006676E2"/>
    <w:rsid w:val="006676F1"/>
    <w:rsid w:val="00667710"/>
    <w:rsid w:val="006677D0"/>
    <w:rsid w:val="006677E0"/>
    <w:rsid w:val="006677F4"/>
    <w:rsid w:val="00667828"/>
    <w:rsid w:val="00667836"/>
    <w:rsid w:val="006679A6"/>
    <w:rsid w:val="00667A6F"/>
    <w:rsid w:val="00667CFE"/>
    <w:rsid w:val="00667D78"/>
    <w:rsid w:val="006702D2"/>
    <w:rsid w:val="00670546"/>
    <w:rsid w:val="0067062A"/>
    <w:rsid w:val="00670637"/>
    <w:rsid w:val="006706BA"/>
    <w:rsid w:val="006708DC"/>
    <w:rsid w:val="00670A2E"/>
    <w:rsid w:val="00670AD8"/>
    <w:rsid w:val="00670AF5"/>
    <w:rsid w:val="00670B27"/>
    <w:rsid w:val="00670BA2"/>
    <w:rsid w:val="00670BA5"/>
    <w:rsid w:val="00670BCE"/>
    <w:rsid w:val="00670CBF"/>
    <w:rsid w:val="00670FA3"/>
    <w:rsid w:val="00670FE2"/>
    <w:rsid w:val="00671247"/>
    <w:rsid w:val="0067127E"/>
    <w:rsid w:val="00671530"/>
    <w:rsid w:val="0067153D"/>
    <w:rsid w:val="00671585"/>
    <w:rsid w:val="0067166B"/>
    <w:rsid w:val="006719E8"/>
    <w:rsid w:val="00671BD5"/>
    <w:rsid w:val="00671E6E"/>
    <w:rsid w:val="00671F12"/>
    <w:rsid w:val="00671F4B"/>
    <w:rsid w:val="00672082"/>
    <w:rsid w:val="006720B7"/>
    <w:rsid w:val="006721A2"/>
    <w:rsid w:val="00672217"/>
    <w:rsid w:val="0067222D"/>
    <w:rsid w:val="0067253E"/>
    <w:rsid w:val="00672635"/>
    <w:rsid w:val="00672728"/>
    <w:rsid w:val="00672749"/>
    <w:rsid w:val="006729EC"/>
    <w:rsid w:val="00672B23"/>
    <w:rsid w:val="00672CC7"/>
    <w:rsid w:val="00672D51"/>
    <w:rsid w:val="00672D56"/>
    <w:rsid w:val="00672D66"/>
    <w:rsid w:val="00672DC0"/>
    <w:rsid w:val="00672F72"/>
    <w:rsid w:val="00673029"/>
    <w:rsid w:val="00673184"/>
    <w:rsid w:val="006731A3"/>
    <w:rsid w:val="0067331E"/>
    <w:rsid w:val="006733E3"/>
    <w:rsid w:val="00673425"/>
    <w:rsid w:val="006734BA"/>
    <w:rsid w:val="006735E8"/>
    <w:rsid w:val="0067362C"/>
    <w:rsid w:val="0067375D"/>
    <w:rsid w:val="0067377F"/>
    <w:rsid w:val="0067379F"/>
    <w:rsid w:val="006737CF"/>
    <w:rsid w:val="00673869"/>
    <w:rsid w:val="00673871"/>
    <w:rsid w:val="006739F7"/>
    <w:rsid w:val="006739F8"/>
    <w:rsid w:val="00673B47"/>
    <w:rsid w:val="00673D77"/>
    <w:rsid w:val="00673DFB"/>
    <w:rsid w:val="00673E1B"/>
    <w:rsid w:val="00673ED5"/>
    <w:rsid w:val="00673F80"/>
    <w:rsid w:val="00673FCA"/>
    <w:rsid w:val="006740FA"/>
    <w:rsid w:val="0067413E"/>
    <w:rsid w:val="0067414C"/>
    <w:rsid w:val="0067417E"/>
    <w:rsid w:val="0067467D"/>
    <w:rsid w:val="0067468F"/>
    <w:rsid w:val="0067477D"/>
    <w:rsid w:val="006747D9"/>
    <w:rsid w:val="00674838"/>
    <w:rsid w:val="0067485B"/>
    <w:rsid w:val="006748A4"/>
    <w:rsid w:val="0067499D"/>
    <w:rsid w:val="006749C8"/>
    <w:rsid w:val="00674B5D"/>
    <w:rsid w:val="00674C67"/>
    <w:rsid w:val="006751D3"/>
    <w:rsid w:val="00675203"/>
    <w:rsid w:val="0067527E"/>
    <w:rsid w:val="0067530D"/>
    <w:rsid w:val="0067536B"/>
    <w:rsid w:val="0067540F"/>
    <w:rsid w:val="006754BE"/>
    <w:rsid w:val="00675501"/>
    <w:rsid w:val="00675647"/>
    <w:rsid w:val="006757C6"/>
    <w:rsid w:val="0067580C"/>
    <w:rsid w:val="00675820"/>
    <w:rsid w:val="006758FF"/>
    <w:rsid w:val="00675956"/>
    <w:rsid w:val="00675AE5"/>
    <w:rsid w:val="00675B2E"/>
    <w:rsid w:val="00675D69"/>
    <w:rsid w:val="00675D94"/>
    <w:rsid w:val="00675DA0"/>
    <w:rsid w:val="00675DDB"/>
    <w:rsid w:val="00675E92"/>
    <w:rsid w:val="006760D3"/>
    <w:rsid w:val="00676149"/>
    <w:rsid w:val="00676247"/>
    <w:rsid w:val="006762DD"/>
    <w:rsid w:val="006762EB"/>
    <w:rsid w:val="006762FF"/>
    <w:rsid w:val="00676301"/>
    <w:rsid w:val="0067642F"/>
    <w:rsid w:val="00676497"/>
    <w:rsid w:val="006765F6"/>
    <w:rsid w:val="006767C1"/>
    <w:rsid w:val="006767DE"/>
    <w:rsid w:val="0067694F"/>
    <w:rsid w:val="00676A57"/>
    <w:rsid w:val="00676A85"/>
    <w:rsid w:val="00676C96"/>
    <w:rsid w:val="00676F83"/>
    <w:rsid w:val="00676FAA"/>
    <w:rsid w:val="00677066"/>
    <w:rsid w:val="00677097"/>
    <w:rsid w:val="00677109"/>
    <w:rsid w:val="006772BB"/>
    <w:rsid w:val="00677523"/>
    <w:rsid w:val="00677579"/>
    <w:rsid w:val="00677671"/>
    <w:rsid w:val="006776B5"/>
    <w:rsid w:val="00677724"/>
    <w:rsid w:val="00677787"/>
    <w:rsid w:val="00677813"/>
    <w:rsid w:val="00677882"/>
    <w:rsid w:val="006778B8"/>
    <w:rsid w:val="00677B18"/>
    <w:rsid w:val="00677B71"/>
    <w:rsid w:val="00677B77"/>
    <w:rsid w:val="00677D5C"/>
    <w:rsid w:val="00677DC7"/>
    <w:rsid w:val="00677F5A"/>
    <w:rsid w:val="00677FF6"/>
    <w:rsid w:val="00680001"/>
    <w:rsid w:val="00680026"/>
    <w:rsid w:val="0068008A"/>
    <w:rsid w:val="00680095"/>
    <w:rsid w:val="00680221"/>
    <w:rsid w:val="006803C8"/>
    <w:rsid w:val="006805FE"/>
    <w:rsid w:val="00680742"/>
    <w:rsid w:val="00680828"/>
    <w:rsid w:val="006808E0"/>
    <w:rsid w:val="00680A43"/>
    <w:rsid w:val="00680B5E"/>
    <w:rsid w:val="00680D94"/>
    <w:rsid w:val="00680ECD"/>
    <w:rsid w:val="00680F3E"/>
    <w:rsid w:val="00680F9F"/>
    <w:rsid w:val="0068104C"/>
    <w:rsid w:val="0068107B"/>
    <w:rsid w:val="00681160"/>
    <w:rsid w:val="0068121D"/>
    <w:rsid w:val="0068148B"/>
    <w:rsid w:val="006814E3"/>
    <w:rsid w:val="00681615"/>
    <w:rsid w:val="0068188A"/>
    <w:rsid w:val="006819E2"/>
    <w:rsid w:val="00681B88"/>
    <w:rsid w:val="00681D3A"/>
    <w:rsid w:val="00681DA0"/>
    <w:rsid w:val="00681DD1"/>
    <w:rsid w:val="00681E4C"/>
    <w:rsid w:val="00681E56"/>
    <w:rsid w:val="00681F3E"/>
    <w:rsid w:val="00681F9B"/>
    <w:rsid w:val="00681FC6"/>
    <w:rsid w:val="00682035"/>
    <w:rsid w:val="006821C6"/>
    <w:rsid w:val="006821CF"/>
    <w:rsid w:val="00682261"/>
    <w:rsid w:val="006822C6"/>
    <w:rsid w:val="006822E6"/>
    <w:rsid w:val="006823A6"/>
    <w:rsid w:val="0068250A"/>
    <w:rsid w:val="00682607"/>
    <w:rsid w:val="006827E7"/>
    <w:rsid w:val="0068297D"/>
    <w:rsid w:val="00682998"/>
    <w:rsid w:val="006829ED"/>
    <w:rsid w:val="00682A5B"/>
    <w:rsid w:val="00682C6A"/>
    <w:rsid w:val="00682E46"/>
    <w:rsid w:val="00682F76"/>
    <w:rsid w:val="00682F89"/>
    <w:rsid w:val="006830FD"/>
    <w:rsid w:val="006831DD"/>
    <w:rsid w:val="0068328A"/>
    <w:rsid w:val="00683298"/>
    <w:rsid w:val="006832D6"/>
    <w:rsid w:val="006832D7"/>
    <w:rsid w:val="00683438"/>
    <w:rsid w:val="006834E3"/>
    <w:rsid w:val="0068355C"/>
    <w:rsid w:val="00683565"/>
    <w:rsid w:val="006835F7"/>
    <w:rsid w:val="00683683"/>
    <w:rsid w:val="00683702"/>
    <w:rsid w:val="00683975"/>
    <w:rsid w:val="00683976"/>
    <w:rsid w:val="00683A15"/>
    <w:rsid w:val="00683A9D"/>
    <w:rsid w:val="00683AEF"/>
    <w:rsid w:val="00683B7B"/>
    <w:rsid w:val="00683BF9"/>
    <w:rsid w:val="00683CB1"/>
    <w:rsid w:val="00683D4B"/>
    <w:rsid w:val="00683D6F"/>
    <w:rsid w:val="00683E6B"/>
    <w:rsid w:val="00683E97"/>
    <w:rsid w:val="00683EA8"/>
    <w:rsid w:val="00683EC8"/>
    <w:rsid w:val="00683F9F"/>
    <w:rsid w:val="006840FC"/>
    <w:rsid w:val="00684102"/>
    <w:rsid w:val="0068431A"/>
    <w:rsid w:val="00684432"/>
    <w:rsid w:val="00684453"/>
    <w:rsid w:val="006844B4"/>
    <w:rsid w:val="00684792"/>
    <w:rsid w:val="006847A8"/>
    <w:rsid w:val="00684A28"/>
    <w:rsid w:val="00684A32"/>
    <w:rsid w:val="00684C07"/>
    <w:rsid w:val="00684D52"/>
    <w:rsid w:val="00684D70"/>
    <w:rsid w:val="00684DF6"/>
    <w:rsid w:val="00684E3D"/>
    <w:rsid w:val="00684F38"/>
    <w:rsid w:val="00684F7C"/>
    <w:rsid w:val="0068509C"/>
    <w:rsid w:val="006850AA"/>
    <w:rsid w:val="006850DD"/>
    <w:rsid w:val="006851DC"/>
    <w:rsid w:val="00685241"/>
    <w:rsid w:val="0068525D"/>
    <w:rsid w:val="0068539D"/>
    <w:rsid w:val="006853F7"/>
    <w:rsid w:val="00685452"/>
    <w:rsid w:val="006856A9"/>
    <w:rsid w:val="00685720"/>
    <w:rsid w:val="0068572E"/>
    <w:rsid w:val="00685780"/>
    <w:rsid w:val="00685797"/>
    <w:rsid w:val="006857DD"/>
    <w:rsid w:val="00685844"/>
    <w:rsid w:val="00685984"/>
    <w:rsid w:val="00685995"/>
    <w:rsid w:val="00685A41"/>
    <w:rsid w:val="00685D36"/>
    <w:rsid w:val="00686152"/>
    <w:rsid w:val="00686297"/>
    <w:rsid w:val="006867A6"/>
    <w:rsid w:val="0068687A"/>
    <w:rsid w:val="006868EC"/>
    <w:rsid w:val="006869E8"/>
    <w:rsid w:val="00686A46"/>
    <w:rsid w:val="00686A55"/>
    <w:rsid w:val="00686A5D"/>
    <w:rsid w:val="00686A71"/>
    <w:rsid w:val="00686AD4"/>
    <w:rsid w:val="00686BEC"/>
    <w:rsid w:val="00686E84"/>
    <w:rsid w:val="00686EA4"/>
    <w:rsid w:val="0068704C"/>
    <w:rsid w:val="00687061"/>
    <w:rsid w:val="006870A8"/>
    <w:rsid w:val="00687394"/>
    <w:rsid w:val="0068750C"/>
    <w:rsid w:val="00687530"/>
    <w:rsid w:val="00687617"/>
    <w:rsid w:val="00687648"/>
    <w:rsid w:val="00687668"/>
    <w:rsid w:val="00687729"/>
    <w:rsid w:val="0068789C"/>
    <w:rsid w:val="00687935"/>
    <w:rsid w:val="00687991"/>
    <w:rsid w:val="006879C5"/>
    <w:rsid w:val="006879D1"/>
    <w:rsid w:val="00687AA6"/>
    <w:rsid w:val="00687BBE"/>
    <w:rsid w:val="00687C9C"/>
    <w:rsid w:val="00687D5F"/>
    <w:rsid w:val="00687D73"/>
    <w:rsid w:val="00687D77"/>
    <w:rsid w:val="00687E80"/>
    <w:rsid w:val="00687EEF"/>
    <w:rsid w:val="00687EFC"/>
    <w:rsid w:val="0069005C"/>
    <w:rsid w:val="0069014E"/>
    <w:rsid w:val="0069016B"/>
    <w:rsid w:val="006901B0"/>
    <w:rsid w:val="006901FC"/>
    <w:rsid w:val="00690308"/>
    <w:rsid w:val="0069043F"/>
    <w:rsid w:val="00690452"/>
    <w:rsid w:val="0069049B"/>
    <w:rsid w:val="006905E7"/>
    <w:rsid w:val="0069077B"/>
    <w:rsid w:val="0069079A"/>
    <w:rsid w:val="006907A0"/>
    <w:rsid w:val="006907E4"/>
    <w:rsid w:val="006908A3"/>
    <w:rsid w:val="006908BE"/>
    <w:rsid w:val="00690929"/>
    <w:rsid w:val="00690980"/>
    <w:rsid w:val="006909CC"/>
    <w:rsid w:val="00690BD2"/>
    <w:rsid w:val="00690BE8"/>
    <w:rsid w:val="00690D07"/>
    <w:rsid w:val="00690D15"/>
    <w:rsid w:val="00690EAD"/>
    <w:rsid w:val="00690F65"/>
    <w:rsid w:val="00690F6E"/>
    <w:rsid w:val="00690FF3"/>
    <w:rsid w:val="00691000"/>
    <w:rsid w:val="0069104B"/>
    <w:rsid w:val="00691273"/>
    <w:rsid w:val="00691365"/>
    <w:rsid w:val="006913C3"/>
    <w:rsid w:val="006913FA"/>
    <w:rsid w:val="00691508"/>
    <w:rsid w:val="006915ED"/>
    <w:rsid w:val="006916A5"/>
    <w:rsid w:val="006916B1"/>
    <w:rsid w:val="00691838"/>
    <w:rsid w:val="00691994"/>
    <w:rsid w:val="00691A0A"/>
    <w:rsid w:val="00691CD7"/>
    <w:rsid w:val="00691E47"/>
    <w:rsid w:val="00691E7B"/>
    <w:rsid w:val="00692040"/>
    <w:rsid w:val="00692123"/>
    <w:rsid w:val="0069214B"/>
    <w:rsid w:val="00692224"/>
    <w:rsid w:val="0069223E"/>
    <w:rsid w:val="0069235E"/>
    <w:rsid w:val="0069238E"/>
    <w:rsid w:val="00692397"/>
    <w:rsid w:val="006923BB"/>
    <w:rsid w:val="00692533"/>
    <w:rsid w:val="0069258F"/>
    <w:rsid w:val="00692621"/>
    <w:rsid w:val="0069265F"/>
    <w:rsid w:val="0069267E"/>
    <w:rsid w:val="006927AD"/>
    <w:rsid w:val="00692986"/>
    <w:rsid w:val="006929E2"/>
    <w:rsid w:val="00692AF1"/>
    <w:rsid w:val="00692B63"/>
    <w:rsid w:val="00692C08"/>
    <w:rsid w:val="00692C1D"/>
    <w:rsid w:val="00692CB4"/>
    <w:rsid w:val="00692CC4"/>
    <w:rsid w:val="00692D53"/>
    <w:rsid w:val="00692DA7"/>
    <w:rsid w:val="00692DD9"/>
    <w:rsid w:val="00692E73"/>
    <w:rsid w:val="00692F03"/>
    <w:rsid w:val="00693038"/>
    <w:rsid w:val="00693060"/>
    <w:rsid w:val="00693144"/>
    <w:rsid w:val="00693199"/>
    <w:rsid w:val="00693250"/>
    <w:rsid w:val="006933EE"/>
    <w:rsid w:val="00693466"/>
    <w:rsid w:val="0069352A"/>
    <w:rsid w:val="006936B0"/>
    <w:rsid w:val="006937B8"/>
    <w:rsid w:val="00693860"/>
    <w:rsid w:val="00693863"/>
    <w:rsid w:val="006938FF"/>
    <w:rsid w:val="0069393E"/>
    <w:rsid w:val="00693A15"/>
    <w:rsid w:val="00693B13"/>
    <w:rsid w:val="00693B23"/>
    <w:rsid w:val="00693C12"/>
    <w:rsid w:val="00693C25"/>
    <w:rsid w:val="00693C62"/>
    <w:rsid w:val="00693D96"/>
    <w:rsid w:val="00694183"/>
    <w:rsid w:val="00694201"/>
    <w:rsid w:val="006942A9"/>
    <w:rsid w:val="0069431A"/>
    <w:rsid w:val="0069435B"/>
    <w:rsid w:val="006944F1"/>
    <w:rsid w:val="00694502"/>
    <w:rsid w:val="00694513"/>
    <w:rsid w:val="006945CE"/>
    <w:rsid w:val="006946B8"/>
    <w:rsid w:val="00694B4A"/>
    <w:rsid w:val="00694BB9"/>
    <w:rsid w:val="00694D3E"/>
    <w:rsid w:val="00694DD9"/>
    <w:rsid w:val="00694F5E"/>
    <w:rsid w:val="00694F9E"/>
    <w:rsid w:val="00695131"/>
    <w:rsid w:val="00695276"/>
    <w:rsid w:val="006952AE"/>
    <w:rsid w:val="00695423"/>
    <w:rsid w:val="00695474"/>
    <w:rsid w:val="00695785"/>
    <w:rsid w:val="006957F7"/>
    <w:rsid w:val="006958A4"/>
    <w:rsid w:val="006958A7"/>
    <w:rsid w:val="00695948"/>
    <w:rsid w:val="00695A1C"/>
    <w:rsid w:val="00695AB2"/>
    <w:rsid w:val="00695ACF"/>
    <w:rsid w:val="00695B73"/>
    <w:rsid w:val="00695C5C"/>
    <w:rsid w:val="00695CAE"/>
    <w:rsid w:val="00695E47"/>
    <w:rsid w:val="00695E6D"/>
    <w:rsid w:val="00695EB2"/>
    <w:rsid w:val="00695F77"/>
    <w:rsid w:val="00695F8D"/>
    <w:rsid w:val="006962BA"/>
    <w:rsid w:val="00696361"/>
    <w:rsid w:val="00696394"/>
    <w:rsid w:val="006964C0"/>
    <w:rsid w:val="00696509"/>
    <w:rsid w:val="006966B5"/>
    <w:rsid w:val="006966FC"/>
    <w:rsid w:val="00696809"/>
    <w:rsid w:val="0069689F"/>
    <w:rsid w:val="006968AE"/>
    <w:rsid w:val="006969CB"/>
    <w:rsid w:val="00696A32"/>
    <w:rsid w:val="00696A4A"/>
    <w:rsid w:val="00696BA6"/>
    <w:rsid w:val="00696CFD"/>
    <w:rsid w:val="00696D84"/>
    <w:rsid w:val="00696E38"/>
    <w:rsid w:val="00696EDD"/>
    <w:rsid w:val="00696EFC"/>
    <w:rsid w:val="0069701C"/>
    <w:rsid w:val="00697076"/>
    <w:rsid w:val="006971FF"/>
    <w:rsid w:val="006975DE"/>
    <w:rsid w:val="00697617"/>
    <w:rsid w:val="006976D7"/>
    <w:rsid w:val="00697743"/>
    <w:rsid w:val="006977E8"/>
    <w:rsid w:val="0069781E"/>
    <w:rsid w:val="00697877"/>
    <w:rsid w:val="006979E3"/>
    <w:rsid w:val="00697A0D"/>
    <w:rsid w:val="00697A59"/>
    <w:rsid w:val="00697B1A"/>
    <w:rsid w:val="00697B55"/>
    <w:rsid w:val="00697BFE"/>
    <w:rsid w:val="00697DC9"/>
    <w:rsid w:val="00697E02"/>
    <w:rsid w:val="00697E8E"/>
    <w:rsid w:val="00697F0E"/>
    <w:rsid w:val="00697F66"/>
    <w:rsid w:val="00697FB0"/>
    <w:rsid w:val="006A001B"/>
    <w:rsid w:val="006A00E2"/>
    <w:rsid w:val="006A012B"/>
    <w:rsid w:val="006A0159"/>
    <w:rsid w:val="006A03EB"/>
    <w:rsid w:val="006A057C"/>
    <w:rsid w:val="006A0804"/>
    <w:rsid w:val="006A0840"/>
    <w:rsid w:val="006A084E"/>
    <w:rsid w:val="006A0852"/>
    <w:rsid w:val="006A09DE"/>
    <w:rsid w:val="006A0B89"/>
    <w:rsid w:val="006A0C23"/>
    <w:rsid w:val="006A0CEC"/>
    <w:rsid w:val="006A0E96"/>
    <w:rsid w:val="006A0F26"/>
    <w:rsid w:val="006A1035"/>
    <w:rsid w:val="006A108C"/>
    <w:rsid w:val="006A1142"/>
    <w:rsid w:val="006A117A"/>
    <w:rsid w:val="006A12E6"/>
    <w:rsid w:val="006A1370"/>
    <w:rsid w:val="006A1509"/>
    <w:rsid w:val="006A1617"/>
    <w:rsid w:val="006A162B"/>
    <w:rsid w:val="006A1651"/>
    <w:rsid w:val="006A181A"/>
    <w:rsid w:val="006A1908"/>
    <w:rsid w:val="006A1946"/>
    <w:rsid w:val="006A198A"/>
    <w:rsid w:val="006A19AE"/>
    <w:rsid w:val="006A1B90"/>
    <w:rsid w:val="006A1BC7"/>
    <w:rsid w:val="006A1BC8"/>
    <w:rsid w:val="006A1C19"/>
    <w:rsid w:val="006A1C26"/>
    <w:rsid w:val="006A1E76"/>
    <w:rsid w:val="006A1ECB"/>
    <w:rsid w:val="006A1F2C"/>
    <w:rsid w:val="006A2116"/>
    <w:rsid w:val="006A22A7"/>
    <w:rsid w:val="006A24F9"/>
    <w:rsid w:val="006A256C"/>
    <w:rsid w:val="006A263A"/>
    <w:rsid w:val="006A2739"/>
    <w:rsid w:val="006A289C"/>
    <w:rsid w:val="006A2A46"/>
    <w:rsid w:val="006A2A69"/>
    <w:rsid w:val="006A2ADB"/>
    <w:rsid w:val="006A2AFD"/>
    <w:rsid w:val="006A2D8A"/>
    <w:rsid w:val="006A2F06"/>
    <w:rsid w:val="006A2F11"/>
    <w:rsid w:val="006A2F28"/>
    <w:rsid w:val="006A305D"/>
    <w:rsid w:val="006A310C"/>
    <w:rsid w:val="006A3149"/>
    <w:rsid w:val="006A32CC"/>
    <w:rsid w:val="006A3398"/>
    <w:rsid w:val="006A3640"/>
    <w:rsid w:val="006A3774"/>
    <w:rsid w:val="006A377E"/>
    <w:rsid w:val="006A388D"/>
    <w:rsid w:val="006A3904"/>
    <w:rsid w:val="006A390E"/>
    <w:rsid w:val="006A3952"/>
    <w:rsid w:val="006A3954"/>
    <w:rsid w:val="006A3967"/>
    <w:rsid w:val="006A3B6E"/>
    <w:rsid w:val="006A3C26"/>
    <w:rsid w:val="006A3CA6"/>
    <w:rsid w:val="006A3EDD"/>
    <w:rsid w:val="006A3FE7"/>
    <w:rsid w:val="006A4054"/>
    <w:rsid w:val="006A40C3"/>
    <w:rsid w:val="006A40DD"/>
    <w:rsid w:val="006A40E3"/>
    <w:rsid w:val="006A40FC"/>
    <w:rsid w:val="006A4151"/>
    <w:rsid w:val="006A41C4"/>
    <w:rsid w:val="006A4461"/>
    <w:rsid w:val="006A451D"/>
    <w:rsid w:val="006A46AE"/>
    <w:rsid w:val="006A46EE"/>
    <w:rsid w:val="006A475C"/>
    <w:rsid w:val="006A47F3"/>
    <w:rsid w:val="006A48E5"/>
    <w:rsid w:val="006A4970"/>
    <w:rsid w:val="006A49E6"/>
    <w:rsid w:val="006A4AB3"/>
    <w:rsid w:val="006A4AD7"/>
    <w:rsid w:val="006A4D1B"/>
    <w:rsid w:val="006A4E08"/>
    <w:rsid w:val="006A4E2E"/>
    <w:rsid w:val="006A4E61"/>
    <w:rsid w:val="006A4F7A"/>
    <w:rsid w:val="006A505B"/>
    <w:rsid w:val="006A5081"/>
    <w:rsid w:val="006A5183"/>
    <w:rsid w:val="006A5290"/>
    <w:rsid w:val="006A52A8"/>
    <w:rsid w:val="006A5435"/>
    <w:rsid w:val="006A55B4"/>
    <w:rsid w:val="006A56B5"/>
    <w:rsid w:val="006A574F"/>
    <w:rsid w:val="006A5763"/>
    <w:rsid w:val="006A57D6"/>
    <w:rsid w:val="006A57ED"/>
    <w:rsid w:val="006A5857"/>
    <w:rsid w:val="006A587D"/>
    <w:rsid w:val="006A595C"/>
    <w:rsid w:val="006A5965"/>
    <w:rsid w:val="006A59C6"/>
    <w:rsid w:val="006A5A43"/>
    <w:rsid w:val="006A5D20"/>
    <w:rsid w:val="006A5D88"/>
    <w:rsid w:val="006A5E86"/>
    <w:rsid w:val="006A6003"/>
    <w:rsid w:val="006A608E"/>
    <w:rsid w:val="006A62B9"/>
    <w:rsid w:val="006A636E"/>
    <w:rsid w:val="006A63D4"/>
    <w:rsid w:val="006A63F4"/>
    <w:rsid w:val="006A6404"/>
    <w:rsid w:val="006A64A3"/>
    <w:rsid w:val="006A66A9"/>
    <w:rsid w:val="006A671F"/>
    <w:rsid w:val="006A69D6"/>
    <w:rsid w:val="006A6AF3"/>
    <w:rsid w:val="006A6C2F"/>
    <w:rsid w:val="006A6C5D"/>
    <w:rsid w:val="006A6E7F"/>
    <w:rsid w:val="006A704B"/>
    <w:rsid w:val="006A70E6"/>
    <w:rsid w:val="006A7258"/>
    <w:rsid w:val="006A72EA"/>
    <w:rsid w:val="006A73AF"/>
    <w:rsid w:val="006A73E9"/>
    <w:rsid w:val="006A7463"/>
    <w:rsid w:val="006A763F"/>
    <w:rsid w:val="006A777B"/>
    <w:rsid w:val="006A7804"/>
    <w:rsid w:val="006A78E6"/>
    <w:rsid w:val="006A7B37"/>
    <w:rsid w:val="006A7DBB"/>
    <w:rsid w:val="006A7E57"/>
    <w:rsid w:val="006A7F2F"/>
    <w:rsid w:val="006B0051"/>
    <w:rsid w:val="006B008C"/>
    <w:rsid w:val="006B02DE"/>
    <w:rsid w:val="006B032A"/>
    <w:rsid w:val="006B0359"/>
    <w:rsid w:val="006B0425"/>
    <w:rsid w:val="006B048A"/>
    <w:rsid w:val="006B0581"/>
    <w:rsid w:val="006B0585"/>
    <w:rsid w:val="006B05EE"/>
    <w:rsid w:val="006B0670"/>
    <w:rsid w:val="006B069E"/>
    <w:rsid w:val="006B0748"/>
    <w:rsid w:val="006B0846"/>
    <w:rsid w:val="006B089B"/>
    <w:rsid w:val="006B0AE2"/>
    <w:rsid w:val="006B0C2B"/>
    <w:rsid w:val="006B0D94"/>
    <w:rsid w:val="006B0DD9"/>
    <w:rsid w:val="006B0E82"/>
    <w:rsid w:val="006B0F7D"/>
    <w:rsid w:val="006B10D5"/>
    <w:rsid w:val="006B1277"/>
    <w:rsid w:val="006B12EA"/>
    <w:rsid w:val="006B136E"/>
    <w:rsid w:val="006B1396"/>
    <w:rsid w:val="006B1468"/>
    <w:rsid w:val="006B1625"/>
    <w:rsid w:val="006B16FD"/>
    <w:rsid w:val="006B172D"/>
    <w:rsid w:val="006B1734"/>
    <w:rsid w:val="006B174F"/>
    <w:rsid w:val="006B1833"/>
    <w:rsid w:val="006B1919"/>
    <w:rsid w:val="006B19E1"/>
    <w:rsid w:val="006B19E7"/>
    <w:rsid w:val="006B1C66"/>
    <w:rsid w:val="006B1C98"/>
    <w:rsid w:val="006B1D34"/>
    <w:rsid w:val="006B1DDD"/>
    <w:rsid w:val="006B1EAA"/>
    <w:rsid w:val="006B1F26"/>
    <w:rsid w:val="006B2005"/>
    <w:rsid w:val="006B2014"/>
    <w:rsid w:val="006B201E"/>
    <w:rsid w:val="006B2183"/>
    <w:rsid w:val="006B218B"/>
    <w:rsid w:val="006B2233"/>
    <w:rsid w:val="006B23C1"/>
    <w:rsid w:val="006B2572"/>
    <w:rsid w:val="006B25A2"/>
    <w:rsid w:val="006B25F0"/>
    <w:rsid w:val="006B2633"/>
    <w:rsid w:val="006B2675"/>
    <w:rsid w:val="006B28BA"/>
    <w:rsid w:val="006B2956"/>
    <w:rsid w:val="006B29A3"/>
    <w:rsid w:val="006B2B6A"/>
    <w:rsid w:val="006B2C9C"/>
    <w:rsid w:val="006B2E7A"/>
    <w:rsid w:val="006B2EA5"/>
    <w:rsid w:val="006B2F8C"/>
    <w:rsid w:val="006B2FF3"/>
    <w:rsid w:val="006B3005"/>
    <w:rsid w:val="006B318F"/>
    <w:rsid w:val="006B350F"/>
    <w:rsid w:val="006B362A"/>
    <w:rsid w:val="006B371F"/>
    <w:rsid w:val="006B376E"/>
    <w:rsid w:val="006B37EB"/>
    <w:rsid w:val="006B38DA"/>
    <w:rsid w:val="006B38FC"/>
    <w:rsid w:val="006B3921"/>
    <w:rsid w:val="006B3A3D"/>
    <w:rsid w:val="006B3ABE"/>
    <w:rsid w:val="006B3C44"/>
    <w:rsid w:val="006B3C8F"/>
    <w:rsid w:val="006B3D69"/>
    <w:rsid w:val="006B3E90"/>
    <w:rsid w:val="006B3EC9"/>
    <w:rsid w:val="006B3F3F"/>
    <w:rsid w:val="006B3F48"/>
    <w:rsid w:val="006B3F5B"/>
    <w:rsid w:val="006B3F80"/>
    <w:rsid w:val="006B3FF3"/>
    <w:rsid w:val="006B405E"/>
    <w:rsid w:val="006B414E"/>
    <w:rsid w:val="006B420D"/>
    <w:rsid w:val="006B437B"/>
    <w:rsid w:val="006B43EA"/>
    <w:rsid w:val="006B44BD"/>
    <w:rsid w:val="006B453A"/>
    <w:rsid w:val="006B45AB"/>
    <w:rsid w:val="006B45B1"/>
    <w:rsid w:val="006B46C3"/>
    <w:rsid w:val="006B4756"/>
    <w:rsid w:val="006B47DC"/>
    <w:rsid w:val="006B485F"/>
    <w:rsid w:val="006B4A8B"/>
    <w:rsid w:val="006B4AAD"/>
    <w:rsid w:val="006B4AE8"/>
    <w:rsid w:val="006B4BB8"/>
    <w:rsid w:val="006B4FD4"/>
    <w:rsid w:val="006B5019"/>
    <w:rsid w:val="006B5030"/>
    <w:rsid w:val="006B5212"/>
    <w:rsid w:val="006B52FE"/>
    <w:rsid w:val="006B5361"/>
    <w:rsid w:val="006B5507"/>
    <w:rsid w:val="006B5547"/>
    <w:rsid w:val="006B5561"/>
    <w:rsid w:val="006B5653"/>
    <w:rsid w:val="006B5774"/>
    <w:rsid w:val="006B5777"/>
    <w:rsid w:val="006B5805"/>
    <w:rsid w:val="006B582F"/>
    <w:rsid w:val="006B5874"/>
    <w:rsid w:val="006B589C"/>
    <w:rsid w:val="006B58D9"/>
    <w:rsid w:val="006B590C"/>
    <w:rsid w:val="006B5A3B"/>
    <w:rsid w:val="006B5A78"/>
    <w:rsid w:val="006B5BCC"/>
    <w:rsid w:val="006B5C24"/>
    <w:rsid w:val="006B5C51"/>
    <w:rsid w:val="006B5D3D"/>
    <w:rsid w:val="006B5D67"/>
    <w:rsid w:val="006B5E76"/>
    <w:rsid w:val="006B5E78"/>
    <w:rsid w:val="006B5F5E"/>
    <w:rsid w:val="006B60CE"/>
    <w:rsid w:val="006B61B5"/>
    <w:rsid w:val="006B61C6"/>
    <w:rsid w:val="006B6220"/>
    <w:rsid w:val="006B63B4"/>
    <w:rsid w:val="006B63D1"/>
    <w:rsid w:val="006B6400"/>
    <w:rsid w:val="006B657A"/>
    <w:rsid w:val="006B65E8"/>
    <w:rsid w:val="006B66EB"/>
    <w:rsid w:val="006B67F4"/>
    <w:rsid w:val="006B68FB"/>
    <w:rsid w:val="006B6934"/>
    <w:rsid w:val="006B6935"/>
    <w:rsid w:val="006B693E"/>
    <w:rsid w:val="006B694B"/>
    <w:rsid w:val="006B6957"/>
    <w:rsid w:val="006B6A9C"/>
    <w:rsid w:val="006B6C06"/>
    <w:rsid w:val="006B6E91"/>
    <w:rsid w:val="006B6F0D"/>
    <w:rsid w:val="006B6F41"/>
    <w:rsid w:val="006B6F54"/>
    <w:rsid w:val="006B722F"/>
    <w:rsid w:val="006B72CC"/>
    <w:rsid w:val="006B7337"/>
    <w:rsid w:val="006B747E"/>
    <w:rsid w:val="006B74FC"/>
    <w:rsid w:val="006B75B2"/>
    <w:rsid w:val="006B75C9"/>
    <w:rsid w:val="006B7634"/>
    <w:rsid w:val="006B770E"/>
    <w:rsid w:val="006B780B"/>
    <w:rsid w:val="006B7890"/>
    <w:rsid w:val="006B796A"/>
    <w:rsid w:val="006B7A8D"/>
    <w:rsid w:val="006B7B30"/>
    <w:rsid w:val="006B7B79"/>
    <w:rsid w:val="006B7C33"/>
    <w:rsid w:val="006B7D1E"/>
    <w:rsid w:val="006B7E22"/>
    <w:rsid w:val="006B7E8C"/>
    <w:rsid w:val="006B7E8F"/>
    <w:rsid w:val="006B7EBB"/>
    <w:rsid w:val="006C00FC"/>
    <w:rsid w:val="006C0163"/>
    <w:rsid w:val="006C01A6"/>
    <w:rsid w:val="006C01DD"/>
    <w:rsid w:val="006C01EA"/>
    <w:rsid w:val="006C02BF"/>
    <w:rsid w:val="006C05B9"/>
    <w:rsid w:val="006C06A3"/>
    <w:rsid w:val="006C0718"/>
    <w:rsid w:val="006C0785"/>
    <w:rsid w:val="006C07A5"/>
    <w:rsid w:val="006C07FF"/>
    <w:rsid w:val="006C0805"/>
    <w:rsid w:val="006C0938"/>
    <w:rsid w:val="006C0A8F"/>
    <w:rsid w:val="006C0AD9"/>
    <w:rsid w:val="006C0B9B"/>
    <w:rsid w:val="006C0DD9"/>
    <w:rsid w:val="006C0E3D"/>
    <w:rsid w:val="006C0F01"/>
    <w:rsid w:val="006C116C"/>
    <w:rsid w:val="006C1174"/>
    <w:rsid w:val="006C11BB"/>
    <w:rsid w:val="006C1251"/>
    <w:rsid w:val="006C14B0"/>
    <w:rsid w:val="006C1615"/>
    <w:rsid w:val="006C1646"/>
    <w:rsid w:val="006C1773"/>
    <w:rsid w:val="006C1855"/>
    <w:rsid w:val="006C1893"/>
    <w:rsid w:val="006C1898"/>
    <w:rsid w:val="006C1B48"/>
    <w:rsid w:val="006C1B7C"/>
    <w:rsid w:val="006C1B98"/>
    <w:rsid w:val="006C1C28"/>
    <w:rsid w:val="006C1CAC"/>
    <w:rsid w:val="006C1D5E"/>
    <w:rsid w:val="006C20A5"/>
    <w:rsid w:val="006C2152"/>
    <w:rsid w:val="006C21FC"/>
    <w:rsid w:val="006C221F"/>
    <w:rsid w:val="006C23BB"/>
    <w:rsid w:val="006C23F1"/>
    <w:rsid w:val="006C2542"/>
    <w:rsid w:val="006C26DE"/>
    <w:rsid w:val="006C2815"/>
    <w:rsid w:val="006C283C"/>
    <w:rsid w:val="006C29BC"/>
    <w:rsid w:val="006C29EC"/>
    <w:rsid w:val="006C2A08"/>
    <w:rsid w:val="006C2A46"/>
    <w:rsid w:val="006C2ABB"/>
    <w:rsid w:val="006C2B09"/>
    <w:rsid w:val="006C2B24"/>
    <w:rsid w:val="006C2B2A"/>
    <w:rsid w:val="006C2B7E"/>
    <w:rsid w:val="006C2B96"/>
    <w:rsid w:val="006C2C1A"/>
    <w:rsid w:val="006C2DB1"/>
    <w:rsid w:val="006C2E72"/>
    <w:rsid w:val="006C2F47"/>
    <w:rsid w:val="006C2F76"/>
    <w:rsid w:val="006C3026"/>
    <w:rsid w:val="006C30B5"/>
    <w:rsid w:val="006C3121"/>
    <w:rsid w:val="006C3138"/>
    <w:rsid w:val="006C3235"/>
    <w:rsid w:val="006C3288"/>
    <w:rsid w:val="006C33AF"/>
    <w:rsid w:val="006C34CE"/>
    <w:rsid w:val="006C3528"/>
    <w:rsid w:val="006C3576"/>
    <w:rsid w:val="006C3683"/>
    <w:rsid w:val="006C368C"/>
    <w:rsid w:val="006C36B1"/>
    <w:rsid w:val="006C3726"/>
    <w:rsid w:val="006C37BA"/>
    <w:rsid w:val="006C3823"/>
    <w:rsid w:val="006C3861"/>
    <w:rsid w:val="006C3ABA"/>
    <w:rsid w:val="006C3D61"/>
    <w:rsid w:val="006C3FDF"/>
    <w:rsid w:val="006C4062"/>
    <w:rsid w:val="006C4078"/>
    <w:rsid w:val="006C419E"/>
    <w:rsid w:val="006C42C2"/>
    <w:rsid w:val="006C431A"/>
    <w:rsid w:val="006C4442"/>
    <w:rsid w:val="006C44DE"/>
    <w:rsid w:val="006C4537"/>
    <w:rsid w:val="006C465B"/>
    <w:rsid w:val="006C4678"/>
    <w:rsid w:val="006C46DC"/>
    <w:rsid w:val="006C47EF"/>
    <w:rsid w:val="006C4807"/>
    <w:rsid w:val="006C48A3"/>
    <w:rsid w:val="006C48B2"/>
    <w:rsid w:val="006C4A1A"/>
    <w:rsid w:val="006C4B1E"/>
    <w:rsid w:val="006C4B60"/>
    <w:rsid w:val="006C4C40"/>
    <w:rsid w:val="006C4F1C"/>
    <w:rsid w:val="006C4FB2"/>
    <w:rsid w:val="006C5032"/>
    <w:rsid w:val="006C5039"/>
    <w:rsid w:val="006C5074"/>
    <w:rsid w:val="006C509D"/>
    <w:rsid w:val="006C51AD"/>
    <w:rsid w:val="006C51B8"/>
    <w:rsid w:val="006C528C"/>
    <w:rsid w:val="006C5382"/>
    <w:rsid w:val="006C55A6"/>
    <w:rsid w:val="006C561A"/>
    <w:rsid w:val="006C574B"/>
    <w:rsid w:val="006C58A3"/>
    <w:rsid w:val="006C59C3"/>
    <w:rsid w:val="006C5B47"/>
    <w:rsid w:val="006C5B71"/>
    <w:rsid w:val="006C5C02"/>
    <w:rsid w:val="006C5D9A"/>
    <w:rsid w:val="006C5DB5"/>
    <w:rsid w:val="006C5E54"/>
    <w:rsid w:val="006C5F45"/>
    <w:rsid w:val="006C6211"/>
    <w:rsid w:val="006C6279"/>
    <w:rsid w:val="006C6486"/>
    <w:rsid w:val="006C65B7"/>
    <w:rsid w:val="006C65DB"/>
    <w:rsid w:val="006C6667"/>
    <w:rsid w:val="006C6706"/>
    <w:rsid w:val="006C6723"/>
    <w:rsid w:val="006C673D"/>
    <w:rsid w:val="006C67B7"/>
    <w:rsid w:val="006C684D"/>
    <w:rsid w:val="006C6A20"/>
    <w:rsid w:val="006C6B95"/>
    <w:rsid w:val="006C6E07"/>
    <w:rsid w:val="006C6EA2"/>
    <w:rsid w:val="006C6F11"/>
    <w:rsid w:val="006C6F77"/>
    <w:rsid w:val="006C6F7C"/>
    <w:rsid w:val="006C6F8C"/>
    <w:rsid w:val="006C6FCE"/>
    <w:rsid w:val="006C6FF7"/>
    <w:rsid w:val="006C712F"/>
    <w:rsid w:val="006C7147"/>
    <w:rsid w:val="006C71B7"/>
    <w:rsid w:val="006C7296"/>
    <w:rsid w:val="006C72C3"/>
    <w:rsid w:val="006C72CA"/>
    <w:rsid w:val="006C72EF"/>
    <w:rsid w:val="006C7376"/>
    <w:rsid w:val="006C7415"/>
    <w:rsid w:val="006C7427"/>
    <w:rsid w:val="006C7457"/>
    <w:rsid w:val="006C7486"/>
    <w:rsid w:val="006C7519"/>
    <w:rsid w:val="006C757E"/>
    <w:rsid w:val="006C7672"/>
    <w:rsid w:val="006C76B9"/>
    <w:rsid w:val="006C76F6"/>
    <w:rsid w:val="006C7895"/>
    <w:rsid w:val="006C78B1"/>
    <w:rsid w:val="006C7965"/>
    <w:rsid w:val="006C7A69"/>
    <w:rsid w:val="006C7B4D"/>
    <w:rsid w:val="006C7BBC"/>
    <w:rsid w:val="006C7CDA"/>
    <w:rsid w:val="006C7DC5"/>
    <w:rsid w:val="006C7DED"/>
    <w:rsid w:val="006C7F76"/>
    <w:rsid w:val="006C7F92"/>
    <w:rsid w:val="006C7FAA"/>
    <w:rsid w:val="006D0029"/>
    <w:rsid w:val="006D002F"/>
    <w:rsid w:val="006D0165"/>
    <w:rsid w:val="006D019B"/>
    <w:rsid w:val="006D01BE"/>
    <w:rsid w:val="006D02DA"/>
    <w:rsid w:val="006D0317"/>
    <w:rsid w:val="006D0425"/>
    <w:rsid w:val="006D050F"/>
    <w:rsid w:val="006D0642"/>
    <w:rsid w:val="006D0718"/>
    <w:rsid w:val="006D0865"/>
    <w:rsid w:val="006D0868"/>
    <w:rsid w:val="006D08AB"/>
    <w:rsid w:val="006D08DF"/>
    <w:rsid w:val="006D0988"/>
    <w:rsid w:val="006D0A6D"/>
    <w:rsid w:val="006D0ADF"/>
    <w:rsid w:val="006D0B39"/>
    <w:rsid w:val="006D0B6D"/>
    <w:rsid w:val="006D0CE3"/>
    <w:rsid w:val="006D0D67"/>
    <w:rsid w:val="006D0D7A"/>
    <w:rsid w:val="006D0DBD"/>
    <w:rsid w:val="006D0E39"/>
    <w:rsid w:val="006D0E3D"/>
    <w:rsid w:val="006D0E73"/>
    <w:rsid w:val="006D0F97"/>
    <w:rsid w:val="006D0FA5"/>
    <w:rsid w:val="006D133B"/>
    <w:rsid w:val="006D1354"/>
    <w:rsid w:val="006D1392"/>
    <w:rsid w:val="006D170F"/>
    <w:rsid w:val="006D179D"/>
    <w:rsid w:val="006D17A2"/>
    <w:rsid w:val="006D18A7"/>
    <w:rsid w:val="006D1A9A"/>
    <w:rsid w:val="006D1AA1"/>
    <w:rsid w:val="006D1B55"/>
    <w:rsid w:val="006D1B86"/>
    <w:rsid w:val="006D1CE3"/>
    <w:rsid w:val="006D1E82"/>
    <w:rsid w:val="006D1F1E"/>
    <w:rsid w:val="006D2039"/>
    <w:rsid w:val="006D21F7"/>
    <w:rsid w:val="006D22F6"/>
    <w:rsid w:val="006D233C"/>
    <w:rsid w:val="006D23BB"/>
    <w:rsid w:val="006D23D9"/>
    <w:rsid w:val="006D23F0"/>
    <w:rsid w:val="006D2642"/>
    <w:rsid w:val="006D2818"/>
    <w:rsid w:val="006D2850"/>
    <w:rsid w:val="006D293F"/>
    <w:rsid w:val="006D2A04"/>
    <w:rsid w:val="006D2AB2"/>
    <w:rsid w:val="006D2CC0"/>
    <w:rsid w:val="006D2CC8"/>
    <w:rsid w:val="006D2D60"/>
    <w:rsid w:val="006D3057"/>
    <w:rsid w:val="006D3112"/>
    <w:rsid w:val="006D31A9"/>
    <w:rsid w:val="006D320E"/>
    <w:rsid w:val="006D326D"/>
    <w:rsid w:val="006D3382"/>
    <w:rsid w:val="006D33D9"/>
    <w:rsid w:val="006D344C"/>
    <w:rsid w:val="006D34CD"/>
    <w:rsid w:val="006D35A9"/>
    <w:rsid w:val="006D3751"/>
    <w:rsid w:val="006D376A"/>
    <w:rsid w:val="006D37FB"/>
    <w:rsid w:val="006D3828"/>
    <w:rsid w:val="006D38A1"/>
    <w:rsid w:val="006D38D0"/>
    <w:rsid w:val="006D39A5"/>
    <w:rsid w:val="006D3BC1"/>
    <w:rsid w:val="006D3BC2"/>
    <w:rsid w:val="006D3C3F"/>
    <w:rsid w:val="006D3C72"/>
    <w:rsid w:val="006D3DB1"/>
    <w:rsid w:val="006D3ED4"/>
    <w:rsid w:val="006D3F43"/>
    <w:rsid w:val="006D3F5D"/>
    <w:rsid w:val="006D3F7D"/>
    <w:rsid w:val="006D3FB4"/>
    <w:rsid w:val="006D3FD5"/>
    <w:rsid w:val="006D4002"/>
    <w:rsid w:val="006D40D1"/>
    <w:rsid w:val="006D419E"/>
    <w:rsid w:val="006D41D4"/>
    <w:rsid w:val="006D42D4"/>
    <w:rsid w:val="006D4323"/>
    <w:rsid w:val="006D443F"/>
    <w:rsid w:val="006D44A4"/>
    <w:rsid w:val="006D452B"/>
    <w:rsid w:val="006D45A0"/>
    <w:rsid w:val="006D45BD"/>
    <w:rsid w:val="006D4630"/>
    <w:rsid w:val="006D47D8"/>
    <w:rsid w:val="006D47E7"/>
    <w:rsid w:val="006D485F"/>
    <w:rsid w:val="006D49A6"/>
    <w:rsid w:val="006D4A01"/>
    <w:rsid w:val="006D4B62"/>
    <w:rsid w:val="006D4B92"/>
    <w:rsid w:val="006D4C5E"/>
    <w:rsid w:val="006D4CC3"/>
    <w:rsid w:val="006D4F1C"/>
    <w:rsid w:val="006D5012"/>
    <w:rsid w:val="006D5112"/>
    <w:rsid w:val="006D520D"/>
    <w:rsid w:val="006D52A0"/>
    <w:rsid w:val="006D52F1"/>
    <w:rsid w:val="006D530B"/>
    <w:rsid w:val="006D530D"/>
    <w:rsid w:val="006D544C"/>
    <w:rsid w:val="006D54B1"/>
    <w:rsid w:val="006D551A"/>
    <w:rsid w:val="006D551E"/>
    <w:rsid w:val="006D55A0"/>
    <w:rsid w:val="006D55B8"/>
    <w:rsid w:val="006D56A0"/>
    <w:rsid w:val="006D56D4"/>
    <w:rsid w:val="006D56EF"/>
    <w:rsid w:val="006D5845"/>
    <w:rsid w:val="006D58AE"/>
    <w:rsid w:val="006D58CF"/>
    <w:rsid w:val="006D58D6"/>
    <w:rsid w:val="006D59FB"/>
    <w:rsid w:val="006D5ADC"/>
    <w:rsid w:val="006D5B7A"/>
    <w:rsid w:val="006D5B9C"/>
    <w:rsid w:val="006D5BD7"/>
    <w:rsid w:val="006D5BE6"/>
    <w:rsid w:val="006D5BFB"/>
    <w:rsid w:val="006D5C9C"/>
    <w:rsid w:val="006D5CBC"/>
    <w:rsid w:val="006D5D57"/>
    <w:rsid w:val="006D5E23"/>
    <w:rsid w:val="006D5E73"/>
    <w:rsid w:val="006D5ED5"/>
    <w:rsid w:val="006D60AA"/>
    <w:rsid w:val="006D616C"/>
    <w:rsid w:val="006D61FD"/>
    <w:rsid w:val="006D622C"/>
    <w:rsid w:val="006D62A6"/>
    <w:rsid w:val="006D641F"/>
    <w:rsid w:val="006D65C4"/>
    <w:rsid w:val="006D6810"/>
    <w:rsid w:val="006D6818"/>
    <w:rsid w:val="006D68C8"/>
    <w:rsid w:val="006D69E3"/>
    <w:rsid w:val="006D6A61"/>
    <w:rsid w:val="006D6A86"/>
    <w:rsid w:val="006D6BF1"/>
    <w:rsid w:val="006D6F80"/>
    <w:rsid w:val="006D7020"/>
    <w:rsid w:val="006D70D5"/>
    <w:rsid w:val="006D7116"/>
    <w:rsid w:val="006D7242"/>
    <w:rsid w:val="006D7254"/>
    <w:rsid w:val="006D7343"/>
    <w:rsid w:val="006D73F5"/>
    <w:rsid w:val="006D741D"/>
    <w:rsid w:val="006D761C"/>
    <w:rsid w:val="006D763E"/>
    <w:rsid w:val="006D780A"/>
    <w:rsid w:val="006D782C"/>
    <w:rsid w:val="006D7858"/>
    <w:rsid w:val="006D7880"/>
    <w:rsid w:val="006D7905"/>
    <w:rsid w:val="006D7928"/>
    <w:rsid w:val="006D79F5"/>
    <w:rsid w:val="006D7A23"/>
    <w:rsid w:val="006D7AF0"/>
    <w:rsid w:val="006D7B2B"/>
    <w:rsid w:val="006D7D75"/>
    <w:rsid w:val="006D7D81"/>
    <w:rsid w:val="006D7D99"/>
    <w:rsid w:val="006D7E0A"/>
    <w:rsid w:val="006D7F03"/>
    <w:rsid w:val="006E010B"/>
    <w:rsid w:val="006E01BF"/>
    <w:rsid w:val="006E038A"/>
    <w:rsid w:val="006E038E"/>
    <w:rsid w:val="006E04C8"/>
    <w:rsid w:val="006E057F"/>
    <w:rsid w:val="006E05BC"/>
    <w:rsid w:val="006E05D7"/>
    <w:rsid w:val="006E0635"/>
    <w:rsid w:val="006E0673"/>
    <w:rsid w:val="006E0686"/>
    <w:rsid w:val="006E0730"/>
    <w:rsid w:val="006E077F"/>
    <w:rsid w:val="006E0A1E"/>
    <w:rsid w:val="006E0AF5"/>
    <w:rsid w:val="006E0C30"/>
    <w:rsid w:val="006E0CDC"/>
    <w:rsid w:val="006E0D30"/>
    <w:rsid w:val="006E0D97"/>
    <w:rsid w:val="006E0DA7"/>
    <w:rsid w:val="006E0E82"/>
    <w:rsid w:val="006E0F70"/>
    <w:rsid w:val="006E10A4"/>
    <w:rsid w:val="006E11A1"/>
    <w:rsid w:val="006E122C"/>
    <w:rsid w:val="006E133D"/>
    <w:rsid w:val="006E13C7"/>
    <w:rsid w:val="006E142F"/>
    <w:rsid w:val="006E1518"/>
    <w:rsid w:val="006E153F"/>
    <w:rsid w:val="006E1595"/>
    <w:rsid w:val="006E1624"/>
    <w:rsid w:val="006E166E"/>
    <w:rsid w:val="006E16AF"/>
    <w:rsid w:val="006E1795"/>
    <w:rsid w:val="006E18F2"/>
    <w:rsid w:val="006E190A"/>
    <w:rsid w:val="006E1940"/>
    <w:rsid w:val="006E1A05"/>
    <w:rsid w:val="006E1A9B"/>
    <w:rsid w:val="006E1AE6"/>
    <w:rsid w:val="006E1C09"/>
    <w:rsid w:val="006E1C49"/>
    <w:rsid w:val="006E1C76"/>
    <w:rsid w:val="006E1C7A"/>
    <w:rsid w:val="006E1C89"/>
    <w:rsid w:val="006E1CC8"/>
    <w:rsid w:val="006E1E0A"/>
    <w:rsid w:val="006E1ED0"/>
    <w:rsid w:val="006E1F2C"/>
    <w:rsid w:val="006E1F7C"/>
    <w:rsid w:val="006E1FBB"/>
    <w:rsid w:val="006E1FC1"/>
    <w:rsid w:val="006E1FCE"/>
    <w:rsid w:val="006E2002"/>
    <w:rsid w:val="006E2109"/>
    <w:rsid w:val="006E211D"/>
    <w:rsid w:val="006E2168"/>
    <w:rsid w:val="006E2197"/>
    <w:rsid w:val="006E21BF"/>
    <w:rsid w:val="006E2258"/>
    <w:rsid w:val="006E22C2"/>
    <w:rsid w:val="006E232D"/>
    <w:rsid w:val="006E23A5"/>
    <w:rsid w:val="006E24B2"/>
    <w:rsid w:val="006E24DE"/>
    <w:rsid w:val="006E2516"/>
    <w:rsid w:val="006E25BC"/>
    <w:rsid w:val="006E2709"/>
    <w:rsid w:val="006E270B"/>
    <w:rsid w:val="006E274E"/>
    <w:rsid w:val="006E2813"/>
    <w:rsid w:val="006E28B7"/>
    <w:rsid w:val="006E2B07"/>
    <w:rsid w:val="006E2C8E"/>
    <w:rsid w:val="006E2CA0"/>
    <w:rsid w:val="006E2D9C"/>
    <w:rsid w:val="006E2DD5"/>
    <w:rsid w:val="006E3395"/>
    <w:rsid w:val="006E33BB"/>
    <w:rsid w:val="006E347B"/>
    <w:rsid w:val="006E35A8"/>
    <w:rsid w:val="006E35C7"/>
    <w:rsid w:val="006E369A"/>
    <w:rsid w:val="006E3829"/>
    <w:rsid w:val="006E38A8"/>
    <w:rsid w:val="006E3913"/>
    <w:rsid w:val="006E3922"/>
    <w:rsid w:val="006E394E"/>
    <w:rsid w:val="006E3A0D"/>
    <w:rsid w:val="006E3B9C"/>
    <w:rsid w:val="006E3E66"/>
    <w:rsid w:val="006E3EB6"/>
    <w:rsid w:val="006E3F44"/>
    <w:rsid w:val="006E3F71"/>
    <w:rsid w:val="006E4053"/>
    <w:rsid w:val="006E40F7"/>
    <w:rsid w:val="006E411F"/>
    <w:rsid w:val="006E4178"/>
    <w:rsid w:val="006E4317"/>
    <w:rsid w:val="006E43A4"/>
    <w:rsid w:val="006E446C"/>
    <w:rsid w:val="006E4534"/>
    <w:rsid w:val="006E45BC"/>
    <w:rsid w:val="006E4645"/>
    <w:rsid w:val="006E46F3"/>
    <w:rsid w:val="006E4929"/>
    <w:rsid w:val="006E4A57"/>
    <w:rsid w:val="006E4C99"/>
    <w:rsid w:val="006E4D73"/>
    <w:rsid w:val="006E4D81"/>
    <w:rsid w:val="006E4E19"/>
    <w:rsid w:val="006E4E42"/>
    <w:rsid w:val="006E4EF4"/>
    <w:rsid w:val="006E4F46"/>
    <w:rsid w:val="006E4FDF"/>
    <w:rsid w:val="006E50D8"/>
    <w:rsid w:val="006E53E2"/>
    <w:rsid w:val="006E54AB"/>
    <w:rsid w:val="006E55D4"/>
    <w:rsid w:val="006E5703"/>
    <w:rsid w:val="006E5C4C"/>
    <w:rsid w:val="006E5CA8"/>
    <w:rsid w:val="006E5DB0"/>
    <w:rsid w:val="006E6037"/>
    <w:rsid w:val="006E62AA"/>
    <w:rsid w:val="006E6373"/>
    <w:rsid w:val="006E6459"/>
    <w:rsid w:val="006E64DC"/>
    <w:rsid w:val="006E6532"/>
    <w:rsid w:val="006E65AC"/>
    <w:rsid w:val="006E663A"/>
    <w:rsid w:val="006E6673"/>
    <w:rsid w:val="006E66BB"/>
    <w:rsid w:val="006E66F6"/>
    <w:rsid w:val="006E6817"/>
    <w:rsid w:val="006E6831"/>
    <w:rsid w:val="006E685F"/>
    <w:rsid w:val="006E69C5"/>
    <w:rsid w:val="006E6D4E"/>
    <w:rsid w:val="006E6E05"/>
    <w:rsid w:val="006E6E66"/>
    <w:rsid w:val="006E6F7D"/>
    <w:rsid w:val="006E70DD"/>
    <w:rsid w:val="006E716B"/>
    <w:rsid w:val="006E7292"/>
    <w:rsid w:val="006E730B"/>
    <w:rsid w:val="006E7319"/>
    <w:rsid w:val="006E7467"/>
    <w:rsid w:val="006E749D"/>
    <w:rsid w:val="006E74BE"/>
    <w:rsid w:val="006E75B7"/>
    <w:rsid w:val="006E762D"/>
    <w:rsid w:val="006E7714"/>
    <w:rsid w:val="006E780B"/>
    <w:rsid w:val="006E7814"/>
    <w:rsid w:val="006E79C7"/>
    <w:rsid w:val="006E7B10"/>
    <w:rsid w:val="006E7B34"/>
    <w:rsid w:val="006E7BAD"/>
    <w:rsid w:val="006E7E5B"/>
    <w:rsid w:val="006E7ED0"/>
    <w:rsid w:val="006F003E"/>
    <w:rsid w:val="006F00A0"/>
    <w:rsid w:val="006F019A"/>
    <w:rsid w:val="006F0250"/>
    <w:rsid w:val="006F0259"/>
    <w:rsid w:val="006F048A"/>
    <w:rsid w:val="006F05F5"/>
    <w:rsid w:val="006F0690"/>
    <w:rsid w:val="006F06E2"/>
    <w:rsid w:val="006F06EB"/>
    <w:rsid w:val="006F082B"/>
    <w:rsid w:val="006F08EF"/>
    <w:rsid w:val="006F0A68"/>
    <w:rsid w:val="006F0B33"/>
    <w:rsid w:val="006F0B7F"/>
    <w:rsid w:val="006F0C4C"/>
    <w:rsid w:val="006F0E8E"/>
    <w:rsid w:val="006F0F84"/>
    <w:rsid w:val="006F0FB7"/>
    <w:rsid w:val="006F0FCA"/>
    <w:rsid w:val="006F102E"/>
    <w:rsid w:val="006F1281"/>
    <w:rsid w:val="006F1491"/>
    <w:rsid w:val="006F154D"/>
    <w:rsid w:val="006F1834"/>
    <w:rsid w:val="006F18D7"/>
    <w:rsid w:val="006F1911"/>
    <w:rsid w:val="006F1A68"/>
    <w:rsid w:val="006F1DB7"/>
    <w:rsid w:val="006F1F61"/>
    <w:rsid w:val="006F1FF7"/>
    <w:rsid w:val="006F21D2"/>
    <w:rsid w:val="006F239C"/>
    <w:rsid w:val="006F23A0"/>
    <w:rsid w:val="006F2446"/>
    <w:rsid w:val="006F2520"/>
    <w:rsid w:val="006F25E1"/>
    <w:rsid w:val="006F2794"/>
    <w:rsid w:val="006F27E0"/>
    <w:rsid w:val="006F284C"/>
    <w:rsid w:val="006F2871"/>
    <w:rsid w:val="006F28A7"/>
    <w:rsid w:val="006F28AF"/>
    <w:rsid w:val="006F2915"/>
    <w:rsid w:val="006F2942"/>
    <w:rsid w:val="006F2994"/>
    <w:rsid w:val="006F2D04"/>
    <w:rsid w:val="006F2D10"/>
    <w:rsid w:val="006F2D2A"/>
    <w:rsid w:val="006F2D63"/>
    <w:rsid w:val="006F2F62"/>
    <w:rsid w:val="006F3000"/>
    <w:rsid w:val="006F3005"/>
    <w:rsid w:val="006F3010"/>
    <w:rsid w:val="006F3053"/>
    <w:rsid w:val="006F3073"/>
    <w:rsid w:val="006F30CE"/>
    <w:rsid w:val="006F30F1"/>
    <w:rsid w:val="006F3105"/>
    <w:rsid w:val="006F319A"/>
    <w:rsid w:val="006F323B"/>
    <w:rsid w:val="006F3267"/>
    <w:rsid w:val="006F32C7"/>
    <w:rsid w:val="006F32D8"/>
    <w:rsid w:val="006F3320"/>
    <w:rsid w:val="006F340D"/>
    <w:rsid w:val="006F3465"/>
    <w:rsid w:val="006F3506"/>
    <w:rsid w:val="006F3515"/>
    <w:rsid w:val="006F3613"/>
    <w:rsid w:val="006F3666"/>
    <w:rsid w:val="006F36F7"/>
    <w:rsid w:val="006F375C"/>
    <w:rsid w:val="006F39B6"/>
    <w:rsid w:val="006F3A4B"/>
    <w:rsid w:val="006F3AB6"/>
    <w:rsid w:val="006F3B0E"/>
    <w:rsid w:val="006F3B24"/>
    <w:rsid w:val="006F3B46"/>
    <w:rsid w:val="006F3B69"/>
    <w:rsid w:val="006F3C1E"/>
    <w:rsid w:val="006F3C21"/>
    <w:rsid w:val="006F3C35"/>
    <w:rsid w:val="006F3D1D"/>
    <w:rsid w:val="006F3D71"/>
    <w:rsid w:val="006F3D83"/>
    <w:rsid w:val="006F3FAE"/>
    <w:rsid w:val="006F4030"/>
    <w:rsid w:val="006F4192"/>
    <w:rsid w:val="006F4289"/>
    <w:rsid w:val="006F4456"/>
    <w:rsid w:val="006F4593"/>
    <w:rsid w:val="006F45DD"/>
    <w:rsid w:val="006F4615"/>
    <w:rsid w:val="006F466F"/>
    <w:rsid w:val="006F4750"/>
    <w:rsid w:val="006F4924"/>
    <w:rsid w:val="006F494D"/>
    <w:rsid w:val="006F494E"/>
    <w:rsid w:val="006F4974"/>
    <w:rsid w:val="006F4A38"/>
    <w:rsid w:val="006F4B70"/>
    <w:rsid w:val="006F4C32"/>
    <w:rsid w:val="006F4CFE"/>
    <w:rsid w:val="006F4D2D"/>
    <w:rsid w:val="006F4EC1"/>
    <w:rsid w:val="006F4F08"/>
    <w:rsid w:val="006F501B"/>
    <w:rsid w:val="006F5112"/>
    <w:rsid w:val="006F52B7"/>
    <w:rsid w:val="006F52D2"/>
    <w:rsid w:val="006F5356"/>
    <w:rsid w:val="006F5506"/>
    <w:rsid w:val="006F56B5"/>
    <w:rsid w:val="006F5786"/>
    <w:rsid w:val="006F5806"/>
    <w:rsid w:val="006F58A0"/>
    <w:rsid w:val="006F58B7"/>
    <w:rsid w:val="006F58F2"/>
    <w:rsid w:val="006F5A8A"/>
    <w:rsid w:val="006F5BE2"/>
    <w:rsid w:val="006F5C89"/>
    <w:rsid w:val="006F5C8D"/>
    <w:rsid w:val="006F5D13"/>
    <w:rsid w:val="006F5D22"/>
    <w:rsid w:val="006F5F2B"/>
    <w:rsid w:val="006F62EE"/>
    <w:rsid w:val="006F643E"/>
    <w:rsid w:val="006F6585"/>
    <w:rsid w:val="006F67CA"/>
    <w:rsid w:val="006F68AA"/>
    <w:rsid w:val="006F694E"/>
    <w:rsid w:val="006F69B4"/>
    <w:rsid w:val="006F6B0F"/>
    <w:rsid w:val="006F6B40"/>
    <w:rsid w:val="006F6B44"/>
    <w:rsid w:val="006F6D17"/>
    <w:rsid w:val="006F6E60"/>
    <w:rsid w:val="006F6EE5"/>
    <w:rsid w:val="006F6F37"/>
    <w:rsid w:val="006F6F8A"/>
    <w:rsid w:val="006F7019"/>
    <w:rsid w:val="006F70E3"/>
    <w:rsid w:val="006F71A8"/>
    <w:rsid w:val="006F71BD"/>
    <w:rsid w:val="006F7230"/>
    <w:rsid w:val="006F72BF"/>
    <w:rsid w:val="006F73E1"/>
    <w:rsid w:val="006F7446"/>
    <w:rsid w:val="006F745B"/>
    <w:rsid w:val="006F755B"/>
    <w:rsid w:val="006F7640"/>
    <w:rsid w:val="006F7643"/>
    <w:rsid w:val="006F7730"/>
    <w:rsid w:val="006F7740"/>
    <w:rsid w:val="006F7807"/>
    <w:rsid w:val="006F7909"/>
    <w:rsid w:val="006F7940"/>
    <w:rsid w:val="006F79B6"/>
    <w:rsid w:val="006F7A6A"/>
    <w:rsid w:val="006F7A76"/>
    <w:rsid w:val="006F7AAF"/>
    <w:rsid w:val="006F7AF6"/>
    <w:rsid w:val="006F7B5B"/>
    <w:rsid w:val="006F7C28"/>
    <w:rsid w:val="006F7D48"/>
    <w:rsid w:val="006F7ECF"/>
    <w:rsid w:val="006F7F2C"/>
    <w:rsid w:val="006F7F31"/>
    <w:rsid w:val="006F7F79"/>
    <w:rsid w:val="007000D0"/>
    <w:rsid w:val="00700119"/>
    <w:rsid w:val="00700133"/>
    <w:rsid w:val="00700246"/>
    <w:rsid w:val="00700374"/>
    <w:rsid w:val="0070038E"/>
    <w:rsid w:val="0070040A"/>
    <w:rsid w:val="00700623"/>
    <w:rsid w:val="00700776"/>
    <w:rsid w:val="007007F8"/>
    <w:rsid w:val="0070081C"/>
    <w:rsid w:val="00700825"/>
    <w:rsid w:val="0070085E"/>
    <w:rsid w:val="007008A6"/>
    <w:rsid w:val="00700981"/>
    <w:rsid w:val="00700AB5"/>
    <w:rsid w:val="00700B42"/>
    <w:rsid w:val="00700BEE"/>
    <w:rsid w:val="00700CD1"/>
    <w:rsid w:val="00700E50"/>
    <w:rsid w:val="00700E9E"/>
    <w:rsid w:val="00700EEC"/>
    <w:rsid w:val="00700F5B"/>
    <w:rsid w:val="00700F5C"/>
    <w:rsid w:val="00700F86"/>
    <w:rsid w:val="00700FE8"/>
    <w:rsid w:val="007010BA"/>
    <w:rsid w:val="00701115"/>
    <w:rsid w:val="007011E9"/>
    <w:rsid w:val="007012D7"/>
    <w:rsid w:val="0070135B"/>
    <w:rsid w:val="007013ED"/>
    <w:rsid w:val="00701544"/>
    <w:rsid w:val="0070163A"/>
    <w:rsid w:val="00701645"/>
    <w:rsid w:val="0070164D"/>
    <w:rsid w:val="007017A7"/>
    <w:rsid w:val="007017D3"/>
    <w:rsid w:val="00701822"/>
    <w:rsid w:val="0070188C"/>
    <w:rsid w:val="007018C6"/>
    <w:rsid w:val="007018EF"/>
    <w:rsid w:val="007018FF"/>
    <w:rsid w:val="007019A8"/>
    <w:rsid w:val="00701B39"/>
    <w:rsid w:val="00701B9F"/>
    <w:rsid w:val="00701CAA"/>
    <w:rsid w:val="00701D30"/>
    <w:rsid w:val="00701DEB"/>
    <w:rsid w:val="00701DFB"/>
    <w:rsid w:val="00702093"/>
    <w:rsid w:val="007020DE"/>
    <w:rsid w:val="00702145"/>
    <w:rsid w:val="00702205"/>
    <w:rsid w:val="007023DD"/>
    <w:rsid w:val="00702496"/>
    <w:rsid w:val="00702519"/>
    <w:rsid w:val="00702633"/>
    <w:rsid w:val="007026A9"/>
    <w:rsid w:val="00702795"/>
    <w:rsid w:val="007027A1"/>
    <w:rsid w:val="00702990"/>
    <w:rsid w:val="00702A32"/>
    <w:rsid w:val="00702A38"/>
    <w:rsid w:val="00702AA3"/>
    <w:rsid w:val="00702AC9"/>
    <w:rsid w:val="00702C49"/>
    <w:rsid w:val="00702D09"/>
    <w:rsid w:val="00702D67"/>
    <w:rsid w:val="00702DAF"/>
    <w:rsid w:val="00702EE4"/>
    <w:rsid w:val="00702FE4"/>
    <w:rsid w:val="0070304A"/>
    <w:rsid w:val="007032FB"/>
    <w:rsid w:val="00703394"/>
    <w:rsid w:val="007033F0"/>
    <w:rsid w:val="00703438"/>
    <w:rsid w:val="0070348D"/>
    <w:rsid w:val="0070357A"/>
    <w:rsid w:val="007036C7"/>
    <w:rsid w:val="007037AB"/>
    <w:rsid w:val="007037EC"/>
    <w:rsid w:val="00703908"/>
    <w:rsid w:val="00703949"/>
    <w:rsid w:val="00703B91"/>
    <w:rsid w:val="00703C02"/>
    <w:rsid w:val="00703C0D"/>
    <w:rsid w:val="00703C8B"/>
    <w:rsid w:val="00703D5A"/>
    <w:rsid w:val="00703F1B"/>
    <w:rsid w:val="00704156"/>
    <w:rsid w:val="00704220"/>
    <w:rsid w:val="00704262"/>
    <w:rsid w:val="007042DE"/>
    <w:rsid w:val="0070430F"/>
    <w:rsid w:val="007043AB"/>
    <w:rsid w:val="007043D5"/>
    <w:rsid w:val="007044D6"/>
    <w:rsid w:val="0070456B"/>
    <w:rsid w:val="007045A4"/>
    <w:rsid w:val="0070463C"/>
    <w:rsid w:val="007046E6"/>
    <w:rsid w:val="00704813"/>
    <w:rsid w:val="0070482E"/>
    <w:rsid w:val="007048D5"/>
    <w:rsid w:val="007048E7"/>
    <w:rsid w:val="007049C7"/>
    <w:rsid w:val="007049E4"/>
    <w:rsid w:val="007049F0"/>
    <w:rsid w:val="00704B96"/>
    <w:rsid w:val="00704E89"/>
    <w:rsid w:val="00704EFE"/>
    <w:rsid w:val="00704F50"/>
    <w:rsid w:val="00704F9F"/>
    <w:rsid w:val="0070506A"/>
    <w:rsid w:val="007050AE"/>
    <w:rsid w:val="007051A0"/>
    <w:rsid w:val="00705319"/>
    <w:rsid w:val="007053B3"/>
    <w:rsid w:val="0070548C"/>
    <w:rsid w:val="007054DD"/>
    <w:rsid w:val="00705545"/>
    <w:rsid w:val="00705582"/>
    <w:rsid w:val="00705596"/>
    <w:rsid w:val="00705597"/>
    <w:rsid w:val="007056B8"/>
    <w:rsid w:val="00705789"/>
    <w:rsid w:val="00705795"/>
    <w:rsid w:val="0070579B"/>
    <w:rsid w:val="0070589E"/>
    <w:rsid w:val="007059A3"/>
    <w:rsid w:val="00705AF3"/>
    <w:rsid w:val="00705B49"/>
    <w:rsid w:val="00705E9A"/>
    <w:rsid w:val="00705F71"/>
    <w:rsid w:val="00705FB1"/>
    <w:rsid w:val="007060F2"/>
    <w:rsid w:val="007061B8"/>
    <w:rsid w:val="007061ED"/>
    <w:rsid w:val="0070629E"/>
    <w:rsid w:val="007062FE"/>
    <w:rsid w:val="007063CD"/>
    <w:rsid w:val="007064B1"/>
    <w:rsid w:val="0070678C"/>
    <w:rsid w:val="0070687E"/>
    <w:rsid w:val="007068C4"/>
    <w:rsid w:val="007069CD"/>
    <w:rsid w:val="007069EF"/>
    <w:rsid w:val="00706A18"/>
    <w:rsid w:val="00706D4D"/>
    <w:rsid w:val="00706DD0"/>
    <w:rsid w:val="00706E25"/>
    <w:rsid w:val="00706F1E"/>
    <w:rsid w:val="00706FB5"/>
    <w:rsid w:val="00707013"/>
    <w:rsid w:val="00707177"/>
    <w:rsid w:val="00707431"/>
    <w:rsid w:val="007075DC"/>
    <w:rsid w:val="00707679"/>
    <w:rsid w:val="0070784A"/>
    <w:rsid w:val="007078EB"/>
    <w:rsid w:val="0070793E"/>
    <w:rsid w:val="00707950"/>
    <w:rsid w:val="00707A64"/>
    <w:rsid w:val="00707B7C"/>
    <w:rsid w:val="00707E5D"/>
    <w:rsid w:val="00707FD1"/>
    <w:rsid w:val="0071019A"/>
    <w:rsid w:val="007101C8"/>
    <w:rsid w:val="007101D7"/>
    <w:rsid w:val="00710244"/>
    <w:rsid w:val="00710286"/>
    <w:rsid w:val="007102F4"/>
    <w:rsid w:val="0071043C"/>
    <w:rsid w:val="007104A1"/>
    <w:rsid w:val="007104DA"/>
    <w:rsid w:val="007106F5"/>
    <w:rsid w:val="00710762"/>
    <w:rsid w:val="0071077C"/>
    <w:rsid w:val="007107E0"/>
    <w:rsid w:val="007108C1"/>
    <w:rsid w:val="0071099A"/>
    <w:rsid w:val="007109AF"/>
    <w:rsid w:val="00710AB9"/>
    <w:rsid w:val="00710B3C"/>
    <w:rsid w:val="00710B86"/>
    <w:rsid w:val="00710C04"/>
    <w:rsid w:val="00710D7C"/>
    <w:rsid w:val="00710E6F"/>
    <w:rsid w:val="00710E83"/>
    <w:rsid w:val="00710F5D"/>
    <w:rsid w:val="0071112F"/>
    <w:rsid w:val="00711290"/>
    <w:rsid w:val="007112E0"/>
    <w:rsid w:val="007113C4"/>
    <w:rsid w:val="0071153A"/>
    <w:rsid w:val="007116DB"/>
    <w:rsid w:val="00711874"/>
    <w:rsid w:val="00711926"/>
    <w:rsid w:val="00711962"/>
    <w:rsid w:val="00711A98"/>
    <w:rsid w:val="00711B13"/>
    <w:rsid w:val="00711B84"/>
    <w:rsid w:val="00711BBC"/>
    <w:rsid w:val="00711D9A"/>
    <w:rsid w:val="00711DC4"/>
    <w:rsid w:val="00711DDA"/>
    <w:rsid w:val="00711F86"/>
    <w:rsid w:val="00711FD1"/>
    <w:rsid w:val="00711FF0"/>
    <w:rsid w:val="0071206B"/>
    <w:rsid w:val="0071214C"/>
    <w:rsid w:val="0071221E"/>
    <w:rsid w:val="00712225"/>
    <w:rsid w:val="007122C0"/>
    <w:rsid w:val="0071238B"/>
    <w:rsid w:val="0071239E"/>
    <w:rsid w:val="007123E9"/>
    <w:rsid w:val="0071241A"/>
    <w:rsid w:val="007124DC"/>
    <w:rsid w:val="007124F9"/>
    <w:rsid w:val="007124FC"/>
    <w:rsid w:val="00712561"/>
    <w:rsid w:val="0071272E"/>
    <w:rsid w:val="0071275E"/>
    <w:rsid w:val="0071284A"/>
    <w:rsid w:val="007128C5"/>
    <w:rsid w:val="007128E4"/>
    <w:rsid w:val="00712A5E"/>
    <w:rsid w:val="00712AB1"/>
    <w:rsid w:val="00712C90"/>
    <w:rsid w:val="00712CBA"/>
    <w:rsid w:val="00712F31"/>
    <w:rsid w:val="00712F69"/>
    <w:rsid w:val="00712F85"/>
    <w:rsid w:val="00712FA2"/>
    <w:rsid w:val="00712FF4"/>
    <w:rsid w:val="0071305E"/>
    <w:rsid w:val="0071313A"/>
    <w:rsid w:val="007132D7"/>
    <w:rsid w:val="0071333A"/>
    <w:rsid w:val="00713413"/>
    <w:rsid w:val="007135B0"/>
    <w:rsid w:val="0071365C"/>
    <w:rsid w:val="00713679"/>
    <w:rsid w:val="00713689"/>
    <w:rsid w:val="007137B5"/>
    <w:rsid w:val="007139B8"/>
    <w:rsid w:val="007139D3"/>
    <w:rsid w:val="00713B22"/>
    <w:rsid w:val="00713B2F"/>
    <w:rsid w:val="00713BB0"/>
    <w:rsid w:val="00713BD9"/>
    <w:rsid w:val="00713CC7"/>
    <w:rsid w:val="00713DC9"/>
    <w:rsid w:val="00713EF4"/>
    <w:rsid w:val="00713F94"/>
    <w:rsid w:val="007140E6"/>
    <w:rsid w:val="0071415F"/>
    <w:rsid w:val="00714236"/>
    <w:rsid w:val="0071424E"/>
    <w:rsid w:val="0071439D"/>
    <w:rsid w:val="0071445F"/>
    <w:rsid w:val="007144AA"/>
    <w:rsid w:val="007146F3"/>
    <w:rsid w:val="007149F0"/>
    <w:rsid w:val="00714A35"/>
    <w:rsid w:val="00714B3D"/>
    <w:rsid w:val="00714C14"/>
    <w:rsid w:val="00714C2E"/>
    <w:rsid w:val="00714CF7"/>
    <w:rsid w:val="00714D26"/>
    <w:rsid w:val="00714D4D"/>
    <w:rsid w:val="00714DBE"/>
    <w:rsid w:val="00714E42"/>
    <w:rsid w:val="00714F4E"/>
    <w:rsid w:val="00714FEC"/>
    <w:rsid w:val="00715171"/>
    <w:rsid w:val="00715181"/>
    <w:rsid w:val="0071525E"/>
    <w:rsid w:val="007152FE"/>
    <w:rsid w:val="007153FF"/>
    <w:rsid w:val="00715517"/>
    <w:rsid w:val="007156CF"/>
    <w:rsid w:val="00715A54"/>
    <w:rsid w:val="00715A7B"/>
    <w:rsid w:val="00715B5F"/>
    <w:rsid w:val="00715BE5"/>
    <w:rsid w:val="00715C46"/>
    <w:rsid w:val="00715C66"/>
    <w:rsid w:val="00715C89"/>
    <w:rsid w:val="00715C98"/>
    <w:rsid w:val="00715EA0"/>
    <w:rsid w:val="00715EAF"/>
    <w:rsid w:val="00715F59"/>
    <w:rsid w:val="00715F65"/>
    <w:rsid w:val="007161C9"/>
    <w:rsid w:val="007163C9"/>
    <w:rsid w:val="00716646"/>
    <w:rsid w:val="00716662"/>
    <w:rsid w:val="00716717"/>
    <w:rsid w:val="007167AD"/>
    <w:rsid w:val="007168BC"/>
    <w:rsid w:val="0071692A"/>
    <w:rsid w:val="007169CC"/>
    <w:rsid w:val="00716B5C"/>
    <w:rsid w:val="00716BF9"/>
    <w:rsid w:val="00716D05"/>
    <w:rsid w:val="00716E7D"/>
    <w:rsid w:val="00716EAC"/>
    <w:rsid w:val="00716FCC"/>
    <w:rsid w:val="00717067"/>
    <w:rsid w:val="00717099"/>
    <w:rsid w:val="00717143"/>
    <w:rsid w:val="00717269"/>
    <w:rsid w:val="007172F6"/>
    <w:rsid w:val="00717493"/>
    <w:rsid w:val="007175D8"/>
    <w:rsid w:val="00717726"/>
    <w:rsid w:val="0071772B"/>
    <w:rsid w:val="0071774B"/>
    <w:rsid w:val="0071777F"/>
    <w:rsid w:val="00717811"/>
    <w:rsid w:val="00717A73"/>
    <w:rsid w:val="00717AA6"/>
    <w:rsid w:val="00717AB1"/>
    <w:rsid w:val="00717B06"/>
    <w:rsid w:val="00717B78"/>
    <w:rsid w:val="00717B7B"/>
    <w:rsid w:val="00717BEC"/>
    <w:rsid w:val="00717C1C"/>
    <w:rsid w:val="00717CCA"/>
    <w:rsid w:val="00717E3B"/>
    <w:rsid w:val="00717E5A"/>
    <w:rsid w:val="00717E74"/>
    <w:rsid w:val="00720040"/>
    <w:rsid w:val="00720135"/>
    <w:rsid w:val="0072024D"/>
    <w:rsid w:val="007202AB"/>
    <w:rsid w:val="00720371"/>
    <w:rsid w:val="00720397"/>
    <w:rsid w:val="007203DA"/>
    <w:rsid w:val="00720485"/>
    <w:rsid w:val="007204E6"/>
    <w:rsid w:val="0072059A"/>
    <w:rsid w:val="007205FE"/>
    <w:rsid w:val="00720622"/>
    <w:rsid w:val="0072065F"/>
    <w:rsid w:val="007206BE"/>
    <w:rsid w:val="007206E3"/>
    <w:rsid w:val="00720723"/>
    <w:rsid w:val="007207AD"/>
    <w:rsid w:val="00720812"/>
    <w:rsid w:val="00720868"/>
    <w:rsid w:val="007208D7"/>
    <w:rsid w:val="00720983"/>
    <w:rsid w:val="00720ACA"/>
    <w:rsid w:val="00720B95"/>
    <w:rsid w:val="00720CFC"/>
    <w:rsid w:val="00720D11"/>
    <w:rsid w:val="00720D62"/>
    <w:rsid w:val="00721052"/>
    <w:rsid w:val="007210FE"/>
    <w:rsid w:val="0072112D"/>
    <w:rsid w:val="00721197"/>
    <w:rsid w:val="00721254"/>
    <w:rsid w:val="00721265"/>
    <w:rsid w:val="007213E4"/>
    <w:rsid w:val="00721427"/>
    <w:rsid w:val="0072144F"/>
    <w:rsid w:val="00721568"/>
    <w:rsid w:val="0072159E"/>
    <w:rsid w:val="00721671"/>
    <w:rsid w:val="007217E4"/>
    <w:rsid w:val="00721809"/>
    <w:rsid w:val="00721899"/>
    <w:rsid w:val="00721990"/>
    <w:rsid w:val="00721A3B"/>
    <w:rsid w:val="00721A48"/>
    <w:rsid w:val="00721B14"/>
    <w:rsid w:val="00721B8E"/>
    <w:rsid w:val="00721DDF"/>
    <w:rsid w:val="00721EB8"/>
    <w:rsid w:val="00721EFB"/>
    <w:rsid w:val="007221A4"/>
    <w:rsid w:val="007221F1"/>
    <w:rsid w:val="00722351"/>
    <w:rsid w:val="0072244E"/>
    <w:rsid w:val="007224C4"/>
    <w:rsid w:val="0072250B"/>
    <w:rsid w:val="007226E0"/>
    <w:rsid w:val="0072279C"/>
    <w:rsid w:val="007227AC"/>
    <w:rsid w:val="0072281F"/>
    <w:rsid w:val="00722835"/>
    <w:rsid w:val="00722919"/>
    <w:rsid w:val="00722945"/>
    <w:rsid w:val="00722A8D"/>
    <w:rsid w:val="00722B8B"/>
    <w:rsid w:val="00722C72"/>
    <w:rsid w:val="00722D5C"/>
    <w:rsid w:val="00722EB0"/>
    <w:rsid w:val="00722FE9"/>
    <w:rsid w:val="00723429"/>
    <w:rsid w:val="00723490"/>
    <w:rsid w:val="007234E6"/>
    <w:rsid w:val="0072362A"/>
    <w:rsid w:val="007236D1"/>
    <w:rsid w:val="00723785"/>
    <w:rsid w:val="00723814"/>
    <w:rsid w:val="007238BF"/>
    <w:rsid w:val="00723950"/>
    <w:rsid w:val="00723A00"/>
    <w:rsid w:val="00723A47"/>
    <w:rsid w:val="00723A6F"/>
    <w:rsid w:val="00723AE7"/>
    <w:rsid w:val="00723B57"/>
    <w:rsid w:val="00723BCD"/>
    <w:rsid w:val="00723D8E"/>
    <w:rsid w:val="00723DDF"/>
    <w:rsid w:val="00723E6D"/>
    <w:rsid w:val="0072406B"/>
    <w:rsid w:val="007240DB"/>
    <w:rsid w:val="00724113"/>
    <w:rsid w:val="00724171"/>
    <w:rsid w:val="00724274"/>
    <w:rsid w:val="00724279"/>
    <w:rsid w:val="00724311"/>
    <w:rsid w:val="00724343"/>
    <w:rsid w:val="0072435C"/>
    <w:rsid w:val="0072460D"/>
    <w:rsid w:val="00724A15"/>
    <w:rsid w:val="00724A95"/>
    <w:rsid w:val="00724BCE"/>
    <w:rsid w:val="00724C5F"/>
    <w:rsid w:val="00724C65"/>
    <w:rsid w:val="00724D25"/>
    <w:rsid w:val="00724D4F"/>
    <w:rsid w:val="00724D63"/>
    <w:rsid w:val="00724F8D"/>
    <w:rsid w:val="00724F96"/>
    <w:rsid w:val="00724FB2"/>
    <w:rsid w:val="00724FBE"/>
    <w:rsid w:val="0072500C"/>
    <w:rsid w:val="0072507A"/>
    <w:rsid w:val="007250FF"/>
    <w:rsid w:val="0072511D"/>
    <w:rsid w:val="00725186"/>
    <w:rsid w:val="0072544D"/>
    <w:rsid w:val="0072547B"/>
    <w:rsid w:val="00725746"/>
    <w:rsid w:val="00725780"/>
    <w:rsid w:val="0072582C"/>
    <w:rsid w:val="00725847"/>
    <w:rsid w:val="007258C8"/>
    <w:rsid w:val="0072591D"/>
    <w:rsid w:val="00725A51"/>
    <w:rsid w:val="00725AF8"/>
    <w:rsid w:val="00725B70"/>
    <w:rsid w:val="00725BFE"/>
    <w:rsid w:val="00725C5A"/>
    <w:rsid w:val="00725C84"/>
    <w:rsid w:val="00725CA3"/>
    <w:rsid w:val="00725CAD"/>
    <w:rsid w:val="00725D7F"/>
    <w:rsid w:val="00725E21"/>
    <w:rsid w:val="00725E40"/>
    <w:rsid w:val="00725F2F"/>
    <w:rsid w:val="00725F55"/>
    <w:rsid w:val="00725F6A"/>
    <w:rsid w:val="00725FAB"/>
    <w:rsid w:val="0072609F"/>
    <w:rsid w:val="007264E2"/>
    <w:rsid w:val="007265B8"/>
    <w:rsid w:val="00726612"/>
    <w:rsid w:val="00726646"/>
    <w:rsid w:val="0072668D"/>
    <w:rsid w:val="00726734"/>
    <w:rsid w:val="00726839"/>
    <w:rsid w:val="00726A39"/>
    <w:rsid w:val="00726A83"/>
    <w:rsid w:val="00726AF9"/>
    <w:rsid w:val="00726BD4"/>
    <w:rsid w:val="00726BEE"/>
    <w:rsid w:val="00726E1D"/>
    <w:rsid w:val="00726E75"/>
    <w:rsid w:val="00726E82"/>
    <w:rsid w:val="00727048"/>
    <w:rsid w:val="007270BF"/>
    <w:rsid w:val="007270CE"/>
    <w:rsid w:val="00727145"/>
    <w:rsid w:val="007271BD"/>
    <w:rsid w:val="0072725F"/>
    <w:rsid w:val="007272C2"/>
    <w:rsid w:val="0072736A"/>
    <w:rsid w:val="00727379"/>
    <w:rsid w:val="007273D2"/>
    <w:rsid w:val="0072753E"/>
    <w:rsid w:val="0072768C"/>
    <w:rsid w:val="007276AA"/>
    <w:rsid w:val="00727735"/>
    <w:rsid w:val="0072778A"/>
    <w:rsid w:val="007277BC"/>
    <w:rsid w:val="007277C6"/>
    <w:rsid w:val="007277D3"/>
    <w:rsid w:val="007277F2"/>
    <w:rsid w:val="0072781F"/>
    <w:rsid w:val="00727827"/>
    <w:rsid w:val="0072782C"/>
    <w:rsid w:val="007278BB"/>
    <w:rsid w:val="00727992"/>
    <w:rsid w:val="007279EF"/>
    <w:rsid w:val="00727BE1"/>
    <w:rsid w:val="00727C10"/>
    <w:rsid w:val="00727CEC"/>
    <w:rsid w:val="00727DF9"/>
    <w:rsid w:val="00730026"/>
    <w:rsid w:val="00730097"/>
    <w:rsid w:val="00730166"/>
    <w:rsid w:val="00730219"/>
    <w:rsid w:val="00730263"/>
    <w:rsid w:val="0073040A"/>
    <w:rsid w:val="007305DE"/>
    <w:rsid w:val="00730724"/>
    <w:rsid w:val="007307A2"/>
    <w:rsid w:val="007309E1"/>
    <w:rsid w:val="00730A90"/>
    <w:rsid w:val="00730ABF"/>
    <w:rsid w:val="00730C21"/>
    <w:rsid w:val="00730C49"/>
    <w:rsid w:val="00730EE7"/>
    <w:rsid w:val="00730F29"/>
    <w:rsid w:val="00731084"/>
    <w:rsid w:val="007310A2"/>
    <w:rsid w:val="007311FC"/>
    <w:rsid w:val="00731226"/>
    <w:rsid w:val="00731247"/>
    <w:rsid w:val="007312D5"/>
    <w:rsid w:val="007312EE"/>
    <w:rsid w:val="00731327"/>
    <w:rsid w:val="007314D5"/>
    <w:rsid w:val="00731500"/>
    <w:rsid w:val="00731522"/>
    <w:rsid w:val="00731614"/>
    <w:rsid w:val="0073168F"/>
    <w:rsid w:val="0073180C"/>
    <w:rsid w:val="0073195B"/>
    <w:rsid w:val="007319F3"/>
    <w:rsid w:val="00731AA3"/>
    <w:rsid w:val="00731BAF"/>
    <w:rsid w:val="00731D23"/>
    <w:rsid w:val="00731DEE"/>
    <w:rsid w:val="00731EC0"/>
    <w:rsid w:val="00732063"/>
    <w:rsid w:val="007320C7"/>
    <w:rsid w:val="0073222B"/>
    <w:rsid w:val="007322D9"/>
    <w:rsid w:val="0073238B"/>
    <w:rsid w:val="0073261B"/>
    <w:rsid w:val="00732771"/>
    <w:rsid w:val="007327A0"/>
    <w:rsid w:val="007327CA"/>
    <w:rsid w:val="007327EA"/>
    <w:rsid w:val="007328B0"/>
    <w:rsid w:val="0073293E"/>
    <w:rsid w:val="00732B78"/>
    <w:rsid w:val="00732B81"/>
    <w:rsid w:val="00732C03"/>
    <w:rsid w:val="00732C71"/>
    <w:rsid w:val="00732D69"/>
    <w:rsid w:val="00732DBA"/>
    <w:rsid w:val="00732DF9"/>
    <w:rsid w:val="00733002"/>
    <w:rsid w:val="00733005"/>
    <w:rsid w:val="00733009"/>
    <w:rsid w:val="00733053"/>
    <w:rsid w:val="00733069"/>
    <w:rsid w:val="007330F3"/>
    <w:rsid w:val="0073313D"/>
    <w:rsid w:val="00733250"/>
    <w:rsid w:val="007332DA"/>
    <w:rsid w:val="00733616"/>
    <w:rsid w:val="00733627"/>
    <w:rsid w:val="0073363B"/>
    <w:rsid w:val="007337E8"/>
    <w:rsid w:val="00733800"/>
    <w:rsid w:val="00733997"/>
    <w:rsid w:val="00733A08"/>
    <w:rsid w:val="00733A81"/>
    <w:rsid w:val="00733A88"/>
    <w:rsid w:val="00733B16"/>
    <w:rsid w:val="00733BA3"/>
    <w:rsid w:val="00733BA6"/>
    <w:rsid w:val="00733C45"/>
    <w:rsid w:val="00733CF2"/>
    <w:rsid w:val="00733DF9"/>
    <w:rsid w:val="007340BE"/>
    <w:rsid w:val="007341B2"/>
    <w:rsid w:val="00734232"/>
    <w:rsid w:val="007342E8"/>
    <w:rsid w:val="007343E9"/>
    <w:rsid w:val="00734404"/>
    <w:rsid w:val="007345EC"/>
    <w:rsid w:val="007346A0"/>
    <w:rsid w:val="00734723"/>
    <w:rsid w:val="007347FA"/>
    <w:rsid w:val="00734846"/>
    <w:rsid w:val="007348C2"/>
    <w:rsid w:val="00734A13"/>
    <w:rsid w:val="00734A1C"/>
    <w:rsid w:val="00734A1F"/>
    <w:rsid w:val="00734B3D"/>
    <w:rsid w:val="00734D26"/>
    <w:rsid w:val="00734D30"/>
    <w:rsid w:val="00734D3F"/>
    <w:rsid w:val="00734E84"/>
    <w:rsid w:val="00734F91"/>
    <w:rsid w:val="00734FDB"/>
    <w:rsid w:val="0073504F"/>
    <w:rsid w:val="00735343"/>
    <w:rsid w:val="00735477"/>
    <w:rsid w:val="00735511"/>
    <w:rsid w:val="0073561D"/>
    <w:rsid w:val="00735672"/>
    <w:rsid w:val="0073567E"/>
    <w:rsid w:val="007356E4"/>
    <w:rsid w:val="007356FB"/>
    <w:rsid w:val="00735742"/>
    <w:rsid w:val="00735779"/>
    <w:rsid w:val="007357B5"/>
    <w:rsid w:val="007357FE"/>
    <w:rsid w:val="0073588B"/>
    <w:rsid w:val="007358AA"/>
    <w:rsid w:val="007358EE"/>
    <w:rsid w:val="00735B74"/>
    <w:rsid w:val="00735E0B"/>
    <w:rsid w:val="00735EA6"/>
    <w:rsid w:val="00735FC3"/>
    <w:rsid w:val="00736024"/>
    <w:rsid w:val="007360FF"/>
    <w:rsid w:val="007361F3"/>
    <w:rsid w:val="00736279"/>
    <w:rsid w:val="007362B8"/>
    <w:rsid w:val="007362C8"/>
    <w:rsid w:val="00736312"/>
    <w:rsid w:val="00736420"/>
    <w:rsid w:val="00736492"/>
    <w:rsid w:val="00736624"/>
    <w:rsid w:val="00736699"/>
    <w:rsid w:val="007367C2"/>
    <w:rsid w:val="007367CF"/>
    <w:rsid w:val="0073698F"/>
    <w:rsid w:val="00736BD7"/>
    <w:rsid w:val="00736C27"/>
    <w:rsid w:val="00736C2F"/>
    <w:rsid w:val="00736D9D"/>
    <w:rsid w:val="00736E3F"/>
    <w:rsid w:val="00736F5D"/>
    <w:rsid w:val="00736FC5"/>
    <w:rsid w:val="007370FF"/>
    <w:rsid w:val="00737153"/>
    <w:rsid w:val="007371B4"/>
    <w:rsid w:val="007371E5"/>
    <w:rsid w:val="00737321"/>
    <w:rsid w:val="007374CE"/>
    <w:rsid w:val="00737561"/>
    <w:rsid w:val="007375CA"/>
    <w:rsid w:val="007375CE"/>
    <w:rsid w:val="007375F0"/>
    <w:rsid w:val="00737692"/>
    <w:rsid w:val="007377AD"/>
    <w:rsid w:val="00737855"/>
    <w:rsid w:val="007378E7"/>
    <w:rsid w:val="00737922"/>
    <w:rsid w:val="0073792D"/>
    <w:rsid w:val="007379CB"/>
    <w:rsid w:val="00737C1C"/>
    <w:rsid w:val="00737E06"/>
    <w:rsid w:val="00737EA7"/>
    <w:rsid w:val="00737EE8"/>
    <w:rsid w:val="00737F54"/>
    <w:rsid w:val="00740084"/>
    <w:rsid w:val="00740145"/>
    <w:rsid w:val="00740212"/>
    <w:rsid w:val="007402CF"/>
    <w:rsid w:val="007404BF"/>
    <w:rsid w:val="007404FE"/>
    <w:rsid w:val="007405C7"/>
    <w:rsid w:val="00740619"/>
    <w:rsid w:val="0074068F"/>
    <w:rsid w:val="007406B8"/>
    <w:rsid w:val="0074075E"/>
    <w:rsid w:val="0074076C"/>
    <w:rsid w:val="007409D5"/>
    <w:rsid w:val="00740A07"/>
    <w:rsid w:val="00740A3E"/>
    <w:rsid w:val="00740C06"/>
    <w:rsid w:val="00740C2D"/>
    <w:rsid w:val="00740CBB"/>
    <w:rsid w:val="00740CEC"/>
    <w:rsid w:val="00740D1B"/>
    <w:rsid w:val="00740D52"/>
    <w:rsid w:val="00740E23"/>
    <w:rsid w:val="00740E3A"/>
    <w:rsid w:val="00740F41"/>
    <w:rsid w:val="00740F49"/>
    <w:rsid w:val="0074108F"/>
    <w:rsid w:val="0074118B"/>
    <w:rsid w:val="007411EB"/>
    <w:rsid w:val="007412DB"/>
    <w:rsid w:val="007414F8"/>
    <w:rsid w:val="00741517"/>
    <w:rsid w:val="0074153C"/>
    <w:rsid w:val="00741540"/>
    <w:rsid w:val="00741759"/>
    <w:rsid w:val="00741794"/>
    <w:rsid w:val="007419D9"/>
    <w:rsid w:val="00741A7F"/>
    <w:rsid w:val="00741C23"/>
    <w:rsid w:val="00741C3E"/>
    <w:rsid w:val="00741D34"/>
    <w:rsid w:val="00741ECF"/>
    <w:rsid w:val="00741EF5"/>
    <w:rsid w:val="00741F06"/>
    <w:rsid w:val="00741FC6"/>
    <w:rsid w:val="00741FFA"/>
    <w:rsid w:val="007420EC"/>
    <w:rsid w:val="007420F7"/>
    <w:rsid w:val="0074212F"/>
    <w:rsid w:val="00742227"/>
    <w:rsid w:val="007422E1"/>
    <w:rsid w:val="0074230B"/>
    <w:rsid w:val="00742316"/>
    <w:rsid w:val="00742359"/>
    <w:rsid w:val="007423C0"/>
    <w:rsid w:val="00742416"/>
    <w:rsid w:val="00742417"/>
    <w:rsid w:val="0074244F"/>
    <w:rsid w:val="00742497"/>
    <w:rsid w:val="0074257D"/>
    <w:rsid w:val="00742792"/>
    <w:rsid w:val="007427BD"/>
    <w:rsid w:val="007428C8"/>
    <w:rsid w:val="00742907"/>
    <w:rsid w:val="00742915"/>
    <w:rsid w:val="00742970"/>
    <w:rsid w:val="00742DEC"/>
    <w:rsid w:val="00742E56"/>
    <w:rsid w:val="00742EB9"/>
    <w:rsid w:val="00742EC2"/>
    <w:rsid w:val="00742FA8"/>
    <w:rsid w:val="00742FD2"/>
    <w:rsid w:val="00742FE3"/>
    <w:rsid w:val="00743094"/>
    <w:rsid w:val="007430DD"/>
    <w:rsid w:val="007431BC"/>
    <w:rsid w:val="007432A8"/>
    <w:rsid w:val="007432C9"/>
    <w:rsid w:val="007434E1"/>
    <w:rsid w:val="007435A5"/>
    <w:rsid w:val="00743623"/>
    <w:rsid w:val="00743672"/>
    <w:rsid w:val="007436BD"/>
    <w:rsid w:val="00743767"/>
    <w:rsid w:val="00743A83"/>
    <w:rsid w:val="00743ADD"/>
    <w:rsid w:val="00743B22"/>
    <w:rsid w:val="00743C10"/>
    <w:rsid w:val="00743CB7"/>
    <w:rsid w:val="00743FA7"/>
    <w:rsid w:val="007440A7"/>
    <w:rsid w:val="00744109"/>
    <w:rsid w:val="007442C4"/>
    <w:rsid w:val="007442DD"/>
    <w:rsid w:val="00744372"/>
    <w:rsid w:val="0074442E"/>
    <w:rsid w:val="00744478"/>
    <w:rsid w:val="0074469F"/>
    <w:rsid w:val="007448D5"/>
    <w:rsid w:val="00744ABF"/>
    <w:rsid w:val="00744B82"/>
    <w:rsid w:val="00744CB9"/>
    <w:rsid w:val="00744CFF"/>
    <w:rsid w:val="00744DF0"/>
    <w:rsid w:val="00745107"/>
    <w:rsid w:val="00745136"/>
    <w:rsid w:val="007451FB"/>
    <w:rsid w:val="00745319"/>
    <w:rsid w:val="00745375"/>
    <w:rsid w:val="0074555B"/>
    <w:rsid w:val="0074585E"/>
    <w:rsid w:val="00745951"/>
    <w:rsid w:val="00745B0D"/>
    <w:rsid w:val="00745B89"/>
    <w:rsid w:val="00745C0F"/>
    <w:rsid w:val="00745C85"/>
    <w:rsid w:val="00745E8C"/>
    <w:rsid w:val="00745F62"/>
    <w:rsid w:val="007460B9"/>
    <w:rsid w:val="0074616C"/>
    <w:rsid w:val="007461D4"/>
    <w:rsid w:val="00746236"/>
    <w:rsid w:val="00746242"/>
    <w:rsid w:val="007464CC"/>
    <w:rsid w:val="007465B1"/>
    <w:rsid w:val="00746672"/>
    <w:rsid w:val="007466FA"/>
    <w:rsid w:val="0074679C"/>
    <w:rsid w:val="007467F1"/>
    <w:rsid w:val="00746A9B"/>
    <w:rsid w:val="00746AB2"/>
    <w:rsid w:val="00746B04"/>
    <w:rsid w:val="00746B78"/>
    <w:rsid w:val="00746C83"/>
    <w:rsid w:val="00746CC7"/>
    <w:rsid w:val="00746D73"/>
    <w:rsid w:val="00746DB8"/>
    <w:rsid w:val="00746E83"/>
    <w:rsid w:val="00746EB3"/>
    <w:rsid w:val="00746ED6"/>
    <w:rsid w:val="00746FE8"/>
    <w:rsid w:val="00746FF5"/>
    <w:rsid w:val="00747010"/>
    <w:rsid w:val="00747032"/>
    <w:rsid w:val="00747068"/>
    <w:rsid w:val="007472C2"/>
    <w:rsid w:val="0074734B"/>
    <w:rsid w:val="007474FB"/>
    <w:rsid w:val="007475E1"/>
    <w:rsid w:val="00747609"/>
    <w:rsid w:val="007476CE"/>
    <w:rsid w:val="007476F2"/>
    <w:rsid w:val="007478E4"/>
    <w:rsid w:val="00747960"/>
    <w:rsid w:val="00747A5A"/>
    <w:rsid w:val="00747AC8"/>
    <w:rsid w:val="00747B77"/>
    <w:rsid w:val="00747C31"/>
    <w:rsid w:val="00747CEB"/>
    <w:rsid w:val="00747E51"/>
    <w:rsid w:val="00747F56"/>
    <w:rsid w:val="00747FDF"/>
    <w:rsid w:val="0075009E"/>
    <w:rsid w:val="0075015A"/>
    <w:rsid w:val="0075036B"/>
    <w:rsid w:val="007503FC"/>
    <w:rsid w:val="007506C8"/>
    <w:rsid w:val="00750737"/>
    <w:rsid w:val="007507A4"/>
    <w:rsid w:val="007507E0"/>
    <w:rsid w:val="00750899"/>
    <w:rsid w:val="0075092A"/>
    <w:rsid w:val="007509BE"/>
    <w:rsid w:val="00750A21"/>
    <w:rsid w:val="00750B1C"/>
    <w:rsid w:val="00750B50"/>
    <w:rsid w:val="00750D55"/>
    <w:rsid w:val="00750D68"/>
    <w:rsid w:val="00750E59"/>
    <w:rsid w:val="00750E83"/>
    <w:rsid w:val="00750F46"/>
    <w:rsid w:val="00750F4D"/>
    <w:rsid w:val="0075103F"/>
    <w:rsid w:val="0075104F"/>
    <w:rsid w:val="00751088"/>
    <w:rsid w:val="00751110"/>
    <w:rsid w:val="00751207"/>
    <w:rsid w:val="00751215"/>
    <w:rsid w:val="00751248"/>
    <w:rsid w:val="0075145D"/>
    <w:rsid w:val="00751491"/>
    <w:rsid w:val="007516EC"/>
    <w:rsid w:val="007516FC"/>
    <w:rsid w:val="00751718"/>
    <w:rsid w:val="0075175C"/>
    <w:rsid w:val="007517E3"/>
    <w:rsid w:val="00751868"/>
    <w:rsid w:val="0075198D"/>
    <w:rsid w:val="007519F3"/>
    <w:rsid w:val="00751A7C"/>
    <w:rsid w:val="00751B5B"/>
    <w:rsid w:val="00751B77"/>
    <w:rsid w:val="00751B8E"/>
    <w:rsid w:val="00751B93"/>
    <w:rsid w:val="00751C7C"/>
    <w:rsid w:val="00751D58"/>
    <w:rsid w:val="00751E13"/>
    <w:rsid w:val="00751F56"/>
    <w:rsid w:val="007520AD"/>
    <w:rsid w:val="007521B2"/>
    <w:rsid w:val="00752455"/>
    <w:rsid w:val="0075248B"/>
    <w:rsid w:val="007525AA"/>
    <w:rsid w:val="00752769"/>
    <w:rsid w:val="00752A01"/>
    <w:rsid w:val="00752A42"/>
    <w:rsid w:val="00752A8D"/>
    <w:rsid w:val="00752B01"/>
    <w:rsid w:val="00752C9E"/>
    <w:rsid w:val="00752CC2"/>
    <w:rsid w:val="00752D2C"/>
    <w:rsid w:val="00752DD9"/>
    <w:rsid w:val="00752F88"/>
    <w:rsid w:val="007530B9"/>
    <w:rsid w:val="0075312E"/>
    <w:rsid w:val="007531D4"/>
    <w:rsid w:val="007532D3"/>
    <w:rsid w:val="007532F6"/>
    <w:rsid w:val="0075332C"/>
    <w:rsid w:val="00753387"/>
    <w:rsid w:val="007533CC"/>
    <w:rsid w:val="00753428"/>
    <w:rsid w:val="007534AA"/>
    <w:rsid w:val="00753542"/>
    <w:rsid w:val="007536C5"/>
    <w:rsid w:val="007537F7"/>
    <w:rsid w:val="00753891"/>
    <w:rsid w:val="007538D2"/>
    <w:rsid w:val="007539B2"/>
    <w:rsid w:val="00753ACE"/>
    <w:rsid w:val="00753AF7"/>
    <w:rsid w:val="00753B55"/>
    <w:rsid w:val="00753BE3"/>
    <w:rsid w:val="00753C00"/>
    <w:rsid w:val="00753D03"/>
    <w:rsid w:val="00753FAE"/>
    <w:rsid w:val="00753FD9"/>
    <w:rsid w:val="00753FE5"/>
    <w:rsid w:val="00753FFA"/>
    <w:rsid w:val="00754361"/>
    <w:rsid w:val="0075439C"/>
    <w:rsid w:val="007543A9"/>
    <w:rsid w:val="00754463"/>
    <w:rsid w:val="0075447A"/>
    <w:rsid w:val="007545D0"/>
    <w:rsid w:val="0075468E"/>
    <w:rsid w:val="007546F2"/>
    <w:rsid w:val="0075474B"/>
    <w:rsid w:val="00754793"/>
    <w:rsid w:val="0075484D"/>
    <w:rsid w:val="00754899"/>
    <w:rsid w:val="0075494F"/>
    <w:rsid w:val="007549F8"/>
    <w:rsid w:val="00754B72"/>
    <w:rsid w:val="00754B7E"/>
    <w:rsid w:val="00754BC6"/>
    <w:rsid w:val="00754BD6"/>
    <w:rsid w:val="00754C76"/>
    <w:rsid w:val="00754DF7"/>
    <w:rsid w:val="00754E7C"/>
    <w:rsid w:val="00754EB0"/>
    <w:rsid w:val="00754EDD"/>
    <w:rsid w:val="0075505B"/>
    <w:rsid w:val="0075509B"/>
    <w:rsid w:val="007555A5"/>
    <w:rsid w:val="007556CA"/>
    <w:rsid w:val="007556CF"/>
    <w:rsid w:val="00755728"/>
    <w:rsid w:val="0075576F"/>
    <w:rsid w:val="007558B5"/>
    <w:rsid w:val="00755A7B"/>
    <w:rsid w:val="00755AE9"/>
    <w:rsid w:val="00755B45"/>
    <w:rsid w:val="00755C7F"/>
    <w:rsid w:val="00755D7C"/>
    <w:rsid w:val="00755D90"/>
    <w:rsid w:val="00755ECE"/>
    <w:rsid w:val="00755FE3"/>
    <w:rsid w:val="00755FF9"/>
    <w:rsid w:val="0075604D"/>
    <w:rsid w:val="00756050"/>
    <w:rsid w:val="007561F9"/>
    <w:rsid w:val="0075630B"/>
    <w:rsid w:val="007563B6"/>
    <w:rsid w:val="00756624"/>
    <w:rsid w:val="0075685E"/>
    <w:rsid w:val="007568C7"/>
    <w:rsid w:val="007569B9"/>
    <w:rsid w:val="00756A32"/>
    <w:rsid w:val="00756C2E"/>
    <w:rsid w:val="00756E4E"/>
    <w:rsid w:val="00756FFF"/>
    <w:rsid w:val="00757191"/>
    <w:rsid w:val="00757221"/>
    <w:rsid w:val="00757634"/>
    <w:rsid w:val="00757692"/>
    <w:rsid w:val="007576A2"/>
    <w:rsid w:val="0075773B"/>
    <w:rsid w:val="007577A8"/>
    <w:rsid w:val="007577B6"/>
    <w:rsid w:val="00757911"/>
    <w:rsid w:val="007579C6"/>
    <w:rsid w:val="007579DB"/>
    <w:rsid w:val="00757C56"/>
    <w:rsid w:val="00757D50"/>
    <w:rsid w:val="00757DB5"/>
    <w:rsid w:val="0076016F"/>
    <w:rsid w:val="00760388"/>
    <w:rsid w:val="007603AA"/>
    <w:rsid w:val="00760544"/>
    <w:rsid w:val="00760582"/>
    <w:rsid w:val="00760591"/>
    <w:rsid w:val="007605A7"/>
    <w:rsid w:val="007605D6"/>
    <w:rsid w:val="00760622"/>
    <w:rsid w:val="007606FF"/>
    <w:rsid w:val="0076075B"/>
    <w:rsid w:val="00760781"/>
    <w:rsid w:val="007608DE"/>
    <w:rsid w:val="00760901"/>
    <w:rsid w:val="00760961"/>
    <w:rsid w:val="00760999"/>
    <w:rsid w:val="007609F4"/>
    <w:rsid w:val="007609F5"/>
    <w:rsid w:val="00760A29"/>
    <w:rsid w:val="00760B5C"/>
    <w:rsid w:val="00760C48"/>
    <w:rsid w:val="00760CBB"/>
    <w:rsid w:val="00760D33"/>
    <w:rsid w:val="00760D35"/>
    <w:rsid w:val="00760DEF"/>
    <w:rsid w:val="00760E04"/>
    <w:rsid w:val="00760ED9"/>
    <w:rsid w:val="00760F4D"/>
    <w:rsid w:val="00760FA2"/>
    <w:rsid w:val="007610DB"/>
    <w:rsid w:val="007612CC"/>
    <w:rsid w:val="007612D5"/>
    <w:rsid w:val="007612FB"/>
    <w:rsid w:val="00761414"/>
    <w:rsid w:val="00761560"/>
    <w:rsid w:val="00761591"/>
    <w:rsid w:val="00761598"/>
    <w:rsid w:val="007615BB"/>
    <w:rsid w:val="007615CD"/>
    <w:rsid w:val="007615D1"/>
    <w:rsid w:val="007616A2"/>
    <w:rsid w:val="007616AB"/>
    <w:rsid w:val="007617D3"/>
    <w:rsid w:val="00761871"/>
    <w:rsid w:val="00761A04"/>
    <w:rsid w:val="00761B8E"/>
    <w:rsid w:val="00761BC0"/>
    <w:rsid w:val="00761DC3"/>
    <w:rsid w:val="00761F24"/>
    <w:rsid w:val="00762442"/>
    <w:rsid w:val="00762470"/>
    <w:rsid w:val="007624BE"/>
    <w:rsid w:val="00762505"/>
    <w:rsid w:val="0076255B"/>
    <w:rsid w:val="0076261B"/>
    <w:rsid w:val="0076283F"/>
    <w:rsid w:val="00762AD7"/>
    <w:rsid w:val="00762BBA"/>
    <w:rsid w:val="00762BC0"/>
    <w:rsid w:val="00762C60"/>
    <w:rsid w:val="00762CB7"/>
    <w:rsid w:val="007630BE"/>
    <w:rsid w:val="0076313F"/>
    <w:rsid w:val="00763199"/>
    <w:rsid w:val="007633E0"/>
    <w:rsid w:val="00763450"/>
    <w:rsid w:val="0076351F"/>
    <w:rsid w:val="007635DA"/>
    <w:rsid w:val="0076363E"/>
    <w:rsid w:val="00763682"/>
    <w:rsid w:val="007636E8"/>
    <w:rsid w:val="00763799"/>
    <w:rsid w:val="007637E4"/>
    <w:rsid w:val="0076387D"/>
    <w:rsid w:val="00763899"/>
    <w:rsid w:val="007638A8"/>
    <w:rsid w:val="00763A3F"/>
    <w:rsid w:val="00763A6C"/>
    <w:rsid w:val="00763E58"/>
    <w:rsid w:val="00763FAF"/>
    <w:rsid w:val="00764108"/>
    <w:rsid w:val="0076415B"/>
    <w:rsid w:val="00764190"/>
    <w:rsid w:val="007641D2"/>
    <w:rsid w:val="0076420A"/>
    <w:rsid w:val="00764322"/>
    <w:rsid w:val="00764363"/>
    <w:rsid w:val="00764447"/>
    <w:rsid w:val="007644CC"/>
    <w:rsid w:val="007644E4"/>
    <w:rsid w:val="007644FE"/>
    <w:rsid w:val="00764524"/>
    <w:rsid w:val="0076457F"/>
    <w:rsid w:val="00764655"/>
    <w:rsid w:val="00764795"/>
    <w:rsid w:val="0076482C"/>
    <w:rsid w:val="00764E79"/>
    <w:rsid w:val="00765081"/>
    <w:rsid w:val="00765219"/>
    <w:rsid w:val="007652F2"/>
    <w:rsid w:val="0076531A"/>
    <w:rsid w:val="00765483"/>
    <w:rsid w:val="007654C3"/>
    <w:rsid w:val="0076567B"/>
    <w:rsid w:val="0076571C"/>
    <w:rsid w:val="00765A71"/>
    <w:rsid w:val="00765A9C"/>
    <w:rsid w:val="00765A9F"/>
    <w:rsid w:val="00765AD1"/>
    <w:rsid w:val="00765AE6"/>
    <w:rsid w:val="00765B2B"/>
    <w:rsid w:val="00765B40"/>
    <w:rsid w:val="00765C07"/>
    <w:rsid w:val="00765C4E"/>
    <w:rsid w:val="00765C71"/>
    <w:rsid w:val="00765C8F"/>
    <w:rsid w:val="00765DFB"/>
    <w:rsid w:val="00766003"/>
    <w:rsid w:val="007660DB"/>
    <w:rsid w:val="00766121"/>
    <w:rsid w:val="00766155"/>
    <w:rsid w:val="00766182"/>
    <w:rsid w:val="007661CC"/>
    <w:rsid w:val="007661DC"/>
    <w:rsid w:val="007664C1"/>
    <w:rsid w:val="007664DE"/>
    <w:rsid w:val="007665E6"/>
    <w:rsid w:val="007665ED"/>
    <w:rsid w:val="007665FE"/>
    <w:rsid w:val="0076665D"/>
    <w:rsid w:val="007668A0"/>
    <w:rsid w:val="007669A7"/>
    <w:rsid w:val="00766A21"/>
    <w:rsid w:val="00766A60"/>
    <w:rsid w:val="00766A83"/>
    <w:rsid w:val="00766AE4"/>
    <w:rsid w:val="00766B1D"/>
    <w:rsid w:val="00766B39"/>
    <w:rsid w:val="00766B7A"/>
    <w:rsid w:val="00766BB5"/>
    <w:rsid w:val="00766C72"/>
    <w:rsid w:val="00766EA8"/>
    <w:rsid w:val="00766ED0"/>
    <w:rsid w:val="00766EE7"/>
    <w:rsid w:val="00767148"/>
    <w:rsid w:val="00767313"/>
    <w:rsid w:val="007673A7"/>
    <w:rsid w:val="007673FF"/>
    <w:rsid w:val="00767473"/>
    <w:rsid w:val="007675DE"/>
    <w:rsid w:val="007676E2"/>
    <w:rsid w:val="00767786"/>
    <w:rsid w:val="00767906"/>
    <w:rsid w:val="00767A76"/>
    <w:rsid w:val="00767AA5"/>
    <w:rsid w:val="00767B68"/>
    <w:rsid w:val="00767BAC"/>
    <w:rsid w:val="00767C55"/>
    <w:rsid w:val="00767C57"/>
    <w:rsid w:val="00767CB6"/>
    <w:rsid w:val="00767D3A"/>
    <w:rsid w:val="00767EA4"/>
    <w:rsid w:val="00767FD7"/>
    <w:rsid w:val="00770009"/>
    <w:rsid w:val="0077005E"/>
    <w:rsid w:val="007700FD"/>
    <w:rsid w:val="007701B3"/>
    <w:rsid w:val="007704E3"/>
    <w:rsid w:val="0077056E"/>
    <w:rsid w:val="00770619"/>
    <w:rsid w:val="007706F4"/>
    <w:rsid w:val="00770720"/>
    <w:rsid w:val="0077077E"/>
    <w:rsid w:val="007708D3"/>
    <w:rsid w:val="007709E5"/>
    <w:rsid w:val="00770A4D"/>
    <w:rsid w:val="00770AB7"/>
    <w:rsid w:val="00770AEC"/>
    <w:rsid w:val="00770D24"/>
    <w:rsid w:val="00770D39"/>
    <w:rsid w:val="00770D4B"/>
    <w:rsid w:val="00770D94"/>
    <w:rsid w:val="00770DF7"/>
    <w:rsid w:val="00770EAC"/>
    <w:rsid w:val="00770F68"/>
    <w:rsid w:val="00770F74"/>
    <w:rsid w:val="00770FD0"/>
    <w:rsid w:val="0077110B"/>
    <w:rsid w:val="00771132"/>
    <w:rsid w:val="007711A9"/>
    <w:rsid w:val="00771240"/>
    <w:rsid w:val="007712B0"/>
    <w:rsid w:val="007712B1"/>
    <w:rsid w:val="0077137C"/>
    <w:rsid w:val="00771397"/>
    <w:rsid w:val="00771411"/>
    <w:rsid w:val="0077141A"/>
    <w:rsid w:val="007714C9"/>
    <w:rsid w:val="007716E6"/>
    <w:rsid w:val="0077184E"/>
    <w:rsid w:val="00771AE4"/>
    <w:rsid w:val="00771C02"/>
    <w:rsid w:val="00771D2F"/>
    <w:rsid w:val="00771DF1"/>
    <w:rsid w:val="00772071"/>
    <w:rsid w:val="007720E0"/>
    <w:rsid w:val="007720F7"/>
    <w:rsid w:val="00772101"/>
    <w:rsid w:val="00772160"/>
    <w:rsid w:val="007721B6"/>
    <w:rsid w:val="007724E4"/>
    <w:rsid w:val="00772506"/>
    <w:rsid w:val="007725A4"/>
    <w:rsid w:val="007725C8"/>
    <w:rsid w:val="00772634"/>
    <w:rsid w:val="00772775"/>
    <w:rsid w:val="00772BC7"/>
    <w:rsid w:val="00772C00"/>
    <w:rsid w:val="00772C04"/>
    <w:rsid w:val="00772CF1"/>
    <w:rsid w:val="00772E6C"/>
    <w:rsid w:val="00772EED"/>
    <w:rsid w:val="00772EFB"/>
    <w:rsid w:val="0077305C"/>
    <w:rsid w:val="0077315D"/>
    <w:rsid w:val="007731CF"/>
    <w:rsid w:val="00773248"/>
    <w:rsid w:val="007732FB"/>
    <w:rsid w:val="0077379B"/>
    <w:rsid w:val="007737D0"/>
    <w:rsid w:val="007737F0"/>
    <w:rsid w:val="00773856"/>
    <w:rsid w:val="007738C6"/>
    <w:rsid w:val="0077391F"/>
    <w:rsid w:val="00773A0B"/>
    <w:rsid w:val="00773B7B"/>
    <w:rsid w:val="00773C13"/>
    <w:rsid w:val="00773E27"/>
    <w:rsid w:val="00773E6C"/>
    <w:rsid w:val="0077403A"/>
    <w:rsid w:val="00774069"/>
    <w:rsid w:val="0077417D"/>
    <w:rsid w:val="00774195"/>
    <w:rsid w:val="00774207"/>
    <w:rsid w:val="00774215"/>
    <w:rsid w:val="00774231"/>
    <w:rsid w:val="0077425B"/>
    <w:rsid w:val="007743FE"/>
    <w:rsid w:val="0077468B"/>
    <w:rsid w:val="007746F7"/>
    <w:rsid w:val="0077478C"/>
    <w:rsid w:val="0077483F"/>
    <w:rsid w:val="00774888"/>
    <w:rsid w:val="00774957"/>
    <w:rsid w:val="00774A22"/>
    <w:rsid w:val="00774B9C"/>
    <w:rsid w:val="00774C31"/>
    <w:rsid w:val="00774D64"/>
    <w:rsid w:val="00774D65"/>
    <w:rsid w:val="00774EE6"/>
    <w:rsid w:val="00774F74"/>
    <w:rsid w:val="00775051"/>
    <w:rsid w:val="007750A6"/>
    <w:rsid w:val="00775106"/>
    <w:rsid w:val="007751E0"/>
    <w:rsid w:val="00775333"/>
    <w:rsid w:val="0077561A"/>
    <w:rsid w:val="007757AC"/>
    <w:rsid w:val="00775807"/>
    <w:rsid w:val="007758F4"/>
    <w:rsid w:val="007759B0"/>
    <w:rsid w:val="007759BF"/>
    <w:rsid w:val="00775AF3"/>
    <w:rsid w:val="00775B68"/>
    <w:rsid w:val="00775BC8"/>
    <w:rsid w:val="00775D06"/>
    <w:rsid w:val="00775D86"/>
    <w:rsid w:val="00775E56"/>
    <w:rsid w:val="00775EB2"/>
    <w:rsid w:val="00775F32"/>
    <w:rsid w:val="00775FB2"/>
    <w:rsid w:val="007760AA"/>
    <w:rsid w:val="00776135"/>
    <w:rsid w:val="007762E0"/>
    <w:rsid w:val="007762E3"/>
    <w:rsid w:val="00776367"/>
    <w:rsid w:val="00776416"/>
    <w:rsid w:val="007767F6"/>
    <w:rsid w:val="00776832"/>
    <w:rsid w:val="007769DC"/>
    <w:rsid w:val="00776B9C"/>
    <w:rsid w:val="00776DB8"/>
    <w:rsid w:val="00776EAB"/>
    <w:rsid w:val="00776FC7"/>
    <w:rsid w:val="007770D9"/>
    <w:rsid w:val="00777107"/>
    <w:rsid w:val="007772A2"/>
    <w:rsid w:val="00777368"/>
    <w:rsid w:val="0077745A"/>
    <w:rsid w:val="0077748D"/>
    <w:rsid w:val="0077755A"/>
    <w:rsid w:val="007775AE"/>
    <w:rsid w:val="0077762C"/>
    <w:rsid w:val="0077793D"/>
    <w:rsid w:val="00777B2E"/>
    <w:rsid w:val="00777D11"/>
    <w:rsid w:val="00777DE6"/>
    <w:rsid w:val="00777F9E"/>
    <w:rsid w:val="00780010"/>
    <w:rsid w:val="00780079"/>
    <w:rsid w:val="007801D2"/>
    <w:rsid w:val="0078021F"/>
    <w:rsid w:val="00780229"/>
    <w:rsid w:val="00780394"/>
    <w:rsid w:val="007805B5"/>
    <w:rsid w:val="00780735"/>
    <w:rsid w:val="00780746"/>
    <w:rsid w:val="00780A30"/>
    <w:rsid w:val="00780B2D"/>
    <w:rsid w:val="00780BCB"/>
    <w:rsid w:val="00780CA1"/>
    <w:rsid w:val="00780D17"/>
    <w:rsid w:val="00780DA1"/>
    <w:rsid w:val="00780E6C"/>
    <w:rsid w:val="00780EF8"/>
    <w:rsid w:val="00780F75"/>
    <w:rsid w:val="0078111B"/>
    <w:rsid w:val="00781364"/>
    <w:rsid w:val="007813E1"/>
    <w:rsid w:val="0078159C"/>
    <w:rsid w:val="00781697"/>
    <w:rsid w:val="0078172C"/>
    <w:rsid w:val="007817A0"/>
    <w:rsid w:val="007817F2"/>
    <w:rsid w:val="00781865"/>
    <w:rsid w:val="007818D7"/>
    <w:rsid w:val="00781991"/>
    <w:rsid w:val="00781999"/>
    <w:rsid w:val="00781A88"/>
    <w:rsid w:val="00781AD2"/>
    <w:rsid w:val="00781B43"/>
    <w:rsid w:val="00781BDE"/>
    <w:rsid w:val="00781BF7"/>
    <w:rsid w:val="00781C10"/>
    <w:rsid w:val="00781E13"/>
    <w:rsid w:val="00781FE1"/>
    <w:rsid w:val="00782044"/>
    <w:rsid w:val="0078221A"/>
    <w:rsid w:val="0078228C"/>
    <w:rsid w:val="00782455"/>
    <w:rsid w:val="0078248C"/>
    <w:rsid w:val="0078273E"/>
    <w:rsid w:val="00782779"/>
    <w:rsid w:val="007827F5"/>
    <w:rsid w:val="007828A2"/>
    <w:rsid w:val="007828C6"/>
    <w:rsid w:val="00782941"/>
    <w:rsid w:val="007829E5"/>
    <w:rsid w:val="00782B83"/>
    <w:rsid w:val="00782D25"/>
    <w:rsid w:val="00782D6F"/>
    <w:rsid w:val="00782D93"/>
    <w:rsid w:val="00782DF7"/>
    <w:rsid w:val="00782FC6"/>
    <w:rsid w:val="00782FE9"/>
    <w:rsid w:val="007832D6"/>
    <w:rsid w:val="0078336B"/>
    <w:rsid w:val="007833D6"/>
    <w:rsid w:val="00783419"/>
    <w:rsid w:val="00783453"/>
    <w:rsid w:val="007834A3"/>
    <w:rsid w:val="0078353B"/>
    <w:rsid w:val="007835DF"/>
    <w:rsid w:val="00783650"/>
    <w:rsid w:val="007836CD"/>
    <w:rsid w:val="00783808"/>
    <w:rsid w:val="00783859"/>
    <w:rsid w:val="007839CB"/>
    <w:rsid w:val="00783A6A"/>
    <w:rsid w:val="00783B1A"/>
    <w:rsid w:val="00783B4C"/>
    <w:rsid w:val="00783B4E"/>
    <w:rsid w:val="00783BB1"/>
    <w:rsid w:val="00783C92"/>
    <w:rsid w:val="00783CC7"/>
    <w:rsid w:val="00783F67"/>
    <w:rsid w:val="00783F7F"/>
    <w:rsid w:val="00784023"/>
    <w:rsid w:val="0078409C"/>
    <w:rsid w:val="007840BA"/>
    <w:rsid w:val="007840E6"/>
    <w:rsid w:val="0078429C"/>
    <w:rsid w:val="007842FF"/>
    <w:rsid w:val="00784339"/>
    <w:rsid w:val="0078462F"/>
    <w:rsid w:val="007846EA"/>
    <w:rsid w:val="0078479B"/>
    <w:rsid w:val="007847B5"/>
    <w:rsid w:val="007847D7"/>
    <w:rsid w:val="007848C0"/>
    <w:rsid w:val="0078497B"/>
    <w:rsid w:val="007849B4"/>
    <w:rsid w:val="00784A70"/>
    <w:rsid w:val="00784C0D"/>
    <w:rsid w:val="00784C73"/>
    <w:rsid w:val="00784C7B"/>
    <w:rsid w:val="00784D4A"/>
    <w:rsid w:val="00784D93"/>
    <w:rsid w:val="00784ED5"/>
    <w:rsid w:val="00784F0E"/>
    <w:rsid w:val="00784F60"/>
    <w:rsid w:val="007850A2"/>
    <w:rsid w:val="007851BE"/>
    <w:rsid w:val="00785555"/>
    <w:rsid w:val="007855F6"/>
    <w:rsid w:val="00785648"/>
    <w:rsid w:val="007856A4"/>
    <w:rsid w:val="0078595F"/>
    <w:rsid w:val="007859B5"/>
    <w:rsid w:val="00785B23"/>
    <w:rsid w:val="00785B61"/>
    <w:rsid w:val="00785BC1"/>
    <w:rsid w:val="00785BF2"/>
    <w:rsid w:val="00785BF5"/>
    <w:rsid w:val="00785D02"/>
    <w:rsid w:val="00785F7F"/>
    <w:rsid w:val="00785FD7"/>
    <w:rsid w:val="0078610B"/>
    <w:rsid w:val="00786219"/>
    <w:rsid w:val="007863A3"/>
    <w:rsid w:val="0078640E"/>
    <w:rsid w:val="00786424"/>
    <w:rsid w:val="007864B4"/>
    <w:rsid w:val="007865EA"/>
    <w:rsid w:val="0078661A"/>
    <w:rsid w:val="007866A7"/>
    <w:rsid w:val="007866AF"/>
    <w:rsid w:val="0078670D"/>
    <w:rsid w:val="00786886"/>
    <w:rsid w:val="00786901"/>
    <w:rsid w:val="00786A9C"/>
    <w:rsid w:val="00786BEB"/>
    <w:rsid w:val="00786C52"/>
    <w:rsid w:val="00786CFE"/>
    <w:rsid w:val="00786D17"/>
    <w:rsid w:val="00786D5C"/>
    <w:rsid w:val="00786DD1"/>
    <w:rsid w:val="00786E1D"/>
    <w:rsid w:val="00786FE2"/>
    <w:rsid w:val="0078705E"/>
    <w:rsid w:val="00787108"/>
    <w:rsid w:val="007873DE"/>
    <w:rsid w:val="00787406"/>
    <w:rsid w:val="00787470"/>
    <w:rsid w:val="007874A8"/>
    <w:rsid w:val="00787787"/>
    <w:rsid w:val="0078780E"/>
    <w:rsid w:val="00787880"/>
    <w:rsid w:val="007878EE"/>
    <w:rsid w:val="00787940"/>
    <w:rsid w:val="00787978"/>
    <w:rsid w:val="007879D6"/>
    <w:rsid w:val="007879E9"/>
    <w:rsid w:val="00787BB6"/>
    <w:rsid w:val="00787CC9"/>
    <w:rsid w:val="00787D47"/>
    <w:rsid w:val="00787D90"/>
    <w:rsid w:val="00787E46"/>
    <w:rsid w:val="00787FF6"/>
    <w:rsid w:val="0079006D"/>
    <w:rsid w:val="007902E1"/>
    <w:rsid w:val="0079046D"/>
    <w:rsid w:val="007904CA"/>
    <w:rsid w:val="007904D8"/>
    <w:rsid w:val="0079055B"/>
    <w:rsid w:val="007905CB"/>
    <w:rsid w:val="007905D9"/>
    <w:rsid w:val="0079063A"/>
    <w:rsid w:val="0079067A"/>
    <w:rsid w:val="00790795"/>
    <w:rsid w:val="00790898"/>
    <w:rsid w:val="0079095F"/>
    <w:rsid w:val="00790A31"/>
    <w:rsid w:val="00790AF1"/>
    <w:rsid w:val="00790AF3"/>
    <w:rsid w:val="00790C9D"/>
    <w:rsid w:val="00790CD5"/>
    <w:rsid w:val="00790CD8"/>
    <w:rsid w:val="00790D1A"/>
    <w:rsid w:val="00790D5B"/>
    <w:rsid w:val="00790D78"/>
    <w:rsid w:val="00790DF8"/>
    <w:rsid w:val="00790EFA"/>
    <w:rsid w:val="00790F9A"/>
    <w:rsid w:val="007911E1"/>
    <w:rsid w:val="0079122E"/>
    <w:rsid w:val="00791391"/>
    <w:rsid w:val="007913D8"/>
    <w:rsid w:val="00791472"/>
    <w:rsid w:val="00791604"/>
    <w:rsid w:val="00791710"/>
    <w:rsid w:val="00791ADE"/>
    <w:rsid w:val="00791B50"/>
    <w:rsid w:val="00791B88"/>
    <w:rsid w:val="00791C33"/>
    <w:rsid w:val="00791CED"/>
    <w:rsid w:val="00791D36"/>
    <w:rsid w:val="00791F77"/>
    <w:rsid w:val="00791F84"/>
    <w:rsid w:val="00791F89"/>
    <w:rsid w:val="00792089"/>
    <w:rsid w:val="007921CD"/>
    <w:rsid w:val="007922FE"/>
    <w:rsid w:val="00792428"/>
    <w:rsid w:val="0079243C"/>
    <w:rsid w:val="0079255E"/>
    <w:rsid w:val="0079257B"/>
    <w:rsid w:val="007925B9"/>
    <w:rsid w:val="007926EF"/>
    <w:rsid w:val="0079271C"/>
    <w:rsid w:val="00792774"/>
    <w:rsid w:val="007927B9"/>
    <w:rsid w:val="00792820"/>
    <w:rsid w:val="00792887"/>
    <w:rsid w:val="0079298E"/>
    <w:rsid w:val="00792A42"/>
    <w:rsid w:val="00792ADA"/>
    <w:rsid w:val="00792D24"/>
    <w:rsid w:val="00792EAA"/>
    <w:rsid w:val="00792EBF"/>
    <w:rsid w:val="00792FE5"/>
    <w:rsid w:val="007930DA"/>
    <w:rsid w:val="007931F7"/>
    <w:rsid w:val="007933E9"/>
    <w:rsid w:val="00793415"/>
    <w:rsid w:val="0079353C"/>
    <w:rsid w:val="0079359B"/>
    <w:rsid w:val="0079363F"/>
    <w:rsid w:val="007937E9"/>
    <w:rsid w:val="00793850"/>
    <w:rsid w:val="00793921"/>
    <w:rsid w:val="00793960"/>
    <w:rsid w:val="00793967"/>
    <w:rsid w:val="00793AA7"/>
    <w:rsid w:val="00793B07"/>
    <w:rsid w:val="00793BA7"/>
    <w:rsid w:val="00793BB5"/>
    <w:rsid w:val="00793CBF"/>
    <w:rsid w:val="00793E9D"/>
    <w:rsid w:val="00793FA1"/>
    <w:rsid w:val="00793FBA"/>
    <w:rsid w:val="00794035"/>
    <w:rsid w:val="0079403F"/>
    <w:rsid w:val="00794167"/>
    <w:rsid w:val="007941A0"/>
    <w:rsid w:val="00794256"/>
    <w:rsid w:val="00794284"/>
    <w:rsid w:val="00794289"/>
    <w:rsid w:val="007943C5"/>
    <w:rsid w:val="0079448C"/>
    <w:rsid w:val="00794490"/>
    <w:rsid w:val="007945B6"/>
    <w:rsid w:val="007946D7"/>
    <w:rsid w:val="00794752"/>
    <w:rsid w:val="007947D3"/>
    <w:rsid w:val="00794824"/>
    <w:rsid w:val="0079484A"/>
    <w:rsid w:val="00794952"/>
    <w:rsid w:val="00794B87"/>
    <w:rsid w:val="00794C75"/>
    <w:rsid w:val="00794CB2"/>
    <w:rsid w:val="00794CB3"/>
    <w:rsid w:val="00794CC6"/>
    <w:rsid w:val="00794CFF"/>
    <w:rsid w:val="007950D9"/>
    <w:rsid w:val="007951AB"/>
    <w:rsid w:val="007951C6"/>
    <w:rsid w:val="007951D9"/>
    <w:rsid w:val="00795229"/>
    <w:rsid w:val="00795264"/>
    <w:rsid w:val="007952B7"/>
    <w:rsid w:val="007954F9"/>
    <w:rsid w:val="0079558E"/>
    <w:rsid w:val="00795742"/>
    <w:rsid w:val="007957F3"/>
    <w:rsid w:val="0079590C"/>
    <w:rsid w:val="007959D6"/>
    <w:rsid w:val="007959EA"/>
    <w:rsid w:val="00795A02"/>
    <w:rsid w:val="00795A09"/>
    <w:rsid w:val="00795AC7"/>
    <w:rsid w:val="00795BCB"/>
    <w:rsid w:val="00795C31"/>
    <w:rsid w:val="00795CEB"/>
    <w:rsid w:val="00795D45"/>
    <w:rsid w:val="00795DAA"/>
    <w:rsid w:val="00795F68"/>
    <w:rsid w:val="00796051"/>
    <w:rsid w:val="00796054"/>
    <w:rsid w:val="0079608F"/>
    <w:rsid w:val="0079609F"/>
    <w:rsid w:val="0079616C"/>
    <w:rsid w:val="007962D1"/>
    <w:rsid w:val="007963F5"/>
    <w:rsid w:val="00796410"/>
    <w:rsid w:val="00796426"/>
    <w:rsid w:val="007964C7"/>
    <w:rsid w:val="007964FF"/>
    <w:rsid w:val="0079652E"/>
    <w:rsid w:val="00796583"/>
    <w:rsid w:val="0079665F"/>
    <w:rsid w:val="00796690"/>
    <w:rsid w:val="007967A6"/>
    <w:rsid w:val="007967CA"/>
    <w:rsid w:val="00796887"/>
    <w:rsid w:val="00796945"/>
    <w:rsid w:val="00796946"/>
    <w:rsid w:val="0079694E"/>
    <w:rsid w:val="007969A1"/>
    <w:rsid w:val="00796A12"/>
    <w:rsid w:val="00796B79"/>
    <w:rsid w:val="00796DBF"/>
    <w:rsid w:val="00796F88"/>
    <w:rsid w:val="00797053"/>
    <w:rsid w:val="007970EA"/>
    <w:rsid w:val="007972DB"/>
    <w:rsid w:val="0079734A"/>
    <w:rsid w:val="00797412"/>
    <w:rsid w:val="00797414"/>
    <w:rsid w:val="007974E6"/>
    <w:rsid w:val="0079759C"/>
    <w:rsid w:val="007975EF"/>
    <w:rsid w:val="00797647"/>
    <w:rsid w:val="007976AF"/>
    <w:rsid w:val="007978F1"/>
    <w:rsid w:val="00797940"/>
    <w:rsid w:val="00797952"/>
    <w:rsid w:val="00797972"/>
    <w:rsid w:val="00797AAD"/>
    <w:rsid w:val="00797B0B"/>
    <w:rsid w:val="00797CC1"/>
    <w:rsid w:val="00797E09"/>
    <w:rsid w:val="00797EC2"/>
    <w:rsid w:val="00797F34"/>
    <w:rsid w:val="007A009A"/>
    <w:rsid w:val="007A019A"/>
    <w:rsid w:val="007A0365"/>
    <w:rsid w:val="007A03E6"/>
    <w:rsid w:val="007A0409"/>
    <w:rsid w:val="007A0494"/>
    <w:rsid w:val="007A0519"/>
    <w:rsid w:val="007A0536"/>
    <w:rsid w:val="007A07AD"/>
    <w:rsid w:val="007A07F1"/>
    <w:rsid w:val="007A0877"/>
    <w:rsid w:val="007A09B9"/>
    <w:rsid w:val="007A0C62"/>
    <w:rsid w:val="007A0DB7"/>
    <w:rsid w:val="007A0E1B"/>
    <w:rsid w:val="007A0FA2"/>
    <w:rsid w:val="007A0FDA"/>
    <w:rsid w:val="007A117D"/>
    <w:rsid w:val="007A11D2"/>
    <w:rsid w:val="007A1253"/>
    <w:rsid w:val="007A12ED"/>
    <w:rsid w:val="007A13A4"/>
    <w:rsid w:val="007A141D"/>
    <w:rsid w:val="007A1577"/>
    <w:rsid w:val="007A159D"/>
    <w:rsid w:val="007A15A5"/>
    <w:rsid w:val="007A1689"/>
    <w:rsid w:val="007A17B8"/>
    <w:rsid w:val="007A1808"/>
    <w:rsid w:val="007A1829"/>
    <w:rsid w:val="007A1922"/>
    <w:rsid w:val="007A19D8"/>
    <w:rsid w:val="007A1C55"/>
    <w:rsid w:val="007A1EC0"/>
    <w:rsid w:val="007A1F6E"/>
    <w:rsid w:val="007A1FE1"/>
    <w:rsid w:val="007A21A1"/>
    <w:rsid w:val="007A21D9"/>
    <w:rsid w:val="007A23BF"/>
    <w:rsid w:val="007A23CB"/>
    <w:rsid w:val="007A242D"/>
    <w:rsid w:val="007A24C7"/>
    <w:rsid w:val="007A25BF"/>
    <w:rsid w:val="007A2675"/>
    <w:rsid w:val="007A2699"/>
    <w:rsid w:val="007A274D"/>
    <w:rsid w:val="007A29B2"/>
    <w:rsid w:val="007A29EB"/>
    <w:rsid w:val="007A2A86"/>
    <w:rsid w:val="007A2C17"/>
    <w:rsid w:val="007A2C25"/>
    <w:rsid w:val="007A2DEA"/>
    <w:rsid w:val="007A2FF3"/>
    <w:rsid w:val="007A307B"/>
    <w:rsid w:val="007A3082"/>
    <w:rsid w:val="007A30D0"/>
    <w:rsid w:val="007A312C"/>
    <w:rsid w:val="007A33FE"/>
    <w:rsid w:val="007A3595"/>
    <w:rsid w:val="007A36DD"/>
    <w:rsid w:val="007A37AA"/>
    <w:rsid w:val="007A387E"/>
    <w:rsid w:val="007A38BD"/>
    <w:rsid w:val="007A3931"/>
    <w:rsid w:val="007A39BE"/>
    <w:rsid w:val="007A39C6"/>
    <w:rsid w:val="007A3ADB"/>
    <w:rsid w:val="007A3C54"/>
    <w:rsid w:val="007A3C65"/>
    <w:rsid w:val="007A3D64"/>
    <w:rsid w:val="007A3D9A"/>
    <w:rsid w:val="007A3DD3"/>
    <w:rsid w:val="007A3EE5"/>
    <w:rsid w:val="007A4105"/>
    <w:rsid w:val="007A411A"/>
    <w:rsid w:val="007A4249"/>
    <w:rsid w:val="007A4385"/>
    <w:rsid w:val="007A43E1"/>
    <w:rsid w:val="007A4423"/>
    <w:rsid w:val="007A4432"/>
    <w:rsid w:val="007A4439"/>
    <w:rsid w:val="007A450D"/>
    <w:rsid w:val="007A4646"/>
    <w:rsid w:val="007A46E6"/>
    <w:rsid w:val="007A46EC"/>
    <w:rsid w:val="007A4710"/>
    <w:rsid w:val="007A47CF"/>
    <w:rsid w:val="007A4C97"/>
    <w:rsid w:val="007A4CE3"/>
    <w:rsid w:val="007A4D79"/>
    <w:rsid w:val="007A4D88"/>
    <w:rsid w:val="007A4DA1"/>
    <w:rsid w:val="007A4EFB"/>
    <w:rsid w:val="007A4F14"/>
    <w:rsid w:val="007A4FE8"/>
    <w:rsid w:val="007A50EE"/>
    <w:rsid w:val="007A512F"/>
    <w:rsid w:val="007A5181"/>
    <w:rsid w:val="007A526F"/>
    <w:rsid w:val="007A546F"/>
    <w:rsid w:val="007A5478"/>
    <w:rsid w:val="007A593C"/>
    <w:rsid w:val="007A59B0"/>
    <w:rsid w:val="007A59DB"/>
    <w:rsid w:val="007A5A1F"/>
    <w:rsid w:val="007A5A4A"/>
    <w:rsid w:val="007A5AC0"/>
    <w:rsid w:val="007A5CB3"/>
    <w:rsid w:val="007A5EA9"/>
    <w:rsid w:val="007A5F16"/>
    <w:rsid w:val="007A5F2C"/>
    <w:rsid w:val="007A5F8F"/>
    <w:rsid w:val="007A5FCB"/>
    <w:rsid w:val="007A6144"/>
    <w:rsid w:val="007A6256"/>
    <w:rsid w:val="007A6323"/>
    <w:rsid w:val="007A6330"/>
    <w:rsid w:val="007A63CC"/>
    <w:rsid w:val="007A656A"/>
    <w:rsid w:val="007A65D7"/>
    <w:rsid w:val="007A674A"/>
    <w:rsid w:val="007A6762"/>
    <w:rsid w:val="007A67D3"/>
    <w:rsid w:val="007A6859"/>
    <w:rsid w:val="007A695E"/>
    <w:rsid w:val="007A6A2F"/>
    <w:rsid w:val="007A6AD5"/>
    <w:rsid w:val="007A6B8E"/>
    <w:rsid w:val="007A6C9A"/>
    <w:rsid w:val="007A6CA8"/>
    <w:rsid w:val="007A6CC7"/>
    <w:rsid w:val="007A6E41"/>
    <w:rsid w:val="007A6E71"/>
    <w:rsid w:val="007A6EF9"/>
    <w:rsid w:val="007A6F3E"/>
    <w:rsid w:val="007A6FBB"/>
    <w:rsid w:val="007A6FFE"/>
    <w:rsid w:val="007A711D"/>
    <w:rsid w:val="007A7120"/>
    <w:rsid w:val="007A72FE"/>
    <w:rsid w:val="007A730E"/>
    <w:rsid w:val="007A73EF"/>
    <w:rsid w:val="007A74C5"/>
    <w:rsid w:val="007A759C"/>
    <w:rsid w:val="007A7632"/>
    <w:rsid w:val="007A76A1"/>
    <w:rsid w:val="007A78DC"/>
    <w:rsid w:val="007A78EE"/>
    <w:rsid w:val="007A7A02"/>
    <w:rsid w:val="007A7ADB"/>
    <w:rsid w:val="007A7AE2"/>
    <w:rsid w:val="007A7C04"/>
    <w:rsid w:val="007A7C2D"/>
    <w:rsid w:val="007A7E9B"/>
    <w:rsid w:val="007A7E9E"/>
    <w:rsid w:val="007A7FEA"/>
    <w:rsid w:val="007B002B"/>
    <w:rsid w:val="007B002C"/>
    <w:rsid w:val="007B010A"/>
    <w:rsid w:val="007B013E"/>
    <w:rsid w:val="007B0169"/>
    <w:rsid w:val="007B0183"/>
    <w:rsid w:val="007B05A7"/>
    <w:rsid w:val="007B0637"/>
    <w:rsid w:val="007B0B08"/>
    <w:rsid w:val="007B0B19"/>
    <w:rsid w:val="007B0B67"/>
    <w:rsid w:val="007B0CE9"/>
    <w:rsid w:val="007B0D0E"/>
    <w:rsid w:val="007B0EB5"/>
    <w:rsid w:val="007B0F19"/>
    <w:rsid w:val="007B0FE0"/>
    <w:rsid w:val="007B114D"/>
    <w:rsid w:val="007B116E"/>
    <w:rsid w:val="007B1190"/>
    <w:rsid w:val="007B12A6"/>
    <w:rsid w:val="007B13BD"/>
    <w:rsid w:val="007B13E1"/>
    <w:rsid w:val="007B1467"/>
    <w:rsid w:val="007B15E4"/>
    <w:rsid w:val="007B1685"/>
    <w:rsid w:val="007B178F"/>
    <w:rsid w:val="007B1843"/>
    <w:rsid w:val="007B1B06"/>
    <w:rsid w:val="007B1BA7"/>
    <w:rsid w:val="007B1C6E"/>
    <w:rsid w:val="007B1DD0"/>
    <w:rsid w:val="007B1DE0"/>
    <w:rsid w:val="007B202D"/>
    <w:rsid w:val="007B210F"/>
    <w:rsid w:val="007B2314"/>
    <w:rsid w:val="007B2462"/>
    <w:rsid w:val="007B24AA"/>
    <w:rsid w:val="007B24FA"/>
    <w:rsid w:val="007B2653"/>
    <w:rsid w:val="007B2850"/>
    <w:rsid w:val="007B290A"/>
    <w:rsid w:val="007B29D1"/>
    <w:rsid w:val="007B2C0C"/>
    <w:rsid w:val="007B2C33"/>
    <w:rsid w:val="007B2C55"/>
    <w:rsid w:val="007B2D43"/>
    <w:rsid w:val="007B2F9C"/>
    <w:rsid w:val="007B31FA"/>
    <w:rsid w:val="007B320D"/>
    <w:rsid w:val="007B3333"/>
    <w:rsid w:val="007B333C"/>
    <w:rsid w:val="007B3399"/>
    <w:rsid w:val="007B33D6"/>
    <w:rsid w:val="007B3509"/>
    <w:rsid w:val="007B355A"/>
    <w:rsid w:val="007B366F"/>
    <w:rsid w:val="007B3A98"/>
    <w:rsid w:val="007B3B9E"/>
    <w:rsid w:val="007B3BAE"/>
    <w:rsid w:val="007B3E0A"/>
    <w:rsid w:val="007B3F43"/>
    <w:rsid w:val="007B413B"/>
    <w:rsid w:val="007B4273"/>
    <w:rsid w:val="007B42CF"/>
    <w:rsid w:val="007B42E8"/>
    <w:rsid w:val="007B42F8"/>
    <w:rsid w:val="007B43C9"/>
    <w:rsid w:val="007B43D0"/>
    <w:rsid w:val="007B43DC"/>
    <w:rsid w:val="007B455B"/>
    <w:rsid w:val="007B45A6"/>
    <w:rsid w:val="007B4655"/>
    <w:rsid w:val="007B4867"/>
    <w:rsid w:val="007B49EF"/>
    <w:rsid w:val="007B4AA3"/>
    <w:rsid w:val="007B4BA7"/>
    <w:rsid w:val="007B4BA8"/>
    <w:rsid w:val="007B4C0E"/>
    <w:rsid w:val="007B4C22"/>
    <w:rsid w:val="007B4C70"/>
    <w:rsid w:val="007B4C74"/>
    <w:rsid w:val="007B4CFA"/>
    <w:rsid w:val="007B4DFC"/>
    <w:rsid w:val="007B508E"/>
    <w:rsid w:val="007B50D4"/>
    <w:rsid w:val="007B519D"/>
    <w:rsid w:val="007B5322"/>
    <w:rsid w:val="007B53E3"/>
    <w:rsid w:val="007B555A"/>
    <w:rsid w:val="007B572F"/>
    <w:rsid w:val="007B5831"/>
    <w:rsid w:val="007B589D"/>
    <w:rsid w:val="007B5983"/>
    <w:rsid w:val="007B5B10"/>
    <w:rsid w:val="007B5B47"/>
    <w:rsid w:val="007B5C50"/>
    <w:rsid w:val="007B5CD6"/>
    <w:rsid w:val="007B5D15"/>
    <w:rsid w:val="007B5D17"/>
    <w:rsid w:val="007B5F44"/>
    <w:rsid w:val="007B5FD6"/>
    <w:rsid w:val="007B5FE4"/>
    <w:rsid w:val="007B6036"/>
    <w:rsid w:val="007B6254"/>
    <w:rsid w:val="007B6281"/>
    <w:rsid w:val="007B62CE"/>
    <w:rsid w:val="007B6342"/>
    <w:rsid w:val="007B634C"/>
    <w:rsid w:val="007B6434"/>
    <w:rsid w:val="007B644D"/>
    <w:rsid w:val="007B64CA"/>
    <w:rsid w:val="007B64D0"/>
    <w:rsid w:val="007B654A"/>
    <w:rsid w:val="007B665B"/>
    <w:rsid w:val="007B67CF"/>
    <w:rsid w:val="007B685D"/>
    <w:rsid w:val="007B6957"/>
    <w:rsid w:val="007B69CF"/>
    <w:rsid w:val="007B6A7F"/>
    <w:rsid w:val="007B6AD9"/>
    <w:rsid w:val="007B6B2C"/>
    <w:rsid w:val="007B6B33"/>
    <w:rsid w:val="007B6C59"/>
    <w:rsid w:val="007B6C5F"/>
    <w:rsid w:val="007B6E48"/>
    <w:rsid w:val="007B6EF6"/>
    <w:rsid w:val="007B6FA3"/>
    <w:rsid w:val="007B70F6"/>
    <w:rsid w:val="007B7199"/>
    <w:rsid w:val="007B71D7"/>
    <w:rsid w:val="007B7213"/>
    <w:rsid w:val="007B7259"/>
    <w:rsid w:val="007B7525"/>
    <w:rsid w:val="007B75E7"/>
    <w:rsid w:val="007B761A"/>
    <w:rsid w:val="007B7694"/>
    <w:rsid w:val="007B776E"/>
    <w:rsid w:val="007B795E"/>
    <w:rsid w:val="007B79C4"/>
    <w:rsid w:val="007B7AE1"/>
    <w:rsid w:val="007B7B5E"/>
    <w:rsid w:val="007B7B89"/>
    <w:rsid w:val="007B7C0F"/>
    <w:rsid w:val="007B7D34"/>
    <w:rsid w:val="007B7D86"/>
    <w:rsid w:val="007B7D96"/>
    <w:rsid w:val="007B7F1E"/>
    <w:rsid w:val="007C0137"/>
    <w:rsid w:val="007C0300"/>
    <w:rsid w:val="007C03FC"/>
    <w:rsid w:val="007C0427"/>
    <w:rsid w:val="007C0563"/>
    <w:rsid w:val="007C05EC"/>
    <w:rsid w:val="007C07A0"/>
    <w:rsid w:val="007C0AD5"/>
    <w:rsid w:val="007C0B06"/>
    <w:rsid w:val="007C0BCF"/>
    <w:rsid w:val="007C0C44"/>
    <w:rsid w:val="007C0C67"/>
    <w:rsid w:val="007C0C89"/>
    <w:rsid w:val="007C0CB1"/>
    <w:rsid w:val="007C0D2F"/>
    <w:rsid w:val="007C0D8E"/>
    <w:rsid w:val="007C0D90"/>
    <w:rsid w:val="007C0E28"/>
    <w:rsid w:val="007C0F03"/>
    <w:rsid w:val="007C109C"/>
    <w:rsid w:val="007C11CD"/>
    <w:rsid w:val="007C12A9"/>
    <w:rsid w:val="007C12CD"/>
    <w:rsid w:val="007C1318"/>
    <w:rsid w:val="007C1321"/>
    <w:rsid w:val="007C1480"/>
    <w:rsid w:val="007C1551"/>
    <w:rsid w:val="007C1575"/>
    <w:rsid w:val="007C1689"/>
    <w:rsid w:val="007C1727"/>
    <w:rsid w:val="007C182F"/>
    <w:rsid w:val="007C1C12"/>
    <w:rsid w:val="007C1C4B"/>
    <w:rsid w:val="007C1C8B"/>
    <w:rsid w:val="007C1CB5"/>
    <w:rsid w:val="007C1E1C"/>
    <w:rsid w:val="007C1F9F"/>
    <w:rsid w:val="007C209B"/>
    <w:rsid w:val="007C210A"/>
    <w:rsid w:val="007C2168"/>
    <w:rsid w:val="007C217E"/>
    <w:rsid w:val="007C223C"/>
    <w:rsid w:val="007C238B"/>
    <w:rsid w:val="007C2400"/>
    <w:rsid w:val="007C2416"/>
    <w:rsid w:val="007C2585"/>
    <w:rsid w:val="007C25D3"/>
    <w:rsid w:val="007C270E"/>
    <w:rsid w:val="007C277C"/>
    <w:rsid w:val="007C278C"/>
    <w:rsid w:val="007C2791"/>
    <w:rsid w:val="007C298C"/>
    <w:rsid w:val="007C2C9D"/>
    <w:rsid w:val="007C2CF5"/>
    <w:rsid w:val="007C2D80"/>
    <w:rsid w:val="007C2E8A"/>
    <w:rsid w:val="007C2EF2"/>
    <w:rsid w:val="007C2F50"/>
    <w:rsid w:val="007C3076"/>
    <w:rsid w:val="007C3272"/>
    <w:rsid w:val="007C32E2"/>
    <w:rsid w:val="007C33FF"/>
    <w:rsid w:val="007C34F8"/>
    <w:rsid w:val="007C3557"/>
    <w:rsid w:val="007C35AB"/>
    <w:rsid w:val="007C3692"/>
    <w:rsid w:val="007C3A6D"/>
    <w:rsid w:val="007C3BF1"/>
    <w:rsid w:val="007C3C2E"/>
    <w:rsid w:val="007C3D09"/>
    <w:rsid w:val="007C3D5F"/>
    <w:rsid w:val="007C3DD1"/>
    <w:rsid w:val="007C3EBC"/>
    <w:rsid w:val="007C406D"/>
    <w:rsid w:val="007C41D9"/>
    <w:rsid w:val="007C4867"/>
    <w:rsid w:val="007C4880"/>
    <w:rsid w:val="007C48FB"/>
    <w:rsid w:val="007C4AD2"/>
    <w:rsid w:val="007C4C6F"/>
    <w:rsid w:val="007C4CBE"/>
    <w:rsid w:val="007C4D52"/>
    <w:rsid w:val="007C4D83"/>
    <w:rsid w:val="007C4DD5"/>
    <w:rsid w:val="007C4E38"/>
    <w:rsid w:val="007C4E69"/>
    <w:rsid w:val="007C4EC5"/>
    <w:rsid w:val="007C4EF6"/>
    <w:rsid w:val="007C51CE"/>
    <w:rsid w:val="007C5309"/>
    <w:rsid w:val="007C536B"/>
    <w:rsid w:val="007C540F"/>
    <w:rsid w:val="007C54A3"/>
    <w:rsid w:val="007C54C5"/>
    <w:rsid w:val="007C567D"/>
    <w:rsid w:val="007C5691"/>
    <w:rsid w:val="007C569D"/>
    <w:rsid w:val="007C56D9"/>
    <w:rsid w:val="007C57A9"/>
    <w:rsid w:val="007C5834"/>
    <w:rsid w:val="007C5900"/>
    <w:rsid w:val="007C5A24"/>
    <w:rsid w:val="007C5B62"/>
    <w:rsid w:val="007C5BEF"/>
    <w:rsid w:val="007C5C60"/>
    <w:rsid w:val="007C5CFD"/>
    <w:rsid w:val="007C5D73"/>
    <w:rsid w:val="007C5F54"/>
    <w:rsid w:val="007C5FBF"/>
    <w:rsid w:val="007C625A"/>
    <w:rsid w:val="007C63AA"/>
    <w:rsid w:val="007C63D9"/>
    <w:rsid w:val="007C6417"/>
    <w:rsid w:val="007C6438"/>
    <w:rsid w:val="007C647E"/>
    <w:rsid w:val="007C6573"/>
    <w:rsid w:val="007C65DB"/>
    <w:rsid w:val="007C6816"/>
    <w:rsid w:val="007C693C"/>
    <w:rsid w:val="007C6959"/>
    <w:rsid w:val="007C6AAE"/>
    <w:rsid w:val="007C6B86"/>
    <w:rsid w:val="007C6B90"/>
    <w:rsid w:val="007C6C26"/>
    <w:rsid w:val="007C6C58"/>
    <w:rsid w:val="007C6E09"/>
    <w:rsid w:val="007C6E73"/>
    <w:rsid w:val="007C6F2C"/>
    <w:rsid w:val="007C6F55"/>
    <w:rsid w:val="007C7080"/>
    <w:rsid w:val="007C70B8"/>
    <w:rsid w:val="007C70FD"/>
    <w:rsid w:val="007C7124"/>
    <w:rsid w:val="007C71B7"/>
    <w:rsid w:val="007C7203"/>
    <w:rsid w:val="007C7233"/>
    <w:rsid w:val="007C728E"/>
    <w:rsid w:val="007C72D7"/>
    <w:rsid w:val="007C7358"/>
    <w:rsid w:val="007C73B1"/>
    <w:rsid w:val="007C7546"/>
    <w:rsid w:val="007C7585"/>
    <w:rsid w:val="007C77A4"/>
    <w:rsid w:val="007C78A6"/>
    <w:rsid w:val="007C78E7"/>
    <w:rsid w:val="007C791A"/>
    <w:rsid w:val="007C7986"/>
    <w:rsid w:val="007C798B"/>
    <w:rsid w:val="007C7DF4"/>
    <w:rsid w:val="007C7DFA"/>
    <w:rsid w:val="007C7F0C"/>
    <w:rsid w:val="007C7F1D"/>
    <w:rsid w:val="007C7F77"/>
    <w:rsid w:val="007C7FD4"/>
    <w:rsid w:val="007D003C"/>
    <w:rsid w:val="007D0222"/>
    <w:rsid w:val="007D03CD"/>
    <w:rsid w:val="007D0435"/>
    <w:rsid w:val="007D05B1"/>
    <w:rsid w:val="007D06CF"/>
    <w:rsid w:val="007D0701"/>
    <w:rsid w:val="007D071E"/>
    <w:rsid w:val="007D072D"/>
    <w:rsid w:val="007D08CD"/>
    <w:rsid w:val="007D0AA2"/>
    <w:rsid w:val="007D0ABF"/>
    <w:rsid w:val="007D0B7F"/>
    <w:rsid w:val="007D0C98"/>
    <w:rsid w:val="007D0DD9"/>
    <w:rsid w:val="007D1029"/>
    <w:rsid w:val="007D1091"/>
    <w:rsid w:val="007D1096"/>
    <w:rsid w:val="007D10B0"/>
    <w:rsid w:val="007D1195"/>
    <w:rsid w:val="007D122B"/>
    <w:rsid w:val="007D1325"/>
    <w:rsid w:val="007D1336"/>
    <w:rsid w:val="007D1454"/>
    <w:rsid w:val="007D147F"/>
    <w:rsid w:val="007D1794"/>
    <w:rsid w:val="007D1866"/>
    <w:rsid w:val="007D1896"/>
    <w:rsid w:val="007D1A20"/>
    <w:rsid w:val="007D1BD5"/>
    <w:rsid w:val="007D1CB4"/>
    <w:rsid w:val="007D1D0E"/>
    <w:rsid w:val="007D1D76"/>
    <w:rsid w:val="007D1EB4"/>
    <w:rsid w:val="007D1FAD"/>
    <w:rsid w:val="007D1FAE"/>
    <w:rsid w:val="007D20D8"/>
    <w:rsid w:val="007D22AE"/>
    <w:rsid w:val="007D271E"/>
    <w:rsid w:val="007D283A"/>
    <w:rsid w:val="007D2A88"/>
    <w:rsid w:val="007D2CBF"/>
    <w:rsid w:val="007D2CFF"/>
    <w:rsid w:val="007D2FDF"/>
    <w:rsid w:val="007D308B"/>
    <w:rsid w:val="007D30A1"/>
    <w:rsid w:val="007D3186"/>
    <w:rsid w:val="007D3351"/>
    <w:rsid w:val="007D3524"/>
    <w:rsid w:val="007D35E4"/>
    <w:rsid w:val="007D3603"/>
    <w:rsid w:val="007D36CB"/>
    <w:rsid w:val="007D38C5"/>
    <w:rsid w:val="007D3938"/>
    <w:rsid w:val="007D393E"/>
    <w:rsid w:val="007D3985"/>
    <w:rsid w:val="007D3B32"/>
    <w:rsid w:val="007D3B99"/>
    <w:rsid w:val="007D3C8F"/>
    <w:rsid w:val="007D3DB3"/>
    <w:rsid w:val="007D3E47"/>
    <w:rsid w:val="007D3F36"/>
    <w:rsid w:val="007D3FC5"/>
    <w:rsid w:val="007D4245"/>
    <w:rsid w:val="007D42A0"/>
    <w:rsid w:val="007D42BE"/>
    <w:rsid w:val="007D4332"/>
    <w:rsid w:val="007D4352"/>
    <w:rsid w:val="007D4353"/>
    <w:rsid w:val="007D436A"/>
    <w:rsid w:val="007D4401"/>
    <w:rsid w:val="007D441A"/>
    <w:rsid w:val="007D44B7"/>
    <w:rsid w:val="007D4716"/>
    <w:rsid w:val="007D4B24"/>
    <w:rsid w:val="007D4B52"/>
    <w:rsid w:val="007D4BD0"/>
    <w:rsid w:val="007D4C7F"/>
    <w:rsid w:val="007D4D18"/>
    <w:rsid w:val="007D4E22"/>
    <w:rsid w:val="007D4E39"/>
    <w:rsid w:val="007D4F58"/>
    <w:rsid w:val="007D4FA3"/>
    <w:rsid w:val="007D5145"/>
    <w:rsid w:val="007D5160"/>
    <w:rsid w:val="007D516C"/>
    <w:rsid w:val="007D5185"/>
    <w:rsid w:val="007D52A2"/>
    <w:rsid w:val="007D52A6"/>
    <w:rsid w:val="007D52A7"/>
    <w:rsid w:val="007D54E3"/>
    <w:rsid w:val="007D55A7"/>
    <w:rsid w:val="007D5626"/>
    <w:rsid w:val="007D574B"/>
    <w:rsid w:val="007D57CE"/>
    <w:rsid w:val="007D57F4"/>
    <w:rsid w:val="007D5851"/>
    <w:rsid w:val="007D58D0"/>
    <w:rsid w:val="007D5945"/>
    <w:rsid w:val="007D596B"/>
    <w:rsid w:val="007D598A"/>
    <w:rsid w:val="007D59C2"/>
    <w:rsid w:val="007D59D2"/>
    <w:rsid w:val="007D5AC0"/>
    <w:rsid w:val="007D5B4D"/>
    <w:rsid w:val="007D5BDC"/>
    <w:rsid w:val="007D5C48"/>
    <w:rsid w:val="007D5C52"/>
    <w:rsid w:val="007D5C64"/>
    <w:rsid w:val="007D5CC9"/>
    <w:rsid w:val="007D5CFA"/>
    <w:rsid w:val="007D5FFC"/>
    <w:rsid w:val="007D6100"/>
    <w:rsid w:val="007D617B"/>
    <w:rsid w:val="007D61E2"/>
    <w:rsid w:val="007D627A"/>
    <w:rsid w:val="007D63A8"/>
    <w:rsid w:val="007D6591"/>
    <w:rsid w:val="007D6684"/>
    <w:rsid w:val="007D66AB"/>
    <w:rsid w:val="007D674D"/>
    <w:rsid w:val="007D693C"/>
    <w:rsid w:val="007D699C"/>
    <w:rsid w:val="007D69A4"/>
    <w:rsid w:val="007D6B0A"/>
    <w:rsid w:val="007D6C23"/>
    <w:rsid w:val="007D6C3A"/>
    <w:rsid w:val="007D6C3C"/>
    <w:rsid w:val="007D6DEA"/>
    <w:rsid w:val="007D6F43"/>
    <w:rsid w:val="007D7017"/>
    <w:rsid w:val="007D702D"/>
    <w:rsid w:val="007D70E6"/>
    <w:rsid w:val="007D72A3"/>
    <w:rsid w:val="007D7381"/>
    <w:rsid w:val="007D7386"/>
    <w:rsid w:val="007D73BD"/>
    <w:rsid w:val="007D73E3"/>
    <w:rsid w:val="007D768B"/>
    <w:rsid w:val="007D7853"/>
    <w:rsid w:val="007D78E7"/>
    <w:rsid w:val="007D7921"/>
    <w:rsid w:val="007D795C"/>
    <w:rsid w:val="007D7B34"/>
    <w:rsid w:val="007D7C31"/>
    <w:rsid w:val="007D7DA4"/>
    <w:rsid w:val="007D7DB2"/>
    <w:rsid w:val="007E0033"/>
    <w:rsid w:val="007E00D1"/>
    <w:rsid w:val="007E011C"/>
    <w:rsid w:val="007E014C"/>
    <w:rsid w:val="007E01FE"/>
    <w:rsid w:val="007E031D"/>
    <w:rsid w:val="007E03B5"/>
    <w:rsid w:val="007E054F"/>
    <w:rsid w:val="007E055B"/>
    <w:rsid w:val="007E074E"/>
    <w:rsid w:val="007E0976"/>
    <w:rsid w:val="007E0981"/>
    <w:rsid w:val="007E0AAB"/>
    <w:rsid w:val="007E0ACF"/>
    <w:rsid w:val="007E0BFD"/>
    <w:rsid w:val="007E0C0B"/>
    <w:rsid w:val="007E0C87"/>
    <w:rsid w:val="007E0E0C"/>
    <w:rsid w:val="007E0E8C"/>
    <w:rsid w:val="007E0E8D"/>
    <w:rsid w:val="007E0FA1"/>
    <w:rsid w:val="007E0FC7"/>
    <w:rsid w:val="007E111F"/>
    <w:rsid w:val="007E1266"/>
    <w:rsid w:val="007E128C"/>
    <w:rsid w:val="007E1540"/>
    <w:rsid w:val="007E1721"/>
    <w:rsid w:val="007E1804"/>
    <w:rsid w:val="007E1999"/>
    <w:rsid w:val="007E1A6A"/>
    <w:rsid w:val="007E1C38"/>
    <w:rsid w:val="007E1C45"/>
    <w:rsid w:val="007E1CCA"/>
    <w:rsid w:val="007E1D74"/>
    <w:rsid w:val="007E1D87"/>
    <w:rsid w:val="007E1ED1"/>
    <w:rsid w:val="007E203F"/>
    <w:rsid w:val="007E2058"/>
    <w:rsid w:val="007E2065"/>
    <w:rsid w:val="007E2129"/>
    <w:rsid w:val="007E2156"/>
    <w:rsid w:val="007E219F"/>
    <w:rsid w:val="007E22DE"/>
    <w:rsid w:val="007E2362"/>
    <w:rsid w:val="007E2368"/>
    <w:rsid w:val="007E23DD"/>
    <w:rsid w:val="007E23F5"/>
    <w:rsid w:val="007E2451"/>
    <w:rsid w:val="007E2573"/>
    <w:rsid w:val="007E25A8"/>
    <w:rsid w:val="007E25D0"/>
    <w:rsid w:val="007E25FF"/>
    <w:rsid w:val="007E2637"/>
    <w:rsid w:val="007E27D8"/>
    <w:rsid w:val="007E2AC1"/>
    <w:rsid w:val="007E2BC4"/>
    <w:rsid w:val="007E2BD8"/>
    <w:rsid w:val="007E2C33"/>
    <w:rsid w:val="007E2D81"/>
    <w:rsid w:val="007E2F31"/>
    <w:rsid w:val="007E2FC1"/>
    <w:rsid w:val="007E30D2"/>
    <w:rsid w:val="007E31A7"/>
    <w:rsid w:val="007E31E4"/>
    <w:rsid w:val="007E324A"/>
    <w:rsid w:val="007E35C0"/>
    <w:rsid w:val="007E3665"/>
    <w:rsid w:val="007E37BF"/>
    <w:rsid w:val="007E385A"/>
    <w:rsid w:val="007E3979"/>
    <w:rsid w:val="007E3A58"/>
    <w:rsid w:val="007E3A76"/>
    <w:rsid w:val="007E3AF0"/>
    <w:rsid w:val="007E3C1A"/>
    <w:rsid w:val="007E3CE1"/>
    <w:rsid w:val="007E3CED"/>
    <w:rsid w:val="007E3F90"/>
    <w:rsid w:val="007E41DD"/>
    <w:rsid w:val="007E4244"/>
    <w:rsid w:val="007E42A7"/>
    <w:rsid w:val="007E43C1"/>
    <w:rsid w:val="007E4462"/>
    <w:rsid w:val="007E44A3"/>
    <w:rsid w:val="007E45F9"/>
    <w:rsid w:val="007E4664"/>
    <w:rsid w:val="007E47D8"/>
    <w:rsid w:val="007E4873"/>
    <w:rsid w:val="007E48FC"/>
    <w:rsid w:val="007E4ABF"/>
    <w:rsid w:val="007E4AE4"/>
    <w:rsid w:val="007E4B7B"/>
    <w:rsid w:val="007E4B81"/>
    <w:rsid w:val="007E4C0D"/>
    <w:rsid w:val="007E4CDC"/>
    <w:rsid w:val="007E4D61"/>
    <w:rsid w:val="007E4F10"/>
    <w:rsid w:val="007E4F19"/>
    <w:rsid w:val="007E517B"/>
    <w:rsid w:val="007E51A4"/>
    <w:rsid w:val="007E5329"/>
    <w:rsid w:val="007E5341"/>
    <w:rsid w:val="007E53D8"/>
    <w:rsid w:val="007E5478"/>
    <w:rsid w:val="007E54F2"/>
    <w:rsid w:val="007E55DE"/>
    <w:rsid w:val="007E561B"/>
    <w:rsid w:val="007E5813"/>
    <w:rsid w:val="007E5854"/>
    <w:rsid w:val="007E5876"/>
    <w:rsid w:val="007E58FA"/>
    <w:rsid w:val="007E58FF"/>
    <w:rsid w:val="007E5B48"/>
    <w:rsid w:val="007E5BE9"/>
    <w:rsid w:val="007E5C8F"/>
    <w:rsid w:val="007E5CE5"/>
    <w:rsid w:val="007E5D50"/>
    <w:rsid w:val="007E5DB4"/>
    <w:rsid w:val="007E5F35"/>
    <w:rsid w:val="007E5F39"/>
    <w:rsid w:val="007E5F95"/>
    <w:rsid w:val="007E609E"/>
    <w:rsid w:val="007E612C"/>
    <w:rsid w:val="007E61C2"/>
    <w:rsid w:val="007E61D8"/>
    <w:rsid w:val="007E6242"/>
    <w:rsid w:val="007E6337"/>
    <w:rsid w:val="007E6480"/>
    <w:rsid w:val="007E653D"/>
    <w:rsid w:val="007E656F"/>
    <w:rsid w:val="007E6634"/>
    <w:rsid w:val="007E67D3"/>
    <w:rsid w:val="007E67DE"/>
    <w:rsid w:val="007E68AF"/>
    <w:rsid w:val="007E68C6"/>
    <w:rsid w:val="007E68F1"/>
    <w:rsid w:val="007E6977"/>
    <w:rsid w:val="007E69DD"/>
    <w:rsid w:val="007E6D00"/>
    <w:rsid w:val="007E6D14"/>
    <w:rsid w:val="007E6D27"/>
    <w:rsid w:val="007E6D7B"/>
    <w:rsid w:val="007E6D9B"/>
    <w:rsid w:val="007E6EAE"/>
    <w:rsid w:val="007E6EB5"/>
    <w:rsid w:val="007E7014"/>
    <w:rsid w:val="007E71AF"/>
    <w:rsid w:val="007E71D1"/>
    <w:rsid w:val="007E72CB"/>
    <w:rsid w:val="007E7389"/>
    <w:rsid w:val="007E73AE"/>
    <w:rsid w:val="007E73C1"/>
    <w:rsid w:val="007E7472"/>
    <w:rsid w:val="007E74F1"/>
    <w:rsid w:val="007E7548"/>
    <w:rsid w:val="007E7622"/>
    <w:rsid w:val="007E7686"/>
    <w:rsid w:val="007E76B4"/>
    <w:rsid w:val="007E7A62"/>
    <w:rsid w:val="007E7B64"/>
    <w:rsid w:val="007E7BB3"/>
    <w:rsid w:val="007E7C51"/>
    <w:rsid w:val="007E7D26"/>
    <w:rsid w:val="007E7D76"/>
    <w:rsid w:val="007E7D85"/>
    <w:rsid w:val="007E7DEC"/>
    <w:rsid w:val="007E7E0D"/>
    <w:rsid w:val="007E7E67"/>
    <w:rsid w:val="007E7F10"/>
    <w:rsid w:val="007F0029"/>
    <w:rsid w:val="007F0082"/>
    <w:rsid w:val="007F0139"/>
    <w:rsid w:val="007F01B3"/>
    <w:rsid w:val="007F01B6"/>
    <w:rsid w:val="007F0262"/>
    <w:rsid w:val="007F0354"/>
    <w:rsid w:val="007F039A"/>
    <w:rsid w:val="007F0410"/>
    <w:rsid w:val="007F04DE"/>
    <w:rsid w:val="007F0527"/>
    <w:rsid w:val="007F077F"/>
    <w:rsid w:val="007F0821"/>
    <w:rsid w:val="007F083F"/>
    <w:rsid w:val="007F0A06"/>
    <w:rsid w:val="007F0B70"/>
    <w:rsid w:val="007F0C86"/>
    <w:rsid w:val="007F0D0F"/>
    <w:rsid w:val="007F0D78"/>
    <w:rsid w:val="007F0E9C"/>
    <w:rsid w:val="007F0EDE"/>
    <w:rsid w:val="007F12B0"/>
    <w:rsid w:val="007F14D4"/>
    <w:rsid w:val="007F1541"/>
    <w:rsid w:val="007F17EF"/>
    <w:rsid w:val="007F17FA"/>
    <w:rsid w:val="007F18A8"/>
    <w:rsid w:val="007F18FF"/>
    <w:rsid w:val="007F1914"/>
    <w:rsid w:val="007F1973"/>
    <w:rsid w:val="007F1982"/>
    <w:rsid w:val="007F1990"/>
    <w:rsid w:val="007F1AF8"/>
    <w:rsid w:val="007F1B46"/>
    <w:rsid w:val="007F1BE1"/>
    <w:rsid w:val="007F1C61"/>
    <w:rsid w:val="007F1F31"/>
    <w:rsid w:val="007F1F65"/>
    <w:rsid w:val="007F2243"/>
    <w:rsid w:val="007F2328"/>
    <w:rsid w:val="007F238B"/>
    <w:rsid w:val="007F24EF"/>
    <w:rsid w:val="007F2610"/>
    <w:rsid w:val="007F2730"/>
    <w:rsid w:val="007F2797"/>
    <w:rsid w:val="007F284C"/>
    <w:rsid w:val="007F2965"/>
    <w:rsid w:val="007F2A64"/>
    <w:rsid w:val="007F2B94"/>
    <w:rsid w:val="007F2C20"/>
    <w:rsid w:val="007F2C60"/>
    <w:rsid w:val="007F2C62"/>
    <w:rsid w:val="007F2D66"/>
    <w:rsid w:val="007F2EA4"/>
    <w:rsid w:val="007F30E3"/>
    <w:rsid w:val="007F310D"/>
    <w:rsid w:val="007F3138"/>
    <w:rsid w:val="007F3155"/>
    <w:rsid w:val="007F320A"/>
    <w:rsid w:val="007F3229"/>
    <w:rsid w:val="007F32EC"/>
    <w:rsid w:val="007F3338"/>
    <w:rsid w:val="007F3344"/>
    <w:rsid w:val="007F3354"/>
    <w:rsid w:val="007F3358"/>
    <w:rsid w:val="007F3453"/>
    <w:rsid w:val="007F3543"/>
    <w:rsid w:val="007F357D"/>
    <w:rsid w:val="007F3618"/>
    <w:rsid w:val="007F3668"/>
    <w:rsid w:val="007F368E"/>
    <w:rsid w:val="007F36EF"/>
    <w:rsid w:val="007F3797"/>
    <w:rsid w:val="007F3842"/>
    <w:rsid w:val="007F3A60"/>
    <w:rsid w:val="007F3A6C"/>
    <w:rsid w:val="007F3A89"/>
    <w:rsid w:val="007F3C08"/>
    <w:rsid w:val="007F3C77"/>
    <w:rsid w:val="007F3CB7"/>
    <w:rsid w:val="007F3D30"/>
    <w:rsid w:val="007F3D49"/>
    <w:rsid w:val="007F3D96"/>
    <w:rsid w:val="007F3FA5"/>
    <w:rsid w:val="007F3FB5"/>
    <w:rsid w:val="007F409D"/>
    <w:rsid w:val="007F40A8"/>
    <w:rsid w:val="007F40CF"/>
    <w:rsid w:val="007F40F1"/>
    <w:rsid w:val="007F4196"/>
    <w:rsid w:val="007F4201"/>
    <w:rsid w:val="007F43EF"/>
    <w:rsid w:val="007F4655"/>
    <w:rsid w:val="007F4712"/>
    <w:rsid w:val="007F473F"/>
    <w:rsid w:val="007F47A5"/>
    <w:rsid w:val="007F481A"/>
    <w:rsid w:val="007F4863"/>
    <w:rsid w:val="007F48DE"/>
    <w:rsid w:val="007F4966"/>
    <w:rsid w:val="007F49FC"/>
    <w:rsid w:val="007F4A49"/>
    <w:rsid w:val="007F4A7A"/>
    <w:rsid w:val="007F4C81"/>
    <w:rsid w:val="007F4D94"/>
    <w:rsid w:val="007F4DE3"/>
    <w:rsid w:val="007F4E94"/>
    <w:rsid w:val="007F4F2A"/>
    <w:rsid w:val="007F501B"/>
    <w:rsid w:val="007F50A2"/>
    <w:rsid w:val="007F515B"/>
    <w:rsid w:val="007F5185"/>
    <w:rsid w:val="007F51CF"/>
    <w:rsid w:val="007F520E"/>
    <w:rsid w:val="007F5555"/>
    <w:rsid w:val="007F55DB"/>
    <w:rsid w:val="007F5604"/>
    <w:rsid w:val="007F5651"/>
    <w:rsid w:val="007F56DD"/>
    <w:rsid w:val="007F572F"/>
    <w:rsid w:val="007F576A"/>
    <w:rsid w:val="007F57B6"/>
    <w:rsid w:val="007F583E"/>
    <w:rsid w:val="007F588A"/>
    <w:rsid w:val="007F59C6"/>
    <w:rsid w:val="007F5A86"/>
    <w:rsid w:val="007F5AD4"/>
    <w:rsid w:val="007F5C26"/>
    <w:rsid w:val="007F5D27"/>
    <w:rsid w:val="007F5DF0"/>
    <w:rsid w:val="007F5E11"/>
    <w:rsid w:val="007F5EBF"/>
    <w:rsid w:val="007F5FEC"/>
    <w:rsid w:val="007F6046"/>
    <w:rsid w:val="007F6252"/>
    <w:rsid w:val="007F629E"/>
    <w:rsid w:val="007F6374"/>
    <w:rsid w:val="007F63EF"/>
    <w:rsid w:val="007F64B8"/>
    <w:rsid w:val="007F64E8"/>
    <w:rsid w:val="007F64F2"/>
    <w:rsid w:val="007F655C"/>
    <w:rsid w:val="007F656F"/>
    <w:rsid w:val="007F6696"/>
    <w:rsid w:val="007F66F4"/>
    <w:rsid w:val="007F6725"/>
    <w:rsid w:val="007F6726"/>
    <w:rsid w:val="007F68B1"/>
    <w:rsid w:val="007F696E"/>
    <w:rsid w:val="007F6D16"/>
    <w:rsid w:val="007F6DFE"/>
    <w:rsid w:val="007F6F5A"/>
    <w:rsid w:val="007F6F5D"/>
    <w:rsid w:val="007F6FE7"/>
    <w:rsid w:val="007F71B8"/>
    <w:rsid w:val="007F7213"/>
    <w:rsid w:val="007F725D"/>
    <w:rsid w:val="007F72D7"/>
    <w:rsid w:val="007F7502"/>
    <w:rsid w:val="007F75B3"/>
    <w:rsid w:val="007F7656"/>
    <w:rsid w:val="007F784C"/>
    <w:rsid w:val="007F78BE"/>
    <w:rsid w:val="007F790F"/>
    <w:rsid w:val="007F79A6"/>
    <w:rsid w:val="007F79CD"/>
    <w:rsid w:val="007F7A0C"/>
    <w:rsid w:val="007F7A99"/>
    <w:rsid w:val="007F7BCA"/>
    <w:rsid w:val="00800060"/>
    <w:rsid w:val="008001BC"/>
    <w:rsid w:val="0080028A"/>
    <w:rsid w:val="008005AF"/>
    <w:rsid w:val="008005EE"/>
    <w:rsid w:val="0080069F"/>
    <w:rsid w:val="00800728"/>
    <w:rsid w:val="008007FE"/>
    <w:rsid w:val="008008E4"/>
    <w:rsid w:val="00800B9E"/>
    <w:rsid w:val="00800CAD"/>
    <w:rsid w:val="00800D05"/>
    <w:rsid w:val="00800D59"/>
    <w:rsid w:val="00800D88"/>
    <w:rsid w:val="00800E59"/>
    <w:rsid w:val="00800F7E"/>
    <w:rsid w:val="00801078"/>
    <w:rsid w:val="008011B6"/>
    <w:rsid w:val="008011B7"/>
    <w:rsid w:val="008011E4"/>
    <w:rsid w:val="0080123A"/>
    <w:rsid w:val="0080128F"/>
    <w:rsid w:val="008012D1"/>
    <w:rsid w:val="0080133B"/>
    <w:rsid w:val="008014EB"/>
    <w:rsid w:val="008015B4"/>
    <w:rsid w:val="00801770"/>
    <w:rsid w:val="008017D5"/>
    <w:rsid w:val="008017DB"/>
    <w:rsid w:val="00801880"/>
    <w:rsid w:val="008019D8"/>
    <w:rsid w:val="00801A58"/>
    <w:rsid w:val="00801C2A"/>
    <w:rsid w:val="00801C68"/>
    <w:rsid w:val="00801ECC"/>
    <w:rsid w:val="00801EFA"/>
    <w:rsid w:val="00801F45"/>
    <w:rsid w:val="00801F82"/>
    <w:rsid w:val="008020CC"/>
    <w:rsid w:val="0080244D"/>
    <w:rsid w:val="00802496"/>
    <w:rsid w:val="0080251A"/>
    <w:rsid w:val="0080284F"/>
    <w:rsid w:val="008028E6"/>
    <w:rsid w:val="008028EB"/>
    <w:rsid w:val="00802934"/>
    <w:rsid w:val="00802940"/>
    <w:rsid w:val="00802C7C"/>
    <w:rsid w:val="00802CF7"/>
    <w:rsid w:val="00802DDC"/>
    <w:rsid w:val="00802FB1"/>
    <w:rsid w:val="00803023"/>
    <w:rsid w:val="008031A4"/>
    <w:rsid w:val="00803347"/>
    <w:rsid w:val="008034D3"/>
    <w:rsid w:val="00803589"/>
    <w:rsid w:val="008035F6"/>
    <w:rsid w:val="00803767"/>
    <w:rsid w:val="008037B9"/>
    <w:rsid w:val="008039EC"/>
    <w:rsid w:val="00803A83"/>
    <w:rsid w:val="00803BD5"/>
    <w:rsid w:val="00803D00"/>
    <w:rsid w:val="00803D2E"/>
    <w:rsid w:val="00803EAD"/>
    <w:rsid w:val="00803EB5"/>
    <w:rsid w:val="00804018"/>
    <w:rsid w:val="00804042"/>
    <w:rsid w:val="0080409C"/>
    <w:rsid w:val="0080414C"/>
    <w:rsid w:val="008042F6"/>
    <w:rsid w:val="0080436D"/>
    <w:rsid w:val="008043DA"/>
    <w:rsid w:val="008043F1"/>
    <w:rsid w:val="0080452A"/>
    <w:rsid w:val="0080455B"/>
    <w:rsid w:val="00804610"/>
    <w:rsid w:val="0080466F"/>
    <w:rsid w:val="008046AE"/>
    <w:rsid w:val="00804715"/>
    <w:rsid w:val="008049C6"/>
    <w:rsid w:val="008049E1"/>
    <w:rsid w:val="00804A22"/>
    <w:rsid w:val="00804A5A"/>
    <w:rsid w:val="00804B63"/>
    <w:rsid w:val="00804BA9"/>
    <w:rsid w:val="00804C3A"/>
    <w:rsid w:val="00804D48"/>
    <w:rsid w:val="00804EC7"/>
    <w:rsid w:val="00804FBC"/>
    <w:rsid w:val="008050DD"/>
    <w:rsid w:val="008052EF"/>
    <w:rsid w:val="00805331"/>
    <w:rsid w:val="0080536D"/>
    <w:rsid w:val="008053DE"/>
    <w:rsid w:val="008054C6"/>
    <w:rsid w:val="0080574C"/>
    <w:rsid w:val="00805789"/>
    <w:rsid w:val="00805885"/>
    <w:rsid w:val="00805930"/>
    <w:rsid w:val="0080595F"/>
    <w:rsid w:val="00805B75"/>
    <w:rsid w:val="00805CD0"/>
    <w:rsid w:val="00805CFC"/>
    <w:rsid w:val="008061A1"/>
    <w:rsid w:val="00806275"/>
    <w:rsid w:val="00806354"/>
    <w:rsid w:val="0080636E"/>
    <w:rsid w:val="008063BF"/>
    <w:rsid w:val="00806418"/>
    <w:rsid w:val="0080689A"/>
    <w:rsid w:val="008068D0"/>
    <w:rsid w:val="008069CD"/>
    <w:rsid w:val="00806DDE"/>
    <w:rsid w:val="00806FF7"/>
    <w:rsid w:val="0080701D"/>
    <w:rsid w:val="00807150"/>
    <w:rsid w:val="00807185"/>
    <w:rsid w:val="008073AF"/>
    <w:rsid w:val="008075CC"/>
    <w:rsid w:val="008077BE"/>
    <w:rsid w:val="008078A3"/>
    <w:rsid w:val="0080791B"/>
    <w:rsid w:val="00807959"/>
    <w:rsid w:val="008079E1"/>
    <w:rsid w:val="00807A39"/>
    <w:rsid w:val="00807B48"/>
    <w:rsid w:val="00807BA4"/>
    <w:rsid w:val="00807C04"/>
    <w:rsid w:val="00807E50"/>
    <w:rsid w:val="00807F36"/>
    <w:rsid w:val="00807F5B"/>
    <w:rsid w:val="00807FFE"/>
    <w:rsid w:val="008100B5"/>
    <w:rsid w:val="008100B8"/>
    <w:rsid w:val="00810318"/>
    <w:rsid w:val="00810347"/>
    <w:rsid w:val="00810484"/>
    <w:rsid w:val="008105A8"/>
    <w:rsid w:val="008106D1"/>
    <w:rsid w:val="008106F9"/>
    <w:rsid w:val="00810758"/>
    <w:rsid w:val="0081089E"/>
    <w:rsid w:val="00810937"/>
    <w:rsid w:val="00810A7A"/>
    <w:rsid w:val="00810AB2"/>
    <w:rsid w:val="00810AE3"/>
    <w:rsid w:val="00810BAC"/>
    <w:rsid w:val="00810BEB"/>
    <w:rsid w:val="00810CB9"/>
    <w:rsid w:val="00810DA0"/>
    <w:rsid w:val="00810E8B"/>
    <w:rsid w:val="0081104B"/>
    <w:rsid w:val="008110FB"/>
    <w:rsid w:val="00811235"/>
    <w:rsid w:val="0081126B"/>
    <w:rsid w:val="00811335"/>
    <w:rsid w:val="00811376"/>
    <w:rsid w:val="00811504"/>
    <w:rsid w:val="0081158D"/>
    <w:rsid w:val="00811663"/>
    <w:rsid w:val="008116EE"/>
    <w:rsid w:val="0081173B"/>
    <w:rsid w:val="00811834"/>
    <w:rsid w:val="0081183C"/>
    <w:rsid w:val="0081185D"/>
    <w:rsid w:val="008118CB"/>
    <w:rsid w:val="008119A1"/>
    <w:rsid w:val="00811A17"/>
    <w:rsid w:val="00811B07"/>
    <w:rsid w:val="00811B27"/>
    <w:rsid w:val="00811B71"/>
    <w:rsid w:val="00811C0E"/>
    <w:rsid w:val="00811D67"/>
    <w:rsid w:val="00811D72"/>
    <w:rsid w:val="00811F71"/>
    <w:rsid w:val="00811F9D"/>
    <w:rsid w:val="00811FCA"/>
    <w:rsid w:val="00812017"/>
    <w:rsid w:val="0081220E"/>
    <w:rsid w:val="00812279"/>
    <w:rsid w:val="008123E7"/>
    <w:rsid w:val="0081249C"/>
    <w:rsid w:val="00812530"/>
    <w:rsid w:val="00812551"/>
    <w:rsid w:val="008126A8"/>
    <w:rsid w:val="00812792"/>
    <w:rsid w:val="008129F7"/>
    <w:rsid w:val="00812C65"/>
    <w:rsid w:val="00812DBE"/>
    <w:rsid w:val="00812E1A"/>
    <w:rsid w:val="00812E42"/>
    <w:rsid w:val="00812E6B"/>
    <w:rsid w:val="00812EC2"/>
    <w:rsid w:val="00812F7E"/>
    <w:rsid w:val="00812FCF"/>
    <w:rsid w:val="00813033"/>
    <w:rsid w:val="008130CB"/>
    <w:rsid w:val="0081318C"/>
    <w:rsid w:val="0081322D"/>
    <w:rsid w:val="0081324A"/>
    <w:rsid w:val="008132D2"/>
    <w:rsid w:val="00813303"/>
    <w:rsid w:val="0081338B"/>
    <w:rsid w:val="0081341A"/>
    <w:rsid w:val="00813502"/>
    <w:rsid w:val="0081351D"/>
    <w:rsid w:val="00813533"/>
    <w:rsid w:val="008136E6"/>
    <w:rsid w:val="0081378C"/>
    <w:rsid w:val="0081378D"/>
    <w:rsid w:val="00813885"/>
    <w:rsid w:val="00813B14"/>
    <w:rsid w:val="00813B98"/>
    <w:rsid w:val="00813C09"/>
    <w:rsid w:val="00813C48"/>
    <w:rsid w:val="00813E1B"/>
    <w:rsid w:val="00814072"/>
    <w:rsid w:val="0081436F"/>
    <w:rsid w:val="0081437F"/>
    <w:rsid w:val="008143E8"/>
    <w:rsid w:val="008144F5"/>
    <w:rsid w:val="0081457C"/>
    <w:rsid w:val="008145BA"/>
    <w:rsid w:val="00814697"/>
    <w:rsid w:val="00814896"/>
    <w:rsid w:val="0081495B"/>
    <w:rsid w:val="00814987"/>
    <w:rsid w:val="00814A57"/>
    <w:rsid w:val="00814AF1"/>
    <w:rsid w:val="00814C22"/>
    <w:rsid w:val="00814C70"/>
    <w:rsid w:val="00814C8B"/>
    <w:rsid w:val="00814DE4"/>
    <w:rsid w:val="00814E07"/>
    <w:rsid w:val="00814E13"/>
    <w:rsid w:val="00814E28"/>
    <w:rsid w:val="00814E67"/>
    <w:rsid w:val="00814EED"/>
    <w:rsid w:val="00815003"/>
    <w:rsid w:val="008150DF"/>
    <w:rsid w:val="00815222"/>
    <w:rsid w:val="00815374"/>
    <w:rsid w:val="00815412"/>
    <w:rsid w:val="00815469"/>
    <w:rsid w:val="0081548B"/>
    <w:rsid w:val="00815576"/>
    <w:rsid w:val="0081558A"/>
    <w:rsid w:val="00815739"/>
    <w:rsid w:val="00815750"/>
    <w:rsid w:val="008157E5"/>
    <w:rsid w:val="00815971"/>
    <w:rsid w:val="00815A1F"/>
    <w:rsid w:val="00815AB4"/>
    <w:rsid w:val="00815DE6"/>
    <w:rsid w:val="00815F80"/>
    <w:rsid w:val="00816137"/>
    <w:rsid w:val="00816144"/>
    <w:rsid w:val="0081618D"/>
    <w:rsid w:val="0081618E"/>
    <w:rsid w:val="00816273"/>
    <w:rsid w:val="0081628E"/>
    <w:rsid w:val="008162E2"/>
    <w:rsid w:val="00816388"/>
    <w:rsid w:val="0081659D"/>
    <w:rsid w:val="008166F5"/>
    <w:rsid w:val="00816913"/>
    <w:rsid w:val="008169A0"/>
    <w:rsid w:val="00816BDD"/>
    <w:rsid w:val="00816C8A"/>
    <w:rsid w:val="00816EB2"/>
    <w:rsid w:val="00816F05"/>
    <w:rsid w:val="00816F1B"/>
    <w:rsid w:val="00817094"/>
    <w:rsid w:val="0081709A"/>
    <w:rsid w:val="008170F7"/>
    <w:rsid w:val="0081716D"/>
    <w:rsid w:val="008171D6"/>
    <w:rsid w:val="00817242"/>
    <w:rsid w:val="008172BB"/>
    <w:rsid w:val="008173C3"/>
    <w:rsid w:val="008173F8"/>
    <w:rsid w:val="00817418"/>
    <w:rsid w:val="0081741E"/>
    <w:rsid w:val="008175AB"/>
    <w:rsid w:val="008175E1"/>
    <w:rsid w:val="00817659"/>
    <w:rsid w:val="0081774F"/>
    <w:rsid w:val="0081788D"/>
    <w:rsid w:val="0081788E"/>
    <w:rsid w:val="00817901"/>
    <w:rsid w:val="00817916"/>
    <w:rsid w:val="0081796B"/>
    <w:rsid w:val="00817B0E"/>
    <w:rsid w:val="00817B89"/>
    <w:rsid w:val="00817CCB"/>
    <w:rsid w:val="00817E9E"/>
    <w:rsid w:val="00817F1C"/>
    <w:rsid w:val="0082000C"/>
    <w:rsid w:val="00820034"/>
    <w:rsid w:val="0082009C"/>
    <w:rsid w:val="0082024B"/>
    <w:rsid w:val="0082073E"/>
    <w:rsid w:val="008207ED"/>
    <w:rsid w:val="008209C0"/>
    <w:rsid w:val="008209C9"/>
    <w:rsid w:val="008209CA"/>
    <w:rsid w:val="008209FA"/>
    <w:rsid w:val="00820BDE"/>
    <w:rsid w:val="00820C3D"/>
    <w:rsid w:val="00820E74"/>
    <w:rsid w:val="00820F87"/>
    <w:rsid w:val="00821079"/>
    <w:rsid w:val="008210A4"/>
    <w:rsid w:val="008212F8"/>
    <w:rsid w:val="0082132A"/>
    <w:rsid w:val="008213CD"/>
    <w:rsid w:val="008214AC"/>
    <w:rsid w:val="00821564"/>
    <w:rsid w:val="00821651"/>
    <w:rsid w:val="00821695"/>
    <w:rsid w:val="008216EA"/>
    <w:rsid w:val="00821704"/>
    <w:rsid w:val="00821BA8"/>
    <w:rsid w:val="00821BCA"/>
    <w:rsid w:val="00821BD5"/>
    <w:rsid w:val="00821CCF"/>
    <w:rsid w:val="00821CE0"/>
    <w:rsid w:val="00821DCD"/>
    <w:rsid w:val="00821E16"/>
    <w:rsid w:val="00821F7F"/>
    <w:rsid w:val="00822144"/>
    <w:rsid w:val="00822164"/>
    <w:rsid w:val="0082216C"/>
    <w:rsid w:val="0082220B"/>
    <w:rsid w:val="00822447"/>
    <w:rsid w:val="00822470"/>
    <w:rsid w:val="00822493"/>
    <w:rsid w:val="008224AE"/>
    <w:rsid w:val="008224D1"/>
    <w:rsid w:val="0082250B"/>
    <w:rsid w:val="00822516"/>
    <w:rsid w:val="00822583"/>
    <w:rsid w:val="008225E8"/>
    <w:rsid w:val="0082266F"/>
    <w:rsid w:val="00822962"/>
    <w:rsid w:val="00822A87"/>
    <w:rsid w:val="00822BB5"/>
    <w:rsid w:val="00822BDB"/>
    <w:rsid w:val="00822C59"/>
    <w:rsid w:val="00822F2E"/>
    <w:rsid w:val="0082306D"/>
    <w:rsid w:val="00823199"/>
    <w:rsid w:val="00823237"/>
    <w:rsid w:val="00823328"/>
    <w:rsid w:val="00823420"/>
    <w:rsid w:val="008234E5"/>
    <w:rsid w:val="00823534"/>
    <w:rsid w:val="0082354E"/>
    <w:rsid w:val="00823567"/>
    <w:rsid w:val="00823696"/>
    <w:rsid w:val="00823701"/>
    <w:rsid w:val="00823868"/>
    <w:rsid w:val="00823869"/>
    <w:rsid w:val="008238CC"/>
    <w:rsid w:val="008238D2"/>
    <w:rsid w:val="00823AC1"/>
    <w:rsid w:val="00823B86"/>
    <w:rsid w:val="00823D12"/>
    <w:rsid w:val="00823D30"/>
    <w:rsid w:val="00823D53"/>
    <w:rsid w:val="00823DB7"/>
    <w:rsid w:val="00823F21"/>
    <w:rsid w:val="00823F2C"/>
    <w:rsid w:val="00824001"/>
    <w:rsid w:val="00824047"/>
    <w:rsid w:val="008240CA"/>
    <w:rsid w:val="008241C9"/>
    <w:rsid w:val="008241DF"/>
    <w:rsid w:val="00824220"/>
    <w:rsid w:val="0082424F"/>
    <w:rsid w:val="008242C7"/>
    <w:rsid w:val="00824515"/>
    <w:rsid w:val="0082452B"/>
    <w:rsid w:val="0082468C"/>
    <w:rsid w:val="008248EC"/>
    <w:rsid w:val="00824913"/>
    <w:rsid w:val="008249F9"/>
    <w:rsid w:val="00824A3E"/>
    <w:rsid w:val="00824B3E"/>
    <w:rsid w:val="00824BEC"/>
    <w:rsid w:val="00824C5A"/>
    <w:rsid w:val="00824DAD"/>
    <w:rsid w:val="00824FDE"/>
    <w:rsid w:val="008250A3"/>
    <w:rsid w:val="00825221"/>
    <w:rsid w:val="00825383"/>
    <w:rsid w:val="0082543B"/>
    <w:rsid w:val="008254EC"/>
    <w:rsid w:val="00825569"/>
    <w:rsid w:val="0082558B"/>
    <w:rsid w:val="008256CD"/>
    <w:rsid w:val="00825836"/>
    <w:rsid w:val="0082586C"/>
    <w:rsid w:val="0082586D"/>
    <w:rsid w:val="008258F5"/>
    <w:rsid w:val="00825959"/>
    <w:rsid w:val="00825A39"/>
    <w:rsid w:val="00825AD4"/>
    <w:rsid w:val="00825B13"/>
    <w:rsid w:val="00825BB7"/>
    <w:rsid w:val="00825CAC"/>
    <w:rsid w:val="00825CEC"/>
    <w:rsid w:val="00825D1F"/>
    <w:rsid w:val="00825DF3"/>
    <w:rsid w:val="00825E5D"/>
    <w:rsid w:val="00825F26"/>
    <w:rsid w:val="00825F6C"/>
    <w:rsid w:val="00825F7D"/>
    <w:rsid w:val="00825FD0"/>
    <w:rsid w:val="00826020"/>
    <w:rsid w:val="00826074"/>
    <w:rsid w:val="00826237"/>
    <w:rsid w:val="00826310"/>
    <w:rsid w:val="00826361"/>
    <w:rsid w:val="00826366"/>
    <w:rsid w:val="008264F2"/>
    <w:rsid w:val="0082652F"/>
    <w:rsid w:val="008266A0"/>
    <w:rsid w:val="008268A9"/>
    <w:rsid w:val="008269E0"/>
    <w:rsid w:val="00826A44"/>
    <w:rsid w:val="00826A80"/>
    <w:rsid w:val="00826B88"/>
    <w:rsid w:val="00826C46"/>
    <w:rsid w:val="00826C50"/>
    <w:rsid w:val="00826D29"/>
    <w:rsid w:val="00826D36"/>
    <w:rsid w:val="00826D5B"/>
    <w:rsid w:val="00826DD6"/>
    <w:rsid w:val="00826ED7"/>
    <w:rsid w:val="00826F22"/>
    <w:rsid w:val="00827156"/>
    <w:rsid w:val="0082726A"/>
    <w:rsid w:val="008272CB"/>
    <w:rsid w:val="0082731E"/>
    <w:rsid w:val="008276E2"/>
    <w:rsid w:val="008278AC"/>
    <w:rsid w:val="0082791F"/>
    <w:rsid w:val="00827998"/>
    <w:rsid w:val="00827A35"/>
    <w:rsid w:val="00827B17"/>
    <w:rsid w:val="00827B8A"/>
    <w:rsid w:val="00827BE5"/>
    <w:rsid w:val="00827DA0"/>
    <w:rsid w:val="00827E6B"/>
    <w:rsid w:val="00827E91"/>
    <w:rsid w:val="00827F0E"/>
    <w:rsid w:val="0083001E"/>
    <w:rsid w:val="00830042"/>
    <w:rsid w:val="008303B7"/>
    <w:rsid w:val="00830550"/>
    <w:rsid w:val="00830655"/>
    <w:rsid w:val="008306DF"/>
    <w:rsid w:val="0083071D"/>
    <w:rsid w:val="00830721"/>
    <w:rsid w:val="00830889"/>
    <w:rsid w:val="008308FC"/>
    <w:rsid w:val="00830941"/>
    <w:rsid w:val="00830A1D"/>
    <w:rsid w:val="00830AB4"/>
    <w:rsid w:val="00830AC4"/>
    <w:rsid w:val="00830B7A"/>
    <w:rsid w:val="00830C6E"/>
    <w:rsid w:val="00830CD6"/>
    <w:rsid w:val="00830D20"/>
    <w:rsid w:val="00830D61"/>
    <w:rsid w:val="00830D6F"/>
    <w:rsid w:val="00830E1B"/>
    <w:rsid w:val="00830E1E"/>
    <w:rsid w:val="00830E60"/>
    <w:rsid w:val="00830EAD"/>
    <w:rsid w:val="00830EC1"/>
    <w:rsid w:val="00830F38"/>
    <w:rsid w:val="00830F3D"/>
    <w:rsid w:val="0083121E"/>
    <w:rsid w:val="00831232"/>
    <w:rsid w:val="00831299"/>
    <w:rsid w:val="0083133F"/>
    <w:rsid w:val="008313B5"/>
    <w:rsid w:val="00831588"/>
    <w:rsid w:val="008315EB"/>
    <w:rsid w:val="008317A9"/>
    <w:rsid w:val="00831A3E"/>
    <w:rsid w:val="00831CAF"/>
    <w:rsid w:val="00831E50"/>
    <w:rsid w:val="00831E96"/>
    <w:rsid w:val="0083210C"/>
    <w:rsid w:val="0083212F"/>
    <w:rsid w:val="008323BC"/>
    <w:rsid w:val="00832437"/>
    <w:rsid w:val="008324AC"/>
    <w:rsid w:val="00832504"/>
    <w:rsid w:val="008325DE"/>
    <w:rsid w:val="008326CF"/>
    <w:rsid w:val="00832718"/>
    <w:rsid w:val="008328B5"/>
    <w:rsid w:val="00832915"/>
    <w:rsid w:val="008329D9"/>
    <w:rsid w:val="00832B37"/>
    <w:rsid w:val="00832B54"/>
    <w:rsid w:val="00832B6D"/>
    <w:rsid w:val="00832CD6"/>
    <w:rsid w:val="00832D98"/>
    <w:rsid w:val="00832D9A"/>
    <w:rsid w:val="00832E30"/>
    <w:rsid w:val="00832ECD"/>
    <w:rsid w:val="0083303A"/>
    <w:rsid w:val="0083306A"/>
    <w:rsid w:val="008330FC"/>
    <w:rsid w:val="0083311B"/>
    <w:rsid w:val="00833162"/>
    <w:rsid w:val="008331B8"/>
    <w:rsid w:val="00833245"/>
    <w:rsid w:val="00833280"/>
    <w:rsid w:val="00833313"/>
    <w:rsid w:val="00833431"/>
    <w:rsid w:val="00833444"/>
    <w:rsid w:val="00833447"/>
    <w:rsid w:val="00833481"/>
    <w:rsid w:val="008334EA"/>
    <w:rsid w:val="00833612"/>
    <w:rsid w:val="00833622"/>
    <w:rsid w:val="0083365C"/>
    <w:rsid w:val="00833750"/>
    <w:rsid w:val="00833784"/>
    <w:rsid w:val="008337CA"/>
    <w:rsid w:val="0083389E"/>
    <w:rsid w:val="00833A29"/>
    <w:rsid w:val="00833B30"/>
    <w:rsid w:val="00833C10"/>
    <w:rsid w:val="00833C2B"/>
    <w:rsid w:val="00833C4A"/>
    <w:rsid w:val="00833CEC"/>
    <w:rsid w:val="00833E93"/>
    <w:rsid w:val="00833EAC"/>
    <w:rsid w:val="00833EFA"/>
    <w:rsid w:val="00833FA3"/>
    <w:rsid w:val="00833FAC"/>
    <w:rsid w:val="008341CC"/>
    <w:rsid w:val="00834257"/>
    <w:rsid w:val="008342A8"/>
    <w:rsid w:val="0083434E"/>
    <w:rsid w:val="00834500"/>
    <w:rsid w:val="00834642"/>
    <w:rsid w:val="008346B4"/>
    <w:rsid w:val="0083478E"/>
    <w:rsid w:val="0083482A"/>
    <w:rsid w:val="00834846"/>
    <w:rsid w:val="008348BB"/>
    <w:rsid w:val="008348F1"/>
    <w:rsid w:val="00834C69"/>
    <w:rsid w:val="00834C75"/>
    <w:rsid w:val="00834D78"/>
    <w:rsid w:val="00834E42"/>
    <w:rsid w:val="00834E86"/>
    <w:rsid w:val="00834F16"/>
    <w:rsid w:val="00834F44"/>
    <w:rsid w:val="00835057"/>
    <w:rsid w:val="00835094"/>
    <w:rsid w:val="00835126"/>
    <w:rsid w:val="00835276"/>
    <w:rsid w:val="00835362"/>
    <w:rsid w:val="008353BB"/>
    <w:rsid w:val="008353BD"/>
    <w:rsid w:val="0083544A"/>
    <w:rsid w:val="00835481"/>
    <w:rsid w:val="00835737"/>
    <w:rsid w:val="00835864"/>
    <w:rsid w:val="008358BA"/>
    <w:rsid w:val="00835A25"/>
    <w:rsid w:val="00835C95"/>
    <w:rsid w:val="00835DAE"/>
    <w:rsid w:val="00835E15"/>
    <w:rsid w:val="00835EDF"/>
    <w:rsid w:val="00835F09"/>
    <w:rsid w:val="00835F78"/>
    <w:rsid w:val="00836041"/>
    <w:rsid w:val="008361A9"/>
    <w:rsid w:val="0083630C"/>
    <w:rsid w:val="008363CF"/>
    <w:rsid w:val="00836459"/>
    <w:rsid w:val="00836570"/>
    <w:rsid w:val="008365EE"/>
    <w:rsid w:val="008366C5"/>
    <w:rsid w:val="008366C7"/>
    <w:rsid w:val="0083679A"/>
    <w:rsid w:val="00836903"/>
    <w:rsid w:val="008369FB"/>
    <w:rsid w:val="00836ABB"/>
    <w:rsid w:val="00836BD1"/>
    <w:rsid w:val="00836BF3"/>
    <w:rsid w:val="00836CBE"/>
    <w:rsid w:val="00836DB1"/>
    <w:rsid w:val="00836E2F"/>
    <w:rsid w:val="00836E56"/>
    <w:rsid w:val="00836EC4"/>
    <w:rsid w:val="00836F42"/>
    <w:rsid w:val="00836FA9"/>
    <w:rsid w:val="00837018"/>
    <w:rsid w:val="0083702A"/>
    <w:rsid w:val="008370C6"/>
    <w:rsid w:val="008370C7"/>
    <w:rsid w:val="0083716F"/>
    <w:rsid w:val="008372D2"/>
    <w:rsid w:val="00837356"/>
    <w:rsid w:val="00837395"/>
    <w:rsid w:val="008374C7"/>
    <w:rsid w:val="008374CA"/>
    <w:rsid w:val="00837508"/>
    <w:rsid w:val="00837528"/>
    <w:rsid w:val="008375CA"/>
    <w:rsid w:val="008375D5"/>
    <w:rsid w:val="008375EB"/>
    <w:rsid w:val="0083779D"/>
    <w:rsid w:val="008377A4"/>
    <w:rsid w:val="0083783B"/>
    <w:rsid w:val="00837957"/>
    <w:rsid w:val="00837A85"/>
    <w:rsid w:val="00837AD5"/>
    <w:rsid w:val="00837D2E"/>
    <w:rsid w:val="00837E29"/>
    <w:rsid w:val="00837E2C"/>
    <w:rsid w:val="00837F20"/>
    <w:rsid w:val="00837FC2"/>
    <w:rsid w:val="0084009C"/>
    <w:rsid w:val="00840288"/>
    <w:rsid w:val="0084028B"/>
    <w:rsid w:val="00840400"/>
    <w:rsid w:val="008404EF"/>
    <w:rsid w:val="00840501"/>
    <w:rsid w:val="00840515"/>
    <w:rsid w:val="00840632"/>
    <w:rsid w:val="00840801"/>
    <w:rsid w:val="00840872"/>
    <w:rsid w:val="008408C3"/>
    <w:rsid w:val="00840973"/>
    <w:rsid w:val="00840A9B"/>
    <w:rsid w:val="00840BAA"/>
    <w:rsid w:val="00840BBD"/>
    <w:rsid w:val="00840BF6"/>
    <w:rsid w:val="00840E00"/>
    <w:rsid w:val="00840E4A"/>
    <w:rsid w:val="00840EEA"/>
    <w:rsid w:val="00840FEC"/>
    <w:rsid w:val="0084102D"/>
    <w:rsid w:val="00841190"/>
    <w:rsid w:val="00841217"/>
    <w:rsid w:val="00841446"/>
    <w:rsid w:val="0084154A"/>
    <w:rsid w:val="008416A4"/>
    <w:rsid w:val="00841757"/>
    <w:rsid w:val="008418FE"/>
    <w:rsid w:val="008419B7"/>
    <w:rsid w:val="008419EB"/>
    <w:rsid w:val="00841B8E"/>
    <w:rsid w:val="00841D8D"/>
    <w:rsid w:val="00841DC6"/>
    <w:rsid w:val="00841DDF"/>
    <w:rsid w:val="00841E3C"/>
    <w:rsid w:val="008420F9"/>
    <w:rsid w:val="0084216C"/>
    <w:rsid w:val="008423E9"/>
    <w:rsid w:val="00842625"/>
    <w:rsid w:val="008426E3"/>
    <w:rsid w:val="00842961"/>
    <w:rsid w:val="00842AFE"/>
    <w:rsid w:val="00842D82"/>
    <w:rsid w:val="00842DD1"/>
    <w:rsid w:val="00842E13"/>
    <w:rsid w:val="00842E34"/>
    <w:rsid w:val="00842F1F"/>
    <w:rsid w:val="00842F40"/>
    <w:rsid w:val="00842FAC"/>
    <w:rsid w:val="00842FDC"/>
    <w:rsid w:val="00843061"/>
    <w:rsid w:val="008430AE"/>
    <w:rsid w:val="00843106"/>
    <w:rsid w:val="00843358"/>
    <w:rsid w:val="00843416"/>
    <w:rsid w:val="00843430"/>
    <w:rsid w:val="0084346F"/>
    <w:rsid w:val="0084347C"/>
    <w:rsid w:val="00843487"/>
    <w:rsid w:val="00843589"/>
    <w:rsid w:val="00843627"/>
    <w:rsid w:val="00843667"/>
    <w:rsid w:val="0084371E"/>
    <w:rsid w:val="008437C9"/>
    <w:rsid w:val="00843875"/>
    <w:rsid w:val="008438DB"/>
    <w:rsid w:val="00843A2A"/>
    <w:rsid w:val="00843AD1"/>
    <w:rsid w:val="00843AFF"/>
    <w:rsid w:val="00843B7D"/>
    <w:rsid w:val="00843C94"/>
    <w:rsid w:val="00843CB3"/>
    <w:rsid w:val="00843E82"/>
    <w:rsid w:val="00844028"/>
    <w:rsid w:val="00844218"/>
    <w:rsid w:val="00844325"/>
    <w:rsid w:val="00844381"/>
    <w:rsid w:val="0084448C"/>
    <w:rsid w:val="008444A4"/>
    <w:rsid w:val="00844539"/>
    <w:rsid w:val="00844661"/>
    <w:rsid w:val="008446B2"/>
    <w:rsid w:val="00844942"/>
    <w:rsid w:val="00844943"/>
    <w:rsid w:val="00844B17"/>
    <w:rsid w:val="00844C33"/>
    <w:rsid w:val="00844C52"/>
    <w:rsid w:val="00844D61"/>
    <w:rsid w:val="00844EBF"/>
    <w:rsid w:val="00844F93"/>
    <w:rsid w:val="00845151"/>
    <w:rsid w:val="008452B7"/>
    <w:rsid w:val="008452D2"/>
    <w:rsid w:val="00845485"/>
    <w:rsid w:val="008454A4"/>
    <w:rsid w:val="00845522"/>
    <w:rsid w:val="008455A3"/>
    <w:rsid w:val="008455DA"/>
    <w:rsid w:val="00845623"/>
    <w:rsid w:val="00845811"/>
    <w:rsid w:val="00845815"/>
    <w:rsid w:val="008458F9"/>
    <w:rsid w:val="0084592B"/>
    <w:rsid w:val="008459C6"/>
    <w:rsid w:val="00845A50"/>
    <w:rsid w:val="00845AA0"/>
    <w:rsid w:val="00845BC1"/>
    <w:rsid w:val="00845E8D"/>
    <w:rsid w:val="00845EF4"/>
    <w:rsid w:val="00845FDB"/>
    <w:rsid w:val="0084605A"/>
    <w:rsid w:val="00846062"/>
    <w:rsid w:val="008460B7"/>
    <w:rsid w:val="00846125"/>
    <w:rsid w:val="00846161"/>
    <w:rsid w:val="00846263"/>
    <w:rsid w:val="008463A9"/>
    <w:rsid w:val="00846417"/>
    <w:rsid w:val="00846541"/>
    <w:rsid w:val="00846709"/>
    <w:rsid w:val="008467E7"/>
    <w:rsid w:val="0084680E"/>
    <w:rsid w:val="008468E1"/>
    <w:rsid w:val="00846913"/>
    <w:rsid w:val="0084697E"/>
    <w:rsid w:val="00846AA2"/>
    <w:rsid w:val="00846B70"/>
    <w:rsid w:val="00846BBA"/>
    <w:rsid w:val="00846F80"/>
    <w:rsid w:val="00846FED"/>
    <w:rsid w:val="00847067"/>
    <w:rsid w:val="008470EC"/>
    <w:rsid w:val="00847202"/>
    <w:rsid w:val="00847204"/>
    <w:rsid w:val="00847213"/>
    <w:rsid w:val="008472F4"/>
    <w:rsid w:val="0084732C"/>
    <w:rsid w:val="0084748F"/>
    <w:rsid w:val="0084769E"/>
    <w:rsid w:val="008476B9"/>
    <w:rsid w:val="008476C1"/>
    <w:rsid w:val="00847940"/>
    <w:rsid w:val="008479FA"/>
    <w:rsid w:val="00847AAF"/>
    <w:rsid w:val="00847B43"/>
    <w:rsid w:val="00847D32"/>
    <w:rsid w:val="00847ED5"/>
    <w:rsid w:val="00847F4F"/>
    <w:rsid w:val="00847FA2"/>
    <w:rsid w:val="0085028B"/>
    <w:rsid w:val="008502B5"/>
    <w:rsid w:val="00850360"/>
    <w:rsid w:val="0085039F"/>
    <w:rsid w:val="008505E2"/>
    <w:rsid w:val="00850650"/>
    <w:rsid w:val="0085065D"/>
    <w:rsid w:val="0085072A"/>
    <w:rsid w:val="00850746"/>
    <w:rsid w:val="0085079E"/>
    <w:rsid w:val="00850873"/>
    <w:rsid w:val="00850986"/>
    <w:rsid w:val="008509C7"/>
    <w:rsid w:val="008509F4"/>
    <w:rsid w:val="00850A13"/>
    <w:rsid w:val="00850B1B"/>
    <w:rsid w:val="00850C12"/>
    <w:rsid w:val="00850E5E"/>
    <w:rsid w:val="00850F47"/>
    <w:rsid w:val="00850F4A"/>
    <w:rsid w:val="0085100B"/>
    <w:rsid w:val="00851151"/>
    <w:rsid w:val="008511A5"/>
    <w:rsid w:val="00851290"/>
    <w:rsid w:val="008512D0"/>
    <w:rsid w:val="00851302"/>
    <w:rsid w:val="0085133E"/>
    <w:rsid w:val="00851405"/>
    <w:rsid w:val="00851576"/>
    <w:rsid w:val="008515E7"/>
    <w:rsid w:val="0085160B"/>
    <w:rsid w:val="00851674"/>
    <w:rsid w:val="00851689"/>
    <w:rsid w:val="008516A3"/>
    <w:rsid w:val="008516BC"/>
    <w:rsid w:val="008516EF"/>
    <w:rsid w:val="008517B6"/>
    <w:rsid w:val="00851809"/>
    <w:rsid w:val="008518E1"/>
    <w:rsid w:val="00851902"/>
    <w:rsid w:val="00851A13"/>
    <w:rsid w:val="00851A2B"/>
    <w:rsid w:val="00851A46"/>
    <w:rsid w:val="00851B36"/>
    <w:rsid w:val="00851D6B"/>
    <w:rsid w:val="00851D85"/>
    <w:rsid w:val="00851D91"/>
    <w:rsid w:val="00851DDA"/>
    <w:rsid w:val="00851DE4"/>
    <w:rsid w:val="00852028"/>
    <w:rsid w:val="008520D6"/>
    <w:rsid w:val="00852145"/>
    <w:rsid w:val="00852154"/>
    <w:rsid w:val="00852172"/>
    <w:rsid w:val="0085218B"/>
    <w:rsid w:val="00852414"/>
    <w:rsid w:val="008524FE"/>
    <w:rsid w:val="008525F4"/>
    <w:rsid w:val="0085269C"/>
    <w:rsid w:val="0085278A"/>
    <w:rsid w:val="0085287F"/>
    <w:rsid w:val="00852998"/>
    <w:rsid w:val="008529F1"/>
    <w:rsid w:val="008529F4"/>
    <w:rsid w:val="00852B5A"/>
    <w:rsid w:val="00852C88"/>
    <w:rsid w:val="00852CAC"/>
    <w:rsid w:val="00852CF6"/>
    <w:rsid w:val="00852D76"/>
    <w:rsid w:val="00852E2B"/>
    <w:rsid w:val="00852EB1"/>
    <w:rsid w:val="0085303C"/>
    <w:rsid w:val="00853130"/>
    <w:rsid w:val="008531DB"/>
    <w:rsid w:val="00853345"/>
    <w:rsid w:val="0085334A"/>
    <w:rsid w:val="0085349A"/>
    <w:rsid w:val="008534AE"/>
    <w:rsid w:val="0085361C"/>
    <w:rsid w:val="00853728"/>
    <w:rsid w:val="00853742"/>
    <w:rsid w:val="00853754"/>
    <w:rsid w:val="0085377F"/>
    <w:rsid w:val="0085379F"/>
    <w:rsid w:val="008537DA"/>
    <w:rsid w:val="00853A4E"/>
    <w:rsid w:val="00853BC2"/>
    <w:rsid w:val="00853C0D"/>
    <w:rsid w:val="00853C3E"/>
    <w:rsid w:val="00853CC2"/>
    <w:rsid w:val="00853CD5"/>
    <w:rsid w:val="00853D34"/>
    <w:rsid w:val="00853DF7"/>
    <w:rsid w:val="00853E2A"/>
    <w:rsid w:val="00853E80"/>
    <w:rsid w:val="00853EF7"/>
    <w:rsid w:val="00853F6B"/>
    <w:rsid w:val="00853FA1"/>
    <w:rsid w:val="008542BB"/>
    <w:rsid w:val="0085431B"/>
    <w:rsid w:val="00854336"/>
    <w:rsid w:val="00854398"/>
    <w:rsid w:val="0085450E"/>
    <w:rsid w:val="008545F0"/>
    <w:rsid w:val="00854627"/>
    <w:rsid w:val="0085493A"/>
    <w:rsid w:val="00854971"/>
    <w:rsid w:val="0085499E"/>
    <w:rsid w:val="00854AA9"/>
    <w:rsid w:val="00854BC1"/>
    <w:rsid w:val="00854D3B"/>
    <w:rsid w:val="00854E77"/>
    <w:rsid w:val="00854EF8"/>
    <w:rsid w:val="00854F6F"/>
    <w:rsid w:val="00854F76"/>
    <w:rsid w:val="00855022"/>
    <w:rsid w:val="00855044"/>
    <w:rsid w:val="00855099"/>
    <w:rsid w:val="008550F8"/>
    <w:rsid w:val="008551DB"/>
    <w:rsid w:val="0085527B"/>
    <w:rsid w:val="0085535C"/>
    <w:rsid w:val="0085535D"/>
    <w:rsid w:val="008553CC"/>
    <w:rsid w:val="008553D6"/>
    <w:rsid w:val="0085541B"/>
    <w:rsid w:val="0085548E"/>
    <w:rsid w:val="008556C7"/>
    <w:rsid w:val="008557D1"/>
    <w:rsid w:val="00855856"/>
    <w:rsid w:val="00855A08"/>
    <w:rsid w:val="00855B3C"/>
    <w:rsid w:val="00855D42"/>
    <w:rsid w:val="00855D53"/>
    <w:rsid w:val="00855F18"/>
    <w:rsid w:val="00856130"/>
    <w:rsid w:val="0085619E"/>
    <w:rsid w:val="008561C4"/>
    <w:rsid w:val="0085625D"/>
    <w:rsid w:val="008562EF"/>
    <w:rsid w:val="0085633D"/>
    <w:rsid w:val="008564B8"/>
    <w:rsid w:val="0085654C"/>
    <w:rsid w:val="00856597"/>
    <w:rsid w:val="00856657"/>
    <w:rsid w:val="008566AE"/>
    <w:rsid w:val="008566FB"/>
    <w:rsid w:val="00856878"/>
    <w:rsid w:val="008568A4"/>
    <w:rsid w:val="008568FA"/>
    <w:rsid w:val="008569C6"/>
    <w:rsid w:val="008569EE"/>
    <w:rsid w:val="00856AB6"/>
    <w:rsid w:val="00856AE8"/>
    <w:rsid w:val="00856BD2"/>
    <w:rsid w:val="00856C03"/>
    <w:rsid w:val="00856D65"/>
    <w:rsid w:val="00856D7F"/>
    <w:rsid w:val="00856D84"/>
    <w:rsid w:val="00856E28"/>
    <w:rsid w:val="00856F00"/>
    <w:rsid w:val="0085704E"/>
    <w:rsid w:val="0085709B"/>
    <w:rsid w:val="00857134"/>
    <w:rsid w:val="008571A5"/>
    <w:rsid w:val="008573FA"/>
    <w:rsid w:val="00857457"/>
    <w:rsid w:val="0085768F"/>
    <w:rsid w:val="0085769E"/>
    <w:rsid w:val="008577B9"/>
    <w:rsid w:val="00857980"/>
    <w:rsid w:val="00857AFC"/>
    <w:rsid w:val="00857B8A"/>
    <w:rsid w:val="00857C83"/>
    <w:rsid w:val="00857DCA"/>
    <w:rsid w:val="00857E19"/>
    <w:rsid w:val="00857E66"/>
    <w:rsid w:val="00857E98"/>
    <w:rsid w:val="0086011F"/>
    <w:rsid w:val="0086018F"/>
    <w:rsid w:val="00860210"/>
    <w:rsid w:val="00860414"/>
    <w:rsid w:val="00860447"/>
    <w:rsid w:val="00860487"/>
    <w:rsid w:val="0086051D"/>
    <w:rsid w:val="008607D2"/>
    <w:rsid w:val="00860A04"/>
    <w:rsid w:val="00860AB7"/>
    <w:rsid w:val="00860D03"/>
    <w:rsid w:val="00860E64"/>
    <w:rsid w:val="00861124"/>
    <w:rsid w:val="00861197"/>
    <w:rsid w:val="00861198"/>
    <w:rsid w:val="00861252"/>
    <w:rsid w:val="00861272"/>
    <w:rsid w:val="0086131C"/>
    <w:rsid w:val="00861373"/>
    <w:rsid w:val="00861461"/>
    <w:rsid w:val="008615F0"/>
    <w:rsid w:val="008615FB"/>
    <w:rsid w:val="0086161F"/>
    <w:rsid w:val="00861630"/>
    <w:rsid w:val="008616B3"/>
    <w:rsid w:val="00861723"/>
    <w:rsid w:val="00861761"/>
    <w:rsid w:val="00861891"/>
    <w:rsid w:val="0086189C"/>
    <w:rsid w:val="00861995"/>
    <w:rsid w:val="00861997"/>
    <w:rsid w:val="00861C56"/>
    <w:rsid w:val="00861DD8"/>
    <w:rsid w:val="00861DE1"/>
    <w:rsid w:val="008620B8"/>
    <w:rsid w:val="0086214A"/>
    <w:rsid w:val="00862192"/>
    <w:rsid w:val="008621DB"/>
    <w:rsid w:val="0086223B"/>
    <w:rsid w:val="0086226A"/>
    <w:rsid w:val="008622F7"/>
    <w:rsid w:val="008623AC"/>
    <w:rsid w:val="008623C6"/>
    <w:rsid w:val="00862572"/>
    <w:rsid w:val="0086257A"/>
    <w:rsid w:val="008626C6"/>
    <w:rsid w:val="008626FC"/>
    <w:rsid w:val="008627DD"/>
    <w:rsid w:val="008627FD"/>
    <w:rsid w:val="00862811"/>
    <w:rsid w:val="008628F3"/>
    <w:rsid w:val="0086291D"/>
    <w:rsid w:val="008629A0"/>
    <w:rsid w:val="00862D25"/>
    <w:rsid w:val="00862E30"/>
    <w:rsid w:val="00862EB9"/>
    <w:rsid w:val="00862ECD"/>
    <w:rsid w:val="008630CD"/>
    <w:rsid w:val="008631FC"/>
    <w:rsid w:val="008632EF"/>
    <w:rsid w:val="008633A2"/>
    <w:rsid w:val="0086343A"/>
    <w:rsid w:val="0086346E"/>
    <w:rsid w:val="008635CE"/>
    <w:rsid w:val="0086364A"/>
    <w:rsid w:val="00863689"/>
    <w:rsid w:val="008637AF"/>
    <w:rsid w:val="0086384E"/>
    <w:rsid w:val="0086389A"/>
    <w:rsid w:val="00863ABE"/>
    <w:rsid w:val="00863C09"/>
    <w:rsid w:val="00863C34"/>
    <w:rsid w:val="00863C63"/>
    <w:rsid w:val="00863DAC"/>
    <w:rsid w:val="00863E1A"/>
    <w:rsid w:val="00863E77"/>
    <w:rsid w:val="00863E7E"/>
    <w:rsid w:val="00863F03"/>
    <w:rsid w:val="00863F7B"/>
    <w:rsid w:val="0086414B"/>
    <w:rsid w:val="00864165"/>
    <w:rsid w:val="00864200"/>
    <w:rsid w:val="00864423"/>
    <w:rsid w:val="00864443"/>
    <w:rsid w:val="008644B5"/>
    <w:rsid w:val="008645CE"/>
    <w:rsid w:val="008645D2"/>
    <w:rsid w:val="008646B1"/>
    <w:rsid w:val="00864812"/>
    <w:rsid w:val="0086484A"/>
    <w:rsid w:val="008648A3"/>
    <w:rsid w:val="008648BA"/>
    <w:rsid w:val="008649FB"/>
    <w:rsid w:val="00864C2F"/>
    <w:rsid w:val="00864C68"/>
    <w:rsid w:val="00864D68"/>
    <w:rsid w:val="00864D6D"/>
    <w:rsid w:val="00864DE5"/>
    <w:rsid w:val="00864DE6"/>
    <w:rsid w:val="00864F3D"/>
    <w:rsid w:val="00864F5A"/>
    <w:rsid w:val="0086503C"/>
    <w:rsid w:val="008650E0"/>
    <w:rsid w:val="008650F3"/>
    <w:rsid w:val="008652D5"/>
    <w:rsid w:val="008653D9"/>
    <w:rsid w:val="008655F9"/>
    <w:rsid w:val="00865741"/>
    <w:rsid w:val="00865742"/>
    <w:rsid w:val="0086574A"/>
    <w:rsid w:val="008657BE"/>
    <w:rsid w:val="008659F4"/>
    <w:rsid w:val="00865A78"/>
    <w:rsid w:val="00865AD0"/>
    <w:rsid w:val="00865B3E"/>
    <w:rsid w:val="00865B6B"/>
    <w:rsid w:val="00865CA9"/>
    <w:rsid w:val="00865E04"/>
    <w:rsid w:val="00865E06"/>
    <w:rsid w:val="00865E83"/>
    <w:rsid w:val="00865EE1"/>
    <w:rsid w:val="00865F65"/>
    <w:rsid w:val="00866178"/>
    <w:rsid w:val="008663D0"/>
    <w:rsid w:val="008663DB"/>
    <w:rsid w:val="00866462"/>
    <w:rsid w:val="008666DD"/>
    <w:rsid w:val="00866797"/>
    <w:rsid w:val="008667B0"/>
    <w:rsid w:val="00866806"/>
    <w:rsid w:val="00866A44"/>
    <w:rsid w:val="00866C5D"/>
    <w:rsid w:val="00866D1F"/>
    <w:rsid w:val="00866D95"/>
    <w:rsid w:val="00866DB0"/>
    <w:rsid w:val="00866E11"/>
    <w:rsid w:val="00866E28"/>
    <w:rsid w:val="00866E75"/>
    <w:rsid w:val="00867001"/>
    <w:rsid w:val="0086701D"/>
    <w:rsid w:val="008670EE"/>
    <w:rsid w:val="00867132"/>
    <w:rsid w:val="0086715B"/>
    <w:rsid w:val="00867161"/>
    <w:rsid w:val="008671B8"/>
    <w:rsid w:val="008674A1"/>
    <w:rsid w:val="008674A9"/>
    <w:rsid w:val="00867578"/>
    <w:rsid w:val="008675B4"/>
    <w:rsid w:val="00867697"/>
    <w:rsid w:val="00867745"/>
    <w:rsid w:val="00867762"/>
    <w:rsid w:val="00867779"/>
    <w:rsid w:val="008677E4"/>
    <w:rsid w:val="00867CEB"/>
    <w:rsid w:val="00867E55"/>
    <w:rsid w:val="00867F3B"/>
    <w:rsid w:val="00867F4A"/>
    <w:rsid w:val="00867F59"/>
    <w:rsid w:val="00867FB7"/>
    <w:rsid w:val="00867FF4"/>
    <w:rsid w:val="008700AF"/>
    <w:rsid w:val="00870184"/>
    <w:rsid w:val="008701AD"/>
    <w:rsid w:val="008701CF"/>
    <w:rsid w:val="008701F1"/>
    <w:rsid w:val="008702CB"/>
    <w:rsid w:val="00870410"/>
    <w:rsid w:val="0087051F"/>
    <w:rsid w:val="008709B6"/>
    <w:rsid w:val="008709C4"/>
    <w:rsid w:val="00870A2F"/>
    <w:rsid w:val="00870A32"/>
    <w:rsid w:val="00870AF4"/>
    <w:rsid w:val="00870B8C"/>
    <w:rsid w:val="00870BC1"/>
    <w:rsid w:val="00870BE9"/>
    <w:rsid w:val="00870C58"/>
    <w:rsid w:val="00870CC3"/>
    <w:rsid w:val="00870CD8"/>
    <w:rsid w:val="00870E6E"/>
    <w:rsid w:val="00870F8F"/>
    <w:rsid w:val="00870FCF"/>
    <w:rsid w:val="00871155"/>
    <w:rsid w:val="00871173"/>
    <w:rsid w:val="00871193"/>
    <w:rsid w:val="0087122B"/>
    <w:rsid w:val="008712A3"/>
    <w:rsid w:val="00871342"/>
    <w:rsid w:val="00871358"/>
    <w:rsid w:val="00871408"/>
    <w:rsid w:val="008714BC"/>
    <w:rsid w:val="0087151E"/>
    <w:rsid w:val="008715CD"/>
    <w:rsid w:val="00871609"/>
    <w:rsid w:val="0087169F"/>
    <w:rsid w:val="008716F8"/>
    <w:rsid w:val="00871A3A"/>
    <w:rsid w:val="00871C00"/>
    <w:rsid w:val="00871CD6"/>
    <w:rsid w:val="00871DA9"/>
    <w:rsid w:val="00871F78"/>
    <w:rsid w:val="008721A7"/>
    <w:rsid w:val="00872371"/>
    <w:rsid w:val="00872451"/>
    <w:rsid w:val="008724CA"/>
    <w:rsid w:val="00872610"/>
    <w:rsid w:val="008726CD"/>
    <w:rsid w:val="008726DA"/>
    <w:rsid w:val="008727E4"/>
    <w:rsid w:val="00872944"/>
    <w:rsid w:val="00872B08"/>
    <w:rsid w:val="00872B58"/>
    <w:rsid w:val="00872B74"/>
    <w:rsid w:val="00872BE0"/>
    <w:rsid w:val="00872BF5"/>
    <w:rsid w:val="00872C23"/>
    <w:rsid w:val="00872D8C"/>
    <w:rsid w:val="00872E00"/>
    <w:rsid w:val="00872E1F"/>
    <w:rsid w:val="00872E40"/>
    <w:rsid w:val="00872E4E"/>
    <w:rsid w:val="00872ECC"/>
    <w:rsid w:val="00872FDC"/>
    <w:rsid w:val="00873075"/>
    <w:rsid w:val="008730AD"/>
    <w:rsid w:val="0087317C"/>
    <w:rsid w:val="0087331F"/>
    <w:rsid w:val="00873595"/>
    <w:rsid w:val="008736AC"/>
    <w:rsid w:val="008736BD"/>
    <w:rsid w:val="00873758"/>
    <w:rsid w:val="0087387B"/>
    <w:rsid w:val="00873947"/>
    <w:rsid w:val="00873958"/>
    <w:rsid w:val="00873993"/>
    <w:rsid w:val="008739DE"/>
    <w:rsid w:val="008739DF"/>
    <w:rsid w:val="00873B13"/>
    <w:rsid w:val="00873BF7"/>
    <w:rsid w:val="00873C80"/>
    <w:rsid w:val="00873FFC"/>
    <w:rsid w:val="00874061"/>
    <w:rsid w:val="0087428A"/>
    <w:rsid w:val="008744E8"/>
    <w:rsid w:val="0087451D"/>
    <w:rsid w:val="0087455C"/>
    <w:rsid w:val="008746BB"/>
    <w:rsid w:val="00874976"/>
    <w:rsid w:val="00874A66"/>
    <w:rsid w:val="00874B64"/>
    <w:rsid w:val="00874BA1"/>
    <w:rsid w:val="00874C01"/>
    <w:rsid w:val="00874C70"/>
    <w:rsid w:val="00874F38"/>
    <w:rsid w:val="00875141"/>
    <w:rsid w:val="00875193"/>
    <w:rsid w:val="00875299"/>
    <w:rsid w:val="00875348"/>
    <w:rsid w:val="008753F4"/>
    <w:rsid w:val="0087547F"/>
    <w:rsid w:val="00875485"/>
    <w:rsid w:val="00875876"/>
    <w:rsid w:val="0087588A"/>
    <w:rsid w:val="00875910"/>
    <w:rsid w:val="00875933"/>
    <w:rsid w:val="0087593B"/>
    <w:rsid w:val="008759BE"/>
    <w:rsid w:val="00875A8A"/>
    <w:rsid w:val="00875BC2"/>
    <w:rsid w:val="00875D85"/>
    <w:rsid w:val="00875E29"/>
    <w:rsid w:val="00875E98"/>
    <w:rsid w:val="00875F02"/>
    <w:rsid w:val="00875F23"/>
    <w:rsid w:val="00875FD7"/>
    <w:rsid w:val="0087606A"/>
    <w:rsid w:val="0087626E"/>
    <w:rsid w:val="008762DB"/>
    <w:rsid w:val="00876300"/>
    <w:rsid w:val="0087631C"/>
    <w:rsid w:val="008763C1"/>
    <w:rsid w:val="0087647E"/>
    <w:rsid w:val="008765BB"/>
    <w:rsid w:val="00876644"/>
    <w:rsid w:val="008767EE"/>
    <w:rsid w:val="00876809"/>
    <w:rsid w:val="00876843"/>
    <w:rsid w:val="008768AF"/>
    <w:rsid w:val="008768BE"/>
    <w:rsid w:val="0087691E"/>
    <w:rsid w:val="00876AF7"/>
    <w:rsid w:val="00876B55"/>
    <w:rsid w:val="00876C6D"/>
    <w:rsid w:val="00876D8E"/>
    <w:rsid w:val="00876DB1"/>
    <w:rsid w:val="00876EBE"/>
    <w:rsid w:val="00877296"/>
    <w:rsid w:val="008772A6"/>
    <w:rsid w:val="008775FB"/>
    <w:rsid w:val="00877601"/>
    <w:rsid w:val="00877702"/>
    <w:rsid w:val="00877734"/>
    <w:rsid w:val="008777A9"/>
    <w:rsid w:val="00877843"/>
    <w:rsid w:val="008778FE"/>
    <w:rsid w:val="00877910"/>
    <w:rsid w:val="0087795E"/>
    <w:rsid w:val="00877A42"/>
    <w:rsid w:val="00877DA9"/>
    <w:rsid w:val="00877F8F"/>
    <w:rsid w:val="00877FCE"/>
    <w:rsid w:val="00880001"/>
    <w:rsid w:val="008800AE"/>
    <w:rsid w:val="008800C5"/>
    <w:rsid w:val="008801CE"/>
    <w:rsid w:val="00880232"/>
    <w:rsid w:val="008802BA"/>
    <w:rsid w:val="008805C6"/>
    <w:rsid w:val="008806CA"/>
    <w:rsid w:val="00880714"/>
    <w:rsid w:val="0088072F"/>
    <w:rsid w:val="00880792"/>
    <w:rsid w:val="00880831"/>
    <w:rsid w:val="00880833"/>
    <w:rsid w:val="00880980"/>
    <w:rsid w:val="00880A21"/>
    <w:rsid w:val="00880AEC"/>
    <w:rsid w:val="00880BEE"/>
    <w:rsid w:val="00880C4D"/>
    <w:rsid w:val="00880D46"/>
    <w:rsid w:val="00880D77"/>
    <w:rsid w:val="00880D9C"/>
    <w:rsid w:val="00880DF6"/>
    <w:rsid w:val="00880F2E"/>
    <w:rsid w:val="008810D6"/>
    <w:rsid w:val="00881102"/>
    <w:rsid w:val="008811C3"/>
    <w:rsid w:val="008812BC"/>
    <w:rsid w:val="00881323"/>
    <w:rsid w:val="0088133B"/>
    <w:rsid w:val="00881431"/>
    <w:rsid w:val="0088144F"/>
    <w:rsid w:val="008814B9"/>
    <w:rsid w:val="0088161B"/>
    <w:rsid w:val="008816C1"/>
    <w:rsid w:val="00881738"/>
    <w:rsid w:val="0088173D"/>
    <w:rsid w:val="00881794"/>
    <w:rsid w:val="008817DE"/>
    <w:rsid w:val="0088186A"/>
    <w:rsid w:val="008818AB"/>
    <w:rsid w:val="008818E3"/>
    <w:rsid w:val="0088194A"/>
    <w:rsid w:val="00881B15"/>
    <w:rsid w:val="00881B99"/>
    <w:rsid w:val="00881BE0"/>
    <w:rsid w:val="00881C71"/>
    <w:rsid w:val="00881C95"/>
    <w:rsid w:val="0088235F"/>
    <w:rsid w:val="008824F8"/>
    <w:rsid w:val="00882511"/>
    <w:rsid w:val="00882528"/>
    <w:rsid w:val="0088255D"/>
    <w:rsid w:val="008826FA"/>
    <w:rsid w:val="00882812"/>
    <w:rsid w:val="00882924"/>
    <w:rsid w:val="00882A94"/>
    <w:rsid w:val="00882AC0"/>
    <w:rsid w:val="00882BAC"/>
    <w:rsid w:val="00882C8B"/>
    <w:rsid w:val="00882CFA"/>
    <w:rsid w:val="00882E53"/>
    <w:rsid w:val="00882F8F"/>
    <w:rsid w:val="0088310C"/>
    <w:rsid w:val="0088313A"/>
    <w:rsid w:val="00883145"/>
    <w:rsid w:val="008831C0"/>
    <w:rsid w:val="0088323C"/>
    <w:rsid w:val="0088324D"/>
    <w:rsid w:val="00883252"/>
    <w:rsid w:val="008833E4"/>
    <w:rsid w:val="00883628"/>
    <w:rsid w:val="00883699"/>
    <w:rsid w:val="008837AD"/>
    <w:rsid w:val="00883A30"/>
    <w:rsid w:val="00883A59"/>
    <w:rsid w:val="00883D27"/>
    <w:rsid w:val="00883DE2"/>
    <w:rsid w:val="00883FD3"/>
    <w:rsid w:val="00883FF0"/>
    <w:rsid w:val="00884047"/>
    <w:rsid w:val="008840F7"/>
    <w:rsid w:val="0088414C"/>
    <w:rsid w:val="00884363"/>
    <w:rsid w:val="008843A6"/>
    <w:rsid w:val="008843BD"/>
    <w:rsid w:val="008844F4"/>
    <w:rsid w:val="0088455B"/>
    <w:rsid w:val="00884676"/>
    <w:rsid w:val="008846EF"/>
    <w:rsid w:val="008846F2"/>
    <w:rsid w:val="00884921"/>
    <w:rsid w:val="0088497F"/>
    <w:rsid w:val="00884A75"/>
    <w:rsid w:val="00884ACA"/>
    <w:rsid w:val="00884B0F"/>
    <w:rsid w:val="00884BD2"/>
    <w:rsid w:val="00884C05"/>
    <w:rsid w:val="00884DE2"/>
    <w:rsid w:val="00884E13"/>
    <w:rsid w:val="00884E38"/>
    <w:rsid w:val="00884E40"/>
    <w:rsid w:val="00884E74"/>
    <w:rsid w:val="00884EA8"/>
    <w:rsid w:val="00884EAD"/>
    <w:rsid w:val="00884EC6"/>
    <w:rsid w:val="00884EF3"/>
    <w:rsid w:val="00884F9E"/>
    <w:rsid w:val="00885000"/>
    <w:rsid w:val="00885008"/>
    <w:rsid w:val="0088506B"/>
    <w:rsid w:val="0088508B"/>
    <w:rsid w:val="0088519D"/>
    <w:rsid w:val="008851DF"/>
    <w:rsid w:val="00885294"/>
    <w:rsid w:val="008852D6"/>
    <w:rsid w:val="00885655"/>
    <w:rsid w:val="0088567F"/>
    <w:rsid w:val="008857F5"/>
    <w:rsid w:val="008858A4"/>
    <w:rsid w:val="008858D0"/>
    <w:rsid w:val="008858E3"/>
    <w:rsid w:val="0088592D"/>
    <w:rsid w:val="00885AB4"/>
    <w:rsid w:val="00885B23"/>
    <w:rsid w:val="00885B45"/>
    <w:rsid w:val="00885C05"/>
    <w:rsid w:val="00885CC1"/>
    <w:rsid w:val="00885D91"/>
    <w:rsid w:val="00885DE8"/>
    <w:rsid w:val="00885F6C"/>
    <w:rsid w:val="0088603B"/>
    <w:rsid w:val="00886109"/>
    <w:rsid w:val="0088621B"/>
    <w:rsid w:val="008862EE"/>
    <w:rsid w:val="00886314"/>
    <w:rsid w:val="00886335"/>
    <w:rsid w:val="00886417"/>
    <w:rsid w:val="00886531"/>
    <w:rsid w:val="008865AA"/>
    <w:rsid w:val="008865DF"/>
    <w:rsid w:val="00886697"/>
    <w:rsid w:val="008866E6"/>
    <w:rsid w:val="00886766"/>
    <w:rsid w:val="0088682D"/>
    <w:rsid w:val="0088698C"/>
    <w:rsid w:val="008869E5"/>
    <w:rsid w:val="00886A05"/>
    <w:rsid w:val="00886B0B"/>
    <w:rsid w:val="00886B84"/>
    <w:rsid w:val="00886C33"/>
    <w:rsid w:val="00886C9C"/>
    <w:rsid w:val="00886DF2"/>
    <w:rsid w:val="00886DFB"/>
    <w:rsid w:val="00886E4A"/>
    <w:rsid w:val="00887119"/>
    <w:rsid w:val="00887219"/>
    <w:rsid w:val="00887423"/>
    <w:rsid w:val="00887483"/>
    <w:rsid w:val="008874D2"/>
    <w:rsid w:val="00887570"/>
    <w:rsid w:val="008875FE"/>
    <w:rsid w:val="00887669"/>
    <w:rsid w:val="0088778D"/>
    <w:rsid w:val="00887871"/>
    <w:rsid w:val="008878CD"/>
    <w:rsid w:val="0088794F"/>
    <w:rsid w:val="008879F1"/>
    <w:rsid w:val="00887A6D"/>
    <w:rsid w:val="00887AA6"/>
    <w:rsid w:val="00887B07"/>
    <w:rsid w:val="00887B89"/>
    <w:rsid w:val="00887C52"/>
    <w:rsid w:val="00887D12"/>
    <w:rsid w:val="00887DC3"/>
    <w:rsid w:val="00887E2C"/>
    <w:rsid w:val="00887ED0"/>
    <w:rsid w:val="0089033E"/>
    <w:rsid w:val="0089036D"/>
    <w:rsid w:val="00890382"/>
    <w:rsid w:val="00890394"/>
    <w:rsid w:val="008906BF"/>
    <w:rsid w:val="00890903"/>
    <w:rsid w:val="00890A8C"/>
    <w:rsid w:val="00890AC0"/>
    <w:rsid w:val="00890D65"/>
    <w:rsid w:val="00890DAC"/>
    <w:rsid w:val="00890DB9"/>
    <w:rsid w:val="00890F84"/>
    <w:rsid w:val="00890F8D"/>
    <w:rsid w:val="0089110D"/>
    <w:rsid w:val="00891220"/>
    <w:rsid w:val="0089122B"/>
    <w:rsid w:val="0089122E"/>
    <w:rsid w:val="00891426"/>
    <w:rsid w:val="00891454"/>
    <w:rsid w:val="00891510"/>
    <w:rsid w:val="00891599"/>
    <w:rsid w:val="00891716"/>
    <w:rsid w:val="0089174B"/>
    <w:rsid w:val="008917C1"/>
    <w:rsid w:val="00891892"/>
    <w:rsid w:val="00891AF1"/>
    <w:rsid w:val="00891B82"/>
    <w:rsid w:val="00891D10"/>
    <w:rsid w:val="00891E8B"/>
    <w:rsid w:val="00892194"/>
    <w:rsid w:val="0089220B"/>
    <w:rsid w:val="00892397"/>
    <w:rsid w:val="0089246E"/>
    <w:rsid w:val="008924B9"/>
    <w:rsid w:val="008927D0"/>
    <w:rsid w:val="008927E1"/>
    <w:rsid w:val="008928DA"/>
    <w:rsid w:val="0089290B"/>
    <w:rsid w:val="00892A19"/>
    <w:rsid w:val="00892C70"/>
    <w:rsid w:val="00892C9F"/>
    <w:rsid w:val="00892E05"/>
    <w:rsid w:val="00892E57"/>
    <w:rsid w:val="00892EC1"/>
    <w:rsid w:val="00893057"/>
    <w:rsid w:val="00893340"/>
    <w:rsid w:val="008933B4"/>
    <w:rsid w:val="00893480"/>
    <w:rsid w:val="00893520"/>
    <w:rsid w:val="00893549"/>
    <w:rsid w:val="00893587"/>
    <w:rsid w:val="0089371F"/>
    <w:rsid w:val="0089391E"/>
    <w:rsid w:val="00893A53"/>
    <w:rsid w:val="00893C01"/>
    <w:rsid w:val="00893C71"/>
    <w:rsid w:val="00893E01"/>
    <w:rsid w:val="00893F66"/>
    <w:rsid w:val="00893F9A"/>
    <w:rsid w:val="00893FF3"/>
    <w:rsid w:val="0089407D"/>
    <w:rsid w:val="0089407F"/>
    <w:rsid w:val="008941B2"/>
    <w:rsid w:val="008942BA"/>
    <w:rsid w:val="008942E6"/>
    <w:rsid w:val="00894471"/>
    <w:rsid w:val="00894483"/>
    <w:rsid w:val="00894499"/>
    <w:rsid w:val="008944E8"/>
    <w:rsid w:val="0089451B"/>
    <w:rsid w:val="00894572"/>
    <w:rsid w:val="00894681"/>
    <w:rsid w:val="008947B0"/>
    <w:rsid w:val="00894821"/>
    <w:rsid w:val="0089485C"/>
    <w:rsid w:val="008949B7"/>
    <w:rsid w:val="008949F1"/>
    <w:rsid w:val="00894B5C"/>
    <w:rsid w:val="00894C9C"/>
    <w:rsid w:val="00894CF2"/>
    <w:rsid w:val="00894D4C"/>
    <w:rsid w:val="00894D8B"/>
    <w:rsid w:val="00894E6C"/>
    <w:rsid w:val="00894EBF"/>
    <w:rsid w:val="00894FF5"/>
    <w:rsid w:val="00894FF7"/>
    <w:rsid w:val="00895088"/>
    <w:rsid w:val="00895343"/>
    <w:rsid w:val="00895418"/>
    <w:rsid w:val="00895642"/>
    <w:rsid w:val="00895662"/>
    <w:rsid w:val="008956DC"/>
    <w:rsid w:val="00895722"/>
    <w:rsid w:val="00895728"/>
    <w:rsid w:val="00895810"/>
    <w:rsid w:val="0089589F"/>
    <w:rsid w:val="008958F9"/>
    <w:rsid w:val="00895937"/>
    <w:rsid w:val="00895B5A"/>
    <w:rsid w:val="00895CA7"/>
    <w:rsid w:val="00895D51"/>
    <w:rsid w:val="00895EB3"/>
    <w:rsid w:val="00895F57"/>
    <w:rsid w:val="0089606D"/>
    <w:rsid w:val="0089616D"/>
    <w:rsid w:val="008961E8"/>
    <w:rsid w:val="00896348"/>
    <w:rsid w:val="008963EB"/>
    <w:rsid w:val="008963EE"/>
    <w:rsid w:val="008964BB"/>
    <w:rsid w:val="00896516"/>
    <w:rsid w:val="00896600"/>
    <w:rsid w:val="00896686"/>
    <w:rsid w:val="008966AB"/>
    <w:rsid w:val="0089670A"/>
    <w:rsid w:val="00896756"/>
    <w:rsid w:val="008967A8"/>
    <w:rsid w:val="008967F1"/>
    <w:rsid w:val="0089681C"/>
    <w:rsid w:val="00896856"/>
    <w:rsid w:val="008968DC"/>
    <w:rsid w:val="008968EC"/>
    <w:rsid w:val="00896900"/>
    <w:rsid w:val="00896917"/>
    <w:rsid w:val="00896A16"/>
    <w:rsid w:val="00896AF5"/>
    <w:rsid w:val="00896C69"/>
    <w:rsid w:val="00896D12"/>
    <w:rsid w:val="00896DBF"/>
    <w:rsid w:val="00896EA9"/>
    <w:rsid w:val="00896EDC"/>
    <w:rsid w:val="00896FF0"/>
    <w:rsid w:val="00897080"/>
    <w:rsid w:val="008971D1"/>
    <w:rsid w:val="0089736C"/>
    <w:rsid w:val="00897418"/>
    <w:rsid w:val="0089762F"/>
    <w:rsid w:val="00897654"/>
    <w:rsid w:val="008976D4"/>
    <w:rsid w:val="00897791"/>
    <w:rsid w:val="00897951"/>
    <w:rsid w:val="008979C8"/>
    <w:rsid w:val="00897A94"/>
    <w:rsid w:val="00897AED"/>
    <w:rsid w:val="00897F0B"/>
    <w:rsid w:val="00897F6D"/>
    <w:rsid w:val="008A02BD"/>
    <w:rsid w:val="008A02C6"/>
    <w:rsid w:val="008A02E6"/>
    <w:rsid w:val="008A03E1"/>
    <w:rsid w:val="008A04A2"/>
    <w:rsid w:val="008A050D"/>
    <w:rsid w:val="008A0537"/>
    <w:rsid w:val="008A05B3"/>
    <w:rsid w:val="008A06EF"/>
    <w:rsid w:val="008A0813"/>
    <w:rsid w:val="008A093D"/>
    <w:rsid w:val="008A095D"/>
    <w:rsid w:val="008A09DC"/>
    <w:rsid w:val="008A0AA6"/>
    <w:rsid w:val="008A0B78"/>
    <w:rsid w:val="008A0BD0"/>
    <w:rsid w:val="008A0DA7"/>
    <w:rsid w:val="008A0DCC"/>
    <w:rsid w:val="008A0EA5"/>
    <w:rsid w:val="008A0EBF"/>
    <w:rsid w:val="008A10B5"/>
    <w:rsid w:val="008A1198"/>
    <w:rsid w:val="008A11EE"/>
    <w:rsid w:val="008A12AC"/>
    <w:rsid w:val="008A12AF"/>
    <w:rsid w:val="008A140C"/>
    <w:rsid w:val="008A144B"/>
    <w:rsid w:val="008A1665"/>
    <w:rsid w:val="008A16F6"/>
    <w:rsid w:val="008A1730"/>
    <w:rsid w:val="008A1781"/>
    <w:rsid w:val="008A1A04"/>
    <w:rsid w:val="008A1ABC"/>
    <w:rsid w:val="008A1C57"/>
    <w:rsid w:val="008A1C96"/>
    <w:rsid w:val="008A1CCC"/>
    <w:rsid w:val="008A1CE1"/>
    <w:rsid w:val="008A1DCE"/>
    <w:rsid w:val="008A1EA8"/>
    <w:rsid w:val="008A20D0"/>
    <w:rsid w:val="008A21E3"/>
    <w:rsid w:val="008A2267"/>
    <w:rsid w:val="008A231F"/>
    <w:rsid w:val="008A2473"/>
    <w:rsid w:val="008A24D4"/>
    <w:rsid w:val="008A2518"/>
    <w:rsid w:val="008A25A0"/>
    <w:rsid w:val="008A26AD"/>
    <w:rsid w:val="008A281D"/>
    <w:rsid w:val="008A29C1"/>
    <w:rsid w:val="008A2AE1"/>
    <w:rsid w:val="008A2B07"/>
    <w:rsid w:val="008A2B93"/>
    <w:rsid w:val="008A2BA2"/>
    <w:rsid w:val="008A2BB9"/>
    <w:rsid w:val="008A2C22"/>
    <w:rsid w:val="008A2DC3"/>
    <w:rsid w:val="008A2DD6"/>
    <w:rsid w:val="008A2EA0"/>
    <w:rsid w:val="008A2FB1"/>
    <w:rsid w:val="008A2FCF"/>
    <w:rsid w:val="008A3156"/>
    <w:rsid w:val="008A31EC"/>
    <w:rsid w:val="008A31F8"/>
    <w:rsid w:val="008A326F"/>
    <w:rsid w:val="008A327E"/>
    <w:rsid w:val="008A3451"/>
    <w:rsid w:val="008A3487"/>
    <w:rsid w:val="008A34CE"/>
    <w:rsid w:val="008A359B"/>
    <w:rsid w:val="008A3624"/>
    <w:rsid w:val="008A3841"/>
    <w:rsid w:val="008A3A10"/>
    <w:rsid w:val="008A3A75"/>
    <w:rsid w:val="008A3AB7"/>
    <w:rsid w:val="008A3BA1"/>
    <w:rsid w:val="008A3C84"/>
    <w:rsid w:val="008A3D9D"/>
    <w:rsid w:val="008A3FAF"/>
    <w:rsid w:val="008A3FD3"/>
    <w:rsid w:val="008A40B1"/>
    <w:rsid w:val="008A410E"/>
    <w:rsid w:val="008A414C"/>
    <w:rsid w:val="008A41BC"/>
    <w:rsid w:val="008A425C"/>
    <w:rsid w:val="008A42BC"/>
    <w:rsid w:val="008A42C9"/>
    <w:rsid w:val="008A4308"/>
    <w:rsid w:val="008A475B"/>
    <w:rsid w:val="008A48B9"/>
    <w:rsid w:val="008A49C9"/>
    <w:rsid w:val="008A4A2E"/>
    <w:rsid w:val="008A4A43"/>
    <w:rsid w:val="008A4C49"/>
    <w:rsid w:val="008A4C57"/>
    <w:rsid w:val="008A4CF0"/>
    <w:rsid w:val="008A4CF6"/>
    <w:rsid w:val="008A4CFA"/>
    <w:rsid w:val="008A4D18"/>
    <w:rsid w:val="008A4D3A"/>
    <w:rsid w:val="008A4E35"/>
    <w:rsid w:val="008A4ED4"/>
    <w:rsid w:val="008A4F5F"/>
    <w:rsid w:val="008A50CF"/>
    <w:rsid w:val="008A5128"/>
    <w:rsid w:val="008A525A"/>
    <w:rsid w:val="008A52D4"/>
    <w:rsid w:val="008A52FA"/>
    <w:rsid w:val="008A53F3"/>
    <w:rsid w:val="008A5546"/>
    <w:rsid w:val="008A5587"/>
    <w:rsid w:val="008A55D6"/>
    <w:rsid w:val="008A5721"/>
    <w:rsid w:val="008A575E"/>
    <w:rsid w:val="008A57C8"/>
    <w:rsid w:val="008A5889"/>
    <w:rsid w:val="008A5AAE"/>
    <w:rsid w:val="008A5B13"/>
    <w:rsid w:val="008A5D2A"/>
    <w:rsid w:val="008A5D66"/>
    <w:rsid w:val="008A5DBE"/>
    <w:rsid w:val="008A5F9A"/>
    <w:rsid w:val="008A5FC0"/>
    <w:rsid w:val="008A6150"/>
    <w:rsid w:val="008A625B"/>
    <w:rsid w:val="008A635D"/>
    <w:rsid w:val="008A63C4"/>
    <w:rsid w:val="008A6482"/>
    <w:rsid w:val="008A65F3"/>
    <w:rsid w:val="008A66BB"/>
    <w:rsid w:val="008A66C1"/>
    <w:rsid w:val="008A67DA"/>
    <w:rsid w:val="008A692D"/>
    <w:rsid w:val="008A6942"/>
    <w:rsid w:val="008A6B91"/>
    <w:rsid w:val="008A6BB0"/>
    <w:rsid w:val="008A6EF7"/>
    <w:rsid w:val="008A7021"/>
    <w:rsid w:val="008A7103"/>
    <w:rsid w:val="008A7236"/>
    <w:rsid w:val="008A74A7"/>
    <w:rsid w:val="008A7677"/>
    <w:rsid w:val="008A7681"/>
    <w:rsid w:val="008A76F3"/>
    <w:rsid w:val="008A773B"/>
    <w:rsid w:val="008A77B5"/>
    <w:rsid w:val="008A77BC"/>
    <w:rsid w:val="008A77D5"/>
    <w:rsid w:val="008A78D3"/>
    <w:rsid w:val="008A7909"/>
    <w:rsid w:val="008A7936"/>
    <w:rsid w:val="008A7BDF"/>
    <w:rsid w:val="008A7C7B"/>
    <w:rsid w:val="008A7CFE"/>
    <w:rsid w:val="008A7D34"/>
    <w:rsid w:val="008A7D89"/>
    <w:rsid w:val="008A7DC0"/>
    <w:rsid w:val="008A7DE0"/>
    <w:rsid w:val="008A7DF7"/>
    <w:rsid w:val="008A7E27"/>
    <w:rsid w:val="008A7F0B"/>
    <w:rsid w:val="008A7FF8"/>
    <w:rsid w:val="008B01C6"/>
    <w:rsid w:val="008B02DB"/>
    <w:rsid w:val="008B0412"/>
    <w:rsid w:val="008B0554"/>
    <w:rsid w:val="008B0706"/>
    <w:rsid w:val="008B0914"/>
    <w:rsid w:val="008B094A"/>
    <w:rsid w:val="008B0AA5"/>
    <w:rsid w:val="008B0AD4"/>
    <w:rsid w:val="008B0B98"/>
    <w:rsid w:val="008B0CD9"/>
    <w:rsid w:val="008B0D49"/>
    <w:rsid w:val="008B0E0F"/>
    <w:rsid w:val="008B0E99"/>
    <w:rsid w:val="008B0FEE"/>
    <w:rsid w:val="008B109E"/>
    <w:rsid w:val="008B10A1"/>
    <w:rsid w:val="008B10CA"/>
    <w:rsid w:val="008B1112"/>
    <w:rsid w:val="008B12A9"/>
    <w:rsid w:val="008B1331"/>
    <w:rsid w:val="008B1362"/>
    <w:rsid w:val="008B13D0"/>
    <w:rsid w:val="008B167D"/>
    <w:rsid w:val="008B168D"/>
    <w:rsid w:val="008B17BF"/>
    <w:rsid w:val="008B1976"/>
    <w:rsid w:val="008B1A31"/>
    <w:rsid w:val="008B1A58"/>
    <w:rsid w:val="008B1B1A"/>
    <w:rsid w:val="008B1FC8"/>
    <w:rsid w:val="008B2007"/>
    <w:rsid w:val="008B2090"/>
    <w:rsid w:val="008B2096"/>
    <w:rsid w:val="008B217A"/>
    <w:rsid w:val="008B2233"/>
    <w:rsid w:val="008B2341"/>
    <w:rsid w:val="008B250E"/>
    <w:rsid w:val="008B260A"/>
    <w:rsid w:val="008B265E"/>
    <w:rsid w:val="008B2680"/>
    <w:rsid w:val="008B270A"/>
    <w:rsid w:val="008B2858"/>
    <w:rsid w:val="008B298B"/>
    <w:rsid w:val="008B2990"/>
    <w:rsid w:val="008B2AC2"/>
    <w:rsid w:val="008B2B50"/>
    <w:rsid w:val="008B2BA1"/>
    <w:rsid w:val="008B2CC4"/>
    <w:rsid w:val="008B2D10"/>
    <w:rsid w:val="008B2DA7"/>
    <w:rsid w:val="008B2DCB"/>
    <w:rsid w:val="008B2EF3"/>
    <w:rsid w:val="008B2F00"/>
    <w:rsid w:val="008B2FA2"/>
    <w:rsid w:val="008B301D"/>
    <w:rsid w:val="008B3079"/>
    <w:rsid w:val="008B3084"/>
    <w:rsid w:val="008B3198"/>
    <w:rsid w:val="008B324A"/>
    <w:rsid w:val="008B3292"/>
    <w:rsid w:val="008B32BD"/>
    <w:rsid w:val="008B32D7"/>
    <w:rsid w:val="008B3350"/>
    <w:rsid w:val="008B33C0"/>
    <w:rsid w:val="008B345A"/>
    <w:rsid w:val="008B3498"/>
    <w:rsid w:val="008B38A3"/>
    <w:rsid w:val="008B38A7"/>
    <w:rsid w:val="008B38E2"/>
    <w:rsid w:val="008B3CFD"/>
    <w:rsid w:val="008B3D99"/>
    <w:rsid w:val="008B402A"/>
    <w:rsid w:val="008B4052"/>
    <w:rsid w:val="008B41F6"/>
    <w:rsid w:val="008B425E"/>
    <w:rsid w:val="008B438E"/>
    <w:rsid w:val="008B43AA"/>
    <w:rsid w:val="008B4512"/>
    <w:rsid w:val="008B4636"/>
    <w:rsid w:val="008B47DE"/>
    <w:rsid w:val="008B4937"/>
    <w:rsid w:val="008B4A3D"/>
    <w:rsid w:val="008B4A60"/>
    <w:rsid w:val="008B4AD9"/>
    <w:rsid w:val="008B4BD4"/>
    <w:rsid w:val="008B4C53"/>
    <w:rsid w:val="008B4C55"/>
    <w:rsid w:val="008B4D4C"/>
    <w:rsid w:val="008B4DC7"/>
    <w:rsid w:val="008B4FD4"/>
    <w:rsid w:val="008B5007"/>
    <w:rsid w:val="008B511D"/>
    <w:rsid w:val="008B5191"/>
    <w:rsid w:val="008B52EA"/>
    <w:rsid w:val="008B545E"/>
    <w:rsid w:val="008B5481"/>
    <w:rsid w:val="008B5591"/>
    <w:rsid w:val="008B5601"/>
    <w:rsid w:val="008B574B"/>
    <w:rsid w:val="008B57DF"/>
    <w:rsid w:val="008B58C3"/>
    <w:rsid w:val="008B58D1"/>
    <w:rsid w:val="008B5A31"/>
    <w:rsid w:val="008B5A9A"/>
    <w:rsid w:val="008B5A9F"/>
    <w:rsid w:val="008B5AF4"/>
    <w:rsid w:val="008B5B0F"/>
    <w:rsid w:val="008B5B3A"/>
    <w:rsid w:val="008B5B6D"/>
    <w:rsid w:val="008B5BA8"/>
    <w:rsid w:val="008B5BE7"/>
    <w:rsid w:val="008B5D00"/>
    <w:rsid w:val="008B5E1B"/>
    <w:rsid w:val="008B5F00"/>
    <w:rsid w:val="008B5F06"/>
    <w:rsid w:val="008B5F87"/>
    <w:rsid w:val="008B60AB"/>
    <w:rsid w:val="008B60FC"/>
    <w:rsid w:val="008B6260"/>
    <w:rsid w:val="008B630E"/>
    <w:rsid w:val="008B6358"/>
    <w:rsid w:val="008B6373"/>
    <w:rsid w:val="008B63A7"/>
    <w:rsid w:val="008B6522"/>
    <w:rsid w:val="008B65AB"/>
    <w:rsid w:val="008B65D8"/>
    <w:rsid w:val="008B6644"/>
    <w:rsid w:val="008B6673"/>
    <w:rsid w:val="008B66B6"/>
    <w:rsid w:val="008B66DC"/>
    <w:rsid w:val="008B6909"/>
    <w:rsid w:val="008B6B38"/>
    <w:rsid w:val="008B6C20"/>
    <w:rsid w:val="008B6CD1"/>
    <w:rsid w:val="008B6CF8"/>
    <w:rsid w:val="008B6ECB"/>
    <w:rsid w:val="008B6F68"/>
    <w:rsid w:val="008B7026"/>
    <w:rsid w:val="008B706B"/>
    <w:rsid w:val="008B709C"/>
    <w:rsid w:val="008B70A2"/>
    <w:rsid w:val="008B73AD"/>
    <w:rsid w:val="008B747B"/>
    <w:rsid w:val="008B7498"/>
    <w:rsid w:val="008B7557"/>
    <w:rsid w:val="008B78EF"/>
    <w:rsid w:val="008B791C"/>
    <w:rsid w:val="008B7A5A"/>
    <w:rsid w:val="008B7A96"/>
    <w:rsid w:val="008B7AD6"/>
    <w:rsid w:val="008B7B7A"/>
    <w:rsid w:val="008B7BBF"/>
    <w:rsid w:val="008B7D69"/>
    <w:rsid w:val="008B7E89"/>
    <w:rsid w:val="008B7EB7"/>
    <w:rsid w:val="008B7F19"/>
    <w:rsid w:val="008C0039"/>
    <w:rsid w:val="008C00A7"/>
    <w:rsid w:val="008C013D"/>
    <w:rsid w:val="008C0167"/>
    <w:rsid w:val="008C0283"/>
    <w:rsid w:val="008C05D6"/>
    <w:rsid w:val="008C0700"/>
    <w:rsid w:val="008C0707"/>
    <w:rsid w:val="008C0898"/>
    <w:rsid w:val="008C09DB"/>
    <w:rsid w:val="008C09F2"/>
    <w:rsid w:val="008C0AAE"/>
    <w:rsid w:val="008C0B61"/>
    <w:rsid w:val="008C0C41"/>
    <w:rsid w:val="008C0C56"/>
    <w:rsid w:val="008C0C81"/>
    <w:rsid w:val="008C0D27"/>
    <w:rsid w:val="008C0E94"/>
    <w:rsid w:val="008C0F59"/>
    <w:rsid w:val="008C109D"/>
    <w:rsid w:val="008C131D"/>
    <w:rsid w:val="008C1398"/>
    <w:rsid w:val="008C1570"/>
    <w:rsid w:val="008C1571"/>
    <w:rsid w:val="008C18C9"/>
    <w:rsid w:val="008C18FD"/>
    <w:rsid w:val="008C1B10"/>
    <w:rsid w:val="008C1C32"/>
    <w:rsid w:val="008C1C53"/>
    <w:rsid w:val="008C1C85"/>
    <w:rsid w:val="008C1CCB"/>
    <w:rsid w:val="008C1D45"/>
    <w:rsid w:val="008C1D85"/>
    <w:rsid w:val="008C1EE0"/>
    <w:rsid w:val="008C2080"/>
    <w:rsid w:val="008C2382"/>
    <w:rsid w:val="008C24D7"/>
    <w:rsid w:val="008C280B"/>
    <w:rsid w:val="008C280D"/>
    <w:rsid w:val="008C28A1"/>
    <w:rsid w:val="008C28A5"/>
    <w:rsid w:val="008C296E"/>
    <w:rsid w:val="008C2A0E"/>
    <w:rsid w:val="008C2A8F"/>
    <w:rsid w:val="008C2B89"/>
    <w:rsid w:val="008C2C2B"/>
    <w:rsid w:val="008C2C4C"/>
    <w:rsid w:val="008C2CC6"/>
    <w:rsid w:val="008C2D4B"/>
    <w:rsid w:val="008C2D81"/>
    <w:rsid w:val="008C2DF2"/>
    <w:rsid w:val="008C2E00"/>
    <w:rsid w:val="008C2ED7"/>
    <w:rsid w:val="008C2EFF"/>
    <w:rsid w:val="008C30F2"/>
    <w:rsid w:val="008C319E"/>
    <w:rsid w:val="008C33E9"/>
    <w:rsid w:val="008C3508"/>
    <w:rsid w:val="008C3622"/>
    <w:rsid w:val="008C37DA"/>
    <w:rsid w:val="008C37DB"/>
    <w:rsid w:val="008C37EB"/>
    <w:rsid w:val="008C3925"/>
    <w:rsid w:val="008C3A17"/>
    <w:rsid w:val="008C3A73"/>
    <w:rsid w:val="008C3BA5"/>
    <w:rsid w:val="008C3BAA"/>
    <w:rsid w:val="008C3BF0"/>
    <w:rsid w:val="008C3C3C"/>
    <w:rsid w:val="008C3D26"/>
    <w:rsid w:val="008C3E4C"/>
    <w:rsid w:val="008C3FB7"/>
    <w:rsid w:val="008C4395"/>
    <w:rsid w:val="008C4479"/>
    <w:rsid w:val="008C459C"/>
    <w:rsid w:val="008C469A"/>
    <w:rsid w:val="008C469E"/>
    <w:rsid w:val="008C4709"/>
    <w:rsid w:val="008C475A"/>
    <w:rsid w:val="008C47BD"/>
    <w:rsid w:val="008C4912"/>
    <w:rsid w:val="008C4954"/>
    <w:rsid w:val="008C49A7"/>
    <w:rsid w:val="008C49D6"/>
    <w:rsid w:val="008C49E0"/>
    <w:rsid w:val="008C4B8F"/>
    <w:rsid w:val="008C4BBA"/>
    <w:rsid w:val="008C4BE1"/>
    <w:rsid w:val="008C4BFC"/>
    <w:rsid w:val="008C4D8B"/>
    <w:rsid w:val="008C4E01"/>
    <w:rsid w:val="008C4F1D"/>
    <w:rsid w:val="008C524D"/>
    <w:rsid w:val="008C5308"/>
    <w:rsid w:val="008C5457"/>
    <w:rsid w:val="008C5502"/>
    <w:rsid w:val="008C5515"/>
    <w:rsid w:val="008C5634"/>
    <w:rsid w:val="008C563B"/>
    <w:rsid w:val="008C570B"/>
    <w:rsid w:val="008C5783"/>
    <w:rsid w:val="008C57CE"/>
    <w:rsid w:val="008C58AC"/>
    <w:rsid w:val="008C592D"/>
    <w:rsid w:val="008C5960"/>
    <w:rsid w:val="008C596B"/>
    <w:rsid w:val="008C5A55"/>
    <w:rsid w:val="008C5B1A"/>
    <w:rsid w:val="008C5B65"/>
    <w:rsid w:val="008C5B69"/>
    <w:rsid w:val="008C5C3B"/>
    <w:rsid w:val="008C5D20"/>
    <w:rsid w:val="008C5D2C"/>
    <w:rsid w:val="008C5DB7"/>
    <w:rsid w:val="008C5EC6"/>
    <w:rsid w:val="008C5EE4"/>
    <w:rsid w:val="008C5F4B"/>
    <w:rsid w:val="008C6029"/>
    <w:rsid w:val="008C602A"/>
    <w:rsid w:val="008C608B"/>
    <w:rsid w:val="008C608F"/>
    <w:rsid w:val="008C60D4"/>
    <w:rsid w:val="008C6184"/>
    <w:rsid w:val="008C63A6"/>
    <w:rsid w:val="008C63BE"/>
    <w:rsid w:val="008C6565"/>
    <w:rsid w:val="008C6663"/>
    <w:rsid w:val="008C6677"/>
    <w:rsid w:val="008C66C4"/>
    <w:rsid w:val="008C693A"/>
    <w:rsid w:val="008C6967"/>
    <w:rsid w:val="008C6976"/>
    <w:rsid w:val="008C6AF8"/>
    <w:rsid w:val="008C6B05"/>
    <w:rsid w:val="008C6B3B"/>
    <w:rsid w:val="008C6BDC"/>
    <w:rsid w:val="008C6C58"/>
    <w:rsid w:val="008C6C62"/>
    <w:rsid w:val="008C6D7C"/>
    <w:rsid w:val="008C6EAE"/>
    <w:rsid w:val="008C7124"/>
    <w:rsid w:val="008C71D6"/>
    <w:rsid w:val="008C7223"/>
    <w:rsid w:val="008C72EC"/>
    <w:rsid w:val="008C7537"/>
    <w:rsid w:val="008C75FC"/>
    <w:rsid w:val="008C7740"/>
    <w:rsid w:val="008C779C"/>
    <w:rsid w:val="008C78F7"/>
    <w:rsid w:val="008C7AC5"/>
    <w:rsid w:val="008C7BB5"/>
    <w:rsid w:val="008C7C4A"/>
    <w:rsid w:val="008C7DBB"/>
    <w:rsid w:val="008C7DEC"/>
    <w:rsid w:val="008C7F34"/>
    <w:rsid w:val="008C7FFD"/>
    <w:rsid w:val="008D001E"/>
    <w:rsid w:val="008D0076"/>
    <w:rsid w:val="008D0117"/>
    <w:rsid w:val="008D01E4"/>
    <w:rsid w:val="008D0291"/>
    <w:rsid w:val="008D03D5"/>
    <w:rsid w:val="008D049E"/>
    <w:rsid w:val="008D05FF"/>
    <w:rsid w:val="008D0673"/>
    <w:rsid w:val="008D087A"/>
    <w:rsid w:val="008D08BE"/>
    <w:rsid w:val="008D09B0"/>
    <w:rsid w:val="008D09B7"/>
    <w:rsid w:val="008D0A06"/>
    <w:rsid w:val="008D0A26"/>
    <w:rsid w:val="008D0A67"/>
    <w:rsid w:val="008D0AF4"/>
    <w:rsid w:val="008D0B55"/>
    <w:rsid w:val="008D0BF3"/>
    <w:rsid w:val="008D0E4D"/>
    <w:rsid w:val="008D0E72"/>
    <w:rsid w:val="008D109E"/>
    <w:rsid w:val="008D11F3"/>
    <w:rsid w:val="008D12F5"/>
    <w:rsid w:val="008D1314"/>
    <w:rsid w:val="008D1325"/>
    <w:rsid w:val="008D15D1"/>
    <w:rsid w:val="008D1615"/>
    <w:rsid w:val="008D16B3"/>
    <w:rsid w:val="008D16D3"/>
    <w:rsid w:val="008D1701"/>
    <w:rsid w:val="008D17DE"/>
    <w:rsid w:val="008D1808"/>
    <w:rsid w:val="008D197D"/>
    <w:rsid w:val="008D19C0"/>
    <w:rsid w:val="008D1A4F"/>
    <w:rsid w:val="008D1ABC"/>
    <w:rsid w:val="008D1B09"/>
    <w:rsid w:val="008D1BD9"/>
    <w:rsid w:val="008D1EE1"/>
    <w:rsid w:val="008D1FA0"/>
    <w:rsid w:val="008D21F0"/>
    <w:rsid w:val="008D2224"/>
    <w:rsid w:val="008D237E"/>
    <w:rsid w:val="008D23F9"/>
    <w:rsid w:val="008D24A6"/>
    <w:rsid w:val="008D2559"/>
    <w:rsid w:val="008D257D"/>
    <w:rsid w:val="008D2634"/>
    <w:rsid w:val="008D26C6"/>
    <w:rsid w:val="008D2740"/>
    <w:rsid w:val="008D27F2"/>
    <w:rsid w:val="008D286E"/>
    <w:rsid w:val="008D2897"/>
    <w:rsid w:val="008D28AA"/>
    <w:rsid w:val="008D294A"/>
    <w:rsid w:val="008D29B1"/>
    <w:rsid w:val="008D2A3C"/>
    <w:rsid w:val="008D2A9D"/>
    <w:rsid w:val="008D2BCD"/>
    <w:rsid w:val="008D2C19"/>
    <w:rsid w:val="008D2CDF"/>
    <w:rsid w:val="008D2CED"/>
    <w:rsid w:val="008D2D67"/>
    <w:rsid w:val="008D2E3A"/>
    <w:rsid w:val="008D309A"/>
    <w:rsid w:val="008D327B"/>
    <w:rsid w:val="008D32C7"/>
    <w:rsid w:val="008D3339"/>
    <w:rsid w:val="008D334A"/>
    <w:rsid w:val="008D3433"/>
    <w:rsid w:val="008D34AD"/>
    <w:rsid w:val="008D3543"/>
    <w:rsid w:val="008D39F2"/>
    <w:rsid w:val="008D3A06"/>
    <w:rsid w:val="008D3B80"/>
    <w:rsid w:val="008D3BA0"/>
    <w:rsid w:val="008D3BBA"/>
    <w:rsid w:val="008D3C19"/>
    <w:rsid w:val="008D3DE7"/>
    <w:rsid w:val="008D3DFA"/>
    <w:rsid w:val="008D3E6F"/>
    <w:rsid w:val="008D3E8B"/>
    <w:rsid w:val="008D3FC2"/>
    <w:rsid w:val="008D3FCC"/>
    <w:rsid w:val="008D3FD8"/>
    <w:rsid w:val="008D405A"/>
    <w:rsid w:val="008D421E"/>
    <w:rsid w:val="008D4293"/>
    <w:rsid w:val="008D4326"/>
    <w:rsid w:val="008D43F8"/>
    <w:rsid w:val="008D440D"/>
    <w:rsid w:val="008D442A"/>
    <w:rsid w:val="008D4483"/>
    <w:rsid w:val="008D450A"/>
    <w:rsid w:val="008D4683"/>
    <w:rsid w:val="008D47E4"/>
    <w:rsid w:val="008D482E"/>
    <w:rsid w:val="008D4975"/>
    <w:rsid w:val="008D4C11"/>
    <w:rsid w:val="008D4E24"/>
    <w:rsid w:val="008D4E4A"/>
    <w:rsid w:val="008D4E5C"/>
    <w:rsid w:val="008D4E77"/>
    <w:rsid w:val="008D5137"/>
    <w:rsid w:val="008D52CD"/>
    <w:rsid w:val="008D5393"/>
    <w:rsid w:val="008D542C"/>
    <w:rsid w:val="008D5441"/>
    <w:rsid w:val="008D54C6"/>
    <w:rsid w:val="008D5585"/>
    <w:rsid w:val="008D55A1"/>
    <w:rsid w:val="008D5652"/>
    <w:rsid w:val="008D5962"/>
    <w:rsid w:val="008D5ADB"/>
    <w:rsid w:val="008D5BA5"/>
    <w:rsid w:val="008D5ED5"/>
    <w:rsid w:val="008D5EFC"/>
    <w:rsid w:val="008D5F29"/>
    <w:rsid w:val="008D5FA7"/>
    <w:rsid w:val="008D5FD0"/>
    <w:rsid w:val="008D605F"/>
    <w:rsid w:val="008D612D"/>
    <w:rsid w:val="008D61C7"/>
    <w:rsid w:val="008D6213"/>
    <w:rsid w:val="008D623D"/>
    <w:rsid w:val="008D62C4"/>
    <w:rsid w:val="008D6307"/>
    <w:rsid w:val="008D6334"/>
    <w:rsid w:val="008D635A"/>
    <w:rsid w:val="008D647C"/>
    <w:rsid w:val="008D66A9"/>
    <w:rsid w:val="008D67EE"/>
    <w:rsid w:val="008D68E7"/>
    <w:rsid w:val="008D68F6"/>
    <w:rsid w:val="008D68F9"/>
    <w:rsid w:val="008D6D33"/>
    <w:rsid w:val="008D6D63"/>
    <w:rsid w:val="008D6EA1"/>
    <w:rsid w:val="008D6F76"/>
    <w:rsid w:val="008D7003"/>
    <w:rsid w:val="008D7066"/>
    <w:rsid w:val="008D716A"/>
    <w:rsid w:val="008D71AC"/>
    <w:rsid w:val="008D71AE"/>
    <w:rsid w:val="008D7234"/>
    <w:rsid w:val="008D73E4"/>
    <w:rsid w:val="008D748C"/>
    <w:rsid w:val="008D7498"/>
    <w:rsid w:val="008D7546"/>
    <w:rsid w:val="008D766F"/>
    <w:rsid w:val="008D76A1"/>
    <w:rsid w:val="008D7736"/>
    <w:rsid w:val="008D773F"/>
    <w:rsid w:val="008D79AC"/>
    <w:rsid w:val="008D79C4"/>
    <w:rsid w:val="008D79DB"/>
    <w:rsid w:val="008D7D1D"/>
    <w:rsid w:val="008D7DBC"/>
    <w:rsid w:val="008D7EA8"/>
    <w:rsid w:val="008D7F0F"/>
    <w:rsid w:val="008E0124"/>
    <w:rsid w:val="008E013B"/>
    <w:rsid w:val="008E0265"/>
    <w:rsid w:val="008E0512"/>
    <w:rsid w:val="008E0515"/>
    <w:rsid w:val="008E058B"/>
    <w:rsid w:val="008E0750"/>
    <w:rsid w:val="008E0811"/>
    <w:rsid w:val="008E0A06"/>
    <w:rsid w:val="008E0B08"/>
    <w:rsid w:val="008E0B2F"/>
    <w:rsid w:val="008E0B43"/>
    <w:rsid w:val="008E0C8C"/>
    <w:rsid w:val="008E0CAE"/>
    <w:rsid w:val="008E0D72"/>
    <w:rsid w:val="008E0EC7"/>
    <w:rsid w:val="008E0F1E"/>
    <w:rsid w:val="008E0F7D"/>
    <w:rsid w:val="008E1029"/>
    <w:rsid w:val="008E109F"/>
    <w:rsid w:val="008E116F"/>
    <w:rsid w:val="008E1283"/>
    <w:rsid w:val="008E12EF"/>
    <w:rsid w:val="008E1415"/>
    <w:rsid w:val="008E14E9"/>
    <w:rsid w:val="008E15B6"/>
    <w:rsid w:val="008E1741"/>
    <w:rsid w:val="008E17A3"/>
    <w:rsid w:val="008E17CF"/>
    <w:rsid w:val="008E185A"/>
    <w:rsid w:val="008E1869"/>
    <w:rsid w:val="008E18D2"/>
    <w:rsid w:val="008E191F"/>
    <w:rsid w:val="008E19E5"/>
    <w:rsid w:val="008E1A09"/>
    <w:rsid w:val="008E1A63"/>
    <w:rsid w:val="008E1A6B"/>
    <w:rsid w:val="008E1B14"/>
    <w:rsid w:val="008E1BB3"/>
    <w:rsid w:val="008E1D13"/>
    <w:rsid w:val="008E1E64"/>
    <w:rsid w:val="008E1FBA"/>
    <w:rsid w:val="008E2042"/>
    <w:rsid w:val="008E2066"/>
    <w:rsid w:val="008E206F"/>
    <w:rsid w:val="008E20B1"/>
    <w:rsid w:val="008E217E"/>
    <w:rsid w:val="008E223C"/>
    <w:rsid w:val="008E2281"/>
    <w:rsid w:val="008E229B"/>
    <w:rsid w:val="008E22FD"/>
    <w:rsid w:val="008E2408"/>
    <w:rsid w:val="008E25D1"/>
    <w:rsid w:val="008E2780"/>
    <w:rsid w:val="008E279D"/>
    <w:rsid w:val="008E27F9"/>
    <w:rsid w:val="008E2830"/>
    <w:rsid w:val="008E2840"/>
    <w:rsid w:val="008E28E5"/>
    <w:rsid w:val="008E294E"/>
    <w:rsid w:val="008E2972"/>
    <w:rsid w:val="008E29D1"/>
    <w:rsid w:val="008E2C4E"/>
    <w:rsid w:val="008E2D0F"/>
    <w:rsid w:val="008E2D23"/>
    <w:rsid w:val="008E2F33"/>
    <w:rsid w:val="008E2FF4"/>
    <w:rsid w:val="008E30E0"/>
    <w:rsid w:val="008E30ED"/>
    <w:rsid w:val="008E315A"/>
    <w:rsid w:val="008E32FD"/>
    <w:rsid w:val="008E3435"/>
    <w:rsid w:val="008E34A4"/>
    <w:rsid w:val="008E34AB"/>
    <w:rsid w:val="008E357C"/>
    <w:rsid w:val="008E35DA"/>
    <w:rsid w:val="008E3689"/>
    <w:rsid w:val="008E38F7"/>
    <w:rsid w:val="008E3956"/>
    <w:rsid w:val="008E3991"/>
    <w:rsid w:val="008E3A28"/>
    <w:rsid w:val="008E3A60"/>
    <w:rsid w:val="008E3AE3"/>
    <w:rsid w:val="008E3B7A"/>
    <w:rsid w:val="008E3C1C"/>
    <w:rsid w:val="008E3CEF"/>
    <w:rsid w:val="008E3E40"/>
    <w:rsid w:val="008E3F41"/>
    <w:rsid w:val="008E3F55"/>
    <w:rsid w:val="008E41C1"/>
    <w:rsid w:val="008E41F6"/>
    <w:rsid w:val="008E423B"/>
    <w:rsid w:val="008E424C"/>
    <w:rsid w:val="008E4274"/>
    <w:rsid w:val="008E4425"/>
    <w:rsid w:val="008E4547"/>
    <w:rsid w:val="008E4596"/>
    <w:rsid w:val="008E4666"/>
    <w:rsid w:val="008E473B"/>
    <w:rsid w:val="008E489A"/>
    <w:rsid w:val="008E48BF"/>
    <w:rsid w:val="008E4968"/>
    <w:rsid w:val="008E49C6"/>
    <w:rsid w:val="008E4A9C"/>
    <w:rsid w:val="008E4ACA"/>
    <w:rsid w:val="008E4C0C"/>
    <w:rsid w:val="008E4D0E"/>
    <w:rsid w:val="008E4D88"/>
    <w:rsid w:val="008E4DA6"/>
    <w:rsid w:val="008E4DBD"/>
    <w:rsid w:val="008E51B5"/>
    <w:rsid w:val="008E51CD"/>
    <w:rsid w:val="008E51E3"/>
    <w:rsid w:val="008E51FF"/>
    <w:rsid w:val="008E526D"/>
    <w:rsid w:val="008E548F"/>
    <w:rsid w:val="008E551E"/>
    <w:rsid w:val="008E5558"/>
    <w:rsid w:val="008E5748"/>
    <w:rsid w:val="008E578C"/>
    <w:rsid w:val="008E5800"/>
    <w:rsid w:val="008E58A0"/>
    <w:rsid w:val="008E58FA"/>
    <w:rsid w:val="008E590E"/>
    <w:rsid w:val="008E5A58"/>
    <w:rsid w:val="008E5CC4"/>
    <w:rsid w:val="008E5CCB"/>
    <w:rsid w:val="008E5CDD"/>
    <w:rsid w:val="008E5D88"/>
    <w:rsid w:val="008E5EEB"/>
    <w:rsid w:val="008E6050"/>
    <w:rsid w:val="008E6195"/>
    <w:rsid w:val="008E61E4"/>
    <w:rsid w:val="008E6537"/>
    <w:rsid w:val="008E65AD"/>
    <w:rsid w:val="008E6658"/>
    <w:rsid w:val="008E6779"/>
    <w:rsid w:val="008E693D"/>
    <w:rsid w:val="008E6C26"/>
    <w:rsid w:val="008E6C50"/>
    <w:rsid w:val="008E6C85"/>
    <w:rsid w:val="008E6D02"/>
    <w:rsid w:val="008E72C1"/>
    <w:rsid w:val="008E7361"/>
    <w:rsid w:val="008E73C4"/>
    <w:rsid w:val="008E75FE"/>
    <w:rsid w:val="008E790F"/>
    <w:rsid w:val="008E7AE4"/>
    <w:rsid w:val="008E7B6E"/>
    <w:rsid w:val="008E7C15"/>
    <w:rsid w:val="008E7D8F"/>
    <w:rsid w:val="008E7E07"/>
    <w:rsid w:val="008E7F30"/>
    <w:rsid w:val="008E7FA0"/>
    <w:rsid w:val="008E7FD2"/>
    <w:rsid w:val="008F00BD"/>
    <w:rsid w:val="008F0114"/>
    <w:rsid w:val="008F0147"/>
    <w:rsid w:val="008F01BE"/>
    <w:rsid w:val="008F025C"/>
    <w:rsid w:val="008F025D"/>
    <w:rsid w:val="008F0439"/>
    <w:rsid w:val="008F069D"/>
    <w:rsid w:val="008F0922"/>
    <w:rsid w:val="008F09C6"/>
    <w:rsid w:val="008F0BB2"/>
    <w:rsid w:val="008F0C44"/>
    <w:rsid w:val="008F0CBF"/>
    <w:rsid w:val="008F0D6A"/>
    <w:rsid w:val="008F0DCC"/>
    <w:rsid w:val="008F1037"/>
    <w:rsid w:val="008F1043"/>
    <w:rsid w:val="008F1093"/>
    <w:rsid w:val="008F10A7"/>
    <w:rsid w:val="008F12D2"/>
    <w:rsid w:val="008F15F1"/>
    <w:rsid w:val="008F166A"/>
    <w:rsid w:val="008F16BD"/>
    <w:rsid w:val="008F1752"/>
    <w:rsid w:val="008F1967"/>
    <w:rsid w:val="008F1A3F"/>
    <w:rsid w:val="008F1A9E"/>
    <w:rsid w:val="008F1AB5"/>
    <w:rsid w:val="008F1AF7"/>
    <w:rsid w:val="008F1C25"/>
    <w:rsid w:val="008F1C44"/>
    <w:rsid w:val="008F1C82"/>
    <w:rsid w:val="008F1F84"/>
    <w:rsid w:val="008F1FBC"/>
    <w:rsid w:val="008F202E"/>
    <w:rsid w:val="008F2039"/>
    <w:rsid w:val="008F203E"/>
    <w:rsid w:val="008F210D"/>
    <w:rsid w:val="008F21DD"/>
    <w:rsid w:val="008F2273"/>
    <w:rsid w:val="008F22BA"/>
    <w:rsid w:val="008F22FC"/>
    <w:rsid w:val="008F247D"/>
    <w:rsid w:val="008F2517"/>
    <w:rsid w:val="008F25D2"/>
    <w:rsid w:val="008F264C"/>
    <w:rsid w:val="008F2674"/>
    <w:rsid w:val="008F2694"/>
    <w:rsid w:val="008F2742"/>
    <w:rsid w:val="008F2800"/>
    <w:rsid w:val="008F2997"/>
    <w:rsid w:val="008F29D7"/>
    <w:rsid w:val="008F2B33"/>
    <w:rsid w:val="008F2B4E"/>
    <w:rsid w:val="008F2D4B"/>
    <w:rsid w:val="008F2D74"/>
    <w:rsid w:val="008F2D94"/>
    <w:rsid w:val="008F2DC1"/>
    <w:rsid w:val="008F2DDD"/>
    <w:rsid w:val="008F2E2A"/>
    <w:rsid w:val="008F2E49"/>
    <w:rsid w:val="008F2E64"/>
    <w:rsid w:val="008F2E79"/>
    <w:rsid w:val="008F30F9"/>
    <w:rsid w:val="008F31F1"/>
    <w:rsid w:val="008F321A"/>
    <w:rsid w:val="008F33A6"/>
    <w:rsid w:val="008F35D8"/>
    <w:rsid w:val="008F35E8"/>
    <w:rsid w:val="008F3757"/>
    <w:rsid w:val="008F3783"/>
    <w:rsid w:val="008F37A7"/>
    <w:rsid w:val="008F382B"/>
    <w:rsid w:val="008F3966"/>
    <w:rsid w:val="008F398D"/>
    <w:rsid w:val="008F39B5"/>
    <w:rsid w:val="008F3AE4"/>
    <w:rsid w:val="008F3BC5"/>
    <w:rsid w:val="008F3BE6"/>
    <w:rsid w:val="008F3BF1"/>
    <w:rsid w:val="008F3CFB"/>
    <w:rsid w:val="008F3DDA"/>
    <w:rsid w:val="008F3F30"/>
    <w:rsid w:val="008F3F51"/>
    <w:rsid w:val="008F400A"/>
    <w:rsid w:val="008F4150"/>
    <w:rsid w:val="008F4205"/>
    <w:rsid w:val="008F420B"/>
    <w:rsid w:val="008F424F"/>
    <w:rsid w:val="008F43B1"/>
    <w:rsid w:val="008F44D2"/>
    <w:rsid w:val="008F4502"/>
    <w:rsid w:val="008F4563"/>
    <w:rsid w:val="008F4635"/>
    <w:rsid w:val="008F466A"/>
    <w:rsid w:val="008F475E"/>
    <w:rsid w:val="008F476E"/>
    <w:rsid w:val="008F4A15"/>
    <w:rsid w:val="008F4C51"/>
    <w:rsid w:val="008F4E83"/>
    <w:rsid w:val="008F4EDC"/>
    <w:rsid w:val="008F5137"/>
    <w:rsid w:val="008F51D3"/>
    <w:rsid w:val="008F5272"/>
    <w:rsid w:val="008F52E2"/>
    <w:rsid w:val="008F5391"/>
    <w:rsid w:val="008F53BA"/>
    <w:rsid w:val="008F5459"/>
    <w:rsid w:val="008F549D"/>
    <w:rsid w:val="008F54D4"/>
    <w:rsid w:val="008F559D"/>
    <w:rsid w:val="008F5641"/>
    <w:rsid w:val="008F5AD8"/>
    <w:rsid w:val="008F5B9F"/>
    <w:rsid w:val="008F5BB6"/>
    <w:rsid w:val="008F5C30"/>
    <w:rsid w:val="008F5C62"/>
    <w:rsid w:val="008F5D16"/>
    <w:rsid w:val="008F5D88"/>
    <w:rsid w:val="008F5DC6"/>
    <w:rsid w:val="008F5E12"/>
    <w:rsid w:val="008F5EF9"/>
    <w:rsid w:val="008F6016"/>
    <w:rsid w:val="008F608D"/>
    <w:rsid w:val="008F613F"/>
    <w:rsid w:val="008F61E7"/>
    <w:rsid w:val="008F629D"/>
    <w:rsid w:val="008F62C2"/>
    <w:rsid w:val="008F630A"/>
    <w:rsid w:val="008F6385"/>
    <w:rsid w:val="008F646A"/>
    <w:rsid w:val="008F6472"/>
    <w:rsid w:val="008F68F9"/>
    <w:rsid w:val="008F69E4"/>
    <w:rsid w:val="008F6A01"/>
    <w:rsid w:val="008F6AB4"/>
    <w:rsid w:val="008F6B08"/>
    <w:rsid w:val="008F6D51"/>
    <w:rsid w:val="008F6D69"/>
    <w:rsid w:val="008F7010"/>
    <w:rsid w:val="008F7058"/>
    <w:rsid w:val="008F71EA"/>
    <w:rsid w:val="008F7208"/>
    <w:rsid w:val="008F7344"/>
    <w:rsid w:val="008F7413"/>
    <w:rsid w:val="008F748C"/>
    <w:rsid w:val="008F7497"/>
    <w:rsid w:val="008F77A2"/>
    <w:rsid w:val="008F77B2"/>
    <w:rsid w:val="008F7808"/>
    <w:rsid w:val="008F787A"/>
    <w:rsid w:val="008F7980"/>
    <w:rsid w:val="008F7AF7"/>
    <w:rsid w:val="008F7BF1"/>
    <w:rsid w:val="008F7C5C"/>
    <w:rsid w:val="008F7D91"/>
    <w:rsid w:val="008F7D97"/>
    <w:rsid w:val="008F7E8F"/>
    <w:rsid w:val="008F7F0A"/>
    <w:rsid w:val="0090010D"/>
    <w:rsid w:val="00900193"/>
    <w:rsid w:val="009001DB"/>
    <w:rsid w:val="00900262"/>
    <w:rsid w:val="00900375"/>
    <w:rsid w:val="009003FC"/>
    <w:rsid w:val="009004A7"/>
    <w:rsid w:val="00900714"/>
    <w:rsid w:val="009007B7"/>
    <w:rsid w:val="009007E0"/>
    <w:rsid w:val="00900983"/>
    <w:rsid w:val="00900AAA"/>
    <w:rsid w:val="00900B7B"/>
    <w:rsid w:val="00900C45"/>
    <w:rsid w:val="00900C57"/>
    <w:rsid w:val="00900CA3"/>
    <w:rsid w:val="00900D52"/>
    <w:rsid w:val="00900D57"/>
    <w:rsid w:val="00900E3C"/>
    <w:rsid w:val="00900E73"/>
    <w:rsid w:val="00900E8E"/>
    <w:rsid w:val="00900E98"/>
    <w:rsid w:val="00901003"/>
    <w:rsid w:val="0090123F"/>
    <w:rsid w:val="0090140E"/>
    <w:rsid w:val="00901427"/>
    <w:rsid w:val="0090144F"/>
    <w:rsid w:val="0090174F"/>
    <w:rsid w:val="009017E8"/>
    <w:rsid w:val="009019C7"/>
    <w:rsid w:val="00901AC9"/>
    <w:rsid w:val="00901D7C"/>
    <w:rsid w:val="00901EC6"/>
    <w:rsid w:val="00901FF7"/>
    <w:rsid w:val="00902113"/>
    <w:rsid w:val="00902135"/>
    <w:rsid w:val="009021A4"/>
    <w:rsid w:val="0090221D"/>
    <w:rsid w:val="009022C8"/>
    <w:rsid w:val="009023FF"/>
    <w:rsid w:val="00902584"/>
    <w:rsid w:val="00902655"/>
    <w:rsid w:val="0090268D"/>
    <w:rsid w:val="0090295B"/>
    <w:rsid w:val="00902A49"/>
    <w:rsid w:val="00902A75"/>
    <w:rsid w:val="00902BCB"/>
    <w:rsid w:val="00902C12"/>
    <w:rsid w:val="00902E06"/>
    <w:rsid w:val="00902E2F"/>
    <w:rsid w:val="00902F0E"/>
    <w:rsid w:val="00902F6F"/>
    <w:rsid w:val="00902F79"/>
    <w:rsid w:val="00902FDB"/>
    <w:rsid w:val="00902FED"/>
    <w:rsid w:val="00903055"/>
    <w:rsid w:val="0090305F"/>
    <w:rsid w:val="009031EF"/>
    <w:rsid w:val="00903342"/>
    <w:rsid w:val="0090340F"/>
    <w:rsid w:val="00903454"/>
    <w:rsid w:val="009034F6"/>
    <w:rsid w:val="00903654"/>
    <w:rsid w:val="009036B7"/>
    <w:rsid w:val="0090375B"/>
    <w:rsid w:val="00903801"/>
    <w:rsid w:val="00903932"/>
    <w:rsid w:val="00903A81"/>
    <w:rsid w:val="00903ADE"/>
    <w:rsid w:val="00903B11"/>
    <w:rsid w:val="00903C54"/>
    <w:rsid w:val="00903F04"/>
    <w:rsid w:val="00903F8A"/>
    <w:rsid w:val="00904011"/>
    <w:rsid w:val="00904110"/>
    <w:rsid w:val="00904467"/>
    <w:rsid w:val="0090459C"/>
    <w:rsid w:val="009045D0"/>
    <w:rsid w:val="009046CD"/>
    <w:rsid w:val="00904A7F"/>
    <w:rsid w:val="00904AD4"/>
    <w:rsid w:val="00904B43"/>
    <w:rsid w:val="00904B55"/>
    <w:rsid w:val="00904B75"/>
    <w:rsid w:val="00904B88"/>
    <w:rsid w:val="00904BB0"/>
    <w:rsid w:val="00904C41"/>
    <w:rsid w:val="00904DEF"/>
    <w:rsid w:val="00904EA3"/>
    <w:rsid w:val="00904EEF"/>
    <w:rsid w:val="00904F4D"/>
    <w:rsid w:val="009052C5"/>
    <w:rsid w:val="00905342"/>
    <w:rsid w:val="00905554"/>
    <w:rsid w:val="0090566A"/>
    <w:rsid w:val="00905746"/>
    <w:rsid w:val="0090586C"/>
    <w:rsid w:val="00905902"/>
    <w:rsid w:val="00905AF0"/>
    <w:rsid w:val="00905B11"/>
    <w:rsid w:val="00905DAB"/>
    <w:rsid w:val="00906263"/>
    <w:rsid w:val="009062D2"/>
    <w:rsid w:val="0090633B"/>
    <w:rsid w:val="009066D8"/>
    <w:rsid w:val="009066E7"/>
    <w:rsid w:val="0090680D"/>
    <w:rsid w:val="0090691D"/>
    <w:rsid w:val="00906969"/>
    <w:rsid w:val="00906A95"/>
    <w:rsid w:val="00906AB7"/>
    <w:rsid w:val="00906ACE"/>
    <w:rsid w:val="00906AFD"/>
    <w:rsid w:val="00906B7B"/>
    <w:rsid w:val="00906C02"/>
    <w:rsid w:val="00906DB2"/>
    <w:rsid w:val="00906E71"/>
    <w:rsid w:val="00906ED6"/>
    <w:rsid w:val="00906FD6"/>
    <w:rsid w:val="0090711E"/>
    <w:rsid w:val="009074F3"/>
    <w:rsid w:val="0090770E"/>
    <w:rsid w:val="00907858"/>
    <w:rsid w:val="00907902"/>
    <w:rsid w:val="0090791D"/>
    <w:rsid w:val="00907932"/>
    <w:rsid w:val="0090793A"/>
    <w:rsid w:val="009079FF"/>
    <w:rsid w:val="00907A9F"/>
    <w:rsid w:val="00907D12"/>
    <w:rsid w:val="00907DDE"/>
    <w:rsid w:val="00907DF0"/>
    <w:rsid w:val="00907E22"/>
    <w:rsid w:val="00907FDF"/>
    <w:rsid w:val="009100F1"/>
    <w:rsid w:val="009101E3"/>
    <w:rsid w:val="00910225"/>
    <w:rsid w:val="009102DA"/>
    <w:rsid w:val="0091037F"/>
    <w:rsid w:val="009103AB"/>
    <w:rsid w:val="009103DE"/>
    <w:rsid w:val="0091049C"/>
    <w:rsid w:val="009104CB"/>
    <w:rsid w:val="00910547"/>
    <w:rsid w:val="00910553"/>
    <w:rsid w:val="0091065D"/>
    <w:rsid w:val="00910689"/>
    <w:rsid w:val="00910745"/>
    <w:rsid w:val="00910798"/>
    <w:rsid w:val="00910874"/>
    <w:rsid w:val="009109F4"/>
    <w:rsid w:val="00910AD7"/>
    <w:rsid w:val="00910B44"/>
    <w:rsid w:val="00910B7C"/>
    <w:rsid w:val="00910B86"/>
    <w:rsid w:val="00910BA1"/>
    <w:rsid w:val="00910CC7"/>
    <w:rsid w:val="00910CCC"/>
    <w:rsid w:val="00910DCE"/>
    <w:rsid w:val="00910E65"/>
    <w:rsid w:val="00910F7C"/>
    <w:rsid w:val="00910F90"/>
    <w:rsid w:val="00910FB5"/>
    <w:rsid w:val="00910FDF"/>
    <w:rsid w:val="0091100B"/>
    <w:rsid w:val="009111D9"/>
    <w:rsid w:val="00911216"/>
    <w:rsid w:val="00911321"/>
    <w:rsid w:val="0091134B"/>
    <w:rsid w:val="009113F3"/>
    <w:rsid w:val="0091162C"/>
    <w:rsid w:val="00911680"/>
    <w:rsid w:val="00911778"/>
    <w:rsid w:val="009117A2"/>
    <w:rsid w:val="00911843"/>
    <w:rsid w:val="00911847"/>
    <w:rsid w:val="009118B0"/>
    <w:rsid w:val="00911961"/>
    <w:rsid w:val="00911973"/>
    <w:rsid w:val="00911ACE"/>
    <w:rsid w:val="00911B1A"/>
    <w:rsid w:val="00911C57"/>
    <w:rsid w:val="00911DBF"/>
    <w:rsid w:val="00911DC8"/>
    <w:rsid w:val="00911DE3"/>
    <w:rsid w:val="00911DF2"/>
    <w:rsid w:val="00911E1B"/>
    <w:rsid w:val="00911E46"/>
    <w:rsid w:val="00911E81"/>
    <w:rsid w:val="00911EB7"/>
    <w:rsid w:val="00911F1D"/>
    <w:rsid w:val="00911FE6"/>
    <w:rsid w:val="00911FFA"/>
    <w:rsid w:val="009120CA"/>
    <w:rsid w:val="0091210B"/>
    <w:rsid w:val="009122A0"/>
    <w:rsid w:val="009122F7"/>
    <w:rsid w:val="0091231C"/>
    <w:rsid w:val="00912347"/>
    <w:rsid w:val="00912366"/>
    <w:rsid w:val="00912429"/>
    <w:rsid w:val="00912710"/>
    <w:rsid w:val="0091282F"/>
    <w:rsid w:val="0091283B"/>
    <w:rsid w:val="00912843"/>
    <w:rsid w:val="00912885"/>
    <w:rsid w:val="0091292C"/>
    <w:rsid w:val="0091296C"/>
    <w:rsid w:val="0091299C"/>
    <w:rsid w:val="00912B04"/>
    <w:rsid w:val="00912B17"/>
    <w:rsid w:val="00912BEF"/>
    <w:rsid w:val="00912C88"/>
    <w:rsid w:val="00912DC8"/>
    <w:rsid w:val="00912F9D"/>
    <w:rsid w:val="00912FA2"/>
    <w:rsid w:val="00913101"/>
    <w:rsid w:val="00913122"/>
    <w:rsid w:val="0091317E"/>
    <w:rsid w:val="009133F9"/>
    <w:rsid w:val="0091356A"/>
    <w:rsid w:val="009135FA"/>
    <w:rsid w:val="009136E7"/>
    <w:rsid w:val="00913940"/>
    <w:rsid w:val="00913968"/>
    <w:rsid w:val="00913980"/>
    <w:rsid w:val="009139C7"/>
    <w:rsid w:val="00913A4C"/>
    <w:rsid w:val="00913B73"/>
    <w:rsid w:val="00913BAE"/>
    <w:rsid w:val="00913BD6"/>
    <w:rsid w:val="00913D45"/>
    <w:rsid w:val="00913DE4"/>
    <w:rsid w:val="00913E26"/>
    <w:rsid w:val="00913F8E"/>
    <w:rsid w:val="00913FB1"/>
    <w:rsid w:val="00913FB9"/>
    <w:rsid w:val="00914048"/>
    <w:rsid w:val="0091407F"/>
    <w:rsid w:val="00914148"/>
    <w:rsid w:val="0091435A"/>
    <w:rsid w:val="0091446A"/>
    <w:rsid w:val="0091448B"/>
    <w:rsid w:val="00914581"/>
    <w:rsid w:val="0091471B"/>
    <w:rsid w:val="009148EE"/>
    <w:rsid w:val="009149B8"/>
    <w:rsid w:val="00914A02"/>
    <w:rsid w:val="00914A7C"/>
    <w:rsid w:val="00914B0F"/>
    <w:rsid w:val="00914B2D"/>
    <w:rsid w:val="00914B3D"/>
    <w:rsid w:val="00914B93"/>
    <w:rsid w:val="00914B9C"/>
    <w:rsid w:val="00914C51"/>
    <w:rsid w:val="00914CEA"/>
    <w:rsid w:val="00914DC5"/>
    <w:rsid w:val="00914E1A"/>
    <w:rsid w:val="00915016"/>
    <w:rsid w:val="009151C4"/>
    <w:rsid w:val="00915219"/>
    <w:rsid w:val="00915227"/>
    <w:rsid w:val="0091522D"/>
    <w:rsid w:val="0091537A"/>
    <w:rsid w:val="009153C3"/>
    <w:rsid w:val="0091543F"/>
    <w:rsid w:val="0091560A"/>
    <w:rsid w:val="009157D8"/>
    <w:rsid w:val="00915927"/>
    <w:rsid w:val="00915B5F"/>
    <w:rsid w:val="00915BE6"/>
    <w:rsid w:val="00915C17"/>
    <w:rsid w:val="00915C7F"/>
    <w:rsid w:val="00915C89"/>
    <w:rsid w:val="00915CE3"/>
    <w:rsid w:val="00915D03"/>
    <w:rsid w:val="00915D48"/>
    <w:rsid w:val="00915DA9"/>
    <w:rsid w:val="00915DEC"/>
    <w:rsid w:val="00915EA4"/>
    <w:rsid w:val="00915F69"/>
    <w:rsid w:val="00915FC6"/>
    <w:rsid w:val="009160AE"/>
    <w:rsid w:val="009161E6"/>
    <w:rsid w:val="0091622E"/>
    <w:rsid w:val="00916248"/>
    <w:rsid w:val="00916252"/>
    <w:rsid w:val="0091628E"/>
    <w:rsid w:val="0091629C"/>
    <w:rsid w:val="00916342"/>
    <w:rsid w:val="009163BD"/>
    <w:rsid w:val="0091647C"/>
    <w:rsid w:val="009165D5"/>
    <w:rsid w:val="00916615"/>
    <w:rsid w:val="009166D6"/>
    <w:rsid w:val="00916954"/>
    <w:rsid w:val="0091698A"/>
    <w:rsid w:val="00916992"/>
    <w:rsid w:val="00916AF9"/>
    <w:rsid w:val="00916B32"/>
    <w:rsid w:val="00916B4C"/>
    <w:rsid w:val="00916B4D"/>
    <w:rsid w:val="00916BFF"/>
    <w:rsid w:val="00916C65"/>
    <w:rsid w:val="00916C8C"/>
    <w:rsid w:val="00916E32"/>
    <w:rsid w:val="00916E88"/>
    <w:rsid w:val="00916EE4"/>
    <w:rsid w:val="00917055"/>
    <w:rsid w:val="0091705E"/>
    <w:rsid w:val="009170D5"/>
    <w:rsid w:val="0091716B"/>
    <w:rsid w:val="009171D7"/>
    <w:rsid w:val="00917214"/>
    <w:rsid w:val="009174E3"/>
    <w:rsid w:val="00917514"/>
    <w:rsid w:val="0091755A"/>
    <w:rsid w:val="009176B2"/>
    <w:rsid w:val="00917886"/>
    <w:rsid w:val="00917AFD"/>
    <w:rsid w:val="00917C47"/>
    <w:rsid w:val="00917C79"/>
    <w:rsid w:val="00917D7F"/>
    <w:rsid w:val="00917EFB"/>
    <w:rsid w:val="00917F58"/>
    <w:rsid w:val="00917F64"/>
    <w:rsid w:val="00920080"/>
    <w:rsid w:val="009201AC"/>
    <w:rsid w:val="00920253"/>
    <w:rsid w:val="009203E9"/>
    <w:rsid w:val="0092046F"/>
    <w:rsid w:val="0092048C"/>
    <w:rsid w:val="009204A2"/>
    <w:rsid w:val="009204D5"/>
    <w:rsid w:val="00920560"/>
    <w:rsid w:val="009207F1"/>
    <w:rsid w:val="00920993"/>
    <w:rsid w:val="009209C1"/>
    <w:rsid w:val="00920A12"/>
    <w:rsid w:val="00920AB3"/>
    <w:rsid w:val="00920B31"/>
    <w:rsid w:val="00920C04"/>
    <w:rsid w:val="00920D6B"/>
    <w:rsid w:val="00920D8B"/>
    <w:rsid w:val="00920E0A"/>
    <w:rsid w:val="00921006"/>
    <w:rsid w:val="0092117B"/>
    <w:rsid w:val="0092121E"/>
    <w:rsid w:val="0092125A"/>
    <w:rsid w:val="009212EE"/>
    <w:rsid w:val="00921318"/>
    <w:rsid w:val="00921384"/>
    <w:rsid w:val="0092146E"/>
    <w:rsid w:val="00921509"/>
    <w:rsid w:val="0092155F"/>
    <w:rsid w:val="009215B9"/>
    <w:rsid w:val="009217E9"/>
    <w:rsid w:val="00921927"/>
    <w:rsid w:val="00921A75"/>
    <w:rsid w:val="00921A94"/>
    <w:rsid w:val="00921CD0"/>
    <w:rsid w:val="00921E1C"/>
    <w:rsid w:val="00921FF7"/>
    <w:rsid w:val="0092221D"/>
    <w:rsid w:val="00922336"/>
    <w:rsid w:val="0092237B"/>
    <w:rsid w:val="00922863"/>
    <w:rsid w:val="00922884"/>
    <w:rsid w:val="00922B15"/>
    <w:rsid w:val="00922BB1"/>
    <w:rsid w:val="00922C6E"/>
    <w:rsid w:val="00922D02"/>
    <w:rsid w:val="00922DC9"/>
    <w:rsid w:val="00922DDA"/>
    <w:rsid w:val="00922F38"/>
    <w:rsid w:val="00922F50"/>
    <w:rsid w:val="00922F8C"/>
    <w:rsid w:val="00923248"/>
    <w:rsid w:val="0092324F"/>
    <w:rsid w:val="009232AC"/>
    <w:rsid w:val="009232CF"/>
    <w:rsid w:val="009234A7"/>
    <w:rsid w:val="009234F9"/>
    <w:rsid w:val="009235BF"/>
    <w:rsid w:val="009235E4"/>
    <w:rsid w:val="0092362E"/>
    <w:rsid w:val="0092369D"/>
    <w:rsid w:val="0092375C"/>
    <w:rsid w:val="00923797"/>
    <w:rsid w:val="009237BA"/>
    <w:rsid w:val="00923A50"/>
    <w:rsid w:val="00923A67"/>
    <w:rsid w:val="00923AC8"/>
    <w:rsid w:val="00923C2C"/>
    <w:rsid w:val="00923C98"/>
    <w:rsid w:val="00923CCC"/>
    <w:rsid w:val="00923E0A"/>
    <w:rsid w:val="00924128"/>
    <w:rsid w:val="00924234"/>
    <w:rsid w:val="00924317"/>
    <w:rsid w:val="009243CB"/>
    <w:rsid w:val="00924405"/>
    <w:rsid w:val="00924518"/>
    <w:rsid w:val="00924531"/>
    <w:rsid w:val="009245D1"/>
    <w:rsid w:val="00924623"/>
    <w:rsid w:val="00924894"/>
    <w:rsid w:val="009249D0"/>
    <w:rsid w:val="00924ABC"/>
    <w:rsid w:val="00924B00"/>
    <w:rsid w:val="00924B03"/>
    <w:rsid w:val="00924B49"/>
    <w:rsid w:val="00924BE8"/>
    <w:rsid w:val="00924CCF"/>
    <w:rsid w:val="00924D2A"/>
    <w:rsid w:val="00924EC6"/>
    <w:rsid w:val="00924EF1"/>
    <w:rsid w:val="00924F0D"/>
    <w:rsid w:val="00924F6E"/>
    <w:rsid w:val="0092502E"/>
    <w:rsid w:val="0092505C"/>
    <w:rsid w:val="009250FA"/>
    <w:rsid w:val="00925104"/>
    <w:rsid w:val="0092515F"/>
    <w:rsid w:val="00925236"/>
    <w:rsid w:val="009252DC"/>
    <w:rsid w:val="0092549A"/>
    <w:rsid w:val="009254AD"/>
    <w:rsid w:val="00925536"/>
    <w:rsid w:val="0092555C"/>
    <w:rsid w:val="00925575"/>
    <w:rsid w:val="009255DC"/>
    <w:rsid w:val="009256B1"/>
    <w:rsid w:val="009258DB"/>
    <w:rsid w:val="00925999"/>
    <w:rsid w:val="00925B1E"/>
    <w:rsid w:val="00925B31"/>
    <w:rsid w:val="00925C5A"/>
    <w:rsid w:val="00925D4E"/>
    <w:rsid w:val="00925D85"/>
    <w:rsid w:val="00925DB8"/>
    <w:rsid w:val="00925FC0"/>
    <w:rsid w:val="00926009"/>
    <w:rsid w:val="00926023"/>
    <w:rsid w:val="009260C8"/>
    <w:rsid w:val="0092620E"/>
    <w:rsid w:val="0092622E"/>
    <w:rsid w:val="00926230"/>
    <w:rsid w:val="009262A6"/>
    <w:rsid w:val="009262C4"/>
    <w:rsid w:val="00926329"/>
    <w:rsid w:val="00926554"/>
    <w:rsid w:val="009265F8"/>
    <w:rsid w:val="009266F1"/>
    <w:rsid w:val="0092694F"/>
    <w:rsid w:val="00926D1C"/>
    <w:rsid w:val="00926D93"/>
    <w:rsid w:val="00926DA1"/>
    <w:rsid w:val="00926E1B"/>
    <w:rsid w:val="00926EC7"/>
    <w:rsid w:val="0092703E"/>
    <w:rsid w:val="0092704B"/>
    <w:rsid w:val="0092737A"/>
    <w:rsid w:val="0092751E"/>
    <w:rsid w:val="009276C1"/>
    <w:rsid w:val="00927747"/>
    <w:rsid w:val="0092776A"/>
    <w:rsid w:val="009277A0"/>
    <w:rsid w:val="0092787D"/>
    <w:rsid w:val="00927956"/>
    <w:rsid w:val="009279A7"/>
    <w:rsid w:val="009279ED"/>
    <w:rsid w:val="00927CEB"/>
    <w:rsid w:val="00927D0A"/>
    <w:rsid w:val="00927E08"/>
    <w:rsid w:val="00930068"/>
    <w:rsid w:val="00930079"/>
    <w:rsid w:val="00930086"/>
    <w:rsid w:val="0093017D"/>
    <w:rsid w:val="009301EE"/>
    <w:rsid w:val="0093022F"/>
    <w:rsid w:val="00930300"/>
    <w:rsid w:val="0093031E"/>
    <w:rsid w:val="00930387"/>
    <w:rsid w:val="009303C5"/>
    <w:rsid w:val="009303CF"/>
    <w:rsid w:val="009303D0"/>
    <w:rsid w:val="0093060A"/>
    <w:rsid w:val="00930653"/>
    <w:rsid w:val="00930675"/>
    <w:rsid w:val="0093099A"/>
    <w:rsid w:val="00930A34"/>
    <w:rsid w:val="00930A3B"/>
    <w:rsid w:val="00930AE2"/>
    <w:rsid w:val="00930BBA"/>
    <w:rsid w:val="00930C25"/>
    <w:rsid w:val="00930DCA"/>
    <w:rsid w:val="00930E2D"/>
    <w:rsid w:val="00930FA8"/>
    <w:rsid w:val="00931084"/>
    <w:rsid w:val="00931087"/>
    <w:rsid w:val="00931309"/>
    <w:rsid w:val="009313F9"/>
    <w:rsid w:val="00931417"/>
    <w:rsid w:val="009314E7"/>
    <w:rsid w:val="009315E3"/>
    <w:rsid w:val="00931666"/>
    <w:rsid w:val="009316D2"/>
    <w:rsid w:val="0093185B"/>
    <w:rsid w:val="009318F6"/>
    <w:rsid w:val="0093191B"/>
    <w:rsid w:val="00931940"/>
    <w:rsid w:val="00931967"/>
    <w:rsid w:val="009319E4"/>
    <w:rsid w:val="00931AC1"/>
    <w:rsid w:val="00931BC4"/>
    <w:rsid w:val="00931C44"/>
    <w:rsid w:val="00931CA6"/>
    <w:rsid w:val="00931D10"/>
    <w:rsid w:val="00931EB2"/>
    <w:rsid w:val="00932041"/>
    <w:rsid w:val="00932045"/>
    <w:rsid w:val="00932064"/>
    <w:rsid w:val="009320BC"/>
    <w:rsid w:val="00932201"/>
    <w:rsid w:val="0093233A"/>
    <w:rsid w:val="00932638"/>
    <w:rsid w:val="00932780"/>
    <w:rsid w:val="009327BA"/>
    <w:rsid w:val="009327F2"/>
    <w:rsid w:val="00932822"/>
    <w:rsid w:val="0093288E"/>
    <w:rsid w:val="00932892"/>
    <w:rsid w:val="009328CA"/>
    <w:rsid w:val="0093291C"/>
    <w:rsid w:val="00932A89"/>
    <w:rsid w:val="00932B6D"/>
    <w:rsid w:val="00932BE0"/>
    <w:rsid w:val="00932C27"/>
    <w:rsid w:val="00932CC9"/>
    <w:rsid w:val="00932CD2"/>
    <w:rsid w:val="00932D08"/>
    <w:rsid w:val="00932D19"/>
    <w:rsid w:val="00932D67"/>
    <w:rsid w:val="00932DB2"/>
    <w:rsid w:val="00932DEE"/>
    <w:rsid w:val="00932F8C"/>
    <w:rsid w:val="00932F9D"/>
    <w:rsid w:val="00932FAD"/>
    <w:rsid w:val="0093308F"/>
    <w:rsid w:val="009330DD"/>
    <w:rsid w:val="00933406"/>
    <w:rsid w:val="00933410"/>
    <w:rsid w:val="009336CF"/>
    <w:rsid w:val="009339D7"/>
    <w:rsid w:val="009339DB"/>
    <w:rsid w:val="00933A20"/>
    <w:rsid w:val="00933AD6"/>
    <w:rsid w:val="00933B4B"/>
    <w:rsid w:val="00933E28"/>
    <w:rsid w:val="00933E2C"/>
    <w:rsid w:val="00933F68"/>
    <w:rsid w:val="00933F8C"/>
    <w:rsid w:val="0093406C"/>
    <w:rsid w:val="0093417C"/>
    <w:rsid w:val="0093422F"/>
    <w:rsid w:val="009342E6"/>
    <w:rsid w:val="00934495"/>
    <w:rsid w:val="009344F0"/>
    <w:rsid w:val="00934547"/>
    <w:rsid w:val="009345BE"/>
    <w:rsid w:val="009345F3"/>
    <w:rsid w:val="0093463D"/>
    <w:rsid w:val="009346C1"/>
    <w:rsid w:val="00934839"/>
    <w:rsid w:val="009348A1"/>
    <w:rsid w:val="009348D7"/>
    <w:rsid w:val="0093490C"/>
    <w:rsid w:val="009349A5"/>
    <w:rsid w:val="00934A92"/>
    <w:rsid w:val="00934C1E"/>
    <w:rsid w:val="00934DBF"/>
    <w:rsid w:val="00934DD2"/>
    <w:rsid w:val="00934F4F"/>
    <w:rsid w:val="00934FCF"/>
    <w:rsid w:val="00935132"/>
    <w:rsid w:val="0093517A"/>
    <w:rsid w:val="0093523E"/>
    <w:rsid w:val="00935268"/>
    <w:rsid w:val="00935369"/>
    <w:rsid w:val="00935392"/>
    <w:rsid w:val="00935393"/>
    <w:rsid w:val="00935480"/>
    <w:rsid w:val="009354C4"/>
    <w:rsid w:val="00935545"/>
    <w:rsid w:val="009356BE"/>
    <w:rsid w:val="009356EB"/>
    <w:rsid w:val="00935763"/>
    <w:rsid w:val="009357A3"/>
    <w:rsid w:val="009357F9"/>
    <w:rsid w:val="009359A4"/>
    <w:rsid w:val="00935BF7"/>
    <w:rsid w:val="00935C9B"/>
    <w:rsid w:val="00935CFC"/>
    <w:rsid w:val="00935DDE"/>
    <w:rsid w:val="00935E74"/>
    <w:rsid w:val="00935EC0"/>
    <w:rsid w:val="00935ED4"/>
    <w:rsid w:val="00935F2A"/>
    <w:rsid w:val="00935F47"/>
    <w:rsid w:val="00936260"/>
    <w:rsid w:val="0093634B"/>
    <w:rsid w:val="00936394"/>
    <w:rsid w:val="009363C2"/>
    <w:rsid w:val="00936413"/>
    <w:rsid w:val="00936635"/>
    <w:rsid w:val="00936894"/>
    <w:rsid w:val="009368A1"/>
    <w:rsid w:val="00936950"/>
    <w:rsid w:val="009369E4"/>
    <w:rsid w:val="009369F6"/>
    <w:rsid w:val="00936C64"/>
    <w:rsid w:val="00936ECB"/>
    <w:rsid w:val="00936EF3"/>
    <w:rsid w:val="00936F6E"/>
    <w:rsid w:val="00936FC0"/>
    <w:rsid w:val="00937019"/>
    <w:rsid w:val="0093702A"/>
    <w:rsid w:val="00937201"/>
    <w:rsid w:val="00937279"/>
    <w:rsid w:val="009372C8"/>
    <w:rsid w:val="009372FC"/>
    <w:rsid w:val="009372FE"/>
    <w:rsid w:val="0093745A"/>
    <w:rsid w:val="00937532"/>
    <w:rsid w:val="009375BE"/>
    <w:rsid w:val="0093777D"/>
    <w:rsid w:val="009377BC"/>
    <w:rsid w:val="009379F3"/>
    <w:rsid w:val="00937B0C"/>
    <w:rsid w:val="00937CE3"/>
    <w:rsid w:val="00937D2D"/>
    <w:rsid w:val="00937D6F"/>
    <w:rsid w:val="00937D87"/>
    <w:rsid w:val="00937DA4"/>
    <w:rsid w:val="00937DD3"/>
    <w:rsid w:val="00937DF9"/>
    <w:rsid w:val="00937ECC"/>
    <w:rsid w:val="0094009C"/>
    <w:rsid w:val="009400A3"/>
    <w:rsid w:val="009400F7"/>
    <w:rsid w:val="0094018F"/>
    <w:rsid w:val="009402D0"/>
    <w:rsid w:val="0094047B"/>
    <w:rsid w:val="00940653"/>
    <w:rsid w:val="0094093D"/>
    <w:rsid w:val="00940991"/>
    <w:rsid w:val="00940AC8"/>
    <w:rsid w:val="00940E3B"/>
    <w:rsid w:val="0094118F"/>
    <w:rsid w:val="00941228"/>
    <w:rsid w:val="009412C3"/>
    <w:rsid w:val="00941412"/>
    <w:rsid w:val="0094170E"/>
    <w:rsid w:val="00941959"/>
    <w:rsid w:val="00941A3A"/>
    <w:rsid w:val="00941BCD"/>
    <w:rsid w:val="00941CB7"/>
    <w:rsid w:val="00941D69"/>
    <w:rsid w:val="00941FA2"/>
    <w:rsid w:val="00941FC0"/>
    <w:rsid w:val="009420C4"/>
    <w:rsid w:val="0094223E"/>
    <w:rsid w:val="00942294"/>
    <w:rsid w:val="00942359"/>
    <w:rsid w:val="0094239C"/>
    <w:rsid w:val="00942531"/>
    <w:rsid w:val="00942541"/>
    <w:rsid w:val="009425D7"/>
    <w:rsid w:val="009426DA"/>
    <w:rsid w:val="00942745"/>
    <w:rsid w:val="00942749"/>
    <w:rsid w:val="009427B4"/>
    <w:rsid w:val="00942A2D"/>
    <w:rsid w:val="00942C17"/>
    <w:rsid w:val="00942CC5"/>
    <w:rsid w:val="00942E1E"/>
    <w:rsid w:val="00942FE3"/>
    <w:rsid w:val="00943048"/>
    <w:rsid w:val="00943126"/>
    <w:rsid w:val="0094346A"/>
    <w:rsid w:val="009434B1"/>
    <w:rsid w:val="009435CB"/>
    <w:rsid w:val="0094373C"/>
    <w:rsid w:val="00943B83"/>
    <w:rsid w:val="00943C58"/>
    <w:rsid w:val="00943C74"/>
    <w:rsid w:val="00943D1E"/>
    <w:rsid w:val="00943E8A"/>
    <w:rsid w:val="00943EC7"/>
    <w:rsid w:val="00943F5C"/>
    <w:rsid w:val="00944034"/>
    <w:rsid w:val="0094404E"/>
    <w:rsid w:val="00944137"/>
    <w:rsid w:val="00944228"/>
    <w:rsid w:val="009442A4"/>
    <w:rsid w:val="00944517"/>
    <w:rsid w:val="00944611"/>
    <w:rsid w:val="009446CE"/>
    <w:rsid w:val="009446ED"/>
    <w:rsid w:val="0094472B"/>
    <w:rsid w:val="0094477F"/>
    <w:rsid w:val="0094489E"/>
    <w:rsid w:val="0094494C"/>
    <w:rsid w:val="00944986"/>
    <w:rsid w:val="00944A04"/>
    <w:rsid w:val="00944B59"/>
    <w:rsid w:val="00944BA0"/>
    <w:rsid w:val="00944BB5"/>
    <w:rsid w:val="00944BE5"/>
    <w:rsid w:val="00944C3B"/>
    <w:rsid w:val="00944D0A"/>
    <w:rsid w:val="00944D7C"/>
    <w:rsid w:val="00944E0E"/>
    <w:rsid w:val="0094515E"/>
    <w:rsid w:val="009451EF"/>
    <w:rsid w:val="00945230"/>
    <w:rsid w:val="009453A2"/>
    <w:rsid w:val="0094557A"/>
    <w:rsid w:val="0094574F"/>
    <w:rsid w:val="009457AE"/>
    <w:rsid w:val="009457CA"/>
    <w:rsid w:val="009457F0"/>
    <w:rsid w:val="0094581F"/>
    <w:rsid w:val="0094586B"/>
    <w:rsid w:val="00945998"/>
    <w:rsid w:val="009459AF"/>
    <w:rsid w:val="009459EC"/>
    <w:rsid w:val="00945AE2"/>
    <w:rsid w:val="00945B14"/>
    <w:rsid w:val="00945B77"/>
    <w:rsid w:val="00945CC0"/>
    <w:rsid w:val="00945E4C"/>
    <w:rsid w:val="00945E72"/>
    <w:rsid w:val="00945E79"/>
    <w:rsid w:val="00945F46"/>
    <w:rsid w:val="00945F6E"/>
    <w:rsid w:val="00946018"/>
    <w:rsid w:val="0094603F"/>
    <w:rsid w:val="00946062"/>
    <w:rsid w:val="0094606F"/>
    <w:rsid w:val="00946185"/>
    <w:rsid w:val="009461C3"/>
    <w:rsid w:val="00946259"/>
    <w:rsid w:val="00946318"/>
    <w:rsid w:val="00946386"/>
    <w:rsid w:val="00946497"/>
    <w:rsid w:val="009465B9"/>
    <w:rsid w:val="00946656"/>
    <w:rsid w:val="0094685F"/>
    <w:rsid w:val="009468DC"/>
    <w:rsid w:val="009469DA"/>
    <w:rsid w:val="00946AB7"/>
    <w:rsid w:val="00946AB8"/>
    <w:rsid w:val="00946B7B"/>
    <w:rsid w:val="00946EF8"/>
    <w:rsid w:val="009471CA"/>
    <w:rsid w:val="009472D0"/>
    <w:rsid w:val="009473E8"/>
    <w:rsid w:val="009474E8"/>
    <w:rsid w:val="00947553"/>
    <w:rsid w:val="00947645"/>
    <w:rsid w:val="009476A6"/>
    <w:rsid w:val="009477DC"/>
    <w:rsid w:val="009478A1"/>
    <w:rsid w:val="0094793A"/>
    <w:rsid w:val="00947998"/>
    <w:rsid w:val="00947B36"/>
    <w:rsid w:val="00947B5D"/>
    <w:rsid w:val="00947BA1"/>
    <w:rsid w:val="00947BE9"/>
    <w:rsid w:val="00947DA6"/>
    <w:rsid w:val="00947E28"/>
    <w:rsid w:val="00947EBD"/>
    <w:rsid w:val="00947ED9"/>
    <w:rsid w:val="00947F5C"/>
    <w:rsid w:val="0095016C"/>
    <w:rsid w:val="0095016F"/>
    <w:rsid w:val="009501C8"/>
    <w:rsid w:val="0095020E"/>
    <w:rsid w:val="0095024A"/>
    <w:rsid w:val="00950360"/>
    <w:rsid w:val="0095046A"/>
    <w:rsid w:val="0095047A"/>
    <w:rsid w:val="00950587"/>
    <w:rsid w:val="00950608"/>
    <w:rsid w:val="0095060D"/>
    <w:rsid w:val="00950647"/>
    <w:rsid w:val="00950689"/>
    <w:rsid w:val="00950718"/>
    <w:rsid w:val="009507AC"/>
    <w:rsid w:val="00950864"/>
    <w:rsid w:val="009508B2"/>
    <w:rsid w:val="009508E4"/>
    <w:rsid w:val="00950941"/>
    <w:rsid w:val="00950A5F"/>
    <w:rsid w:val="00950A87"/>
    <w:rsid w:val="00950B5D"/>
    <w:rsid w:val="00950CA1"/>
    <w:rsid w:val="00950CC4"/>
    <w:rsid w:val="00950CD9"/>
    <w:rsid w:val="00950CDF"/>
    <w:rsid w:val="0095106E"/>
    <w:rsid w:val="00951174"/>
    <w:rsid w:val="009512A1"/>
    <w:rsid w:val="009512CD"/>
    <w:rsid w:val="00951393"/>
    <w:rsid w:val="00951419"/>
    <w:rsid w:val="009514E0"/>
    <w:rsid w:val="009514F7"/>
    <w:rsid w:val="0095181F"/>
    <w:rsid w:val="009518A1"/>
    <w:rsid w:val="00951920"/>
    <w:rsid w:val="009519A1"/>
    <w:rsid w:val="009519B8"/>
    <w:rsid w:val="009519E5"/>
    <w:rsid w:val="00951A7A"/>
    <w:rsid w:val="00951B8B"/>
    <w:rsid w:val="00951BB0"/>
    <w:rsid w:val="00951CF9"/>
    <w:rsid w:val="00951D07"/>
    <w:rsid w:val="00951E98"/>
    <w:rsid w:val="00952013"/>
    <w:rsid w:val="00952047"/>
    <w:rsid w:val="009520C2"/>
    <w:rsid w:val="00952153"/>
    <w:rsid w:val="00952245"/>
    <w:rsid w:val="0095232E"/>
    <w:rsid w:val="009523AC"/>
    <w:rsid w:val="00952494"/>
    <w:rsid w:val="0095257E"/>
    <w:rsid w:val="009525E6"/>
    <w:rsid w:val="00952618"/>
    <w:rsid w:val="00952839"/>
    <w:rsid w:val="009528E5"/>
    <w:rsid w:val="00952933"/>
    <w:rsid w:val="009529BD"/>
    <w:rsid w:val="00952B1A"/>
    <w:rsid w:val="00952B2F"/>
    <w:rsid w:val="00952B7E"/>
    <w:rsid w:val="00952CC7"/>
    <w:rsid w:val="00952D50"/>
    <w:rsid w:val="00952D75"/>
    <w:rsid w:val="00952EB1"/>
    <w:rsid w:val="00952FB7"/>
    <w:rsid w:val="00953026"/>
    <w:rsid w:val="009530B5"/>
    <w:rsid w:val="009531BF"/>
    <w:rsid w:val="009531F3"/>
    <w:rsid w:val="0095325C"/>
    <w:rsid w:val="00953336"/>
    <w:rsid w:val="0095339D"/>
    <w:rsid w:val="009534A0"/>
    <w:rsid w:val="009535EF"/>
    <w:rsid w:val="0095360E"/>
    <w:rsid w:val="0095366A"/>
    <w:rsid w:val="009536B2"/>
    <w:rsid w:val="0095384E"/>
    <w:rsid w:val="0095389E"/>
    <w:rsid w:val="009538D6"/>
    <w:rsid w:val="0095392F"/>
    <w:rsid w:val="009539E0"/>
    <w:rsid w:val="00953A0B"/>
    <w:rsid w:val="00953A3E"/>
    <w:rsid w:val="00953AA1"/>
    <w:rsid w:val="00953AD6"/>
    <w:rsid w:val="00953CD4"/>
    <w:rsid w:val="00953D9B"/>
    <w:rsid w:val="00953DFC"/>
    <w:rsid w:val="00953E23"/>
    <w:rsid w:val="00953F93"/>
    <w:rsid w:val="00954160"/>
    <w:rsid w:val="009543B2"/>
    <w:rsid w:val="009543C0"/>
    <w:rsid w:val="0095440A"/>
    <w:rsid w:val="00954577"/>
    <w:rsid w:val="00954655"/>
    <w:rsid w:val="00954685"/>
    <w:rsid w:val="0095469D"/>
    <w:rsid w:val="00954700"/>
    <w:rsid w:val="00954A45"/>
    <w:rsid w:val="00954AFC"/>
    <w:rsid w:val="00954D33"/>
    <w:rsid w:val="00954D50"/>
    <w:rsid w:val="00954DF8"/>
    <w:rsid w:val="00954FCC"/>
    <w:rsid w:val="00954FE9"/>
    <w:rsid w:val="00955015"/>
    <w:rsid w:val="009550CC"/>
    <w:rsid w:val="009550DC"/>
    <w:rsid w:val="009551DA"/>
    <w:rsid w:val="00955255"/>
    <w:rsid w:val="009552DD"/>
    <w:rsid w:val="00955323"/>
    <w:rsid w:val="0095537D"/>
    <w:rsid w:val="00955426"/>
    <w:rsid w:val="0095544B"/>
    <w:rsid w:val="009554C5"/>
    <w:rsid w:val="009555FC"/>
    <w:rsid w:val="00955994"/>
    <w:rsid w:val="009559EB"/>
    <w:rsid w:val="00955AC2"/>
    <w:rsid w:val="00955B01"/>
    <w:rsid w:val="00955D83"/>
    <w:rsid w:val="00956024"/>
    <w:rsid w:val="0095605C"/>
    <w:rsid w:val="009560AD"/>
    <w:rsid w:val="00956248"/>
    <w:rsid w:val="00956280"/>
    <w:rsid w:val="009562EF"/>
    <w:rsid w:val="0095632D"/>
    <w:rsid w:val="0095641E"/>
    <w:rsid w:val="0095676A"/>
    <w:rsid w:val="0095677A"/>
    <w:rsid w:val="00956852"/>
    <w:rsid w:val="00956923"/>
    <w:rsid w:val="00956AB0"/>
    <w:rsid w:val="00956B72"/>
    <w:rsid w:val="00956BCB"/>
    <w:rsid w:val="00956C2F"/>
    <w:rsid w:val="00956C37"/>
    <w:rsid w:val="00956C96"/>
    <w:rsid w:val="00956D19"/>
    <w:rsid w:val="00956D61"/>
    <w:rsid w:val="00956E3A"/>
    <w:rsid w:val="00956E99"/>
    <w:rsid w:val="009571CC"/>
    <w:rsid w:val="00957625"/>
    <w:rsid w:val="00957710"/>
    <w:rsid w:val="00957763"/>
    <w:rsid w:val="00957801"/>
    <w:rsid w:val="00957845"/>
    <w:rsid w:val="009579E2"/>
    <w:rsid w:val="00957ACC"/>
    <w:rsid w:val="00957B30"/>
    <w:rsid w:val="00957D65"/>
    <w:rsid w:val="00957E01"/>
    <w:rsid w:val="00957E88"/>
    <w:rsid w:val="00957FA3"/>
    <w:rsid w:val="00957FA9"/>
    <w:rsid w:val="00960043"/>
    <w:rsid w:val="0096005A"/>
    <w:rsid w:val="0096011C"/>
    <w:rsid w:val="0096027E"/>
    <w:rsid w:val="00960305"/>
    <w:rsid w:val="00960478"/>
    <w:rsid w:val="0096051A"/>
    <w:rsid w:val="00960520"/>
    <w:rsid w:val="009605A9"/>
    <w:rsid w:val="00960622"/>
    <w:rsid w:val="0096063D"/>
    <w:rsid w:val="00960776"/>
    <w:rsid w:val="0096081B"/>
    <w:rsid w:val="00960856"/>
    <w:rsid w:val="009608E0"/>
    <w:rsid w:val="0096094F"/>
    <w:rsid w:val="0096096D"/>
    <w:rsid w:val="00960976"/>
    <w:rsid w:val="009609F6"/>
    <w:rsid w:val="00960A64"/>
    <w:rsid w:val="00960B9D"/>
    <w:rsid w:val="00960D8F"/>
    <w:rsid w:val="00960DD3"/>
    <w:rsid w:val="00960DD4"/>
    <w:rsid w:val="00960FB2"/>
    <w:rsid w:val="00961189"/>
    <w:rsid w:val="009611DF"/>
    <w:rsid w:val="009612DB"/>
    <w:rsid w:val="00961361"/>
    <w:rsid w:val="00961431"/>
    <w:rsid w:val="00961557"/>
    <w:rsid w:val="0096156D"/>
    <w:rsid w:val="009615C0"/>
    <w:rsid w:val="0096162F"/>
    <w:rsid w:val="00961638"/>
    <w:rsid w:val="00961680"/>
    <w:rsid w:val="0096168F"/>
    <w:rsid w:val="009616CE"/>
    <w:rsid w:val="009617BF"/>
    <w:rsid w:val="009617C1"/>
    <w:rsid w:val="009617E0"/>
    <w:rsid w:val="0096187E"/>
    <w:rsid w:val="00961A50"/>
    <w:rsid w:val="00961BD5"/>
    <w:rsid w:val="00961D07"/>
    <w:rsid w:val="00961F04"/>
    <w:rsid w:val="00962007"/>
    <w:rsid w:val="00962336"/>
    <w:rsid w:val="009623A5"/>
    <w:rsid w:val="009623D6"/>
    <w:rsid w:val="009623E1"/>
    <w:rsid w:val="0096256A"/>
    <w:rsid w:val="009625FB"/>
    <w:rsid w:val="009626E0"/>
    <w:rsid w:val="0096272F"/>
    <w:rsid w:val="00962731"/>
    <w:rsid w:val="00962849"/>
    <w:rsid w:val="00962A22"/>
    <w:rsid w:val="00962BC8"/>
    <w:rsid w:val="00962D67"/>
    <w:rsid w:val="00962F5A"/>
    <w:rsid w:val="00963274"/>
    <w:rsid w:val="009632A1"/>
    <w:rsid w:val="009632C9"/>
    <w:rsid w:val="0096330A"/>
    <w:rsid w:val="0096345D"/>
    <w:rsid w:val="009635FF"/>
    <w:rsid w:val="00963603"/>
    <w:rsid w:val="00963669"/>
    <w:rsid w:val="00963719"/>
    <w:rsid w:val="009637D5"/>
    <w:rsid w:val="009638EB"/>
    <w:rsid w:val="0096391C"/>
    <w:rsid w:val="00963A10"/>
    <w:rsid w:val="00963A5B"/>
    <w:rsid w:val="00963B93"/>
    <w:rsid w:val="00963C27"/>
    <w:rsid w:val="00963C2D"/>
    <w:rsid w:val="00963C8C"/>
    <w:rsid w:val="00963CCF"/>
    <w:rsid w:val="00963CF8"/>
    <w:rsid w:val="00963DE5"/>
    <w:rsid w:val="00963E5F"/>
    <w:rsid w:val="00963F1E"/>
    <w:rsid w:val="009640E9"/>
    <w:rsid w:val="0096420D"/>
    <w:rsid w:val="0096424F"/>
    <w:rsid w:val="0096428E"/>
    <w:rsid w:val="00964304"/>
    <w:rsid w:val="0096434A"/>
    <w:rsid w:val="0096450B"/>
    <w:rsid w:val="009645BF"/>
    <w:rsid w:val="009645EB"/>
    <w:rsid w:val="00964630"/>
    <w:rsid w:val="00964648"/>
    <w:rsid w:val="00964729"/>
    <w:rsid w:val="009647B8"/>
    <w:rsid w:val="00964A01"/>
    <w:rsid w:val="00964A1B"/>
    <w:rsid w:val="00964D79"/>
    <w:rsid w:val="00964DBB"/>
    <w:rsid w:val="00964E6C"/>
    <w:rsid w:val="00964FC3"/>
    <w:rsid w:val="009650EF"/>
    <w:rsid w:val="00965163"/>
    <w:rsid w:val="0096517F"/>
    <w:rsid w:val="009653E7"/>
    <w:rsid w:val="00965487"/>
    <w:rsid w:val="009654FD"/>
    <w:rsid w:val="0096559D"/>
    <w:rsid w:val="009655A8"/>
    <w:rsid w:val="00965618"/>
    <w:rsid w:val="0096572D"/>
    <w:rsid w:val="009658EF"/>
    <w:rsid w:val="00965A97"/>
    <w:rsid w:val="00965B11"/>
    <w:rsid w:val="00965D1C"/>
    <w:rsid w:val="00965EA1"/>
    <w:rsid w:val="00965F8C"/>
    <w:rsid w:val="00965FD4"/>
    <w:rsid w:val="00966056"/>
    <w:rsid w:val="0096606B"/>
    <w:rsid w:val="00966157"/>
    <w:rsid w:val="009661AF"/>
    <w:rsid w:val="009662F7"/>
    <w:rsid w:val="0096641B"/>
    <w:rsid w:val="0096646D"/>
    <w:rsid w:val="00966542"/>
    <w:rsid w:val="0096659D"/>
    <w:rsid w:val="009667A5"/>
    <w:rsid w:val="009668DE"/>
    <w:rsid w:val="009669A6"/>
    <w:rsid w:val="009669B8"/>
    <w:rsid w:val="00966A41"/>
    <w:rsid w:val="00966BB3"/>
    <w:rsid w:val="00966CD4"/>
    <w:rsid w:val="00966CEC"/>
    <w:rsid w:val="00966F03"/>
    <w:rsid w:val="00966F44"/>
    <w:rsid w:val="00966FB1"/>
    <w:rsid w:val="0096707C"/>
    <w:rsid w:val="00967164"/>
    <w:rsid w:val="009671B6"/>
    <w:rsid w:val="009671B8"/>
    <w:rsid w:val="0096724F"/>
    <w:rsid w:val="00967281"/>
    <w:rsid w:val="0096736C"/>
    <w:rsid w:val="00967466"/>
    <w:rsid w:val="0096747D"/>
    <w:rsid w:val="009677EA"/>
    <w:rsid w:val="0096788F"/>
    <w:rsid w:val="00967964"/>
    <w:rsid w:val="00967996"/>
    <w:rsid w:val="00967A91"/>
    <w:rsid w:val="00967ABC"/>
    <w:rsid w:val="00967B15"/>
    <w:rsid w:val="00967B17"/>
    <w:rsid w:val="00967BF0"/>
    <w:rsid w:val="00967C0C"/>
    <w:rsid w:val="00967CC1"/>
    <w:rsid w:val="00967D13"/>
    <w:rsid w:val="00967DE5"/>
    <w:rsid w:val="00967E02"/>
    <w:rsid w:val="00967F5A"/>
    <w:rsid w:val="00970025"/>
    <w:rsid w:val="0097004B"/>
    <w:rsid w:val="00970187"/>
    <w:rsid w:val="00970402"/>
    <w:rsid w:val="0097040A"/>
    <w:rsid w:val="0097044C"/>
    <w:rsid w:val="0097052F"/>
    <w:rsid w:val="00970569"/>
    <w:rsid w:val="009705C3"/>
    <w:rsid w:val="009706B5"/>
    <w:rsid w:val="0097080A"/>
    <w:rsid w:val="0097088F"/>
    <w:rsid w:val="00970897"/>
    <w:rsid w:val="009708F1"/>
    <w:rsid w:val="009708FF"/>
    <w:rsid w:val="0097097B"/>
    <w:rsid w:val="00970A5E"/>
    <w:rsid w:val="00970B9B"/>
    <w:rsid w:val="00970B9E"/>
    <w:rsid w:val="00970BD0"/>
    <w:rsid w:val="00970BDA"/>
    <w:rsid w:val="00970BDF"/>
    <w:rsid w:val="00970C92"/>
    <w:rsid w:val="00970E41"/>
    <w:rsid w:val="00970E93"/>
    <w:rsid w:val="00970EB5"/>
    <w:rsid w:val="00970F06"/>
    <w:rsid w:val="009710EC"/>
    <w:rsid w:val="009711CA"/>
    <w:rsid w:val="009712B9"/>
    <w:rsid w:val="009712D9"/>
    <w:rsid w:val="0097131F"/>
    <w:rsid w:val="009713BF"/>
    <w:rsid w:val="0097146D"/>
    <w:rsid w:val="0097148B"/>
    <w:rsid w:val="009714D1"/>
    <w:rsid w:val="009714D9"/>
    <w:rsid w:val="009715B2"/>
    <w:rsid w:val="0097169D"/>
    <w:rsid w:val="00971897"/>
    <w:rsid w:val="009718B4"/>
    <w:rsid w:val="00971909"/>
    <w:rsid w:val="00971976"/>
    <w:rsid w:val="00971B95"/>
    <w:rsid w:val="00971BB7"/>
    <w:rsid w:val="00971BCA"/>
    <w:rsid w:val="00971D3C"/>
    <w:rsid w:val="00971E7C"/>
    <w:rsid w:val="00971E93"/>
    <w:rsid w:val="00971F03"/>
    <w:rsid w:val="00972022"/>
    <w:rsid w:val="00972182"/>
    <w:rsid w:val="0097218A"/>
    <w:rsid w:val="00972297"/>
    <w:rsid w:val="00972371"/>
    <w:rsid w:val="009723BF"/>
    <w:rsid w:val="00972503"/>
    <w:rsid w:val="0097254C"/>
    <w:rsid w:val="00972564"/>
    <w:rsid w:val="009725E6"/>
    <w:rsid w:val="00972604"/>
    <w:rsid w:val="00972641"/>
    <w:rsid w:val="0097269D"/>
    <w:rsid w:val="009726A6"/>
    <w:rsid w:val="009727C8"/>
    <w:rsid w:val="0097280A"/>
    <w:rsid w:val="009728E1"/>
    <w:rsid w:val="009729F9"/>
    <w:rsid w:val="00972A4D"/>
    <w:rsid w:val="00972AAA"/>
    <w:rsid w:val="00972B97"/>
    <w:rsid w:val="00972CC6"/>
    <w:rsid w:val="00972E2D"/>
    <w:rsid w:val="00972E7F"/>
    <w:rsid w:val="00972EEF"/>
    <w:rsid w:val="00973011"/>
    <w:rsid w:val="0097305B"/>
    <w:rsid w:val="0097318E"/>
    <w:rsid w:val="00973268"/>
    <w:rsid w:val="009732C7"/>
    <w:rsid w:val="009733A6"/>
    <w:rsid w:val="009733BF"/>
    <w:rsid w:val="00973402"/>
    <w:rsid w:val="00973408"/>
    <w:rsid w:val="00973439"/>
    <w:rsid w:val="00973452"/>
    <w:rsid w:val="00973514"/>
    <w:rsid w:val="009735B5"/>
    <w:rsid w:val="009735EC"/>
    <w:rsid w:val="009735F9"/>
    <w:rsid w:val="0097372D"/>
    <w:rsid w:val="00973735"/>
    <w:rsid w:val="0097378B"/>
    <w:rsid w:val="00973895"/>
    <w:rsid w:val="009738D6"/>
    <w:rsid w:val="009738F3"/>
    <w:rsid w:val="00973A26"/>
    <w:rsid w:val="00973A31"/>
    <w:rsid w:val="00973B57"/>
    <w:rsid w:val="00973C28"/>
    <w:rsid w:val="00973D77"/>
    <w:rsid w:val="00973E96"/>
    <w:rsid w:val="00973F45"/>
    <w:rsid w:val="00974049"/>
    <w:rsid w:val="009741BA"/>
    <w:rsid w:val="00974262"/>
    <w:rsid w:val="0097429B"/>
    <w:rsid w:val="0097433B"/>
    <w:rsid w:val="00974377"/>
    <w:rsid w:val="009743F7"/>
    <w:rsid w:val="009744FF"/>
    <w:rsid w:val="0097452E"/>
    <w:rsid w:val="0097459A"/>
    <w:rsid w:val="009745BC"/>
    <w:rsid w:val="009746F1"/>
    <w:rsid w:val="00974738"/>
    <w:rsid w:val="00974806"/>
    <w:rsid w:val="00974966"/>
    <w:rsid w:val="0097498D"/>
    <w:rsid w:val="009749AB"/>
    <w:rsid w:val="00974A54"/>
    <w:rsid w:val="00974ABF"/>
    <w:rsid w:val="00974AC3"/>
    <w:rsid w:val="00974B16"/>
    <w:rsid w:val="00974B51"/>
    <w:rsid w:val="00974DBE"/>
    <w:rsid w:val="00974EC4"/>
    <w:rsid w:val="00974ECE"/>
    <w:rsid w:val="00975089"/>
    <w:rsid w:val="009750CE"/>
    <w:rsid w:val="009750D9"/>
    <w:rsid w:val="00975124"/>
    <w:rsid w:val="009751A3"/>
    <w:rsid w:val="009751B1"/>
    <w:rsid w:val="00975235"/>
    <w:rsid w:val="00975243"/>
    <w:rsid w:val="009753F3"/>
    <w:rsid w:val="00975479"/>
    <w:rsid w:val="009754C7"/>
    <w:rsid w:val="0097556E"/>
    <w:rsid w:val="009755DB"/>
    <w:rsid w:val="009755E1"/>
    <w:rsid w:val="009755F0"/>
    <w:rsid w:val="00975618"/>
    <w:rsid w:val="00975660"/>
    <w:rsid w:val="009756D0"/>
    <w:rsid w:val="009758A6"/>
    <w:rsid w:val="00975946"/>
    <w:rsid w:val="00975C0F"/>
    <w:rsid w:val="00975C61"/>
    <w:rsid w:val="00975CCA"/>
    <w:rsid w:val="00975CD2"/>
    <w:rsid w:val="00975D40"/>
    <w:rsid w:val="00975D74"/>
    <w:rsid w:val="00975D80"/>
    <w:rsid w:val="00975E3B"/>
    <w:rsid w:val="00975FB3"/>
    <w:rsid w:val="00975FEB"/>
    <w:rsid w:val="00976050"/>
    <w:rsid w:val="0097606A"/>
    <w:rsid w:val="009760F9"/>
    <w:rsid w:val="00976155"/>
    <w:rsid w:val="0097615F"/>
    <w:rsid w:val="00976173"/>
    <w:rsid w:val="0097617E"/>
    <w:rsid w:val="009762F2"/>
    <w:rsid w:val="00976354"/>
    <w:rsid w:val="009763C0"/>
    <w:rsid w:val="00976667"/>
    <w:rsid w:val="0097667D"/>
    <w:rsid w:val="009767A7"/>
    <w:rsid w:val="00976839"/>
    <w:rsid w:val="00976867"/>
    <w:rsid w:val="00976916"/>
    <w:rsid w:val="0097693A"/>
    <w:rsid w:val="00976998"/>
    <w:rsid w:val="009769A2"/>
    <w:rsid w:val="00976AEC"/>
    <w:rsid w:val="00976C28"/>
    <w:rsid w:val="00976E1B"/>
    <w:rsid w:val="00976E61"/>
    <w:rsid w:val="00976F18"/>
    <w:rsid w:val="00976F35"/>
    <w:rsid w:val="00976F5F"/>
    <w:rsid w:val="00977005"/>
    <w:rsid w:val="00977085"/>
    <w:rsid w:val="00977092"/>
    <w:rsid w:val="009771D4"/>
    <w:rsid w:val="00977529"/>
    <w:rsid w:val="009778B9"/>
    <w:rsid w:val="00977A15"/>
    <w:rsid w:val="00977AA0"/>
    <w:rsid w:val="00977B02"/>
    <w:rsid w:val="00977B8D"/>
    <w:rsid w:val="00977B8E"/>
    <w:rsid w:val="00977BD2"/>
    <w:rsid w:val="00977C07"/>
    <w:rsid w:val="00977C3F"/>
    <w:rsid w:val="00977C42"/>
    <w:rsid w:val="00977CF9"/>
    <w:rsid w:val="00977D70"/>
    <w:rsid w:val="00977EBF"/>
    <w:rsid w:val="00977FAE"/>
    <w:rsid w:val="009800D1"/>
    <w:rsid w:val="00980272"/>
    <w:rsid w:val="009802E2"/>
    <w:rsid w:val="00980432"/>
    <w:rsid w:val="0098046C"/>
    <w:rsid w:val="009804E8"/>
    <w:rsid w:val="0098066B"/>
    <w:rsid w:val="0098070D"/>
    <w:rsid w:val="00980888"/>
    <w:rsid w:val="0098088D"/>
    <w:rsid w:val="00980992"/>
    <w:rsid w:val="009809E4"/>
    <w:rsid w:val="009809EB"/>
    <w:rsid w:val="00980A5B"/>
    <w:rsid w:val="00980ABE"/>
    <w:rsid w:val="00980CE3"/>
    <w:rsid w:val="00980CF7"/>
    <w:rsid w:val="00980D64"/>
    <w:rsid w:val="00980DC4"/>
    <w:rsid w:val="00980E55"/>
    <w:rsid w:val="00980EC3"/>
    <w:rsid w:val="00980F07"/>
    <w:rsid w:val="00980F55"/>
    <w:rsid w:val="009810EA"/>
    <w:rsid w:val="00981217"/>
    <w:rsid w:val="00981271"/>
    <w:rsid w:val="0098129C"/>
    <w:rsid w:val="0098140F"/>
    <w:rsid w:val="0098142E"/>
    <w:rsid w:val="009814A2"/>
    <w:rsid w:val="0098150B"/>
    <w:rsid w:val="00981591"/>
    <w:rsid w:val="009815E6"/>
    <w:rsid w:val="009816C9"/>
    <w:rsid w:val="009816CD"/>
    <w:rsid w:val="009817D1"/>
    <w:rsid w:val="00981807"/>
    <w:rsid w:val="00981811"/>
    <w:rsid w:val="009819A4"/>
    <w:rsid w:val="00981A10"/>
    <w:rsid w:val="00981A68"/>
    <w:rsid w:val="00981B23"/>
    <w:rsid w:val="00981BC4"/>
    <w:rsid w:val="00981C0F"/>
    <w:rsid w:val="00981C95"/>
    <w:rsid w:val="00981D40"/>
    <w:rsid w:val="00981D68"/>
    <w:rsid w:val="00981DDB"/>
    <w:rsid w:val="00981DE8"/>
    <w:rsid w:val="00981EB7"/>
    <w:rsid w:val="00981F35"/>
    <w:rsid w:val="009820E1"/>
    <w:rsid w:val="009821F4"/>
    <w:rsid w:val="0098237B"/>
    <w:rsid w:val="009827B9"/>
    <w:rsid w:val="009827EA"/>
    <w:rsid w:val="00982977"/>
    <w:rsid w:val="00982AED"/>
    <w:rsid w:val="00982B20"/>
    <w:rsid w:val="00982B4D"/>
    <w:rsid w:val="00982B4F"/>
    <w:rsid w:val="00982B97"/>
    <w:rsid w:val="00982C13"/>
    <w:rsid w:val="00982C2D"/>
    <w:rsid w:val="00982C65"/>
    <w:rsid w:val="00982C9A"/>
    <w:rsid w:val="00982CAB"/>
    <w:rsid w:val="00982D07"/>
    <w:rsid w:val="00982D52"/>
    <w:rsid w:val="00982D83"/>
    <w:rsid w:val="00982E64"/>
    <w:rsid w:val="0098309B"/>
    <w:rsid w:val="00983216"/>
    <w:rsid w:val="0098332C"/>
    <w:rsid w:val="00983390"/>
    <w:rsid w:val="00983572"/>
    <w:rsid w:val="0098383C"/>
    <w:rsid w:val="00983987"/>
    <w:rsid w:val="00983AD1"/>
    <w:rsid w:val="00983AEC"/>
    <w:rsid w:val="00983C4B"/>
    <w:rsid w:val="00983EF9"/>
    <w:rsid w:val="00984211"/>
    <w:rsid w:val="009843C9"/>
    <w:rsid w:val="009844BE"/>
    <w:rsid w:val="009845E0"/>
    <w:rsid w:val="00984646"/>
    <w:rsid w:val="00984656"/>
    <w:rsid w:val="00984722"/>
    <w:rsid w:val="00984817"/>
    <w:rsid w:val="00984824"/>
    <w:rsid w:val="00984836"/>
    <w:rsid w:val="009848D3"/>
    <w:rsid w:val="009848FC"/>
    <w:rsid w:val="009849ED"/>
    <w:rsid w:val="00984A72"/>
    <w:rsid w:val="00984C6C"/>
    <w:rsid w:val="00984C8C"/>
    <w:rsid w:val="00984E14"/>
    <w:rsid w:val="00984F6E"/>
    <w:rsid w:val="009850C3"/>
    <w:rsid w:val="009852AF"/>
    <w:rsid w:val="009852C2"/>
    <w:rsid w:val="009853CB"/>
    <w:rsid w:val="0098542D"/>
    <w:rsid w:val="00985520"/>
    <w:rsid w:val="009856B3"/>
    <w:rsid w:val="009858D6"/>
    <w:rsid w:val="009858EE"/>
    <w:rsid w:val="00985947"/>
    <w:rsid w:val="00985985"/>
    <w:rsid w:val="009859B4"/>
    <w:rsid w:val="00985AF4"/>
    <w:rsid w:val="00985AFE"/>
    <w:rsid w:val="00985B63"/>
    <w:rsid w:val="00985B6D"/>
    <w:rsid w:val="00985C30"/>
    <w:rsid w:val="00985CA7"/>
    <w:rsid w:val="00985CCF"/>
    <w:rsid w:val="00985DA1"/>
    <w:rsid w:val="00986075"/>
    <w:rsid w:val="00986091"/>
    <w:rsid w:val="0098619A"/>
    <w:rsid w:val="0098631D"/>
    <w:rsid w:val="00986332"/>
    <w:rsid w:val="00986398"/>
    <w:rsid w:val="00986552"/>
    <w:rsid w:val="009865A6"/>
    <w:rsid w:val="00986607"/>
    <w:rsid w:val="00986A55"/>
    <w:rsid w:val="00986B75"/>
    <w:rsid w:val="00986C27"/>
    <w:rsid w:val="00986CEB"/>
    <w:rsid w:val="00986D3E"/>
    <w:rsid w:val="00986D69"/>
    <w:rsid w:val="00986DE9"/>
    <w:rsid w:val="00986EAB"/>
    <w:rsid w:val="00986EAD"/>
    <w:rsid w:val="00986EC2"/>
    <w:rsid w:val="00986ECE"/>
    <w:rsid w:val="00986F10"/>
    <w:rsid w:val="00986FC0"/>
    <w:rsid w:val="00986FF5"/>
    <w:rsid w:val="00987025"/>
    <w:rsid w:val="00987036"/>
    <w:rsid w:val="00987234"/>
    <w:rsid w:val="009872E1"/>
    <w:rsid w:val="009874C4"/>
    <w:rsid w:val="009874E5"/>
    <w:rsid w:val="009874EB"/>
    <w:rsid w:val="00987509"/>
    <w:rsid w:val="00987529"/>
    <w:rsid w:val="009875EF"/>
    <w:rsid w:val="009876AF"/>
    <w:rsid w:val="009877B8"/>
    <w:rsid w:val="00987856"/>
    <w:rsid w:val="0098799F"/>
    <w:rsid w:val="00987AE1"/>
    <w:rsid w:val="00987CBD"/>
    <w:rsid w:val="00987CE5"/>
    <w:rsid w:val="00987D1A"/>
    <w:rsid w:val="00987D6C"/>
    <w:rsid w:val="00987DE3"/>
    <w:rsid w:val="00987E82"/>
    <w:rsid w:val="00987F65"/>
    <w:rsid w:val="00987FA0"/>
    <w:rsid w:val="00990090"/>
    <w:rsid w:val="00990294"/>
    <w:rsid w:val="009903BD"/>
    <w:rsid w:val="009903CE"/>
    <w:rsid w:val="009903E9"/>
    <w:rsid w:val="009903FD"/>
    <w:rsid w:val="0099050E"/>
    <w:rsid w:val="00990535"/>
    <w:rsid w:val="009905F3"/>
    <w:rsid w:val="009905FA"/>
    <w:rsid w:val="00990682"/>
    <w:rsid w:val="0099069A"/>
    <w:rsid w:val="009906AB"/>
    <w:rsid w:val="00990936"/>
    <w:rsid w:val="009909B9"/>
    <w:rsid w:val="009909C7"/>
    <w:rsid w:val="00990A42"/>
    <w:rsid w:val="00990B0D"/>
    <w:rsid w:val="00990BE2"/>
    <w:rsid w:val="00990BF6"/>
    <w:rsid w:val="00990C46"/>
    <w:rsid w:val="00990C5C"/>
    <w:rsid w:val="00990ECB"/>
    <w:rsid w:val="00990F0C"/>
    <w:rsid w:val="00991012"/>
    <w:rsid w:val="0099106D"/>
    <w:rsid w:val="00991074"/>
    <w:rsid w:val="00991322"/>
    <w:rsid w:val="00991361"/>
    <w:rsid w:val="0099138F"/>
    <w:rsid w:val="009913C8"/>
    <w:rsid w:val="009913F7"/>
    <w:rsid w:val="009914E3"/>
    <w:rsid w:val="009914FC"/>
    <w:rsid w:val="0099155A"/>
    <w:rsid w:val="009915E9"/>
    <w:rsid w:val="00991617"/>
    <w:rsid w:val="00991771"/>
    <w:rsid w:val="00991A04"/>
    <w:rsid w:val="00991B44"/>
    <w:rsid w:val="00991B68"/>
    <w:rsid w:val="00991C49"/>
    <w:rsid w:val="00991D51"/>
    <w:rsid w:val="00991DBE"/>
    <w:rsid w:val="00991E46"/>
    <w:rsid w:val="00991F07"/>
    <w:rsid w:val="00991F11"/>
    <w:rsid w:val="00991F58"/>
    <w:rsid w:val="00991F71"/>
    <w:rsid w:val="00992060"/>
    <w:rsid w:val="00992170"/>
    <w:rsid w:val="009921A5"/>
    <w:rsid w:val="009923D0"/>
    <w:rsid w:val="00992456"/>
    <w:rsid w:val="009924E2"/>
    <w:rsid w:val="00992525"/>
    <w:rsid w:val="00992666"/>
    <w:rsid w:val="00992677"/>
    <w:rsid w:val="00992686"/>
    <w:rsid w:val="009927AB"/>
    <w:rsid w:val="009927E6"/>
    <w:rsid w:val="009928A1"/>
    <w:rsid w:val="009928C8"/>
    <w:rsid w:val="00992901"/>
    <w:rsid w:val="009929D2"/>
    <w:rsid w:val="00992D3C"/>
    <w:rsid w:val="00992D9F"/>
    <w:rsid w:val="00992EEA"/>
    <w:rsid w:val="00992F6C"/>
    <w:rsid w:val="00993185"/>
    <w:rsid w:val="0099318B"/>
    <w:rsid w:val="009931DD"/>
    <w:rsid w:val="00993275"/>
    <w:rsid w:val="0099338F"/>
    <w:rsid w:val="009933C6"/>
    <w:rsid w:val="009933D5"/>
    <w:rsid w:val="0099342D"/>
    <w:rsid w:val="00993537"/>
    <w:rsid w:val="0099365F"/>
    <w:rsid w:val="009936FD"/>
    <w:rsid w:val="00993834"/>
    <w:rsid w:val="009938D5"/>
    <w:rsid w:val="00993901"/>
    <w:rsid w:val="00993991"/>
    <w:rsid w:val="00993AA3"/>
    <w:rsid w:val="00993ADF"/>
    <w:rsid w:val="00993BCB"/>
    <w:rsid w:val="00993C12"/>
    <w:rsid w:val="00993CEA"/>
    <w:rsid w:val="00993CF5"/>
    <w:rsid w:val="00993E17"/>
    <w:rsid w:val="00993FCB"/>
    <w:rsid w:val="009940DE"/>
    <w:rsid w:val="00994237"/>
    <w:rsid w:val="009942A3"/>
    <w:rsid w:val="009942B3"/>
    <w:rsid w:val="009942ED"/>
    <w:rsid w:val="009943B4"/>
    <w:rsid w:val="009943BE"/>
    <w:rsid w:val="00994441"/>
    <w:rsid w:val="0099446A"/>
    <w:rsid w:val="009944B4"/>
    <w:rsid w:val="00994538"/>
    <w:rsid w:val="0099461F"/>
    <w:rsid w:val="00994694"/>
    <w:rsid w:val="009946D5"/>
    <w:rsid w:val="009949F5"/>
    <w:rsid w:val="00994AFB"/>
    <w:rsid w:val="00994C00"/>
    <w:rsid w:val="00994CE3"/>
    <w:rsid w:val="00994F22"/>
    <w:rsid w:val="009952F1"/>
    <w:rsid w:val="009953F5"/>
    <w:rsid w:val="00995460"/>
    <w:rsid w:val="009954A2"/>
    <w:rsid w:val="00995617"/>
    <w:rsid w:val="009956DF"/>
    <w:rsid w:val="009957A0"/>
    <w:rsid w:val="00995868"/>
    <w:rsid w:val="009958D9"/>
    <w:rsid w:val="00995ACB"/>
    <w:rsid w:val="00995B96"/>
    <w:rsid w:val="00995CCF"/>
    <w:rsid w:val="00995D06"/>
    <w:rsid w:val="00995D23"/>
    <w:rsid w:val="00995D96"/>
    <w:rsid w:val="00995E05"/>
    <w:rsid w:val="00995E77"/>
    <w:rsid w:val="00995E86"/>
    <w:rsid w:val="00995F1D"/>
    <w:rsid w:val="00995F42"/>
    <w:rsid w:val="00996018"/>
    <w:rsid w:val="00996073"/>
    <w:rsid w:val="0099619C"/>
    <w:rsid w:val="009962E2"/>
    <w:rsid w:val="0099632D"/>
    <w:rsid w:val="00996373"/>
    <w:rsid w:val="0099645C"/>
    <w:rsid w:val="00996467"/>
    <w:rsid w:val="009964D2"/>
    <w:rsid w:val="009964D8"/>
    <w:rsid w:val="00996521"/>
    <w:rsid w:val="0099663B"/>
    <w:rsid w:val="00996679"/>
    <w:rsid w:val="0099670D"/>
    <w:rsid w:val="00996780"/>
    <w:rsid w:val="00996995"/>
    <w:rsid w:val="009969C8"/>
    <w:rsid w:val="009969F1"/>
    <w:rsid w:val="00996A44"/>
    <w:rsid w:val="00996A47"/>
    <w:rsid w:val="00996AFC"/>
    <w:rsid w:val="00996D0D"/>
    <w:rsid w:val="00996DB7"/>
    <w:rsid w:val="00996DD2"/>
    <w:rsid w:val="00996E65"/>
    <w:rsid w:val="00996EC2"/>
    <w:rsid w:val="00996F55"/>
    <w:rsid w:val="009970D2"/>
    <w:rsid w:val="009970D5"/>
    <w:rsid w:val="00997208"/>
    <w:rsid w:val="00997234"/>
    <w:rsid w:val="0099723D"/>
    <w:rsid w:val="009973F1"/>
    <w:rsid w:val="00997405"/>
    <w:rsid w:val="00997581"/>
    <w:rsid w:val="009976F3"/>
    <w:rsid w:val="009976FD"/>
    <w:rsid w:val="0099774B"/>
    <w:rsid w:val="00997776"/>
    <w:rsid w:val="009977C5"/>
    <w:rsid w:val="00997868"/>
    <w:rsid w:val="00997A60"/>
    <w:rsid w:val="00997A64"/>
    <w:rsid w:val="00997A90"/>
    <w:rsid w:val="00997ADA"/>
    <w:rsid w:val="00997AE5"/>
    <w:rsid w:val="00997B23"/>
    <w:rsid w:val="00997C76"/>
    <w:rsid w:val="00997CD7"/>
    <w:rsid w:val="00997E00"/>
    <w:rsid w:val="00997F97"/>
    <w:rsid w:val="00997FE9"/>
    <w:rsid w:val="009A0066"/>
    <w:rsid w:val="009A00E6"/>
    <w:rsid w:val="009A01EF"/>
    <w:rsid w:val="009A0254"/>
    <w:rsid w:val="009A0357"/>
    <w:rsid w:val="009A05AB"/>
    <w:rsid w:val="009A065C"/>
    <w:rsid w:val="009A0688"/>
    <w:rsid w:val="009A069E"/>
    <w:rsid w:val="009A075F"/>
    <w:rsid w:val="009A0785"/>
    <w:rsid w:val="009A07AD"/>
    <w:rsid w:val="009A07E3"/>
    <w:rsid w:val="009A07E4"/>
    <w:rsid w:val="009A0810"/>
    <w:rsid w:val="009A08B3"/>
    <w:rsid w:val="009A09C6"/>
    <w:rsid w:val="009A0BAE"/>
    <w:rsid w:val="009A0D11"/>
    <w:rsid w:val="009A0D83"/>
    <w:rsid w:val="009A0DF0"/>
    <w:rsid w:val="009A0E03"/>
    <w:rsid w:val="009A0FA4"/>
    <w:rsid w:val="009A105F"/>
    <w:rsid w:val="009A108D"/>
    <w:rsid w:val="009A10E3"/>
    <w:rsid w:val="009A1139"/>
    <w:rsid w:val="009A1141"/>
    <w:rsid w:val="009A1150"/>
    <w:rsid w:val="009A121B"/>
    <w:rsid w:val="009A123C"/>
    <w:rsid w:val="009A1259"/>
    <w:rsid w:val="009A125B"/>
    <w:rsid w:val="009A12B8"/>
    <w:rsid w:val="009A12FE"/>
    <w:rsid w:val="009A14C1"/>
    <w:rsid w:val="009A15CB"/>
    <w:rsid w:val="009A1649"/>
    <w:rsid w:val="009A16C9"/>
    <w:rsid w:val="009A18C3"/>
    <w:rsid w:val="009A190A"/>
    <w:rsid w:val="009A193A"/>
    <w:rsid w:val="009A19B6"/>
    <w:rsid w:val="009A1A03"/>
    <w:rsid w:val="009A1A08"/>
    <w:rsid w:val="009A1B04"/>
    <w:rsid w:val="009A1C00"/>
    <w:rsid w:val="009A1C44"/>
    <w:rsid w:val="009A1DC2"/>
    <w:rsid w:val="009A1DE0"/>
    <w:rsid w:val="009A1EC0"/>
    <w:rsid w:val="009A1FEC"/>
    <w:rsid w:val="009A2123"/>
    <w:rsid w:val="009A22C4"/>
    <w:rsid w:val="009A2632"/>
    <w:rsid w:val="009A288A"/>
    <w:rsid w:val="009A28E8"/>
    <w:rsid w:val="009A2989"/>
    <w:rsid w:val="009A29AA"/>
    <w:rsid w:val="009A2AA3"/>
    <w:rsid w:val="009A2B75"/>
    <w:rsid w:val="009A2D64"/>
    <w:rsid w:val="009A2D6B"/>
    <w:rsid w:val="009A2D8C"/>
    <w:rsid w:val="009A2E70"/>
    <w:rsid w:val="009A3041"/>
    <w:rsid w:val="009A3286"/>
    <w:rsid w:val="009A338F"/>
    <w:rsid w:val="009A34EB"/>
    <w:rsid w:val="009A35AB"/>
    <w:rsid w:val="009A36BD"/>
    <w:rsid w:val="009A3908"/>
    <w:rsid w:val="009A39F3"/>
    <w:rsid w:val="009A39F4"/>
    <w:rsid w:val="009A3AFB"/>
    <w:rsid w:val="009A3AFF"/>
    <w:rsid w:val="009A3C18"/>
    <w:rsid w:val="009A3D13"/>
    <w:rsid w:val="009A3D5D"/>
    <w:rsid w:val="009A3D64"/>
    <w:rsid w:val="009A3F41"/>
    <w:rsid w:val="009A3F62"/>
    <w:rsid w:val="009A40D2"/>
    <w:rsid w:val="009A40D8"/>
    <w:rsid w:val="009A40FA"/>
    <w:rsid w:val="009A4153"/>
    <w:rsid w:val="009A436B"/>
    <w:rsid w:val="009A43EA"/>
    <w:rsid w:val="009A4489"/>
    <w:rsid w:val="009A44D0"/>
    <w:rsid w:val="009A44E6"/>
    <w:rsid w:val="009A4542"/>
    <w:rsid w:val="009A45D0"/>
    <w:rsid w:val="009A460F"/>
    <w:rsid w:val="009A464A"/>
    <w:rsid w:val="009A464C"/>
    <w:rsid w:val="009A464F"/>
    <w:rsid w:val="009A47A6"/>
    <w:rsid w:val="009A4871"/>
    <w:rsid w:val="009A4912"/>
    <w:rsid w:val="009A4A27"/>
    <w:rsid w:val="009A4A4E"/>
    <w:rsid w:val="009A4BA0"/>
    <w:rsid w:val="009A4BD0"/>
    <w:rsid w:val="009A4C86"/>
    <w:rsid w:val="009A4D9E"/>
    <w:rsid w:val="009A4EDF"/>
    <w:rsid w:val="009A4EFF"/>
    <w:rsid w:val="009A510B"/>
    <w:rsid w:val="009A5128"/>
    <w:rsid w:val="009A52F9"/>
    <w:rsid w:val="009A530B"/>
    <w:rsid w:val="009A5335"/>
    <w:rsid w:val="009A545F"/>
    <w:rsid w:val="009A549C"/>
    <w:rsid w:val="009A559A"/>
    <w:rsid w:val="009A55B4"/>
    <w:rsid w:val="009A55FD"/>
    <w:rsid w:val="009A5676"/>
    <w:rsid w:val="009A5724"/>
    <w:rsid w:val="009A577D"/>
    <w:rsid w:val="009A57A2"/>
    <w:rsid w:val="009A5853"/>
    <w:rsid w:val="009A587B"/>
    <w:rsid w:val="009A58E2"/>
    <w:rsid w:val="009A5927"/>
    <w:rsid w:val="009A5AC9"/>
    <w:rsid w:val="009A5B01"/>
    <w:rsid w:val="009A5C51"/>
    <w:rsid w:val="009A5D18"/>
    <w:rsid w:val="009A5DB4"/>
    <w:rsid w:val="009A5EE6"/>
    <w:rsid w:val="009A6018"/>
    <w:rsid w:val="009A6210"/>
    <w:rsid w:val="009A6383"/>
    <w:rsid w:val="009A6411"/>
    <w:rsid w:val="009A64C3"/>
    <w:rsid w:val="009A650F"/>
    <w:rsid w:val="009A6756"/>
    <w:rsid w:val="009A67F5"/>
    <w:rsid w:val="009A692F"/>
    <w:rsid w:val="009A69A5"/>
    <w:rsid w:val="009A6A51"/>
    <w:rsid w:val="009A6A7A"/>
    <w:rsid w:val="009A6ACA"/>
    <w:rsid w:val="009A6D91"/>
    <w:rsid w:val="009A6DBB"/>
    <w:rsid w:val="009A6DF4"/>
    <w:rsid w:val="009A6E0E"/>
    <w:rsid w:val="009A6EFC"/>
    <w:rsid w:val="009A7060"/>
    <w:rsid w:val="009A71E2"/>
    <w:rsid w:val="009A7351"/>
    <w:rsid w:val="009A738C"/>
    <w:rsid w:val="009A73E3"/>
    <w:rsid w:val="009A73E8"/>
    <w:rsid w:val="009A755C"/>
    <w:rsid w:val="009A7577"/>
    <w:rsid w:val="009A75C7"/>
    <w:rsid w:val="009A764B"/>
    <w:rsid w:val="009A76BA"/>
    <w:rsid w:val="009A77FA"/>
    <w:rsid w:val="009A7968"/>
    <w:rsid w:val="009A7A29"/>
    <w:rsid w:val="009A7AE1"/>
    <w:rsid w:val="009A7C23"/>
    <w:rsid w:val="009A7C29"/>
    <w:rsid w:val="009A7E22"/>
    <w:rsid w:val="009A7E3E"/>
    <w:rsid w:val="009A7EB8"/>
    <w:rsid w:val="009A7EBE"/>
    <w:rsid w:val="009A7EE9"/>
    <w:rsid w:val="009A7FF3"/>
    <w:rsid w:val="009A7FF5"/>
    <w:rsid w:val="009B0168"/>
    <w:rsid w:val="009B01AF"/>
    <w:rsid w:val="009B03B8"/>
    <w:rsid w:val="009B03EB"/>
    <w:rsid w:val="009B046F"/>
    <w:rsid w:val="009B050E"/>
    <w:rsid w:val="009B05D1"/>
    <w:rsid w:val="009B0603"/>
    <w:rsid w:val="009B063F"/>
    <w:rsid w:val="009B06BB"/>
    <w:rsid w:val="009B07BE"/>
    <w:rsid w:val="009B07C2"/>
    <w:rsid w:val="009B0842"/>
    <w:rsid w:val="009B0942"/>
    <w:rsid w:val="009B09D6"/>
    <w:rsid w:val="009B0A09"/>
    <w:rsid w:val="009B0A84"/>
    <w:rsid w:val="009B0B9A"/>
    <w:rsid w:val="009B0C5F"/>
    <w:rsid w:val="009B0CB8"/>
    <w:rsid w:val="009B0E4E"/>
    <w:rsid w:val="009B0F1F"/>
    <w:rsid w:val="009B116B"/>
    <w:rsid w:val="009B11FC"/>
    <w:rsid w:val="009B122C"/>
    <w:rsid w:val="009B1272"/>
    <w:rsid w:val="009B12E8"/>
    <w:rsid w:val="009B13E0"/>
    <w:rsid w:val="009B14AF"/>
    <w:rsid w:val="009B14E2"/>
    <w:rsid w:val="009B14E3"/>
    <w:rsid w:val="009B176B"/>
    <w:rsid w:val="009B17B3"/>
    <w:rsid w:val="009B1805"/>
    <w:rsid w:val="009B1883"/>
    <w:rsid w:val="009B18C3"/>
    <w:rsid w:val="009B19C1"/>
    <w:rsid w:val="009B19F9"/>
    <w:rsid w:val="009B1A9A"/>
    <w:rsid w:val="009B1AC2"/>
    <w:rsid w:val="009B1C35"/>
    <w:rsid w:val="009B1C54"/>
    <w:rsid w:val="009B1C71"/>
    <w:rsid w:val="009B1E6C"/>
    <w:rsid w:val="009B1EA2"/>
    <w:rsid w:val="009B1EBA"/>
    <w:rsid w:val="009B1EEC"/>
    <w:rsid w:val="009B2004"/>
    <w:rsid w:val="009B20A6"/>
    <w:rsid w:val="009B2118"/>
    <w:rsid w:val="009B2265"/>
    <w:rsid w:val="009B2386"/>
    <w:rsid w:val="009B2409"/>
    <w:rsid w:val="009B24FD"/>
    <w:rsid w:val="009B254E"/>
    <w:rsid w:val="009B2595"/>
    <w:rsid w:val="009B263F"/>
    <w:rsid w:val="009B27A3"/>
    <w:rsid w:val="009B2E15"/>
    <w:rsid w:val="009B2E3E"/>
    <w:rsid w:val="009B2F13"/>
    <w:rsid w:val="009B2F2E"/>
    <w:rsid w:val="009B2FD5"/>
    <w:rsid w:val="009B30A2"/>
    <w:rsid w:val="009B30CA"/>
    <w:rsid w:val="009B312A"/>
    <w:rsid w:val="009B312F"/>
    <w:rsid w:val="009B322D"/>
    <w:rsid w:val="009B329F"/>
    <w:rsid w:val="009B3471"/>
    <w:rsid w:val="009B3502"/>
    <w:rsid w:val="009B3714"/>
    <w:rsid w:val="009B373F"/>
    <w:rsid w:val="009B383C"/>
    <w:rsid w:val="009B391F"/>
    <w:rsid w:val="009B3947"/>
    <w:rsid w:val="009B3CAE"/>
    <w:rsid w:val="009B3D76"/>
    <w:rsid w:val="009B4012"/>
    <w:rsid w:val="009B41A2"/>
    <w:rsid w:val="009B420F"/>
    <w:rsid w:val="009B4294"/>
    <w:rsid w:val="009B42A8"/>
    <w:rsid w:val="009B42EF"/>
    <w:rsid w:val="009B430A"/>
    <w:rsid w:val="009B4313"/>
    <w:rsid w:val="009B43E0"/>
    <w:rsid w:val="009B4529"/>
    <w:rsid w:val="009B45EA"/>
    <w:rsid w:val="009B45EC"/>
    <w:rsid w:val="009B4707"/>
    <w:rsid w:val="009B494A"/>
    <w:rsid w:val="009B4A68"/>
    <w:rsid w:val="009B4CAB"/>
    <w:rsid w:val="009B4CAF"/>
    <w:rsid w:val="009B4CB1"/>
    <w:rsid w:val="009B4E70"/>
    <w:rsid w:val="009B4F5E"/>
    <w:rsid w:val="009B51B0"/>
    <w:rsid w:val="009B5614"/>
    <w:rsid w:val="009B590A"/>
    <w:rsid w:val="009B5919"/>
    <w:rsid w:val="009B599F"/>
    <w:rsid w:val="009B5B07"/>
    <w:rsid w:val="009B5B69"/>
    <w:rsid w:val="009B5C2E"/>
    <w:rsid w:val="009B5CAD"/>
    <w:rsid w:val="009B5CDC"/>
    <w:rsid w:val="009B5D1A"/>
    <w:rsid w:val="009B5E39"/>
    <w:rsid w:val="009B5F32"/>
    <w:rsid w:val="009B5F61"/>
    <w:rsid w:val="009B6034"/>
    <w:rsid w:val="009B6085"/>
    <w:rsid w:val="009B618C"/>
    <w:rsid w:val="009B61A5"/>
    <w:rsid w:val="009B61B3"/>
    <w:rsid w:val="009B62CB"/>
    <w:rsid w:val="009B62F4"/>
    <w:rsid w:val="009B636E"/>
    <w:rsid w:val="009B63AD"/>
    <w:rsid w:val="009B63BE"/>
    <w:rsid w:val="009B6415"/>
    <w:rsid w:val="009B6479"/>
    <w:rsid w:val="009B64BE"/>
    <w:rsid w:val="009B64F3"/>
    <w:rsid w:val="009B65D4"/>
    <w:rsid w:val="009B6651"/>
    <w:rsid w:val="009B66D3"/>
    <w:rsid w:val="009B66F8"/>
    <w:rsid w:val="009B674C"/>
    <w:rsid w:val="009B67B8"/>
    <w:rsid w:val="009B682F"/>
    <w:rsid w:val="009B6A36"/>
    <w:rsid w:val="009B6AB8"/>
    <w:rsid w:val="009B6AED"/>
    <w:rsid w:val="009B6C2B"/>
    <w:rsid w:val="009B6D59"/>
    <w:rsid w:val="009B6ECD"/>
    <w:rsid w:val="009B7195"/>
    <w:rsid w:val="009B71B8"/>
    <w:rsid w:val="009B7444"/>
    <w:rsid w:val="009B7532"/>
    <w:rsid w:val="009B754F"/>
    <w:rsid w:val="009B7751"/>
    <w:rsid w:val="009B7896"/>
    <w:rsid w:val="009B7918"/>
    <w:rsid w:val="009B791A"/>
    <w:rsid w:val="009B7A56"/>
    <w:rsid w:val="009B7A89"/>
    <w:rsid w:val="009B7AA0"/>
    <w:rsid w:val="009B7B18"/>
    <w:rsid w:val="009B7B75"/>
    <w:rsid w:val="009B7B81"/>
    <w:rsid w:val="009B7BBB"/>
    <w:rsid w:val="009B7C1D"/>
    <w:rsid w:val="009B7C59"/>
    <w:rsid w:val="009B7D9E"/>
    <w:rsid w:val="009B7FA3"/>
    <w:rsid w:val="009C0017"/>
    <w:rsid w:val="009C0035"/>
    <w:rsid w:val="009C005B"/>
    <w:rsid w:val="009C0072"/>
    <w:rsid w:val="009C0092"/>
    <w:rsid w:val="009C013E"/>
    <w:rsid w:val="009C0173"/>
    <w:rsid w:val="009C0192"/>
    <w:rsid w:val="009C0324"/>
    <w:rsid w:val="009C0428"/>
    <w:rsid w:val="009C0462"/>
    <w:rsid w:val="009C04B2"/>
    <w:rsid w:val="009C0576"/>
    <w:rsid w:val="009C0627"/>
    <w:rsid w:val="009C0648"/>
    <w:rsid w:val="009C064D"/>
    <w:rsid w:val="009C06B4"/>
    <w:rsid w:val="009C0809"/>
    <w:rsid w:val="009C083E"/>
    <w:rsid w:val="009C0856"/>
    <w:rsid w:val="009C0979"/>
    <w:rsid w:val="009C0989"/>
    <w:rsid w:val="009C0A71"/>
    <w:rsid w:val="009C0B31"/>
    <w:rsid w:val="009C0BDE"/>
    <w:rsid w:val="009C0C41"/>
    <w:rsid w:val="009C0E0A"/>
    <w:rsid w:val="009C0E95"/>
    <w:rsid w:val="009C0EB0"/>
    <w:rsid w:val="009C0EE4"/>
    <w:rsid w:val="009C0F56"/>
    <w:rsid w:val="009C0F5C"/>
    <w:rsid w:val="009C10D9"/>
    <w:rsid w:val="009C1134"/>
    <w:rsid w:val="009C11B5"/>
    <w:rsid w:val="009C11C3"/>
    <w:rsid w:val="009C128C"/>
    <w:rsid w:val="009C12B9"/>
    <w:rsid w:val="009C12F8"/>
    <w:rsid w:val="009C1764"/>
    <w:rsid w:val="009C17CB"/>
    <w:rsid w:val="009C1936"/>
    <w:rsid w:val="009C19C0"/>
    <w:rsid w:val="009C1A60"/>
    <w:rsid w:val="009C1ADF"/>
    <w:rsid w:val="009C1B4E"/>
    <w:rsid w:val="009C1B6D"/>
    <w:rsid w:val="009C1BDA"/>
    <w:rsid w:val="009C1BE9"/>
    <w:rsid w:val="009C1D27"/>
    <w:rsid w:val="009C1EDE"/>
    <w:rsid w:val="009C202A"/>
    <w:rsid w:val="009C21C2"/>
    <w:rsid w:val="009C2583"/>
    <w:rsid w:val="009C259C"/>
    <w:rsid w:val="009C2613"/>
    <w:rsid w:val="009C261F"/>
    <w:rsid w:val="009C283A"/>
    <w:rsid w:val="009C297A"/>
    <w:rsid w:val="009C2A12"/>
    <w:rsid w:val="009C2C12"/>
    <w:rsid w:val="009C2C33"/>
    <w:rsid w:val="009C2C44"/>
    <w:rsid w:val="009C2C5D"/>
    <w:rsid w:val="009C2D72"/>
    <w:rsid w:val="009C2E25"/>
    <w:rsid w:val="009C300F"/>
    <w:rsid w:val="009C30A4"/>
    <w:rsid w:val="009C30E3"/>
    <w:rsid w:val="009C310D"/>
    <w:rsid w:val="009C326A"/>
    <w:rsid w:val="009C33B3"/>
    <w:rsid w:val="009C33CB"/>
    <w:rsid w:val="009C33FF"/>
    <w:rsid w:val="009C342A"/>
    <w:rsid w:val="009C359A"/>
    <w:rsid w:val="009C361E"/>
    <w:rsid w:val="009C366C"/>
    <w:rsid w:val="009C368F"/>
    <w:rsid w:val="009C3696"/>
    <w:rsid w:val="009C36BE"/>
    <w:rsid w:val="009C3791"/>
    <w:rsid w:val="009C38A3"/>
    <w:rsid w:val="009C38C0"/>
    <w:rsid w:val="009C3953"/>
    <w:rsid w:val="009C3CCD"/>
    <w:rsid w:val="009C3EAD"/>
    <w:rsid w:val="009C3EE3"/>
    <w:rsid w:val="009C3FD1"/>
    <w:rsid w:val="009C3FF0"/>
    <w:rsid w:val="009C40B4"/>
    <w:rsid w:val="009C40C6"/>
    <w:rsid w:val="009C40D6"/>
    <w:rsid w:val="009C4400"/>
    <w:rsid w:val="009C44F9"/>
    <w:rsid w:val="009C4507"/>
    <w:rsid w:val="009C452E"/>
    <w:rsid w:val="009C45F5"/>
    <w:rsid w:val="009C4622"/>
    <w:rsid w:val="009C469A"/>
    <w:rsid w:val="009C4796"/>
    <w:rsid w:val="009C4825"/>
    <w:rsid w:val="009C4860"/>
    <w:rsid w:val="009C48CD"/>
    <w:rsid w:val="009C48D4"/>
    <w:rsid w:val="009C48F2"/>
    <w:rsid w:val="009C4946"/>
    <w:rsid w:val="009C4A05"/>
    <w:rsid w:val="009C4A92"/>
    <w:rsid w:val="009C4B10"/>
    <w:rsid w:val="009C4BBA"/>
    <w:rsid w:val="009C4C2E"/>
    <w:rsid w:val="009C4D02"/>
    <w:rsid w:val="009C4D4F"/>
    <w:rsid w:val="009C4DF2"/>
    <w:rsid w:val="009C4FB4"/>
    <w:rsid w:val="009C5091"/>
    <w:rsid w:val="009C517A"/>
    <w:rsid w:val="009C5213"/>
    <w:rsid w:val="009C52A2"/>
    <w:rsid w:val="009C5423"/>
    <w:rsid w:val="009C54C5"/>
    <w:rsid w:val="009C5500"/>
    <w:rsid w:val="009C5566"/>
    <w:rsid w:val="009C55C7"/>
    <w:rsid w:val="009C565E"/>
    <w:rsid w:val="009C566A"/>
    <w:rsid w:val="009C571C"/>
    <w:rsid w:val="009C5731"/>
    <w:rsid w:val="009C574D"/>
    <w:rsid w:val="009C577C"/>
    <w:rsid w:val="009C5B4F"/>
    <w:rsid w:val="009C5BF3"/>
    <w:rsid w:val="009C5C78"/>
    <w:rsid w:val="009C5D49"/>
    <w:rsid w:val="009C5DA6"/>
    <w:rsid w:val="009C5DAE"/>
    <w:rsid w:val="009C5DB4"/>
    <w:rsid w:val="009C5E44"/>
    <w:rsid w:val="009C5F8F"/>
    <w:rsid w:val="009C60E3"/>
    <w:rsid w:val="009C60FB"/>
    <w:rsid w:val="009C612A"/>
    <w:rsid w:val="009C6275"/>
    <w:rsid w:val="009C62C8"/>
    <w:rsid w:val="009C630C"/>
    <w:rsid w:val="009C633F"/>
    <w:rsid w:val="009C6366"/>
    <w:rsid w:val="009C6465"/>
    <w:rsid w:val="009C650F"/>
    <w:rsid w:val="009C6520"/>
    <w:rsid w:val="009C6631"/>
    <w:rsid w:val="009C687D"/>
    <w:rsid w:val="009C6941"/>
    <w:rsid w:val="009C6954"/>
    <w:rsid w:val="009C6965"/>
    <w:rsid w:val="009C6BAE"/>
    <w:rsid w:val="009C6CAD"/>
    <w:rsid w:val="009C6E80"/>
    <w:rsid w:val="009C7041"/>
    <w:rsid w:val="009C7115"/>
    <w:rsid w:val="009C713A"/>
    <w:rsid w:val="009C71B9"/>
    <w:rsid w:val="009C71D5"/>
    <w:rsid w:val="009C71F7"/>
    <w:rsid w:val="009C7222"/>
    <w:rsid w:val="009C7228"/>
    <w:rsid w:val="009C7235"/>
    <w:rsid w:val="009C728D"/>
    <w:rsid w:val="009C72D3"/>
    <w:rsid w:val="009C7414"/>
    <w:rsid w:val="009C74BA"/>
    <w:rsid w:val="009C7556"/>
    <w:rsid w:val="009C78FE"/>
    <w:rsid w:val="009C791A"/>
    <w:rsid w:val="009C7D73"/>
    <w:rsid w:val="009C7E25"/>
    <w:rsid w:val="009C7E7B"/>
    <w:rsid w:val="009C7E8F"/>
    <w:rsid w:val="009C7FA8"/>
    <w:rsid w:val="009C7FB6"/>
    <w:rsid w:val="009D01F1"/>
    <w:rsid w:val="009D0267"/>
    <w:rsid w:val="009D02B1"/>
    <w:rsid w:val="009D02E3"/>
    <w:rsid w:val="009D02E7"/>
    <w:rsid w:val="009D0486"/>
    <w:rsid w:val="009D0504"/>
    <w:rsid w:val="009D063C"/>
    <w:rsid w:val="009D0668"/>
    <w:rsid w:val="009D0726"/>
    <w:rsid w:val="009D0C19"/>
    <w:rsid w:val="009D0CB6"/>
    <w:rsid w:val="009D0DAB"/>
    <w:rsid w:val="009D0DD7"/>
    <w:rsid w:val="009D1095"/>
    <w:rsid w:val="009D1106"/>
    <w:rsid w:val="009D11E2"/>
    <w:rsid w:val="009D12A3"/>
    <w:rsid w:val="009D12F6"/>
    <w:rsid w:val="009D131F"/>
    <w:rsid w:val="009D140D"/>
    <w:rsid w:val="009D158A"/>
    <w:rsid w:val="009D1616"/>
    <w:rsid w:val="009D1680"/>
    <w:rsid w:val="009D168A"/>
    <w:rsid w:val="009D17A0"/>
    <w:rsid w:val="009D180D"/>
    <w:rsid w:val="009D18A8"/>
    <w:rsid w:val="009D1A98"/>
    <w:rsid w:val="009D1B4E"/>
    <w:rsid w:val="009D1BDD"/>
    <w:rsid w:val="009D1D62"/>
    <w:rsid w:val="009D208D"/>
    <w:rsid w:val="009D2327"/>
    <w:rsid w:val="009D2387"/>
    <w:rsid w:val="009D23EB"/>
    <w:rsid w:val="009D2422"/>
    <w:rsid w:val="009D24A4"/>
    <w:rsid w:val="009D261F"/>
    <w:rsid w:val="009D2686"/>
    <w:rsid w:val="009D2687"/>
    <w:rsid w:val="009D282B"/>
    <w:rsid w:val="009D2886"/>
    <w:rsid w:val="009D2A97"/>
    <w:rsid w:val="009D2B50"/>
    <w:rsid w:val="009D2BF8"/>
    <w:rsid w:val="009D2C33"/>
    <w:rsid w:val="009D2CBE"/>
    <w:rsid w:val="009D2FD2"/>
    <w:rsid w:val="009D304A"/>
    <w:rsid w:val="009D3051"/>
    <w:rsid w:val="009D31CF"/>
    <w:rsid w:val="009D32F0"/>
    <w:rsid w:val="009D3390"/>
    <w:rsid w:val="009D33EB"/>
    <w:rsid w:val="009D3403"/>
    <w:rsid w:val="009D3491"/>
    <w:rsid w:val="009D355A"/>
    <w:rsid w:val="009D380F"/>
    <w:rsid w:val="009D3844"/>
    <w:rsid w:val="009D392E"/>
    <w:rsid w:val="009D3A95"/>
    <w:rsid w:val="009D3B5B"/>
    <w:rsid w:val="009D3BB9"/>
    <w:rsid w:val="009D3C0A"/>
    <w:rsid w:val="009D3C37"/>
    <w:rsid w:val="009D3C40"/>
    <w:rsid w:val="009D3C49"/>
    <w:rsid w:val="009D3C7F"/>
    <w:rsid w:val="009D3D4C"/>
    <w:rsid w:val="009D3E44"/>
    <w:rsid w:val="009D3F83"/>
    <w:rsid w:val="009D4076"/>
    <w:rsid w:val="009D40F2"/>
    <w:rsid w:val="009D4154"/>
    <w:rsid w:val="009D4558"/>
    <w:rsid w:val="009D4669"/>
    <w:rsid w:val="009D4678"/>
    <w:rsid w:val="009D486C"/>
    <w:rsid w:val="009D4888"/>
    <w:rsid w:val="009D48AA"/>
    <w:rsid w:val="009D48D3"/>
    <w:rsid w:val="009D499A"/>
    <w:rsid w:val="009D4A5F"/>
    <w:rsid w:val="009D4B4D"/>
    <w:rsid w:val="009D4B72"/>
    <w:rsid w:val="009D4D37"/>
    <w:rsid w:val="009D4D60"/>
    <w:rsid w:val="009D4D7F"/>
    <w:rsid w:val="009D4DA4"/>
    <w:rsid w:val="009D4DD2"/>
    <w:rsid w:val="009D4E0E"/>
    <w:rsid w:val="009D4E42"/>
    <w:rsid w:val="009D4F35"/>
    <w:rsid w:val="009D4FBC"/>
    <w:rsid w:val="009D50EB"/>
    <w:rsid w:val="009D513C"/>
    <w:rsid w:val="009D5173"/>
    <w:rsid w:val="009D5243"/>
    <w:rsid w:val="009D52F4"/>
    <w:rsid w:val="009D535D"/>
    <w:rsid w:val="009D5431"/>
    <w:rsid w:val="009D54BA"/>
    <w:rsid w:val="009D5526"/>
    <w:rsid w:val="009D5528"/>
    <w:rsid w:val="009D5672"/>
    <w:rsid w:val="009D567E"/>
    <w:rsid w:val="009D578F"/>
    <w:rsid w:val="009D57AB"/>
    <w:rsid w:val="009D58A5"/>
    <w:rsid w:val="009D59D1"/>
    <w:rsid w:val="009D59FC"/>
    <w:rsid w:val="009D5A13"/>
    <w:rsid w:val="009D5A4E"/>
    <w:rsid w:val="009D5A80"/>
    <w:rsid w:val="009D5D82"/>
    <w:rsid w:val="009D5F85"/>
    <w:rsid w:val="009D5F9B"/>
    <w:rsid w:val="009D5FA7"/>
    <w:rsid w:val="009D5FC8"/>
    <w:rsid w:val="009D6018"/>
    <w:rsid w:val="009D608D"/>
    <w:rsid w:val="009D60DB"/>
    <w:rsid w:val="009D612E"/>
    <w:rsid w:val="009D623A"/>
    <w:rsid w:val="009D626B"/>
    <w:rsid w:val="009D64FA"/>
    <w:rsid w:val="009D65E4"/>
    <w:rsid w:val="009D677F"/>
    <w:rsid w:val="009D68B6"/>
    <w:rsid w:val="009D6940"/>
    <w:rsid w:val="009D6B28"/>
    <w:rsid w:val="009D707D"/>
    <w:rsid w:val="009D7127"/>
    <w:rsid w:val="009D720A"/>
    <w:rsid w:val="009D7313"/>
    <w:rsid w:val="009D7523"/>
    <w:rsid w:val="009D7529"/>
    <w:rsid w:val="009D76F7"/>
    <w:rsid w:val="009D76FA"/>
    <w:rsid w:val="009D770C"/>
    <w:rsid w:val="009D7790"/>
    <w:rsid w:val="009D77AD"/>
    <w:rsid w:val="009D78D5"/>
    <w:rsid w:val="009D79B7"/>
    <w:rsid w:val="009D7A49"/>
    <w:rsid w:val="009D7CBD"/>
    <w:rsid w:val="009D7DA3"/>
    <w:rsid w:val="009D7EC3"/>
    <w:rsid w:val="009D7F11"/>
    <w:rsid w:val="009D7F1B"/>
    <w:rsid w:val="009D7F68"/>
    <w:rsid w:val="009D7FDD"/>
    <w:rsid w:val="009E002C"/>
    <w:rsid w:val="009E00CD"/>
    <w:rsid w:val="009E017C"/>
    <w:rsid w:val="009E0199"/>
    <w:rsid w:val="009E04A0"/>
    <w:rsid w:val="009E04A3"/>
    <w:rsid w:val="009E04E9"/>
    <w:rsid w:val="009E0641"/>
    <w:rsid w:val="009E0686"/>
    <w:rsid w:val="009E0687"/>
    <w:rsid w:val="009E0841"/>
    <w:rsid w:val="009E08EA"/>
    <w:rsid w:val="009E093A"/>
    <w:rsid w:val="009E095E"/>
    <w:rsid w:val="009E09C3"/>
    <w:rsid w:val="009E0B86"/>
    <w:rsid w:val="009E0D36"/>
    <w:rsid w:val="009E0DD8"/>
    <w:rsid w:val="009E101F"/>
    <w:rsid w:val="009E1147"/>
    <w:rsid w:val="009E124C"/>
    <w:rsid w:val="009E136C"/>
    <w:rsid w:val="009E14C8"/>
    <w:rsid w:val="009E14D5"/>
    <w:rsid w:val="009E14E8"/>
    <w:rsid w:val="009E1507"/>
    <w:rsid w:val="009E1604"/>
    <w:rsid w:val="009E16AA"/>
    <w:rsid w:val="009E1728"/>
    <w:rsid w:val="009E1AA5"/>
    <w:rsid w:val="009E1B4A"/>
    <w:rsid w:val="009E1CC8"/>
    <w:rsid w:val="009E1CDE"/>
    <w:rsid w:val="009E1FE0"/>
    <w:rsid w:val="009E227C"/>
    <w:rsid w:val="009E22AE"/>
    <w:rsid w:val="009E231C"/>
    <w:rsid w:val="009E2361"/>
    <w:rsid w:val="009E2448"/>
    <w:rsid w:val="009E248E"/>
    <w:rsid w:val="009E259B"/>
    <w:rsid w:val="009E25C8"/>
    <w:rsid w:val="009E2647"/>
    <w:rsid w:val="009E2795"/>
    <w:rsid w:val="009E2A11"/>
    <w:rsid w:val="009E2ACD"/>
    <w:rsid w:val="009E2B36"/>
    <w:rsid w:val="009E2BCC"/>
    <w:rsid w:val="009E2D71"/>
    <w:rsid w:val="009E2E15"/>
    <w:rsid w:val="009E2E7A"/>
    <w:rsid w:val="009E2EB4"/>
    <w:rsid w:val="009E2F00"/>
    <w:rsid w:val="009E2F7A"/>
    <w:rsid w:val="009E3052"/>
    <w:rsid w:val="009E308E"/>
    <w:rsid w:val="009E31CE"/>
    <w:rsid w:val="009E324D"/>
    <w:rsid w:val="009E3540"/>
    <w:rsid w:val="009E371E"/>
    <w:rsid w:val="009E378A"/>
    <w:rsid w:val="009E37F2"/>
    <w:rsid w:val="009E39A3"/>
    <w:rsid w:val="009E39B1"/>
    <w:rsid w:val="009E3A09"/>
    <w:rsid w:val="009E3AE4"/>
    <w:rsid w:val="009E3CA2"/>
    <w:rsid w:val="009E3CE2"/>
    <w:rsid w:val="009E3D73"/>
    <w:rsid w:val="009E3EA5"/>
    <w:rsid w:val="009E3F89"/>
    <w:rsid w:val="009E3FAF"/>
    <w:rsid w:val="009E3FF4"/>
    <w:rsid w:val="009E40F1"/>
    <w:rsid w:val="009E41B2"/>
    <w:rsid w:val="009E4270"/>
    <w:rsid w:val="009E42EA"/>
    <w:rsid w:val="009E4303"/>
    <w:rsid w:val="009E47B6"/>
    <w:rsid w:val="009E47B8"/>
    <w:rsid w:val="009E483D"/>
    <w:rsid w:val="009E49E1"/>
    <w:rsid w:val="009E4A38"/>
    <w:rsid w:val="009E4B13"/>
    <w:rsid w:val="009E4B48"/>
    <w:rsid w:val="009E4C86"/>
    <w:rsid w:val="009E4D18"/>
    <w:rsid w:val="009E4E72"/>
    <w:rsid w:val="009E4EE2"/>
    <w:rsid w:val="009E4F21"/>
    <w:rsid w:val="009E4F28"/>
    <w:rsid w:val="009E512F"/>
    <w:rsid w:val="009E514E"/>
    <w:rsid w:val="009E51EE"/>
    <w:rsid w:val="009E52BA"/>
    <w:rsid w:val="009E52CD"/>
    <w:rsid w:val="009E53FB"/>
    <w:rsid w:val="009E5496"/>
    <w:rsid w:val="009E550C"/>
    <w:rsid w:val="009E575B"/>
    <w:rsid w:val="009E577A"/>
    <w:rsid w:val="009E5809"/>
    <w:rsid w:val="009E58B6"/>
    <w:rsid w:val="009E591F"/>
    <w:rsid w:val="009E59E4"/>
    <w:rsid w:val="009E5A66"/>
    <w:rsid w:val="009E5B05"/>
    <w:rsid w:val="009E5B10"/>
    <w:rsid w:val="009E5BA4"/>
    <w:rsid w:val="009E5C6F"/>
    <w:rsid w:val="009E5C73"/>
    <w:rsid w:val="009E5DD3"/>
    <w:rsid w:val="009E5EBC"/>
    <w:rsid w:val="009E60F0"/>
    <w:rsid w:val="009E61C4"/>
    <w:rsid w:val="009E621F"/>
    <w:rsid w:val="009E6243"/>
    <w:rsid w:val="009E6309"/>
    <w:rsid w:val="009E63F1"/>
    <w:rsid w:val="009E6530"/>
    <w:rsid w:val="009E6566"/>
    <w:rsid w:val="009E67F8"/>
    <w:rsid w:val="009E6A2E"/>
    <w:rsid w:val="009E6A9C"/>
    <w:rsid w:val="009E6AF3"/>
    <w:rsid w:val="009E6BA3"/>
    <w:rsid w:val="009E6BD1"/>
    <w:rsid w:val="009E6C79"/>
    <w:rsid w:val="009E6C9F"/>
    <w:rsid w:val="009E6D26"/>
    <w:rsid w:val="009E6D8D"/>
    <w:rsid w:val="009E6DE0"/>
    <w:rsid w:val="009E6F6E"/>
    <w:rsid w:val="009E6FD5"/>
    <w:rsid w:val="009E72C1"/>
    <w:rsid w:val="009E73DF"/>
    <w:rsid w:val="009E74AD"/>
    <w:rsid w:val="009E762D"/>
    <w:rsid w:val="009E773B"/>
    <w:rsid w:val="009E774B"/>
    <w:rsid w:val="009E7805"/>
    <w:rsid w:val="009E7909"/>
    <w:rsid w:val="009E7B51"/>
    <w:rsid w:val="009E7BF6"/>
    <w:rsid w:val="009E7C15"/>
    <w:rsid w:val="009E7E62"/>
    <w:rsid w:val="009F00E9"/>
    <w:rsid w:val="009F010B"/>
    <w:rsid w:val="009F0168"/>
    <w:rsid w:val="009F01C8"/>
    <w:rsid w:val="009F01D0"/>
    <w:rsid w:val="009F0337"/>
    <w:rsid w:val="009F0377"/>
    <w:rsid w:val="009F0402"/>
    <w:rsid w:val="009F0413"/>
    <w:rsid w:val="009F0424"/>
    <w:rsid w:val="009F0602"/>
    <w:rsid w:val="009F06B1"/>
    <w:rsid w:val="009F06E1"/>
    <w:rsid w:val="009F074F"/>
    <w:rsid w:val="009F0792"/>
    <w:rsid w:val="009F0795"/>
    <w:rsid w:val="009F0842"/>
    <w:rsid w:val="009F0859"/>
    <w:rsid w:val="009F0906"/>
    <w:rsid w:val="009F094F"/>
    <w:rsid w:val="009F0CCD"/>
    <w:rsid w:val="009F0DD3"/>
    <w:rsid w:val="009F0EA4"/>
    <w:rsid w:val="009F0F7E"/>
    <w:rsid w:val="009F109A"/>
    <w:rsid w:val="009F10A6"/>
    <w:rsid w:val="009F11BA"/>
    <w:rsid w:val="009F1298"/>
    <w:rsid w:val="009F1355"/>
    <w:rsid w:val="009F13EA"/>
    <w:rsid w:val="009F13FD"/>
    <w:rsid w:val="009F158F"/>
    <w:rsid w:val="009F171B"/>
    <w:rsid w:val="009F17C6"/>
    <w:rsid w:val="009F1840"/>
    <w:rsid w:val="009F1A33"/>
    <w:rsid w:val="009F1AA1"/>
    <w:rsid w:val="009F1B86"/>
    <w:rsid w:val="009F1BCD"/>
    <w:rsid w:val="009F1D0B"/>
    <w:rsid w:val="009F1D98"/>
    <w:rsid w:val="009F1E06"/>
    <w:rsid w:val="009F1FA2"/>
    <w:rsid w:val="009F1FE1"/>
    <w:rsid w:val="009F214F"/>
    <w:rsid w:val="009F2221"/>
    <w:rsid w:val="009F2378"/>
    <w:rsid w:val="009F238F"/>
    <w:rsid w:val="009F2494"/>
    <w:rsid w:val="009F24B4"/>
    <w:rsid w:val="009F2520"/>
    <w:rsid w:val="009F290C"/>
    <w:rsid w:val="009F292A"/>
    <w:rsid w:val="009F2B37"/>
    <w:rsid w:val="009F2BC2"/>
    <w:rsid w:val="009F2CA4"/>
    <w:rsid w:val="009F2D1D"/>
    <w:rsid w:val="009F2D20"/>
    <w:rsid w:val="009F2D88"/>
    <w:rsid w:val="009F2DE4"/>
    <w:rsid w:val="009F2ED7"/>
    <w:rsid w:val="009F2EFD"/>
    <w:rsid w:val="009F3050"/>
    <w:rsid w:val="009F30B5"/>
    <w:rsid w:val="009F31F7"/>
    <w:rsid w:val="009F323E"/>
    <w:rsid w:val="009F328F"/>
    <w:rsid w:val="009F34BD"/>
    <w:rsid w:val="009F35CE"/>
    <w:rsid w:val="009F368C"/>
    <w:rsid w:val="009F36B2"/>
    <w:rsid w:val="009F37E5"/>
    <w:rsid w:val="009F38D3"/>
    <w:rsid w:val="009F397A"/>
    <w:rsid w:val="009F3BB8"/>
    <w:rsid w:val="009F3C14"/>
    <w:rsid w:val="009F3E4B"/>
    <w:rsid w:val="009F3FB2"/>
    <w:rsid w:val="009F3FE5"/>
    <w:rsid w:val="009F4076"/>
    <w:rsid w:val="009F40DB"/>
    <w:rsid w:val="009F42FD"/>
    <w:rsid w:val="009F430E"/>
    <w:rsid w:val="009F4338"/>
    <w:rsid w:val="009F451E"/>
    <w:rsid w:val="009F4547"/>
    <w:rsid w:val="009F4611"/>
    <w:rsid w:val="009F4637"/>
    <w:rsid w:val="009F4807"/>
    <w:rsid w:val="009F4816"/>
    <w:rsid w:val="009F4A43"/>
    <w:rsid w:val="009F4C5D"/>
    <w:rsid w:val="009F4D38"/>
    <w:rsid w:val="009F4DC8"/>
    <w:rsid w:val="009F4E38"/>
    <w:rsid w:val="009F4E3A"/>
    <w:rsid w:val="009F5031"/>
    <w:rsid w:val="009F511E"/>
    <w:rsid w:val="009F523A"/>
    <w:rsid w:val="009F52E8"/>
    <w:rsid w:val="009F53D0"/>
    <w:rsid w:val="009F53D3"/>
    <w:rsid w:val="009F549D"/>
    <w:rsid w:val="009F54AC"/>
    <w:rsid w:val="009F54BC"/>
    <w:rsid w:val="009F55D6"/>
    <w:rsid w:val="009F566C"/>
    <w:rsid w:val="009F56C8"/>
    <w:rsid w:val="009F5734"/>
    <w:rsid w:val="009F5852"/>
    <w:rsid w:val="009F5857"/>
    <w:rsid w:val="009F5A9E"/>
    <w:rsid w:val="009F5B1F"/>
    <w:rsid w:val="009F5BBB"/>
    <w:rsid w:val="009F5BC1"/>
    <w:rsid w:val="009F5CA0"/>
    <w:rsid w:val="009F5D03"/>
    <w:rsid w:val="009F5DA6"/>
    <w:rsid w:val="009F5EF5"/>
    <w:rsid w:val="009F5EFE"/>
    <w:rsid w:val="009F5FCD"/>
    <w:rsid w:val="009F60C0"/>
    <w:rsid w:val="009F6157"/>
    <w:rsid w:val="009F61ED"/>
    <w:rsid w:val="009F61F5"/>
    <w:rsid w:val="009F6327"/>
    <w:rsid w:val="009F64EE"/>
    <w:rsid w:val="009F650C"/>
    <w:rsid w:val="009F652C"/>
    <w:rsid w:val="009F6544"/>
    <w:rsid w:val="009F678E"/>
    <w:rsid w:val="009F6AC2"/>
    <w:rsid w:val="009F6BB5"/>
    <w:rsid w:val="009F6BD7"/>
    <w:rsid w:val="009F6C7A"/>
    <w:rsid w:val="009F6D7B"/>
    <w:rsid w:val="009F6D99"/>
    <w:rsid w:val="009F6D9F"/>
    <w:rsid w:val="009F6DCC"/>
    <w:rsid w:val="009F6EE5"/>
    <w:rsid w:val="009F6F10"/>
    <w:rsid w:val="009F6F98"/>
    <w:rsid w:val="009F6FE5"/>
    <w:rsid w:val="009F7048"/>
    <w:rsid w:val="009F7063"/>
    <w:rsid w:val="009F71E9"/>
    <w:rsid w:val="009F7232"/>
    <w:rsid w:val="009F7244"/>
    <w:rsid w:val="009F72CD"/>
    <w:rsid w:val="009F7489"/>
    <w:rsid w:val="009F7537"/>
    <w:rsid w:val="009F7563"/>
    <w:rsid w:val="009F77D1"/>
    <w:rsid w:val="009F79B7"/>
    <w:rsid w:val="009F7A17"/>
    <w:rsid w:val="009F7AA1"/>
    <w:rsid w:val="009F7C38"/>
    <w:rsid w:val="009F7CCB"/>
    <w:rsid w:val="009F7E25"/>
    <w:rsid w:val="009F7E7A"/>
    <w:rsid w:val="009F7E96"/>
    <w:rsid w:val="009F7F19"/>
    <w:rsid w:val="009F7F6F"/>
    <w:rsid w:val="00A00122"/>
    <w:rsid w:val="00A002DF"/>
    <w:rsid w:val="00A00326"/>
    <w:rsid w:val="00A00369"/>
    <w:rsid w:val="00A003C7"/>
    <w:rsid w:val="00A00499"/>
    <w:rsid w:val="00A004D3"/>
    <w:rsid w:val="00A00653"/>
    <w:rsid w:val="00A006A2"/>
    <w:rsid w:val="00A007A0"/>
    <w:rsid w:val="00A007C0"/>
    <w:rsid w:val="00A007D0"/>
    <w:rsid w:val="00A008D2"/>
    <w:rsid w:val="00A00992"/>
    <w:rsid w:val="00A00A12"/>
    <w:rsid w:val="00A00A89"/>
    <w:rsid w:val="00A00B2B"/>
    <w:rsid w:val="00A00C82"/>
    <w:rsid w:val="00A00E36"/>
    <w:rsid w:val="00A00EA9"/>
    <w:rsid w:val="00A00EEB"/>
    <w:rsid w:val="00A00EFF"/>
    <w:rsid w:val="00A00F01"/>
    <w:rsid w:val="00A00F39"/>
    <w:rsid w:val="00A00F85"/>
    <w:rsid w:val="00A00FA5"/>
    <w:rsid w:val="00A010A2"/>
    <w:rsid w:val="00A0112F"/>
    <w:rsid w:val="00A011B4"/>
    <w:rsid w:val="00A01212"/>
    <w:rsid w:val="00A0133A"/>
    <w:rsid w:val="00A01669"/>
    <w:rsid w:val="00A01672"/>
    <w:rsid w:val="00A01681"/>
    <w:rsid w:val="00A016A4"/>
    <w:rsid w:val="00A018DC"/>
    <w:rsid w:val="00A019C7"/>
    <w:rsid w:val="00A01A64"/>
    <w:rsid w:val="00A01B49"/>
    <w:rsid w:val="00A01C54"/>
    <w:rsid w:val="00A01DDE"/>
    <w:rsid w:val="00A01F1B"/>
    <w:rsid w:val="00A0203A"/>
    <w:rsid w:val="00A02155"/>
    <w:rsid w:val="00A0218A"/>
    <w:rsid w:val="00A024BB"/>
    <w:rsid w:val="00A0257F"/>
    <w:rsid w:val="00A025AA"/>
    <w:rsid w:val="00A02710"/>
    <w:rsid w:val="00A02806"/>
    <w:rsid w:val="00A02900"/>
    <w:rsid w:val="00A02A40"/>
    <w:rsid w:val="00A02AAC"/>
    <w:rsid w:val="00A02ABC"/>
    <w:rsid w:val="00A02AC8"/>
    <w:rsid w:val="00A02B0C"/>
    <w:rsid w:val="00A02BE8"/>
    <w:rsid w:val="00A02D20"/>
    <w:rsid w:val="00A02D4E"/>
    <w:rsid w:val="00A02D70"/>
    <w:rsid w:val="00A02D76"/>
    <w:rsid w:val="00A02E0A"/>
    <w:rsid w:val="00A02E98"/>
    <w:rsid w:val="00A02F0A"/>
    <w:rsid w:val="00A03073"/>
    <w:rsid w:val="00A0310D"/>
    <w:rsid w:val="00A03183"/>
    <w:rsid w:val="00A0330A"/>
    <w:rsid w:val="00A033A7"/>
    <w:rsid w:val="00A033BB"/>
    <w:rsid w:val="00A03542"/>
    <w:rsid w:val="00A03559"/>
    <w:rsid w:val="00A036C0"/>
    <w:rsid w:val="00A03715"/>
    <w:rsid w:val="00A038B2"/>
    <w:rsid w:val="00A03907"/>
    <w:rsid w:val="00A0399D"/>
    <w:rsid w:val="00A03A43"/>
    <w:rsid w:val="00A03BBC"/>
    <w:rsid w:val="00A03C95"/>
    <w:rsid w:val="00A03D33"/>
    <w:rsid w:val="00A03E14"/>
    <w:rsid w:val="00A03EE4"/>
    <w:rsid w:val="00A03EEC"/>
    <w:rsid w:val="00A03F16"/>
    <w:rsid w:val="00A04094"/>
    <w:rsid w:val="00A041C2"/>
    <w:rsid w:val="00A041F4"/>
    <w:rsid w:val="00A04233"/>
    <w:rsid w:val="00A042D4"/>
    <w:rsid w:val="00A04345"/>
    <w:rsid w:val="00A044EC"/>
    <w:rsid w:val="00A0456F"/>
    <w:rsid w:val="00A0462A"/>
    <w:rsid w:val="00A04755"/>
    <w:rsid w:val="00A04877"/>
    <w:rsid w:val="00A048C5"/>
    <w:rsid w:val="00A04933"/>
    <w:rsid w:val="00A049CE"/>
    <w:rsid w:val="00A04A94"/>
    <w:rsid w:val="00A04AF0"/>
    <w:rsid w:val="00A04C1D"/>
    <w:rsid w:val="00A04D0F"/>
    <w:rsid w:val="00A04D32"/>
    <w:rsid w:val="00A04D98"/>
    <w:rsid w:val="00A04E42"/>
    <w:rsid w:val="00A04E4D"/>
    <w:rsid w:val="00A04F56"/>
    <w:rsid w:val="00A04F92"/>
    <w:rsid w:val="00A04FB3"/>
    <w:rsid w:val="00A04FC6"/>
    <w:rsid w:val="00A05020"/>
    <w:rsid w:val="00A05160"/>
    <w:rsid w:val="00A05193"/>
    <w:rsid w:val="00A0527A"/>
    <w:rsid w:val="00A0537F"/>
    <w:rsid w:val="00A053AB"/>
    <w:rsid w:val="00A05753"/>
    <w:rsid w:val="00A057DB"/>
    <w:rsid w:val="00A05861"/>
    <w:rsid w:val="00A05A2D"/>
    <w:rsid w:val="00A05A7A"/>
    <w:rsid w:val="00A05AEC"/>
    <w:rsid w:val="00A05B6B"/>
    <w:rsid w:val="00A05BEF"/>
    <w:rsid w:val="00A05D75"/>
    <w:rsid w:val="00A05F67"/>
    <w:rsid w:val="00A06022"/>
    <w:rsid w:val="00A061F1"/>
    <w:rsid w:val="00A062D9"/>
    <w:rsid w:val="00A06578"/>
    <w:rsid w:val="00A0664D"/>
    <w:rsid w:val="00A066AF"/>
    <w:rsid w:val="00A066CE"/>
    <w:rsid w:val="00A066F4"/>
    <w:rsid w:val="00A0688A"/>
    <w:rsid w:val="00A068B0"/>
    <w:rsid w:val="00A068E5"/>
    <w:rsid w:val="00A068EE"/>
    <w:rsid w:val="00A069D4"/>
    <w:rsid w:val="00A06AEC"/>
    <w:rsid w:val="00A06BBF"/>
    <w:rsid w:val="00A06C28"/>
    <w:rsid w:val="00A06DDE"/>
    <w:rsid w:val="00A06E02"/>
    <w:rsid w:val="00A06FAA"/>
    <w:rsid w:val="00A070EE"/>
    <w:rsid w:val="00A07237"/>
    <w:rsid w:val="00A073F0"/>
    <w:rsid w:val="00A074DC"/>
    <w:rsid w:val="00A07614"/>
    <w:rsid w:val="00A076FD"/>
    <w:rsid w:val="00A07A32"/>
    <w:rsid w:val="00A07B3B"/>
    <w:rsid w:val="00A07B58"/>
    <w:rsid w:val="00A07CD2"/>
    <w:rsid w:val="00A07CDA"/>
    <w:rsid w:val="00A07DA1"/>
    <w:rsid w:val="00A07DF7"/>
    <w:rsid w:val="00A07E11"/>
    <w:rsid w:val="00A07EAD"/>
    <w:rsid w:val="00A10063"/>
    <w:rsid w:val="00A10104"/>
    <w:rsid w:val="00A1015F"/>
    <w:rsid w:val="00A10171"/>
    <w:rsid w:val="00A102CE"/>
    <w:rsid w:val="00A10358"/>
    <w:rsid w:val="00A10368"/>
    <w:rsid w:val="00A10475"/>
    <w:rsid w:val="00A1049F"/>
    <w:rsid w:val="00A10595"/>
    <w:rsid w:val="00A106C9"/>
    <w:rsid w:val="00A106D0"/>
    <w:rsid w:val="00A1077E"/>
    <w:rsid w:val="00A10845"/>
    <w:rsid w:val="00A10871"/>
    <w:rsid w:val="00A109AD"/>
    <w:rsid w:val="00A10BC8"/>
    <w:rsid w:val="00A10C94"/>
    <w:rsid w:val="00A10D97"/>
    <w:rsid w:val="00A10EA9"/>
    <w:rsid w:val="00A10F09"/>
    <w:rsid w:val="00A10F1C"/>
    <w:rsid w:val="00A10F6F"/>
    <w:rsid w:val="00A1106C"/>
    <w:rsid w:val="00A11181"/>
    <w:rsid w:val="00A113F2"/>
    <w:rsid w:val="00A114F3"/>
    <w:rsid w:val="00A1157B"/>
    <w:rsid w:val="00A115FB"/>
    <w:rsid w:val="00A11635"/>
    <w:rsid w:val="00A116F1"/>
    <w:rsid w:val="00A1172A"/>
    <w:rsid w:val="00A117C5"/>
    <w:rsid w:val="00A1186B"/>
    <w:rsid w:val="00A11882"/>
    <w:rsid w:val="00A1189F"/>
    <w:rsid w:val="00A11A49"/>
    <w:rsid w:val="00A11A59"/>
    <w:rsid w:val="00A11AF1"/>
    <w:rsid w:val="00A11B78"/>
    <w:rsid w:val="00A11C1B"/>
    <w:rsid w:val="00A11CBC"/>
    <w:rsid w:val="00A11CE4"/>
    <w:rsid w:val="00A11D22"/>
    <w:rsid w:val="00A11D5D"/>
    <w:rsid w:val="00A11D84"/>
    <w:rsid w:val="00A11DD8"/>
    <w:rsid w:val="00A11EF3"/>
    <w:rsid w:val="00A11FB7"/>
    <w:rsid w:val="00A11FCD"/>
    <w:rsid w:val="00A120D7"/>
    <w:rsid w:val="00A1221D"/>
    <w:rsid w:val="00A122FB"/>
    <w:rsid w:val="00A12313"/>
    <w:rsid w:val="00A12342"/>
    <w:rsid w:val="00A12361"/>
    <w:rsid w:val="00A125AE"/>
    <w:rsid w:val="00A12615"/>
    <w:rsid w:val="00A1265A"/>
    <w:rsid w:val="00A126BB"/>
    <w:rsid w:val="00A12729"/>
    <w:rsid w:val="00A12751"/>
    <w:rsid w:val="00A12806"/>
    <w:rsid w:val="00A128F1"/>
    <w:rsid w:val="00A12A36"/>
    <w:rsid w:val="00A12ADE"/>
    <w:rsid w:val="00A12BF2"/>
    <w:rsid w:val="00A12E07"/>
    <w:rsid w:val="00A12F9F"/>
    <w:rsid w:val="00A130BF"/>
    <w:rsid w:val="00A13111"/>
    <w:rsid w:val="00A13133"/>
    <w:rsid w:val="00A13175"/>
    <w:rsid w:val="00A131A5"/>
    <w:rsid w:val="00A131C2"/>
    <w:rsid w:val="00A1328A"/>
    <w:rsid w:val="00A132C4"/>
    <w:rsid w:val="00A136C9"/>
    <w:rsid w:val="00A136D7"/>
    <w:rsid w:val="00A1371E"/>
    <w:rsid w:val="00A13774"/>
    <w:rsid w:val="00A138EC"/>
    <w:rsid w:val="00A1390C"/>
    <w:rsid w:val="00A1391D"/>
    <w:rsid w:val="00A13AAE"/>
    <w:rsid w:val="00A13C21"/>
    <w:rsid w:val="00A13D13"/>
    <w:rsid w:val="00A13D9C"/>
    <w:rsid w:val="00A13DED"/>
    <w:rsid w:val="00A13DFD"/>
    <w:rsid w:val="00A13E99"/>
    <w:rsid w:val="00A13F62"/>
    <w:rsid w:val="00A1407A"/>
    <w:rsid w:val="00A141B9"/>
    <w:rsid w:val="00A14293"/>
    <w:rsid w:val="00A143D5"/>
    <w:rsid w:val="00A14439"/>
    <w:rsid w:val="00A14541"/>
    <w:rsid w:val="00A145F5"/>
    <w:rsid w:val="00A146E3"/>
    <w:rsid w:val="00A14711"/>
    <w:rsid w:val="00A1471F"/>
    <w:rsid w:val="00A14748"/>
    <w:rsid w:val="00A14769"/>
    <w:rsid w:val="00A14776"/>
    <w:rsid w:val="00A14A6B"/>
    <w:rsid w:val="00A14A87"/>
    <w:rsid w:val="00A14A8E"/>
    <w:rsid w:val="00A14C88"/>
    <w:rsid w:val="00A14DB4"/>
    <w:rsid w:val="00A14E5E"/>
    <w:rsid w:val="00A14E6F"/>
    <w:rsid w:val="00A14E8A"/>
    <w:rsid w:val="00A14F34"/>
    <w:rsid w:val="00A14F37"/>
    <w:rsid w:val="00A14F54"/>
    <w:rsid w:val="00A14F90"/>
    <w:rsid w:val="00A151F4"/>
    <w:rsid w:val="00A1537A"/>
    <w:rsid w:val="00A15429"/>
    <w:rsid w:val="00A1547C"/>
    <w:rsid w:val="00A1550D"/>
    <w:rsid w:val="00A1560F"/>
    <w:rsid w:val="00A15626"/>
    <w:rsid w:val="00A15763"/>
    <w:rsid w:val="00A157B2"/>
    <w:rsid w:val="00A15896"/>
    <w:rsid w:val="00A158FD"/>
    <w:rsid w:val="00A15A10"/>
    <w:rsid w:val="00A15E77"/>
    <w:rsid w:val="00A15E8C"/>
    <w:rsid w:val="00A15EC6"/>
    <w:rsid w:val="00A15F1B"/>
    <w:rsid w:val="00A15F28"/>
    <w:rsid w:val="00A160D9"/>
    <w:rsid w:val="00A16160"/>
    <w:rsid w:val="00A162F1"/>
    <w:rsid w:val="00A16405"/>
    <w:rsid w:val="00A16506"/>
    <w:rsid w:val="00A16538"/>
    <w:rsid w:val="00A165FC"/>
    <w:rsid w:val="00A1666A"/>
    <w:rsid w:val="00A1674C"/>
    <w:rsid w:val="00A167AC"/>
    <w:rsid w:val="00A16802"/>
    <w:rsid w:val="00A168A8"/>
    <w:rsid w:val="00A16CFA"/>
    <w:rsid w:val="00A170A5"/>
    <w:rsid w:val="00A170E4"/>
    <w:rsid w:val="00A1737A"/>
    <w:rsid w:val="00A17509"/>
    <w:rsid w:val="00A17539"/>
    <w:rsid w:val="00A1753B"/>
    <w:rsid w:val="00A17614"/>
    <w:rsid w:val="00A1764C"/>
    <w:rsid w:val="00A17673"/>
    <w:rsid w:val="00A17679"/>
    <w:rsid w:val="00A176A4"/>
    <w:rsid w:val="00A176DB"/>
    <w:rsid w:val="00A1776A"/>
    <w:rsid w:val="00A17823"/>
    <w:rsid w:val="00A178B5"/>
    <w:rsid w:val="00A179AB"/>
    <w:rsid w:val="00A17A1E"/>
    <w:rsid w:val="00A17A95"/>
    <w:rsid w:val="00A17B24"/>
    <w:rsid w:val="00A17B8D"/>
    <w:rsid w:val="00A17BAE"/>
    <w:rsid w:val="00A17C6F"/>
    <w:rsid w:val="00A17E0A"/>
    <w:rsid w:val="00A17E61"/>
    <w:rsid w:val="00A20207"/>
    <w:rsid w:val="00A2020D"/>
    <w:rsid w:val="00A20355"/>
    <w:rsid w:val="00A2047A"/>
    <w:rsid w:val="00A20535"/>
    <w:rsid w:val="00A2066A"/>
    <w:rsid w:val="00A206DB"/>
    <w:rsid w:val="00A2071A"/>
    <w:rsid w:val="00A2083D"/>
    <w:rsid w:val="00A20855"/>
    <w:rsid w:val="00A208F5"/>
    <w:rsid w:val="00A20A25"/>
    <w:rsid w:val="00A20A36"/>
    <w:rsid w:val="00A20A73"/>
    <w:rsid w:val="00A20AF1"/>
    <w:rsid w:val="00A20B8C"/>
    <w:rsid w:val="00A20BC4"/>
    <w:rsid w:val="00A20CAC"/>
    <w:rsid w:val="00A20D4A"/>
    <w:rsid w:val="00A20E0A"/>
    <w:rsid w:val="00A20EE0"/>
    <w:rsid w:val="00A20F03"/>
    <w:rsid w:val="00A20F5A"/>
    <w:rsid w:val="00A21090"/>
    <w:rsid w:val="00A21149"/>
    <w:rsid w:val="00A211A4"/>
    <w:rsid w:val="00A21327"/>
    <w:rsid w:val="00A21439"/>
    <w:rsid w:val="00A2152A"/>
    <w:rsid w:val="00A215FE"/>
    <w:rsid w:val="00A21757"/>
    <w:rsid w:val="00A21763"/>
    <w:rsid w:val="00A217CD"/>
    <w:rsid w:val="00A219F8"/>
    <w:rsid w:val="00A21A72"/>
    <w:rsid w:val="00A21C01"/>
    <w:rsid w:val="00A21D2A"/>
    <w:rsid w:val="00A21D4A"/>
    <w:rsid w:val="00A21DF7"/>
    <w:rsid w:val="00A21E4B"/>
    <w:rsid w:val="00A21E8B"/>
    <w:rsid w:val="00A21EA2"/>
    <w:rsid w:val="00A21EB3"/>
    <w:rsid w:val="00A21F13"/>
    <w:rsid w:val="00A221FB"/>
    <w:rsid w:val="00A22246"/>
    <w:rsid w:val="00A223B5"/>
    <w:rsid w:val="00A22403"/>
    <w:rsid w:val="00A224A0"/>
    <w:rsid w:val="00A225C4"/>
    <w:rsid w:val="00A227A3"/>
    <w:rsid w:val="00A227C2"/>
    <w:rsid w:val="00A228CF"/>
    <w:rsid w:val="00A22A77"/>
    <w:rsid w:val="00A22B31"/>
    <w:rsid w:val="00A22D57"/>
    <w:rsid w:val="00A22D81"/>
    <w:rsid w:val="00A22EBB"/>
    <w:rsid w:val="00A22ED2"/>
    <w:rsid w:val="00A22EEA"/>
    <w:rsid w:val="00A22F9B"/>
    <w:rsid w:val="00A22FFB"/>
    <w:rsid w:val="00A23024"/>
    <w:rsid w:val="00A231A0"/>
    <w:rsid w:val="00A231A2"/>
    <w:rsid w:val="00A2325A"/>
    <w:rsid w:val="00A232CB"/>
    <w:rsid w:val="00A23333"/>
    <w:rsid w:val="00A23510"/>
    <w:rsid w:val="00A2358C"/>
    <w:rsid w:val="00A235D3"/>
    <w:rsid w:val="00A23745"/>
    <w:rsid w:val="00A23A55"/>
    <w:rsid w:val="00A23BEE"/>
    <w:rsid w:val="00A23C36"/>
    <w:rsid w:val="00A23C76"/>
    <w:rsid w:val="00A23CE4"/>
    <w:rsid w:val="00A23CFB"/>
    <w:rsid w:val="00A23D09"/>
    <w:rsid w:val="00A23DEE"/>
    <w:rsid w:val="00A23EC8"/>
    <w:rsid w:val="00A23F43"/>
    <w:rsid w:val="00A23FD7"/>
    <w:rsid w:val="00A2411F"/>
    <w:rsid w:val="00A24199"/>
    <w:rsid w:val="00A24246"/>
    <w:rsid w:val="00A242B4"/>
    <w:rsid w:val="00A242E8"/>
    <w:rsid w:val="00A2433F"/>
    <w:rsid w:val="00A24581"/>
    <w:rsid w:val="00A24747"/>
    <w:rsid w:val="00A2474F"/>
    <w:rsid w:val="00A24792"/>
    <w:rsid w:val="00A247AB"/>
    <w:rsid w:val="00A248E9"/>
    <w:rsid w:val="00A24A69"/>
    <w:rsid w:val="00A24B04"/>
    <w:rsid w:val="00A24D6F"/>
    <w:rsid w:val="00A24DD6"/>
    <w:rsid w:val="00A24E2B"/>
    <w:rsid w:val="00A24F06"/>
    <w:rsid w:val="00A24F71"/>
    <w:rsid w:val="00A25042"/>
    <w:rsid w:val="00A25194"/>
    <w:rsid w:val="00A25247"/>
    <w:rsid w:val="00A25257"/>
    <w:rsid w:val="00A2536C"/>
    <w:rsid w:val="00A253B1"/>
    <w:rsid w:val="00A253BD"/>
    <w:rsid w:val="00A25445"/>
    <w:rsid w:val="00A2549A"/>
    <w:rsid w:val="00A2557C"/>
    <w:rsid w:val="00A255F4"/>
    <w:rsid w:val="00A2580E"/>
    <w:rsid w:val="00A2582B"/>
    <w:rsid w:val="00A258A9"/>
    <w:rsid w:val="00A25B12"/>
    <w:rsid w:val="00A25C20"/>
    <w:rsid w:val="00A25C3E"/>
    <w:rsid w:val="00A25E5E"/>
    <w:rsid w:val="00A25E8A"/>
    <w:rsid w:val="00A25ED4"/>
    <w:rsid w:val="00A25EFA"/>
    <w:rsid w:val="00A25F8A"/>
    <w:rsid w:val="00A2608C"/>
    <w:rsid w:val="00A26364"/>
    <w:rsid w:val="00A264FE"/>
    <w:rsid w:val="00A2659D"/>
    <w:rsid w:val="00A2674F"/>
    <w:rsid w:val="00A26773"/>
    <w:rsid w:val="00A26969"/>
    <w:rsid w:val="00A26AF2"/>
    <w:rsid w:val="00A26C47"/>
    <w:rsid w:val="00A26C8D"/>
    <w:rsid w:val="00A26D24"/>
    <w:rsid w:val="00A26DC5"/>
    <w:rsid w:val="00A26E0E"/>
    <w:rsid w:val="00A26E1F"/>
    <w:rsid w:val="00A26E72"/>
    <w:rsid w:val="00A26F93"/>
    <w:rsid w:val="00A26FED"/>
    <w:rsid w:val="00A2733E"/>
    <w:rsid w:val="00A27440"/>
    <w:rsid w:val="00A27812"/>
    <w:rsid w:val="00A27897"/>
    <w:rsid w:val="00A27922"/>
    <w:rsid w:val="00A2797B"/>
    <w:rsid w:val="00A27986"/>
    <w:rsid w:val="00A27A06"/>
    <w:rsid w:val="00A27AC0"/>
    <w:rsid w:val="00A27AFA"/>
    <w:rsid w:val="00A27B32"/>
    <w:rsid w:val="00A27BB5"/>
    <w:rsid w:val="00A27C6B"/>
    <w:rsid w:val="00A27CC6"/>
    <w:rsid w:val="00A27E52"/>
    <w:rsid w:val="00A27EB9"/>
    <w:rsid w:val="00A27F3E"/>
    <w:rsid w:val="00A27F80"/>
    <w:rsid w:val="00A3007B"/>
    <w:rsid w:val="00A300E7"/>
    <w:rsid w:val="00A3010E"/>
    <w:rsid w:val="00A30384"/>
    <w:rsid w:val="00A30404"/>
    <w:rsid w:val="00A30478"/>
    <w:rsid w:val="00A305A3"/>
    <w:rsid w:val="00A30651"/>
    <w:rsid w:val="00A30685"/>
    <w:rsid w:val="00A3070B"/>
    <w:rsid w:val="00A307C3"/>
    <w:rsid w:val="00A3081D"/>
    <w:rsid w:val="00A308DD"/>
    <w:rsid w:val="00A30922"/>
    <w:rsid w:val="00A3098A"/>
    <w:rsid w:val="00A309C6"/>
    <w:rsid w:val="00A30A41"/>
    <w:rsid w:val="00A30DE9"/>
    <w:rsid w:val="00A30E0D"/>
    <w:rsid w:val="00A30E43"/>
    <w:rsid w:val="00A30E99"/>
    <w:rsid w:val="00A30FB7"/>
    <w:rsid w:val="00A3100A"/>
    <w:rsid w:val="00A3114B"/>
    <w:rsid w:val="00A31212"/>
    <w:rsid w:val="00A31219"/>
    <w:rsid w:val="00A31260"/>
    <w:rsid w:val="00A312B2"/>
    <w:rsid w:val="00A31346"/>
    <w:rsid w:val="00A313BD"/>
    <w:rsid w:val="00A3157C"/>
    <w:rsid w:val="00A315D0"/>
    <w:rsid w:val="00A31853"/>
    <w:rsid w:val="00A31868"/>
    <w:rsid w:val="00A3186E"/>
    <w:rsid w:val="00A318A5"/>
    <w:rsid w:val="00A319C3"/>
    <w:rsid w:val="00A31A38"/>
    <w:rsid w:val="00A31C2F"/>
    <w:rsid w:val="00A31CDF"/>
    <w:rsid w:val="00A31CEE"/>
    <w:rsid w:val="00A31D42"/>
    <w:rsid w:val="00A31F83"/>
    <w:rsid w:val="00A31FC8"/>
    <w:rsid w:val="00A320DB"/>
    <w:rsid w:val="00A320F5"/>
    <w:rsid w:val="00A322C4"/>
    <w:rsid w:val="00A32341"/>
    <w:rsid w:val="00A3239B"/>
    <w:rsid w:val="00A32578"/>
    <w:rsid w:val="00A32592"/>
    <w:rsid w:val="00A325C4"/>
    <w:rsid w:val="00A325EC"/>
    <w:rsid w:val="00A3261B"/>
    <w:rsid w:val="00A3269D"/>
    <w:rsid w:val="00A3278E"/>
    <w:rsid w:val="00A327D7"/>
    <w:rsid w:val="00A327F7"/>
    <w:rsid w:val="00A32805"/>
    <w:rsid w:val="00A328BD"/>
    <w:rsid w:val="00A329F9"/>
    <w:rsid w:val="00A32AA7"/>
    <w:rsid w:val="00A32B5E"/>
    <w:rsid w:val="00A32CF2"/>
    <w:rsid w:val="00A32DDB"/>
    <w:rsid w:val="00A32E60"/>
    <w:rsid w:val="00A32EB0"/>
    <w:rsid w:val="00A32F11"/>
    <w:rsid w:val="00A32F30"/>
    <w:rsid w:val="00A330AA"/>
    <w:rsid w:val="00A3311B"/>
    <w:rsid w:val="00A3329A"/>
    <w:rsid w:val="00A33351"/>
    <w:rsid w:val="00A33405"/>
    <w:rsid w:val="00A3343E"/>
    <w:rsid w:val="00A334FD"/>
    <w:rsid w:val="00A3350E"/>
    <w:rsid w:val="00A33629"/>
    <w:rsid w:val="00A33670"/>
    <w:rsid w:val="00A3372A"/>
    <w:rsid w:val="00A3382F"/>
    <w:rsid w:val="00A33845"/>
    <w:rsid w:val="00A338A1"/>
    <w:rsid w:val="00A338F3"/>
    <w:rsid w:val="00A3390D"/>
    <w:rsid w:val="00A33975"/>
    <w:rsid w:val="00A33A9C"/>
    <w:rsid w:val="00A33C34"/>
    <w:rsid w:val="00A33C6A"/>
    <w:rsid w:val="00A33CCE"/>
    <w:rsid w:val="00A33F72"/>
    <w:rsid w:val="00A33FDE"/>
    <w:rsid w:val="00A3421F"/>
    <w:rsid w:val="00A34269"/>
    <w:rsid w:val="00A34271"/>
    <w:rsid w:val="00A342CD"/>
    <w:rsid w:val="00A342FA"/>
    <w:rsid w:val="00A3436F"/>
    <w:rsid w:val="00A34370"/>
    <w:rsid w:val="00A3441C"/>
    <w:rsid w:val="00A34655"/>
    <w:rsid w:val="00A34691"/>
    <w:rsid w:val="00A349E8"/>
    <w:rsid w:val="00A34A05"/>
    <w:rsid w:val="00A34A75"/>
    <w:rsid w:val="00A34B29"/>
    <w:rsid w:val="00A34B39"/>
    <w:rsid w:val="00A34BAB"/>
    <w:rsid w:val="00A34C6A"/>
    <w:rsid w:val="00A34EDB"/>
    <w:rsid w:val="00A34FC2"/>
    <w:rsid w:val="00A350B9"/>
    <w:rsid w:val="00A3539F"/>
    <w:rsid w:val="00A35431"/>
    <w:rsid w:val="00A35451"/>
    <w:rsid w:val="00A355AC"/>
    <w:rsid w:val="00A356CA"/>
    <w:rsid w:val="00A357AD"/>
    <w:rsid w:val="00A357C7"/>
    <w:rsid w:val="00A35992"/>
    <w:rsid w:val="00A35AE4"/>
    <w:rsid w:val="00A35AEC"/>
    <w:rsid w:val="00A35C2A"/>
    <w:rsid w:val="00A35D32"/>
    <w:rsid w:val="00A35DC2"/>
    <w:rsid w:val="00A35DE7"/>
    <w:rsid w:val="00A35E65"/>
    <w:rsid w:val="00A35EA4"/>
    <w:rsid w:val="00A35FB5"/>
    <w:rsid w:val="00A35FEA"/>
    <w:rsid w:val="00A36106"/>
    <w:rsid w:val="00A36122"/>
    <w:rsid w:val="00A3613E"/>
    <w:rsid w:val="00A3614C"/>
    <w:rsid w:val="00A362F6"/>
    <w:rsid w:val="00A363BE"/>
    <w:rsid w:val="00A363E5"/>
    <w:rsid w:val="00A363E7"/>
    <w:rsid w:val="00A36405"/>
    <w:rsid w:val="00A36426"/>
    <w:rsid w:val="00A364CA"/>
    <w:rsid w:val="00A36517"/>
    <w:rsid w:val="00A36597"/>
    <w:rsid w:val="00A366C2"/>
    <w:rsid w:val="00A3679E"/>
    <w:rsid w:val="00A36C16"/>
    <w:rsid w:val="00A36CC7"/>
    <w:rsid w:val="00A36D44"/>
    <w:rsid w:val="00A36E54"/>
    <w:rsid w:val="00A36E8B"/>
    <w:rsid w:val="00A37095"/>
    <w:rsid w:val="00A370F1"/>
    <w:rsid w:val="00A37153"/>
    <w:rsid w:val="00A37189"/>
    <w:rsid w:val="00A371FB"/>
    <w:rsid w:val="00A37410"/>
    <w:rsid w:val="00A374F7"/>
    <w:rsid w:val="00A3750F"/>
    <w:rsid w:val="00A375D9"/>
    <w:rsid w:val="00A37616"/>
    <w:rsid w:val="00A376F6"/>
    <w:rsid w:val="00A37747"/>
    <w:rsid w:val="00A37865"/>
    <w:rsid w:val="00A3797A"/>
    <w:rsid w:val="00A379B2"/>
    <w:rsid w:val="00A37A5E"/>
    <w:rsid w:val="00A37A80"/>
    <w:rsid w:val="00A37B4C"/>
    <w:rsid w:val="00A37C6B"/>
    <w:rsid w:val="00A37D7D"/>
    <w:rsid w:val="00A37E99"/>
    <w:rsid w:val="00A37F1B"/>
    <w:rsid w:val="00A401B8"/>
    <w:rsid w:val="00A4029E"/>
    <w:rsid w:val="00A403A6"/>
    <w:rsid w:val="00A4052B"/>
    <w:rsid w:val="00A405C2"/>
    <w:rsid w:val="00A407A6"/>
    <w:rsid w:val="00A407BB"/>
    <w:rsid w:val="00A4083F"/>
    <w:rsid w:val="00A408CE"/>
    <w:rsid w:val="00A408EB"/>
    <w:rsid w:val="00A408F4"/>
    <w:rsid w:val="00A408FB"/>
    <w:rsid w:val="00A409B2"/>
    <w:rsid w:val="00A40B9B"/>
    <w:rsid w:val="00A40BDA"/>
    <w:rsid w:val="00A40CD9"/>
    <w:rsid w:val="00A40E00"/>
    <w:rsid w:val="00A40EDD"/>
    <w:rsid w:val="00A41295"/>
    <w:rsid w:val="00A412FF"/>
    <w:rsid w:val="00A41327"/>
    <w:rsid w:val="00A41373"/>
    <w:rsid w:val="00A413F4"/>
    <w:rsid w:val="00A41424"/>
    <w:rsid w:val="00A414D6"/>
    <w:rsid w:val="00A4155A"/>
    <w:rsid w:val="00A415D8"/>
    <w:rsid w:val="00A417D4"/>
    <w:rsid w:val="00A418B4"/>
    <w:rsid w:val="00A41920"/>
    <w:rsid w:val="00A41AA5"/>
    <w:rsid w:val="00A41AB0"/>
    <w:rsid w:val="00A41ABF"/>
    <w:rsid w:val="00A41B83"/>
    <w:rsid w:val="00A41BAE"/>
    <w:rsid w:val="00A41BE0"/>
    <w:rsid w:val="00A41C91"/>
    <w:rsid w:val="00A41D06"/>
    <w:rsid w:val="00A41DCD"/>
    <w:rsid w:val="00A41EB0"/>
    <w:rsid w:val="00A41EEB"/>
    <w:rsid w:val="00A41EF9"/>
    <w:rsid w:val="00A41EFF"/>
    <w:rsid w:val="00A41F81"/>
    <w:rsid w:val="00A420BE"/>
    <w:rsid w:val="00A420DE"/>
    <w:rsid w:val="00A421FE"/>
    <w:rsid w:val="00A422EB"/>
    <w:rsid w:val="00A42552"/>
    <w:rsid w:val="00A42665"/>
    <w:rsid w:val="00A426C9"/>
    <w:rsid w:val="00A42740"/>
    <w:rsid w:val="00A427CF"/>
    <w:rsid w:val="00A428F3"/>
    <w:rsid w:val="00A42961"/>
    <w:rsid w:val="00A42A1A"/>
    <w:rsid w:val="00A42BB3"/>
    <w:rsid w:val="00A42BDB"/>
    <w:rsid w:val="00A42BFE"/>
    <w:rsid w:val="00A42C9E"/>
    <w:rsid w:val="00A42DB3"/>
    <w:rsid w:val="00A42DB5"/>
    <w:rsid w:val="00A42E03"/>
    <w:rsid w:val="00A42E1C"/>
    <w:rsid w:val="00A42E69"/>
    <w:rsid w:val="00A42EBE"/>
    <w:rsid w:val="00A42F16"/>
    <w:rsid w:val="00A42F1F"/>
    <w:rsid w:val="00A43032"/>
    <w:rsid w:val="00A431A5"/>
    <w:rsid w:val="00A431CA"/>
    <w:rsid w:val="00A431EB"/>
    <w:rsid w:val="00A431EE"/>
    <w:rsid w:val="00A43236"/>
    <w:rsid w:val="00A432B4"/>
    <w:rsid w:val="00A432F7"/>
    <w:rsid w:val="00A4330A"/>
    <w:rsid w:val="00A4332D"/>
    <w:rsid w:val="00A434F4"/>
    <w:rsid w:val="00A436D2"/>
    <w:rsid w:val="00A43798"/>
    <w:rsid w:val="00A4385F"/>
    <w:rsid w:val="00A438A2"/>
    <w:rsid w:val="00A438B3"/>
    <w:rsid w:val="00A43959"/>
    <w:rsid w:val="00A43A4A"/>
    <w:rsid w:val="00A43ABB"/>
    <w:rsid w:val="00A43C1C"/>
    <w:rsid w:val="00A43CB7"/>
    <w:rsid w:val="00A43CDE"/>
    <w:rsid w:val="00A43DA3"/>
    <w:rsid w:val="00A43E80"/>
    <w:rsid w:val="00A43E87"/>
    <w:rsid w:val="00A43EDA"/>
    <w:rsid w:val="00A43F2E"/>
    <w:rsid w:val="00A43F49"/>
    <w:rsid w:val="00A44058"/>
    <w:rsid w:val="00A44070"/>
    <w:rsid w:val="00A44118"/>
    <w:rsid w:val="00A44191"/>
    <w:rsid w:val="00A44362"/>
    <w:rsid w:val="00A443B4"/>
    <w:rsid w:val="00A443C8"/>
    <w:rsid w:val="00A443E6"/>
    <w:rsid w:val="00A44405"/>
    <w:rsid w:val="00A444CC"/>
    <w:rsid w:val="00A445E7"/>
    <w:rsid w:val="00A44678"/>
    <w:rsid w:val="00A44731"/>
    <w:rsid w:val="00A4474C"/>
    <w:rsid w:val="00A447C0"/>
    <w:rsid w:val="00A448BD"/>
    <w:rsid w:val="00A44913"/>
    <w:rsid w:val="00A44914"/>
    <w:rsid w:val="00A4495F"/>
    <w:rsid w:val="00A44A39"/>
    <w:rsid w:val="00A44AAB"/>
    <w:rsid w:val="00A44AD0"/>
    <w:rsid w:val="00A44C12"/>
    <w:rsid w:val="00A44C28"/>
    <w:rsid w:val="00A44CC7"/>
    <w:rsid w:val="00A44EE1"/>
    <w:rsid w:val="00A44F23"/>
    <w:rsid w:val="00A44F4C"/>
    <w:rsid w:val="00A44F54"/>
    <w:rsid w:val="00A45076"/>
    <w:rsid w:val="00A4511D"/>
    <w:rsid w:val="00A4528A"/>
    <w:rsid w:val="00A4542D"/>
    <w:rsid w:val="00A45528"/>
    <w:rsid w:val="00A455FD"/>
    <w:rsid w:val="00A45607"/>
    <w:rsid w:val="00A4563C"/>
    <w:rsid w:val="00A45661"/>
    <w:rsid w:val="00A4567A"/>
    <w:rsid w:val="00A4568D"/>
    <w:rsid w:val="00A456BC"/>
    <w:rsid w:val="00A4586A"/>
    <w:rsid w:val="00A4587D"/>
    <w:rsid w:val="00A45900"/>
    <w:rsid w:val="00A4597A"/>
    <w:rsid w:val="00A459BD"/>
    <w:rsid w:val="00A45A90"/>
    <w:rsid w:val="00A45B5C"/>
    <w:rsid w:val="00A45C16"/>
    <w:rsid w:val="00A45D6E"/>
    <w:rsid w:val="00A45D7A"/>
    <w:rsid w:val="00A45E5A"/>
    <w:rsid w:val="00A45E83"/>
    <w:rsid w:val="00A45F01"/>
    <w:rsid w:val="00A460DF"/>
    <w:rsid w:val="00A4612E"/>
    <w:rsid w:val="00A46171"/>
    <w:rsid w:val="00A462CA"/>
    <w:rsid w:val="00A463DB"/>
    <w:rsid w:val="00A46420"/>
    <w:rsid w:val="00A464BA"/>
    <w:rsid w:val="00A465C1"/>
    <w:rsid w:val="00A46816"/>
    <w:rsid w:val="00A468B5"/>
    <w:rsid w:val="00A468D7"/>
    <w:rsid w:val="00A46938"/>
    <w:rsid w:val="00A469F9"/>
    <w:rsid w:val="00A46A29"/>
    <w:rsid w:val="00A46A3E"/>
    <w:rsid w:val="00A46A91"/>
    <w:rsid w:val="00A46B6D"/>
    <w:rsid w:val="00A46B79"/>
    <w:rsid w:val="00A46C5A"/>
    <w:rsid w:val="00A46C84"/>
    <w:rsid w:val="00A46CAD"/>
    <w:rsid w:val="00A46F2E"/>
    <w:rsid w:val="00A46F4D"/>
    <w:rsid w:val="00A46F52"/>
    <w:rsid w:val="00A47281"/>
    <w:rsid w:val="00A472CE"/>
    <w:rsid w:val="00A47303"/>
    <w:rsid w:val="00A473AC"/>
    <w:rsid w:val="00A4766B"/>
    <w:rsid w:val="00A47724"/>
    <w:rsid w:val="00A477B7"/>
    <w:rsid w:val="00A477E3"/>
    <w:rsid w:val="00A47899"/>
    <w:rsid w:val="00A47931"/>
    <w:rsid w:val="00A47A20"/>
    <w:rsid w:val="00A47A5D"/>
    <w:rsid w:val="00A47A62"/>
    <w:rsid w:val="00A47D6C"/>
    <w:rsid w:val="00A47E4C"/>
    <w:rsid w:val="00A50048"/>
    <w:rsid w:val="00A500A5"/>
    <w:rsid w:val="00A500B1"/>
    <w:rsid w:val="00A500FE"/>
    <w:rsid w:val="00A5015B"/>
    <w:rsid w:val="00A5030D"/>
    <w:rsid w:val="00A505C1"/>
    <w:rsid w:val="00A505E0"/>
    <w:rsid w:val="00A50650"/>
    <w:rsid w:val="00A50704"/>
    <w:rsid w:val="00A50862"/>
    <w:rsid w:val="00A5086F"/>
    <w:rsid w:val="00A5094E"/>
    <w:rsid w:val="00A50BF2"/>
    <w:rsid w:val="00A50C3B"/>
    <w:rsid w:val="00A50CC4"/>
    <w:rsid w:val="00A50D1E"/>
    <w:rsid w:val="00A50F0E"/>
    <w:rsid w:val="00A51098"/>
    <w:rsid w:val="00A51105"/>
    <w:rsid w:val="00A51146"/>
    <w:rsid w:val="00A513A7"/>
    <w:rsid w:val="00A514D4"/>
    <w:rsid w:val="00A514DB"/>
    <w:rsid w:val="00A51507"/>
    <w:rsid w:val="00A51596"/>
    <w:rsid w:val="00A5186C"/>
    <w:rsid w:val="00A51967"/>
    <w:rsid w:val="00A51B29"/>
    <w:rsid w:val="00A51B4A"/>
    <w:rsid w:val="00A51BEE"/>
    <w:rsid w:val="00A51C0D"/>
    <w:rsid w:val="00A51C18"/>
    <w:rsid w:val="00A51CD3"/>
    <w:rsid w:val="00A51D9E"/>
    <w:rsid w:val="00A51DAE"/>
    <w:rsid w:val="00A51FFF"/>
    <w:rsid w:val="00A52133"/>
    <w:rsid w:val="00A52139"/>
    <w:rsid w:val="00A52165"/>
    <w:rsid w:val="00A52249"/>
    <w:rsid w:val="00A5247E"/>
    <w:rsid w:val="00A52793"/>
    <w:rsid w:val="00A527CB"/>
    <w:rsid w:val="00A52864"/>
    <w:rsid w:val="00A529DD"/>
    <w:rsid w:val="00A52AC1"/>
    <w:rsid w:val="00A52C8F"/>
    <w:rsid w:val="00A52CC6"/>
    <w:rsid w:val="00A52D22"/>
    <w:rsid w:val="00A52D38"/>
    <w:rsid w:val="00A52E37"/>
    <w:rsid w:val="00A52E90"/>
    <w:rsid w:val="00A5301D"/>
    <w:rsid w:val="00A530AE"/>
    <w:rsid w:val="00A5316D"/>
    <w:rsid w:val="00A532C7"/>
    <w:rsid w:val="00A53306"/>
    <w:rsid w:val="00A53341"/>
    <w:rsid w:val="00A53433"/>
    <w:rsid w:val="00A534A7"/>
    <w:rsid w:val="00A53519"/>
    <w:rsid w:val="00A535B8"/>
    <w:rsid w:val="00A535E3"/>
    <w:rsid w:val="00A53631"/>
    <w:rsid w:val="00A536E6"/>
    <w:rsid w:val="00A537CA"/>
    <w:rsid w:val="00A537F1"/>
    <w:rsid w:val="00A53811"/>
    <w:rsid w:val="00A5382D"/>
    <w:rsid w:val="00A538F2"/>
    <w:rsid w:val="00A5394E"/>
    <w:rsid w:val="00A539EA"/>
    <w:rsid w:val="00A53DA3"/>
    <w:rsid w:val="00A53EE3"/>
    <w:rsid w:val="00A541D9"/>
    <w:rsid w:val="00A542AD"/>
    <w:rsid w:val="00A542F6"/>
    <w:rsid w:val="00A5461C"/>
    <w:rsid w:val="00A5477D"/>
    <w:rsid w:val="00A548AF"/>
    <w:rsid w:val="00A549A7"/>
    <w:rsid w:val="00A549B0"/>
    <w:rsid w:val="00A549B4"/>
    <w:rsid w:val="00A549BA"/>
    <w:rsid w:val="00A54B6C"/>
    <w:rsid w:val="00A54C7C"/>
    <w:rsid w:val="00A54D90"/>
    <w:rsid w:val="00A54DAE"/>
    <w:rsid w:val="00A54DFF"/>
    <w:rsid w:val="00A54F96"/>
    <w:rsid w:val="00A54FFE"/>
    <w:rsid w:val="00A5503E"/>
    <w:rsid w:val="00A5510B"/>
    <w:rsid w:val="00A5513C"/>
    <w:rsid w:val="00A551D6"/>
    <w:rsid w:val="00A5520F"/>
    <w:rsid w:val="00A55272"/>
    <w:rsid w:val="00A55587"/>
    <w:rsid w:val="00A55698"/>
    <w:rsid w:val="00A557A2"/>
    <w:rsid w:val="00A55823"/>
    <w:rsid w:val="00A558C3"/>
    <w:rsid w:val="00A558E3"/>
    <w:rsid w:val="00A559E4"/>
    <w:rsid w:val="00A55B48"/>
    <w:rsid w:val="00A55DA6"/>
    <w:rsid w:val="00A55E2B"/>
    <w:rsid w:val="00A55E43"/>
    <w:rsid w:val="00A55ED4"/>
    <w:rsid w:val="00A55EE5"/>
    <w:rsid w:val="00A56046"/>
    <w:rsid w:val="00A562DB"/>
    <w:rsid w:val="00A5635E"/>
    <w:rsid w:val="00A5677B"/>
    <w:rsid w:val="00A5678E"/>
    <w:rsid w:val="00A567F2"/>
    <w:rsid w:val="00A568B5"/>
    <w:rsid w:val="00A568CA"/>
    <w:rsid w:val="00A569BC"/>
    <w:rsid w:val="00A56AAE"/>
    <w:rsid w:val="00A56B3E"/>
    <w:rsid w:val="00A56BBA"/>
    <w:rsid w:val="00A56CCC"/>
    <w:rsid w:val="00A56DDE"/>
    <w:rsid w:val="00A56E7B"/>
    <w:rsid w:val="00A56F51"/>
    <w:rsid w:val="00A5712D"/>
    <w:rsid w:val="00A5718B"/>
    <w:rsid w:val="00A572A7"/>
    <w:rsid w:val="00A572EE"/>
    <w:rsid w:val="00A5731B"/>
    <w:rsid w:val="00A573CF"/>
    <w:rsid w:val="00A573DA"/>
    <w:rsid w:val="00A575D4"/>
    <w:rsid w:val="00A57626"/>
    <w:rsid w:val="00A57664"/>
    <w:rsid w:val="00A57783"/>
    <w:rsid w:val="00A5780F"/>
    <w:rsid w:val="00A57ACC"/>
    <w:rsid w:val="00A57AF7"/>
    <w:rsid w:val="00A57B53"/>
    <w:rsid w:val="00A57EEE"/>
    <w:rsid w:val="00A602CD"/>
    <w:rsid w:val="00A602E1"/>
    <w:rsid w:val="00A603BE"/>
    <w:rsid w:val="00A604A6"/>
    <w:rsid w:val="00A604E2"/>
    <w:rsid w:val="00A605DD"/>
    <w:rsid w:val="00A605FC"/>
    <w:rsid w:val="00A60843"/>
    <w:rsid w:val="00A608C1"/>
    <w:rsid w:val="00A60919"/>
    <w:rsid w:val="00A60993"/>
    <w:rsid w:val="00A60A3E"/>
    <w:rsid w:val="00A60A79"/>
    <w:rsid w:val="00A60B57"/>
    <w:rsid w:val="00A60C79"/>
    <w:rsid w:val="00A60CE9"/>
    <w:rsid w:val="00A60FD6"/>
    <w:rsid w:val="00A6118D"/>
    <w:rsid w:val="00A612CB"/>
    <w:rsid w:val="00A61318"/>
    <w:rsid w:val="00A61352"/>
    <w:rsid w:val="00A61374"/>
    <w:rsid w:val="00A613C0"/>
    <w:rsid w:val="00A61453"/>
    <w:rsid w:val="00A61501"/>
    <w:rsid w:val="00A6153F"/>
    <w:rsid w:val="00A615BE"/>
    <w:rsid w:val="00A615CF"/>
    <w:rsid w:val="00A61678"/>
    <w:rsid w:val="00A6170E"/>
    <w:rsid w:val="00A61778"/>
    <w:rsid w:val="00A617F5"/>
    <w:rsid w:val="00A618A5"/>
    <w:rsid w:val="00A618BF"/>
    <w:rsid w:val="00A618D2"/>
    <w:rsid w:val="00A618EC"/>
    <w:rsid w:val="00A61910"/>
    <w:rsid w:val="00A6198B"/>
    <w:rsid w:val="00A61A0C"/>
    <w:rsid w:val="00A61A41"/>
    <w:rsid w:val="00A61A50"/>
    <w:rsid w:val="00A61A5C"/>
    <w:rsid w:val="00A61AA4"/>
    <w:rsid w:val="00A61AC5"/>
    <w:rsid w:val="00A61B1A"/>
    <w:rsid w:val="00A61BBE"/>
    <w:rsid w:val="00A61BFC"/>
    <w:rsid w:val="00A61DDB"/>
    <w:rsid w:val="00A61E24"/>
    <w:rsid w:val="00A61EE7"/>
    <w:rsid w:val="00A61FB2"/>
    <w:rsid w:val="00A61FCA"/>
    <w:rsid w:val="00A621F9"/>
    <w:rsid w:val="00A62225"/>
    <w:rsid w:val="00A624E6"/>
    <w:rsid w:val="00A624F9"/>
    <w:rsid w:val="00A62540"/>
    <w:rsid w:val="00A62572"/>
    <w:rsid w:val="00A626B8"/>
    <w:rsid w:val="00A626ED"/>
    <w:rsid w:val="00A627E5"/>
    <w:rsid w:val="00A62884"/>
    <w:rsid w:val="00A62A31"/>
    <w:rsid w:val="00A62A81"/>
    <w:rsid w:val="00A62CD7"/>
    <w:rsid w:val="00A62D17"/>
    <w:rsid w:val="00A62D1F"/>
    <w:rsid w:val="00A62DD5"/>
    <w:rsid w:val="00A62DDC"/>
    <w:rsid w:val="00A62EBF"/>
    <w:rsid w:val="00A62F53"/>
    <w:rsid w:val="00A62FE3"/>
    <w:rsid w:val="00A63050"/>
    <w:rsid w:val="00A631F6"/>
    <w:rsid w:val="00A63365"/>
    <w:rsid w:val="00A633B2"/>
    <w:rsid w:val="00A63703"/>
    <w:rsid w:val="00A63745"/>
    <w:rsid w:val="00A6377D"/>
    <w:rsid w:val="00A63821"/>
    <w:rsid w:val="00A63904"/>
    <w:rsid w:val="00A6393B"/>
    <w:rsid w:val="00A63954"/>
    <w:rsid w:val="00A63AD8"/>
    <w:rsid w:val="00A63B6F"/>
    <w:rsid w:val="00A63D69"/>
    <w:rsid w:val="00A63E9B"/>
    <w:rsid w:val="00A63EE0"/>
    <w:rsid w:val="00A63F43"/>
    <w:rsid w:val="00A64107"/>
    <w:rsid w:val="00A6417A"/>
    <w:rsid w:val="00A64232"/>
    <w:rsid w:val="00A6448F"/>
    <w:rsid w:val="00A6475D"/>
    <w:rsid w:val="00A6480D"/>
    <w:rsid w:val="00A64827"/>
    <w:rsid w:val="00A64872"/>
    <w:rsid w:val="00A6489A"/>
    <w:rsid w:val="00A64A42"/>
    <w:rsid w:val="00A64CCE"/>
    <w:rsid w:val="00A64D10"/>
    <w:rsid w:val="00A64DE6"/>
    <w:rsid w:val="00A64F8B"/>
    <w:rsid w:val="00A64FB9"/>
    <w:rsid w:val="00A64FC1"/>
    <w:rsid w:val="00A65250"/>
    <w:rsid w:val="00A65428"/>
    <w:rsid w:val="00A655A9"/>
    <w:rsid w:val="00A65613"/>
    <w:rsid w:val="00A65735"/>
    <w:rsid w:val="00A6596C"/>
    <w:rsid w:val="00A65A20"/>
    <w:rsid w:val="00A65BE7"/>
    <w:rsid w:val="00A65C68"/>
    <w:rsid w:val="00A65D3C"/>
    <w:rsid w:val="00A65D3F"/>
    <w:rsid w:val="00A65D78"/>
    <w:rsid w:val="00A65E1D"/>
    <w:rsid w:val="00A65EDF"/>
    <w:rsid w:val="00A65EF4"/>
    <w:rsid w:val="00A65F2F"/>
    <w:rsid w:val="00A65FB5"/>
    <w:rsid w:val="00A66068"/>
    <w:rsid w:val="00A660B4"/>
    <w:rsid w:val="00A6621F"/>
    <w:rsid w:val="00A6636A"/>
    <w:rsid w:val="00A66493"/>
    <w:rsid w:val="00A665BC"/>
    <w:rsid w:val="00A66693"/>
    <w:rsid w:val="00A66884"/>
    <w:rsid w:val="00A66914"/>
    <w:rsid w:val="00A66C2D"/>
    <w:rsid w:val="00A66D0C"/>
    <w:rsid w:val="00A66D59"/>
    <w:rsid w:val="00A66D87"/>
    <w:rsid w:val="00A66DCF"/>
    <w:rsid w:val="00A66E4B"/>
    <w:rsid w:val="00A66E6C"/>
    <w:rsid w:val="00A66F32"/>
    <w:rsid w:val="00A6702D"/>
    <w:rsid w:val="00A67032"/>
    <w:rsid w:val="00A67103"/>
    <w:rsid w:val="00A6731F"/>
    <w:rsid w:val="00A67354"/>
    <w:rsid w:val="00A673A0"/>
    <w:rsid w:val="00A67478"/>
    <w:rsid w:val="00A6747B"/>
    <w:rsid w:val="00A674B5"/>
    <w:rsid w:val="00A67516"/>
    <w:rsid w:val="00A67538"/>
    <w:rsid w:val="00A6753D"/>
    <w:rsid w:val="00A6758F"/>
    <w:rsid w:val="00A675F8"/>
    <w:rsid w:val="00A67604"/>
    <w:rsid w:val="00A6773F"/>
    <w:rsid w:val="00A677BC"/>
    <w:rsid w:val="00A678A5"/>
    <w:rsid w:val="00A678FF"/>
    <w:rsid w:val="00A67925"/>
    <w:rsid w:val="00A67B1D"/>
    <w:rsid w:val="00A67C54"/>
    <w:rsid w:val="00A67D96"/>
    <w:rsid w:val="00A67E87"/>
    <w:rsid w:val="00A67F31"/>
    <w:rsid w:val="00A67FB2"/>
    <w:rsid w:val="00A67FBA"/>
    <w:rsid w:val="00A7042A"/>
    <w:rsid w:val="00A70675"/>
    <w:rsid w:val="00A70969"/>
    <w:rsid w:val="00A70DD5"/>
    <w:rsid w:val="00A70E83"/>
    <w:rsid w:val="00A70EF2"/>
    <w:rsid w:val="00A70F29"/>
    <w:rsid w:val="00A70FDC"/>
    <w:rsid w:val="00A7101D"/>
    <w:rsid w:val="00A71062"/>
    <w:rsid w:val="00A71072"/>
    <w:rsid w:val="00A710EF"/>
    <w:rsid w:val="00A7117C"/>
    <w:rsid w:val="00A7131A"/>
    <w:rsid w:val="00A7133D"/>
    <w:rsid w:val="00A71361"/>
    <w:rsid w:val="00A71391"/>
    <w:rsid w:val="00A7142B"/>
    <w:rsid w:val="00A71489"/>
    <w:rsid w:val="00A714BB"/>
    <w:rsid w:val="00A7159F"/>
    <w:rsid w:val="00A71602"/>
    <w:rsid w:val="00A71618"/>
    <w:rsid w:val="00A7165A"/>
    <w:rsid w:val="00A716CC"/>
    <w:rsid w:val="00A717FA"/>
    <w:rsid w:val="00A71825"/>
    <w:rsid w:val="00A7184C"/>
    <w:rsid w:val="00A71857"/>
    <w:rsid w:val="00A71972"/>
    <w:rsid w:val="00A71AD6"/>
    <w:rsid w:val="00A71AE0"/>
    <w:rsid w:val="00A71C48"/>
    <w:rsid w:val="00A71D03"/>
    <w:rsid w:val="00A71D4F"/>
    <w:rsid w:val="00A71DD6"/>
    <w:rsid w:val="00A71E36"/>
    <w:rsid w:val="00A71F3B"/>
    <w:rsid w:val="00A720E7"/>
    <w:rsid w:val="00A721A7"/>
    <w:rsid w:val="00A72382"/>
    <w:rsid w:val="00A7241A"/>
    <w:rsid w:val="00A72433"/>
    <w:rsid w:val="00A7246A"/>
    <w:rsid w:val="00A724D3"/>
    <w:rsid w:val="00A7256E"/>
    <w:rsid w:val="00A725D1"/>
    <w:rsid w:val="00A725E2"/>
    <w:rsid w:val="00A725EB"/>
    <w:rsid w:val="00A72722"/>
    <w:rsid w:val="00A72809"/>
    <w:rsid w:val="00A72829"/>
    <w:rsid w:val="00A728A8"/>
    <w:rsid w:val="00A7299C"/>
    <w:rsid w:val="00A72A05"/>
    <w:rsid w:val="00A72CB3"/>
    <w:rsid w:val="00A72DB4"/>
    <w:rsid w:val="00A72DE0"/>
    <w:rsid w:val="00A72E9B"/>
    <w:rsid w:val="00A73031"/>
    <w:rsid w:val="00A730A9"/>
    <w:rsid w:val="00A73103"/>
    <w:rsid w:val="00A7310E"/>
    <w:rsid w:val="00A73190"/>
    <w:rsid w:val="00A7358D"/>
    <w:rsid w:val="00A73810"/>
    <w:rsid w:val="00A73848"/>
    <w:rsid w:val="00A738AF"/>
    <w:rsid w:val="00A738BF"/>
    <w:rsid w:val="00A739DC"/>
    <w:rsid w:val="00A73A35"/>
    <w:rsid w:val="00A73A8D"/>
    <w:rsid w:val="00A73B14"/>
    <w:rsid w:val="00A73F49"/>
    <w:rsid w:val="00A73FC7"/>
    <w:rsid w:val="00A743D4"/>
    <w:rsid w:val="00A7461A"/>
    <w:rsid w:val="00A74726"/>
    <w:rsid w:val="00A747BE"/>
    <w:rsid w:val="00A74883"/>
    <w:rsid w:val="00A74A3C"/>
    <w:rsid w:val="00A74A43"/>
    <w:rsid w:val="00A74B16"/>
    <w:rsid w:val="00A74B1F"/>
    <w:rsid w:val="00A74B69"/>
    <w:rsid w:val="00A74C53"/>
    <w:rsid w:val="00A74DAB"/>
    <w:rsid w:val="00A74DF8"/>
    <w:rsid w:val="00A74E7E"/>
    <w:rsid w:val="00A74FAE"/>
    <w:rsid w:val="00A74FBA"/>
    <w:rsid w:val="00A75034"/>
    <w:rsid w:val="00A7507F"/>
    <w:rsid w:val="00A751C1"/>
    <w:rsid w:val="00A75241"/>
    <w:rsid w:val="00A75466"/>
    <w:rsid w:val="00A75586"/>
    <w:rsid w:val="00A755D1"/>
    <w:rsid w:val="00A75606"/>
    <w:rsid w:val="00A7562E"/>
    <w:rsid w:val="00A75789"/>
    <w:rsid w:val="00A757B0"/>
    <w:rsid w:val="00A757FC"/>
    <w:rsid w:val="00A75BF1"/>
    <w:rsid w:val="00A75C35"/>
    <w:rsid w:val="00A75CC4"/>
    <w:rsid w:val="00A75EA6"/>
    <w:rsid w:val="00A75F32"/>
    <w:rsid w:val="00A7603C"/>
    <w:rsid w:val="00A7618E"/>
    <w:rsid w:val="00A762BD"/>
    <w:rsid w:val="00A76380"/>
    <w:rsid w:val="00A76536"/>
    <w:rsid w:val="00A765A6"/>
    <w:rsid w:val="00A765B3"/>
    <w:rsid w:val="00A76652"/>
    <w:rsid w:val="00A76663"/>
    <w:rsid w:val="00A767A7"/>
    <w:rsid w:val="00A767B8"/>
    <w:rsid w:val="00A76802"/>
    <w:rsid w:val="00A7687A"/>
    <w:rsid w:val="00A7692A"/>
    <w:rsid w:val="00A76954"/>
    <w:rsid w:val="00A769B1"/>
    <w:rsid w:val="00A76A52"/>
    <w:rsid w:val="00A76B76"/>
    <w:rsid w:val="00A76C1C"/>
    <w:rsid w:val="00A76E6E"/>
    <w:rsid w:val="00A76EF2"/>
    <w:rsid w:val="00A76F89"/>
    <w:rsid w:val="00A76FDF"/>
    <w:rsid w:val="00A7710C"/>
    <w:rsid w:val="00A771D7"/>
    <w:rsid w:val="00A7731D"/>
    <w:rsid w:val="00A7733B"/>
    <w:rsid w:val="00A773BA"/>
    <w:rsid w:val="00A77698"/>
    <w:rsid w:val="00A77769"/>
    <w:rsid w:val="00A777CF"/>
    <w:rsid w:val="00A77814"/>
    <w:rsid w:val="00A77831"/>
    <w:rsid w:val="00A77850"/>
    <w:rsid w:val="00A778C8"/>
    <w:rsid w:val="00A7791C"/>
    <w:rsid w:val="00A77977"/>
    <w:rsid w:val="00A77BC6"/>
    <w:rsid w:val="00A77BF0"/>
    <w:rsid w:val="00A77D46"/>
    <w:rsid w:val="00A77D85"/>
    <w:rsid w:val="00A77D98"/>
    <w:rsid w:val="00A77DE7"/>
    <w:rsid w:val="00A77EE2"/>
    <w:rsid w:val="00A77F98"/>
    <w:rsid w:val="00A80044"/>
    <w:rsid w:val="00A80092"/>
    <w:rsid w:val="00A800F0"/>
    <w:rsid w:val="00A80114"/>
    <w:rsid w:val="00A801E3"/>
    <w:rsid w:val="00A80218"/>
    <w:rsid w:val="00A8023D"/>
    <w:rsid w:val="00A802EA"/>
    <w:rsid w:val="00A802FA"/>
    <w:rsid w:val="00A80371"/>
    <w:rsid w:val="00A803D9"/>
    <w:rsid w:val="00A803FA"/>
    <w:rsid w:val="00A80401"/>
    <w:rsid w:val="00A80451"/>
    <w:rsid w:val="00A8051A"/>
    <w:rsid w:val="00A8055C"/>
    <w:rsid w:val="00A80564"/>
    <w:rsid w:val="00A80579"/>
    <w:rsid w:val="00A8057A"/>
    <w:rsid w:val="00A805E3"/>
    <w:rsid w:val="00A80606"/>
    <w:rsid w:val="00A806A0"/>
    <w:rsid w:val="00A807DD"/>
    <w:rsid w:val="00A80817"/>
    <w:rsid w:val="00A8086F"/>
    <w:rsid w:val="00A809C9"/>
    <w:rsid w:val="00A809E8"/>
    <w:rsid w:val="00A80AE3"/>
    <w:rsid w:val="00A80B9E"/>
    <w:rsid w:val="00A80D4A"/>
    <w:rsid w:val="00A80D7C"/>
    <w:rsid w:val="00A80E2A"/>
    <w:rsid w:val="00A80F4E"/>
    <w:rsid w:val="00A80F5F"/>
    <w:rsid w:val="00A80FF9"/>
    <w:rsid w:val="00A81067"/>
    <w:rsid w:val="00A810E8"/>
    <w:rsid w:val="00A81129"/>
    <w:rsid w:val="00A81236"/>
    <w:rsid w:val="00A812C2"/>
    <w:rsid w:val="00A8140C"/>
    <w:rsid w:val="00A81608"/>
    <w:rsid w:val="00A8169E"/>
    <w:rsid w:val="00A817C7"/>
    <w:rsid w:val="00A81868"/>
    <w:rsid w:val="00A81967"/>
    <w:rsid w:val="00A81980"/>
    <w:rsid w:val="00A81984"/>
    <w:rsid w:val="00A81A6F"/>
    <w:rsid w:val="00A81AEE"/>
    <w:rsid w:val="00A81B16"/>
    <w:rsid w:val="00A81B48"/>
    <w:rsid w:val="00A81B99"/>
    <w:rsid w:val="00A81BFA"/>
    <w:rsid w:val="00A81C4C"/>
    <w:rsid w:val="00A81C4E"/>
    <w:rsid w:val="00A81C86"/>
    <w:rsid w:val="00A81CE1"/>
    <w:rsid w:val="00A81CED"/>
    <w:rsid w:val="00A81D3A"/>
    <w:rsid w:val="00A81D7D"/>
    <w:rsid w:val="00A81DC3"/>
    <w:rsid w:val="00A81E08"/>
    <w:rsid w:val="00A81E69"/>
    <w:rsid w:val="00A81E6B"/>
    <w:rsid w:val="00A81F9A"/>
    <w:rsid w:val="00A81FC7"/>
    <w:rsid w:val="00A8218E"/>
    <w:rsid w:val="00A82212"/>
    <w:rsid w:val="00A82504"/>
    <w:rsid w:val="00A8268E"/>
    <w:rsid w:val="00A82775"/>
    <w:rsid w:val="00A82784"/>
    <w:rsid w:val="00A82786"/>
    <w:rsid w:val="00A82882"/>
    <w:rsid w:val="00A828BA"/>
    <w:rsid w:val="00A82A00"/>
    <w:rsid w:val="00A82B07"/>
    <w:rsid w:val="00A82BBE"/>
    <w:rsid w:val="00A82BC8"/>
    <w:rsid w:val="00A82C4B"/>
    <w:rsid w:val="00A82E5C"/>
    <w:rsid w:val="00A82E6B"/>
    <w:rsid w:val="00A82F53"/>
    <w:rsid w:val="00A831B9"/>
    <w:rsid w:val="00A83298"/>
    <w:rsid w:val="00A8337B"/>
    <w:rsid w:val="00A833A7"/>
    <w:rsid w:val="00A833B7"/>
    <w:rsid w:val="00A834A8"/>
    <w:rsid w:val="00A83543"/>
    <w:rsid w:val="00A835F3"/>
    <w:rsid w:val="00A83742"/>
    <w:rsid w:val="00A8377C"/>
    <w:rsid w:val="00A837CE"/>
    <w:rsid w:val="00A8399D"/>
    <w:rsid w:val="00A839C0"/>
    <w:rsid w:val="00A83AAE"/>
    <w:rsid w:val="00A83AD6"/>
    <w:rsid w:val="00A83C6D"/>
    <w:rsid w:val="00A83D4E"/>
    <w:rsid w:val="00A83D57"/>
    <w:rsid w:val="00A83E0F"/>
    <w:rsid w:val="00A83E86"/>
    <w:rsid w:val="00A83EFE"/>
    <w:rsid w:val="00A83F51"/>
    <w:rsid w:val="00A8403E"/>
    <w:rsid w:val="00A840D6"/>
    <w:rsid w:val="00A84115"/>
    <w:rsid w:val="00A8416A"/>
    <w:rsid w:val="00A84184"/>
    <w:rsid w:val="00A84259"/>
    <w:rsid w:val="00A8435C"/>
    <w:rsid w:val="00A8441D"/>
    <w:rsid w:val="00A84465"/>
    <w:rsid w:val="00A84598"/>
    <w:rsid w:val="00A847F2"/>
    <w:rsid w:val="00A8485C"/>
    <w:rsid w:val="00A8486E"/>
    <w:rsid w:val="00A84AA1"/>
    <w:rsid w:val="00A84B89"/>
    <w:rsid w:val="00A84BA7"/>
    <w:rsid w:val="00A84CCE"/>
    <w:rsid w:val="00A84EDA"/>
    <w:rsid w:val="00A84F40"/>
    <w:rsid w:val="00A84FDC"/>
    <w:rsid w:val="00A850A1"/>
    <w:rsid w:val="00A850DF"/>
    <w:rsid w:val="00A851CE"/>
    <w:rsid w:val="00A85258"/>
    <w:rsid w:val="00A85308"/>
    <w:rsid w:val="00A85311"/>
    <w:rsid w:val="00A853A7"/>
    <w:rsid w:val="00A854BC"/>
    <w:rsid w:val="00A85575"/>
    <w:rsid w:val="00A8557C"/>
    <w:rsid w:val="00A855FE"/>
    <w:rsid w:val="00A85735"/>
    <w:rsid w:val="00A857DC"/>
    <w:rsid w:val="00A85949"/>
    <w:rsid w:val="00A85BEB"/>
    <w:rsid w:val="00A85C40"/>
    <w:rsid w:val="00A85C69"/>
    <w:rsid w:val="00A85C81"/>
    <w:rsid w:val="00A85D81"/>
    <w:rsid w:val="00A85E7C"/>
    <w:rsid w:val="00A85EEE"/>
    <w:rsid w:val="00A86055"/>
    <w:rsid w:val="00A86103"/>
    <w:rsid w:val="00A8624E"/>
    <w:rsid w:val="00A86256"/>
    <w:rsid w:val="00A86271"/>
    <w:rsid w:val="00A8629E"/>
    <w:rsid w:val="00A86320"/>
    <w:rsid w:val="00A86325"/>
    <w:rsid w:val="00A863D8"/>
    <w:rsid w:val="00A864AC"/>
    <w:rsid w:val="00A86538"/>
    <w:rsid w:val="00A86578"/>
    <w:rsid w:val="00A865C5"/>
    <w:rsid w:val="00A865C9"/>
    <w:rsid w:val="00A86845"/>
    <w:rsid w:val="00A86875"/>
    <w:rsid w:val="00A86888"/>
    <w:rsid w:val="00A8692D"/>
    <w:rsid w:val="00A86976"/>
    <w:rsid w:val="00A86AD0"/>
    <w:rsid w:val="00A86B23"/>
    <w:rsid w:val="00A86B59"/>
    <w:rsid w:val="00A86C36"/>
    <w:rsid w:val="00A86C70"/>
    <w:rsid w:val="00A86D17"/>
    <w:rsid w:val="00A86EF1"/>
    <w:rsid w:val="00A86F7F"/>
    <w:rsid w:val="00A8706F"/>
    <w:rsid w:val="00A870FE"/>
    <w:rsid w:val="00A87200"/>
    <w:rsid w:val="00A87243"/>
    <w:rsid w:val="00A872CF"/>
    <w:rsid w:val="00A872D9"/>
    <w:rsid w:val="00A872F6"/>
    <w:rsid w:val="00A8738D"/>
    <w:rsid w:val="00A87416"/>
    <w:rsid w:val="00A87453"/>
    <w:rsid w:val="00A874E1"/>
    <w:rsid w:val="00A87671"/>
    <w:rsid w:val="00A878A3"/>
    <w:rsid w:val="00A8798A"/>
    <w:rsid w:val="00A87A48"/>
    <w:rsid w:val="00A87AA3"/>
    <w:rsid w:val="00A87B5B"/>
    <w:rsid w:val="00A87BB5"/>
    <w:rsid w:val="00A87BCF"/>
    <w:rsid w:val="00A87CC7"/>
    <w:rsid w:val="00A87F7E"/>
    <w:rsid w:val="00A9004C"/>
    <w:rsid w:val="00A90399"/>
    <w:rsid w:val="00A903E2"/>
    <w:rsid w:val="00A90464"/>
    <w:rsid w:val="00A904D9"/>
    <w:rsid w:val="00A90504"/>
    <w:rsid w:val="00A90508"/>
    <w:rsid w:val="00A905EB"/>
    <w:rsid w:val="00A909E9"/>
    <w:rsid w:val="00A909FD"/>
    <w:rsid w:val="00A90A0E"/>
    <w:rsid w:val="00A90A19"/>
    <w:rsid w:val="00A90BAB"/>
    <w:rsid w:val="00A90C72"/>
    <w:rsid w:val="00A90F4E"/>
    <w:rsid w:val="00A90FDB"/>
    <w:rsid w:val="00A91042"/>
    <w:rsid w:val="00A91080"/>
    <w:rsid w:val="00A9109A"/>
    <w:rsid w:val="00A91223"/>
    <w:rsid w:val="00A9125F"/>
    <w:rsid w:val="00A91302"/>
    <w:rsid w:val="00A9137D"/>
    <w:rsid w:val="00A914D0"/>
    <w:rsid w:val="00A914F1"/>
    <w:rsid w:val="00A917EC"/>
    <w:rsid w:val="00A91912"/>
    <w:rsid w:val="00A919C5"/>
    <w:rsid w:val="00A91A63"/>
    <w:rsid w:val="00A91B49"/>
    <w:rsid w:val="00A91DB1"/>
    <w:rsid w:val="00A91E3F"/>
    <w:rsid w:val="00A91ECE"/>
    <w:rsid w:val="00A91F07"/>
    <w:rsid w:val="00A91F1A"/>
    <w:rsid w:val="00A91F64"/>
    <w:rsid w:val="00A91FA6"/>
    <w:rsid w:val="00A91FC7"/>
    <w:rsid w:val="00A92005"/>
    <w:rsid w:val="00A92299"/>
    <w:rsid w:val="00A922A1"/>
    <w:rsid w:val="00A922B6"/>
    <w:rsid w:val="00A9235E"/>
    <w:rsid w:val="00A9272C"/>
    <w:rsid w:val="00A9283B"/>
    <w:rsid w:val="00A9289F"/>
    <w:rsid w:val="00A92AF9"/>
    <w:rsid w:val="00A92B01"/>
    <w:rsid w:val="00A92BD0"/>
    <w:rsid w:val="00A92C34"/>
    <w:rsid w:val="00A92C47"/>
    <w:rsid w:val="00A92D4E"/>
    <w:rsid w:val="00A92DA0"/>
    <w:rsid w:val="00A92E36"/>
    <w:rsid w:val="00A92E5F"/>
    <w:rsid w:val="00A92EB7"/>
    <w:rsid w:val="00A93075"/>
    <w:rsid w:val="00A93079"/>
    <w:rsid w:val="00A931A1"/>
    <w:rsid w:val="00A931C6"/>
    <w:rsid w:val="00A931E5"/>
    <w:rsid w:val="00A93224"/>
    <w:rsid w:val="00A9340B"/>
    <w:rsid w:val="00A934F1"/>
    <w:rsid w:val="00A934FC"/>
    <w:rsid w:val="00A9363C"/>
    <w:rsid w:val="00A9370D"/>
    <w:rsid w:val="00A9371E"/>
    <w:rsid w:val="00A937A4"/>
    <w:rsid w:val="00A937C3"/>
    <w:rsid w:val="00A937FE"/>
    <w:rsid w:val="00A9399A"/>
    <w:rsid w:val="00A93A90"/>
    <w:rsid w:val="00A93A9A"/>
    <w:rsid w:val="00A93A9D"/>
    <w:rsid w:val="00A93C3A"/>
    <w:rsid w:val="00A93C3F"/>
    <w:rsid w:val="00A93CAF"/>
    <w:rsid w:val="00A93CB9"/>
    <w:rsid w:val="00A93CD0"/>
    <w:rsid w:val="00A93CF9"/>
    <w:rsid w:val="00A93D21"/>
    <w:rsid w:val="00A93D88"/>
    <w:rsid w:val="00A93ED4"/>
    <w:rsid w:val="00A9410F"/>
    <w:rsid w:val="00A94263"/>
    <w:rsid w:val="00A9428F"/>
    <w:rsid w:val="00A94371"/>
    <w:rsid w:val="00A945A5"/>
    <w:rsid w:val="00A945E0"/>
    <w:rsid w:val="00A94661"/>
    <w:rsid w:val="00A948BB"/>
    <w:rsid w:val="00A94905"/>
    <w:rsid w:val="00A94926"/>
    <w:rsid w:val="00A94B5D"/>
    <w:rsid w:val="00A94D18"/>
    <w:rsid w:val="00A94E13"/>
    <w:rsid w:val="00A94E6E"/>
    <w:rsid w:val="00A94EA8"/>
    <w:rsid w:val="00A94ECA"/>
    <w:rsid w:val="00A94F3A"/>
    <w:rsid w:val="00A94F8C"/>
    <w:rsid w:val="00A951DA"/>
    <w:rsid w:val="00A952A2"/>
    <w:rsid w:val="00A95384"/>
    <w:rsid w:val="00A95524"/>
    <w:rsid w:val="00A9556B"/>
    <w:rsid w:val="00A955A0"/>
    <w:rsid w:val="00A9565F"/>
    <w:rsid w:val="00A956FE"/>
    <w:rsid w:val="00A95799"/>
    <w:rsid w:val="00A9596E"/>
    <w:rsid w:val="00A95ADF"/>
    <w:rsid w:val="00A95B51"/>
    <w:rsid w:val="00A95B8F"/>
    <w:rsid w:val="00A95C03"/>
    <w:rsid w:val="00A95E15"/>
    <w:rsid w:val="00A95E64"/>
    <w:rsid w:val="00A95E77"/>
    <w:rsid w:val="00A95FC4"/>
    <w:rsid w:val="00A96135"/>
    <w:rsid w:val="00A961A0"/>
    <w:rsid w:val="00A9626A"/>
    <w:rsid w:val="00A962B3"/>
    <w:rsid w:val="00A96326"/>
    <w:rsid w:val="00A963E6"/>
    <w:rsid w:val="00A963F3"/>
    <w:rsid w:val="00A965AF"/>
    <w:rsid w:val="00A965D2"/>
    <w:rsid w:val="00A9660E"/>
    <w:rsid w:val="00A96614"/>
    <w:rsid w:val="00A9677E"/>
    <w:rsid w:val="00A967C7"/>
    <w:rsid w:val="00A967F5"/>
    <w:rsid w:val="00A9681A"/>
    <w:rsid w:val="00A968C0"/>
    <w:rsid w:val="00A968E9"/>
    <w:rsid w:val="00A968F3"/>
    <w:rsid w:val="00A96A27"/>
    <w:rsid w:val="00A96BC3"/>
    <w:rsid w:val="00A96C28"/>
    <w:rsid w:val="00A96C6B"/>
    <w:rsid w:val="00A96E9C"/>
    <w:rsid w:val="00A96FBC"/>
    <w:rsid w:val="00A97052"/>
    <w:rsid w:val="00A972F7"/>
    <w:rsid w:val="00A973B7"/>
    <w:rsid w:val="00A974AA"/>
    <w:rsid w:val="00A974E7"/>
    <w:rsid w:val="00A97501"/>
    <w:rsid w:val="00A975A7"/>
    <w:rsid w:val="00A975B5"/>
    <w:rsid w:val="00A975C5"/>
    <w:rsid w:val="00A97839"/>
    <w:rsid w:val="00A97872"/>
    <w:rsid w:val="00A97932"/>
    <w:rsid w:val="00A979C2"/>
    <w:rsid w:val="00A979E3"/>
    <w:rsid w:val="00A97AC3"/>
    <w:rsid w:val="00A97ACF"/>
    <w:rsid w:val="00A97DD8"/>
    <w:rsid w:val="00A97E9B"/>
    <w:rsid w:val="00A97EB3"/>
    <w:rsid w:val="00A97EE9"/>
    <w:rsid w:val="00AA0063"/>
    <w:rsid w:val="00AA01C2"/>
    <w:rsid w:val="00AA0268"/>
    <w:rsid w:val="00AA026B"/>
    <w:rsid w:val="00AA0595"/>
    <w:rsid w:val="00AA0850"/>
    <w:rsid w:val="00AA0877"/>
    <w:rsid w:val="00AA08D6"/>
    <w:rsid w:val="00AA09E0"/>
    <w:rsid w:val="00AA0A12"/>
    <w:rsid w:val="00AA0A87"/>
    <w:rsid w:val="00AA0B42"/>
    <w:rsid w:val="00AA0B95"/>
    <w:rsid w:val="00AA0BCA"/>
    <w:rsid w:val="00AA0CB3"/>
    <w:rsid w:val="00AA0E70"/>
    <w:rsid w:val="00AA0EB1"/>
    <w:rsid w:val="00AA0F4B"/>
    <w:rsid w:val="00AA0FD1"/>
    <w:rsid w:val="00AA0FF9"/>
    <w:rsid w:val="00AA1117"/>
    <w:rsid w:val="00AA1137"/>
    <w:rsid w:val="00AA1188"/>
    <w:rsid w:val="00AA1327"/>
    <w:rsid w:val="00AA136A"/>
    <w:rsid w:val="00AA137D"/>
    <w:rsid w:val="00AA13BC"/>
    <w:rsid w:val="00AA1499"/>
    <w:rsid w:val="00AA1606"/>
    <w:rsid w:val="00AA1707"/>
    <w:rsid w:val="00AA1756"/>
    <w:rsid w:val="00AA189C"/>
    <w:rsid w:val="00AA192D"/>
    <w:rsid w:val="00AA1939"/>
    <w:rsid w:val="00AA1961"/>
    <w:rsid w:val="00AA196D"/>
    <w:rsid w:val="00AA1B1E"/>
    <w:rsid w:val="00AA1C4A"/>
    <w:rsid w:val="00AA1D6F"/>
    <w:rsid w:val="00AA1E75"/>
    <w:rsid w:val="00AA2107"/>
    <w:rsid w:val="00AA21BB"/>
    <w:rsid w:val="00AA221D"/>
    <w:rsid w:val="00AA2244"/>
    <w:rsid w:val="00AA226F"/>
    <w:rsid w:val="00AA22B5"/>
    <w:rsid w:val="00AA2432"/>
    <w:rsid w:val="00AA2510"/>
    <w:rsid w:val="00AA2633"/>
    <w:rsid w:val="00AA26AE"/>
    <w:rsid w:val="00AA2813"/>
    <w:rsid w:val="00AA2826"/>
    <w:rsid w:val="00AA2866"/>
    <w:rsid w:val="00AA2888"/>
    <w:rsid w:val="00AA2961"/>
    <w:rsid w:val="00AA29A5"/>
    <w:rsid w:val="00AA2A8B"/>
    <w:rsid w:val="00AA2AB1"/>
    <w:rsid w:val="00AA2AFD"/>
    <w:rsid w:val="00AA2BB7"/>
    <w:rsid w:val="00AA2FE7"/>
    <w:rsid w:val="00AA3231"/>
    <w:rsid w:val="00AA3275"/>
    <w:rsid w:val="00AA3436"/>
    <w:rsid w:val="00AA349E"/>
    <w:rsid w:val="00AA34CD"/>
    <w:rsid w:val="00AA359D"/>
    <w:rsid w:val="00AA35A6"/>
    <w:rsid w:val="00AA35AB"/>
    <w:rsid w:val="00AA35E5"/>
    <w:rsid w:val="00AA3620"/>
    <w:rsid w:val="00AA371D"/>
    <w:rsid w:val="00AA384F"/>
    <w:rsid w:val="00AA3867"/>
    <w:rsid w:val="00AA3881"/>
    <w:rsid w:val="00AA3948"/>
    <w:rsid w:val="00AA39DA"/>
    <w:rsid w:val="00AA39E7"/>
    <w:rsid w:val="00AA3AC2"/>
    <w:rsid w:val="00AA3B35"/>
    <w:rsid w:val="00AA3BA8"/>
    <w:rsid w:val="00AA3BF9"/>
    <w:rsid w:val="00AA3C0F"/>
    <w:rsid w:val="00AA3C38"/>
    <w:rsid w:val="00AA3D0D"/>
    <w:rsid w:val="00AA3D6C"/>
    <w:rsid w:val="00AA3D85"/>
    <w:rsid w:val="00AA3EF0"/>
    <w:rsid w:val="00AA3EFA"/>
    <w:rsid w:val="00AA3F01"/>
    <w:rsid w:val="00AA3FC8"/>
    <w:rsid w:val="00AA40EB"/>
    <w:rsid w:val="00AA427D"/>
    <w:rsid w:val="00AA4293"/>
    <w:rsid w:val="00AA430A"/>
    <w:rsid w:val="00AA439D"/>
    <w:rsid w:val="00AA4414"/>
    <w:rsid w:val="00AA44B1"/>
    <w:rsid w:val="00AA4704"/>
    <w:rsid w:val="00AA479A"/>
    <w:rsid w:val="00AA4830"/>
    <w:rsid w:val="00AA487D"/>
    <w:rsid w:val="00AA4916"/>
    <w:rsid w:val="00AA49AA"/>
    <w:rsid w:val="00AA4B1A"/>
    <w:rsid w:val="00AA4C2D"/>
    <w:rsid w:val="00AA4CC9"/>
    <w:rsid w:val="00AA4FF3"/>
    <w:rsid w:val="00AA5196"/>
    <w:rsid w:val="00AA523A"/>
    <w:rsid w:val="00AA5281"/>
    <w:rsid w:val="00AA5391"/>
    <w:rsid w:val="00AA53B4"/>
    <w:rsid w:val="00AA5532"/>
    <w:rsid w:val="00AA5EC0"/>
    <w:rsid w:val="00AA5EFF"/>
    <w:rsid w:val="00AA6097"/>
    <w:rsid w:val="00AA60E7"/>
    <w:rsid w:val="00AA6101"/>
    <w:rsid w:val="00AA614E"/>
    <w:rsid w:val="00AA62B0"/>
    <w:rsid w:val="00AA63A3"/>
    <w:rsid w:val="00AA64F5"/>
    <w:rsid w:val="00AA64FF"/>
    <w:rsid w:val="00AA6537"/>
    <w:rsid w:val="00AA66E4"/>
    <w:rsid w:val="00AA6818"/>
    <w:rsid w:val="00AA6834"/>
    <w:rsid w:val="00AA693A"/>
    <w:rsid w:val="00AA6987"/>
    <w:rsid w:val="00AA699C"/>
    <w:rsid w:val="00AA6A61"/>
    <w:rsid w:val="00AA6B06"/>
    <w:rsid w:val="00AA6B23"/>
    <w:rsid w:val="00AA6BB4"/>
    <w:rsid w:val="00AA6BE4"/>
    <w:rsid w:val="00AA6D7F"/>
    <w:rsid w:val="00AA7025"/>
    <w:rsid w:val="00AA704B"/>
    <w:rsid w:val="00AA70C4"/>
    <w:rsid w:val="00AA710F"/>
    <w:rsid w:val="00AA712B"/>
    <w:rsid w:val="00AA7137"/>
    <w:rsid w:val="00AA71CF"/>
    <w:rsid w:val="00AA7223"/>
    <w:rsid w:val="00AA722B"/>
    <w:rsid w:val="00AA729E"/>
    <w:rsid w:val="00AA74A9"/>
    <w:rsid w:val="00AA74B4"/>
    <w:rsid w:val="00AA7526"/>
    <w:rsid w:val="00AA7556"/>
    <w:rsid w:val="00AA7630"/>
    <w:rsid w:val="00AA77AF"/>
    <w:rsid w:val="00AA7852"/>
    <w:rsid w:val="00AA7857"/>
    <w:rsid w:val="00AA787A"/>
    <w:rsid w:val="00AA78AE"/>
    <w:rsid w:val="00AA78BD"/>
    <w:rsid w:val="00AA78E3"/>
    <w:rsid w:val="00AA79CA"/>
    <w:rsid w:val="00AA79DC"/>
    <w:rsid w:val="00AA79EB"/>
    <w:rsid w:val="00AA7A67"/>
    <w:rsid w:val="00AA7A87"/>
    <w:rsid w:val="00AA7BAC"/>
    <w:rsid w:val="00AA7C40"/>
    <w:rsid w:val="00AA7DCD"/>
    <w:rsid w:val="00AA7E08"/>
    <w:rsid w:val="00AA7E47"/>
    <w:rsid w:val="00AA7EB8"/>
    <w:rsid w:val="00AA7F51"/>
    <w:rsid w:val="00AA7F7F"/>
    <w:rsid w:val="00AB00CE"/>
    <w:rsid w:val="00AB00F2"/>
    <w:rsid w:val="00AB018E"/>
    <w:rsid w:val="00AB0460"/>
    <w:rsid w:val="00AB04CE"/>
    <w:rsid w:val="00AB04D8"/>
    <w:rsid w:val="00AB04FC"/>
    <w:rsid w:val="00AB054A"/>
    <w:rsid w:val="00AB05AE"/>
    <w:rsid w:val="00AB078D"/>
    <w:rsid w:val="00AB0816"/>
    <w:rsid w:val="00AB08BF"/>
    <w:rsid w:val="00AB09B5"/>
    <w:rsid w:val="00AB0A5F"/>
    <w:rsid w:val="00AB0AB5"/>
    <w:rsid w:val="00AB0BBA"/>
    <w:rsid w:val="00AB0C0D"/>
    <w:rsid w:val="00AB0CD0"/>
    <w:rsid w:val="00AB0CE8"/>
    <w:rsid w:val="00AB0E3E"/>
    <w:rsid w:val="00AB1063"/>
    <w:rsid w:val="00AB1068"/>
    <w:rsid w:val="00AB1116"/>
    <w:rsid w:val="00AB1145"/>
    <w:rsid w:val="00AB11E5"/>
    <w:rsid w:val="00AB13A3"/>
    <w:rsid w:val="00AB13F4"/>
    <w:rsid w:val="00AB1404"/>
    <w:rsid w:val="00AB1440"/>
    <w:rsid w:val="00AB1483"/>
    <w:rsid w:val="00AB14FB"/>
    <w:rsid w:val="00AB156C"/>
    <w:rsid w:val="00AB15A1"/>
    <w:rsid w:val="00AB16A8"/>
    <w:rsid w:val="00AB1811"/>
    <w:rsid w:val="00AB18A6"/>
    <w:rsid w:val="00AB193C"/>
    <w:rsid w:val="00AB1AA6"/>
    <w:rsid w:val="00AB1AFE"/>
    <w:rsid w:val="00AB1B10"/>
    <w:rsid w:val="00AB1B46"/>
    <w:rsid w:val="00AB1B60"/>
    <w:rsid w:val="00AB1C01"/>
    <w:rsid w:val="00AB1FD1"/>
    <w:rsid w:val="00AB2056"/>
    <w:rsid w:val="00AB2078"/>
    <w:rsid w:val="00AB213E"/>
    <w:rsid w:val="00AB217E"/>
    <w:rsid w:val="00AB220D"/>
    <w:rsid w:val="00AB225B"/>
    <w:rsid w:val="00AB22D3"/>
    <w:rsid w:val="00AB2485"/>
    <w:rsid w:val="00AB24C3"/>
    <w:rsid w:val="00AB250A"/>
    <w:rsid w:val="00AB2523"/>
    <w:rsid w:val="00AB25C7"/>
    <w:rsid w:val="00AB2601"/>
    <w:rsid w:val="00AB2608"/>
    <w:rsid w:val="00AB263D"/>
    <w:rsid w:val="00AB26A4"/>
    <w:rsid w:val="00AB2743"/>
    <w:rsid w:val="00AB2842"/>
    <w:rsid w:val="00AB288F"/>
    <w:rsid w:val="00AB28F9"/>
    <w:rsid w:val="00AB29CE"/>
    <w:rsid w:val="00AB2B39"/>
    <w:rsid w:val="00AB2B50"/>
    <w:rsid w:val="00AB2D12"/>
    <w:rsid w:val="00AB2D26"/>
    <w:rsid w:val="00AB2D67"/>
    <w:rsid w:val="00AB2D94"/>
    <w:rsid w:val="00AB2EA4"/>
    <w:rsid w:val="00AB2EFB"/>
    <w:rsid w:val="00AB2F84"/>
    <w:rsid w:val="00AB3073"/>
    <w:rsid w:val="00AB30D3"/>
    <w:rsid w:val="00AB30EE"/>
    <w:rsid w:val="00AB3186"/>
    <w:rsid w:val="00AB31F4"/>
    <w:rsid w:val="00AB321C"/>
    <w:rsid w:val="00AB32D7"/>
    <w:rsid w:val="00AB32F8"/>
    <w:rsid w:val="00AB3366"/>
    <w:rsid w:val="00AB336E"/>
    <w:rsid w:val="00AB33BC"/>
    <w:rsid w:val="00AB33E9"/>
    <w:rsid w:val="00AB3549"/>
    <w:rsid w:val="00AB357D"/>
    <w:rsid w:val="00AB363E"/>
    <w:rsid w:val="00AB382E"/>
    <w:rsid w:val="00AB38C7"/>
    <w:rsid w:val="00AB3914"/>
    <w:rsid w:val="00AB392F"/>
    <w:rsid w:val="00AB3C74"/>
    <w:rsid w:val="00AB3C92"/>
    <w:rsid w:val="00AB42DC"/>
    <w:rsid w:val="00AB42F6"/>
    <w:rsid w:val="00AB4442"/>
    <w:rsid w:val="00AB4679"/>
    <w:rsid w:val="00AB47FD"/>
    <w:rsid w:val="00AB495B"/>
    <w:rsid w:val="00AB49D1"/>
    <w:rsid w:val="00AB49FE"/>
    <w:rsid w:val="00AB4A1B"/>
    <w:rsid w:val="00AB4A6C"/>
    <w:rsid w:val="00AB4B11"/>
    <w:rsid w:val="00AB4B13"/>
    <w:rsid w:val="00AB4C66"/>
    <w:rsid w:val="00AB4C74"/>
    <w:rsid w:val="00AB4D55"/>
    <w:rsid w:val="00AB4E5C"/>
    <w:rsid w:val="00AB4EFE"/>
    <w:rsid w:val="00AB4FB9"/>
    <w:rsid w:val="00AB4FF9"/>
    <w:rsid w:val="00AB52E4"/>
    <w:rsid w:val="00AB5575"/>
    <w:rsid w:val="00AB5682"/>
    <w:rsid w:val="00AB5744"/>
    <w:rsid w:val="00AB591A"/>
    <w:rsid w:val="00AB5B9F"/>
    <w:rsid w:val="00AB5D32"/>
    <w:rsid w:val="00AB5D47"/>
    <w:rsid w:val="00AB5D4E"/>
    <w:rsid w:val="00AB5F73"/>
    <w:rsid w:val="00AB5F77"/>
    <w:rsid w:val="00AB5FB1"/>
    <w:rsid w:val="00AB605E"/>
    <w:rsid w:val="00AB60D5"/>
    <w:rsid w:val="00AB6289"/>
    <w:rsid w:val="00AB62BC"/>
    <w:rsid w:val="00AB64A4"/>
    <w:rsid w:val="00AB662A"/>
    <w:rsid w:val="00AB667B"/>
    <w:rsid w:val="00AB667E"/>
    <w:rsid w:val="00AB6719"/>
    <w:rsid w:val="00AB691E"/>
    <w:rsid w:val="00AB6A22"/>
    <w:rsid w:val="00AB6A2F"/>
    <w:rsid w:val="00AB6B49"/>
    <w:rsid w:val="00AB6C3F"/>
    <w:rsid w:val="00AB6C8A"/>
    <w:rsid w:val="00AB6D50"/>
    <w:rsid w:val="00AB6DC8"/>
    <w:rsid w:val="00AB6E9C"/>
    <w:rsid w:val="00AB6EC7"/>
    <w:rsid w:val="00AB72A6"/>
    <w:rsid w:val="00AB7399"/>
    <w:rsid w:val="00AB7445"/>
    <w:rsid w:val="00AB74C8"/>
    <w:rsid w:val="00AB7562"/>
    <w:rsid w:val="00AB764D"/>
    <w:rsid w:val="00AB76B2"/>
    <w:rsid w:val="00AB7778"/>
    <w:rsid w:val="00AB7811"/>
    <w:rsid w:val="00AB789B"/>
    <w:rsid w:val="00AB78F8"/>
    <w:rsid w:val="00AB7A43"/>
    <w:rsid w:val="00AB7C07"/>
    <w:rsid w:val="00AB7C45"/>
    <w:rsid w:val="00AB7EB2"/>
    <w:rsid w:val="00AB7F15"/>
    <w:rsid w:val="00AB7F97"/>
    <w:rsid w:val="00AB7FEE"/>
    <w:rsid w:val="00AC00AE"/>
    <w:rsid w:val="00AC01C9"/>
    <w:rsid w:val="00AC049F"/>
    <w:rsid w:val="00AC0605"/>
    <w:rsid w:val="00AC06DC"/>
    <w:rsid w:val="00AC077A"/>
    <w:rsid w:val="00AC0A33"/>
    <w:rsid w:val="00AC0B89"/>
    <w:rsid w:val="00AC0BBA"/>
    <w:rsid w:val="00AC0BCD"/>
    <w:rsid w:val="00AC0BD9"/>
    <w:rsid w:val="00AC10F7"/>
    <w:rsid w:val="00AC1279"/>
    <w:rsid w:val="00AC1394"/>
    <w:rsid w:val="00AC140F"/>
    <w:rsid w:val="00AC14A0"/>
    <w:rsid w:val="00AC15D0"/>
    <w:rsid w:val="00AC167A"/>
    <w:rsid w:val="00AC18C5"/>
    <w:rsid w:val="00AC197E"/>
    <w:rsid w:val="00AC1A95"/>
    <w:rsid w:val="00AC1C0D"/>
    <w:rsid w:val="00AC1CBF"/>
    <w:rsid w:val="00AC1D25"/>
    <w:rsid w:val="00AC1DC1"/>
    <w:rsid w:val="00AC1ECB"/>
    <w:rsid w:val="00AC1EE2"/>
    <w:rsid w:val="00AC2199"/>
    <w:rsid w:val="00AC220C"/>
    <w:rsid w:val="00AC224B"/>
    <w:rsid w:val="00AC2371"/>
    <w:rsid w:val="00AC2392"/>
    <w:rsid w:val="00AC2426"/>
    <w:rsid w:val="00AC2444"/>
    <w:rsid w:val="00AC2478"/>
    <w:rsid w:val="00AC247C"/>
    <w:rsid w:val="00AC2493"/>
    <w:rsid w:val="00AC26D4"/>
    <w:rsid w:val="00AC284C"/>
    <w:rsid w:val="00AC2889"/>
    <w:rsid w:val="00AC28B4"/>
    <w:rsid w:val="00AC290C"/>
    <w:rsid w:val="00AC2911"/>
    <w:rsid w:val="00AC29F1"/>
    <w:rsid w:val="00AC2A75"/>
    <w:rsid w:val="00AC2D74"/>
    <w:rsid w:val="00AC2E3C"/>
    <w:rsid w:val="00AC2EA0"/>
    <w:rsid w:val="00AC2F41"/>
    <w:rsid w:val="00AC3018"/>
    <w:rsid w:val="00AC3056"/>
    <w:rsid w:val="00AC30B4"/>
    <w:rsid w:val="00AC3353"/>
    <w:rsid w:val="00AC3606"/>
    <w:rsid w:val="00AC373F"/>
    <w:rsid w:val="00AC378D"/>
    <w:rsid w:val="00AC37BC"/>
    <w:rsid w:val="00AC37F3"/>
    <w:rsid w:val="00AC3876"/>
    <w:rsid w:val="00AC39B3"/>
    <w:rsid w:val="00AC3AB6"/>
    <w:rsid w:val="00AC3B47"/>
    <w:rsid w:val="00AC3B5C"/>
    <w:rsid w:val="00AC3B99"/>
    <w:rsid w:val="00AC3C5D"/>
    <w:rsid w:val="00AC3D01"/>
    <w:rsid w:val="00AC3D35"/>
    <w:rsid w:val="00AC3E30"/>
    <w:rsid w:val="00AC3F32"/>
    <w:rsid w:val="00AC3F6E"/>
    <w:rsid w:val="00AC4001"/>
    <w:rsid w:val="00AC401B"/>
    <w:rsid w:val="00AC4107"/>
    <w:rsid w:val="00AC41D3"/>
    <w:rsid w:val="00AC421C"/>
    <w:rsid w:val="00AC43E6"/>
    <w:rsid w:val="00AC442A"/>
    <w:rsid w:val="00AC451B"/>
    <w:rsid w:val="00AC4808"/>
    <w:rsid w:val="00AC486A"/>
    <w:rsid w:val="00AC4A98"/>
    <w:rsid w:val="00AC4AFE"/>
    <w:rsid w:val="00AC4B84"/>
    <w:rsid w:val="00AC4C11"/>
    <w:rsid w:val="00AC4C61"/>
    <w:rsid w:val="00AC4D11"/>
    <w:rsid w:val="00AC4D36"/>
    <w:rsid w:val="00AC4DBF"/>
    <w:rsid w:val="00AC4DDA"/>
    <w:rsid w:val="00AC4E7C"/>
    <w:rsid w:val="00AC4F2C"/>
    <w:rsid w:val="00AC529C"/>
    <w:rsid w:val="00AC52F4"/>
    <w:rsid w:val="00AC5506"/>
    <w:rsid w:val="00AC553C"/>
    <w:rsid w:val="00AC5593"/>
    <w:rsid w:val="00AC5600"/>
    <w:rsid w:val="00AC5612"/>
    <w:rsid w:val="00AC56DC"/>
    <w:rsid w:val="00AC5783"/>
    <w:rsid w:val="00AC57C8"/>
    <w:rsid w:val="00AC5951"/>
    <w:rsid w:val="00AC5ACE"/>
    <w:rsid w:val="00AC5B33"/>
    <w:rsid w:val="00AC5C1B"/>
    <w:rsid w:val="00AC5C85"/>
    <w:rsid w:val="00AC5E88"/>
    <w:rsid w:val="00AC5F97"/>
    <w:rsid w:val="00AC60B7"/>
    <w:rsid w:val="00AC6226"/>
    <w:rsid w:val="00AC63C2"/>
    <w:rsid w:val="00AC63D3"/>
    <w:rsid w:val="00AC64AA"/>
    <w:rsid w:val="00AC65CA"/>
    <w:rsid w:val="00AC69FD"/>
    <w:rsid w:val="00AC6B09"/>
    <w:rsid w:val="00AC6B59"/>
    <w:rsid w:val="00AC6B8D"/>
    <w:rsid w:val="00AC6CC6"/>
    <w:rsid w:val="00AC6D31"/>
    <w:rsid w:val="00AC6E4D"/>
    <w:rsid w:val="00AC6F1B"/>
    <w:rsid w:val="00AC6FA6"/>
    <w:rsid w:val="00AC714A"/>
    <w:rsid w:val="00AC7184"/>
    <w:rsid w:val="00AC7291"/>
    <w:rsid w:val="00AC73CA"/>
    <w:rsid w:val="00AC7464"/>
    <w:rsid w:val="00AC74AC"/>
    <w:rsid w:val="00AC7584"/>
    <w:rsid w:val="00AC7614"/>
    <w:rsid w:val="00AC765B"/>
    <w:rsid w:val="00AC7804"/>
    <w:rsid w:val="00AC782B"/>
    <w:rsid w:val="00AC79E6"/>
    <w:rsid w:val="00AC7A23"/>
    <w:rsid w:val="00AC7A7F"/>
    <w:rsid w:val="00AC7B98"/>
    <w:rsid w:val="00AC7BCA"/>
    <w:rsid w:val="00AC7D14"/>
    <w:rsid w:val="00AC7D4A"/>
    <w:rsid w:val="00AC7EBE"/>
    <w:rsid w:val="00AC7EF7"/>
    <w:rsid w:val="00AD01B3"/>
    <w:rsid w:val="00AD028D"/>
    <w:rsid w:val="00AD03B1"/>
    <w:rsid w:val="00AD041B"/>
    <w:rsid w:val="00AD0456"/>
    <w:rsid w:val="00AD05A4"/>
    <w:rsid w:val="00AD0741"/>
    <w:rsid w:val="00AD08B0"/>
    <w:rsid w:val="00AD09E4"/>
    <w:rsid w:val="00AD0A8E"/>
    <w:rsid w:val="00AD0BCA"/>
    <w:rsid w:val="00AD0BFB"/>
    <w:rsid w:val="00AD0C2B"/>
    <w:rsid w:val="00AD0E8C"/>
    <w:rsid w:val="00AD11B4"/>
    <w:rsid w:val="00AD122D"/>
    <w:rsid w:val="00AD136B"/>
    <w:rsid w:val="00AD14DA"/>
    <w:rsid w:val="00AD157B"/>
    <w:rsid w:val="00AD1845"/>
    <w:rsid w:val="00AD197E"/>
    <w:rsid w:val="00AD19DF"/>
    <w:rsid w:val="00AD1C6C"/>
    <w:rsid w:val="00AD1D50"/>
    <w:rsid w:val="00AD1DD6"/>
    <w:rsid w:val="00AD21C8"/>
    <w:rsid w:val="00AD221A"/>
    <w:rsid w:val="00AD22D2"/>
    <w:rsid w:val="00AD2352"/>
    <w:rsid w:val="00AD24AF"/>
    <w:rsid w:val="00AD2624"/>
    <w:rsid w:val="00AD2727"/>
    <w:rsid w:val="00AD2747"/>
    <w:rsid w:val="00AD276D"/>
    <w:rsid w:val="00AD27A4"/>
    <w:rsid w:val="00AD28F4"/>
    <w:rsid w:val="00AD2948"/>
    <w:rsid w:val="00AD2A09"/>
    <w:rsid w:val="00AD2A9F"/>
    <w:rsid w:val="00AD2CDA"/>
    <w:rsid w:val="00AD2CEB"/>
    <w:rsid w:val="00AD2D26"/>
    <w:rsid w:val="00AD2D7F"/>
    <w:rsid w:val="00AD2DC4"/>
    <w:rsid w:val="00AD2DFC"/>
    <w:rsid w:val="00AD2EAE"/>
    <w:rsid w:val="00AD2FBB"/>
    <w:rsid w:val="00AD2FDF"/>
    <w:rsid w:val="00AD301E"/>
    <w:rsid w:val="00AD30A4"/>
    <w:rsid w:val="00AD3165"/>
    <w:rsid w:val="00AD3214"/>
    <w:rsid w:val="00AD32AD"/>
    <w:rsid w:val="00AD3370"/>
    <w:rsid w:val="00AD3566"/>
    <w:rsid w:val="00AD35EF"/>
    <w:rsid w:val="00AD381A"/>
    <w:rsid w:val="00AD391A"/>
    <w:rsid w:val="00AD3987"/>
    <w:rsid w:val="00AD399D"/>
    <w:rsid w:val="00AD39BE"/>
    <w:rsid w:val="00AD3A64"/>
    <w:rsid w:val="00AD3A8E"/>
    <w:rsid w:val="00AD3C35"/>
    <w:rsid w:val="00AD3CE1"/>
    <w:rsid w:val="00AD3E8A"/>
    <w:rsid w:val="00AD3F4C"/>
    <w:rsid w:val="00AD405F"/>
    <w:rsid w:val="00AD4107"/>
    <w:rsid w:val="00AD4185"/>
    <w:rsid w:val="00AD41A3"/>
    <w:rsid w:val="00AD41AE"/>
    <w:rsid w:val="00AD41D3"/>
    <w:rsid w:val="00AD4205"/>
    <w:rsid w:val="00AD429F"/>
    <w:rsid w:val="00AD431F"/>
    <w:rsid w:val="00AD435F"/>
    <w:rsid w:val="00AD43E1"/>
    <w:rsid w:val="00AD4568"/>
    <w:rsid w:val="00AD46D1"/>
    <w:rsid w:val="00AD4805"/>
    <w:rsid w:val="00AD486B"/>
    <w:rsid w:val="00AD49E7"/>
    <w:rsid w:val="00AD49FD"/>
    <w:rsid w:val="00AD4A36"/>
    <w:rsid w:val="00AD4A86"/>
    <w:rsid w:val="00AD4E65"/>
    <w:rsid w:val="00AD4FC2"/>
    <w:rsid w:val="00AD510D"/>
    <w:rsid w:val="00AD51F7"/>
    <w:rsid w:val="00AD522D"/>
    <w:rsid w:val="00AD52AF"/>
    <w:rsid w:val="00AD53A2"/>
    <w:rsid w:val="00AD545B"/>
    <w:rsid w:val="00AD5597"/>
    <w:rsid w:val="00AD55B7"/>
    <w:rsid w:val="00AD55BB"/>
    <w:rsid w:val="00AD570F"/>
    <w:rsid w:val="00AD5720"/>
    <w:rsid w:val="00AD57CF"/>
    <w:rsid w:val="00AD582C"/>
    <w:rsid w:val="00AD5863"/>
    <w:rsid w:val="00AD5936"/>
    <w:rsid w:val="00AD5A8D"/>
    <w:rsid w:val="00AD5B97"/>
    <w:rsid w:val="00AD5BAD"/>
    <w:rsid w:val="00AD5C1B"/>
    <w:rsid w:val="00AD5C5A"/>
    <w:rsid w:val="00AD5C76"/>
    <w:rsid w:val="00AD5D46"/>
    <w:rsid w:val="00AD5D61"/>
    <w:rsid w:val="00AD5D64"/>
    <w:rsid w:val="00AD5F69"/>
    <w:rsid w:val="00AD5FEC"/>
    <w:rsid w:val="00AD6223"/>
    <w:rsid w:val="00AD645B"/>
    <w:rsid w:val="00AD64E2"/>
    <w:rsid w:val="00AD695A"/>
    <w:rsid w:val="00AD6B0D"/>
    <w:rsid w:val="00AD6BCA"/>
    <w:rsid w:val="00AD6C23"/>
    <w:rsid w:val="00AD6C86"/>
    <w:rsid w:val="00AD6CE3"/>
    <w:rsid w:val="00AD6DA3"/>
    <w:rsid w:val="00AD747F"/>
    <w:rsid w:val="00AD75DB"/>
    <w:rsid w:val="00AD766A"/>
    <w:rsid w:val="00AD76AD"/>
    <w:rsid w:val="00AD795C"/>
    <w:rsid w:val="00AD7A09"/>
    <w:rsid w:val="00AD7A3B"/>
    <w:rsid w:val="00AD7AB0"/>
    <w:rsid w:val="00AD7AF3"/>
    <w:rsid w:val="00AD7B4A"/>
    <w:rsid w:val="00AD7BFC"/>
    <w:rsid w:val="00AD7C3A"/>
    <w:rsid w:val="00AD7D57"/>
    <w:rsid w:val="00AD7DB8"/>
    <w:rsid w:val="00AD7DFD"/>
    <w:rsid w:val="00AD7E2B"/>
    <w:rsid w:val="00AD7EEC"/>
    <w:rsid w:val="00AD7EED"/>
    <w:rsid w:val="00AD7F63"/>
    <w:rsid w:val="00AD7FAF"/>
    <w:rsid w:val="00AE002A"/>
    <w:rsid w:val="00AE0035"/>
    <w:rsid w:val="00AE0231"/>
    <w:rsid w:val="00AE028B"/>
    <w:rsid w:val="00AE036C"/>
    <w:rsid w:val="00AE0508"/>
    <w:rsid w:val="00AE0623"/>
    <w:rsid w:val="00AE06C1"/>
    <w:rsid w:val="00AE06D4"/>
    <w:rsid w:val="00AE06EC"/>
    <w:rsid w:val="00AE0820"/>
    <w:rsid w:val="00AE088D"/>
    <w:rsid w:val="00AE089E"/>
    <w:rsid w:val="00AE08C3"/>
    <w:rsid w:val="00AE0A35"/>
    <w:rsid w:val="00AE0A71"/>
    <w:rsid w:val="00AE0E90"/>
    <w:rsid w:val="00AE0F55"/>
    <w:rsid w:val="00AE0FAA"/>
    <w:rsid w:val="00AE0FDD"/>
    <w:rsid w:val="00AE0FE2"/>
    <w:rsid w:val="00AE1021"/>
    <w:rsid w:val="00AE1029"/>
    <w:rsid w:val="00AE102B"/>
    <w:rsid w:val="00AE1049"/>
    <w:rsid w:val="00AE10DA"/>
    <w:rsid w:val="00AE10FC"/>
    <w:rsid w:val="00AE1359"/>
    <w:rsid w:val="00AE1474"/>
    <w:rsid w:val="00AE14F3"/>
    <w:rsid w:val="00AE152E"/>
    <w:rsid w:val="00AE1594"/>
    <w:rsid w:val="00AE1683"/>
    <w:rsid w:val="00AE16B7"/>
    <w:rsid w:val="00AE172A"/>
    <w:rsid w:val="00AE1830"/>
    <w:rsid w:val="00AE1842"/>
    <w:rsid w:val="00AE1A4E"/>
    <w:rsid w:val="00AE1A77"/>
    <w:rsid w:val="00AE1B20"/>
    <w:rsid w:val="00AE1BEF"/>
    <w:rsid w:val="00AE1C23"/>
    <w:rsid w:val="00AE1C37"/>
    <w:rsid w:val="00AE1E77"/>
    <w:rsid w:val="00AE215F"/>
    <w:rsid w:val="00AE216B"/>
    <w:rsid w:val="00AE21A8"/>
    <w:rsid w:val="00AE223E"/>
    <w:rsid w:val="00AE233D"/>
    <w:rsid w:val="00AE251C"/>
    <w:rsid w:val="00AE25F0"/>
    <w:rsid w:val="00AE2658"/>
    <w:rsid w:val="00AE26D4"/>
    <w:rsid w:val="00AE26E1"/>
    <w:rsid w:val="00AE27EA"/>
    <w:rsid w:val="00AE280F"/>
    <w:rsid w:val="00AE286A"/>
    <w:rsid w:val="00AE286F"/>
    <w:rsid w:val="00AE28B1"/>
    <w:rsid w:val="00AE2929"/>
    <w:rsid w:val="00AE2A8C"/>
    <w:rsid w:val="00AE2BE1"/>
    <w:rsid w:val="00AE2D37"/>
    <w:rsid w:val="00AE2FCD"/>
    <w:rsid w:val="00AE3018"/>
    <w:rsid w:val="00AE3124"/>
    <w:rsid w:val="00AE3131"/>
    <w:rsid w:val="00AE3144"/>
    <w:rsid w:val="00AE31E4"/>
    <w:rsid w:val="00AE326A"/>
    <w:rsid w:val="00AE329E"/>
    <w:rsid w:val="00AE32F3"/>
    <w:rsid w:val="00AE3309"/>
    <w:rsid w:val="00AE332A"/>
    <w:rsid w:val="00AE332E"/>
    <w:rsid w:val="00AE34D4"/>
    <w:rsid w:val="00AE34F0"/>
    <w:rsid w:val="00AE35A9"/>
    <w:rsid w:val="00AE369C"/>
    <w:rsid w:val="00AE371C"/>
    <w:rsid w:val="00AE3728"/>
    <w:rsid w:val="00AE3781"/>
    <w:rsid w:val="00AE3795"/>
    <w:rsid w:val="00AE3824"/>
    <w:rsid w:val="00AE387A"/>
    <w:rsid w:val="00AE3891"/>
    <w:rsid w:val="00AE3908"/>
    <w:rsid w:val="00AE39D2"/>
    <w:rsid w:val="00AE3A5D"/>
    <w:rsid w:val="00AE3B05"/>
    <w:rsid w:val="00AE3B10"/>
    <w:rsid w:val="00AE3B50"/>
    <w:rsid w:val="00AE3B86"/>
    <w:rsid w:val="00AE3B9A"/>
    <w:rsid w:val="00AE3BE3"/>
    <w:rsid w:val="00AE3E8E"/>
    <w:rsid w:val="00AE3F2F"/>
    <w:rsid w:val="00AE4091"/>
    <w:rsid w:val="00AE40A5"/>
    <w:rsid w:val="00AE4124"/>
    <w:rsid w:val="00AE412E"/>
    <w:rsid w:val="00AE415F"/>
    <w:rsid w:val="00AE41CE"/>
    <w:rsid w:val="00AE4256"/>
    <w:rsid w:val="00AE4267"/>
    <w:rsid w:val="00AE42CB"/>
    <w:rsid w:val="00AE42E8"/>
    <w:rsid w:val="00AE438F"/>
    <w:rsid w:val="00AE446A"/>
    <w:rsid w:val="00AE4486"/>
    <w:rsid w:val="00AE45CC"/>
    <w:rsid w:val="00AE45DA"/>
    <w:rsid w:val="00AE474E"/>
    <w:rsid w:val="00AE4930"/>
    <w:rsid w:val="00AE497E"/>
    <w:rsid w:val="00AE4999"/>
    <w:rsid w:val="00AE4A70"/>
    <w:rsid w:val="00AE4ABA"/>
    <w:rsid w:val="00AE4B93"/>
    <w:rsid w:val="00AE4CA8"/>
    <w:rsid w:val="00AE4D64"/>
    <w:rsid w:val="00AE4D99"/>
    <w:rsid w:val="00AE4DAC"/>
    <w:rsid w:val="00AE4DEE"/>
    <w:rsid w:val="00AE4ED9"/>
    <w:rsid w:val="00AE4F59"/>
    <w:rsid w:val="00AE502B"/>
    <w:rsid w:val="00AE516F"/>
    <w:rsid w:val="00AE5321"/>
    <w:rsid w:val="00AE5337"/>
    <w:rsid w:val="00AE53BD"/>
    <w:rsid w:val="00AE544B"/>
    <w:rsid w:val="00AE549F"/>
    <w:rsid w:val="00AE54ED"/>
    <w:rsid w:val="00AE554E"/>
    <w:rsid w:val="00AE57D5"/>
    <w:rsid w:val="00AE58F9"/>
    <w:rsid w:val="00AE5973"/>
    <w:rsid w:val="00AE59E8"/>
    <w:rsid w:val="00AE5A13"/>
    <w:rsid w:val="00AE5A3C"/>
    <w:rsid w:val="00AE5B8B"/>
    <w:rsid w:val="00AE5D6C"/>
    <w:rsid w:val="00AE5E15"/>
    <w:rsid w:val="00AE5E43"/>
    <w:rsid w:val="00AE5F39"/>
    <w:rsid w:val="00AE5F55"/>
    <w:rsid w:val="00AE609A"/>
    <w:rsid w:val="00AE61C3"/>
    <w:rsid w:val="00AE61F8"/>
    <w:rsid w:val="00AE64BC"/>
    <w:rsid w:val="00AE658D"/>
    <w:rsid w:val="00AE659B"/>
    <w:rsid w:val="00AE65D6"/>
    <w:rsid w:val="00AE66BB"/>
    <w:rsid w:val="00AE6799"/>
    <w:rsid w:val="00AE6A38"/>
    <w:rsid w:val="00AE6AD7"/>
    <w:rsid w:val="00AE6C1E"/>
    <w:rsid w:val="00AE6F59"/>
    <w:rsid w:val="00AE6F5B"/>
    <w:rsid w:val="00AE7099"/>
    <w:rsid w:val="00AE71E8"/>
    <w:rsid w:val="00AE7230"/>
    <w:rsid w:val="00AE735A"/>
    <w:rsid w:val="00AE74DB"/>
    <w:rsid w:val="00AE74DD"/>
    <w:rsid w:val="00AE7727"/>
    <w:rsid w:val="00AE77CC"/>
    <w:rsid w:val="00AE7812"/>
    <w:rsid w:val="00AE783D"/>
    <w:rsid w:val="00AE78F8"/>
    <w:rsid w:val="00AE7B1A"/>
    <w:rsid w:val="00AE7C21"/>
    <w:rsid w:val="00AE7EE0"/>
    <w:rsid w:val="00AF00FE"/>
    <w:rsid w:val="00AF0112"/>
    <w:rsid w:val="00AF027A"/>
    <w:rsid w:val="00AF027E"/>
    <w:rsid w:val="00AF02AF"/>
    <w:rsid w:val="00AF02EA"/>
    <w:rsid w:val="00AF0355"/>
    <w:rsid w:val="00AF04CC"/>
    <w:rsid w:val="00AF050A"/>
    <w:rsid w:val="00AF050B"/>
    <w:rsid w:val="00AF0611"/>
    <w:rsid w:val="00AF06E7"/>
    <w:rsid w:val="00AF07C5"/>
    <w:rsid w:val="00AF087E"/>
    <w:rsid w:val="00AF08B1"/>
    <w:rsid w:val="00AF0902"/>
    <w:rsid w:val="00AF0909"/>
    <w:rsid w:val="00AF0A14"/>
    <w:rsid w:val="00AF0D06"/>
    <w:rsid w:val="00AF0E22"/>
    <w:rsid w:val="00AF0E4A"/>
    <w:rsid w:val="00AF0E81"/>
    <w:rsid w:val="00AF0F02"/>
    <w:rsid w:val="00AF0F4F"/>
    <w:rsid w:val="00AF0FC5"/>
    <w:rsid w:val="00AF101D"/>
    <w:rsid w:val="00AF110F"/>
    <w:rsid w:val="00AF118C"/>
    <w:rsid w:val="00AF11A8"/>
    <w:rsid w:val="00AF11BD"/>
    <w:rsid w:val="00AF120E"/>
    <w:rsid w:val="00AF12C9"/>
    <w:rsid w:val="00AF12F3"/>
    <w:rsid w:val="00AF13E0"/>
    <w:rsid w:val="00AF1403"/>
    <w:rsid w:val="00AF1418"/>
    <w:rsid w:val="00AF14A0"/>
    <w:rsid w:val="00AF15AB"/>
    <w:rsid w:val="00AF164C"/>
    <w:rsid w:val="00AF1715"/>
    <w:rsid w:val="00AF187D"/>
    <w:rsid w:val="00AF18FA"/>
    <w:rsid w:val="00AF1904"/>
    <w:rsid w:val="00AF1981"/>
    <w:rsid w:val="00AF1A99"/>
    <w:rsid w:val="00AF1AC0"/>
    <w:rsid w:val="00AF1AFB"/>
    <w:rsid w:val="00AF1B34"/>
    <w:rsid w:val="00AF1B60"/>
    <w:rsid w:val="00AF1BB0"/>
    <w:rsid w:val="00AF1C13"/>
    <w:rsid w:val="00AF1C9A"/>
    <w:rsid w:val="00AF1CD7"/>
    <w:rsid w:val="00AF1E6A"/>
    <w:rsid w:val="00AF1E8A"/>
    <w:rsid w:val="00AF1F21"/>
    <w:rsid w:val="00AF1F79"/>
    <w:rsid w:val="00AF203F"/>
    <w:rsid w:val="00AF205F"/>
    <w:rsid w:val="00AF2075"/>
    <w:rsid w:val="00AF20DB"/>
    <w:rsid w:val="00AF22C9"/>
    <w:rsid w:val="00AF2558"/>
    <w:rsid w:val="00AF2AD4"/>
    <w:rsid w:val="00AF2B20"/>
    <w:rsid w:val="00AF2BD6"/>
    <w:rsid w:val="00AF2DAC"/>
    <w:rsid w:val="00AF2E27"/>
    <w:rsid w:val="00AF2EB4"/>
    <w:rsid w:val="00AF2F07"/>
    <w:rsid w:val="00AF2F38"/>
    <w:rsid w:val="00AF2FC0"/>
    <w:rsid w:val="00AF300E"/>
    <w:rsid w:val="00AF3025"/>
    <w:rsid w:val="00AF31C4"/>
    <w:rsid w:val="00AF32B8"/>
    <w:rsid w:val="00AF3586"/>
    <w:rsid w:val="00AF35BB"/>
    <w:rsid w:val="00AF3624"/>
    <w:rsid w:val="00AF3652"/>
    <w:rsid w:val="00AF36C6"/>
    <w:rsid w:val="00AF36F6"/>
    <w:rsid w:val="00AF371F"/>
    <w:rsid w:val="00AF383E"/>
    <w:rsid w:val="00AF3855"/>
    <w:rsid w:val="00AF38A4"/>
    <w:rsid w:val="00AF39D3"/>
    <w:rsid w:val="00AF3C36"/>
    <w:rsid w:val="00AF3C57"/>
    <w:rsid w:val="00AF411C"/>
    <w:rsid w:val="00AF41BE"/>
    <w:rsid w:val="00AF4398"/>
    <w:rsid w:val="00AF44C8"/>
    <w:rsid w:val="00AF4535"/>
    <w:rsid w:val="00AF464A"/>
    <w:rsid w:val="00AF4676"/>
    <w:rsid w:val="00AF4720"/>
    <w:rsid w:val="00AF480E"/>
    <w:rsid w:val="00AF4869"/>
    <w:rsid w:val="00AF488B"/>
    <w:rsid w:val="00AF4C95"/>
    <w:rsid w:val="00AF4E9D"/>
    <w:rsid w:val="00AF4F1B"/>
    <w:rsid w:val="00AF4F3B"/>
    <w:rsid w:val="00AF4F96"/>
    <w:rsid w:val="00AF5257"/>
    <w:rsid w:val="00AF52CA"/>
    <w:rsid w:val="00AF52CC"/>
    <w:rsid w:val="00AF52FE"/>
    <w:rsid w:val="00AF538E"/>
    <w:rsid w:val="00AF53E5"/>
    <w:rsid w:val="00AF555B"/>
    <w:rsid w:val="00AF55AA"/>
    <w:rsid w:val="00AF57E1"/>
    <w:rsid w:val="00AF57E5"/>
    <w:rsid w:val="00AF57FB"/>
    <w:rsid w:val="00AF5B6F"/>
    <w:rsid w:val="00AF5B73"/>
    <w:rsid w:val="00AF5BC3"/>
    <w:rsid w:val="00AF5D62"/>
    <w:rsid w:val="00AF5E3B"/>
    <w:rsid w:val="00AF602E"/>
    <w:rsid w:val="00AF6117"/>
    <w:rsid w:val="00AF6126"/>
    <w:rsid w:val="00AF614B"/>
    <w:rsid w:val="00AF627F"/>
    <w:rsid w:val="00AF62DC"/>
    <w:rsid w:val="00AF630E"/>
    <w:rsid w:val="00AF63B7"/>
    <w:rsid w:val="00AF6409"/>
    <w:rsid w:val="00AF6429"/>
    <w:rsid w:val="00AF643C"/>
    <w:rsid w:val="00AF64A0"/>
    <w:rsid w:val="00AF64F9"/>
    <w:rsid w:val="00AF6625"/>
    <w:rsid w:val="00AF67C7"/>
    <w:rsid w:val="00AF6955"/>
    <w:rsid w:val="00AF69BC"/>
    <w:rsid w:val="00AF6BD6"/>
    <w:rsid w:val="00AF6D01"/>
    <w:rsid w:val="00AF6DCC"/>
    <w:rsid w:val="00AF6F35"/>
    <w:rsid w:val="00AF6FD3"/>
    <w:rsid w:val="00AF719F"/>
    <w:rsid w:val="00AF72F8"/>
    <w:rsid w:val="00AF7547"/>
    <w:rsid w:val="00AF75D0"/>
    <w:rsid w:val="00AF76FA"/>
    <w:rsid w:val="00AF7812"/>
    <w:rsid w:val="00AF793B"/>
    <w:rsid w:val="00AF796F"/>
    <w:rsid w:val="00AF7985"/>
    <w:rsid w:val="00AF7AB0"/>
    <w:rsid w:val="00AF7AB5"/>
    <w:rsid w:val="00AF7C2C"/>
    <w:rsid w:val="00AF7F8E"/>
    <w:rsid w:val="00B0012A"/>
    <w:rsid w:val="00B0015C"/>
    <w:rsid w:val="00B0017C"/>
    <w:rsid w:val="00B00297"/>
    <w:rsid w:val="00B002AC"/>
    <w:rsid w:val="00B0030E"/>
    <w:rsid w:val="00B0036A"/>
    <w:rsid w:val="00B003DE"/>
    <w:rsid w:val="00B00533"/>
    <w:rsid w:val="00B005F1"/>
    <w:rsid w:val="00B00620"/>
    <w:rsid w:val="00B00781"/>
    <w:rsid w:val="00B007AE"/>
    <w:rsid w:val="00B00808"/>
    <w:rsid w:val="00B00989"/>
    <w:rsid w:val="00B009AD"/>
    <w:rsid w:val="00B009FC"/>
    <w:rsid w:val="00B00AC8"/>
    <w:rsid w:val="00B00AE5"/>
    <w:rsid w:val="00B00B69"/>
    <w:rsid w:val="00B00CF2"/>
    <w:rsid w:val="00B00E70"/>
    <w:rsid w:val="00B00E72"/>
    <w:rsid w:val="00B00FEC"/>
    <w:rsid w:val="00B01002"/>
    <w:rsid w:val="00B0118D"/>
    <w:rsid w:val="00B0130D"/>
    <w:rsid w:val="00B013EE"/>
    <w:rsid w:val="00B0150A"/>
    <w:rsid w:val="00B01576"/>
    <w:rsid w:val="00B01640"/>
    <w:rsid w:val="00B016FB"/>
    <w:rsid w:val="00B0179B"/>
    <w:rsid w:val="00B01822"/>
    <w:rsid w:val="00B01831"/>
    <w:rsid w:val="00B018E4"/>
    <w:rsid w:val="00B019DB"/>
    <w:rsid w:val="00B01B03"/>
    <w:rsid w:val="00B01BFE"/>
    <w:rsid w:val="00B01CBE"/>
    <w:rsid w:val="00B01CDB"/>
    <w:rsid w:val="00B01D3B"/>
    <w:rsid w:val="00B01EB2"/>
    <w:rsid w:val="00B01F35"/>
    <w:rsid w:val="00B01F45"/>
    <w:rsid w:val="00B01FBB"/>
    <w:rsid w:val="00B01FF3"/>
    <w:rsid w:val="00B0203B"/>
    <w:rsid w:val="00B02048"/>
    <w:rsid w:val="00B02126"/>
    <w:rsid w:val="00B0220A"/>
    <w:rsid w:val="00B0224E"/>
    <w:rsid w:val="00B0240C"/>
    <w:rsid w:val="00B02575"/>
    <w:rsid w:val="00B025A3"/>
    <w:rsid w:val="00B0275D"/>
    <w:rsid w:val="00B028AE"/>
    <w:rsid w:val="00B028BA"/>
    <w:rsid w:val="00B028C2"/>
    <w:rsid w:val="00B0291D"/>
    <w:rsid w:val="00B02990"/>
    <w:rsid w:val="00B02AB7"/>
    <w:rsid w:val="00B02B24"/>
    <w:rsid w:val="00B02B27"/>
    <w:rsid w:val="00B02E9E"/>
    <w:rsid w:val="00B02EB4"/>
    <w:rsid w:val="00B02F72"/>
    <w:rsid w:val="00B0304A"/>
    <w:rsid w:val="00B0328A"/>
    <w:rsid w:val="00B032B4"/>
    <w:rsid w:val="00B0338D"/>
    <w:rsid w:val="00B033BF"/>
    <w:rsid w:val="00B0340E"/>
    <w:rsid w:val="00B03442"/>
    <w:rsid w:val="00B03725"/>
    <w:rsid w:val="00B0390A"/>
    <w:rsid w:val="00B0390C"/>
    <w:rsid w:val="00B03944"/>
    <w:rsid w:val="00B039CB"/>
    <w:rsid w:val="00B03B8C"/>
    <w:rsid w:val="00B03BC6"/>
    <w:rsid w:val="00B03C63"/>
    <w:rsid w:val="00B03C74"/>
    <w:rsid w:val="00B03D34"/>
    <w:rsid w:val="00B03D35"/>
    <w:rsid w:val="00B03E09"/>
    <w:rsid w:val="00B03FC5"/>
    <w:rsid w:val="00B0403F"/>
    <w:rsid w:val="00B04058"/>
    <w:rsid w:val="00B04255"/>
    <w:rsid w:val="00B04324"/>
    <w:rsid w:val="00B0437D"/>
    <w:rsid w:val="00B043D9"/>
    <w:rsid w:val="00B0445F"/>
    <w:rsid w:val="00B04525"/>
    <w:rsid w:val="00B04608"/>
    <w:rsid w:val="00B04839"/>
    <w:rsid w:val="00B04B25"/>
    <w:rsid w:val="00B04B3B"/>
    <w:rsid w:val="00B04B86"/>
    <w:rsid w:val="00B04D85"/>
    <w:rsid w:val="00B04DE0"/>
    <w:rsid w:val="00B04EFD"/>
    <w:rsid w:val="00B04F0F"/>
    <w:rsid w:val="00B04F3E"/>
    <w:rsid w:val="00B04F51"/>
    <w:rsid w:val="00B0502A"/>
    <w:rsid w:val="00B05191"/>
    <w:rsid w:val="00B051FD"/>
    <w:rsid w:val="00B05468"/>
    <w:rsid w:val="00B0568E"/>
    <w:rsid w:val="00B0577B"/>
    <w:rsid w:val="00B05885"/>
    <w:rsid w:val="00B05902"/>
    <w:rsid w:val="00B0590F"/>
    <w:rsid w:val="00B0594C"/>
    <w:rsid w:val="00B0596E"/>
    <w:rsid w:val="00B059DE"/>
    <w:rsid w:val="00B05A4B"/>
    <w:rsid w:val="00B05AD3"/>
    <w:rsid w:val="00B05B3F"/>
    <w:rsid w:val="00B05B52"/>
    <w:rsid w:val="00B05CDC"/>
    <w:rsid w:val="00B05D1C"/>
    <w:rsid w:val="00B05EEE"/>
    <w:rsid w:val="00B0604C"/>
    <w:rsid w:val="00B060B3"/>
    <w:rsid w:val="00B06182"/>
    <w:rsid w:val="00B06323"/>
    <w:rsid w:val="00B0636F"/>
    <w:rsid w:val="00B06423"/>
    <w:rsid w:val="00B0642D"/>
    <w:rsid w:val="00B06631"/>
    <w:rsid w:val="00B0678F"/>
    <w:rsid w:val="00B06811"/>
    <w:rsid w:val="00B06833"/>
    <w:rsid w:val="00B06A79"/>
    <w:rsid w:val="00B06B09"/>
    <w:rsid w:val="00B06BB3"/>
    <w:rsid w:val="00B06CBA"/>
    <w:rsid w:val="00B06CBD"/>
    <w:rsid w:val="00B06DCF"/>
    <w:rsid w:val="00B06EB4"/>
    <w:rsid w:val="00B06F2D"/>
    <w:rsid w:val="00B07087"/>
    <w:rsid w:val="00B07252"/>
    <w:rsid w:val="00B072A2"/>
    <w:rsid w:val="00B0730E"/>
    <w:rsid w:val="00B0735E"/>
    <w:rsid w:val="00B07403"/>
    <w:rsid w:val="00B07472"/>
    <w:rsid w:val="00B0747E"/>
    <w:rsid w:val="00B07498"/>
    <w:rsid w:val="00B0773E"/>
    <w:rsid w:val="00B07743"/>
    <w:rsid w:val="00B0782E"/>
    <w:rsid w:val="00B0785D"/>
    <w:rsid w:val="00B078D1"/>
    <w:rsid w:val="00B078ED"/>
    <w:rsid w:val="00B079B4"/>
    <w:rsid w:val="00B079C3"/>
    <w:rsid w:val="00B07B0A"/>
    <w:rsid w:val="00B07BFC"/>
    <w:rsid w:val="00B07C9A"/>
    <w:rsid w:val="00B07D30"/>
    <w:rsid w:val="00B07D5A"/>
    <w:rsid w:val="00B07E45"/>
    <w:rsid w:val="00B07F00"/>
    <w:rsid w:val="00B07F76"/>
    <w:rsid w:val="00B1007F"/>
    <w:rsid w:val="00B10088"/>
    <w:rsid w:val="00B101EF"/>
    <w:rsid w:val="00B10257"/>
    <w:rsid w:val="00B102DD"/>
    <w:rsid w:val="00B102FF"/>
    <w:rsid w:val="00B1033B"/>
    <w:rsid w:val="00B1041A"/>
    <w:rsid w:val="00B1047F"/>
    <w:rsid w:val="00B1049D"/>
    <w:rsid w:val="00B104FF"/>
    <w:rsid w:val="00B10569"/>
    <w:rsid w:val="00B10570"/>
    <w:rsid w:val="00B105E9"/>
    <w:rsid w:val="00B10793"/>
    <w:rsid w:val="00B10866"/>
    <w:rsid w:val="00B1095A"/>
    <w:rsid w:val="00B109A5"/>
    <w:rsid w:val="00B10A1B"/>
    <w:rsid w:val="00B10B15"/>
    <w:rsid w:val="00B10C21"/>
    <w:rsid w:val="00B10C81"/>
    <w:rsid w:val="00B10DE2"/>
    <w:rsid w:val="00B10F45"/>
    <w:rsid w:val="00B10F57"/>
    <w:rsid w:val="00B10F5B"/>
    <w:rsid w:val="00B10FA9"/>
    <w:rsid w:val="00B11019"/>
    <w:rsid w:val="00B1109C"/>
    <w:rsid w:val="00B1111C"/>
    <w:rsid w:val="00B112B3"/>
    <w:rsid w:val="00B11387"/>
    <w:rsid w:val="00B113CF"/>
    <w:rsid w:val="00B114A9"/>
    <w:rsid w:val="00B114AB"/>
    <w:rsid w:val="00B11500"/>
    <w:rsid w:val="00B11668"/>
    <w:rsid w:val="00B116F0"/>
    <w:rsid w:val="00B11727"/>
    <w:rsid w:val="00B11784"/>
    <w:rsid w:val="00B1183F"/>
    <w:rsid w:val="00B118A3"/>
    <w:rsid w:val="00B11942"/>
    <w:rsid w:val="00B11AA9"/>
    <w:rsid w:val="00B11AF5"/>
    <w:rsid w:val="00B11EC7"/>
    <w:rsid w:val="00B11FF7"/>
    <w:rsid w:val="00B12009"/>
    <w:rsid w:val="00B1202B"/>
    <w:rsid w:val="00B1204B"/>
    <w:rsid w:val="00B12279"/>
    <w:rsid w:val="00B12323"/>
    <w:rsid w:val="00B123E1"/>
    <w:rsid w:val="00B1242D"/>
    <w:rsid w:val="00B12456"/>
    <w:rsid w:val="00B12479"/>
    <w:rsid w:val="00B124E8"/>
    <w:rsid w:val="00B126C8"/>
    <w:rsid w:val="00B1270D"/>
    <w:rsid w:val="00B127DB"/>
    <w:rsid w:val="00B12891"/>
    <w:rsid w:val="00B129A4"/>
    <w:rsid w:val="00B12A4F"/>
    <w:rsid w:val="00B12E0C"/>
    <w:rsid w:val="00B12E49"/>
    <w:rsid w:val="00B12E68"/>
    <w:rsid w:val="00B12E9F"/>
    <w:rsid w:val="00B12EE3"/>
    <w:rsid w:val="00B12F07"/>
    <w:rsid w:val="00B12F13"/>
    <w:rsid w:val="00B12F1C"/>
    <w:rsid w:val="00B130A0"/>
    <w:rsid w:val="00B13116"/>
    <w:rsid w:val="00B13225"/>
    <w:rsid w:val="00B133D2"/>
    <w:rsid w:val="00B1353C"/>
    <w:rsid w:val="00B136F5"/>
    <w:rsid w:val="00B137DD"/>
    <w:rsid w:val="00B13866"/>
    <w:rsid w:val="00B13A0C"/>
    <w:rsid w:val="00B13A68"/>
    <w:rsid w:val="00B13A69"/>
    <w:rsid w:val="00B13B1E"/>
    <w:rsid w:val="00B13C10"/>
    <w:rsid w:val="00B13D4F"/>
    <w:rsid w:val="00B13D7A"/>
    <w:rsid w:val="00B13DF8"/>
    <w:rsid w:val="00B13ECC"/>
    <w:rsid w:val="00B13FA2"/>
    <w:rsid w:val="00B14126"/>
    <w:rsid w:val="00B141DE"/>
    <w:rsid w:val="00B1431F"/>
    <w:rsid w:val="00B14413"/>
    <w:rsid w:val="00B14427"/>
    <w:rsid w:val="00B145D5"/>
    <w:rsid w:val="00B1463A"/>
    <w:rsid w:val="00B14648"/>
    <w:rsid w:val="00B14677"/>
    <w:rsid w:val="00B146A9"/>
    <w:rsid w:val="00B14907"/>
    <w:rsid w:val="00B149D6"/>
    <w:rsid w:val="00B14A7C"/>
    <w:rsid w:val="00B14BF6"/>
    <w:rsid w:val="00B14C37"/>
    <w:rsid w:val="00B14C55"/>
    <w:rsid w:val="00B14CF6"/>
    <w:rsid w:val="00B14CFF"/>
    <w:rsid w:val="00B14DDA"/>
    <w:rsid w:val="00B14F15"/>
    <w:rsid w:val="00B14F4A"/>
    <w:rsid w:val="00B150A1"/>
    <w:rsid w:val="00B15141"/>
    <w:rsid w:val="00B15166"/>
    <w:rsid w:val="00B151FA"/>
    <w:rsid w:val="00B1523C"/>
    <w:rsid w:val="00B152C7"/>
    <w:rsid w:val="00B15381"/>
    <w:rsid w:val="00B15425"/>
    <w:rsid w:val="00B15470"/>
    <w:rsid w:val="00B154F0"/>
    <w:rsid w:val="00B15723"/>
    <w:rsid w:val="00B15796"/>
    <w:rsid w:val="00B15838"/>
    <w:rsid w:val="00B15901"/>
    <w:rsid w:val="00B15921"/>
    <w:rsid w:val="00B1595F"/>
    <w:rsid w:val="00B15A0C"/>
    <w:rsid w:val="00B15A60"/>
    <w:rsid w:val="00B15BCA"/>
    <w:rsid w:val="00B15C28"/>
    <w:rsid w:val="00B15CD3"/>
    <w:rsid w:val="00B15D9C"/>
    <w:rsid w:val="00B15E18"/>
    <w:rsid w:val="00B15F7E"/>
    <w:rsid w:val="00B161A4"/>
    <w:rsid w:val="00B1624D"/>
    <w:rsid w:val="00B162A3"/>
    <w:rsid w:val="00B162D1"/>
    <w:rsid w:val="00B1640F"/>
    <w:rsid w:val="00B1646F"/>
    <w:rsid w:val="00B1687E"/>
    <w:rsid w:val="00B1695D"/>
    <w:rsid w:val="00B16ADF"/>
    <w:rsid w:val="00B16C52"/>
    <w:rsid w:val="00B16D11"/>
    <w:rsid w:val="00B1708E"/>
    <w:rsid w:val="00B1711D"/>
    <w:rsid w:val="00B1716F"/>
    <w:rsid w:val="00B171FC"/>
    <w:rsid w:val="00B17290"/>
    <w:rsid w:val="00B17375"/>
    <w:rsid w:val="00B173B1"/>
    <w:rsid w:val="00B17511"/>
    <w:rsid w:val="00B1760A"/>
    <w:rsid w:val="00B1775C"/>
    <w:rsid w:val="00B178EE"/>
    <w:rsid w:val="00B17A0A"/>
    <w:rsid w:val="00B17BA8"/>
    <w:rsid w:val="00B17C2A"/>
    <w:rsid w:val="00B17FA4"/>
    <w:rsid w:val="00B17FCA"/>
    <w:rsid w:val="00B20129"/>
    <w:rsid w:val="00B201AB"/>
    <w:rsid w:val="00B202DB"/>
    <w:rsid w:val="00B20421"/>
    <w:rsid w:val="00B20502"/>
    <w:rsid w:val="00B20529"/>
    <w:rsid w:val="00B20602"/>
    <w:rsid w:val="00B2066C"/>
    <w:rsid w:val="00B206AF"/>
    <w:rsid w:val="00B207B1"/>
    <w:rsid w:val="00B208E1"/>
    <w:rsid w:val="00B209E8"/>
    <w:rsid w:val="00B20B22"/>
    <w:rsid w:val="00B20BE0"/>
    <w:rsid w:val="00B20C7D"/>
    <w:rsid w:val="00B20ED7"/>
    <w:rsid w:val="00B20F5E"/>
    <w:rsid w:val="00B20F9C"/>
    <w:rsid w:val="00B21010"/>
    <w:rsid w:val="00B2112D"/>
    <w:rsid w:val="00B2117D"/>
    <w:rsid w:val="00B212EA"/>
    <w:rsid w:val="00B21456"/>
    <w:rsid w:val="00B215AE"/>
    <w:rsid w:val="00B215EF"/>
    <w:rsid w:val="00B21713"/>
    <w:rsid w:val="00B2172A"/>
    <w:rsid w:val="00B21750"/>
    <w:rsid w:val="00B21832"/>
    <w:rsid w:val="00B21916"/>
    <w:rsid w:val="00B219AE"/>
    <w:rsid w:val="00B21A4F"/>
    <w:rsid w:val="00B21A67"/>
    <w:rsid w:val="00B21A6F"/>
    <w:rsid w:val="00B21B78"/>
    <w:rsid w:val="00B21D7E"/>
    <w:rsid w:val="00B21DFF"/>
    <w:rsid w:val="00B21E86"/>
    <w:rsid w:val="00B21E90"/>
    <w:rsid w:val="00B2206C"/>
    <w:rsid w:val="00B2211D"/>
    <w:rsid w:val="00B22558"/>
    <w:rsid w:val="00B2263A"/>
    <w:rsid w:val="00B22778"/>
    <w:rsid w:val="00B2282C"/>
    <w:rsid w:val="00B228CA"/>
    <w:rsid w:val="00B22A71"/>
    <w:rsid w:val="00B22BAC"/>
    <w:rsid w:val="00B22C62"/>
    <w:rsid w:val="00B22D31"/>
    <w:rsid w:val="00B22D9B"/>
    <w:rsid w:val="00B22E66"/>
    <w:rsid w:val="00B22EDF"/>
    <w:rsid w:val="00B23057"/>
    <w:rsid w:val="00B2321C"/>
    <w:rsid w:val="00B2341C"/>
    <w:rsid w:val="00B2346B"/>
    <w:rsid w:val="00B23525"/>
    <w:rsid w:val="00B23534"/>
    <w:rsid w:val="00B23703"/>
    <w:rsid w:val="00B2377A"/>
    <w:rsid w:val="00B23793"/>
    <w:rsid w:val="00B2393D"/>
    <w:rsid w:val="00B23A08"/>
    <w:rsid w:val="00B23B2F"/>
    <w:rsid w:val="00B23C22"/>
    <w:rsid w:val="00B23C26"/>
    <w:rsid w:val="00B23C28"/>
    <w:rsid w:val="00B23EC9"/>
    <w:rsid w:val="00B23FBD"/>
    <w:rsid w:val="00B24114"/>
    <w:rsid w:val="00B241B1"/>
    <w:rsid w:val="00B241B2"/>
    <w:rsid w:val="00B24364"/>
    <w:rsid w:val="00B24419"/>
    <w:rsid w:val="00B244B2"/>
    <w:rsid w:val="00B244FC"/>
    <w:rsid w:val="00B24907"/>
    <w:rsid w:val="00B249F5"/>
    <w:rsid w:val="00B24A0E"/>
    <w:rsid w:val="00B24A21"/>
    <w:rsid w:val="00B24AEC"/>
    <w:rsid w:val="00B24BDC"/>
    <w:rsid w:val="00B24C86"/>
    <w:rsid w:val="00B24D53"/>
    <w:rsid w:val="00B24EE1"/>
    <w:rsid w:val="00B24EF4"/>
    <w:rsid w:val="00B24F7E"/>
    <w:rsid w:val="00B24F92"/>
    <w:rsid w:val="00B2502D"/>
    <w:rsid w:val="00B25081"/>
    <w:rsid w:val="00B25226"/>
    <w:rsid w:val="00B25317"/>
    <w:rsid w:val="00B253DD"/>
    <w:rsid w:val="00B25410"/>
    <w:rsid w:val="00B255AA"/>
    <w:rsid w:val="00B2589C"/>
    <w:rsid w:val="00B2598D"/>
    <w:rsid w:val="00B259A5"/>
    <w:rsid w:val="00B25B98"/>
    <w:rsid w:val="00B25B9E"/>
    <w:rsid w:val="00B25BEF"/>
    <w:rsid w:val="00B25D0D"/>
    <w:rsid w:val="00B25E56"/>
    <w:rsid w:val="00B2613B"/>
    <w:rsid w:val="00B266C2"/>
    <w:rsid w:val="00B26712"/>
    <w:rsid w:val="00B2680D"/>
    <w:rsid w:val="00B2693C"/>
    <w:rsid w:val="00B26969"/>
    <w:rsid w:val="00B26994"/>
    <w:rsid w:val="00B269C8"/>
    <w:rsid w:val="00B26A13"/>
    <w:rsid w:val="00B26C27"/>
    <w:rsid w:val="00B26CC4"/>
    <w:rsid w:val="00B26F1F"/>
    <w:rsid w:val="00B27248"/>
    <w:rsid w:val="00B27398"/>
    <w:rsid w:val="00B273E3"/>
    <w:rsid w:val="00B274DD"/>
    <w:rsid w:val="00B274F9"/>
    <w:rsid w:val="00B27523"/>
    <w:rsid w:val="00B2762C"/>
    <w:rsid w:val="00B2773D"/>
    <w:rsid w:val="00B27ADE"/>
    <w:rsid w:val="00B27B82"/>
    <w:rsid w:val="00B27C64"/>
    <w:rsid w:val="00B27D0D"/>
    <w:rsid w:val="00B27D15"/>
    <w:rsid w:val="00B27E18"/>
    <w:rsid w:val="00B27E97"/>
    <w:rsid w:val="00B27EB0"/>
    <w:rsid w:val="00B27F95"/>
    <w:rsid w:val="00B30062"/>
    <w:rsid w:val="00B300C8"/>
    <w:rsid w:val="00B301AE"/>
    <w:rsid w:val="00B30272"/>
    <w:rsid w:val="00B3029A"/>
    <w:rsid w:val="00B30505"/>
    <w:rsid w:val="00B30517"/>
    <w:rsid w:val="00B3053D"/>
    <w:rsid w:val="00B305C6"/>
    <w:rsid w:val="00B30734"/>
    <w:rsid w:val="00B30772"/>
    <w:rsid w:val="00B3080D"/>
    <w:rsid w:val="00B30A0A"/>
    <w:rsid w:val="00B30B61"/>
    <w:rsid w:val="00B30BB1"/>
    <w:rsid w:val="00B30BCC"/>
    <w:rsid w:val="00B30D92"/>
    <w:rsid w:val="00B30F3F"/>
    <w:rsid w:val="00B310A5"/>
    <w:rsid w:val="00B313E0"/>
    <w:rsid w:val="00B31443"/>
    <w:rsid w:val="00B31458"/>
    <w:rsid w:val="00B314DA"/>
    <w:rsid w:val="00B315B7"/>
    <w:rsid w:val="00B316C8"/>
    <w:rsid w:val="00B3171C"/>
    <w:rsid w:val="00B31884"/>
    <w:rsid w:val="00B318AB"/>
    <w:rsid w:val="00B318D2"/>
    <w:rsid w:val="00B31967"/>
    <w:rsid w:val="00B3198B"/>
    <w:rsid w:val="00B31D24"/>
    <w:rsid w:val="00B31E0D"/>
    <w:rsid w:val="00B31F41"/>
    <w:rsid w:val="00B32002"/>
    <w:rsid w:val="00B32053"/>
    <w:rsid w:val="00B320BD"/>
    <w:rsid w:val="00B320E9"/>
    <w:rsid w:val="00B3212F"/>
    <w:rsid w:val="00B323B4"/>
    <w:rsid w:val="00B32431"/>
    <w:rsid w:val="00B32496"/>
    <w:rsid w:val="00B32512"/>
    <w:rsid w:val="00B3260D"/>
    <w:rsid w:val="00B3268A"/>
    <w:rsid w:val="00B326E9"/>
    <w:rsid w:val="00B327B2"/>
    <w:rsid w:val="00B327FF"/>
    <w:rsid w:val="00B32874"/>
    <w:rsid w:val="00B328FF"/>
    <w:rsid w:val="00B32A02"/>
    <w:rsid w:val="00B32B00"/>
    <w:rsid w:val="00B32B61"/>
    <w:rsid w:val="00B32BEA"/>
    <w:rsid w:val="00B32CD9"/>
    <w:rsid w:val="00B32DCE"/>
    <w:rsid w:val="00B32FCB"/>
    <w:rsid w:val="00B330F5"/>
    <w:rsid w:val="00B33146"/>
    <w:rsid w:val="00B331C1"/>
    <w:rsid w:val="00B331DD"/>
    <w:rsid w:val="00B33298"/>
    <w:rsid w:val="00B332B2"/>
    <w:rsid w:val="00B333B9"/>
    <w:rsid w:val="00B334A6"/>
    <w:rsid w:val="00B33A02"/>
    <w:rsid w:val="00B33AFA"/>
    <w:rsid w:val="00B33B13"/>
    <w:rsid w:val="00B33C46"/>
    <w:rsid w:val="00B33CBC"/>
    <w:rsid w:val="00B33DF7"/>
    <w:rsid w:val="00B33DFB"/>
    <w:rsid w:val="00B33E7A"/>
    <w:rsid w:val="00B33EAC"/>
    <w:rsid w:val="00B33F36"/>
    <w:rsid w:val="00B3402D"/>
    <w:rsid w:val="00B3403D"/>
    <w:rsid w:val="00B34050"/>
    <w:rsid w:val="00B341F6"/>
    <w:rsid w:val="00B34211"/>
    <w:rsid w:val="00B34271"/>
    <w:rsid w:val="00B342F1"/>
    <w:rsid w:val="00B34317"/>
    <w:rsid w:val="00B3434A"/>
    <w:rsid w:val="00B343B0"/>
    <w:rsid w:val="00B3450D"/>
    <w:rsid w:val="00B34604"/>
    <w:rsid w:val="00B34656"/>
    <w:rsid w:val="00B346A4"/>
    <w:rsid w:val="00B348C0"/>
    <w:rsid w:val="00B34902"/>
    <w:rsid w:val="00B34964"/>
    <w:rsid w:val="00B34BB0"/>
    <w:rsid w:val="00B34C9E"/>
    <w:rsid w:val="00B34CD6"/>
    <w:rsid w:val="00B34D1A"/>
    <w:rsid w:val="00B34D34"/>
    <w:rsid w:val="00B34DA2"/>
    <w:rsid w:val="00B34FB6"/>
    <w:rsid w:val="00B35012"/>
    <w:rsid w:val="00B35044"/>
    <w:rsid w:val="00B35185"/>
    <w:rsid w:val="00B35268"/>
    <w:rsid w:val="00B352C2"/>
    <w:rsid w:val="00B352CF"/>
    <w:rsid w:val="00B35414"/>
    <w:rsid w:val="00B35499"/>
    <w:rsid w:val="00B354D7"/>
    <w:rsid w:val="00B3560E"/>
    <w:rsid w:val="00B356B5"/>
    <w:rsid w:val="00B35868"/>
    <w:rsid w:val="00B35BA5"/>
    <w:rsid w:val="00B35D4F"/>
    <w:rsid w:val="00B35E41"/>
    <w:rsid w:val="00B35F50"/>
    <w:rsid w:val="00B35FC5"/>
    <w:rsid w:val="00B361D5"/>
    <w:rsid w:val="00B3641A"/>
    <w:rsid w:val="00B3641C"/>
    <w:rsid w:val="00B3647A"/>
    <w:rsid w:val="00B3648D"/>
    <w:rsid w:val="00B364A2"/>
    <w:rsid w:val="00B36539"/>
    <w:rsid w:val="00B3655A"/>
    <w:rsid w:val="00B365B2"/>
    <w:rsid w:val="00B365F9"/>
    <w:rsid w:val="00B3665E"/>
    <w:rsid w:val="00B36736"/>
    <w:rsid w:val="00B367E6"/>
    <w:rsid w:val="00B367FD"/>
    <w:rsid w:val="00B36834"/>
    <w:rsid w:val="00B36945"/>
    <w:rsid w:val="00B369E5"/>
    <w:rsid w:val="00B36A13"/>
    <w:rsid w:val="00B36BCC"/>
    <w:rsid w:val="00B36CDA"/>
    <w:rsid w:val="00B36CE9"/>
    <w:rsid w:val="00B36D6A"/>
    <w:rsid w:val="00B36FBF"/>
    <w:rsid w:val="00B370A3"/>
    <w:rsid w:val="00B3711C"/>
    <w:rsid w:val="00B3728D"/>
    <w:rsid w:val="00B37315"/>
    <w:rsid w:val="00B373AA"/>
    <w:rsid w:val="00B373D8"/>
    <w:rsid w:val="00B373F4"/>
    <w:rsid w:val="00B3744D"/>
    <w:rsid w:val="00B375A3"/>
    <w:rsid w:val="00B37642"/>
    <w:rsid w:val="00B37695"/>
    <w:rsid w:val="00B376B2"/>
    <w:rsid w:val="00B377D3"/>
    <w:rsid w:val="00B37812"/>
    <w:rsid w:val="00B3791E"/>
    <w:rsid w:val="00B37945"/>
    <w:rsid w:val="00B37A19"/>
    <w:rsid w:val="00B37A1E"/>
    <w:rsid w:val="00B37A8C"/>
    <w:rsid w:val="00B37BB4"/>
    <w:rsid w:val="00B37CCD"/>
    <w:rsid w:val="00B37CD0"/>
    <w:rsid w:val="00B37DA8"/>
    <w:rsid w:val="00B37DB5"/>
    <w:rsid w:val="00B40019"/>
    <w:rsid w:val="00B4038B"/>
    <w:rsid w:val="00B40608"/>
    <w:rsid w:val="00B40660"/>
    <w:rsid w:val="00B40688"/>
    <w:rsid w:val="00B4069D"/>
    <w:rsid w:val="00B406A3"/>
    <w:rsid w:val="00B4073D"/>
    <w:rsid w:val="00B40792"/>
    <w:rsid w:val="00B407CE"/>
    <w:rsid w:val="00B40A7F"/>
    <w:rsid w:val="00B40C35"/>
    <w:rsid w:val="00B40C70"/>
    <w:rsid w:val="00B40C89"/>
    <w:rsid w:val="00B40CAD"/>
    <w:rsid w:val="00B40CC7"/>
    <w:rsid w:val="00B40CDA"/>
    <w:rsid w:val="00B40DC7"/>
    <w:rsid w:val="00B40F17"/>
    <w:rsid w:val="00B4102E"/>
    <w:rsid w:val="00B410B5"/>
    <w:rsid w:val="00B4120F"/>
    <w:rsid w:val="00B41225"/>
    <w:rsid w:val="00B4122D"/>
    <w:rsid w:val="00B412F0"/>
    <w:rsid w:val="00B41517"/>
    <w:rsid w:val="00B41636"/>
    <w:rsid w:val="00B416B0"/>
    <w:rsid w:val="00B416D5"/>
    <w:rsid w:val="00B41825"/>
    <w:rsid w:val="00B41894"/>
    <w:rsid w:val="00B4190E"/>
    <w:rsid w:val="00B4191F"/>
    <w:rsid w:val="00B419B9"/>
    <w:rsid w:val="00B41A0E"/>
    <w:rsid w:val="00B41A3E"/>
    <w:rsid w:val="00B41C34"/>
    <w:rsid w:val="00B41CA0"/>
    <w:rsid w:val="00B41D60"/>
    <w:rsid w:val="00B41FF5"/>
    <w:rsid w:val="00B42079"/>
    <w:rsid w:val="00B4230B"/>
    <w:rsid w:val="00B42377"/>
    <w:rsid w:val="00B42458"/>
    <w:rsid w:val="00B424C2"/>
    <w:rsid w:val="00B424D5"/>
    <w:rsid w:val="00B425C8"/>
    <w:rsid w:val="00B428FE"/>
    <w:rsid w:val="00B42B89"/>
    <w:rsid w:val="00B42DB0"/>
    <w:rsid w:val="00B42F3C"/>
    <w:rsid w:val="00B42F59"/>
    <w:rsid w:val="00B42FCC"/>
    <w:rsid w:val="00B42FFB"/>
    <w:rsid w:val="00B43024"/>
    <w:rsid w:val="00B431DE"/>
    <w:rsid w:val="00B4343D"/>
    <w:rsid w:val="00B436A7"/>
    <w:rsid w:val="00B4386C"/>
    <w:rsid w:val="00B4394D"/>
    <w:rsid w:val="00B43963"/>
    <w:rsid w:val="00B43AE1"/>
    <w:rsid w:val="00B43AEC"/>
    <w:rsid w:val="00B43B5D"/>
    <w:rsid w:val="00B43B80"/>
    <w:rsid w:val="00B43C88"/>
    <w:rsid w:val="00B43C94"/>
    <w:rsid w:val="00B442F8"/>
    <w:rsid w:val="00B4431E"/>
    <w:rsid w:val="00B44361"/>
    <w:rsid w:val="00B4436C"/>
    <w:rsid w:val="00B443FD"/>
    <w:rsid w:val="00B44458"/>
    <w:rsid w:val="00B4446B"/>
    <w:rsid w:val="00B444BC"/>
    <w:rsid w:val="00B445C7"/>
    <w:rsid w:val="00B4471F"/>
    <w:rsid w:val="00B44799"/>
    <w:rsid w:val="00B447B8"/>
    <w:rsid w:val="00B447D9"/>
    <w:rsid w:val="00B44A31"/>
    <w:rsid w:val="00B44A35"/>
    <w:rsid w:val="00B44A54"/>
    <w:rsid w:val="00B44A82"/>
    <w:rsid w:val="00B44B1C"/>
    <w:rsid w:val="00B44D3C"/>
    <w:rsid w:val="00B44E60"/>
    <w:rsid w:val="00B44EA0"/>
    <w:rsid w:val="00B44EA2"/>
    <w:rsid w:val="00B44F6E"/>
    <w:rsid w:val="00B4500F"/>
    <w:rsid w:val="00B45096"/>
    <w:rsid w:val="00B45133"/>
    <w:rsid w:val="00B45250"/>
    <w:rsid w:val="00B45456"/>
    <w:rsid w:val="00B45463"/>
    <w:rsid w:val="00B454F3"/>
    <w:rsid w:val="00B455E2"/>
    <w:rsid w:val="00B45902"/>
    <w:rsid w:val="00B45A1A"/>
    <w:rsid w:val="00B45A84"/>
    <w:rsid w:val="00B45A8A"/>
    <w:rsid w:val="00B45B70"/>
    <w:rsid w:val="00B45B92"/>
    <w:rsid w:val="00B45B96"/>
    <w:rsid w:val="00B45CB5"/>
    <w:rsid w:val="00B45CDA"/>
    <w:rsid w:val="00B45D92"/>
    <w:rsid w:val="00B45ED6"/>
    <w:rsid w:val="00B45F14"/>
    <w:rsid w:val="00B45FA7"/>
    <w:rsid w:val="00B46085"/>
    <w:rsid w:val="00B460D6"/>
    <w:rsid w:val="00B46329"/>
    <w:rsid w:val="00B46348"/>
    <w:rsid w:val="00B465FD"/>
    <w:rsid w:val="00B4660E"/>
    <w:rsid w:val="00B4665B"/>
    <w:rsid w:val="00B4674F"/>
    <w:rsid w:val="00B4677A"/>
    <w:rsid w:val="00B468D8"/>
    <w:rsid w:val="00B46A05"/>
    <w:rsid w:val="00B46AB5"/>
    <w:rsid w:val="00B46ACB"/>
    <w:rsid w:val="00B46AE2"/>
    <w:rsid w:val="00B46B02"/>
    <w:rsid w:val="00B46B7D"/>
    <w:rsid w:val="00B46C50"/>
    <w:rsid w:val="00B46DDD"/>
    <w:rsid w:val="00B46E02"/>
    <w:rsid w:val="00B46EE0"/>
    <w:rsid w:val="00B46F70"/>
    <w:rsid w:val="00B47018"/>
    <w:rsid w:val="00B4705A"/>
    <w:rsid w:val="00B4708E"/>
    <w:rsid w:val="00B47179"/>
    <w:rsid w:val="00B47185"/>
    <w:rsid w:val="00B471FF"/>
    <w:rsid w:val="00B47293"/>
    <w:rsid w:val="00B473E0"/>
    <w:rsid w:val="00B47473"/>
    <w:rsid w:val="00B47551"/>
    <w:rsid w:val="00B4756C"/>
    <w:rsid w:val="00B475AD"/>
    <w:rsid w:val="00B47610"/>
    <w:rsid w:val="00B477B9"/>
    <w:rsid w:val="00B47852"/>
    <w:rsid w:val="00B478B3"/>
    <w:rsid w:val="00B47A76"/>
    <w:rsid w:val="00B47AB3"/>
    <w:rsid w:val="00B47BDF"/>
    <w:rsid w:val="00B47C22"/>
    <w:rsid w:val="00B47C63"/>
    <w:rsid w:val="00B47CF4"/>
    <w:rsid w:val="00B47D0E"/>
    <w:rsid w:val="00B47E9A"/>
    <w:rsid w:val="00B47F82"/>
    <w:rsid w:val="00B500E5"/>
    <w:rsid w:val="00B501F8"/>
    <w:rsid w:val="00B50240"/>
    <w:rsid w:val="00B5024B"/>
    <w:rsid w:val="00B5038E"/>
    <w:rsid w:val="00B50744"/>
    <w:rsid w:val="00B5074F"/>
    <w:rsid w:val="00B507BE"/>
    <w:rsid w:val="00B508CB"/>
    <w:rsid w:val="00B50A63"/>
    <w:rsid w:val="00B50A73"/>
    <w:rsid w:val="00B50ADF"/>
    <w:rsid w:val="00B50B62"/>
    <w:rsid w:val="00B50BCC"/>
    <w:rsid w:val="00B50C6C"/>
    <w:rsid w:val="00B50C8B"/>
    <w:rsid w:val="00B50CAC"/>
    <w:rsid w:val="00B50CFB"/>
    <w:rsid w:val="00B50D68"/>
    <w:rsid w:val="00B50DA3"/>
    <w:rsid w:val="00B50FDC"/>
    <w:rsid w:val="00B510FA"/>
    <w:rsid w:val="00B5112C"/>
    <w:rsid w:val="00B51153"/>
    <w:rsid w:val="00B5123B"/>
    <w:rsid w:val="00B51344"/>
    <w:rsid w:val="00B5144F"/>
    <w:rsid w:val="00B514C2"/>
    <w:rsid w:val="00B515EB"/>
    <w:rsid w:val="00B51679"/>
    <w:rsid w:val="00B5171B"/>
    <w:rsid w:val="00B5177D"/>
    <w:rsid w:val="00B5185C"/>
    <w:rsid w:val="00B51A0D"/>
    <w:rsid w:val="00B51B93"/>
    <w:rsid w:val="00B51BB5"/>
    <w:rsid w:val="00B51BF4"/>
    <w:rsid w:val="00B51C25"/>
    <w:rsid w:val="00B51C43"/>
    <w:rsid w:val="00B51C73"/>
    <w:rsid w:val="00B51C7A"/>
    <w:rsid w:val="00B51CAA"/>
    <w:rsid w:val="00B51D52"/>
    <w:rsid w:val="00B51DD5"/>
    <w:rsid w:val="00B51E08"/>
    <w:rsid w:val="00B51EBA"/>
    <w:rsid w:val="00B51F7A"/>
    <w:rsid w:val="00B51F86"/>
    <w:rsid w:val="00B51FF0"/>
    <w:rsid w:val="00B5211D"/>
    <w:rsid w:val="00B521AA"/>
    <w:rsid w:val="00B52411"/>
    <w:rsid w:val="00B52491"/>
    <w:rsid w:val="00B524DA"/>
    <w:rsid w:val="00B5258C"/>
    <w:rsid w:val="00B52598"/>
    <w:rsid w:val="00B527A0"/>
    <w:rsid w:val="00B5284C"/>
    <w:rsid w:val="00B52933"/>
    <w:rsid w:val="00B52A3B"/>
    <w:rsid w:val="00B52BCA"/>
    <w:rsid w:val="00B52CBC"/>
    <w:rsid w:val="00B52D93"/>
    <w:rsid w:val="00B52DAE"/>
    <w:rsid w:val="00B52ED2"/>
    <w:rsid w:val="00B52FA7"/>
    <w:rsid w:val="00B52FE1"/>
    <w:rsid w:val="00B53061"/>
    <w:rsid w:val="00B53224"/>
    <w:rsid w:val="00B53274"/>
    <w:rsid w:val="00B532EF"/>
    <w:rsid w:val="00B53379"/>
    <w:rsid w:val="00B53494"/>
    <w:rsid w:val="00B534FE"/>
    <w:rsid w:val="00B53518"/>
    <w:rsid w:val="00B535B3"/>
    <w:rsid w:val="00B536E3"/>
    <w:rsid w:val="00B53802"/>
    <w:rsid w:val="00B5381A"/>
    <w:rsid w:val="00B538FC"/>
    <w:rsid w:val="00B53A96"/>
    <w:rsid w:val="00B53B33"/>
    <w:rsid w:val="00B53BCB"/>
    <w:rsid w:val="00B53C8C"/>
    <w:rsid w:val="00B53D9F"/>
    <w:rsid w:val="00B53F0C"/>
    <w:rsid w:val="00B53F25"/>
    <w:rsid w:val="00B54208"/>
    <w:rsid w:val="00B5421B"/>
    <w:rsid w:val="00B542AE"/>
    <w:rsid w:val="00B54378"/>
    <w:rsid w:val="00B543E5"/>
    <w:rsid w:val="00B54543"/>
    <w:rsid w:val="00B54659"/>
    <w:rsid w:val="00B546EE"/>
    <w:rsid w:val="00B5486E"/>
    <w:rsid w:val="00B548A8"/>
    <w:rsid w:val="00B548DC"/>
    <w:rsid w:val="00B548F9"/>
    <w:rsid w:val="00B549DA"/>
    <w:rsid w:val="00B549E8"/>
    <w:rsid w:val="00B54A15"/>
    <w:rsid w:val="00B54B3F"/>
    <w:rsid w:val="00B54BD8"/>
    <w:rsid w:val="00B54BDF"/>
    <w:rsid w:val="00B54D00"/>
    <w:rsid w:val="00B54D3E"/>
    <w:rsid w:val="00B54EE2"/>
    <w:rsid w:val="00B54F43"/>
    <w:rsid w:val="00B54F95"/>
    <w:rsid w:val="00B54FF1"/>
    <w:rsid w:val="00B55047"/>
    <w:rsid w:val="00B5509E"/>
    <w:rsid w:val="00B5514F"/>
    <w:rsid w:val="00B551B2"/>
    <w:rsid w:val="00B55276"/>
    <w:rsid w:val="00B552F5"/>
    <w:rsid w:val="00B553B0"/>
    <w:rsid w:val="00B55466"/>
    <w:rsid w:val="00B5548C"/>
    <w:rsid w:val="00B5551D"/>
    <w:rsid w:val="00B55557"/>
    <w:rsid w:val="00B555DB"/>
    <w:rsid w:val="00B55608"/>
    <w:rsid w:val="00B55786"/>
    <w:rsid w:val="00B5578C"/>
    <w:rsid w:val="00B557DD"/>
    <w:rsid w:val="00B55880"/>
    <w:rsid w:val="00B55981"/>
    <w:rsid w:val="00B55A22"/>
    <w:rsid w:val="00B55B94"/>
    <w:rsid w:val="00B55CC4"/>
    <w:rsid w:val="00B55D39"/>
    <w:rsid w:val="00B55EC9"/>
    <w:rsid w:val="00B55F54"/>
    <w:rsid w:val="00B55F9D"/>
    <w:rsid w:val="00B56079"/>
    <w:rsid w:val="00B561F1"/>
    <w:rsid w:val="00B5626A"/>
    <w:rsid w:val="00B56281"/>
    <w:rsid w:val="00B56294"/>
    <w:rsid w:val="00B564AC"/>
    <w:rsid w:val="00B564C1"/>
    <w:rsid w:val="00B56523"/>
    <w:rsid w:val="00B565AE"/>
    <w:rsid w:val="00B5666B"/>
    <w:rsid w:val="00B56721"/>
    <w:rsid w:val="00B567DB"/>
    <w:rsid w:val="00B568C2"/>
    <w:rsid w:val="00B56A03"/>
    <w:rsid w:val="00B56A83"/>
    <w:rsid w:val="00B56BE4"/>
    <w:rsid w:val="00B56EA4"/>
    <w:rsid w:val="00B56EBB"/>
    <w:rsid w:val="00B57024"/>
    <w:rsid w:val="00B5702B"/>
    <w:rsid w:val="00B57322"/>
    <w:rsid w:val="00B5733B"/>
    <w:rsid w:val="00B57684"/>
    <w:rsid w:val="00B576B8"/>
    <w:rsid w:val="00B57715"/>
    <w:rsid w:val="00B577F3"/>
    <w:rsid w:val="00B578B8"/>
    <w:rsid w:val="00B578C8"/>
    <w:rsid w:val="00B578FA"/>
    <w:rsid w:val="00B57B9D"/>
    <w:rsid w:val="00B6000B"/>
    <w:rsid w:val="00B600E5"/>
    <w:rsid w:val="00B602E9"/>
    <w:rsid w:val="00B60430"/>
    <w:rsid w:val="00B60467"/>
    <w:rsid w:val="00B604E0"/>
    <w:rsid w:val="00B604EA"/>
    <w:rsid w:val="00B6053C"/>
    <w:rsid w:val="00B60562"/>
    <w:rsid w:val="00B605CE"/>
    <w:rsid w:val="00B605E1"/>
    <w:rsid w:val="00B60665"/>
    <w:rsid w:val="00B60699"/>
    <w:rsid w:val="00B6072B"/>
    <w:rsid w:val="00B6076B"/>
    <w:rsid w:val="00B60880"/>
    <w:rsid w:val="00B60934"/>
    <w:rsid w:val="00B6093F"/>
    <w:rsid w:val="00B60AB9"/>
    <w:rsid w:val="00B60AC0"/>
    <w:rsid w:val="00B60B2A"/>
    <w:rsid w:val="00B60B3E"/>
    <w:rsid w:val="00B60B54"/>
    <w:rsid w:val="00B60CA1"/>
    <w:rsid w:val="00B60E76"/>
    <w:rsid w:val="00B60F4F"/>
    <w:rsid w:val="00B61077"/>
    <w:rsid w:val="00B610DA"/>
    <w:rsid w:val="00B61107"/>
    <w:rsid w:val="00B611AC"/>
    <w:rsid w:val="00B6141A"/>
    <w:rsid w:val="00B614DC"/>
    <w:rsid w:val="00B615FB"/>
    <w:rsid w:val="00B61621"/>
    <w:rsid w:val="00B617B4"/>
    <w:rsid w:val="00B617DC"/>
    <w:rsid w:val="00B6181E"/>
    <w:rsid w:val="00B618DF"/>
    <w:rsid w:val="00B619FB"/>
    <w:rsid w:val="00B61A0F"/>
    <w:rsid w:val="00B61B06"/>
    <w:rsid w:val="00B61C16"/>
    <w:rsid w:val="00B61C43"/>
    <w:rsid w:val="00B61D90"/>
    <w:rsid w:val="00B61E86"/>
    <w:rsid w:val="00B61FA4"/>
    <w:rsid w:val="00B61FCC"/>
    <w:rsid w:val="00B620BB"/>
    <w:rsid w:val="00B620FA"/>
    <w:rsid w:val="00B62199"/>
    <w:rsid w:val="00B621D0"/>
    <w:rsid w:val="00B62238"/>
    <w:rsid w:val="00B6241D"/>
    <w:rsid w:val="00B626E1"/>
    <w:rsid w:val="00B6273D"/>
    <w:rsid w:val="00B62805"/>
    <w:rsid w:val="00B62861"/>
    <w:rsid w:val="00B62899"/>
    <w:rsid w:val="00B62940"/>
    <w:rsid w:val="00B629D8"/>
    <w:rsid w:val="00B62A1F"/>
    <w:rsid w:val="00B62AE1"/>
    <w:rsid w:val="00B62BAA"/>
    <w:rsid w:val="00B62C26"/>
    <w:rsid w:val="00B62C3F"/>
    <w:rsid w:val="00B62C82"/>
    <w:rsid w:val="00B62C8E"/>
    <w:rsid w:val="00B62CF4"/>
    <w:rsid w:val="00B62F0C"/>
    <w:rsid w:val="00B62F61"/>
    <w:rsid w:val="00B62F83"/>
    <w:rsid w:val="00B62FD7"/>
    <w:rsid w:val="00B63071"/>
    <w:rsid w:val="00B63091"/>
    <w:rsid w:val="00B63184"/>
    <w:rsid w:val="00B632CE"/>
    <w:rsid w:val="00B632F0"/>
    <w:rsid w:val="00B6333B"/>
    <w:rsid w:val="00B6334B"/>
    <w:rsid w:val="00B63361"/>
    <w:rsid w:val="00B63366"/>
    <w:rsid w:val="00B63426"/>
    <w:rsid w:val="00B634FD"/>
    <w:rsid w:val="00B63596"/>
    <w:rsid w:val="00B6364D"/>
    <w:rsid w:val="00B63875"/>
    <w:rsid w:val="00B639C2"/>
    <w:rsid w:val="00B63A16"/>
    <w:rsid w:val="00B63A6E"/>
    <w:rsid w:val="00B63A9E"/>
    <w:rsid w:val="00B63B22"/>
    <w:rsid w:val="00B63C0D"/>
    <w:rsid w:val="00B63C42"/>
    <w:rsid w:val="00B63C65"/>
    <w:rsid w:val="00B63CCA"/>
    <w:rsid w:val="00B63D0D"/>
    <w:rsid w:val="00B63D6B"/>
    <w:rsid w:val="00B63D83"/>
    <w:rsid w:val="00B63E5D"/>
    <w:rsid w:val="00B63FC6"/>
    <w:rsid w:val="00B64022"/>
    <w:rsid w:val="00B6408C"/>
    <w:rsid w:val="00B6413D"/>
    <w:rsid w:val="00B64186"/>
    <w:rsid w:val="00B64352"/>
    <w:rsid w:val="00B643A6"/>
    <w:rsid w:val="00B64570"/>
    <w:rsid w:val="00B646E0"/>
    <w:rsid w:val="00B647F6"/>
    <w:rsid w:val="00B647FC"/>
    <w:rsid w:val="00B6487A"/>
    <w:rsid w:val="00B64A10"/>
    <w:rsid w:val="00B64A2E"/>
    <w:rsid w:val="00B64A73"/>
    <w:rsid w:val="00B64ADA"/>
    <w:rsid w:val="00B64D2C"/>
    <w:rsid w:val="00B64D7A"/>
    <w:rsid w:val="00B64E7B"/>
    <w:rsid w:val="00B64F02"/>
    <w:rsid w:val="00B6506E"/>
    <w:rsid w:val="00B6509A"/>
    <w:rsid w:val="00B651DA"/>
    <w:rsid w:val="00B65333"/>
    <w:rsid w:val="00B653D7"/>
    <w:rsid w:val="00B6540A"/>
    <w:rsid w:val="00B65453"/>
    <w:rsid w:val="00B654D4"/>
    <w:rsid w:val="00B65518"/>
    <w:rsid w:val="00B65519"/>
    <w:rsid w:val="00B65594"/>
    <w:rsid w:val="00B655D1"/>
    <w:rsid w:val="00B65708"/>
    <w:rsid w:val="00B657F8"/>
    <w:rsid w:val="00B6583E"/>
    <w:rsid w:val="00B65850"/>
    <w:rsid w:val="00B65A5F"/>
    <w:rsid w:val="00B65AD6"/>
    <w:rsid w:val="00B65AF5"/>
    <w:rsid w:val="00B65B87"/>
    <w:rsid w:val="00B65BF5"/>
    <w:rsid w:val="00B65C23"/>
    <w:rsid w:val="00B65C68"/>
    <w:rsid w:val="00B65C76"/>
    <w:rsid w:val="00B65CFE"/>
    <w:rsid w:val="00B65E81"/>
    <w:rsid w:val="00B65EA5"/>
    <w:rsid w:val="00B65F30"/>
    <w:rsid w:val="00B66014"/>
    <w:rsid w:val="00B6602B"/>
    <w:rsid w:val="00B66062"/>
    <w:rsid w:val="00B660FB"/>
    <w:rsid w:val="00B66112"/>
    <w:rsid w:val="00B66164"/>
    <w:rsid w:val="00B661A4"/>
    <w:rsid w:val="00B661AB"/>
    <w:rsid w:val="00B661C6"/>
    <w:rsid w:val="00B662E3"/>
    <w:rsid w:val="00B6645C"/>
    <w:rsid w:val="00B6653F"/>
    <w:rsid w:val="00B6660D"/>
    <w:rsid w:val="00B66696"/>
    <w:rsid w:val="00B666FF"/>
    <w:rsid w:val="00B66851"/>
    <w:rsid w:val="00B66886"/>
    <w:rsid w:val="00B669FA"/>
    <w:rsid w:val="00B66A20"/>
    <w:rsid w:val="00B66B3E"/>
    <w:rsid w:val="00B66C8B"/>
    <w:rsid w:val="00B66D84"/>
    <w:rsid w:val="00B66DC7"/>
    <w:rsid w:val="00B66E1E"/>
    <w:rsid w:val="00B66F48"/>
    <w:rsid w:val="00B67024"/>
    <w:rsid w:val="00B67062"/>
    <w:rsid w:val="00B67315"/>
    <w:rsid w:val="00B6745F"/>
    <w:rsid w:val="00B674A5"/>
    <w:rsid w:val="00B67509"/>
    <w:rsid w:val="00B67546"/>
    <w:rsid w:val="00B6765A"/>
    <w:rsid w:val="00B678D8"/>
    <w:rsid w:val="00B67918"/>
    <w:rsid w:val="00B67AA4"/>
    <w:rsid w:val="00B67B10"/>
    <w:rsid w:val="00B67B1C"/>
    <w:rsid w:val="00B67BB1"/>
    <w:rsid w:val="00B67D47"/>
    <w:rsid w:val="00B67EDB"/>
    <w:rsid w:val="00B67F19"/>
    <w:rsid w:val="00B70124"/>
    <w:rsid w:val="00B7016F"/>
    <w:rsid w:val="00B70267"/>
    <w:rsid w:val="00B70303"/>
    <w:rsid w:val="00B70453"/>
    <w:rsid w:val="00B70473"/>
    <w:rsid w:val="00B704A3"/>
    <w:rsid w:val="00B7053F"/>
    <w:rsid w:val="00B70589"/>
    <w:rsid w:val="00B7067C"/>
    <w:rsid w:val="00B707C2"/>
    <w:rsid w:val="00B70807"/>
    <w:rsid w:val="00B70872"/>
    <w:rsid w:val="00B70884"/>
    <w:rsid w:val="00B70981"/>
    <w:rsid w:val="00B70AA4"/>
    <w:rsid w:val="00B70DA0"/>
    <w:rsid w:val="00B70DED"/>
    <w:rsid w:val="00B70E4D"/>
    <w:rsid w:val="00B70E69"/>
    <w:rsid w:val="00B70EF9"/>
    <w:rsid w:val="00B70FE8"/>
    <w:rsid w:val="00B71078"/>
    <w:rsid w:val="00B71082"/>
    <w:rsid w:val="00B7116E"/>
    <w:rsid w:val="00B7124B"/>
    <w:rsid w:val="00B71304"/>
    <w:rsid w:val="00B7134C"/>
    <w:rsid w:val="00B7167C"/>
    <w:rsid w:val="00B717D7"/>
    <w:rsid w:val="00B71935"/>
    <w:rsid w:val="00B71AB7"/>
    <w:rsid w:val="00B71B4E"/>
    <w:rsid w:val="00B71BD0"/>
    <w:rsid w:val="00B71C71"/>
    <w:rsid w:val="00B71DAE"/>
    <w:rsid w:val="00B71DC5"/>
    <w:rsid w:val="00B71F45"/>
    <w:rsid w:val="00B7201B"/>
    <w:rsid w:val="00B72197"/>
    <w:rsid w:val="00B721B4"/>
    <w:rsid w:val="00B72369"/>
    <w:rsid w:val="00B723CF"/>
    <w:rsid w:val="00B7242A"/>
    <w:rsid w:val="00B72475"/>
    <w:rsid w:val="00B7258B"/>
    <w:rsid w:val="00B72603"/>
    <w:rsid w:val="00B72604"/>
    <w:rsid w:val="00B726EC"/>
    <w:rsid w:val="00B727C1"/>
    <w:rsid w:val="00B72853"/>
    <w:rsid w:val="00B729FB"/>
    <w:rsid w:val="00B72A7D"/>
    <w:rsid w:val="00B72D1D"/>
    <w:rsid w:val="00B72FBE"/>
    <w:rsid w:val="00B73037"/>
    <w:rsid w:val="00B73187"/>
    <w:rsid w:val="00B7324E"/>
    <w:rsid w:val="00B73281"/>
    <w:rsid w:val="00B7339A"/>
    <w:rsid w:val="00B733B4"/>
    <w:rsid w:val="00B734A9"/>
    <w:rsid w:val="00B734B7"/>
    <w:rsid w:val="00B73655"/>
    <w:rsid w:val="00B736A8"/>
    <w:rsid w:val="00B73A69"/>
    <w:rsid w:val="00B73A70"/>
    <w:rsid w:val="00B73B81"/>
    <w:rsid w:val="00B73BC1"/>
    <w:rsid w:val="00B73BFC"/>
    <w:rsid w:val="00B73CDD"/>
    <w:rsid w:val="00B73D8B"/>
    <w:rsid w:val="00B73EBC"/>
    <w:rsid w:val="00B73F54"/>
    <w:rsid w:val="00B73F98"/>
    <w:rsid w:val="00B73FBC"/>
    <w:rsid w:val="00B74044"/>
    <w:rsid w:val="00B7408A"/>
    <w:rsid w:val="00B7422A"/>
    <w:rsid w:val="00B742C1"/>
    <w:rsid w:val="00B744A0"/>
    <w:rsid w:val="00B7452B"/>
    <w:rsid w:val="00B746F6"/>
    <w:rsid w:val="00B7471D"/>
    <w:rsid w:val="00B747FB"/>
    <w:rsid w:val="00B74890"/>
    <w:rsid w:val="00B748DA"/>
    <w:rsid w:val="00B748DE"/>
    <w:rsid w:val="00B74916"/>
    <w:rsid w:val="00B74AFE"/>
    <w:rsid w:val="00B74E58"/>
    <w:rsid w:val="00B74EE3"/>
    <w:rsid w:val="00B74FF7"/>
    <w:rsid w:val="00B75007"/>
    <w:rsid w:val="00B75081"/>
    <w:rsid w:val="00B75082"/>
    <w:rsid w:val="00B7510F"/>
    <w:rsid w:val="00B7517D"/>
    <w:rsid w:val="00B751C4"/>
    <w:rsid w:val="00B753E6"/>
    <w:rsid w:val="00B753E7"/>
    <w:rsid w:val="00B7546B"/>
    <w:rsid w:val="00B754E4"/>
    <w:rsid w:val="00B754ED"/>
    <w:rsid w:val="00B75797"/>
    <w:rsid w:val="00B757E4"/>
    <w:rsid w:val="00B75838"/>
    <w:rsid w:val="00B75932"/>
    <w:rsid w:val="00B759AA"/>
    <w:rsid w:val="00B759F8"/>
    <w:rsid w:val="00B75B04"/>
    <w:rsid w:val="00B75B1E"/>
    <w:rsid w:val="00B75BA1"/>
    <w:rsid w:val="00B75DD0"/>
    <w:rsid w:val="00B75FB7"/>
    <w:rsid w:val="00B75FFB"/>
    <w:rsid w:val="00B76018"/>
    <w:rsid w:val="00B76034"/>
    <w:rsid w:val="00B760E5"/>
    <w:rsid w:val="00B76109"/>
    <w:rsid w:val="00B762A7"/>
    <w:rsid w:val="00B76457"/>
    <w:rsid w:val="00B766B7"/>
    <w:rsid w:val="00B7691E"/>
    <w:rsid w:val="00B7695E"/>
    <w:rsid w:val="00B76991"/>
    <w:rsid w:val="00B76A16"/>
    <w:rsid w:val="00B76ABB"/>
    <w:rsid w:val="00B76BB4"/>
    <w:rsid w:val="00B76BF9"/>
    <w:rsid w:val="00B76D0A"/>
    <w:rsid w:val="00B76D2B"/>
    <w:rsid w:val="00B76DD2"/>
    <w:rsid w:val="00B76E07"/>
    <w:rsid w:val="00B76F37"/>
    <w:rsid w:val="00B76FAA"/>
    <w:rsid w:val="00B7706A"/>
    <w:rsid w:val="00B7716F"/>
    <w:rsid w:val="00B77560"/>
    <w:rsid w:val="00B77629"/>
    <w:rsid w:val="00B776E7"/>
    <w:rsid w:val="00B7777E"/>
    <w:rsid w:val="00B7782D"/>
    <w:rsid w:val="00B77C00"/>
    <w:rsid w:val="00B77C54"/>
    <w:rsid w:val="00B77CA2"/>
    <w:rsid w:val="00B77E9D"/>
    <w:rsid w:val="00B77EB9"/>
    <w:rsid w:val="00B77F3E"/>
    <w:rsid w:val="00B77F68"/>
    <w:rsid w:val="00B8014F"/>
    <w:rsid w:val="00B80288"/>
    <w:rsid w:val="00B80493"/>
    <w:rsid w:val="00B80579"/>
    <w:rsid w:val="00B80635"/>
    <w:rsid w:val="00B807FE"/>
    <w:rsid w:val="00B80826"/>
    <w:rsid w:val="00B809E6"/>
    <w:rsid w:val="00B80A56"/>
    <w:rsid w:val="00B80AEE"/>
    <w:rsid w:val="00B80BDA"/>
    <w:rsid w:val="00B80C25"/>
    <w:rsid w:val="00B80E54"/>
    <w:rsid w:val="00B80E89"/>
    <w:rsid w:val="00B80EC2"/>
    <w:rsid w:val="00B80F7F"/>
    <w:rsid w:val="00B80FF6"/>
    <w:rsid w:val="00B8106F"/>
    <w:rsid w:val="00B8116C"/>
    <w:rsid w:val="00B8121B"/>
    <w:rsid w:val="00B81220"/>
    <w:rsid w:val="00B8140A"/>
    <w:rsid w:val="00B8143B"/>
    <w:rsid w:val="00B81543"/>
    <w:rsid w:val="00B815BD"/>
    <w:rsid w:val="00B81611"/>
    <w:rsid w:val="00B816C8"/>
    <w:rsid w:val="00B81817"/>
    <w:rsid w:val="00B8181D"/>
    <w:rsid w:val="00B81AC8"/>
    <w:rsid w:val="00B81B01"/>
    <w:rsid w:val="00B81B2E"/>
    <w:rsid w:val="00B81C93"/>
    <w:rsid w:val="00B81D6A"/>
    <w:rsid w:val="00B81F30"/>
    <w:rsid w:val="00B81F5B"/>
    <w:rsid w:val="00B8205E"/>
    <w:rsid w:val="00B8209B"/>
    <w:rsid w:val="00B82315"/>
    <w:rsid w:val="00B82350"/>
    <w:rsid w:val="00B8252A"/>
    <w:rsid w:val="00B8257F"/>
    <w:rsid w:val="00B82676"/>
    <w:rsid w:val="00B8271A"/>
    <w:rsid w:val="00B827E8"/>
    <w:rsid w:val="00B82864"/>
    <w:rsid w:val="00B82924"/>
    <w:rsid w:val="00B8295E"/>
    <w:rsid w:val="00B8298D"/>
    <w:rsid w:val="00B82994"/>
    <w:rsid w:val="00B82AD9"/>
    <w:rsid w:val="00B82C38"/>
    <w:rsid w:val="00B82C43"/>
    <w:rsid w:val="00B82CB8"/>
    <w:rsid w:val="00B82D28"/>
    <w:rsid w:val="00B82F6F"/>
    <w:rsid w:val="00B82FC3"/>
    <w:rsid w:val="00B82FFA"/>
    <w:rsid w:val="00B83082"/>
    <w:rsid w:val="00B83097"/>
    <w:rsid w:val="00B831C6"/>
    <w:rsid w:val="00B831D8"/>
    <w:rsid w:val="00B831E4"/>
    <w:rsid w:val="00B832A8"/>
    <w:rsid w:val="00B8346E"/>
    <w:rsid w:val="00B83486"/>
    <w:rsid w:val="00B834B7"/>
    <w:rsid w:val="00B834F7"/>
    <w:rsid w:val="00B83515"/>
    <w:rsid w:val="00B83525"/>
    <w:rsid w:val="00B83568"/>
    <w:rsid w:val="00B83643"/>
    <w:rsid w:val="00B83693"/>
    <w:rsid w:val="00B8375C"/>
    <w:rsid w:val="00B83765"/>
    <w:rsid w:val="00B83816"/>
    <w:rsid w:val="00B8397B"/>
    <w:rsid w:val="00B839C7"/>
    <w:rsid w:val="00B83B44"/>
    <w:rsid w:val="00B83C74"/>
    <w:rsid w:val="00B83DFE"/>
    <w:rsid w:val="00B83E59"/>
    <w:rsid w:val="00B83E9B"/>
    <w:rsid w:val="00B83FAB"/>
    <w:rsid w:val="00B84061"/>
    <w:rsid w:val="00B841BB"/>
    <w:rsid w:val="00B84471"/>
    <w:rsid w:val="00B8469C"/>
    <w:rsid w:val="00B846E8"/>
    <w:rsid w:val="00B8475A"/>
    <w:rsid w:val="00B84860"/>
    <w:rsid w:val="00B8492B"/>
    <w:rsid w:val="00B84A4B"/>
    <w:rsid w:val="00B84B7B"/>
    <w:rsid w:val="00B84CB7"/>
    <w:rsid w:val="00B84CFF"/>
    <w:rsid w:val="00B84D11"/>
    <w:rsid w:val="00B84D55"/>
    <w:rsid w:val="00B84D81"/>
    <w:rsid w:val="00B84D8B"/>
    <w:rsid w:val="00B84DAB"/>
    <w:rsid w:val="00B84E96"/>
    <w:rsid w:val="00B84EE1"/>
    <w:rsid w:val="00B84F47"/>
    <w:rsid w:val="00B84FC3"/>
    <w:rsid w:val="00B84FE6"/>
    <w:rsid w:val="00B850CB"/>
    <w:rsid w:val="00B851C9"/>
    <w:rsid w:val="00B851E6"/>
    <w:rsid w:val="00B85354"/>
    <w:rsid w:val="00B853AB"/>
    <w:rsid w:val="00B853B1"/>
    <w:rsid w:val="00B853E0"/>
    <w:rsid w:val="00B85654"/>
    <w:rsid w:val="00B85799"/>
    <w:rsid w:val="00B85887"/>
    <w:rsid w:val="00B859F3"/>
    <w:rsid w:val="00B85D10"/>
    <w:rsid w:val="00B85EF6"/>
    <w:rsid w:val="00B85F5E"/>
    <w:rsid w:val="00B85FFF"/>
    <w:rsid w:val="00B8607D"/>
    <w:rsid w:val="00B8609D"/>
    <w:rsid w:val="00B86120"/>
    <w:rsid w:val="00B86250"/>
    <w:rsid w:val="00B86309"/>
    <w:rsid w:val="00B86371"/>
    <w:rsid w:val="00B863C9"/>
    <w:rsid w:val="00B86416"/>
    <w:rsid w:val="00B86428"/>
    <w:rsid w:val="00B865DF"/>
    <w:rsid w:val="00B865E2"/>
    <w:rsid w:val="00B86606"/>
    <w:rsid w:val="00B8687B"/>
    <w:rsid w:val="00B86AB2"/>
    <w:rsid w:val="00B86AE2"/>
    <w:rsid w:val="00B86B06"/>
    <w:rsid w:val="00B86BC0"/>
    <w:rsid w:val="00B86C2D"/>
    <w:rsid w:val="00B86D5E"/>
    <w:rsid w:val="00B86D82"/>
    <w:rsid w:val="00B86E0B"/>
    <w:rsid w:val="00B86E0E"/>
    <w:rsid w:val="00B86E33"/>
    <w:rsid w:val="00B86F21"/>
    <w:rsid w:val="00B86F53"/>
    <w:rsid w:val="00B86FAE"/>
    <w:rsid w:val="00B87093"/>
    <w:rsid w:val="00B87121"/>
    <w:rsid w:val="00B8717E"/>
    <w:rsid w:val="00B8720B"/>
    <w:rsid w:val="00B8722B"/>
    <w:rsid w:val="00B8723E"/>
    <w:rsid w:val="00B8729A"/>
    <w:rsid w:val="00B872B0"/>
    <w:rsid w:val="00B873A2"/>
    <w:rsid w:val="00B87440"/>
    <w:rsid w:val="00B875F5"/>
    <w:rsid w:val="00B8763D"/>
    <w:rsid w:val="00B87664"/>
    <w:rsid w:val="00B876C5"/>
    <w:rsid w:val="00B87734"/>
    <w:rsid w:val="00B87782"/>
    <w:rsid w:val="00B87799"/>
    <w:rsid w:val="00B8779B"/>
    <w:rsid w:val="00B8782E"/>
    <w:rsid w:val="00B878C0"/>
    <w:rsid w:val="00B879CE"/>
    <w:rsid w:val="00B87A89"/>
    <w:rsid w:val="00B87B59"/>
    <w:rsid w:val="00B87C5D"/>
    <w:rsid w:val="00B87C75"/>
    <w:rsid w:val="00B87CD1"/>
    <w:rsid w:val="00B87F50"/>
    <w:rsid w:val="00B87F8D"/>
    <w:rsid w:val="00B900BA"/>
    <w:rsid w:val="00B901CA"/>
    <w:rsid w:val="00B902C2"/>
    <w:rsid w:val="00B903D3"/>
    <w:rsid w:val="00B9058B"/>
    <w:rsid w:val="00B90755"/>
    <w:rsid w:val="00B907D7"/>
    <w:rsid w:val="00B908BE"/>
    <w:rsid w:val="00B909C0"/>
    <w:rsid w:val="00B909F1"/>
    <w:rsid w:val="00B90A92"/>
    <w:rsid w:val="00B90B07"/>
    <w:rsid w:val="00B90B65"/>
    <w:rsid w:val="00B90B6F"/>
    <w:rsid w:val="00B90E7F"/>
    <w:rsid w:val="00B90EAB"/>
    <w:rsid w:val="00B91095"/>
    <w:rsid w:val="00B91109"/>
    <w:rsid w:val="00B91229"/>
    <w:rsid w:val="00B9122C"/>
    <w:rsid w:val="00B91233"/>
    <w:rsid w:val="00B9135C"/>
    <w:rsid w:val="00B916CC"/>
    <w:rsid w:val="00B91730"/>
    <w:rsid w:val="00B91848"/>
    <w:rsid w:val="00B91C4F"/>
    <w:rsid w:val="00B91C6C"/>
    <w:rsid w:val="00B91C89"/>
    <w:rsid w:val="00B91D22"/>
    <w:rsid w:val="00B91E5B"/>
    <w:rsid w:val="00B91EE7"/>
    <w:rsid w:val="00B91F7C"/>
    <w:rsid w:val="00B9204A"/>
    <w:rsid w:val="00B92085"/>
    <w:rsid w:val="00B9209A"/>
    <w:rsid w:val="00B920DD"/>
    <w:rsid w:val="00B920E5"/>
    <w:rsid w:val="00B9237E"/>
    <w:rsid w:val="00B924A3"/>
    <w:rsid w:val="00B924C1"/>
    <w:rsid w:val="00B925E5"/>
    <w:rsid w:val="00B926CF"/>
    <w:rsid w:val="00B92766"/>
    <w:rsid w:val="00B92A81"/>
    <w:rsid w:val="00B92A8F"/>
    <w:rsid w:val="00B92A93"/>
    <w:rsid w:val="00B92B05"/>
    <w:rsid w:val="00B92CA2"/>
    <w:rsid w:val="00B92D4B"/>
    <w:rsid w:val="00B92EAD"/>
    <w:rsid w:val="00B92F2E"/>
    <w:rsid w:val="00B93019"/>
    <w:rsid w:val="00B9303F"/>
    <w:rsid w:val="00B93186"/>
    <w:rsid w:val="00B9322E"/>
    <w:rsid w:val="00B932CB"/>
    <w:rsid w:val="00B93395"/>
    <w:rsid w:val="00B93424"/>
    <w:rsid w:val="00B9366E"/>
    <w:rsid w:val="00B9368C"/>
    <w:rsid w:val="00B93785"/>
    <w:rsid w:val="00B93798"/>
    <w:rsid w:val="00B93818"/>
    <w:rsid w:val="00B93868"/>
    <w:rsid w:val="00B9388A"/>
    <w:rsid w:val="00B93905"/>
    <w:rsid w:val="00B9390B"/>
    <w:rsid w:val="00B93917"/>
    <w:rsid w:val="00B939EB"/>
    <w:rsid w:val="00B93A17"/>
    <w:rsid w:val="00B93AA7"/>
    <w:rsid w:val="00B93AE1"/>
    <w:rsid w:val="00B93B1D"/>
    <w:rsid w:val="00B93B45"/>
    <w:rsid w:val="00B93BBC"/>
    <w:rsid w:val="00B93C0B"/>
    <w:rsid w:val="00B93F2C"/>
    <w:rsid w:val="00B93FBA"/>
    <w:rsid w:val="00B94014"/>
    <w:rsid w:val="00B941A8"/>
    <w:rsid w:val="00B941D4"/>
    <w:rsid w:val="00B94206"/>
    <w:rsid w:val="00B942A9"/>
    <w:rsid w:val="00B942D1"/>
    <w:rsid w:val="00B942D5"/>
    <w:rsid w:val="00B94307"/>
    <w:rsid w:val="00B94428"/>
    <w:rsid w:val="00B94549"/>
    <w:rsid w:val="00B94568"/>
    <w:rsid w:val="00B9472B"/>
    <w:rsid w:val="00B94924"/>
    <w:rsid w:val="00B94A4E"/>
    <w:rsid w:val="00B94A59"/>
    <w:rsid w:val="00B94A5B"/>
    <w:rsid w:val="00B94B99"/>
    <w:rsid w:val="00B94BD4"/>
    <w:rsid w:val="00B94BE3"/>
    <w:rsid w:val="00B94BF0"/>
    <w:rsid w:val="00B94CA3"/>
    <w:rsid w:val="00B94EDE"/>
    <w:rsid w:val="00B94FE4"/>
    <w:rsid w:val="00B950CE"/>
    <w:rsid w:val="00B9511D"/>
    <w:rsid w:val="00B951E9"/>
    <w:rsid w:val="00B95223"/>
    <w:rsid w:val="00B95287"/>
    <w:rsid w:val="00B953C6"/>
    <w:rsid w:val="00B953DC"/>
    <w:rsid w:val="00B95480"/>
    <w:rsid w:val="00B954BA"/>
    <w:rsid w:val="00B9551D"/>
    <w:rsid w:val="00B9569F"/>
    <w:rsid w:val="00B956BC"/>
    <w:rsid w:val="00B95779"/>
    <w:rsid w:val="00B957C5"/>
    <w:rsid w:val="00B95889"/>
    <w:rsid w:val="00B95914"/>
    <w:rsid w:val="00B95A45"/>
    <w:rsid w:val="00B95A49"/>
    <w:rsid w:val="00B95AE6"/>
    <w:rsid w:val="00B95D0D"/>
    <w:rsid w:val="00B95DA5"/>
    <w:rsid w:val="00B95EAC"/>
    <w:rsid w:val="00B95EC2"/>
    <w:rsid w:val="00B95F0F"/>
    <w:rsid w:val="00B9604B"/>
    <w:rsid w:val="00B960A2"/>
    <w:rsid w:val="00B96218"/>
    <w:rsid w:val="00B96255"/>
    <w:rsid w:val="00B962BF"/>
    <w:rsid w:val="00B962DE"/>
    <w:rsid w:val="00B96311"/>
    <w:rsid w:val="00B9644F"/>
    <w:rsid w:val="00B9655E"/>
    <w:rsid w:val="00B96629"/>
    <w:rsid w:val="00B966C3"/>
    <w:rsid w:val="00B966CD"/>
    <w:rsid w:val="00B96726"/>
    <w:rsid w:val="00B96767"/>
    <w:rsid w:val="00B96773"/>
    <w:rsid w:val="00B96817"/>
    <w:rsid w:val="00B969E9"/>
    <w:rsid w:val="00B96B48"/>
    <w:rsid w:val="00B96D72"/>
    <w:rsid w:val="00B96D74"/>
    <w:rsid w:val="00B96E83"/>
    <w:rsid w:val="00B96F41"/>
    <w:rsid w:val="00B9705F"/>
    <w:rsid w:val="00B97123"/>
    <w:rsid w:val="00B97152"/>
    <w:rsid w:val="00B972F0"/>
    <w:rsid w:val="00B9731F"/>
    <w:rsid w:val="00B9733B"/>
    <w:rsid w:val="00B973D0"/>
    <w:rsid w:val="00B9740D"/>
    <w:rsid w:val="00B9744B"/>
    <w:rsid w:val="00B9763A"/>
    <w:rsid w:val="00B976CB"/>
    <w:rsid w:val="00B97727"/>
    <w:rsid w:val="00B978AB"/>
    <w:rsid w:val="00B978AF"/>
    <w:rsid w:val="00B97954"/>
    <w:rsid w:val="00B97AC8"/>
    <w:rsid w:val="00B97AFE"/>
    <w:rsid w:val="00B97B06"/>
    <w:rsid w:val="00B97B49"/>
    <w:rsid w:val="00B97BB5"/>
    <w:rsid w:val="00B97BE1"/>
    <w:rsid w:val="00B97D9F"/>
    <w:rsid w:val="00B97DB1"/>
    <w:rsid w:val="00B97E13"/>
    <w:rsid w:val="00B97EBB"/>
    <w:rsid w:val="00BA00CC"/>
    <w:rsid w:val="00BA021B"/>
    <w:rsid w:val="00BA025A"/>
    <w:rsid w:val="00BA02CC"/>
    <w:rsid w:val="00BA0338"/>
    <w:rsid w:val="00BA0537"/>
    <w:rsid w:val="00BA063B"/>
    <w:rsid w:val="00BA0691"/>
    <w:rsid w:val="00BA079F"/>
    <w:rsid w:val="00BA084A"/>
    <w:rsid w:val="00BA08A2"/>
    <w:rsid w:val="00BA08EB"/>
    <w:rsid w:val="00BA098F"/>
    <w:rsid w:val="00BA09CE"/>
    <w:rsid w:val="00BA0B8A"/>
    <w:rsid w:val="00BA0BA6"/>
    <w:rsid w:val="00BA0D13"/>
    <w:rsid w:val="00BA0D70"/>
    <w:rsid w:val="00BA0D80"/>
    <w:rsid w:val="00BA0D98"/>
    <w:rsid w:val="00BA0DC2"/>
    <w:rsid w:val="00BA0E5E"/>
    <w:rsid w:val="00BA0F43"/>
    <w:rsid w:val="00BA0F45"/>
    <w:rsid w:val="00BA0F8F"/>
    <w:rsid w:val="00BA1154"/>
    <w:rsid w:val="00BA11EB"/>
    <w:rsid w:val="00BA1554"/>
    <w:rsid w:val="00BA1566"/>
    <w:rsid w:val="00BA15A2"/>
    <w:rsid w:val="00BA163D"/>
    <w:rsid w:val="00BA16C5"/>
    <w:rsid w:val="00BA171B"/>
    <w:rsid w:val="00BA1792"/>
    <w:rsid w:val="00BA18E4"/>
    <w:rsid w:val="00BA19C9"/>
    <w:rsid w:val="00BA19FE"/>
    <w:rsid w:val="00BA1A63"/>
    <w:rsid w:val="00BA1B94"/>
    <w:rsid w:val="00BA1BE6"/>
    <w:rsid w:val="00BA1C13"/>
    <w:rsid w:val="00BA1C3B"/>
    <w:rsid w:val="00BA1DD7"/>
    <w:rsid w:val="00BA1ED9"/>
    <w:rsid w:val="00BA20C9"/>
    <w:rsid w:val="00BA2124"/>
    <w:rsid w:val="00BA2442"/>
    <w:rsid w:val="00BA249A"/>
    <w:rsid w:val="00BA264D"/>
    <w:rsid w:val="00BA267E"/>
    <w:rsid w:val="00BA26D1"/>
    <w:rsid w:val="00BA27C7"/>
    <w:rsid w:val="00BA2884"/>
    <w:rsid w:val="00BA29A2"/>
    <w:rsid w:val="00BA29D2"/>
    <w:rsid w:val="00BA2B7C"/>
    <w:rsid w:val="00BA2B96"/>
    <w:rsid w:val="00BA2D03"/>
    <w:rsid w:val="00BA2D95"/>
    <w:rsid w:val="00BA2DFD"/>
    <w:rsid w:val="00BA30A9"/>
    <w:rsid w:val="00BA30C5"/>
    <w:rsid w:val="00BA30C6"/>
    <w:rsid w:val="00BA316E"/>
    <w:rsid w:val="00BA31C6"/>
    <w:rsid w:val="00BA324E"/>
    <w:rsid w:val="00BA3260"/>
    <w:rsid w:val="00BA3278"/>
    <w:rsid w:val="00BA32CD"/>
    <w:rsid w:val="00BA342E"/>
    <w:rsid w:val="00BA3545"/>
    <w:rsid w:val="00BA3546"/>
    <w:rsid w:val="00BA37EC"/>
    <w:rsid w:val="00BA3880"/>
    <w:rsid w:val="00BA38A0"/>
    <w:rsid w:val="00BA38AD"/>
    <w:rsid w:val="00BA3914"/>
    <w:rsid w:val="00BA397D"/>
    <w:rsid w:val="00BA3B09"/>
    <w:rsid w:val="00BA3B11"/>
    <w:rsid w:val="00BA3BF6"/>
    <w:rsid w:val="00BA3BFE"/>
    <w:rsid w:val="00BA3C0F"/>
    <w:rsid w:val="00BA3C15"/>
    <w:rsid w:val="00BA3C31"/>
    <w:rsid w:val="00BA3E07"/>
    <w:rsid w:val="00BA3E3A"/>
    <w:rsid w:val="00BA4523"/>
    <w:rsid w:val="00BA463E"/>
    <w:rsid w:val="00BA470B"/>
    <w:rsid w:val="00BA4824"/>
    <w:rsid w:val="00BA4865"/>
    <w:rsid w:val="00BA48A9"/>
    <w:rsid w:val="00BA4A16"/>
    <w:rsid w:val="00BA4AF6"/>
    <w:rsid w:val="00BA4BE5"/>
    <w:rsid w:val="00BA4C71"/>
    <w:rsid w:val="00BA4DA1"/>
    <w:rsid w:val="00BA4E61"/>
    <w:rsid w:val="00BA4F10"/>
    <w:rsid w:val="00BA50CC"/>
    <w:rsid w:val="00BA5278"/>
    <w:rsid w:val="00BA53A0"/>
    <w:rsid w:val="00BA53CA"/>
    <w:rsid w:val="00BA5569"/>
    <w:rsid w:val="00BA5905"/>
    <w:rsid w:val="00BA598D"/>
    <w:rsid w:val="00BA5A81"/>
    <w:rsid w:val="00BA5AE0"/>
    <w:rsid w:val="00BA5AE7"/>
    <w:rsid w:val="00BA5CFA"/>
    <w:rsid w:val="00BA5E22"/>
    <w:rsid w:val="00BA5EAE"/>
    <w:rsid w:val="00BA5FC0"/>
    <w:rsid w:val="00BA5FE9"/>
    <w:rsid w:val="00BA6018"/>
    <w:rsid w:val="00BA606F"/>
    <w:rsid w:val="00BA61AB"/>
    <w:rsid w:val="00BA61BC"/>
    <w:rsid w:val="00BA634E"/>
    <w:rsid w:val="00BA64E9"/>
    <w:rsid w:val="00BA6557"/>
    <w:rsid w:val="00BA6835"/>
    <w:rsid w:val="00BA683B"/>
    <w:rsid w:val="00BA695D"/>
    <w:rsid w:val="00BA6B01"/>
    <w:rsid w:val="00BA6BC9"/>
    <w:rsid w:val="00BA6BDC"/>
    <w:rsid w:val="00BA6CB4"/>
    <w:rsid w:val="00BA6EF2"/>
    <w:rsid w:val="00BA7072"/>
    <w:rsid w:val="00BA70A1"/>
    <w:rsid w:val="00BA738F"/>
    <w:rsid w:val="00BA73B3"/>
    <w:rsid w:val="00BA755A"/>
    <w:rsid w:val="00BA757B"/>
    <w:rsid w:val="00BA7843"/>
    <w:rsid w:val="00BA7887"/>
    <w:rsid w:val="00BA78BC"/>
    <w:rsid w:val="00BA78F7"/>
    <w:rsid w:val="00BA79DF"/>
    <w:rsid w:val="00BA7A55"/>
    <w:rsid w:val="00BA7B59"/>
    <w:rsid w:val="00BA7B5D"/>
    <w:rsid w:val="00BA7C36"/>
    <w:rsid w:val="00BA7CF8"/>
    <w:rsid w:val="00BA7E5F"/>
    <w:rsid w:val="00BA7F97"/>
    <w:rsid w:val="00BB041E"/>
    <w:rsid w:val="00BB04BC"/>
    <w:rsid w:val="00BB04C6"/>
    <w:rsid w:val="00BB057E"/>
    <w:rsid w:val="00BB05A2"/>
    <w:rsid w:val="00BB05D3"/>
    <w:rsid w:val="00BB0824"/>
    <w:rsid w:val="00BB083F"/>
    <w:rsid w:val="00BB0855"/>
    <w:rsid w:val="00BB093B"/>
    <w:rsid w:val="00BB095A"/>
    <w:rsid w:val="00BB09CB"/>
    <w:rsid w:val="00BB0A74"/>
    <w:rsid w:val="00BB0AB3"/>
    <w:rsid w:val="00BB0AC1"/>
    <w:rsid w:val="00BB0AC5"/>
    <w:rsid w:val="00BB0B2D"/>
    <w:rsid w:val="00BB0BB0"/>
    <w:rsid w:val="00BB0C90"/>
    <w:rsid w:val="00BB0CC3"/>
    <w:rsid w:val="00BB0E12"/>
    <w:rsid w:val="00BB1095"/>
    <w:rsid w:val="00BB1177"/>
    <w:rsid w:val="00BB124F"/>
    <w:rsid w:val="00BB1256"/>
    <w:rsid w:val="00BB1403"/>
    <w:rsid w:val="00BB1414"/>
    <w:rsid w:val="00BB1500"/>
    <w:rsid w:val="00BB1536"/>
    <w:rsid w:val="00BB15CD"/>
    <w:rsid w:val="00BB1695"/>
    <w:rsid w:val="00BB16D6"/>
    <w:rsid w:val="00BB16FA"/>
    <w:rsid w:val="00BB1735"/>
    <w:rsid w:val="00BB1782"/>
    <w:rsid w:val="00BB1803"/>
    <w:rsid w:val="00BB180A"/>
    <w:rsid w:val="00BB1812"/>
    <w:rsid w:val="00BB183F"/>
    <w:rsid w:val="00BB1BAA"/>
    <w:rsid w:val="00BB1BED"/>
    <w:rsid w:val="00BB1BFC"/>
    <w:rsid w:val="00BB1C4B"/>
    <w:rsid w:val="00BB1D62"/>
    <w:rsid w:val="00BB1DC4"/>
    <w:rsid w:val="00BB1ECD"/>
    <w:rsid w:val="00BB1ED2"/>
    <w:rsid w:val="00BB202D"/>
    <w:rsid w:val="00BB20E0"/>
    <w:rsid w:val="00BB2185"/>
    <w:rsid w:val="00BB2236"/>
    <w:rsid w:val="00BB24B7"/>
    <w:rsid w:val="00BB252E"/>
    <w:rsid w:val="00BB258D"/>
    <w:rsid w:val="00BB271B"/>
    <w:rsid w:val="00BB27B2"/>
    <w:rsid w:val="00BB2883"/>
    <w:rsid w:val="00BB28AB"/>
    <w:rsid w:val="00BB2A3E"/>
    <w:rsid w:val="00BB2A4C"/>
    <w:rsid w:val="00BB2B07"/>
    <w:rsid w:val="00BB2B50"/>
    <w:rsid w:val="00BB2C0D"/>
    <w:rsid w:val="00BB2C5F"/>
    <w:rsid w:val="00BB2CFA"/>
    <w:rsid w:val="00BB2D1F"/>
    <w:rsid w:val="00BB2E28"/>
    <w:rsid w:val="00BB2E78"/>
    <w:rsid w:val="00BB30BC"/>
    <w:rsid w:val="00BB3122"/>
    <w:rsid w:val="00BB312B"/>
    <w:rsid w:val="00BB3147"/>
    <w:rsid w:val="00BB31A8"/>
    <w:rsid w:val="00BB31DB"/>
    <w:rsid w:val="00BB332E"/>
    <w:rsid w:val="00BB3381"/>
    <w:rsid w:val="00BB33CE"/>
    <w:rsid w:val="00BB3541"/>
    <w:rsid w:val="00BB354F"/>
    <w:rsid w:val="00BB3567"/>
    <w:rsid w:val="00BB36B7"/>
    <w:rsid w:val="00BB372F"/>
    <w:rsid w:val="00BB3ABE"/>
    <w:rsid w:val="00BB3AF6"/>
    <w:rsid w:val="00BB3B2C"/>
    <w:rsid w:val="00BB3B4A"/>
    <w:rsid w:val="00BB3BA1"/>
    <w:rsid w:val="00BB3C2A"/>
    <w:rsid w:val="00BB3C87"/>
    <w:rsid w:val="00BB3CD5"/>
    <w:rsid w:val="00BB4008"/>
    <w:rsid w:val="00BB4018"/>
    <w:rsid w:val="00BB402C"/>
    <w:rsid w:val="00BB403B"/>
    <w:rsid w:val="00BB4075"/>
    <w:rsid w:val="00BB4136"/>
    <w:rsid w:val="00BB413F"/>
    <w:rsid w:val="00BB414E"/>
    <w:rsid w:val="00BB4330"/>
    <w:rsid w:val="00BB437F"/>
    <w:rsid w:val="00BB43E9"/>
    <w:rsid w:val="00BB44AB"/>
    <w:rsid w:val="00BB45A9"/>
    <w:rsid w:val="00BB45AE"/>
    <w:rsid w:val="00BB45C9"/>
    <w:rsid w:val="00BB4612"/>
    <w:rsid w:val="00BB475D"/>
    <w:rsid w:val="00BB482A"/>
    <w:rsid w:val="00BB489C"/>
    <w:rsid w:val="00BB4A95"/>
    <w:rsid w:val="00BB4B8F"/>
    <w:rsid w:val="00BB4BFA"/>
    <w:rsid w:val="00BB4C22"/>
    <w:rsid w:val="00BB4DE4"/>
    <w:rsid w:val="00BB4E29"/>
    <w:rsid w:val="00BB4F3D"/>
    <w:rsid w:val="00BB4FFC"/>
    <w:rsid w:val="00BB50C6"/>
    <w:rsid w:val="00BB5136"/>
    <w:rsid w:val="00BB515E"/>
    <w:rsid w:val="00BB5197"/>
    <w:rsid w:val="00BB51E5"/>
    <w:rsid w:val="00BB51E9"/>
    <w:rsid w:val="00BB539F"/>
    <w:rsid w:val="00BB5411"/>
    <w:rsid w:val="00BB54A9"/>
    <w:rsid w:val="00BB5561"/>
    <w:rsid w:val="00BB5739"/>
    <w:rsid w:val="00BB5762"/>
    <w:rsid w:val="00BB5765"/>
    <w:rsid w:val="00BB5772"/>
    <w:rsid w:val="00BB5842"/>
    <w:rsid w:val="00BB589E"/>
    <w:rsid w:val="00BB590B"/>
    <w:rsid w:val="00BB599D"/>
    <w:rsid w:val="00BB59CD"/>
    <w:rsid w:val="00BB5A24"/>
    <w:rsid w:val="00BB5A77"/>
    <w:rsid w:val="00BB5E8E"/>
    <w:rsid w:val="00BB5EB8"/>
    <w:rsid w:val="00BB5ED9"/>
    <w:rsid w:val="00BB6019"/>
    <w:rsid w:val="00BB60AE"/>
    <w:rsid w:val="00BB6164"/>
    <w:rsid w:val="00BB6178"/>
    <w:rsid w:val="00BB6205"/>
    <w:rsid w:val="00BB626B"/>
    <w:rsid w:val="00BB62E9"/>
    <w:rsid w:val="00BB64D9"/>
    <w:rsid w:val="00BB661D"/>
    <w:rsid w:val="00BB662F"/>
    <w:rsid w:val="00BB66E5"/>
    <w:rsid w:val="00BB670E"/>
    <w:rsid w:val="00BB6720"/>
    <w:rsid w:val="00BB67CD"/>
    <w:rsid w:val="00BB6867"/>
    <w:rsid w:val="00BB686E"/>
    <w:rsid w:val="00BB68CD"/>
    <w:rsid w:val="00BB68D2"/>
    <w:rsid w:val="00BB6931"/>
    <w:rsid w:val="00BB6A3A"/>
    <w:rsid w:val="00BB6AA1"/>
    <w:rsid w:val="00BB6B8D"/>
    <w:rsid w:val="00BB6E16"/>
    <w:rsid w:val="00BB6F5E"/>
    <w:rsid w:val="00BB6FCE"/>
    <w:rsid w:val="00BB71F6"/>
    <w:rsid w:val="00BB7282"/>
    <w:rsid w:val="00BB7319"/>
    <w:rsid w:val="00BB73E6"/>
    <w:rsid w:val="00BB73FA"/>
    <w:rsid w:val="00BB7489"/>
    <w:rsid w:val="00BB74A7"/>
    <w:rsid w:val="00BB7549"/>
    <w:rsid w:val="00BB7754"/>
    <w:rsid w:val="00BB7860"/>
    <w:rsid w:val="00BB7ADC"/>
    <w:rsid w:val="00BB7B20"/>
    <w:rsid w:val="00BB7BC7"/>
    <w:rsid w:val="00BB7C40"/>
    <w:rsid w:val="00BB7D5A"/>
    <w:rsid w:val="00BB7F00"/>
    <w:rsid w:val="00BC00A5"/>
    <w:rsid w:val="00BC017F"/>
    <w:rsid w:val="00BC0211"/>
    <w:rsid w:val="00BC0270"/>
    <w:rsid w:val="00BC02A6"/>
    <w:rsid w:val="00BC04AA"/>
    <w:rsid w:val="00BC05DE"/>
    <w:rsid w:val="00BC0654"/>
    <w:rsid w:val="00BC065F"/>
    <w:rsid w:val="00BC070D"/>
    <w:rsid w:val="00BC07A6"/>
    <w:rsid w:val="00BC081D"/>
    <w:rsid w:val="00BC0A2B"/>
    <w:rsid w:val="00BC0A34"/>
    <w:rsid w:val="00BC0C54"/>
    <w:rsid w:val="00BC0D24"/>
    <w:rsid w:val="00BC0D6D"/>
    <w:rsid w:val="00BC0DF5"/>
    <w:rsid w:val="00BC0EE3"/>
    <w:rsid w:val="00BC0F2B"/>
    <w:rsid w:val="00BC0FCE"/>
    <w:rsid w:val="00BC11C4"/>
    <w:rsid w:val="00BC11FE"/>
    <w:rsid w:val="00BC12A2"/>
    <w:rsid w:val="00BC12C5"/>
    <w:rsid w:val="00BC1318"/>
    <w:rsid w:val="00BC132F"/>
    <w:rsid w:val="00BC140C"/>
    <w:rsid w:val="00BC1424"/>
    <w:rsid w:val="00BC15CB"/>
    <w:rsid w:val="00BC1609"/>
    <w:rsid w:val="00BC1631"/>
    <w:rsid w:val="00BC171F"/>
    <w:rsid w:val="00BC1760"/>
    <w:rsid w:val="00BC17B4"/>
    <w:rsid w:val="00BC1836"/>
    <w:rsid w:val="00BC1895"/>
    <w:rsid w:val="00BC18C2"/>
    <w:rsid w:val="00BC19C6"/>
    <w:rsid w:val="00BC1BAB"/>
    <w:rsid w:val="00BC1C01"/>
    <w:rsid w:val="00BC1C1D"/>
    <w:rsid w:val="00BC1C87"/>
    <w:rsid w:val="00BC1D04"/>
    <w:rsid w:val="00BC1D39"/>
    <w:rsid w:val="00BC1D72"/>
    <w:rsid w:val="00BC1E61"/>
    <w:rsid w:val="00BC1EE1"/>
    <w:rsid w:val="00BC1F6D"/>
    <w:rsid w:val="00BC21CC"/>
    <w:rsid w:val="00BC23F3"/>
    <w:rsid w:val="00BC24AE"/>
    <w:rsid w:val="00BC2626"/>
    <w:rsid w:val="00BC2768"/>
    <w:rsid w:val="00BC27AC"/>
    <w:rsid w:val="00BC27B3"/>
    <w:rsid w:val="00BC27FE"/>
    <w:rsid w:val="00BC2850"/>
    <w:rsid w:val="00BC2982"/>
    <w:rsid w:val="00BC29A6"/>
    <w:rsid w:val="00BC2A1A"/>
    <w:rsid w:val="00BC2A35"/>
    <w:rsid w:val="00BC2A60"/>
    <w:rsid w:val="00BC2A73"/>
    <w:rsid w:val="00BC2E74"/>
    <w:rsid w:val="00BC2EEB"/>
    <w:rsid w:val="00BC308C"/>
    <w:rsid w:val="00BC30E8"/>
    <w:rsid w:val="00BC3254"/>
    <w:rsid w:val="00BC3270"/>
    <w:rsid w:val="00BC33E8"/>
    <w:rsid w:val="00BC33F4"/>
    <w:rsid w:val="00BC3609"/>
    <w:rsid w:val="00BC3710"/>
    <w:rsid w:val="00BC380B"/>
    <w:rsid w:val="00BC383A"/>
    <w:rsid w:val="00BC3883"/>
    <w:rsid w:val="00BC38BB"/>
    <w:rsid w:val="00BC3A1A"/>
    <w:rsid w:val="00BC3C31"/>
    <w:rsid w:val="00BC3C70"/>
    <w:rsid w:val="00BC3D1C"/>
    <w:rsid w:val="00BC3D42"/>
    <w:rsid w:val="00BC3E95"/>
    <w:rsid w:val="00BC3F17"/>
    <w:rsid w:val="00BC3F41"/>
    <w:rsid w:val="00BC3F96"/>
    <w:rsid w:val="00BC405E"/>
    <w:rsid w:val="00BC40BB"/>
    <w:rsid w:val="00BC4185"/>
    <w:rsid w:val="00BC41C0"/>
    <w:rsid w:val="00BC4206"/>
    <w:rsid w:val="00BC4251"/>
    <w:rsid w:val="00BC429B"/>
    <w:rsid w:val="00BC42C5"/>
    <w:rsid w:val="00BC4402"/>
    <w:rsid w:val="00BC4438"/>
    <w:rsid w:val="00BC44F3"/>
    <w:rsid w:val="00BC4738"/>
    <w:rsid w:val="00BC480E"/>
    <w:rsid w:val="00BC4846"/>
    <w:rsid w:val="00BC48DE"/>
    <w:rsid w:val="00BC4905"/>
    <w:rsid w:val="00BC4A1D"/>
    <w:rsid w:val="00BC4A74"/>
    <w:rsid w:val="00BC4A90"/>
    <w:rsid w:val="00BC4C47"/>
    <w:rsid w:val="00BC4C8C"/>
    <w:rsid w:val="00BC4D0C"/>
    <w:rsid w:val="00BC4D22"/>
    <w:rsid w:val="00BC4E11"/>
    <w:rsid w:val="00BC4FC2"/>
    <w:rsid w:val="00BC4FC6"/>
    <w:rsid w:val="00BC510F"/>
    <w:rsid w:val="00BC516B"/>
    <w:rsid w:val="00BC526A"/>
    <w:rsid w:val="00BC53CA"/>
    <w:rsid w:val="00BC5443"/>
    <w:rsid w:val="00BC545C"/>
    <w:rsid w:val="00BC545E"/>
    <w:rsid w:val="00BC54CE"/>
    <w:rsid w:val="00BC5531"/>
    <w:rsid w:val="00BC55B7"/>
    <w:rsid w:val="00BC56C0"/>
    <w:rsid w:val="00BC56F7"/>
    <w:rsid w:val="00BC570C"/>
    <w:rsid w:val="00BC5781"/>
    <w:rsid w:val="00BC57E8"/>
    <w:rsid w:val="00BC5952"/>
    <w:rsid w:val="00BC5A6A"/>
    <w:rsid w:val="00BC5AA1"/>
    <w:rsid w:val="00BC5B26"/>
    <w:rsid w:val="00BC5D3B"/>
    <w:rsid w:val="00BC5D6C"/>
    <w:rsid w:val="00BC5D83"/>
    <w:rsid w:val="00BC5E37"/>
    <w:rsid w:val="00BC5F7A"/>
    <w:rsid w:val="00BC5FD8"/>
    <w:rsid w:val="00BC5FDD"/>
    <w:rsid w:val="00BC614F"/>
    <w:rsid w:val="00BC61B6"/>
    <w:rsid w:val="00BC62F4"/>
    <w:rsid w:val="00BC6316"/>
    <w:rsid w:val="00BC6384"/>
    <w:rsid w:val="00BC63CD"/>
    <w:rsid w:val="00BC6480"/>
    <w:rsid w:val="00BC6617"/>
    <w:rsid w:val="00BC662F"/>
    <w:rsid w:val="00BC6724"/>
    <w:rsid w:val="00BC6759"/>
    <w:rsid w:val="00BC6794"/>
    <w:rsid w:val="00BC681B"/>
    <w:rsid w:val="00BC6860"/>
    <w:rsid w:val="00BC694A"/>
    <w:rsid w:val="00BC6B13"/>
    <w:rsid w:val="00BC6B5D"/>
    <w:rsid w:val="00BC6E80"/>
    <w:rsid w:val="00BC6F04"/>
    <w:rsid w:val="00BC6F31"/>
    <w:rsid w:val="00BC6FFE"/>
    <w:rsid w:val="00BC704A"/>
    <w:rsid w:val="00BC7069"/>
    <w:rsid w:val="00BC7247"/>
    <w:rsid w:val="00BC7275"/>
    <w:rsid w:val="00BC7619"/>
    <w:rsid w:val="00BC7641"/>
    <w:rsid w:val="00BC767B"/>
    <w:rsid w:val="00BC76F1"/>
    <w:rsid w:val="00BC7789"/>
    <w:rsid w:val="00BC77EE"/>
    <w:rsid w:val="00BC7937"/>
    <w:rsid w:val="00BC7A65"/>
    <w:rsid w:val="00BC7C10"/>
    <w:rsid w:val="00BC7CBA"/>
    <w:rsid w:val="00BC7CCB"/>
    <w:rsid w:val="00BC7D38"/>
    <w:rsid w:val="00BC7DFA"/>
    <w:rsid w:val="00BC7F4D"/>
    <w:rsid w:val="00BC7F55"/>
    <w:rsid w:val="00BC7FF0"/>
    <w:rsid w:val="00BD002D"/>
    <w:rsid w:val="00BD011B"/>
    <w:rsid w:val="00BD01D9"/>
    <w:rsid w:val="00BD0209"/>
    <w:rsid w:val="00BD02EB"/>
    <w:rsid w:val="00BD02FE"/>
    <w:rsid w:val="00BD0326"/>
    <w:rsid w:val="00BD032B"/>
    <w:rsid w:val="00BD0395"/>
    <w:rsid w:val="00BD03AD"/>
    <w:rsid w:val="00BD03D7"/>
    <w:rsid w:val="00BD043F"/>
    <w:rsid w:val="00BD0572"/>
    <w:rsid w:val="00BD063B"/>
    <w:rsid w:val="00BD0651"/>
    <w:rsid w:val="00BD07FB"/>
    <w:rsid w:val="00BD088F"/>
    <w:rsid w:val="00BD0B25"/>
    <w:rsid w:val="00BD0B64"/>
    <w:rsid w:val="00BD0BD3"/>
    <w:rsid w:val="00BD0CF7"/>
    <w:rsid w:val="00BD0D8E"/>
    <w:rsid w:val="00BD0D95"/>
    <w:rsid w:val="00BD0E10"/>
    <w:rsid w:val="00BD0E20"/>
    <w:rsid w:val="00BD0F1B"/>
    <w:rsid w:val="00BD0F53"/>
    <w:rsid w:val="00BD1007"/>
    <w:rsid w:val="00BD1066"/>
    <w:rsid w:val="00BD11B7"/>
    <w:rsid w:val="00BD1344"/>
    <w:rsid w:val="00BD1497"/>
    <w:rsid w:val="00BD156D"/>
    <w:rsid w:val="00BD15D6"/>
    <w:rsid w:val="00BD1868"/>
    <w:rsid w:val="00BD1898"/>
    <w:rsid w:val="00BD18B5"/>
    <w:rsid w:val="00BD19B6"/>
    <w:rsid w:val="00BD1A86"/>
    <w:rsid w:val="00BD1AC5"/>
    <w:rsid w:val="00BD1ADC"/>
    <w:rsid w:val="00BD1D11"/>
    <w:rsid w:val="00BD1D65"/>
    <w:rsid w:val="00BD1DE3"/>
    <w:rsid w:val="00BD1EAF"/>
    <w:rsid w:val="00BD21D8"/>
    <w:rsid w:val="00BD2452"/>
    <w:rsid w:val="00BD245D"/>
    <w:rsid w:val="00BD2557"/>
    <w:rsid w:val="00BD261D"/>
    <w:rsid w:val="00BD266D"/>
    <w:rsid w:val="00BD2A07"/>
    <w:rsid w:val="00BD2D00"/>
    <w:rsid w:val="00BD2DB8"/>
    <w:rsid w:val="00BD2E02"/>
    <w:rsid w:val="00BD2F0C"/>
    <w:rsid w:val="00BD2FF9"/>
    <w:rsid w:val="00BD31D1"/>
    <w:rsid w:val="00BD32CB"/>
    <w:rsid w:val="00BD3336"/>
    <w:rsid w:val="00BD34DE"/>
    <w:rsid w:val="00BD34EE"/>
    <w:rsid w:val="00BD3585"/>
    <w:rsid w:val="00BD3589"/>
    <w:rsid w:val="00BD3607"/>
    <w:rsid w:val="00BD385F"/>
    <w:rsid w:val="00BD38E6"/>
    <w:rsid w:val="00BD3910"/>
    <w:rsid w:val="00BD3AB4"/>
    <w:rsid w:val="00BD3B32"/>
    <w:rsid w:val="00BD3C4A"/>
    <w:rsid w:val="00BD3CE2"/>
    <w:rsid w:val="00BD3CE9"/>
    <w:rsid w:val="00BD3CFB"/>
    <w:rsid w:val="00BD3D70"/>
    <w:rsid w:val="00BD3E6A"/>
    <w:rsid w:val="00BD3E76"/>
    <w:rsid w:val="00BD3ECA"/>
    <w:rsid w:val="00BD3EE5"/>
    <w:rsid w:val="00BD3F06"/>
    <w:rsid w:val="00BD3F5B"/>
    <w:rsid w:val="00BD3FD6"/>
    <w:rsid w:val="00BD4092"/>
    <w:rsid w:val="00BD40C5"/>
    <w:rsid w:val="00BD41AF"/>
    <w:rsid w:val="00BD41E5"/>
    <w:rsid w:val="00BD4218"/>
    <w:rsid w:val="00BD439A"/>
    <w:rsid w:val="00BD443C"/>
    <w:rsid w:val="00BD4488"/>
    <w:rsid w:val="00BD4646"/>
    <w:rsid w:val="00BD484D"/>
    <w:rsid w:val="00BD4894"/>
    <w:rsid w:val="00BD48A1"/>
    <w:rsid w:val="00BD4A99"/>
    <w:rsid w:val="00BD4B02"/>
    <w:rsid w:val="00BD4EB2"/>
    <w:rsid w:val="00BD5089"/>
    <w:rsid w:val="00BD50E7"/>
    <w:rsid w:val="00BD519A"/>
    <w:rsid w:val="00BD51CA"/>
    <w:rsid w:val="00BD5206"/>
    <w:rsid w:val="00BD523D"/>
    <w:rsid w:val="00BD5305"/>
    <w:rsid w:val="00BD5317"/>
    <w:rsid w:val="00BD53C8"/>
    <w:rsid w:val="00BD540B"/>
    <w:rsid w:val="00BD547A"/>
    <w:rsid w:val="00BD5527"/>
    <w:rsid w:val="00BD5667"/>
    <w:rsid w:val="00BD5737"/>
    <w:rsid w:val="00BD57FD"/>
    <w:rsid w:val="00BD5A88"/>
    <w:rsid w:val="00BD5AED"/>
    <w:rsid w:val="00BD5B60"/>
    <w:rsid w:val="00BD5C73"/>
    <w:rsid w:val="00BD5CBF"/>
    <w:rsid w:val="00BD5F2E"/>
    <w:rsid w:val="00BD5F4C"/>
    <w:rsid w:val="00BD5F6E"/>
    <w:rsid w:val="00BD5F8B"/>
    <w:rsid w:val="00BD5F93"/>
    <w:rsid w:val="00BD6088"/>
    <w:rsid w:val="00BD6145"/>
    <w:rsid w:val="00BD62FF"/>
    <w:rsid w:val="00BD6338"/>
    <w:rsid w:val="00BD6377"/>
    <w:rsid w:val="00BD63BC"/>
    <w:rsid w:val="00BD63E1"/>
    <w:rsid w:val="00BD6487"/>
    <w:rsid w:val="00BD6493"/>
    <w:rsid w:val="00BD6832"/>
    <w:rsid w:val="00BD6891"/>
    <w:rsid w:val="00BD689A"/>
    <w:rsid w:val="00BD694A"/>
    <w:rsid w:val="00BD6A89"/>
    <w:rsid w:val="00BD6AAB"/>
    <w:rsid w:val="00BD6B02"/>
    <w:rsid w:val="00BD6B37"/>
    <w:rsid w:val="00BD6BF7"/>
    <w:rsid w:val="00BD6CB2"/>
    <w:rsid w:val="00BD6D08"/>
    <w:rsid w:val="00BD6E41"/>
    <w:rsid w:val="00BD6F06"/>
    <w:rsid w:val="00BD709E"/>
    <w:rsid w:val="00BD7238"/>
    <w:rsid w:val="00BD7279"/>
    <w:rsid w:val="00BD7496"/>
    <w:rsid w:val="00BD756B"/>
    <w:rsid w:val="00BD75AE"/>
    <w:rsid w:val="00BD7730"/>
    <w:rsid w:val="00BD77A6"/>
    <w:rsid w:val="00BD7876"/>
    <w:rsid w:val="00BD78E4"/>
    <w:rsid w:val="00BD78E8"/>
    <w:rsid w:val="00BD78F1"/>
    <w:rsid w:val="00BD791E"/>
    <w:rsid w:val="00BD7A4E"/>
    <w:rsid w:val="00BD7A55"/>
    <w:rsid w:val="00BD7B1F"/>
    <w:rsid w:val="00BD7B5A"/>
    <w:rsid w:val="00BD7BC3"/>
    <w:rsid w:val="00BD7C37"/>
    <w:rsid w:val="00BD7D27"/>
    <w:rsid w:val="00BD7D98"/>
    <w:rsid w:val="00BD7DC0"/>
    <w:rsid w:val="00BD7E45"/>
    <w:rsid w:val="00BD7E60"/>
    <w:rsid w:val="00BD7EE3"/>
    <w:rsid w:val="00BD7FA4"/>
    <w:rsid w:val="00BD7FAE"/>
    <w:rsid w:val="00BE001A"/>
    <w:rsid w:val="00BE0131"/>
    <w:rsid w:val="00BE01E6"/>
    <w:rsid w:val="00BE0397"/>
    <w:rsid w:val="00BE0577"/>
    <w:rsid w:val="00BE0717"/>
    <w:rsid w:val="00BE0826"/>
    <w:rsid w:val="00BE08F6"/>
    <w:rsid w:val="00BE0918"/>
    <w:rsid w:val="00BE0A9B"/>
    <w:rsid w:val="00BE0AE2"/>
    <w:rsid w:val="00BE0AE3"/>
    <w:rsid w:val="00BE0B76"/>
    <w:rsid w:val="00BE0C0F"/>
    <w:rsid w:val="00BE1144"/>
    <w:rsid w:val="00BE131E"/>
    <w:rsid w:val="00BE1368"/>
    <w:rsid w:val="00BE143C"/>
    <w:rsid w:val="00BE143E"/>
    <w:rsid w:val="00BE143F"/>
    <w:rsid w:val="00BE1593"/>
    <w:rsid w:val="00BE15CC"/>
    <w:rsid w:val="00BE16BC"/>
    <w:rsid w:val="00BE1754"/>
    <w:rsid w:val="00BE17B4"/>
    <w:rsid w:val="00BE1980"/>
    <w:rsid w:val="00BE1A02"/>
    <w:rsid w:val="00BE1B8D"/>
    <w:rsid w:val="00BE1C3C"/>
    <w:rsid w:val="00BE1D2F"/>
    <w:rsid w:val="00BE1F04"/>
    <w:rsid w:val="00BE1FBF"/>
    <w:rsid w:val="00BE1FDA"/>
    <w:rsid w:val="00BE1FF9"/>
    <w:rsid w:val="00BE20C7"/>
    <w:rsid w:val="00BE230D"/>
    <w:rsid w:val="00BE2340"/>
    <w:rsid w:val="00BE2353"/>
    <w:rsid w:val="00BE24C9"/>
    <w:rsid w:val="00BE25D4"/>
    <w:rsid w:val="00BE260A"/>
    <w:rsid w:val="00BE286B"/>
    <w:rsid w:val="00BE28A7"/>
    <w:rsid w:val="00BE2A23"/>
    <w:rsid w:val="00BE2AD0"/>
    <w:rsid w:val="00BE2B6B"/>
    <w:rsid w:val="00BE2C6B"/>
    <w:rsid w:val="00BE2C8F"/>
    <w:rsid w:val="00BE2D92"/>
    <w:rsid w:val="00BE2D99"/>
    <w:rsid w:val="00BE2F02"/>
    <w:rsid w:val="00BE2FA0"/>
    <w:rsid w:val="00BE3221"/>
    <w:rsid w:val="00BE3241"/>
    <w:rsid w:val="00BE3276"/>
    <w:rsid w:val="00BE329B"/>
    <w:rsid w:val="00BE32F0"/>
    <w:rsid w:val="00BE33C7"/>
    <w:rsid w:val="00BE34DE"/>
    <w:rsid w:val="00BE353E"/>
    <w:rsid w:val="00BE359C"/>
    <w:rsid w:val="00BE35E0"/>
    <w:rsid w:val="00BE3618"/>
    <w:rsid w:val="00BE38CC"/>
    <w:rsid w:val="00BE3964"/>
    <w:rsid w:val="00BE3A9B"/>
    <w:rsid w:val="00BE3C3C"/>
    <w:rsid w:val="00BE3D83"/>
    <w:rsid w:val="00BE3DAD"/>
    <w:rsid w:val="00BE3E83"/>
    <w:rsid w:val="00BE3EAD"/>
    <w:rsid w:val="00BE3F3C"/>
    <w:rsid w:val="00BE3FFA"/>
    <w:rsid w:val="00BE403A"/>
    <w:rsid w:val="00BE408F"/>
    <w:rsid w:val="00BE419E"/>
    <w:rsid w:val="00BE424A"/>
    <w:rsid w:val="00BE44CC"/>
    <w:rsid w:val="00BE4535"/>
    <w:rsid w:val="00BE4582"/>
    <w:rsid w:val="00BE45FF"/>
    <w:rsid w:val="00BE461D"/>
    <w:rsid w:val="00BE464D"/>
    <w:rsid w:val="00BE46B8"/>
    <w:rsid w:val="00BE48A4"/>
    <w:rsid w:val="00BE494F"/>
    <w:rsid w:val="00BE4961"/>
    <w:rsid w:val="00BE4A13"/>
    <w:rsid w:val="00BE4A54"/>
    <w:rsid w:val="00BE4B6E"/>
    <w:rsid w:val="00BE4B8D"/>
    <w:rsid w:val="00BE4D3E"/>
    <w:rsid w:val="00BE4FF7"/>
    <w:rsid w:val="00BE5006"/>
    <w:rsid w:val="00BE5216"/>
    <w:rsid w:val="00BE527F"/>
    <w:rsid w:val="00BE53C9"/>
    <w:rsid w:val="00BE53E0"/>
    <w:rsid w:val="00BE543B"/>
    <w:rsid w:val="00BE5475"/>
    <w:rsid w:val="00BE5594"/>
    <w:rsid w:val="00BE5682"/>
    <w:rsid w:val="00BE57A2"/>
    <w:rsid w:val="00BE57E9"/>
    <w:rsid w:val="00BE5814"/>
    <w:rsid w:val="00BE5821"/>
    <w:rsid w:val="00BE5884"/>
    <w:rsid w:val="00BE5945"/>
    <w:rsid w:val="00BE5957"/>
    <w:rsid w:val="00BE5A1E"/>
    <w:rsid w:val="00BE5AFB"/>
    <w:rsid w:val="00BE5DD4"/>
    <w:rsid w:val="00BE5EAC"/>
    <w:rsid w:val="00BE5F7E"/>
    <w:rsid w:val="00BE61B4"/>
    <w:rsid w:val="00BE61E3"/>
    <w:rsid w:val="00BE636C"/>
    <w:rsid w:val="00BE639B"/>
    <w:rsid w:val="00BE65A6"/>
    <w:rsid w:val="00BE66D5"/>
    <w:rsid w:val="00BE6792"/>
    <w:rsid w:val="00BE67BD"/>
    <w:rsid w:val="00BE67CF"/>
    <w:rsid w:val="00BE67F7"/>
    <w:rsid w:val="00BE68BC"/>
    <w:rsid w:val="00BE68FF"/>
    <w:rsid w:val="00BE69F7"/>
    <w:rsid w:val="00BE6CAA"/>
    <w:rsid w:val="00BE6D2D"/>
    <w:rsid w:val="00BE6D32"/>
    <w:rsid w:val="00BE6ED6"/>
    <w:rsid w:val="00BE6F01"/>
    <w:rsid w:val="00BE6FA8"/>
    <w:rsid w:val="00BE7147"/>
    <w:rsid w:val="00BE7340"/>
    <w:rsid w:val="00BE7370"/>
    <w:rsid w:val="00BE76AE"/>
    <w:rsid w:val="00BE76CD"/>
    <w:rsid w:val="00BE76D6"/>
    <w:rsid w:val="00BE76E6"/>
    <w:rsid w:val="00BE77AB"/>
    <w:rsid w:val="00BE79BA"/>
    <w:rsid w:val="00BE7A82"/>
    <w:rsid w:val="00BE7B5E"/>
    <w:rsid w:val="00BE7BED"/>
    <w:rsid w:val="00BE7CFA"/>
    <w:rsid w:val="00BE7D26"/>
    <w:rsid w:val="00BE7E13"/>
    <w:rsid w:val="00BE7E61"/>
    <w:rsid w:val="00BE7F52"/>
    <w:rsid w:val="00BE7FF4"/>
    <w:rsid w:val="00BF0139"/>
    <w:rsid w:val="00BF0165"/>
    <w:rsid w:val="00BF027E"/>
    <w:rsid w:val="00BF064F"/>
    <w:rsid w:val="00BF06A0"/>
    <w:rsid w:val="00BF0756"/>
    <w:rsid w:val="00BF078F"/>
    <w:rsid w:val="00BF07C9"/>
    <w:rsid w:val="00BF0800"/>
    <w:rsid w:val="00BF082A"/>
    <w:rsid w:val="00BF0835"/>
    <w:rsid w:val="00BF08A5"/>
    <w:rsid w:val="00BF091B"/>
    <w:rsid w:val="00BF0934"/>
    <w:rsid w:val="00BF0ABE"/>
    <w:rsid w:val="00BF0C3C"/>
    <w:rsid w:val="00BF0DB3"/>
    <w:rsid w:val="00BF0E30"/>
    <w:rsid w:val="00BF0E98"/>
    <w:rsid w:val="00BF0F44"/>
    <w:rsid w:val="00BF145F"/>
    <w:rsid w:val="00BF1476"/>
    <w:rsid w:val="00BF14F9"/>
    <w:rsid w:val="00BF1535"/>
    <w:rsid w:val="00BF1713"/>
    <w:rsid w:val="00BF181C"/>
    <w:rsid w:val="00BF182D"/>
    <w:rsid w:val="00BF1919"/>
    <w:rsid w:val="00BF196B"/>
    <w:rsid w:val="00BF1A6E"/>
    <w:rsid w:val="00BF1B31"/>
    <w:rsid w:val="00BF1C74"/>
    <w:rsid w:val="00BF1CF8"/>
    <w:rsid w:val="00BF1E7B"/>
    <w:rsid w:val="00BF1E9C"/>
    <w:rsid w:val="00BF1FAD"/>
    <w:rsid w:val="00BF2136"/>
    <w:rsid w:val="00BF2139"/>
    <w:rsid w:val="00BF2158"/>
    <w:rsid w:val="00BF23CE"/>
    <w:rsid w:val="00BF23DF"/>
    <w:rsid w:val="00BF242F"/>
    <w:rsid w:val="00BF24BA"/>
    <w:rsid w:val="00BF2502"/>
    <w:rsid w:val="00BF2520"/>
    <w:rsid w:val="00BF257E"/>
    <w:rsid w:val="00BF263E"/>
    <w:rsid w:val="00BF26D5"/>
    <w:rsid w:val="00BF26E4"/>
    <w:rsid w:val="00BF2748"/>
    <w:rsid w:val="00BF29D8"/>
    <w:rsid w:val="00BF2A2A"/>
    <w:rsid w:val="00BF2A63"/>
    <w:rsid w:val="00BF2ABF"/>
    <w:rsid w:val="00BF2B2B"/>
    <w:rsid w:val="00BF2B88"/>
    <w:rsid w:val="00BF2CA7"/>
    <w:rsid w:val="00BF2F38"/>
    <w:rsid w:val="00BF2F6B"/>
    <w:rsid w:val="00BF3030"/>
    <w:rsid w:val="00BF3066"/>
    <w:rsid w:val="00BF3214"/>
    <w:rsid w:val="00BF323F"/>
    <w:rsid w:val="00BF3265"/>
    <w:rsid w:val="00BF3276"/>
    <w:rsid w:val="00BF34E1"/>
    <w:rsid w:val="00BF34EE"/>
    <w:rsid w:val="00BF3597"/>
    <w:rsid w:val="00BF3615"/>
    <w:rsid w:val="00BF365A"/>
    <w:rsid w:val="00BF372F"/>
    <w:rsid w:val="00BF3765"/>
    <w:rsid w:val="00BF393D"/>
    <w:rsid w:val="00BF3A67"/>
    <w:rsid w:val="00BF3AF3"/>
    <w:rsid w:val="00BF3BA6"/>
    <w:rsid w:val="00BF3C60"/>
    <w:rsid w:val="00BF3FC0"/>
    <w:rsid w:val="00BF4223"/>
    <w:rsid w:val="00BF42C3"/>
    <w:rsid w:val="00BF433E"/>
    <w:rsid w:val="00BF437D"/>
    <w:rsid w:val="00BF43DA"/>
    <w:rsid w:val="00BF4404"/>
    <w:rsid w:val="00BF44A3"/>
    <w:rsid w:val="00BF453A"/>
    <w:rsid w:val="00BF45D3"/>
    <w:rsid w:val="00BF4720"/>
    <w:rsid w:val="00BF4809"/>
    <w:rsid w:val="00BF481C"/>
    <w:rsid w:val="00BF4921"/>
    <w:rsid w:val="00BF4A15"/>
    <w:rsid w:val="00BF4AA1"/>
    <w:rsid w:val="00BF4B4D"/>
    <w:rsid w:val="00BF4D4F"/>
    <w:rsid w:val="00BF4F14"/>
    <w:rsid w:val="00BF4F94"/>
    <w:rsid w:val="00BF52B3"/>
    <w:rsid w:val="00BF52F5"/>
    <w:rsid w:val="00BF5352"/>
    <w:rsid w:val="00BF53F9"/>
    <w:rsid w:val="00BF558D"/>
    <w:rsid w:val="00BF56D9"/>
    <w:rsid w:val="00BF5899"/>
    <w:rsid w:val="00BF594F"/>
    <w:rsid w:val="00BF5A88"/>
    <w:rsid w:val="00BF5AEC"/>
    <w:rsid w:val="00BF5C78"/>
    <w:rsid w:val="00BF5E00"/>
    <w:rsid w:val="00BF5E79"/>
    <w:rsid w:val="00BF5FFC"/>
    <w:rsid w:val="00BF6165"/>
    <w:rsid w:val="00BF6373"/>
    <w:rsid w:val="00BF6716"/>
    <w:rsid w:val="00BF6761"/>
    <w:rsid w:val="00BF6790"/>
    <w:rsid w:val="00BF67C3"/>
    <w:rsid w:val="00BF67C4"/>
    <w:rsid w:val="00BF67CD"/>
    <w:rsid w:val="00BF6B5C"/>
    <w:rsid w:val="00BF6BC5"/>
    <w:rsid w:val="00BF6C1C"/>
    <w:rsid w:val="00BF6D2B"/>
    <w:rsid w:val="00BF6D84"/>
    <w:rsid w:val="00BF6DAE"/>
    <w:rsid w:val="00BF6E49"/>
    <w:rsid w:val="00BF6E82"/>
    <w:rsid w:val="00BF6F3F"/>
    <w:rsid w:val="00BF6FA7"/>
    <w:rsid w:val="00BF7090"/>
    <w:rsid w:val="00BF70C4"/>
    <w:rsid w:val="00BF7141"/>
    <w:rsid w:val="00BF7365"/>
    <w:rsid w:val="00BF73C1"/>
    <w:rsid w:val="00BF73F6"/>
    <w:rsid w:val="00BF7443"/>
    <w:rsid w:val="00BF755F"/>
    <w:rsid w:val="00BF757D"/>
    <w:rsid w:val="00BF760A"/>
    <w:rsid w:val="00BF7623"/>
    <w:rsid w:val="00BF76D2"/>
    <w:rsid w:val="00BF76FA"/>
    <w:rsid w:val="00BF7712"/>
    <w:rsid w:val="00BF7813"/>
    <w:rsid w:val="00BF7817"/>
    <w:rsid w:val="00BF78D9"/>
    <w:rsid w:val="00BF79AE"/>
    <w:rsid w:val="00BF79F7"/>
    <w:rsid w:val="00BF7A1C"/>
    <w:rsid w:val="00BF7ABA"/>
    <w:rsid w:val="00BF7C17"/>
    <w:rsid w:val="00BF7CC4"/>
    <w:rsid w:val="00BF7CE2"/>
    <w:rsid w:val="00C00074"/>
    <w:rsid w:val="00C000AA"/>
    <w:rsid w:val="00C001D6"/>
    <w:rsid w:val="00C00290"/>
    <w:rsid w:val="00C002B8"/>
    <w:rsid w:val="00C00306"/>
    <w:rsid w:val="00C003D6"/>
    <w:rsid w:val="00C006E3"/>
    <w:rsid w:val="00C00803"/>
    <w:rsid w:val="00C0089C"/>
    <w:rsid w:val="00C008E2"/>
    <w:rsid w:val="00C0090C"/>
    <w:rsid w:val="00C00961"/>
    <w:rsid w:val="00C009B2"/>
    <w:rsid w:val="00C00A34"/>
    <w:rsid w:val="00C00AF3"/>
    <w:rsid w:val="00C00DF0"/>
    <w:rsid w:val="00C00E38"/>
    <w:rsid w:val="00C00E51"/>
    <w:rsid w:val="00C00F97"/>
    <w:rsid w:val="00C01030"/>
    <w:rsid w:val="00C01082"/>
    <w:rsid w:val="00C01199"/>
    <w:rsid w:val="00C011B4"/>
    <w:rsid w:val="00C0127B"/>
    <w:rsid w:val="00C012E7"/>
    <w:rsid w:val="00C0143A"/>
    <w:rsid w:val="00C014DD"/>
    <w:rsid w:val="00C01546"/>
    <w:rsid w:val="00C0175C"/>
    <w:rsid w:val="00C0180F"/>
    <w:rsid w:val="00C0181F"/>
    <w:rsid w:val="00C0188B"/>
    <w:rsid w:val="00C018E0"/>
    <w:rsid w:val="00C019C9"/>
    <w:rsid w:val="00C019D6"/>
    <w:rsid w:val="00C01A48"/>
    <w:rsid w:val="00C01A66"/>
    <w:rsid w:val="00C01AC3"/>
    <w:rsid w:val="00C01B75"/>
    <w:rsid w:val="00C01C7F"/>
    <w:rsid w:val="00C01C93"/>
    <w:rsid w:val="00C01CE4"/>
    <w:rsid w:val="00C01DFD"/>
    <w:rsid w:val="00C01E4B"/>
    <w:rsid w:val="00C01EDC"/>
    <w:rsid w:val="00C01F69"/>
    <w:rsid w:val="00C02088"/>
    <w:rsid w:val="00C020B0"/>
    <w:rsid w:val="00C02196"/>
    <w:rsid w:val="00C02283"/>
    <w:rsid w:val="00C022B1"/>
    <w:rsid w:val="00C022B3"/>
    <w:rsid w:val="00C022B7"/>
    <w:rsid w:val="00C02344"/>
    <w:rsid w:val="00C02371"/>
    <w:rsid w:val="00C023AE"/>
    <w:rsid w:val="00C02400"/>
    <w:rsid w:val="00C02437"/>
    <w:rsid w:val="00C02739"/>
    <w:rsid w:val="00C027D5"/>
    <w:rsid w:val="00C0287C"/>
    <w:rsid w:val="00C028D9"/>
    <w:rsid w:val="00C0292A"/>
    <w:rsid w:val="00C029BA"/>
    <w:rsid w:val="00C02B1C"/>
    <w:rsid w:val="00C02BC2"/>
    <w:rsid w:val="00C02C2F"/>
    <w:rsid w:val="00C02C71"/>
    <w:rsid w:val="00C02CD6"/>
    <w:rsid w:val="00C02CFE"/>
    <w:rsid w:val="00C02E1C"/>
    <w:rsid w:val="00C02E62"/>
    <w:rsid w:val="00C02EAC"/>
    <w:rsid w:val="00C02ECB"/>
    <w:rsid w:val="00C030DD"/>
    <w:rsid w:val="00C03107"/>
    <w:rsid w:val="00C0311D"/>
    <w:rsid w:val="00C03204"/>
    <w:rsid w:val="00C03230"/>
    <w:rsid w:val="00C03239"/>
    <w:rsid w:val="00C03240"/>
    <w:rsid w:val="00C032AD"/>
    <w:rsid w:val="00C037D0"/>
    <w:rsid w:val="00C037F0"/>
    <w:rsid w:val="00C03838"/>
    <w:rsid w:val="00C038B3"/>
    <w:rsid w:val="00C0395D"/>
    <w:rsid w:val="00C03A36"/>
    <w:rsid w:val="00C03AFE"/>
    <w:rsid w:val="00C03BA0"/>
    <w:rsid w:val="00C03BA6"/>
    <w:rsid w:val="00C03CE4"/>
    <w:rsid w:val="00C03D57"/>
    <w:rsid w:val="00C03D9D"/>
    <w:rsid w:val="00C03E81"/>
    <w:rsid w:val="00C03FC9"/>
    <w:rsid w:val="00C04116"/>
    <w:rsid w:val="00C04137"/>
    <w:rsid w:val="00C041C1"/>
    <w:rsid w:val="00C0420C"/>
    <w:rsid w:val="00C04319"/>
    <w:rsid w:val="00C0437F"/>
    <w:rsid w:val="00C0455E"/>
    <w:rsid w:val="00C0459E"/>
    <w:rsid w:val="00C045F6"/>
    <w:rsid w:val="00C046BB"/>
    <w:rsid w:val="00C04880"/>
    <w:rsid w:val="00C0493A"/>
    <w:rsid w:val="00C04A2D"/>
    <w:rsid w:val="00C04BD0"/>
    <w:rsid w:val="00C04BF6"/>
    <w:rsid w:val="00C04D1A"/>
    <w:rsid w:val="00C04D43"/>
    <w:rsid w:val="00C04E24"/>
    <w:rsid w:val="00C04E25"/>
    <w:rsid w:val="00C04EAA"/>
    <w:rsid w:val="00C04F1D"/>
    <w:rsid w:val="00C0508D"/>
    <w:rsid w:val="00C0512A"/>
    <w:rsid w:val="00C0527C"/>
    <w:rsid w:val="00C05325"/>
    <w:rsid w:val="00C053B0"/>
    <w:rsid w:val="00C0552F"/>
    <w:rsid w:val="00C0565B"/>
    <w:rsid w:val="00C05701"/>
    <w:rsid w:val="00C05716"/>
    <w:rsid w:val="00C05741"/>
    <w:rsid w:val="00C05799"/>
    <w:rsid w:val="00C05860"/>
    <w:rsid w:val="00C058CA"/>
    <w:rsid w:val="00C058E4"/>
    <w:rsid w:val="00C059B4"/>
    <w:rsid w:val="00C059EE"/>
    <w:rsid w:val="00C05A1D"/>
    <w:rsid w:val="00C05ADF"/>
    <w:rsid w:val="00C05B46"/>
    <w:rsid w:val="00C05BA0"/>
    <w:rsid w:val="00C05BAA"/>
    <w:rsid w:val="00C05C7E"/>
    <w:rsid w:val="00C05CCD"/>
    <w:rsid w:val="00C05CDA"/>
    <w:rsid w:val="00C05EC3"/>
    <w:rsid w:val="00C05F0F"/>
    <w:rsid w:val="00C06019"/>
    <w:rsid w:val="00C06024"/>
    <w:rsid w:val="00C06038"/>
    <w:rsid w:val="00C06121"/>
    <w:rsid w:val="00C06129"/>
    <w:rsid w:val="00C061AC"/>
    <w:rsid w:val="00C06227"/>
    <w:rsid w:val="00C062DC"/>
    <w:rsid w:val="00C0635C"/>
    <w:rsid w:val="00C06453"/>
    <w:rsid w:val="00C0653D"/>
    <w:rsid w:val="00C065F4"/>
    <w:rsid w:val="00C0667F"/>
    <w:rsid w:val="00C0675A"/>
    <w:rsid w:val="00C0685A"/>
    <w:rsid w:val="00C0686A"/>
    <w:rsid w:val="00C06919"/>
    <w:rsid w:val="00C0699D"/>
    <w:rsid w:val="00C069CB"/>
    <w:rsid w:val="00C06A67"/>
    <w:rsid w:val="00C06AE4"/>
    <w:rsid w:val="00C06B3A"/>
    <w:rsid w:val="00C06EC9"/>
    <w:rsid w:val="00C06ED4"/>
    <w:rsid w:val="00C06F30"/>
    <w:rsid w:val="00C06F61"/>
    <w:rsid w:val="00C070E6"/>
    <w:rsid w:val="00C070EC"/>
    <w:rsid w:val="00C07270"/>
    <w:rsid w:val="00C072C5"/>
    <w:rsid w:val="00C073DB"/>
    <w:rsid w:val="00C073E0"/>
    <w:rsid w:val="00C073EF"/>
    <w:rsid w:val="00C074DF"/>
    <w:rsid w:val="00C07512"/>
    <w:rsid w:val="00C07527"/>
    <w:rsid w:val="00C0755E"/>
    <w:rsid w:val="00C0757D"/>
    <w:rsid w:val="00C07670"/>
    <w:rsid w:val="00C077EF"/>
    <w:rsid w:val="00C0781A"/>
    <w:rsid w:val="00C0785F"/>
    <w:rsid w:val="00C07869"/>
    <w:rsid w:val="00C07934"/>
    <w:rsid w:val="00C079C6"/>
    <w:rsid w:val="00C079E5"/>
    <w:rsid w:val="00C07A46"/>
    <w:rsid w:val="00C07AF2"/>
    <w:rsid w:val="00C07EFD"/>
    <w:rsid w:val="00C07F3F"/>
    <w:rsid w:val="00C07F65"/>
    <w:rsid w:val="00C10066"/>
    <w:rsid w:val="00C10078"/>
    <w:rsid w:val="00C10081"/>
    <w:rsid w:val="00C10148"/>
    <w:rsid w:val="00C101B9"/>
    <w:rsid w:val="00C101D4"/>
    <w:rsid w:val="00C1020A"/>
    <w:rsid w:val="00C10252"/>
    <w:rsid w:val="00C10384"/>
    <w:rsid w:val="00C103E4"/>
    <w:rsid w:val="00C1042B"/>
    <w:rsid w:val="00C105DC"/>
    <w:rsid w:val="00C10806"/>
    <w:rsid w:val="00C1082D"/>
    <w:rsid w:val="00C10837"/>
    <w:rsid w:val="00C10925"/>
    <w:rsid w:val="00C109A1"/>
    <w:rsid w:val="00C109F1"/>
    <w:rsid w:val="00C10A49"/>
    <w:rsid w:val="00C10AA1"/>
    <w:rsid w:val="00C10CAA"/>
    <w:rsid w:val="00C10FAD"/>
    <w:rsid w:val="00C10FAE"/>
    <w:rsid w:val="00C11017"/>
    <w:rsid w:val="00C11080"/>
    <w:rsid w:val="00C1119D"/>
    <w:rsid w:val="00C111BD"/>
    <w:rsid w:val="00C1137B"/>
    <w:rsid w:val="00C1156A"/>
    <w:rsid w:val="00C1161A"/>
    <w:rsid w:val="00C11719"/>
    <w:rsid w:val="00C117BE"/>
    <w:rsid w:val="00C1190F"/>
    <w:rsid w:val="00C11999"/>
    <w:rsid w:val="00C1199A"/>
    <w:rsid w:val="00C11AE3"/>
    <w:rsid w:val="00C11B11"/>
    <w:rsid w:val="00C11B8A"/>
    <w:rsid w:val="00C11B8F"/>
    <w:rsid w:val="00C11B9F"/>
    <w:rsid w:val="00C11C0E"/>
    <w:rsid w:val="00C11C60"/>
    <w:rsid w:val="00C11C64"/>
    <w:rsid w:val="00C11E51"/>
    <w:rsid w:val="00C11ED0"/>
    <w:rsid w:val="00C11EED"/>
    <w:rsid w:val="00C12078"/>
    <w:rsid w:val="00C120C5"/>
    <w:rsid w:val="00C12125"/>
    <w:rsid w:val="00C12178"/>
    <w:rsid w:val="00C12296"/>
    <w:rsid w:val="00C123EB"/>
    <w:rsid w:val="00C124C0"/>
    <w:rsid w:val="00C124C7"/>
    <w:rsid w:val="00C1253C"/>
    <w:rsid w:val="00C126C6"/>
    <w:rsid w:val="00C12701"/>
    <w:rsid w:val="00C12772"/>
    <w:rsid w:val="00C127BB"/>
    <w:rsid w:val="00C1282E"/>
    <w:rsid w:val="00C128D2"/>
    <w:rsid w:val="00C12A58"/>
    <w:rsid w:val="00C12C63"/>
    <w:rsid w:val="00C12E78"/>
    <w:rsid w:val="00C12F35"/>
    <w:rsid w:val="00C12F54"/>
    <w:rsid w:val="00C12F99"/>
    <w:rsid w:val="00C12FBF"/>
    <w:rsid w:val="00C13025"/>
    <w:rsid w:val="00C130DD"/>
    <w:rsid w:val="00C13613"/>
    <w:rsid w:val="00C13684"/>
    <w:rsid w:val="00C136CD"/>
    <w:rsid w:val="00C136E4"/>
    <w:rsid w:val="00C13839"/>
    <w:rsid w:val="00C139DD"/>
    <w:rsid w:val="00C13B7A"/>
    <w:rsid w:val="00C13C20"/>
    <w:rsid w:val="00C13C88"/>
    <w:rsid w:val="00C13C99"/>
    <w:rsid w:val="00C13D06"/>
    <w:rsid w:val="00C13D25"/>
    <w:rsid w:val="00C13DA3"/>
    <w:rsid w:val="00C13E0C"/>
    <w:rsid w:val="00C13EAC"/>
    <w:rsid w:val="00C13EC8"/>
    <w:rsid w:val="00C13F02"/>
    <w:rsid w:val="00C13F6E"/>
    <w:rsid w:val="00C13FE4"/>
    <w:rsid w:val="00C1401F"/>
    <w:rsid w:val="00C1402F"/>
    <w:rsid w:val="00C1405E"/>
    <w:rsid w:val="00C140A7"/>
    <w:rsid w:val="00C1412E"/>
    <w:rsid w:val="00C1416C"/>
    <w:rsid w:val="00C1432B"/>
    <w:rsid w:val="00C1446B"/>
    <w:rsid w:val="00C144A3"/>
    <w:rsid w:val="00C144C5"/>
    <w:rsid w:val="00C1452C"/>
    <w:rsid w:val="00C1456C"/>
    <w:rsid w:val="00C14591"/>
    <w:rsid w:val="00C145F4"/>
    <w:rsid w:val="00C146EF"/>
    <w:rsid w:val="00C1486F"/>
    <w:rsid w:val="00C148E5"/>
    <w:rsid w:val="00C148EA"/>
    <w:rsid w:val="00C149A9"/>
    <w:rsid w:val="00C14A33"/>
    <w:rsid w:val="00C14A85"/>
    <w:rsid w:val="00C14AE0"/>
    <w:rsid w:val="00C14B14"/>
    <w:rsid w:val="00C14BC1"/>
    <w:rsid w:val="00C14BE6"/>
    <w:rsid w:val="00C14F0E"/>
    <w:rsid w:val="00C14F39"/>
    <w:rsid w:val="00C14F5C"/>
    <w:rsid w:val="00C14F83"/>
    <w:rsid w:val="00C14F8D"/>
    <w:rsid w:val="00C14FB9"/>
    <w:rsid w:val="00C15011"/>
    <w:rsid w:val="00C1516C"/>
    <w:rsid w:val="00C15488"/>
    <w:rsid w:val="00C154E8"/>
    <w:rsid w:val="00C15585"/>
    <w:rsid w:val="00C155DD"/>
    <w:rsid w:val="00C1577C"/>
    <w:rsid w:val="00C15850"/>
    <w:rsid w:val="00C1597D"/>
    <w:rsid w:val="00C15984"/>
    <w:rsid w:val="00C15A14"/>
    <w:rsid w:val="00C15C1D"/>
    <w:rsid w:val="00C15C9C"/>
    <w:rsid w:val="00C15C9F"/>
    <w:rsid w:val="00C15D95"/>
    <w:rsid w:val="00C15E2E"/>
    <w:rsid w:val="00C15EAA"/>
    <w:rsid w:val="00C15F0C"/>
    <w:rsid w:val="00C15F1E"/>
    <w:rsid w:val="00C15FB8"/>
    <w:rsid w:val="00C1603E"/>
    <w:rsid w:val="00C1611B"/>
    <w:rsid w:val="00C161BC"/>
    <w:rsid w:val="00C16215"/>
    <w:rsid w:val="00C1628F"/>
    <w:rsid w:val="00C162AE"/>
    <w:rsid w:val="00C16363"/>
    <w:rsid w:val="00C16382"/>
    <w:rsid w:val="00C165AF"/>
    <w:rsid w:val="00C165CD"/>
    <w:rsid w:val="00C1661D"/>
    <w:rsid w:val="00C16621"/>
    <w:rsid w:val="00C166E6"/>
    <w:rsid w:val="00C16A91"/>
    <w:rsid w:val="00C16B18"/>
    <w:rsid w:val="00C16C64"/>
    <w:rsid w:val="00C16E34"/>
    <w:rsid w:val="00C1708B"/>
    <w:rsid w:val="00C17142"/>
    <w:rsid w:val="00C17248"/>
    <w:rsid w:val="00C1729C"/>
    <w:rsid w:val="00C173C7"/>
    <w:rsid w:val="00C1742C"/>
    <w:rsid w:val="00C17449"/>
    <w:rsid w:val="00C1752B"/>
    <w:rsid w:val="00C1756A"/>
    <w:rsid w:val="00C1764C"/>
    <w:rsid w:val="00C17744"/>
    <w:rsid w:val="00C177C0"/>
    <w:rsid w:val="00C177CE"/>
    <w:rsid w:val="00C17888"/>
    <w:rsid w:val="00C1794B"/>
    <w:rsid w:val="00C179CF"/>
    <w:rsid w:val="00C17BA8"/>
    <w:rsid w:val="00C17C9A"/>
    <w:rsid w:val="00C17D63"/>
    <w:rsid w:val="00C17F10"/>
    <w:rsid w:val="00C17F1A"/>
    <w:rsid w:val="00C17F53"/>
    <w:rsid w:val="00C20267"/>
    <w:rsid w:val="00C202A4"/>
    <w:rsid w:val="00C203C0"/>
    <w:rsid w:val="00C20461"/>
    <w:rsid w:val="00C20650"/>
    <w:rsid w:val="00C2071F"/>
    <w:rsid w:val="00C20759"/>
    <w:rsid w:val="00C2078E"/>
    <w:rsid w:val="00C207C7"/>
    <w:rsid w:val="00C20848"/>
    <w:rsid w:val="00C2097E"/>
    <w:rsid w:val="00C209ED"/>
    <w:rsid w:val="00C20AB1"/>
    <w:rsid w:val="00C20AC5"/>
    <w:rsid w:val="00C20AFE"/>
    <w:rsid w:val="00C20C19"/>
    <w:rsid w:val="00C20C73"/>
    <w:rsid w:val="00C20C88"/>
    <w:rsid w:val="00C20CE5"/>
    <w:rsid w:val="00C20CEE"/>
    <w:rsid w:val="00C20D67"/>
    <w:rsid w:val="00C20E61"/>
    <w:rsid w:val="00C20ECD"/>
    <w:rsid w:val="00C20ED0"/>
    <w:rsid w:val="00C20F22"/>
    <w:rsid w:val="00C21141"/>
    <w:rsid w:val="00C21177"/>
    <w:rsid w:val="00C2128B"/>
    <w:rsid w:val="00C2131D"/>
    <w:rsid w:val="00C21329"/>
    <w:rsid w:val="00C213AB"/>
    <w:rsid w:val="00C2154F"/>
    <w:rsid w:val="00C21708"/>
    <w:rsid w:val="00C21861"/>
    <w:rsid w:val="00C2199A"/>
    <w:rsid w:val="00C219CC"/>
    <w:rsid w:val="00C21C00"/>
    <w:rsid w:val="00C21C1A"/>
    <w:rsid w:val="00C21C3C"/>
    <w:rsid w:val="00C21D97"/>
    <w:rsid w:val="00C21E4F"/>
    <w:rsid w:val="00C2227A"/>
    <w:rsid w:val="00C222A8"/>
    <w:rsid w:val="00C222CF"/>
    <w:rsid w:val="00C223C4"/>
    <w:rsid w:val="00C22541"/>
    <w:rsid w:val="00C2256D"/>
    <w:rsid w:val="00C225AE"/>
    <w:rsid w:val="00C2272D"/>
    <w:rsid w:val="00C2279E"/>
    <w:rsid w:val="00C22A26"/>
    <w:rsid w:val="00C22BCB"/>
    <w:rsid w:val="00C22E04"/>
    <w:rsid w:val="00C231E3"/>
    <w:rsid w:val="00C23217"/>
    <w:rsid w:val="00C23222"/>
    <w:rsid w:val="00C23274"/>
    <w:rsid w:val="00C23425"/>
    <w:rsid w:val="00C2345D"/>
    <w:rsid w:val="00C234F1"/>
    <w:rsid w:val="00C23571"/>
    <w:rsid w:val="00C23629"/>
    <w:rsid w:val="00C238B4"/>
    <w:rsid w:val="00C23948"/>
    <w:rsid w:val="00C239A8"/>
    <w:rsid w:val="00C239DC"/>
    <w:rsid w:val="00C23ACA"/>
    <w:rsid w:val="00C23B0A"/>
    <w:rsid w:val="00C23B3F"/>
    <w:rsid w:val="00C23B5E"/>
    <w:rsid w:val="00C23C92"/>
    <w:rsid w:val="00C23E61"/>
    <w:rsid w:val="00C23F90"/>
    <w:rsid w:val="00C23FCA"/>
    <w:rsid w:val="00C24084"/>
    <w:rsid w:val="00C2408E"/>
    <w:rsid w:val="00C2412B"/>
    <w:rsid w:val="00C241EF"/>
    <w:rsid w:val="00C24529"/>
    <w:rsid w:val="00C24678"/>
    <w:rsid w:val="00C246C4"/>
    <w:rsid w:val="00C24771"/>
    <w:rsid w:val="00C24B45"/>
    <w:rsid w:val="00C24D19"/>
    <w:rsid w:val="00C24DA0"/>
    <w:rsid w:val="00C24DD0"/>
    <w:rsid w:val="00C24E1F"/>
    <w:rsid w:val="00C24E53"/>
    <w:rsid w:val="00C24E64"/>
    <w:rsid w:val="00C250E2"/>
    <w:rsid w:val="00C250EC"/>
    <w:rsid w:val="00C25179"/>
    <w:rsid w:val="00C25205"/>
    <w:rsid w:val="00C252FD"/>
    <w:rsid w:val="00C253CD"/>
    <w:rsid w:val="00C253E2"/>
    <w:rsid w:val="00C25400"/>
    <w:rsid w:val="00C254E7"/>
    <w:rsid w:val="00C2550F"/>
    <w:rsid w:val="00C2555D"/>
    <w:rsid w:val="00C255B7"/>
    <w:rsid w:val="00C256CE"/>
    <w:rsid w:val="00C25742"/>
    <w:rsid w:val="00C257C6"/>
    <w:rsid w:val="00C2588E"/>
    <w:rsid w:val="00C25A88"/>
    <w:rsid w:val="00C25AB7"/>
    <w:rsid w:val="00C25B2D"/>
    <w:rsid w:val="00C25CD7"/>
    <w:rsid w:val="00C26014"/>
    <w:rsid w:val="00C26044"/>
    <w:rsid w:val="00C26058"/>
    <w:rsid w:val="00C2609B"/>
    <w:rsid w:val="00C26138"/>
    <w:rsid w:val="00C26189"/>
    <w:rsid w:val="00C261C0"/>
    <w:rsid w:val="00C26230"/>
    <w:rsid w:val="00C2623A"/>
    <w:rsid w:val="00C26323"/>
    <w:rsid w:val="00C265F4"/>
    <w:rsid w:val="00C2684F"/>
    <w:rsid w:val="00C26892"/>
    <w:rsid w:val="00C269AD"/>
    <w:rsid w:val="00C269D7"/>
    <w:rsid w:val="00C26A5B"/>
    <w:rsid w:val="00C26AC1"/>
    <w:rsid w:val="00C26C48"/>
    <w:rsid w:val="00C26D02"/>
    <w:rsid w:val="00C26D21"/>
    <w:rsid w:val="00C26E3C"/>
    <w:rsid w:val="00C26E4B"/>
    <w:rsid w:val="00C26F15"/>
    <w:rsid w:val="00C26F18"/>
    <w:rsid w:val="00C27041"/>
    <w:rsid w:val="00C271ED"/>
    <w:rsid w:val="00C2721C"/>
    <w:rsid w:val="00C272B5"/>
    <w:rsid w:val="00C27360"/>
    <w:rsid w:val="00C274BF"/>
    <w:rsid w:val="00C27701"/>
    <w:rsid w:val="00C27724"/>
    <w:rsid w:val="00C2777E"/>
    <w:rsid w:val="00C27780"/>
    <w:rsid w:val="00C2787D"/>
    <w:rsid w:val="00C279D5"/>
    <w:rsid w:val="00C27CD5"/>
    <w:rsid w:val="00C27D05"/>
    <w:rsid w:val="00C27DF7"/>
    <w:rsid w:val="00C30075"/>
    <w:rsid w:val="00C3008F"/>
    <w:rsid w:val="00C30139"/>
    <w:rsid w:val="00C30155"/>
    <w:rsid w:val="00C30471"/>
    <w:rsid w:val="00C304F9"/>
    <w:rsid w:val="00C305A7"/>
    <w:rsid w:val="00C305E9"/>
    <w:rsid w:val="00C3061C"/>
    <w:rsid w:val="00C3064A"/>
    <w:rsid w:val="00C307A0"/>
    <w:rsid w:val="00C307AA"/>
    <w:rsid w:val="00C307E1"/>
    <w:rsid w:val="00C309CF"/>
    <w:rsid w:val="00C30A63"/>
    <w:rsid w:val="00C30AF3"/>
    <w:rsid w:val="00C30B17"/>
    <w:rsid w:val="00C30D58"/>
    <w:rsid w:val="00C30F57"/>
    <w:rsid w:val="00C30F6D"/>
    <w:rsid w:val="00C31059"/>
    <w:rsid w:val="00C3106C"/>
    <w:rsid w:val="00C3107A"/>
    <w:rsid w:val="00C310F5"/>
    <w:rsid w:val="00C3113D"/>
    <w:rsid w:val="00C311A4"/>
    <w:rsid w:val="00C311A8"/>
    <w:rsid w:val="00C31466"/>
    <w:rsid w:val="00C31570"/>
    <w:rsid w:val="00C316CA"/>
    <w:rsid w:val="00C31868"/>
    <w:rsid w:val="00C31A14"/>
    <w:rsid w:val="00C31A20"/>
    <w:rsid w:val="00C31ADE"/>
    <w:rsid w:val="00C31BDC"/>
    <w:rsid w:val="00C31CBB"/>
    <w:rsid w:val="00C31CD0"/>
    <w:rsid w:val="00C31D6F"/>
    <w:rsid w:val="00C31DB2"/>
    <w:rsid w:val="00C31E6E"/>
    <w:rsid w:val="00C31F65"/>
    <w:rsid w:val="00C32000"/>
    <w:rsid w:val="00C3208C"/>
    <w:rsid w:val="00C32090"/>
    <w:rsid w:val="00C32193"/>
    <w:rsid w:val="00C32276"/>
    <w:rsid w:val="00C3251F"/>
    <w:rsid w:val="00C32571"/>
    <w:rsid w:val="00C32603"/>
    <w:rsid w:val="00C3261C"/>
    <w:rsid w:val="00C32756"/>
    <w:rsid w:val="00C329B7"/>
    <w:rsid w:val="00C32A4B"/>
    <w:rsid w:val="00C32BB2"/>
    <w:rsid w:val="00C32BF0"/>
    <w:rsid w:val="00C32D5F"/>
    <w:rsid w:val="00C32DA8"/>
    <w:rsid w:val="00C32DCE"/>
    <w:rsid w:val="00C32E35"/>
    <w:rsid w:val="00C32F05"/>
    <w:rsid w:val="00C330B7"/>
    <w:rsid w:val="00C33130"/>
    <w:rsid w:val="00C33183"/>
    <w:rsid w:val="00C333B5"/>
    <w:rsid w:val="00C333D7"/>
    <w:rsid w:val="00C33434"/>
    <w:rsid w:val="00C3343A"/>
    <w:rsid w:val="00C334A1"/>
    <w:rsid w:val="00C3379B"/>
    <w:rsid w:val="00C33817"/>
    <w:rsid w:val="00C3381C"/>
    <w:rsid w:val="00C33826"/>
    <w:rsid w:val="00C3386B"/>
    <w:rsid w:val="00C339A3"/>
    <w:rsid w:val="00C33A02"/>
    <w:rsid w:val="00C33B64"/>
    <w:rsid w:val="00C33B8E"/>
    <w:rsid w:val="00C33DA4"/>
    <w:rsid w:val="00C33DB9"/>
    <w:rsid w:val="00C33DD0"/>
    <w:rsid w:val="00C33FBB"/>
    <w:rsid w:val="00C33FBC"/>
    <w:rsid w:val="00C34011"/>
    <w:rsid w:val="00C3407B"/>
    <w:rsid w:val="00C34085"/>
    <w:rsid w:val="00C34169"/>
    <w:rsid w:val="00C34190"/>
    <w:rsid w:val="00C341DE"/>
    <w:rsid w:val="00C342CA"/>
    <w:rsid w:val="00C3457A"/>
    <w:rsid w:val="00C34680"/>
    <w:rsid w:val="00C3472B"/>
    <w:rsid w:val="00C34735"/>
    <w:rsid w:val="00C347DF"/>
    <w:rsid w:val="00C34890"/>
    <w:rsid w:val="00C349C7"/>
    <w:rsid w:val="00C349E5"/>
    <w:rsid w:val="00C34AC6"/>
    <w:rsid w:val="00C34B8E"/>
    <w:rsid w:val="00C34C04"/>
    <w:rsid w:val="00C34C7A"/>
    <w:rsid w:val="00C34D09"/>
    <w:rsid w:val="00C34DC1"/>
    <w:rsid w:val="00C34E12"/>
    <w:rsid w:val="00C34ED0"/>
    <w:rsid w:val="00C34F38"/>
    <w:rsid w:val="00C34FA9"/>
    <w:rsid w:val="00C35002"/>
    <w:rsid w:val="00C3548F"/>
    <w:rsid w:val="00C35666"/>
    <w:rsid w:val="00C35739"/>
    <w:rsid w:val="00C357C4"/>
    <w:rsid w:val="00C358B8"/>
    <w:rsid w:val="00C359A3"/>
    <w:rsid w:val="00C359D2"/>
    <w:rsid w:val="00C35A2E"/>
    <w:rsid w:val="00C35AB7"/>
    <w:rsid w:val="00C35CBF"/>
    <w:rsid w:val="00C35E38"/>
    <w:rsid w:val="00C35E57"/>
    <w:rsid w:val="00C35EE7"/>
    <w:rsid w:val="00C35F1A"/>
    <w:rsid w:val="00C35F59"/>
    <w:rsid w:val="00C3617B"/>
    <w:rsid w:val="00C36196"/>
    <w:rsid w:val="00C361A5"/>
    <w:rsid w:val="00C361C0"/>
    <w:rsid w:val="00C36206"/>
    <w:rsid w:val="00C36386"/>
    <w:rsid w:val="00C363F1"/>
    <w:rsid w:val="00C3645A"/>
    <w:rsid w:val="00C364A1"/>
    <w:rsid w:val="00C365D1"/>
    <w:rsid w:val="00C366AD"/>
    <w:rsid w:val="00C366DD"/>
    <w:rsid w:val="00C36757"/>
    <w:rsid w:val="00C3684C"/>
    <w:rsid w:val="00C368ED"/>
    <w:rsid w:val="00C36B3B"/>
    <w:rsid w:val="00C36C21"/>
    <w:rsid w:val="00C36C28"/>
    <w:rsid w:val="00C36C38"/>
    <w:rsid w:val="00C36E45"/>
    <w:rsid w:val="00C36E49"/>
    <w:rsid w:val="00C36F15"/>
    <w:rsid w:val="00C36F56"/>
    <w:rsid w:val="00C36FBC"/>
    <w:rsid w:val="00C3701B"/>
    <w:rsid w:val="00C371CA"/>
    <w:rsid w:val="00C3722E"/>
    <w:rsid w:val="00C3728D"/>
    <w:rsid w:val="00C372B9"/>
    <w:rsid w:val="00C37329"/>
    <w:rsid w:val="00C37383"/>
    <w:rsid w:val="00C373AD"/>
    <w:rsid w:val="00C373FB"/>
    <w:rsid w:val="00C3745D"/>
    <w:rsid w:val="00C374B3"/>
    <w:rsid w:val="00C37507"/>
    <w:rsid w:val="00C377C3"/>
    <w:rsid w:val="00C377EB"/>
    <w:rsid w:val="00C37844"/>
    <w:rsid w:val="00C3787B"/>
    <w:rsid w:val="00C378AB"/>
    <w:rsid w:val="00C37A14"/>
    <w:rsid w:val="00C37A60"/>
    <w:rsid w:val="00C37B50"/>
    <w:rsid w:val="00C37C8C"/>
    <w:rsid w:val="00C37D42"/>
    <w:rsid w:val="00C37D69"/>
    <w:rsid w:val="00C37E02"/>
    <w:rsid w:val="00C40034"/>
    <w:rsid w:val="00C40038"/>
    <w:rsid w:val="00C40285"/>
    <w:rsid w:val="00C404C9"/>
    <w:rsid w:val="00C40602"/>
    <w:rsid w:val="00C407E3"/>
    <w:rsid w:val="00C40882"/>
    <w:rsid w:val="00C4098D"/>
    <w:rsid w:val="00C40991"/>
    <w:rsid w:val="00C40BAB"/>
    <w:rsid w:val="00C40BF9"/>
    <w:rsid w:val="00C40C59"/>
    <w:rsid w:val="00C40E1D"/>
    <w:rsid w:val="00C40EEE"/>
    <w:rsid w:val="00C41118"/>
    <w:rsid w:val="00C41217"/>
    <w:rsid w:val="00C414CF"/>
    <w:rsid w:val="00C41642"/>
    <w:rsid w:val="00C416AC"/>
    <w:rsid w:val="00C416EF"/>
    <w:rsid w:val="00C41780"/>
    <w:rsid w:val="00C417A6"/>
    <w:rsid w:val="00C4182B"/>
    <w:rsid w:val="00C41836"/>
    <w:rsid w:val="00C41937"/>
    <w:rsid w:val="00C419F5"/>
    <w:rsid w:val="00C419F7"/>
    <w:rsid w:val="00C41A62"/>
    <w:rsid w:val="00C41B37"/>
    <w:rsid w:val="00C41B6E"/>
    <w:rsid w:val="00C41B7E"/>
    <w:rsid w:val="00C41B98"/>
    <w:rsid w:val="00C41C90"/>
    <w:rsid w:val="00C41DA6"/>
    <w:rsid w:val="00C41E68"/>
    <w:rsid w:val="00C41F09"/>
    <w:rsid w:val="00C41FCB"/>
    <w:rsid w:val="00C4206B"/>
    <w:rsid w:val="00C420DE"/>
    <w:rsid w:val="00C4216A"/>
    <w:rsid w:val="00C421EB"/>
    <w:rsid w:val="00C4227F"/>
    <w:rsid w:val="00C422EE"/>
    <w:rsid w:val="00C423CD"/>
    <w:rsid w:val="00C423D5"/>
    <w:rsid w:val="00C42477"/>
    <w:rsid w:val="00C42663"/>
    <w:rsid w:val="00C42809"/>
    <w:rsid w:val="00C42A7C"/>
    <w:rsid w:val="00C42CD9"/>
    <w:rsid w:val="00C42D24"/>
    <w:rsid w:val="00C42DEA"/>
    <w:rsid w:val="00C42E1D"/>
    <w:rsid w:val="00C42E63"/>
    <w:rsid w:val="00C430DA"/>
    <w:rsid w:val="00C430E1"/>
    <w:rsid w:val="00C4316B"/>
    <w:rsid w:val="00C4317C"/>
    <w:rsid w:val="00C43299"/>
    <w:rsid w:val="00C43551"/>
    <w:rsid w:val="00C435AF"/>
    <w:rsid w:val="00C435E9"/>
    <w:rsid w:val="00C4364B"/>
    <w:rsid w:val="00C436A9"/>
    <w:rsid w:val="00C43797"/>
    <w:rsid w:val="00C439B8"/>
    <w:rsid w:val="00C43BC8"/>
    <w:rsid w:val="00C43D23"/>
    <w:rsid w:val="00C43DBD"/>
    <w:rsid w:val="00C43FB1"/>
    <w:rsid w:val="00C43FE1"/>
    <w:rsid w:val="00C44098"/>
    <w:rsid w:val="00C441CD"/>
    <w:rsid w:val="00C444F4"/>
    <w:rsid w:val="00C445EB"/>
    <w:rsid w:val="00C445F0"/>
    <w:rsid w:val="00C446D3"/>
    <w:rsid w:val="00C44827"/>
    <w:rsid w:val="00C44829"/>
    <w:rsid w:val="00C4487E"/>
    <w:rsid w:val="00C44889"/>
    <w:rsid w:val="00C449F4"/>
    <w:rsid w:val="00C44AF4"/>
    <w:rsid w:val="00C44BA8"/>
    <w:rsid w:val="00C44BF1"/>
    <w:rsid w:val="00C44C37"/>
    <w:rsid w:val="00C44CF9"/>
    <w:rsid w:val="00C44D3E"/>
    <w:rsid w:val="00C44D40"/>
    <w:rsid w:val="00C44E7A"/>
    <w:rsid w:val="00C44ECE"/>
    <w:rsid w:val="00C44F94"/>
    <w:rsid w:val="00C44FBC"/>
    <w:rsid w:val="00C44FD4"/>
    <w:rsid w:val="00C44FE8"/>
    <w:rsid w:val="00C45080"/>
    <w:rsid w:val="00C45131"/>
    <w:rsid w:val="00C452A6"/>
    <w:rsid w:val="00C452CA"/>
    <w:rsid w:val="00C45323"/>
    <w:rsid w:val="00C4532F"/>
    <w:rsid w:val="00C45371"/>
    <w:rsid w:val="00C45377"/>
    <w:rsid w:val="00C45502"/>
    <w:rsid w:val="00C45816"/>
    <w:rsid w:val="00C4583E"/>
    <w:rsid w:val="00C4591A"/>
    <w:rsid w:val="00C4596E"/>
    <w:rsid w:val="00C459A2"/>
    <w:rsid w:val="00C45A1B"/>
    <w:rsid w:val="00C45A96"/>
    <w:rsid w:val="00C45B26"/>
    <w:rsid w:val="00C45B2E"/>
    <w:rsid w:val="00C45D42"/>
    <w:rsid w:val="00C45F50"/>
    <w:rsid w:val="00C45F91"/>
    <w:rsid w:val="00C460A5"/>
    <w:rsid w:val="00C460DD"/>
    <w:rsid w:val="00C461C1"/>
    <w:rsid w:val="00C46370"/>
    <w:rsid w:val="00C4639A"/>
    <w:rsid w:val="00C4643A"/>
    <w:rsid w:val="00C46454"/>
    <w:rsid w:val="00C46504"/>
    <w:rsid w:val="00C465A3"/>
    <w:rsid w:val="00C46625"/>
    <w:rsid w:val="00C466B3"/>
    <w:rsid w:val="00C46700"/>
    <w:rsid w:val="00C46773"/>
    <w:rsid w:val="00C46809"/>
    <w:rsid w:val="00C4684B"/>
    <w:rsid w:val="00C4688B"/>
    <w:rsid w:val="00C46AD6"/>
    <w:rsid w:val="00C46B59"/>
    <w:rsid w:val="00C46B69"/>
    <w:rsid w:val="00C46B71"/>
    <w:rsid w:val="00C46BD8"/>
    <w:rsid w:val="00C46CAC"/>
    <w:rsid w:val="00C46DD6"/>
    <w:rsid w:val="00C46F23"/>
    <w:rsid w:val="00C47048"/>
    <w:rsid w:val="00C47056"/>
    <w:rsid w:val="00C4706D"/>
    <w:rsid w:val="00C4720F"/>
    <w:rsid w:val="00C473C6"/>
    <w:rsid w:val="00C4744B"/>
    <w:rsid w:val="00C47510"/>
    <w:rsid w:val="00C475B3"/>
    <w:rsid w:val="00C476D9"/>
    <w:rsid w:val="00C47837"/>
    <w:rsid w:val="00C478A2"/>
    <w:rsid w:val="00C479C6"/>
    <w:rsid w:val="00C479DC"/>
    <w:rsid w:val="00C47C89"/>
    <w:rsid w:val="00C47CAF"/>
    <w:rsid w:val="00C47DF7"/>
    <w:rsid w:val="00C47E10"/>
    <w:rsid w:val="00C47EB5"/>
    <w:rsid w:val="00C47FAB"/>
    <w:rsid w:val="00C4CE66"/>
    <w:rsid w:val="00C5006F"/>
    <w:rsid w:val="00C50108"/>
    <w:rsid w:val="00C5027F"/>
    <w:rsid w:val="00C503DB"/>
    <w:rsid w:val="00C50414"/>
    <w:rsid w:val="00C50428"/>
    <w:rsid w:val="00C5048D"/>
    <w:rsid w:val="00C504E3"/>
    <w:rsid w:val="00C50698"/>
    <w:rsid w:val="00C506B5"/>
    <w:rsid w:val="00C5080A"/>
    <w:rsid w:val="00C5091E"/>
    <w:rsid w:val="00C509FB"/>
    <w:rsid w:val="00C50E38"/>
    <w:rsid w:val="00C50F57"/>
    <w:rsid w:val="00C50FD7"/>
    <w:rsid w:val="00C51035"/>
    <w:rsid w:val="00C51251"/>
    <w:rsid w:val="00C512F6"/>
    <w:rsid w:val="00C513A5"/>
    <w:rsid w:val="00C5143D"/>
    <w:rsid w:val="00C515E2"/>
    <w:rsid w:val="00C5172F"/>
    <w:rsid w:val="00C517FD"/>
    <w:rsid w:val="00C51885"/>
    <w:rsid w:val="00C519D3"/>
    <w:rsid w:val="00C51B3D"/>
    <w:rsid w:val="00C51B6D"/>
    <w:rsid w:val="00C51DB6"/>
    <w:rsid w:val="00C51EE8"/>
    <w:rsid w:val="00C51F79"/>
    <w:rsid w:val="00C51FC2"/>
    <w:rsid w:val="00C52025"/>
    <w:rsid w:val="00C5202B"/>
    <w:rsid w:val="00C520AB"/>
    <w:rsid w:val="00C52288"/>
    <w:rsid w:val="00C528C8"/>
    <w:rsid w:val="00C52963"/>
    <w:rsid w:val="00C52AEE"/>
    <w:rsid w:val="00C52B51"/>
    <w:rsid w:val="00C52DE9"/>
    <w:rsid w:val="00C52E2F"/>
    <w:rsid w:val="00C52E84"/>
    <w:rsid w:val="00C52EC0"/>
    <w:rsid w:val="00C53000"/>
    <w:rsid w:val="00C53022"/>
    <w:rsid w:val="00C530A9"/>
    <w:rsid w:val="00C53119"/>
    <w:rsid w:val="00C53188"/>
    <w:rsid w:val="00C5318A"/>
    <w:rsid w:val="00C53260"/>
    <w:rsid w:val="00C532AD"/>
    <w:rsid w:val="00C532C5"/>
    <w:rsid w:val="00C532FB"/>
    <w:rsid w:val="00C53320"/>
    <w:rsid w:val="00C53330"/>
    <w:rsid w:val="00C5356E"/>
    <w:rsid w:val="00C53692"/>
    <w:rsid w:val="00C5373D"/>
    <w:rsid w:val="00C53850"/>
    <w:rsid w:val="00C53867"/>
    <w:rsid w:val="00C53A12"/>
    <w:rsid w:val="00C53C6D"/>
    <w:rsid w:val="00C53CB8"/>
    <w:rsid w:val="00C53CE4"/>
    <w:rsid w:val="00C53DF4"/>
    <w:rsid w:val="00C54074"/>
    <w:rsid w:val="00C540F2"/>
    <w:rsid w:val="00C54144"/>
    <w:rsid w:val="00C5415D"/>
    <w:rsid w:val="00C54226"/>
    <w:rsid w:val="00C5423F"/>
    <w:rsid w:val="00C54256"/>
    <w:rsid w:val="00C54476"/>
    <w:rsid w:val="00C544BD"/>
    <w:rsid w:val="00C54505"/>
    <w:rsid w:val="00C545BB"/>
    <w:rsid w:val="00C5471E"/>
    <w:rsid w:val="00C54742"/>
    <w:rsid w:val="00C5477F"/>
    <w:rsid w:val="00C547E8"/>
    <w:rsid w:val="00C54AAB"/>
    <w:rsid w:val="00C54B35"/>
    <w:rsid w:val="00C54C2B"/>
    <w:rsid w:val="00C54D4E"/>
    <w:rsid w:val="00C54DBD"/>
    <w:rsid w:val="00C54F52"/>
    <w:rsid w:val="00C55047"/>
    <w:rsid w:val="00C5526B"/>
    <w:rsid w:val="00C55481"/>
    <w:rsid w:val="00C5557A"/>
    <w:rsid w:val="00C555BB"/>
    <w:rsid w:val="00C55637"/>
    <w:rsid w:val="00C557AB"/>
    <w:rsid w:val="00C557B3"/>
    <w:rsid w:val="00C5583B"/>
    <w:rsid w:val="00C5583E"/>
    <w:rsid w:val="00C558FB"/>
    <w:rsid w:val="00C55944"/>
    <w:rsid w:val="00C55981"/>
    <w:rsid w:val="00C559E7"/>
    <w:rsid w:val="00C55A12"/>
    <w:rsid w:val="00C55BCA"/>
    <w:rsid w:val="00C55C48"/>
    <w:rsid w:val="00C55C87"/>
    <w:rsid w:val="00C55D9F"/>
    <w:rsid w:val="00C55F78"/>
    <w:rsid w:val="00C55FA5"/>
    <w:rsid w:val="00C56059"/>
    <w:rsid w:val="00C56134"/>
    <w:rsid w:val="00C56198"/>
    <w:rsid w:val="00C56330"/>
    <w:rsid w:val="00C563B2"/>
    <w:rsid w:val="00C563CC"/>
    <w:rsid w:val="00C564E5"/>
    <w:rsid w:val="00C5667B"/>
    <w:rsid w:val="00C5677A"/>
    <w:rsid w:val="00C56792"/>
    <w:rsid w:val="00C567C7"/>
    <w:rsid w:val="00C56A33"/>
    <w:rsid w:val="00C56B7C"/>
    <w:rsid w:val="00C56D79"/>
    <w:rsid w:val="00C56D97"/>
    <w:rsid w:val="00C56DD5"/>
    <w:rsid w:val="00C56FDE"/>
    <w:rsid w:val="00C570D0"/>
    <w:rsid w:val="00C572F7"/>
    <w:rsid w:val="00C57392"/>
    <w:rsid w:val="00C5745C"/>
    <w:rsid w:val="00C574FA"/>
    <w:rsid w:val="00C5763C"/>
    <w:rsid w:val="00C576BE"/>
    <w:rsid w:val="00C577F7"/>
    <w:rsid w:val="00C5780D"/>
    <w:rsid w:val="00C5781C"/>
    <w:rsid w:val="00C579F2"/>
    <w:rsid w:val="00C57A49"/>
    <w:rsid w:val="00C57AB4"/>
    <w:rsid w:val="00C57D84"/>
    <w:rsid w:val="00C57E00"/>
    <w:rsid w:val="00C6005C"/>
    <w:rsid w:val="00C600AD"/>
    <w:rsid w:val="00C60257"/>
    <w:rsid w:val="00C60304"/>
    <w:rsid w:val="00C603AE"/>
    <w:rsid w:val="00C6040C"/>
    <w:rsid w:val="00C60469"/>
    <w:rsid w:val="00C60494"/>
    <w:rsid w:val="00C605FE"/>
    <w:rsid w:val="00C6067C"/>
    <w:rsid w:val="00C6074B"/>
    <w:rsid w:val="00C608B2"/>
    <w:rsid w:val="00C60922"/>
    <w:rsid w:val="00C609DB"/>
    <w:rsid w:val="00C60B9F"/>
    <w:rsid w:val="00C60C7B"/>
    <w:rsid w:val="00C60CC2"/>
    <w:rsid w:val="00C60E16"/>
    <w:rsid w:val="00C60E75"/>
    <w:rsid w:val="00C60F8E"/>
    <w:rsid w:val="00C61083"/>
    <w:rsid w:val="00C61167"/>
    <w:rsid w:val="00C611A9"/>
    <w:rsid w:val="00C612EF"/>
    <w:rsid w:val="00C6139D"/>
    <w:rsid w:val="00C613A0"/>
    <w:rsid w:val="00C613BE"/>
    <w:rsid w:val="00C61454"/>
    <w:rsid w:val="00C614A3"/>
    <w:rsid w:val="00C61521"/>
    <w:rsid w:val="00C61563"/>
    <w:rsid w:val="00C61680"/>
    <w:rsid w:val="00C616EC"/>
    <w:rsid w:val="00C61736"/>
    <w:rsid w:val="00C61AAD"/>
    <w:rsid w:val="00C61BA9"/>
    <w:rsid w:val="00C61C46"/>
    <w:rsid w:val="00C61C7F"/>
    <w:rsid w:val="00C61D7B"/>
    <w:rsid w:val="00C61DDB"/>
    <w:rsid w:val="00C62046"/>
    <w:rsid w:val="00C620AA"/>
    <w:rsid w:val="00C62159"/>
    <w:rsid w:val="00C6217C"/>
    <w:rsid w:val="00C62183"/>
    <w:rsid w:val="00C6242D"/>
    <w:rsid w:val="00C62446"/>
    <w:rsid w:val="00C625E3"/>
    <w:rsid w:val="00C627D1"/>
    <w:rsid w:val="00C62838"/>
    <w:rsid w:val="00C62856"/>
    <w:rsid w:val="00C62898"/>
    <w:rsid w:val="00C629F4"/>
    <w:rsid w:val="00C62A02"/>
    <w:rsid w:val="00C62A2A"/>
    <w:rsid w:val="00C62A35"/>
    <w:rsid w:val="00C62BBD"/>
    <w:rsid w:val="00C62BEC"/>
    <w:rsid w:val="00C62C81"/>
    <w:rsid w:val="00C63031"/>
    <w:rsid w:val="00C63140"/>
    <w:rsid w:val="00C6315E"/>
    <w:rsid w:val="00C63278"/>
    <w:rsid w:val="00C63303"/>
    <w:rsid w:val="00C63322"/>
    <w:rsid w:val="00C6338C"/>
    <w:rsid w:val="00C633D6"/>
    <w:rsid w:val="00C63435"/>
    <w:rsid w:val="00C634A2"/>
    <w:rsid w:val="00C634AE"/>
    <w:rsid w:val="00C634D3"/>
    <w:rsid w:val="00C63537"/>
    <w:rsid w:val="00C635A3"/>
    <w:rsid w:val="00C63688"/>
    <w:rsid w:val="00C636B6"/>
    <w:rsid w:val="00C636E5"/>
    <w:rsid w:val="00C63700"/>
    <w:rsid w:val="00C6396B"/>
    <w:rsid w:val="00C639D2"/>
    <w:rsid w:val="00C63B95"/>
    <w:rsid w:val="00C63D20"/>
    <w:rsid w:val="00C63D8D"/>
    <w:rsid w:val="00C63EA4"/>
    <w:rsid w:val="00C63F46"/>
    <w:rsid w:val="00C640CA"/>
    <w:rsid w:val="00C640E5"/>
    <w:rsid w:val="00C64208"/>
    <w:rsid w:val="00C64220"/>
    <w:rsid w:val="00C6428F"/>
    <w:rsid w:val="00C64318"/>
    <w:rsid w:val="00C643CB"/>
    <w:rsid w:val="00C643F1"/>
    <w:rsid w:val="00C6447F"/>
    <w:rsid w:val="00C644F7"/>
    <w:rsid w:val="00C64572"/>
    <w:rsid w:val="00C646E9"/>
    <w:rsid w:val="00C647BD"/>
    <w:rsid w:val="00C647D4"/>
    <w:rsid w:val="00C647D8"/>
    <w:rsid w:val="00C647F5"/>
    <w:rsid w:val="00C6481D"/>
    <w:rsid w:val="00C648B2"/>
    <w:rsid w:val="00C64B08"/>
    <w:rsid w:val="00C64B28"/>
    <w:rsid w:val="00C64BE3"/>
    <w:rsid w:val="00C64BEE"/>
    <w:rsid w:val="00C64DF2"/>
    <w:rsid w:val="00C64DFB"/>
    <w:rsid w:val="00C64EB4"/>
    <w:rsid w:val="00C64F26"/>
    <w:rsid w:val="00C6527F"/>
    <w:rsid w:val="00C65343"/>
    <w:rsid w:val="00C653AD"/>
    <w:rsid w:val="00C65564"/>
    <w:rsid w:val="00C655A8"/>
    <w:rsid w:val="00C656FE"/>
    <w:rsid w:val="00C6582E"/>
    <w:rsid w:val="00C65955"/>
    <w:rsid w:val="00C65A6F"/>
    <w:rsid w:val="00C65A75"/>
    <w:rsid w:val="00C65A82"/>
    <w:rsid w:val="00C65AE1"/>
    <w:rsid w:val="00C65B5B"/>
    <w:rsid w:val="00C65BC6"/>
    <w:rsid w:val="00C65BC8"/>
    <w:rsid w:val="00C65C17"/>
    <w:rsid w:val="00C65C5C"/>
    <w:rsid w:val="00C65DF4"/>
    <w:rsid w:val="00C65F28"/>
    <w:rsid w:val="00C65F44"/>
    <w:rsid w:val="00C65F7C"/>
    <w:rsid w:val="00C66097"/>
    <w:rsid w:val="00C660F9"/>
    <w:rsid w:val="00C66148"/>
    <w:rsid w:val="00C66149"/>
    <w:rsid w:val="00C66335"/>
    <w:rsid w:val="00C6638E"/>
    <w:rsid w:val="00C66410"/>
    <w:rsid w:val="00C665DE"/>
    <w:rsid w:val="00C6667B"/>
    <w:rsid w:val="00C66704"/>
    <w:rsid w:val="00C6685A"/>
    <w:rsid w:val="00C6685C"/>
    <w:rsid w:val="00C66904"/>
    <w:rsid w:val="00C66A14"/>
    <w:rsid w:val="00C66A4C"/>
    <w:rsid w:val="00C66A9D"/>
    <w:rsid w:val="00C66DF5"/>
    <w:rsid w:val="00C66E6C"/>
    <w:rsid w:val="00C66EC5"/>
    <w:rsid w:val="00C66F0B"/>
    <w:rsid w:val="00C66F11"/>
    <w:rsid w:val="00C66FD4"/>
    <w:rsid w:val="00C66FF3"/>
    <w:rsid w:val="00C67096"/>
    <w:rsid w:val="00C6712D"/>
    <w:rsid w:val="00C67151"/>
    <w:rsid w:val="00C674FA"/>
    <w:rsid w:val="00C67646"/>
    <w:rsid w:val="00C676A8"/>
    <w:rsid w:val="00C67725"/>
    <w:rsid w:val="00C67726"/>
    <w:rsid w:val="00C6773A"/>
    <w:rsid w:val="00C677A7"/>
    <w:rsid w:val="00C67AED"/>
    <w:rsid w:val="00C67B18"/>
    <w:rsid w:val="00C67BC3"/>
    <w:rsid w:val="00C67F0B"/>
    <w:rsid w:val="00C67F7F"/>
    <w:rsid w:val="00C67F87"/>
    <w:rsid w:val="00C70032"/>
    <w:rsid w:val="00C70044"/>
    <w:rsid w:val="00C70071"/>
    <w:rsid w:val="00C700E9"/>
    <w:rsid w:val="00C701C1"/>
    <w:rsid w:val="00C7045B"/>
    <w:rsid w:val="00C70472"/>
    <w:rsid w:val="00C704DA"/>
    <w:rsid w:val="00C705AD"/>
    <w:rsid w:val="00C7063D"/>
    <w:rsid w:val="00C70689"/>
    <w:rsid w:val="00C70698"/>
    <w:rsid w:val="00C70A66"/>
    <w:rsid w:val="00C70AB2"/>
    <w:rsid w:val="00C70BAA"/>
    <w:rsid w:val="00C70BBD"/>
    <w:rsid w:val="00C70CBD"/>
    <w:rsid w:val="00C70D65"/>
    <w:rsid w:val="00C70E5D"/>
    <w:rsid w:val="00C70E8A"/>
    <w:rsid w:val="00C71015"/>
    <w:rsid w:val="00C71263"/>
    <w:rsid w:val="00C713AE"/>
    <w:rsid w:val="00C71405"/>
    <w:rsid w:val="00C71457"/>
    <w:rsid w:val="00C714AD"/>
    <w:rsid w:val="00C714DA"/>
    <w:rsid w:val="00C714EF"/>
    <w:rsid w:val="00C71545"/>
    <w:rsid w:val="00C715FF"/>
    <w:rsid w:val="00C717B5"/>
    <w:rsid w:val="00C717D5"/>
    <w:rsid w:val="00C718D3"/>
    <w:rsid w:val="00C71993"/>
    <w:rsid w:val="00C719EF"/>
    <w:rsid w:val="00C71B71"/>
    <w:rsid w:val="00C71D4C"/>
    <w:rsid w:val="00C71E29"/>
    <w:rsid w:val="00C71EB0"/>
    <w:rsid w:val="00C71ED3"/>
    <w:rsid w:val="00C71EFC"/>
    <w:rsid w:val="00C71F47"/>
    <w:rsid w:val="00C7205E"/>
    <w:rsid w:val="00C720A6"/>
    <w:rsid w:val="00C722BC"/>
    <w:rsid w:val="00C722C2"/>
    <w:rsid w:val="00C722E5"/>
    <w:rsid w:val="00C72382"/>
    <w:rsid w:val="00C72439"/>
    <w:rsid w:val="00C72640"/>
    <w:rsid w:val="00C72704"/>
    <w:rsid w:val="00C728B9"/>
    <w:rsid w:val="00C72951"/>
    <w:rsid w:val="00C72A35"/>
    <w:rsid w:val="00C72AFC"/>
    <w:rsid w:val="00C72B08"/>
    <w:rsid w:val="00C72C63"/>
    <w:rsid w:val="00C72E76"/>
    <w:rsid w:val="00C72F31"/>
    <w:rsid w:val="00C72F8D"/>
    <w:rsid w:val="00C7305A"/>
    <w:rsid w:val="00C730A7"/>
    <w:rsid w:val="00C730D9"/>
    <w:rsid w:val="00C733F5"/>
    <w:rsid w:val="00C7362C"/>
    <w:rsid w:val="00C73769"/>
    <w:rsid w:val="00C73894"/>
    <w:rsid w:val="00C738F3"/>
    <w:rsid w:val="00C7393A"/>
    <w:rsid w:val="00C73A8F"/>
    <w:rsid w:val="00C73B7D"/>
    <w:rsid w:val="00C73BA8"/>
    <w:rsid w:val="00C73C12"/>
    <w:rsid w:val="00C73CE2"/>
    <w:rsid w:val="00C73EBE"/>
    <w:rsid w:val="00C73F68"/>
    <w:rsid w:val="00C73FD4"/>
    <w:rsid w:val="00C74090"/>
    <w:rsid w:val="00C740B8"/>
    <w:rsid w:val="00C740BE"/>
    <w:rsid w:val="00C7444D"/>
    <w:rsid w:val="00C74477"/>
    <w:rsid w:val="00C745EC"/>
    <w:rsid w:val="00C74740"/>
    <w:rsid w:val="00C74766"/>
    <w:rsid w:val="00C747BE"/>
    <w:rsid w:val="00C747FF"/>
    <w:rsid w:val="00C7491E"/>
    <w:rsid w:val="00C74A0F"/>
    <w:rsid w:val="00C74A5F"/>
    <w:rsid w:val="00C74AD3"/>
    <w:rsid w:val="00C74B47"/>
    <w:rsid w:val="00C74BDD"/>
    <w:rsid w:val="00C74BFB"/>
    <w:rsid w:val="00C74BFF"/>
    <w:rsid w:val="00C74E04"/>
    <w:rsid w:val="00C74E1B"/>
    <w:rsid w:val="00C74F8C"/>
    <w:rsid w:val="00C75028"/>
    <w:rsid w:val="00C75029"/>
    <w:rsid w:val="00C75240"/>
    <w:rsid w:val="00C754C6"/>
    <w:rsid w:val="00C756EA"/>
    <w:rsid w:val="00C75820"/>
    <w:rsid w:val="00C758BD"/>
    <w:rsid w:val="00C75988"/>
    <w:rsid w:val="00C75AEF"/>
    <w:rsid w:val="00C75B16"/>
    <w:rsid w:val="00C75B44"/>
    <w:rsid w:val="00C75BC9"/>
    <w:rsid w:val="00C75BFF"/>
    <w:rsid w:val="00C75C87"/>
    <w:rsid w:val="00C75E21"/>
    <w:rsid w:val="00C75F4D"/>
    <w:rsid w:val="00C7608F"/>
    <w:rsid w:val="00C7624C"/>
    <w:rsid w:val="00C762BA"/>
    <w:rsid w:val="00C76301"/>
    <w:rsid w:val="00C7632A"/>
    <w:rsid w:val="00C76342"/>
    <w:rsid w:val="00C76408"/>
    <w:rsid w:val="00C7662A"/>
    <w:rsid w:val="00C76673"/>
    <w:rsid w:val="00C766E1"/>
    <w:rsid w:val="00C76724"/>
    <w:rsid w:val="00C76813"/>
    <w:rsid w:val="00C76B18"/>
    <w:rsid w:val="00C76C21"/>
    <w:rsid w:val="00C76F53"/>
    <w:rsid w:val="00C76FB0"/>
    <w:rsid w:val="00C76FF6"/>
    <w:rsid w:val="00C7704A"/>
    <w:rsid w:val="00C77099"/>
    <w:rsid w:val="00C770C7"/>
    <w:rsid w:val="00C7710E"/>
    <w:rsid w:val="00C771A7"/>
    <w:rsid w:val="00C7724A"/>
    <w:rsid w:val="00C772BE"/>
    <w:rsid w:val="00C772C1"/>
    <w:rsid w:val="00C77465"/>
    <w:rsid w:val="00C775ED"/>
    <w:rsid w:val="00C777F3"/>
    <w:rsid w:val="00C778C2"/>
    <w:rsid w:val="00C77921"/>
    <w:rsid w:val="00C77971"/>
    <w:rsid w:val="00C77A0D"/>
    <w:rsid w:val="00C77B08"/>
    <w:rsid w:val="00C77BD8"/>
    <w:rsid w:val="00C77C4E"/>
    <w:rsid w:val="00C77DAE"/>
    <w:rsid w:val="00C77FAA"/>
    <w:rsid w:val="00C80074"/>
    <w:rsid w:val="00C8017B"/>
    <w:rsid w:val="00C8028D"/>
    <w:rsid w:val="00C8039F"/>
    <w:rsid w:val="00C803D8"/>
    <w:rsid w:val="00C805EE"/>
    <w:rsid w:val="00C808F8"/>
    <w:rsid w:val="00C80A5B"/>
    <w:rsid w:val="00C80B35"/>
    <w:rsid w:val="00C80D2F"/>
    <w:rsid w:val="00C80E27"/>
    <w:rsid w:val="00C80F11"/>
    <w:rsid w:val="00C80FB5"/>
    <w:rsid w:val="00C81062"/>
    <w:rsid w:val="00C810A4"/>
    <w:rsid w:val="00C810E4"/>
    <w:rsid w:val="00C81118"/>
    <w:rsid w:val="00C81121"/>
    <w:rsid w:val="00C8112D"/>
    <w:rsid w:val="00C81180"/>
    <w:rsid w:val="00C811E5"/>
    <w:rsid w:val="00C811FD"/>
    <w:rsid w:val="00C8127A"/>
    <w:rsid w:val="00C8127C"/>
    <w:rsid w:val="00C81320"/>
    <w:rsid w:val="00C8133F"/>
    <w:rsid w:val="00C8136F"/>
    <w:rsid w:val="00C8139B"/>
    <w:rsid w:val="00C81434"/>
    <w:rsid w:val="00C8143C"/>
    <w:rsid w:val="00C814EA"/>
    <w:rsid w:val="00C814EE"/>
    <w:rsid w:val="00C81626"/>
    <w:rsid w:val="00C81682"/>
    <w:rsid w:val="00C816F9"/>
    <w:rsid w:val="00C818AA"/>
    <w:rsid w:val="00C81AA1"/>
    <w:rsid w:val="00C81C53"/>
    <w:rsid w:val="00C81C60"/>
    <w:rsid w:val="00C81CB2"/>
    <w:rsid w:val="00C81E3D"/>
    <w:rsid w:val="00C81E7C"/>
    <w:rsid w:val="00C820D2"/>
    <w:rsid w:val="00C82176"/>
    <w:rsid w:val="00C82181"/>
    <w:rsid w:val="00C823E2"/>
    <w:rsid w:val="00C82457"/>
    <w:rsid w:val="00C824FB"/>
    <w:rsid w:val="00C8253A"/>
    <w:rsid w:val="00C826B5"/>
    <w:rsid w:val="00C829AC"/>
    <w:rsid w:val="00C829C7"/>
    <w:rsid w:val="00C82A9A"/>
    <w:rsid w:val="00C82B5D"/>
    <w:rsid w:val="00C82BF4"/>
    <w:rsid w:val="00C82C0A"/>
    <w:rsid w:val="00C82C3F"/>
    <w:rsid w:val="00C82D83"/>
    <w:rsid w:val="00C82EC0"/>
    <w:rsid w:val="00C82EE6"/>
    <w:rsid w:val="00C82F5B"/>
    <w:rsid w:val="00C82FCD"/>
    <w:rsid w:val="00C82FF7"/>
    <w:rsid w:val="00C83082"/>
    <w:rsid w:val="00C830A9"/>
    <w:rsid w:val="00C83122"/>
    <w:rsid w:val="00C833BD"/>
    <w:rsid w:val="00C834BC"/>
    <w:rsid w:val="00C8370E"/>
    <w:rsid w:val="00C83792"/>
    <w:rsid w:val="00C83855"/>
    <w:rsid w:val="00C83896"/>
    <w:rsid w:val="00C838D2"/>
    <w:rsid w:val="00C839DC"/>
    <w:rsid w:val="00C839E2"/>
    <w:rsid w:val="00C83BC0"/>
    <w:rsid w:val="00C83C1E"/>
    <w:rsid w:val="00C83C38"/>
    <w:rsid w:val="00C83C49"/>
    <w:rsid w:val="00C83C4B"/>
    <w:rsid w:val="00C83CE4"/>
    <w:rsid w:val="00C83E21"/>
    <w:rsid w:val="00C83E2A"/>
    <w:rsid w:val="00C83EE0"/>
    <w:rsid w:val="00C83F64"/>
    <w:rsid w:val="00C842C6"/>
    <w:rsid w:val="00C844FD"/>
    <w:rsid w:val="00C84506"/>
    <w:rsid w:val="00C8456D"/>
    <w:rsid w:val="00C845F8"/>
    <w:rsid w:val="00C8460F"/>
    <w:rsid w:val="00C8462D"/>
    <w:rsid w:val="00C847F4"/>
    <w:rsid w:val="00C849BF"/>
    <w:rsid w:val="00C84AD0"/>
    <w:rsid w:val="00C84B56"/>
    <w:rsid w:val="00C84C26"/>
    <w:rsid w:val="00C84C5B"/>
    <w:rsid w:val="00C84C6E"/>
    <w:rsid w:val="00C84C8B"/>
    <w:rsid w:val="00C84DAD"/>
    <w:rsid w:val="00C84F7F"/>
    <w:rsid w:val="00C8501F"/>
    <w:rsid w:val="00C850C8"/>
    <w:rsid w:val="00C85101"/>
    <w:rsid w:val="00C851EE"/>
    <w:rsid w:val="00C8520F"/>
    <w:rsid w:val="00C853B2"/>
    <w:rsid w:val="00C85482"/>
    <w:rsid w:val="00C8548E"/>
    <w:rsid w:val="00C854B4"/>
    <w:rsid w:val="00C857C5"/>
    <w:rsid w:val="00C859BD"/>
    <w:rsid w:val="00C859F3"/>
    <w:rsid w:val="00C85C03"/>
    <w:rsid w:val="00C85C07"/>
    <w:rsid w:val="00C85CCC"/>
    <w:rsid w:val="00C85D29"/>
    <w:rsid w:val="00C85F05"/>
    <w:rsid w:val="00C86010"/>
    <w:rsid w:val="00C86024"/>
    <w:rsid w:val="00C86177"/>
    <w:rsid w:val="00C861FA"/>
    <w:rsid w:val="00C863A3"/>
    <w:rsid w:val="00C864D2"/>
    <w:rsid w:val="00C86556"/>
    <w:rsid w:val="00C865B3"/>
    <w:rsid w:val="00C8662B"/>
    <w:rsid w:val="00C866E8"/>
    <w:rsid w:val="00C867E5"/>
    <w:rsid w:val="00C8689A"/>
    <w:rsid w:val="00C86B1C"/>
    <w:rsid w:val="00C86C5D"/>
    <w:rsid w:val="00C86E9F"/>
    <w:rsid w:val="00C86F79"/>
    <w:rsid w:val="00C86F8D"/>
    <w:rsid w:val="00C87071"/>
    <w:rsid w:val="00C87120"/>
    <w:rsid w:val="00C872F9"/>
    <w:rsid w:val="00C87529"/>
    <w:rsid w:val="00C87639"/>
    <w:rsid w:val="00C876EF"/>
    <w:rsid w:val="00C87722"/>
    <w:rsid w:val="00C87888"/>
    <w:rsid w:val="00C8791E"/>
    <w:rsid w:val="00C879A0"/>
    <w:rsid w:val="00C87A8D"/>
    <w:rsid w:val="00C87AC1"/>
    <w:rsid w:val="00C87AD6"/>
    <w:rsid w:val="00C87B14"/>
    <w:rsid w:val="00C87B1F"/>
    <w:rsid w:val="00C87D18"/>
    <w:rsid w:val="00C87DB4"/>
    <w:rsid w:val="00C87E75"/>
    <w:rsid w:val="00C90119"/>
    <w:rsid w:val="00C9022C"/>
    <w:rsid w:val="00C904AA"/>
    <w:rsid w:val="00C904DD"/>
    <w:rsid w:val="00C907A4"/>
    <w:rsid w:val="00C90832"/>
    <w:rsid w:val="00C908F8"/>
    <w:rsid w:val="00C90B31"/>
    <w:rsid w:val="00C90BA5"/>
    <w:rsid w:val="00C90C32"/>
    <w:rsid w:val="00C90C46"/>
    <w:rsid w:val="00C90C6A"/>
    <w:rsid w:val="00C90C89"/>
    <w:rsid w:val="00C90E2A"/>
    <w:rsid w:val="00C90EE7"/>
    <w:rsid w:val="00C90F86"/>
    <w:rsid w:val="00C91097"/>
    <w:rsid w:val="00C91155"/>
    <w:rsid w:val="00C911C9"/>
    <w:rsid w:val="00C911E6"/>
    <w:rsid w:val="00C911FB"/>
    <w:rsid w:val="00C91299"/>
    <w:rsid w:val="00C9129C"/>
    <w:rsid w:val="00C91369"/>
    <w:rsid w:val="00C914FC"/>
    <w:rsid w:val="00C91600"/>
    <w:rsid w:val="00C917ED"/>
    <w:rsid w:val="00C9181B"/>
    <w:rsid w:val="00C91951"/>
    <w:rsid w:val="00C91980"/>
    <w:rsid w:val="00C91AEB"/>
    <w:rsid w:val="00C91BFD"/>
    <w:rsid w:val="00C91C58"/>
    <w:rsid w:val="00C91EBD"/>
    <w:rsid w:val="00C92064"/>
    <w:rsid w:val="00C92158"/>
    <w:rsid w:val="00C923E1"/>
    <w:rsid w:val="00C924D6"/>
    <w:rsid w:val="00C9257A"/>
    <w:rsid w:val="00C9259A"/>
    <w:rsid w:val="00C925B0"/>
    <w:rsid w:val="00C925FA"/>
    <w:rsid w:val="00C927E7"/>
    <w:rsid w:val="00C92803"/>
    <w:rsid w:val="00C92C63"/>
    <w:rsid w:val="00C92C82"/>
    <w:rsid w:val="00C92D2E"/>
    <w:rsid w:val="00C92F6F"/>
    <w:rsid w:val="00C9327C"/>
    <w:rsid w:val="00C932BA"/>
    <w:rsid w:val="00C932D8"/>
    <w:rsid w:val="00C9330E"/>
    <w:rsid w:val="00C933FB"/>
    <w:rsid w:val="00C93578"/>
    <w:rsid w:val="00C93693"/>
    <w:rsid w:val="00C937AA"/>
    <w:rsid w:val="00C937AB"/>
    <w:rsid w:val="00C939F6"/>
    <w:rsid w:val="00C93A98"/>
    <w:rsid w:val="00C93AAC"/>
    <w:rsid w:val="00C93B31"/>
    <w:rsid w:val="00C93B85"/>
    <w:rsid w:val="00C93BC9"/>
    <w:rsid w:val="00C93ED0"/>
    <w:rsid w:val="00C93FD3"/>
    <w:rsid w:val="00C9408E"/>
    <w:rsid w:val="00C94219"/>
    <w:rsid w:val="00C94260"/>
    <w:rsid w:val="00C943E4"/>
    <w:rsid w:val="00C94664"/>
    <w:rsid w:val="00C946F5"/>
    <w:rsid w:val="00C9480B"/>
    <w:rsid w:val="00C948B7"/>
    <w:rsid w:val="00C94957"/>
    <w:rsid w:val="00C94984"/>
    <w:rsid w:val="00C94A42"/>
    <w:rsid w:val="00C94B07"/>
    <w:rsid w:val="00C94BE1"/>
    <w:rsid w:val="00C94BF3"/>
    <w:rsid w:val="00C94C9C"/>
    <w:rsid w:val="00C94CF5"/>
    <w:rsid w:val="00C94D38"/>
    <w:rsid w:val="00C94FEE"/>
    <w:rsid w:val="00C950AF"/>
    <w:rsid w:val="00C95115"/>
    <w:rsid w:val="00C952A9"/>
    <w:rsid w:val="00C953ED"/>
    <w:rsid w:val="00C954B3"/>
    <w:rsid w:val="00C955A9"/>
    <w:rsid w:val="00C95642"/>
    <w:rsid w:val="00C956B2"/>
    <w:rsid w:val="00C956F8"/>
    <w:rsid w:val="00C95753"/>
    <w:rsid w:val="00C957E1"/>
    <w:rsid w:val="00C95817"/>
    <w:rsid w:val="00C95922"/>
    <w:rsid w:val="00C95AF2"/>
    <w:rsid w:val="00C95B1F"/>
    <w:rsid w:val="00C95BC7"/>
    <w:rsid w:val="00C95CA5"/>
    <w:rsid w:val="00C95DE1"/>
    <w:rsid w:val="00C95E8C"/>
    <w:rsid w:val="00C95EE6"/>
    <w:rsid w:val="00C95F1E"/>
    <w:rsid w:val="00C95FA1"/>
    <w:rsid w:val="00C96273"/>
    <w:rsid w:val="00C96360"/>
    <w:rsid w:val="00C9646A"/>
    <w:rsid w:val="00C964C7"/>
    <w:rsid w:val="00C964EC"/>
    <w:rsid w:val="00C96507"/>
    <w:rsid w:val="00C9653C"/>
    <w:rsid w:val="00C9656C"/>
    <w:rsid w:val="00C9661A"/>
    <w:rsid w:val="00C96621"/>
    <w:rsid w:val="00C96784"/>
    <w:rsid w:val="00C96785"/>
    <w:rsid w:val="00C967F5"/>
    <w:rsid w:val="00C968E7"/>
    <w:rsid w:val="00C96943"/>
    <w:rsid w:val="00C969DF"/>
    <w:rsid w:val="00C96B40"/>
    <w:rsid w:val="00C96B79"/>
    <w:rsid w:val="00C96BAD"/>
    <w:rsid w:val="00C96CC9"/>
    <w:rsid w:val="00C96CE1"/>
    <w:rsid w:val="00C96D18"/>
    <w:rsid w:val="00C96E35"/>
    <w:rsid w:val="00C96E83"/>
    <w:rsid w:val="00C96F4B"/>
    <w:rsid w:val="00C971E8"/>
    <w:rsid w:val="00C9743A"/>
    <w:rsid w:val="00C97689"/>
    <w:rsid w:val="00C97836"/>
    <w:rsid w:val="00C97878"/>
    <w:rsid w:val="00C97892"/>
    <w:rsid w:val="00C97895"/>
    <w:rsid w:val="00C97943"/>
    <w:rsid w:val="00C979F9"/>
    <w:rsid w:val="00C97BD4"/>
    <w:rsid w:val="00C97DB7"/>
    <w:rsid w:val="00C97E82"/>
    <w:rsid w:val="00C97F5A"/>
    <w:rsid w:val="00C99ABB"/>
    <w:rsid w:val="00CA001E"/>
    <w:rsid w:val="00CA032D"/>
    <w:rsid w:val="00CA048C"/>
    <w:rsid w:val="00CA04C0"/>
    <w:rsid w:val="00CA051D"/>
    <w:rsid w:val="00CA05C9"/>
    <w:rsid w:val="00CA060A"/>
    <w:rsid w:val="00CA080E"/>
    <w:rsid w:val="00CA089A"/>
    <w:rsid w:val="00CA0A0C"/>
    <w:rsid w:val="00CA0A8B"/>
    <w:rsid w:val="00CA0BE2"/>
    <w:rsid w:val="00CA0CCA"/>
    <w:rsid w:val="00CA0E7E"/>
    <w:rsid w:val="00CA0F3A"/>
    <w:rsid w:val="00CA101B"/>
    <w:rsid w:val="00CA10E1"/>
    <w:rsid w:val="00CA12B6"/>
    <w:rsid w:val="00CA12CC"/>
    <w:rsid w:val="00CA1312"/>
    <w:rsid w:val="00CA1463"/>
    <w:rsid w:val="00CA1688"/>
    <w:rsid w:val="00CA16FF"/>
    <w:rsid w:val="00CA18AA"/>
    <w:rsid w:val="00CA1909"/>
    <w:rsid w:val="00CA1A65"/>
    <w:rsid w:val="00CA1A9B"/>
    <w:rsid w:val="00CA1AF4"/>
    <w:rsid w:val="00CA1B94"/>
    <w:rsid w:val="00CA1DF0"/>
    <w:rsid w:val="00CA1E5A"/>
    <w:rsid w:val="00CA201B"/>
    <w:rsid w:val="00CA2053"/>
    <w:rsid w:val="00CA2216"/>
    <w:rsid w:val="00CA254C"/>
    <w:rsid w:val="00CA25C0"/>
    <w:rsid w:val="00CA25C9"/>
    <w:rsid w:val="00CA2602"/>
    <w:rsid w:val="00CA2658"/>
    <w:rsid w:val="00CA2678"/>
    <w:rsid w:val="00CA284B"/>
    <w:rsid w:val="00CA2923"/>
    <w:rsid w:val="00CA29A6"/>
    <w:rsid w:val="00CA29B9"/>
    <w:rsid w:val="00CA2B14"/>
    <w:rsid w:val="00CA2BDB"/>
    <w:rsid w:val="00CA2C60"/>
    <w:rsid w:val="00CA2CA7"/>
    <w:rsid w:val="00CA2CC4"/>
    <w:rsid w:val="00CA2E0E"/>
    <w:rsid w:val="00CA2E45"/>
    <w:rsid w:val="00CA2F70"/>
    <w:rsid w:val="00CA2FDC"/>
    <w:rsid w:val="00CA304F"/>
    <w:rsid w:val="00CA30C0"/>
    <w:rsid w:val="00CA3387"/>
    <w:rsid w:val="00CA344D"/>
    <w:rsid w:val="00CA35A7"/>
    <w:rsid w:val="00CA36B5"/>
    <w:rsid w:val="00CA36D5"/>
    <w:rsid w:val="00CA376E"/>
    <w:rsid w:val="00CA386B"/>
    <w:rsid w:val="00CA38DD"/>
    <w:rsid w:val="00CA396E"/>
    <w:rsid w:val="00CA3971"/>
    <w:rsid w:val="00CA3A0E"/>
    <w:rsid w:val="00CA3AFA"/>
    <w:rsid w:val="00CA3BA9"/>
    <w:rsid w:val="00CA3C43"/>
    <w:rsid w:val="00CA3D30"/>
    <w:rsid w:val="00CA3D5B"/>
    <w:rsid w:val="00CA3D77"/>
    <w:rsid w:val="00CA3E33"/>
    <w:rsid w:val="00CA3E6C"/>
    <w:rsid w:val="00CA3E84"/>
    <w:rsid w:val="00CA3F6A"/>
    <w:rsid w:val="00CA3FCA"/>
    <w:rsid w:val="00CA3FDC"/>
    <w:rsid w:val="00CA4034"/>
    <w:rsid w:val="00CA4115"/>
    <w:rsid w:val="00CA4200"/>
    <w:rsid w:val="00CA42C2"/>
    <w:rsid w:val="00CA437B"/>
    <w:rsid w:val="00CA4521"/>
    <w:rsid w:val="00CA4534"/>
    <w:rsid w:val="00CA468D"/>
    <w:rsid w:val="00CA46A6"/>
    <w:rsid w:val="00CA46E4"/>
    <w:rsid w:val="00CA4A28"/>
    <w:rsid w:val="00CA4B27"/>
    <w:rsid w:val="00CA4B72"/>
    <w:rsid w:val="00CA4BEA"/>
    <w:rsid w:val="00CA4CC4"/>
    <w:rsid w:val="00CA4D83"/>
    <w:rsid w:val="00CA4ED4"/>
    <w:rsid w:val="00CA5012"/>
    <w:rsid w:val="00CA50AF"/>
    <w:rsid w:val="00CA50BE"/>
    <w:rsid w:val="00CA52BC"/>
    <w:rsid w:val="00CA52FA"/>
    <w:rsid w:val="00CA5308"/>
    <w:rsid w:val="00CA5363"/>
    <w:rsid w:val="00CA53C9"/>
    <w:rsid w:val="00CA540E"/>
    <w:rsid w:val="00CA548B"/>
    <w:rsid w:val="00CA562C"/>
    <w:rsid w:val="00CA571E"/>
    <w:rsid w:val="00CA573F"/>
    <w:rsid w:val="00CA576E"/>
    <w:rsid w:val="00CA580F"/>
    <w:rsid w:val="00CA58ED"/>
    <w:rsid w:val="00CA5911"/>
    <w:rsid w:val="00CA5BDF"/>
    <w:rsid w:val="00CA5E32"/>
    <w:rsid w:val="00CA5E47"/>
    <w:rsid w:val="00CA5E8C"/>
    <w:rsid w:val="00CA5F2C"/>
    <w:rsid w:val="00CA5FED"/>
    <w:rsid w:val="00CA603A"/>
    <w:rsid w:val="00CA6060"/>
    <w:rsid w:val="00CA609A"/>
    <w:rsid w:val="00CA60D1"/>
    <w:rsid w:val="00CA619B"/>
    <w:rsid w:val="00CA620C"/>
    <w:rsid w:val="00CA6482"/>
    <w:rsid w:val="00CA6485"/>
    <w:rsid w:val="00CA64FF"/>
    <w:rsid w:val="00CA6587"/>
    <w:rsid w:val="00CA660D"/>
    <w:rsid w:val="00CA6849"/>
    <w:rsid w:val="00CA68A5"/>
    <w:rsid w:val="00CA6982"/>
    <w:rsid w:val="00CA698B"/>
    <w:rsid w:val="00CA699A"/>
    <w:rsid w:val="00CA69CB"/>
    <w:rsid w:val="00CA6BE7"/>
    <w:rsid w:val="00CA6C0A"/>
    <w:rsid w:val="00CA6C1C"/>
    <w:rsid w:val="00CA6C34"/>
    <w:rsid w:val="00CA6C52"/>
    <w:rsid w:val="00CA6C55"/>
    <w:rsid w:val="00CA6E69"/>
    <w:rsid w:val="00CA6F33"/>
    <w:rsid w:val="00CA6F50"/>
    <w:rsid w:val="00CA702A"/>
    <w:rsid w:val="00CA70B6"/>
    <w:rsid w:val="00CA716B"/>
    <w:rsid w:val="00CA7259"/>
    <w:rsid w:val="00CA72E5"/>
    <w:rsid w:val="00CA7313"/>
    <w:rsid w:val="00CA7421"/>
    <w:rsid w:val="00CA747E"/>
    <w:rsid w:val="00CA749E"/>
    <w:rsid w:val="00CA74B2"/>
    <w:rsid w:val="00CA759D"/>
    <w:rsid w:val="00CA786E"/>
    <w:rsid w:val="00CA7872"/>
    <w:rsid w:val="00CA788F"/>
    <w:rsid w:val="00CA78BB"/>
    <w:rsid w:val="00CA7BE4"/>
    <w:rsid w:val="00CA7BF8"/>
    <w:rsid w:val="00CA7D4A"/>
    <w:rsid w:val="00CA7EA4"/>
    <w:rsid w:val="00CA7EAE"/>
    <w:rsid w:val="00CA7EDD"/>
    <w:rsid w:val="00CA7FED"/>
    <w:rsid w:val="00CB0055"/>
    <w:rsid w:val="00CB0120"/>
    <w:rsid w:val="00CB01DC"/>
    <w:rsid w:val="00CB0220"/>
    <w:rsid w:val="00CB0326"/>
    <w:rsid w:val="00CB0465"/>
    <w:rsid w:val="00CB0491"/>
    <w:rsid w:val="00CB0AE4"/>
    <w:rsid w:val="00CB0B02"/>
    <w:rsid w:val="00CB0C99"/>
    <w:rsid w:val="00CB0E0D"/>
    <w:rsid w:val="00CB0EE9"/>
    <w:rsid w:val="00CB0FE1"/>
    <w:rsid w:val="00CB10CF"/>
    <w:rsid w:val="00CB11A3"/>
    <w:rsid w:val="00CB1242"/>
    <w:rsid w:val="00CB127B"/>
    <w:rsid w:val="00CB132D"/>
    <w:rsid w:val="00CB14B8"/>
    <w:rsid w:val="00CB1553"/>
    <w:rsid w:val="00CB1612"/>
    <w:rsid w:val="00CB19F2"/>
    <w:rsid w:val="00CB1A26"/>
    <w:rsid w:val="00CB1A39"/>
    <w:rsid w:val="00CB1B49"/>
    <w:rsid w:val="00CB1B4F"/>
    <w:rsid w:val="00CB1C48"/>
    <w:rsid w:val="00CB1C6D"/>
    <w:rsid w:val="00CB1DCB"/>
    <w:rsid w:val="00CB1E30"/>
    <w:rsid w:val="00CB1E55"/>
    <w:rsid w:val="00CB1E91"/>
    <w:rsid w:val="00CB1F32"/>
    <w:rsid w:val="00CB1F3F"/>
    <w:rsid w:val="00CB1FBC"/>
    <w:rsid w:val="00CB20B0"/>
    <w:rsid w:val="00CB2128"/>
    <w:rsid w:val="00CB21A8"/>
    <w:rsid w:val="00CB2279"/>
    <w:rsid w:val="00CB22DD"/>
    <w:rsid w:val="00CB2360"/>
    <w:rsid w:val="00CB2362"/>
    <w:rsid w:val="00CB2383"/>
    <w:rsid w:val="00CB25AA"/>
    <w:rsid w:val="00CB25E0"/>
    <w:rsid w:val="00CB26A5"/>
    <w:rsid w:val="00CB2754"/>
    <w:rsid w:val="00CB27FF"/>
    <w:rsid w:val="00CB2837"/>
    <w:rsid w:val="00CB28D6"/>
    <w:rsid w:val="00CB28F2"/>
    <w:rsid w:val="00CB2A11"/>
    <w:rsid w:val="00CB2BA3"/>
    <w:rsid w:val="00CB2CFE"/>
    <w:rsid w:val="00CB2E72"/>
    <w:rsid w:val="00CB2F18"/>
    <w:rsid w:val="00CB30B7"/>
    <w:rsid w:val="00CB31CC"/>
    <w:rsid w:val="00CB3280"/>
    <w:rsid w:val="00CB35C0"/>
    <w:rsid w:val="00CB37B4"/>
    <w:rsid w:val="00CB385C"/>
    <w:rsid w:val="00CB3906"/>
    <w:rsid w:val="00CB3958"/>
    <w:rsid w:val="00CB39FC"/>
    <w:rsid w:val="00CB3B19"/>
    <w:rsid w:val="00CB3B23"/>
    <w:rsid w:val="00CB3CC5"/>
    <w:rsid w:val="00CB3D98"/>
    <w:rsid w:val="00CB407B"/>
    <w:rsid w:val="00CB409A"/>
    <w:rsid w:val="00CB40F2"/>
    <w:rsid w:val="00CB417B"/>
    <w:rsid w:val="00CB41A4"/>
    <w:rsid w:val="00CB421A"/>
    <w:rsid w:val="00CB4254"/>
    <w:rsid w:val="00CB433A"/>
    <w:rsid w:val="00CB4395"/>
    <w:rsid w:val="00CB43BC"/>
    <w:rsid w:val="00CB43C2"/>
    <w:rsid w:val="00CB4553"/>
    <w:rsid w:val="00CB4616"/>
    <w:rsid w:val="00CB4771"/>
    <w:rsid w:val="00CB483C"/>
    <w:rsid w:val="00CB4845"/>
    <w:rsid w:val="00CB4AB5"/>
    <w:rsid w:val="00CB4AEB"/>
    <w:rsid w:val="00CB4B12"/>
    <w:rsid w:val="00CB4B89"/>
    <w:rsid w:val="00CB4BF7"/>
    <w:rsid w:val="00CB4E32"/>
    <w:rsid w:val="00CB4EB1"/>
    <w:rsid w:val="00CB4EEE"/>
    <w:rsid w:val="00CB4FBF"/>
    <w:rsid w:val="00CB4FD4"/>
    <w:rsid w:val="00CB513B"/>
    <w:rsid w:val="00CB51B2"/>
    <w:rsid w:val="00CB51F9"/>
    <w:rsid w:val="00CB526E"/>
    <w:rsid w:val="00CB56D8"/>
    <w:rsid w:val="00CB572B"/>
    <w:rsid w:val="00CB5980"/>
    <w:rsid w:val="00CB59C1"/>
    <w:rsid w:val="00CB5F67"/>
    <w:rsid w:val="00CB602D"/>
    <w:rsid w:val="00CB60CF"/>
    <w:rsid w:val="00CB6163"/>
    <w:rsid w:val="00CB61B8"/>
    <w:rsid w:val="00CB61E1"/>
    <w:rsid w:val="00CB622E"/>
    <w:rsid w:val="00CB6350"/>
    <w:rsid w:val="00CB6583"/>
    <w:rsid w:val="00CB679E"/>
    <w:rsid w:val="00CB67D0"/>
    <w:rsid w:val="00CB6A71"/>
    <w:rsid w:val="00CB6B1E"/>
    <w:rsid w:val="00CB6B62"/>
    <w:rsid w:val="00CB6D39"/>
    <w:rsid w:val="00CB6E85"/>
    <w:rsid w:val="00CB6E94"/>
    <w:rsid w:val="00CB6F5B"/>
    <w:rsid w:val="00CB7007"/>
    <w:rsid w:val="00CB70BE"/>
    <w:rsid w:val="00CB70F6"/>
    <w:rsid w:val="00CB73FF"/>
    <w:rsid w:val="00CB74CA"/>
    <w:rsid w:val="00CB7525"/>
    <w:rsid w:val="00CB75E8"/>
    <w:rsid w:val="00CB7682"/>
    <w:rsid w:val="00CB7729"/>
    <w:rsid w:val="00CB7771"/>
    <w:rsid w:val="00CB7A7C"/>
    <w:rsid w:val="00CB7B24"/>
    <w:rsid w:val="00CB7D45"/>
    <w:rsid w:val="00CB7D51"/>
    <w:rsid w:val="00CB7F1E"/>
    <w:rsid w:val="00CB7F45"/>
    <w:rsid w:val="00CB7FBF"/>
    <w:rsid w:val="00CC0030"/>
    <w:rsid w:val="00CC0049"/>
    <w:rsid w:val="00CC007E"/>
    <w:rsid w:val="00CC01A8"/>
    <w:rsid w:val="00CC01FB"/>
    <w:rsid w:val="00CC02DC"/>
    <w:rsid w:val="00CC0306"/>
    <w:rsid w:val="00CC0382"/>
    <w:rsid w:val="00CC04CC"/>
    <w:rsid w:val="00CC05B3"/>
    <w:rsid w:val="00CC05EA"/>
    <w:rsid w:val="00CC06A5"/>
    <w:rsid w:val="00CC0729"/>
    <w:rsid w:val="00CC08FA"/>
    <w:rsid w:val="00CC0A05"/>
    <w:rsid w:val="00CC0A85"/>
    <w:rsid w:val="00CC0ABE"/>
    <w:rsid w:val="00CC0AC4"/>
    <w:rsid w:val="00CC0CAC"/>
    <w:rsid w:val="00CC0D9E"/>
    <w:rsid w:val="00CC0D9F"/>
    <w:rsid w:val="00CC0E1F"/>
    <w:rsid w:val="00CC100A"/>
    <w:rsid w:val="00CC11A4"/>
    <w:rsid w:val="00CC11C7"/>
    <w:rsid w:val="00CC11DC"/>
    <w:rsid w:val="00CC121C"/>
    <w:rsid w:val="00CC1262"/>
    <w:rsid w:val="00CC1277"/>
    <w:rsid w:val="00CC1285"/>
    <w:rsid w:val="00CC139B"/>
    <w:rsid w:val="00CC13C5"/>
    <w:rsid w:val="00CC1431"/>
    <w:rsid w:val="00CC1522"/>
    <w:rsid w:val="00CC1538"/>
    <w:rsid w:val="00CC16A3"/>
    <w:rsid w:val="00CC18EF"/>
    <w:rsid w:val="00CC19D3"/>
    <w:rsid w:val="00CC19D8"/>
    <w:rsid w:val="00CC1A29"/>
    <w:rsid w:val="00CC1B42"/>
    <w:rsid w:val="00CC1BEB"/>
    <w:rsid w:val="00CC1CC4"/>
    <w:rsid w:val="00CC1D1B"/>
    <w:rsid w:val="00CC1E72"/>
    <w:rsid w:val="00CC1F30"/>
    <w:rsid w:val="00CC1F7F"/>
    <w:rsid w:val="00CC203D"/>
    <w:rsid w:val="00CC208B"/>
    <w:rsid w:val="00CC2100"/>
    <w:rsid w:val="00CC2123"/>
    <w:rsid w:val="00CC21D7"/>
    <w:rsid w:val="00CC2237"/>
    <w:rsid w:val="00CC2359"/>
    <w:rsid w:val="00CC2392"/>
    <w:rsid w:val="00CC23D7"/>
    <w:rsid w:val="00CC2427"/>
    <w:rsid w:val="00CC2466"/>
    <w:rsid w:val="00CC2647"/>
    <w:rsid w:val="00CC2660"/>
    <w:rsid w:val="00CC268C"/>
    <w:rsid w:val="00CC274B"/>
    <w:rsid w:val="00CC2838"/>
    <w:rsid w:val="00CC2872"/>
    <w:rsid w:val="00CC28CD"/>
    <w:rsid w:val="00CC2915"/>
    <w:rsid w:val="00CC2916"/>
    <w:rsid w:val="00CC293D"/>
    <w:rsid w:val="00CC2BB1"/>
    <w:rsid w:val="00CC2C5E"/>
    <w:rsid w:val="00CC2CA6"/>
    <w:rsid w:val="00CC2EFE"/>
    <w:rsid w:val="00CC2F8E"/>
    <w:rsid w:val="00CC30AA"/>
    <w:rsid w:val="00CC30F5"/>
    <w:rsid w:val="00CC312D"/>
    <w:rsid w:val="00CC3200"/>
    <w:rsid w:val="00CC3228"/>
    <w:rsid w:val="00CC344E"/>
    <w:rsid w:val="00CC350D"/>
    <w:rsid w:val="00CC351B"/>
    <w:rsid w:val="00CC35E0"/>
    <w:rsid w:val="00CC3727"/>
    <w:rsid w:val="00CC3729"/>
    <w:rsid w:val="00CC37D2"/>
    <w:rsid w:val="00CC381D"/>
    <w:rsid w:val="00CC3ACC"/>
    <w:rsid w:val="00CC3B00"/>
    <w:rsid w:val="00CC3B88"/>
    <w:rsid w:val="00CC3D25"/>
    <w:rsid w:val="00CC3DC7"/>
    <w:rsid w:val="00CC3FCD"/>
    <w:rsid w:val="00CC4105"/>
    <w:rsid w:val="00CC4132"/>
    <w:rsid w:val="00CC429F"/>
    <w:rsid w:val="00CC4356"/>
    <w:rsid w:val="00CC4388"/>
    <w:rsid w:val="00CC43E3"/>
    <w:rsid w:val="00CC444F"/>
    <w:rsid w:val="00CC46A0"/>
    <w:rsid w:val="00CC46C0"/>
    <w:rsid w:val="00CC46C7"/>
    <w:rsid w:val="00CC4716"/>
    <w:rsid w:val="00CC47FD"/>
    <w:rsid w:val="00CC48EC"/>
    <w:rsid w:val="00CC495D"/>
    <w:rsid w:val="00CC49B5"/>
    <w:rsid w:val="00CC4A5F"/>
    <w:rsid w:val="00CC4C52"/>
    <w:rsid w:val="00CC51B9"/>
    <w:rsid w:val="00CC5295"/>
    <w:rsid w:val="00CC5313"/>
    <w:rsid w:val="00CC5464"/>
    <w:rsid w:val="00CC557E"/>
    <w:rsid w:val="00CC5596"/>
    <w:rsid w:val="00CC55C4"/>
    <w:rsid w:val="00CC565D"/>
    <w:rsid w:val="00CC56A5"/>
    <w:rsid w:val="00CC575C"/>
    <w:rsid w:val="00CC5775"/>
    <w:rsid w:val="00CC57A9"/>
    <w:rsid w:val="00CC58C9"/>
    <w:rsid w:val="00CC58F5"/>
    <w:rsid w:val="00CC5A79"/>
    <w:rsid w:val="00CC5DD3"/>
    <w:rsid w:val="00CC5EE1"/>
    <w:rsid w:val="00CC5FFF"/>
    <w:rsid w:val="00CC603B"/>
    <w:rsid w:val="00CC6228"/>
    <w:rsid w:val="00CC6235"/>
    <w:rsid w:val="00CC6239"/>
    <w:rsid w:val="00CC62E4"/>
    <w:rsid w:val="00CC645B"/>
    <w:rsid w:val="00CC656E"/>
    <w:rsid w:val="00CC65ED"/>
    <w:rsid w:val="00CC6654"/>
    <w:rsid w:val="00CC6655"/>
    <w:rsid w:val="00CC66A5"/>
    <w:rsid w:val="00CC66B6"/>
    <w:rsid w:val="00CC66E8"/>
    <w:rsid w:val="00CC672F"/>
    <w:rsid w:val="00CC6796"/>
    <w:rsid w:val="00CC67A8"/>
    <w:rsid w:val="00CC6889"/>
    <w:rsid w:val="00CC6897"/>
    <w:rsid w:val="00CC69DA"/>
    <w:rsid w:val="00CC6B12"/>
    <w:rsid w:val="00CC6B5B"/>
    <w:rsid w:val="00CC6B8F"/>
    <w:rsid w:val="00CC6BF5"/>
    <w:rsid w:val="00CC6C7C"/>
    <w:rsid w:val="00CC6C8A"/>
    <w:rsid w:val="00CC6D26"/>
    <w:rsid w:val="00CC6F9A"/>
    <w:rsid w:val="00CC71DB"/>
    <w:rsid w:val="00CC7314"/>
    <w:rsid w:val="00CC73EA"/>
    <w:rsid w:val="00CC750B"/>
    <w:rsid w:val="00CC757D"/>
    <w:rsid w:val="00CC7607"/>
    <w:rsid w:val="00CC7683"/>
    <w:rsid w:val="00CC77A1"/>
    <w:rsid w:val="00CC77D8"/>
    <w:rsid w:val="00CC7808"/>
    <w:rsid w:val="00CC7967"/>
    <w:rsid w:val="00CC7A28"/>
    <w:rsid w:val="00CC7A78"/>
    <w:rsid w:val="00CC7ACF"/>
    <w:rsid w:val="00CC7C7E"/>
    <w:rsid w:val="00CC7CB8"/>
    <w:rsid w:val="00CC7D52"/>
    <w:rsid w:val="00CC7E29"/>
    <w:rsid w:val="00CC7EF8"/>
    <w:rsid w:val="00CD0000"/>
    <w:rsid w:val="00CD00B1"/>
    <w:rsid w:val="00CD0127"/>
    <w:rsid w:val="00CD037E"/>
    <w:rsid w:val="00CD0579"/>
    <w:rsid w:val="00CD05A2"/>
    <w:rsid w:val="00CD0776"/>
    <w:rsid w:val="00CD0949"/>
    <w:rsid w:val="00CD0B57"/>
    <w:rsid w:val="00CD0B68"/>
    <w:rsid w:val="00CD0DBB"/>
    <w:rsid w:val="00CD0DF4"/>
    <w:rsid w:val="00CD0E6A"/>
    <w:rsid w:val="00CD0EC7"/>
    <w:rsid w:val="00CD0F66"/>
    <w:rsid w:val="00CD0F93"/>
    <w:rsid w:val="00CD0F96"/>
    <w:rsid w:val="00CD0FFD"/>
    <w:rsid w:val="00CD10A4"/>
    <w:rsid w:val="00CD11FE"/>
    <w:rsid w:val="00CD1227"/>
    <w:rsid w:val="00CD1296"/>
    <w:rsid w:val="00CD1304"/>
    <w:rsid w:val="00CD1309"/>
    <w:rsid w:val="00CD13CB"/>
    <w:rsid w:val="00CD156F"/>
    <w:rsid w:val="00CD16B1"/>
    <w:rsid w:val="00CD17E8"/>
    <w:rsid w:val="00CD1B33"/>
    <w:rsid w:val="00CD1CAF"/>
    <w:rsid w:val="00CD1DD5"/>
    <w:rsid w:val="00CD1E4F"/>
    <w:rsid w:val="00CD1E68"/>
    <w:rsid w:val="00CD1E8B"/>
    <w:rsid w:val="00CD1E8E"/>
    <w:rsid w:val="00CD1EE5"/>
    <w:rsid w:val="00CD1EF2"/>
    <w:rsid w:val="00CD1F22"/>
    <w:rsid w:val="00CD1F4D"/>
    <w:rsid w:val="00CD1F77"/>
    <w:rsid w:val="00CD1F84"/>
    <w:rsid w:val="00CD2102"/>
    <w:rsid w:val="00CD2317"/>
    <w:rsid w:val="00CD231B"/>
    <w:rsid w:val="00CD2471"/>
    <w:rsid w:val="00CD250F"/>
    <w:rsid w:val="00CD2521"/>
    <w:rsid w:val="00CD2533"/>
    <w:rsid w:val="00CD259A"/>
    <w:rsid w:val="00CD25EC"/>
    <w:rsid w:val="00CD2621"/>
    <w:rsid w:val="00CD2749"/>
    <w:rsid w:val="00CD27A0"/>
    <w:rsid w:val="00CD2965"/>
    <w:rsid w:val="00CD2B92"/>
    <w:rsid w:val="00CD2BFD"/>
    <w:rsid w:val="00CD2CB9"/>
    <w:rsid w:val="00CD2D5A"/>
    <w:rsid w:val="00CD2F02"/>
    <w:rsid w:val="00CD305C"/>
    <w:rsid w:val="00CD305D"/>
    <w:rsid w:val="00CD3107"/>
    <w:rsid w:val="00CD3127"/>
    <w:rsid w:val="00CD3149"/>
    <w:rsid w:val="00CD3181"/>
    <w:rsid w:val="00CD3207"/>
    <w:rsid w:val="00CD3239"/>
    <w:rsid w:val="00CD3255"/>
    <w:rsid w:val="00CD329C"/>
    <w:rsid w:val="00CD3359"/>
    <w:rsid w:val="00CD344D"/>
    <w:rsid w:val="00CD36A0"/>
    <w:rsid w:val="00CD377E"/>
    <w:rsid w:val="00CD3893"/>
    <w:rsid w:val="00CD39B5"/>
    <w:rsid w:val="00CD39FF"/>
    <w:rsid w:val="00CD3AD9"/>
    <w:rsid w:val="00CD3ADA"/>
    <w:rsid w:val="00CD3ED2"/>
    <w:rsid w:val="00CD3F58"/>
    <w:rsid w:val="00CD4179"/>
    <w:rsid w:val="00CD42B2"/>
    <w:rsid w:val="00CD4399"/>
    <w:rsid w:val="00CD44ED"/>
    <w:rsid w:val="00CD467E"/>
    <w:rsid w:val="00CD4874"/>
    <w:rsid w:val="00CD48B5"/>
    <w:rsid w:val="00CD4992"/>
    <w:rsid w:val="00CD4C58"/>
    <w:rsid w:val="00CD4D72"/>
    <w:rsid w:val="00CD4E88"/>
    <w:rsid w:val="00CD507C"/>
    <w:rsid w:val="00CD50B6"/>
    <w:rsid w:val="00CD51F4"/>
    <w:rsid w:val="00CD522C"/>
    <w:rsid w:val="00CD5286"/>
    <w:rsid w:val="00CD535D"/>
    <w:rsid w:val="00CD5B09"/>
    <w:rsid w:val="00CD5B63"/>
    <w:rsid w:val="00CD5B8D"/>
    <w:rsid w:val="00CD5B9C"/>
    <w:rsid w:val="00CD5C26"/>
    <w:rsid w:val="00CD5C5F"/>
    <w:rsid w:val="00CD5CB1"/>
    <w:rsid w:val="00CD5CB4"/>
    <w:rsid w:val="00CD5DB3"/>
    <w:rsid w:val="00CD5E08"/>
    <w:rsid w:val="00CD5F0E"/>
    <w:rsid w:val="00CD63AD"/>
    <w:rsid w:val="00CD6444"/>
    <w:rsid w:val="00CD64A0"/>
    <w:rsid w:val="00CD64D0"/>
    <w:rsid w:val="00CD659D"/>
    <w:rsid w:val="00CD67C2"/>
    <w:rsid w:val="00CD68AA"/>
    <w:rsid w:val="00CD69FF"/>
    <w:rsid w:val="00CD6A00"/>
    <w:rsid w:val="00CD6AB6"/>
    <w:rsid w:val="00CD6AC3"/>
    <w:rsid w:val="00CD6AEA"/>
    <w:rsid w:val="00CD6AFC"/>
    <w:rsid w:val="00CD6B6D"/>
    <w:rsid w:val="00CD6CA6"/>
    <w:rsid w:val="00CD6D8A"/>
    <w:rsid w:val="00CD6DE2"/>
    <w:rsid w:val="00CD6E13"/>
    <w:rsid w:val="00CD6E64"/>
    <w:rsid w:val="00CD6E99"/>
    <w:rsid w:val="00CD6EA7"/>
    <w:rsid w:val="00CD6F48"/>
    <w:rsid w:val="00CD6F50"/>
    <w:rsid w:val="00CD7176"/>
    <w:rsid w:val="00CD71F6"/>
    <w:rsid w:val="00CD7212"/>
    <w:rsid w:val="00CD733D"/>
    <w:rsid w:val="00CD737C"/>
    <w:rsid w:val="00CD7482"/>
    <w:rsid w:val="00CD74AE"/>
    <w:rsid w:val="00CD753F"/>
    <w:rsid w:val="00CD768E"/>
    <w:rsid w:val="00CD76D6"/>
    <w:rsid w:val="00CD7772"/>
    <w:rsid w:val="00CD77AD"/>
    <w:rsid w:val="00CD7821"/>
    <w:rsid w:val="00CD792E"/>
    <w:rsid w:val="00CD7996"/>
    <w:rsid w:val="00CD79F5"/>
    <w:rsid w:val="00CD7BB2"/>
    <w:rsid w:val="00CD7BC7"/>
    <w:rsid w:val="00CD7C33"/>
    <w:rsid w:val="00CD7D89"/>
    <w:rsid w:val="00CD7F56"/>
    <w:rsid w:val="00CD7F95"/>
    <w:rsid w:val="00CE0032"/>
    <w:rsid w:val="00CE007D"/>
    <w:rsid w:val="00CE011D"/>
    <w:rsid w:val="00CE0219"/>
    <w:rsid w:val="00CE0260"/>
    <w:rsid w:val="00CE02E7"/>
    <w:rsid w:val="00CE0345"/>
    <w:rsid w:val="00CE0373"/>
    <w:rsid w:val="00CE03B4"/>
    <w:rsid w:val="00CE03FC"/>
    <w:rsid w:val="00CE054E"/>
    <w:rsid w:val="00CE0588"/>
    <w:rsid w:val="00CE0668"/>
    <w:rsid w:val="00CE08EA"/>
    <w:rsid w:val="00CE0B64"/>
    <w:rsid w:val="00CE0D14"/>
    <w:rsid w:val="00CE0E63"/>
    <w:rsid w:val="00CE0FAF"/>
    <w:rsid w:val="00CE0FD1"/>
    <w:rsid w:val="00CE1040"/>
    <w:rsid w:val="00CE105F"/>
    <w:rsid w:val="00CE107C"/>
    <w:rsid w:val="00CE10B7"/>
    <w:rsid w:val="00CE10D5"/>
    <w:rsid w:val="00CE11E0"/>
    <w:rsid w:val="00CE12D8"/>
    <w:rsid w:val="00CE1328"/>
    <w:rsid w:val="00CE14D7"/>
    <w:rsid w:val="00CE1514"/>
    <w:rsid w:val="00CE1928"/>
    <w:rsid w:val="00CE19A0"/>
    <w:rsid w:val="00CE1ACC"/>
    <w:rsid w:val="00CE1B8D"/>
    <w:rsid w:val="00CE1BA1"/>
    <w:rsid w:val="00CE1D6D"/>
    <w:rsid w:val="00CE1DA5"/>
    <w:rsid w:val="00CE1DF7"/>
    <w:rsid w:val="00CE1F5B"/>
    <w:rsid w:val="00CE1F5C"/>
    <w:rsid w:val="00CE1F86"/>
    <w:rsid w:val="00CE2044"/>
    <w:rsid w:val="00CE2057"/>
    <w:rsid w:val="00CE2072"/>
    <w:rsid w:val="00CE20F0"/>
    <w:rsid w:val="00CE210D"/>
    <w:rsid w:val="00CE221E"/>
    <w:rsid w:val="00CE22E1"/>
    <w:rsid w:val="00CE2449"/>
    <w:rsid w:val="00CE244E"/>
    <w:rsid w:val="00CE2805"/>
    <w:rsid w:val="00CE29DC"/>
    <w:rsid w:val="00CE2B72"/>
    <w:rsid w:val="00CE2B83"/>
    <w:rsid w:val="00CE2CE8"/>
    <w:rsid w:val="00CE2F52"/>
    <w:rsid w:val="00CE312C"/>
    <w:rsid w:val="00CE3145"/>
    <w:rsid w:val="00CE3154"/>
    <w:rsid w:val="00CE3357"/>
    <w:rsid w:val="00CE3472"/>
    <w:rsid w:val="00CE3495"/>
    <w:rsid w:val="00CE34F2"/>
    <w:rsid w:val="00CE3830"/>
    <w:rsid w:val="00CE3873"/>
    <w:rsid w:val="00CE3889"/>
    <w:rsid w:val="00CE38F6"/>
    <w:rsid w:val="00CE39A6"/>
    <w:rsid w:val="00CE3A28"/>
    <w:rsid w:val="00CE3A36"/>
    <w:rsid w:val="00CE3B4E"/>
    <w:rsid w:val="00CE3C59"/>
    <w:rsid w:val="00CE3D14"/>
    <w:rsid w:val="00CE3D8C"/>
    <w:rsid w:val="00CE3DE9"/>
    <w:rsid w:val="00CE40F5"/>
    <w:rsid w:val="00CE41A2"/>
    <w:rsid w:val="00CE4376"/>
    <w:rsid w:val="00CE44A3"/>
    <w:rsid w:val="00CE44C2"/>
    <w:rsid w:val="00CE4509"/>
    <w:rsid w:val="00CE461A"/>
    <w:rsid w:val="00CE48C3"/>
    <w:rsid w:val="00CE49CD"/>
    <w:rsid w:val="00CE4A6A"/>
    <w:rsid w:val="00CE4B11"/>
    <w:rsid w:val="00CE4B46"/>
    <w:rsid w:val="00CE4C85"/>
    <w:rsid w:val="00CE4CBE"/>
    <w:rsid w:val="00CE4D21"/>
    <w:rsid w:val="00CE4D48"/>
    <w:rsid w:val="00CE4F12"/>
    <w:rsid w:val="00CE4F66"/>
    <w:rsid w:val="00CE4F6D"/>
    <w:rsid w:val="00CE5125"/>
    <w:rsid w:val="00CE5304"/>
    <w:rsid w:val="00CE541B"/>
    <w:rsid w:val="00CE5491"/>
    <w:rsid w:val="00CE5571"/>
    <w:rsid w:val="00CE558D"/>
    <w:rsid w:val="00CE5728"/>
    <w:rsid w:val="00CE5997"/>
    <w:rsid w:val="00CE59ED"/>
    <w:rsid w:val="00CE5AAF"/>
    <w:rsid w:val="00CE5ADB"/>
    <w:rsid w:val="00CE5BDD"/>
    <w:rsid w:val="00CE5CD2"/>
    <w:rsid w:val="00CE5CE1"/>
    <w:rsid w:val="00CE5D0C"/>
    <w:rsid w:val="00CE5D38"/>
    <w:rsid w:val="00CE5DDE"/>
    <w:rsid w:val="00CE5DE6"/>
    <w:rsid w:val="00CE5E0B"/>
    <w:rsid w:val="00CE5F16"/>
    <w:rsid w:val="00CE6127"/>
    <w:rsid w:val="00CE620E"/>
    <w:rsid w:val="00CE6276"/>
    <w:rsid w:val="00CE62B7"/>
    <w:rsid w:val="00CE62CB"/>
    <w:rsid w:val="00CE62F1"/>
    <w:rsid w:val="00CE6348"/>
    <w:rsid w:val="00CE639B"/>
    <w:rsid w:val="00CE63C4"/>
    <w:rsid w:val="00CE63C8"/>
    <w:rsid w:val="00CE6486"/>
    <w:rsid w:val="00CE657A"/>
    <w:rsid w:val="00CE6610"/>
    <w:rsid w:val="00CE67B2"/>
    <w:rsid w:val="00CE67B7"/>
    <w:rsid w:val="00CE6816"/>
    <w:rsid w:val="00CE6878"/>
    <w:rsid w:val="00CE6887"/>
    <w:rsid w:val="00CE6898"/>
    <w:rsid w:val="00CE69AD"/>
    <w:rsid w:val="00CE6BFA"/>
    <w:rsid w:val="00CE6D71"/>
    <w:rsid w:val="00CE6E99"/>
    <w:rsid w:val="00CE6F1B"/>
    <w:rsid w:val="00CE6F7E"/>
    <w:rsid w:val="00CE7185"/>
    <w:rsid w:val="00CE7306"/>
    <w:rsid w:val="00CE73A0"/>
    <w:rsid w:val="00CE73F6"/>
    <w:rsid w:val="00CE74AB"/>
    <w:rsid w:val="00CE7684"/>
    <w:rsid w:val="00CE7766"/>
    <w:rsid w:val="00CE782E"/>
    <w:rsid w:val="00CE7834"/>
    <w:rsid w:val="00CE785D"/>
    <w:rsid w:val="00CE7936"/>
    <w:rsid w:val="00CE793E"/>
    <w:rsid w:val="00CE79EF"/>
    <w:rsid w:val="00CE7A02"/>
    <w:rsid w:val="00CE7B88"/>
    <w:rsid w:val="00CE7C82"/>
    <w:rsid w:val="00CF018D"/>
    <w:rsid w:val="00CF01DF"/>
    <w:rsid w:val="00CF024E"/>
    <w:rsid w:val="00CF02F3"/>
    <w:rsid w:val="00CF06BA"/>
    <w:rsid w:val="00CF06DD"/>
    <w:rsid w:val="00CF0790"/>
    <w:rsid w:val="00CF0A33"/>
    <w:rsid w:val="00CF0B41"/>
    <w:rsid w:val="00CF0B77"/>
    <w:rsid w:val="00CF0CA7"/>
    <w:rsid w:val="00CF0CF1"/>
    <w:rsid w:val="00CF0D1C"/>
    <w:rsid w:val="00CF0F53"/>
    <w:rsid w:val="00CF115D"/>
    <w:rsid w:val="00CF11BE"/>
    <w:rsid w:val="00CF1235"/>
    <w:rsid w:val="00CF12EA"/>
    <w:rsid w:val="00CF15E1"/>
    <w:rsid w:val="00CF15E8"/>
    <w:rsid w:val="00CF16A0"/>
    <w:rsid w:val="00CF177D"/>
    <w:rsid w:val="00CF195F"/>
    <w:rsid w:val="00CF1A15"/>
    <w:rsid w:val="00CF1A2C"/>
    <w:rsid w:val="00CF1A81"/>
    <w:rsid w:val="00CF1A96"/>
    <w:rsid w:val="00CF1B7D"/>
    <w:rsid w:val="00CF1B8B"/>
    <w:rsid w:val="00CF1C37"/>
    <w:rsid w:val="00CF1C72"/>
    <w:rsid w:val="00CF1C92"/>
    <w:rsid w:val="00CF1D22"/>
    <w:rsid w:val="00CF1DD5"/>
    <w:rsid w:val="00CF1E34"/>
    <w:rsid w:val="00CF1E81"/>
    <w:rsid w:val="00CF1FC2"/>
    <w:rsid w:val="00CF1FC7"/>
    <w:rsid w:val="00CF2005"/>
    <w:rsid w:val="00CF2024"/>
    <w:rsid w:val="00CF205D"/>
    <w:rsid w:val="00CF2092"/>
    <w:rsid w:val="00CF219B"/>
    <w:rsid w:val="00CF21B9"/>
    <w:rsid w:val="00CF2265"/>
    <w:rsid w:val="00CF226D"/>
    <w:rsid w:val="00CF23A8"/>
    <w:rsid w:val="00CF23F9"/>
    <w:rsid w:val="00CF242C"/>
    <w:rsid w:val="00CF2433"/>
    <w:rsid w:val="00CF24D8"/>
    <w:rsid w:val="00CF27A5"/>
    <w:rsid w:val="00CF282E"/>
    <w:rsid w:val="00CF2856"/>
    <w:rsid w:val="00CF28B4"/>
    <w:rsid w:val="00CF29B4"/>
    <w:rsid w:val="00CF2A3E"/>
    <w:rsid w:val="00CF2B14"/>
    <w:rsid w:val="00CF2B23"/>
    <w:rsid w:val="00CF2B6B"/>
    <w:rsid w:val="00CF2E51"/>
    <w:rsid w:val="00CF2F4D"/>
    <w:rsid w:val="00CF2F70"/>
    <w:rsid w:val="00CF301F"/>
    <w:rsid w:val="00CF324B"/>
    <w:rsid w:val="00CF3264"/>
    <w:rsid w:val="00CF32AE"/>
    <w:rsid w:val="00CF345F"/>
    <w:rsid w:val="00CF3483"/>
    <w:rsid w:val="00CF34D6"/>
    <w:rsid w:val="00CF352B"/>
    <w:rsid w:val="00CF356E"/>
    <w:rsid w:val="00CF35BC"/>
    <w:rsid w:val="00CF37E4"/>
    <w:rsid w:val="00CF37FB"/>
    <w:rsid w:val="00CF3808"/>
    <w:rsid w:val="00CF38BB"/>
    <w:rsid w:val="00CF38ED"/>
    <w:rsid w:val="00CF3AD0"/>
    <w:rsid w:val="00CF3B28"/>
    <w:rsid w:val="00CF3E16"/>
    <w:rsid w:val="00CF3E23"/>
    <w:rsid w:val="00CF3E59"/>
    <w:rsid w:val="00CF4037"/>
    <w:rsid w:val="00CF4075"/>
    <w:rsid w:val="00CF4102"/>
    <w:rsid w:val="00CF418B"/>
    <w:rsid w:val="00CF4289"/>
    <w:rsid w:val="00CF43EB"/>
    <w:rsid w:val="00CF4605"/>
    <w:rsid w:val="00CF462B"/>
    <w:rsid w:val="00CF46BE"/>
    <w:rsid w:val="00CF46E0"/>
    <w:rsid w:val="00CF4892"/>
    <w:rsid w:val="00CF4919"/>
    <w:rsid w:val="00CF496C"/>
    <w:rsid w:val="00CF4A2D"/>
    <w:rsid w:val="00CF4B83"/>
    <w:rsid w:val="00CF4BDA"/>
    <w:rsid w:val="00CF4C43"/>
    <w:rsid w:val="00CF4E0E"/>
    <w:rsid w:val="00CF4EA2"/>
    <w:rsid w:val="00CF4FBC"/>
    <w:rsid w:val="00CF50B8"/>
    <w:rsid w:val="00CF515C"/>
    <w:rsid w:val="00CF5210"/>
    <w:rsid w:val="00CF5278"/>
    <w:rsid w:val="00CF5387"/>
    <w:rsid w:val="00CF55FC"/>
    <w:rsid w:val="00CF5659"/>
    <w:rsid w:val="00CF567F"/>
    <w:rsid w:val="00CF569B"/>
    <w:rsid w:val="00CF56B7"/>
    <w:rsid w:val="00CF5833"/>
    <w:rsid w:val="00CF58AC"/>
    <w:rsid w:val="00CF5A69"/>
    <w:rsid w:val="00CF5B05"/>
    <w:rsid w:val="00CF5B39"/>
    <w:rsid w:val="00CF5B74"/>
    <w:rsid w:val="00CF5BD1"/>
    <w:rsid w:val="00CF5C0E"/>
    <w:rsid w:val="00CF5E5B"/>
    <w:rsid w:val="00CF5E88"/>
    <w:rsid w:val="00CF5EF9"/>
    <w:rsid w:val="00CF5FAD"/>
    <w:rsid w:val="00CF60B2"/>
    <w:rsid w:val="00CF60B9"/>
    <w:rsid w:val="00CF6221"/>
    <w:rsid w:val="00CF62E6"/>
    <w:rsid w:val="00CF62F4"/>
    <w:rsid w:val="00CF63BB"/>
    <w:rsid w:val="00CF644A"/>
    <w:rsid w:val="00CF64CC"/>
    <w:rsid w:val="00CF64E6"/>
    <w:rsid w:val="00CF6504"/>
    <w:rsid w:val="00CF6559"/>
    <w:rsid w:val="00CF6670"/>
    <w:rsid w:val="00CF66CD"/>
    <w:rsid w:val="00CF6863"/>
    <w:rsid w:val="00CF68F5"/>
    <w:rsid w:val="00CF69AB"/>
    <w:rsid w:val="00CF69DB"/>
    <w:rsid w:val="00CF6A6D"/>
    <w:rsid w:val="00CF6C9E"/>
    <w:rsid w:val="00CF6DD1"/>
    <w:rsid w:val="00CF6E19"/>
    <w:rsid w:val="00CF6F22"/>
    <w:rsid w:val="00CF6F2C"/>
    <w:rsid w:val="00CF6F40"/>
    <w:rsid w:val="00CF6F64"/>
    <w:rsid w:val="00CF6FE1"/>
    <w:rsid w:val="00CF701B"/>
    <w:rsid w:val="00CF714D"/>
    <w:rsid w:val="00CF73CD"/>
    <w:rsid w:val="00CF7532"/>
    <w:rsid w:val="00CF75E9"/>
    <w:rsid w:val="00CF7BFF"/>
    <w:rsid w:val="00CF7C91"/>
    <w:rsid w:val="00CF7CB9"/>
    <w:rsid w:val="00CF7EA1"/>
    <w:rsid w:val="00CF7F2C"/>
    <w:rsid w:val="00CF7F6D"/>
    <w:rsid w:val="00D00010"/>
    <w:rsid w:val="00D00168"/>
    <w:rsid w:val="00D0029D"/>
    <w:rsid w:val="00D002D8"/>
    <w:rsid w:val="00D00307"/>
    <w:rsid w:val="00D0030F"/>
    <w:rsid w:val="00D00312"/>
    <w:rsid w:val="00D004A7"/>
    <w:rsid w:val="00D004EF"/>
    <w:rsid w:val="00D004F9"/>
    <w:rsid w:val="00D00758"/>
    <w:rsid w:val="00D00762"/>
    <w:rsid w:val="00D0078C"/>
    <w:rsid w:val="00D0079F"/>
    <w:rsid w:val="00D00804"/>
    <w:rsid w:val="00D00879"/>
    <w:rsid w:val="00D008C0"/>
    <w:rsid w:val="00D008FF"/>
    <w:rsid w:val="00D00996"/>
    <w:rsid w:val="00D009FB"/>
    <w:rsid w:val="00D00B5C"/>
    <w:rsid w:val="00D00B9E"/>
    <w:rsid w:val="00D00BDA"/>
    <w:rsid w:val="00D00C76"/>
    <w:rsid w:val="00D00CAE"/>
    <w:rsid w:val="00D00E07"/>
    <w:rsid w:val="00D00EBF"/>
    <w:rsid w:val="00D00F10"/>
    <w:rsid w:val="00D0106D"/>
    <w:rsid w:val="00D01117"/>
    <w:rsid w:val="00D01143"/>
    <w:rsid w:val="00D0119C"/>
    <w:rsid w:val="00D01223"/>
    <w:rsid w:val="00D0123C"/>
    <w:rsid w:val="00D012C6"/>
    <w:rsid w:val="00D012DD"/>
    <w:rsid w:val="00D01329"/>
    <w:rsid w:val="00D0141B"/>
    <w:rsid w:val="00D01443"/>
    <w:rsid w:val="00D014AA"/>
    <w:rsid w:val="00D014D8"/>
    <w:rsid w:val="00D015E2"/>
    <w:rsid w:val="00D015E9"/>
    <w:rsid w:val="00D01638"/>
    <w:rsid w:val="00D016A2"/>
    <w:rsid w:val="00D016E7"/>
    <w:rsid w:val="00D01780"/>
    <w:rsid w:val="00D01813"/>
    <w:rsid w:val="00D01873"/>
    <w:rsid w:val="00D01884"/>
    <w:rsid w:val="00D01988"/>
    <w:rsid w:val="00D01A79"/>
    <w:rsid w:val="00D01AB0"/>
    <w:rsid w:val="00D01D13"/>
    <w:rsid w:val="00D01DC6"/>
    <w:rsid w:val="00D01E81"/>
    <w:rsid w:val="00D01E86"/>
    <w:rsid w:val="00D01E99"/>
    <w:rsid w:val="00D01EBB"/>
    <w:rsid w:val="00D02014"/>
    <w:rsid w:val="00D021E7"/>
    <w:rsid w:val="00D0221D"/>
    <w:rsid w:val="00D0223F"/>
    <w:rsid w:val="00D02393"/>
    <w:rsid w:val="00D0241C"/>
    <w:rsid w:val="00D0245B"/>
    <w:rsid w:val="00D0250B"/>
    <w:rsid w:val="00D025D6"/>
    <w:rsid w:val="00D0275D"/>
    <w:rsid w:val="00D02763"/>
    <w:rsid w:val="00D0279E"/>
    <w:rsid w:val="00D027BE"/>
    <w:rsid w:val="00D02A23"/>
    <w:rsid w:val="00D02A37"/>
    <w:rsid w:val="00D02A66"/>
    <w:rsid w:val="00D02AAA"/>
    <w:rsid w:val="00D02D64"/>
    <w:rsid w:val="00D02EC3"/>
    <w:rsid w:val="00D02EE4"/>
    <w:rsid w:val="00D03086"/>
    <w:rsid w:val="00D0314B"/>
    <w:rsid w:val="00D034C0"/>
    <w:rsid w:val="00D034E7"/>
    <w:rsid w:val="00D0353A"/>
    <w:rsid w:val="00D036F1"/>
    <w:rsid w:val="00D03788"/>
    <w:rsid w:val="00D037C5"/>
    <w:rsid w:val="00D03907"/>
    <w:rsid w:val="00D03981"/>
    <w:rsid w:val="00D03A0C"/>
    <w:rsid w:val="00D03A23"/>
    <w:rsid w:val="00D03A81"/>
    <w:rsid w:val="00D03AA8"/>
    <w:rsid w:val="00D03AAA"/>
    <w:rsid w:val="00D03C74"/>
    <w:rsid w:val="00D03E75"/>
    <w:rsid w:val="00D03F73"/>
    <w:rsid w:val="00D03F86"/>
    <w:rsid w:val="00D03FB9"/>
    <w:rsid w:val="00D040CA"/>
    <w:rsid w:val="00D04245"/>
    <w:rsid w:val="00D0435F"/>
    <w:rsid w:val="00D0448C"/>
    <w:rsid w:val="00D0475E"/>
    <w:rsid w:val="00D047D8"/>
    <w:rsid w:val="00D04855"/>
    <w:rsid w:val="00D04949"/>
    <w:rsid w:val="00D04991"/>
    <w:rsid w:val="00D049BF"/>
    <w:rsid w:val="00D049F6"/>
    <w:rsid w:val="00D04AAD"/>
    <w:rsid w:val="00D04B7D"/>
    <w:rsid w:val="00D04BA6"/>
    <w:rsid w:val="00D04C36"/>
    <w:rsid w:val="00D04CD7"/>
    <w:rsid w:val="00D04EEA"/>
    <w:rsid w:val="00D050C9"/>
    <w:rsid w:val="00D051AF"/>
    <w:rsid w:val="00D0540E"/>
    <w:rsid w:val="00D05517"/>
    <w:rsid w:val="00D0557A"/>
    <w:rsid w:val="00D0558D"/>
    <w:rsid w:val="00D0561D"/>
    <w:rsid w:val="00D05648"/>
    <w:rsid w:val="00D05691"/>
    <w:rsid w:val="00D056FC"/>
    <w:rsid w:val="00D05792"/>
    <w:rsid w:val="00D058FF"/>
    <w:rsid w:val="00D05943"/>
    <w:rsid w:val="00D05A38"/>
    <w:rsid w:val="00D05B1E"/>
    <w:rsid w:val="00D05CC9"/>
    <w:rsid w:val="00D05CE2"/>
    <w:rsid w:val="00D05DD1"/>
    <w:rsid w:val="00D05E3E"/>
    <w:rsid w:val="00D05E9A"/>
    <w:rsid w:val="00D05EA4"/>
    <w:rsid w:val="00D05EDF"/>
    <w:rsid w:val="00D05F3B"/>
    <w:rsid w:val="00D0602B"/>
    <w:rsid w:val="00D06061"/>
    <w:rsid w:val="00D06086"/>
    <w:rsid w:val="00D060C5"/>
    <w:rsid w:val="00D0624E"/>
    <w:rsid w:val="00D06456"/>
    <w:rsid w:val="00D064EB"/>
    <w:rsid w:val="00D06510"/>
    <w:rsid w:val="00D065D2"/>
    <w:rsid w:val="00D0664D"/>
    <w:rsid w:val="00D067F2"/>
    <w:rsid w:val="00D068C1"/>
    <w:rsid w:val="00D06936"/>
    <w:rsid w:val="00D06950"/>
    <w:rsid w:val="00D069E0"/>
    <w:rsid w:val="00D06AAD"/>
    <w:rsid w:val="00D06C50"/>
    <w:rsid w:val="00D06DAA"/>
    <w:rsid w:val="00D06E2E"/>
    <w:rsid w:val="00D06E78"/>
    <w:rsid w:val="00D06E87"/>
    <w:rsid w:val="00D06F72"/>
    <w:rsid w:val="00D06FD4"/>
    <w:rsid w:val="00D0718A"/>
    <w:rsid w:val="00D07283"/>
    <w:rsid w:val="00D073E8"/>
    <w:rsid w:val="00D07435"/>
    <w:rsid w:val="00D074C7"/>
    <w:rsid w:val="00D075A2"/>
    <w:rsid w:val="00D07607"/>
    <w:rsid w:val="00D076A2"/>
    <w:rsid w:val="00D07723"/>
    <w:rsid w:val="00D0776C"/>
    <w:rsid w:val="00D0786F"/>
    <w:rsid w:val="00D078FA"/>
    <w:rsid w:val="00D079B7"/>
    <w:rsid w:val="00D07A2B"/>
    <w:rsid w:val="00D07A46"/>
    <w:rsid w:val="00D07C16"/>
    <w:rsid w:val="00D07C68"/>
    <w:rsid w:val="00D07C8F"/>
    <w:rsid w:val="00D07F09"/>
    <w:rsid w:val="00D1002D"/>
    <w:rsid w:val="00D1010A"/>
    <w:rsid w:val="00D10192"/>
    <w:rsid w:val="00D1022F"/>
    <w:rsid w:val="00D1027F"/>
    <w:rsid w:val="00D102C3"/>
    <w:rsid w:val="00D102C6"/>
    <w:rsid w:val="00D10353"/>
    <w:rsid w:val="00D10481"/>
    <w:rsid w:val="00D10542"/>
    <w:rsid w:val="00D106A2"/>
    <w:rsid w:val="00D106F3"/>
    <w:rsid w:val="00D107CD"/>
    <w:rsid w:val="00D109E9"/>
    <w:rsid w:val="00D10B8C"/>
    <w:rsid w:val="00D10BEE"/>
    <w:rsid w:val="00D10C8B"/>
    <w:rsid w:val="00D10CCD"/>
    <w:rsid w:val="00D10EC5"/>
    <w:rsid w:val="00D1102F"/>
    <w:rsid w:val="00D110CF"/>
    <w:rsid w:val="00D110FA"/>
    <w:rsid w:val="00D111A9"/>
    <w:rsid w:val="00D111CC"/>
    <w:rsid w:val="00D111FC"/>
    <w:rsid w:val="00D1126B"/>
    <w:rsid w:val="00D11370"/>
    <w:rsid w:val="00D11384"/>
    <w:rsid w:val="00D1156A"/>
    <w:rsid w:val="00D1158F"/>
    <w:rsid w:val="00D1180B"/>
    <w:rsid w:val="00D118C6"/>
    <w:rsid w:val="00D11929"/>
    <w:rsid w:val="00D119EF"/>
    <w:rsid w:val="00D11A20"/>
    <w:rsid w:val="00D11A48"/>
    <w:rsid w:val="00D11A87"/>
    <w:rsid w:val="00D11BA0"/>
    <w:rsid w:val="00D11E1A"/>
    <w:rsid w:val="00D11E21"/>
    <w:rsid w:val="00D11FC8"/>
    <w:rsid w:val="00D120A3"/>
    <w:rsid w:val="00D12186"/>
    <w:rsid w:val="00D1230E"/>
    <w:rsid w:val="00D12454"/>
    <w:rsid w:val="00D12530"/>
    <w:rsid w:val="00D126DD"/>
    <w:rsid w:val="00D12745"/>
    <w:rsid w:val="00D128AB"/>
    <w:rsid w:val="00D12B09"/>
    <w:rsid w:val="00D12B3C"/>
    <w:rsid w:val="00D12CC2"/>
    <w:rsid w:val="00D12DDB"/>
    <w:rsid w:val="00D12E32"/>
    <w:rsid w:val="00D12E77"/>
    <w:rsid w:val="00D12E8B"/>
    <w:rsid w:val="00D12EA7"/>
    <w:rsid w:val="00D12EE3"/>
    <w:rsid w:val="00D12F2D"/>
    <w:rsid w:val="00D12F4C"/>
    <w:rsid w:val="00D13045"/>
    <w:rsid w:val="00D130F9"/>
    <w:rsid w:val="00D1317F"/>
    <w:rsid w:val="00D1318F"/>
    <w:rsid w:val="00D1328E"/>
    <w:rsid w:val="00D133FC"/>
    <w:rsid w:val="00D13552"/>
    <w:rsid w:val="00D13800"/>
    <w:rsid w:val="00D138BB"/>
    <w:rsid w:val="00D13981"/>
    <w:rsid w:val="00D139AE"/>
    <w:rsid w:val="00D13AC2"/>
    <w:rsid w:val="00D13DA6"/>
    <w:rsid w:val="00D13E3D"/>
    <w:rsid w:val="00D13EE5"/>
    <w:rsid w:val="00D13F9B"/>
    <w:rsid w:val="00D1407D"/>
    <w:rsid w:val="00D140F9"/>
    <w:rsid w:val="00D142A9"/>
    <w:rsid w:val="00D14393"/>
    <w:rsid w:val="00D143B3"/>
    <w:rsid w:val="00D143EF"/>
    <w:rsid w:val="00D14443"/>
    <w:rsid w:val="00D14444"/>
    <w:rsid w:val="00D147B8"/>
    <w:rsid w:val="00D14864"/>
    <w:rsid w:val="00D1486E"/>
    <w:rsid w:val="00D14ABD"/>
    <w:rsid w:val="00D14BB4"/>
    <w:rsid w:val="00D14C19"/>
    <w:rsid w:val="00D14C9D"/>
    <w:rsid w:val="00D14CBC"/>
    <w:rsid w:val="00D14D7B"/>
    <w:rsid w:val="00D14EC0"/>
    <w:rsid w:val="00D14FEC"/>
    <w:rsid w:val="00D1506D"/>
    <w:rsid w:val="00D15196"/>
    <w:rsid w:val="00D1526A"/>
    <w:rsid w:val="00D152EE"/>
    <w:rsid w:val="00D15307"/>
    <w:rsid w:val="00D153D2"/>
    <w:rsid w:val="00D1551A"/>
    <w:rsid w:val="00D15564"/>
    <w:rsid w:val="00D155D4"/>
    <w:rsid w:val="00D155D5"/>
    <w:rsid w:val="00D1575F"/>
    <w:rsid w:val="00D1582E"/>
    <w:rsid w:val="00D1590A"/>
    <w:rsid w:val="00D15B60"/>
    <w:rsid w:val="00D15B77"/>
    <w:rsid w:val="00D15B9F"/>
    <w:rsid w:val="00D15C33"/>
    <w:rsid w:val="00D15C5E"/>
    <w:rsid w:val="00D15C69"/>
    <w:rsid w:val="00D15D88"/>
    <w:rsid w:val="00D15DA3"/>
    <w:rsid w:val="00D15DE5"/>
    <w:rsid w:val="00D15E00"/>
    <w:rsid w:val="00D15F2F"/>
    <w:rsid w:val="00D15FA4"/>
    <w:rsid w:val="00D1612B"/>
    <w:rsid w:val="00D161BA"/>
    <w:rsid w:val="00D161F3"/>
    <w:rsid w:val="00D161FB"/>
    <w:rsid w:val="00D16286"/>
    <w:rsid w:val="00D16331"/>
    <w:rsid w:val="00D163AA"/>
    <w:rsid w:val="00D163C7"/>
    <w:rsid w:val="00D1642D"/>
    <w:rsid w:val="00D16436"/>
    <w:rsid w:val="00D16565"/>
    <w:rsid w:val="00D16591"/>
    <w:rsid w:val="00D165F8"/>
    <w:rsid w:val="00D16786"/>
    <w:rsid w:val="00D16787"/>
    <w:rsid w:val="00D167F0"/>
    <w:rsid w:val="00D16A55"/>
    <w:rsid w:val="00D16A70"/>
    <w:rsid w:val="00D16AA1"/>
    <w:rsid w:val="00D16AFB"/>
    <w:rsid w:val="00D16B97"/>
    <w:rsid w:val="00D16BDD"/>
    <w:rsid w:val="00D16D1D"/>
    <w:rsid w:val="00D16D90"/>
    <w:rsid w:val="00D16DA8"/>
    <w:rsid w:val="00D1700A"/>
    <w:rsid w:val="00D17051"/>
    <w:rsid w:val="00D170BF"/>
    <w:rsid w:val="00D17233"/>
    <w:rsid w:val="00D174B5"/>
    <w:rsid w:val="00D17660"/>
    <w:rsid w:val="00D1768B"/>
    <w:rsid w:val="00D176CA"/>
    <w:rsid w:val="00D176FF"/>
    <w:rsid w:val="00D17841"/>
    <w:rsid w:val="00D179A5"/>
    <w:rsid w:val="00D17BED"/>
    <w:rsid w:val="00D17C20"/>
    <w:rsid w:val="00D17C65"/>
    <w:rsid w:val="00D17C99"/>
    <w:rsid w:val="00D17CBD"/>
    <w:rsid w:val="00D17DD3"/>
    <w:rsid w:val="00D17E8F"/>
    <w:rsid w:val="00D17EC0"/>
    <w:rsid w:val="00D2004A"/>
    <w:rsid w:val="00D20051"/>
    <w:rsid w:val="00D2023D"/>
    <w:rsid w:val="00D2033C"/>
    <w:rsid w:val="00D20367"/>
    <w:rsid w:val="00D204F5"/>
    <w:rsid w:val="00D205B7"/>
    <w:rsid w:val="00D2078D"/>
    <w:rsid w:val="00D207B9"/>
    <w:rsid w:val="00D207BC"/>
    <w:rsid w:val="00D20868"/>
    <w:rsid w:val="00D208BD"/>
    <w:rsid w:val="00D20905"/>
    <w:rsid w:val="00D20A8F"/>
    <w:rsid w:val="00D20C44"/>
    <w:rsid w:val="00D20CB3"/>
    <w:rsid w:val="00D20D8D"/>
    <w:rsid w:val="00D20E59"/>
    <w:rsid w:val="00D20F9D"/>
    <w:rsid w:val="00D21183"/>
    <w:rsid w:val="00D2118E"/>
    <w:rsid w:val="00D21289"/>
    <w:rsid w:val="00D213B7"/>
    <w:rsid w:val="00D213DC"/>
    <w:rsid w:val="00D2141A"/>
    <w:rsid w:val="00D21571"/>
    <w:rsid w:val="00D2159F"/>
    <w:rsid w:val="00D216DC"/>
    <w:rsid w:val="00D216F7"/>
    <w:rsid w:val="00D217FD"/>
    <w:rsid w:val="00D21890"/>
    <w:rsid w:val="00D21A86"/>
    <w:rsid w:val="00D21B33"/>
    <w:rsid w:val="00D21BA2"/>
    <w:rsid w:val="00D21C0E"/>
    <w:rsid w:val="00D21C88"/>
    <w:rsid w:val="00D21C9D"/>
    <w:rsid w:val="00D21D39"/>
    <w:rsid w:val="00D21D45"/>
    <w:rsid w:val="00D22019"/>
    <w:rsid w:val="00D222CA"/>
    <w:rsid w:val="00D223C0"/>
    <w:rsid w:val="00D22570"/>
    <w:rsid w:val="00D2258B"/>
    <w:rsid w:val="00D22627"/>
    <w:rsid w:val="00D22820"/>
    <w:rsid w:val="00D22934"/>
    <w:rsid w:val="00D2296D"/>
    <w:rsid w:val="00D229F9"/>
    <w:rsid w:val="00D22A0A"/>
    <w:rsid w:val="00D22B20"/>
    <w:rsid w:val="00D22BDD"/>
    <w:rsid w:val="00D22BFC"/>
    <w:rsid w:val="00D22CB1"/>
    <w:rsid w:val="00D22D34"/>
    <w:rsid w:val="00D22D67"/>
    <w:rsid w:val="00D22D6F"/>
    <w:rsid w:val="00D22E82"/>
    <w:rsid w:val="00D22E8D"/>
    <w:rsid w:val="00D22EAC"/>
    <w:rsid w:val="00D22FD0"/>
    <w:rsid w:val="00D233AF"/>
    <w:rsid w:val="00D23419"/>
    <w:rsid w:val="00D23526"/>
    <w:rsid w:val="00D23809"/>
    <w:rsid w:val="00D23B51"/>
    <w:rsid w:val="00D23B5E"/>
    <w:rsid w:val="00D240D9"/>
    <w:rsid w:val="00D24158"/>
    <w:rsid w:val="00D241EE"/>
    <w:rsid w:val="00D24223"/>
    <w:rsid w:val="00D2430D"/>
    <w:rsid w:val="00D244E3"/>
    <w:rsid w:val="00D24555"/>
    <w:rsid w:val="00D2473D"/>
    <w:rsid w:val="00D24833"/>
    <w:rsid w:val="00D249D2"/>
    <w:rsid w:val="00D24AFF"/>
    <w:rsid w:val="00D24B59"/>
    <w:rsid w:val="00D24BDF"/>
    <w:rsid w:val="00D24C66"/>
    <w:rsid w:val="00D24DF8"/>
    <w:rsid w:val="00D24E25"/>
    <w:rsid w:val="00D24FC4"/>
    <w:rsid w:val="00D25245"/>
    <w:rsid w:val="00D2525C"/>
    <w:rsid w:val="00D252CE"/>
    <w:rsid w:val="00D253F0"/>
    <w:rsid w:val="00D25566"/>
    <w:rsid w:val="00D2556C"/>
    <w:rsid w:val="00D2559E"/>
    <w:rsid w:val="00D255A8"/>
    <w:rsid w:val="00D256A4"/>
    <w:rsid w:val="00D256C3"/>
    <w:rsid w:val="00D257F6"/>
    <w:rsid w:val="00D25933"/>
    <w:rsid w:val="00D25971"/>
    <w:rsid w:val="00D259BC"/>
    <w:rsid w:val="00D25A64"/>
    <w:rsid w:val="00D25AAB"/>
    <w:rsid w:val="00D25B20"/>
    <w:rsid w:val="00D25C67"/>
    <w:rsid w:val="00D25E22"/>
    <w:rsid w:val="00D2607F"/>
    <w:rsid w:val="00D26143"/>
    <w:rsid w:val="00D262D2"/>
    <w:rsid w:val="00D26301"/>
    <w:rsid w:val="00D2630A"/>
    <w:rsid w:val="00D26340"/>
    <w:rsid w:val="00D26388"/>
    <w:rsid w:val="00D26405"/>
    <w:rsid w:val="00D2643F"/>
    <w:rsid w:val="00D264DD"/>
    <w:rsid w:val="00D26508"/>
    <w:rsid w:val="00D26541"/>
    <w:rsid w:val="00D26693"/>
    <w:rsid w:val="00D26883"/>
    <w:rsid w:val="00D26899"/>
    <w:rsid w:val="00D268CA"/>
    <w:rsid w:val="00D26936"/>
    <w:rsid w:val="00D269AA"/>
    <w:rsid w:val="00D26AE8"/>
    <w:rsid w:val="00D26BDF"/>
    <w:rsid w:val="00D26D23"/>
    <w:rsid w:val="00D26E59"/>
    <w:rsid w:val="00D27067"/>
    <w:rsid w:val="00D271E6"/>
    <w:rsid w:val="00D27267"/>
    <w:rsid w:val="00D27270"/>
    <w:rsid w:val="00D272DC"/>
    <w:rsid w:val="00D27376"/>
    <w:rsid w:val="00D27382"/>
    <w:rsid w:val="00D273A5"/>
    <w:rsid w:val="00D2750C"/>
    <w:rsid w:val="00D27515"/>
    <w:rsid w:val="00D27546"/>
    <w:rsid w:val="00D275EC"/>
    <w:rsid w:val="00D27964"/>
    <w:rsid w:val="00D27A2C"/>
    <w:rsid w:val="00D27A6B"/>
    <w:rsid w:val="00D27AEB"/>
    <w:rsid w:val="00D27E50"/>
    <w:rsid w:val="00D27FE9"/>
    <w:rsid w:val="00D30025"/>
    <w:rsid w:val="00D30207"/>
    <w:rsid w:val="00D30247"/>
    <w:rsid w:val="00D3039D"/>
    <w:rsid w:val="00D303DB"/>
    <w:rsid w:val="00D30472"/>
    <w:rsid w:val="00D304D9"/>
    <w:rsid w:val="00D30647"/>
    <w:rsid w:val="00D30674"/>
    <w:rsid w:val="00D30691"/>
    <w:rsid w:val="00D307B3"/>
    <w:rsid w:val="00D307E8"/>
    <w:rsid w:val="00D30917"/>
    <w:rsid w:val="00D30A56"/>
    <w:rsid w:val="00D30A9F"/>
    <w:rsid w:val="00D30B1B"/>
    <w:rsid w:val="00D30C3A"/>
    <w:rsid w:val="00D30E52"/>
    <w:rsid w:val="00D30F6D"/>
    <w:rsid w:val="00D31233"/>
    <w:rsid w:val="00D312DE"/>
    <w:rsid w:val="00D3132F"/>
    <w:rsid w:val="00D3143B"/>
    <w:rsid w:val="00D31527"/>
    <w:rsid w:val="00D31609"/>
    <w:rsid w:val="00D317F0"/>
    <w:rsid w:val="00D31813"/>
    <w:rsid w:val="00D3192D"/>
    <w:rsid w:val="00D31A45"/>
    <w:rsid w:val="00D31C9C"/>
    <w:rsid w:val="00D31CDC"/>
    <w:rsid w:val="00D31DB8"/>
    <w:rsid w:val="00D31F8B"/>
    <w:rsid w:val="00D31FD0"/>
    <w:rsid w:val="00D3210B"/>
    <w:rsid w:val="00D32181"/>
    <w:rsid w:val="00D322D3"/>
    <w:rsid w:val="00D32376"/>
    <w:rsid w:val="00D32391"/>
    <w:rsid w:val="00D32439"/>
    <w:rsid w:val="00D32490"/>
    <w:rsid w:val="00D324F1"/>
    <w:rsid w:val="00D32555"/>
    <w:rsid w:val="00D3262F"/>
    <w:rsid w:val="00D32693"/>
    <w:rsid w:val="00D327F5"/>
    <w:rsid w:val="00D32973"/>
    <w:rsid w:val="00D329BA"/>
    <w:rsid w:val="00D32ADF"/>
    <w:rsid w:val="00D32B1F"/>
    <w:rsid w:val="00D32B8A"/>
    <w:rsid w:val="00D32BF8"/>
    <w:rsid w:val="00D32CA7"/>
    <w:rsid w:val="00D32CE9"/>
    <w:rsid w:val="00D32E1F"/>
    <w:rsid w:val="00D32EE4"/>
    <w:rsid w:val="00D32F33"/>
    <w:rsid w:val="00D32F77"/>
    <w:rsid w:val="00D32F9B"/>
    <w:rsid w:val="00D330FF"/>
    <w:rsid w:val="00D33261"/>
    <w:rsid w:val="00D332F7"/>
    <w:rsid w:val="00D33328"/>
    <w:rsid w:val="00D3332D"/>
    <w:rsid w:val="00D33341"/>
    <w:rsid w:val="00D333D3"/>
    <w:rsid w:val="00D333FA"/>
    <w:rsid w:val="00D334FF"/>
    <w:rsid w:val="00D33597"/>
    <w:rsid w:val="00D336D5"/>
    <w:rsid w:val="00D3377F"/>
    <w:rsid w:val="00D33967"/>
    <w:rsid w:val="00D339B9"/>
    <w:rsid w:val="00D33AFC"/>
    <w:rsid w:val="00D33BD5"/>
    <w:rsid w:val="00D33D0F"/>
    <w:rsid w:val="00D33D4D"/>
    <w:rsid w:val="00D33EC0"/>
    <w:rsid w:val="00D34171"/>
    <w:rsid w:val="00D341F9"/>
    <w:rsid w:val="00D3420D"/>
    <w:rsid w:val="00D3435C"/>
    <w:rsid w:val="00D3446E"/>
    <w:rsid w:val="00D34630"/>
    <w:rsid w:val="00D347CA"/>
    <w:rsid w:val="00D348ED"/>
    <w:rsid w:val="00D34CBB"/>
    <w:rsid w:val="00D34CBC"/>
    <w:rsid w:val="00D34D56"/>
    <w:rsid w:val="00D34D5B"/>
    <w:rsid w:val="00D34E24"/>
    <w:rsid w:val="00D34E51"/>
    <w:rsid w:val="00D34E84"/>
    <w:rsid w:val="00D34EDE"/>
    <w:rsid w:val="00D35077"/>
    <w:rsid w:val="00D35098"/>
    <w:rsid w:val="00D350AC"/>
    <w:rsid w:val="00D350D7"/>
    <w:rsid w:val="00D350EA"/>
    <w:rsid w:val="00D350EB"/>
    <w:rsid w:val="00D351BC"/>
    <w:rsid w:val="00D3520E"/>
    <w:rsid w:val="00D35290"/>
    <w:rsid w:val="00D352A3"/>
    <w:rsid w:val="00D3538E"/>
    <w:rsid w:val="00D3538F"/>
    <w:rsid w:val="00D35654"/>
    <w:rsid w:val="00D35771"/>
    <w:rsid w:val="00D357EC"/>
    <w:rsid w:val="00D358E7"/>
    <w:rsid w:val="00D358FC"/>
    <w:rsid w:val="00D3597C"/>
    <w:rsid w:val="00D35AAF"/>
    <w:rsid w:val="00D35C02"/>
    <w:rsid w:val="00D35C41"/>
    <w:rsid w:val="00D35C42"/>
    <w:rsid w:val="00D35C5F"/>
    <w:rsid w:val="00D35CDF"/>
    <w:rsid w:val="00D35F46"/>
    <w:rsid w:val="00D35F9D"/>
    <w:rsid w:val="00D35FA1"/>
    <w:rsid w:val="00D36000"/>
    <w:rsid w:val="00D3602A"/>
    <w:rsid w:val="00D36068"/>
    <w:rsid w:val="00D36075"/>
    <w:rsid w:val="00D36150"/>
    <w:rsid w:val="00D361ED"/>
    <w:rsid w:val="00D3620D"/>
    <w:rsid w:val="00D362C4"/>
    <w:rsid w:val="00D362CD"/>
    <w:rsid w:val="00D363B8"/>
    <w:rsid w:val="00D36423"/>
    <w:rsid w:val="00D36608"/>
    <w:rsid w:val="00D3681F"/>
    <w:rsid w:val="00D36863"/>
    <w:rsid w:val="00D368C5"/>
    <w:rsid w:val="00D369CA"/>
    <w:rsid w:val="00D36AEE"/>
    <w:rsid w:val="00D36B51"/>
    <w:rsid w:val="00D36B83"/>
    <w:rsid w:val="00D36B8B"/>
    <w:rsid w:val="00D36BF1"/>
    <w:rsid w:val="00D36C02"/>
    <w:rsid w:val="00D36F0D"/>
    <w:rsid w:val="00D3701F"/>
    <w:rsid w:val="00D37249"/>
    <w:rsid w:val="00D3724C"/>
    <w:rsid w:val="00D373AD"/>
    <w:rsid w:val="00D375EA"/>
    <w:rsid w:val="00D37675"/>
    <w:rsid w:val="00D376A6"/>
    <w:rsid w:val="00D376EE"/>
    <w:rsid w:val="00D3785D"/>
    <w:rsid w:val="00D3790B"/>
    <w:rsid w:val="00D3799F"/>
    <w:rsid w:val="00D379A9"/>
    <w:rsid w:val="00D379C7"/>
    <w:rsid w:val="00D37BA4"/>
    <w:rsid w:val="00D37BBC"/>
    <w:rsid w:val="00D37CEC"/>
    <w:rsid w:val="00D37D23"/>
    <w:rsid w:val="00D37D7D"/>
    <w:rsid w:val="00D37DCF"/>
    <w:rsid w:val="00D37F58"/>
    <w:rsid w:val="00D37FBC"/>
    <w:rsid w:val="00D40006"/>
    <w:rsid w:val="00D4005F"/>
    <w:rsid w:val="00D4017A"/>
    <w:rsid w:val="00D401BD"/>
    <w:rsid w:val="00D401DC"/>
    <w:rsid w:val="00D40243"/>
    <w:rsid w:val="00D402CB"/>
    <w:rsid w:val="00D4036F"/>
    <w:rsid w:val="00D403FA"/>
    <w:rsid w:val="00D4043E"/>
    <w:rsid w:val="00D404D0"/>
    <w:rsid w:val="00D40585"/>
    <w:rsid w:val="00D405F5"/>
    <w:rsid w:val="00D40624"/>
    <w:rsid w:val="00D40636"/>
    <w:rsid w:val="00D40640"/>
    <w:rsid w:val="00D4068E"/>
    <w:rsid w:val="00D408AB"/>
    <w:rsid w:val="00D408CE"/>
    <w:rsid w:val="00D409B1"/>
    <w:rsid w:val="00D40AED"/>
    <w:rsid w:val="00D40C48"/>
    <w:rsid w:val="00D40DD2"/>
    <w:rsid w:val="00D40EE5"/>
    <w:rsid w:val="00D40F66"/>
    <w:rsid w:val="00D4107F"/>
    <w:rsid w:val="00D41099"/>
    <w:rsid w:val="00D410CB"/>
    <w:rsid w:val="00D4115A"/>
    <w:rsid w:val="00D41242"/>
    <w:rsid w:val="00D412CE"/>
    <w:rsid w:val="00D41389"/>
    <w:rsid w:val="00D413B4"/>
    <w:rsid w:val="00D41400"/>
    <w:rsid w:val="00D41497"/>
    <w:rsid w:val="00D414CD"/>
    <w:rsid w:val="00D417BD"/>
    <w:rsid w:val="00D41822"/>
    <w:rsid w:val="00D4199F"/>
    <w:rsid w:val="00D419D5"/>
    <w:rsid w:val="00D41C4D"/>
    <w:rsid w:val="00D41CBA"/>
    <w:rsid w:val="00D41D3D"/>
    <w:rsid w:val="00D41D78"/>
    <w:rsid w:val="00D41D96"/>
    <w:rsid w:val="00D41DDE"/>
    <w:rsid w:val="00D41E8B"/>
    <w:rsid w:val="00D41E93"/>
    <w:rsid w:val="00D41F0D"/>
    <w:rsid w:val="00D41F20"/>
    <w:rsid w:val="00D42075"/>
    <w:rsid w:val="00D420F8"/>
    <w:rsid w:val="00D42117"/>
    <w:rsid w:val="00D4234B"/>
    <w:rsid w:val="00D424A6"/>
    <w:rsid w:val="00D424E5"/>
    <w:rsid w:val="00D425B2"/>
    <w:rsid w:val="00D425B5"/>
    <w:rsid w:val="00D425BD"/>
    <w:rsid w:val="00D42718"/>
    <w:rsid w:val="00D428B1"/>
    <w:rsid w:val="00D428B8"/>
    <w:rsid w:val="00D428C8"/>
    <w:rsid w:val="00D428E3"/>
    <w:rsid w:val="00D4298E"/>
    <w:rsid w:val="00D4299D"/>
    <w:rsid w:val="00D429D2"/>
    <w:rsid w:val="00D429FF"/>
    <w:rsid w:val="00D42A08"/>
    <w:rsid w:val="00D42A93"/>
    <w:rsid w:val="00D42B3B"/>
    <w:rsid w:val="00D42B8D"/>
    <w:rsid w:val="00D42BA4"/>
    <w:rsid w:val="00D42D26"/>
    <w:rsid w:val="00D42D51"/>
    <w:rsid w:val="00D42D6C"/>
    <w:rsid w:val="00D42D70"/>
    <w:rsid w:val="00D42D84"/>
    <w:rsid w:val="00D42DC1"/>
    <w:rsid w:val="00D42DCF"/>
    <w:rsid w:val="00D42DDA"/>
    <w:rsid w:val="00D42E33"/>
    <w:rsid w:val="00D430A2"/>
    <w:rsid w:val="00D431D1"/>
    <w:rsid w:val="00D431F5"/>
    <w:rsid w:val="00D4325D"/>
    <w:rsid w:val="00D43403"/>
    <w:rsid w:val="00D43457"/>
    <w:rsid w:val="00D43489"/>
    <w:rsid w:val="00D435BF"/>
    <w:rsid w:val="00D436A1"/>
    <w:rsid w:val="00D4373D"/>
    <w:rsid w:val="00D437D7"/>
    <w:rsid w:val="00D438D3"/>
    <w:rsid w:val="00D439AE"/>
    <w:rsid w:val="00D439E3"/>
    <w:rsid w:val="00D43A77"/>
    <w:rsid w:val="00D43AD3"/>
    <w:rsid w:val="00D43C67"/>
    <w:rsid w:val="00D43CA5"/>
    <w:rsid w:val="00D43D06"/>
    <w:rsid w:val="00D43E94"/>
    <w:rsid w:val="00D43F38"/>
    <w:rsid w:val="00D44090"/>
    <w:rsid w:val="00D44253"/>
    <w:rsid w:val="00D442AC"/>
    <w:rsid w:val="00D442C0"/>
    <w:rsid w:val="00D44341"/>
    <w:rsid w:val="00D44349"/>
    <w:rsid w:val="00D443DE"/>
    <w:rsid w:val="00D44593"/>
    <w:rsid w:val="00D4467D"/>
    <w:rsid w:val="00D44702"/>
    <w:rsid w:val="00D44786"/>
    <w:rsid w:val="00D4488A"/>
    <w:rsid w:val="00D44AD4"/>
    <w:rsid w:val="00D44CCB"/>
    <w:rsid w:val="00D44D2F"/>
    <w:rsid w:val="00D44E79"/>
    <w:rsid w:val="00D45014"/>
    <w:rsid w:val="00D45027"/>
    <w:rsid w:val="00D4507E"/>
    <w:rsid w:val="00D450D3"/>
    <w:rsid w:val="00D4517F"/>
    <w:rsid w:val="00D451A0"/>
    <w:rsid w:val="00D45314"/>
    <w:rsid w:val="00D4534B"/>
    <w:rsid w:val="00D4551F"/>
    <w:rsid w:val="00D45565"/>
    <w:rsid w:val="00D455B6"/>
    <w:rsid w:val="00D4560A"/>
    <w:rsid w:val="00D456E7"/>
    <w:rsid w:val="00D457B1"/>
    <w:rsid w:val="00D45811"/>
    <w:rsid w:val="00D4588D"/>
    <w:rsid w:val="00D45891"/>
    <w:rsid w:val="00D458F9"/>
    <w:rsid w:val="00D45962"/>
    <w:rsid w:val="00D459DB"/>
    <w:rsid w:val="00D45B59"/>
    <w:rsid w:val="00D45BC4"/>
    <w:rsid w:val="00D45D1B"/>
    <w:rsid w:val="00D45DD6"/>
    <w:rsid w:val="00D45E1D"/>
    <w:rsid w:val="00D45F46"/>
    <w:rsid w:val="00D46070"/>
    <w:rsid w:val="00D46179"/>
    <w:rsid w:val="00D46199"/>
    <w:rsid w:val="00D462BD"/>
    <w:rsid w:val="00D46378"/>
    <w:rsid w:val="00D463CA"/>
    <w:rsid w:val="00D463EE"/>
    <w:rsid w:val="00D46480"/>
    <w:rsid w:val="00D46488"/>
    <w:rsid w:val="00D46528"/>
    <w:rsid w:val="00D46534"/>
    <w:rsid w:val="00D4656A"/>
    <w:rsid w:val="00D465FF"/>
    <w:rsid w:val="00D46713"/>
    <w:rsid w:val="00D467CD"/>
    <w:rsid w:val="00D4686B"/>
    <w:rsid w:val="00D46971"/>
    <w:rsid w:val="00D46B2B"/>
    <w:rsid w:val="00D46BFA"/>
    <w:rsid w:val="00D46CBE"/>
    <w:rsid w:val="00D46CCB"/>
    <w:rsid w:val="00D46CE3"/>
    <w:rsid w:val="00D46D08"/>
    <w:rsid w:val="00D46D85"/>
    <w:rsid w:val="00D46DE3"/>
    <w:rsid w:val="00D46E04"/>
    <w:rsid w:val="00D4714A"/>
    <w:rsid w:val="00D47175"/>
    <w:rsid w:val="00D472FC"/>
    <w:rsid w:val="00D4730A"/>
    <w:rsid w:val="00D4733C"/>
    <w:rsid w:val="00D473AC"/>
    <w:rsid w:val="00D473FB"/>
    <w:rsid w:val="00D47501"/>
    <w:rsid w:val="00D47511"/>
    <w:rsid w:val="00D4752B"/>
    <w:rsid w:val="00D47622"/>
    <w:rsid w:val="00D47677"/>
    <w:rsid w:val="00D476B7"/>
    <w:rsid w:val="00D47747"/>
    <w:rsid w:val="00D477CD"/>
    <w:rsid w:val="00D477FA"/>
    <w:rsid w:val="00D478F9"/>
    <w:rsid w:val="00D47AFE"/>
    <w:rsid w:val="00D47B47"/>
    <w:rsid w:val="00D47B64"/>
    <w:rsid w:val="00D47B66"/>
    <w:rsid w:val="00D47BB8"/>
    <w:rsid w:val="00D47C47"/>
    <w:rsid w:val="00D47D15"/>
    <w:rsid w:val="00D47D26"/>
    <w:rsid w:val="00D47D4D"/>
    <w:rsid w:val="00D47D70"/>
    <w:rsid w:val="00D47D82"/>
    <w:rsid w:val="00D47D91"/>
    <w:rsid w:val="00D47E42"/>
    <w:rsid w:val="00D47E8F"/>
    <w:rsid w:val="00D47EAD"/>
    <w:rsid w:val="00D47EBC"/>
    <w:rsid w:val="00D47F38"/>
    <w:rsid w:val="00D47F74"/>
    <w:rsid w:val="00D47FF2"/>
    <w:rsid w:val="00D501D1"/>
    <w:rsid w:val="00D501EC"/>
    <w:rsid w:val="00D502C8"/>
    <w:rsid w:val="00D502D6"/>
    <w:rsid w:val="00D50465"/>
    <w:rsid w:val="00D5051D"/>
    <w:rsid w:val="00D50565"/>
    <w:rsid w:val="00D5068D"/>
    <w:rsid w:val="00D506B6"/>
    <w:rsid w:val="00D50731"/>
    <w:rsid w:val="00D50852"/>
    <w:rsid w:val="00D50911"/>
    <w:rsid w:val="00D50918"/>
    <w:rsid w:val="00D5097A"/>
    <w:rsid w:val="00D50983"/>
    <w:rsid w:val="00D50B46"/>
    <w:rsid w:val="00D50C98"/>
    <w:rsid w:val="00D50E70"/>
    <w:rsid w:val="00D50F50"/>
    <w:rsid w:val="00D51054"/>
    <w:rsid w:val="00D51121"/>
    <w:rsid w:val="00D5137A"/>
    <w:rsid w:val="00D5140C"/>
    <w:rsid w:val="00D5178E"/>
    <w:rsid w:val="00D51938"/>
    <w:rsid w:val="00D51AD9"/>
    <w:rsid w:val="00D51BF0"/>
    <w:rsid w:val="00D51C43"/>
    <w:rsid w:val="00D51DAB"/>
    <w:rsid w:val="00D51E54"/>
    <w:rsid w:val="00D51FA1"/>
    <w:rsid w:val="00D520E0"/>
    <w:rsid w:val="00D520FE"/>
    <w:rsid w:val="00D521D9"/>
    <w:rsid w:val="00D52260"/>
    <w:rsid w:val="00D522C1"/>
    <w:rsid w:val="00D5246C"/>
    <w:rsid w:val="00D5246D"/>
    <w:rsid w:val="00D524D1"/>
    <w:rsid w:val="00D52572"/>
    <w:rsid w:val="00D525CF"/>
    <w:rsid w:val="00D525E5"/>
    <w:rsid w:val="00D52633"/>
    <w:rsid w:val="00D526B2"/>
    <w:rsid w:val="00D526EB"/>
    <w:rsid w:val="00D52841"/>
    <w:rsid w:val="00D52982"/>
    <w:rsid w:val="00D52992"/>
    <w:rsid w:val="00D52A92"/>
    <w:rsid w:val="00D52BB9"/>
    <w:rsid w:val="00D52C08"/>
    <w:rsid w:val="00D52D87"/>
    <w:rsid w:val="00D52EA7"/>
    <w:rsid w:val="00D52ED2"/>
    <w:rsid w:val="00D52ED4"/>
    <w:rsid w:val="00D53032"/>
    <w:rsid w:val="00D53116"/>
    <w:rsid w:val="00D53164"/>
    <w:rsid w:val="00D532B7"/>
    <w:rsid w:val="00D53638"/>
    <w:rsid w:val="00D539DB"/>
    <w:rsid w:val="00D53A36"/>
    <w:rsid w:val="00D53AA2"/>
    <w:rsid w:val="00D53B25"/>
    <w:rsid w:val="00D53C40"/>
    <w:rsid w:val="00D53E76"/>
    <w:rsid w:val="00D54172"/>
    <w:rsid w:val="00D541D8"/>
    <w:rsid w:val="00D542BA"/>
    <w:rsid w:val="00D5430E"/>
    <w:rsid w:val="00D544A2"/>
    <w:rsid w:val="00D544CF"/>
    <w:rsid w:val="00D5471A"/>
    <w:rsid w:val="00D5473E"/>
    <w:rsid w:val="00D5479E"/>
    <w:rsid w:val="00D548B4"/>
    <w:rsid w:val="00D54956"/>
    <w:rsid w:val="00D54B54"/>
    <w:rsid w:val="00D54B66"/>
    <w:rsid w:val="00D54BB4"/>
    <w:rsid w:val="00D54C1D"/>
    <w:rsid w:val="00D54C71"/>
    <w:rsid w:val="00D54E13"/>
    <w:rsid w:val="00D55103"/>
    <w:rsid w:val="00D55195"/>
    <w:rsid w:val="00D55210"/>
    <w:rsid w:val="00D553B2"/>
    <w:rsid w:val="00D5564A"/>
    <w:rsid w:val="00D556B8"/>
    <w:rsid w:val="00D556DB"/>
    <w:rsid w:val="00D5572F"/>
    <w:rsid w:val="00D55731"/>
    <w:rsid w:val="00D5575C"/>
    <w:rsid w:val="00D55780"/>
    <w:rsid w:val="00D557C9"/>
    <w:rsid w:val="00D55930"/>
    <w:rsid w:val="00D559FF"/>
    <w:rsid w:val="00D55A7F"/>
    <w:rsid w:val="00D55AAA"/>
    <w:rsid w:val="00D55CDC"/>
    <w:rsid w:val="00D55D02"/>
    <w:rsid w:val="00D55D09"/>
    <w:rsid w:val="00D55E10"/>
    <w:rsid w:val="00D55F05"/>
    <w:rsid w:val="00D5603B"/>
    <w:rsid w:val="00D56073"/>
    <w:rsid w:val="00D5615E"/>
    <w:rsid w:val="00D562B9"/>
    <w:rsid w:val="00D56348"/>
    <w:rsid w:val="00D56477"/>
    <w:rsid w:val="00D56559"/>
    <w:rsid w:val="00D56623"/>
    <w:rsid w:val="00D56659"/>
    <w:rsid w:val="00D56787"/>
    <w:rsid w:val="00D56883"/>
    <w:rsid w:val="00D56913"/>
    <w:rsid w:val="00D56936"/>
    <w:rsid w:val="00D56967"/>
    <w:rsid w:val="00D56983"/>
    <w:rsid w:val="00D56A52"/>
    <w:rsid w:val="00D56A88"/>
    <w:rsid w:val="00D56D37"/>
    <w:rsid w:val="00D56D99"/>
    <w:rsid w:val="00D56DC3"/>
    <w:rsid w:val="00D56DFA"/>
    <w:rsid w:val="00D56E0D"/>
    <w:rsid w:val="00D56F17"/>
    <w:rsid w:val="00D57104"/>
    <w:rsid w:val="00D572EE"/>
    <w:rsid w:val="00D5734A"/>
    <w:rsid w:val="00D5747F"/>
    <w:rsid w:val="00D5748F"/>
    <w:rsid w:val="00D574B8"/>
    <w:rsid w:val="00D574F0"/>
    <w:rsid w:val="00D5750E"/>
    <w:rsid w:val="00D57534"/>
    <w:rsid w:val="00D57577"/>
    <w:rsid w:val="00D5763D"/>
    <w:rsid w:val="00D5773A"/>
    <w:rsid w:val="00D577BF"/>
    <w:rsid w:val="00D5783D"/>
    <w:rsid w:val="00D57A1B"/>
    <w:rsid w:val="00D57C2E"/>
    <w:rsid w:val="00D57C6D"/>
    <w:rsid w:val="00D57D94"/>
    <w:rsid w:val="00D57DE8"/>
    <w:rsid w:val="00D57E0F"/>
    <w:rsid w:val="00D57EED"/>
    <w:rsid w:val="00D57F06"/>
    <w:rsid w:val="00D601EC"/>
    <w:rsid w:val="00D6024E"/>
    <w:rsid w:val="00D603F5"/>
    <w:rsid w:val="00D60424"/>
    <w:rsid w:val="00D60435"/>
    <w:rsid w:val="00D60438"/>
    <w:rsid w:val="00D60488"/>
    <w:rsid w:val="00D604D2"/>
    <w:rsid w:val="00D60527"/>
    <w:rsid w:val="00D60619"/>
    <w:rsid w:val="00D607B1"/>
    <w:rsid w:val="00D607E2"/>
    <w:rsid w:val="00D60897"/>
    <w:rsid w:val="00D6091C"/>
    <w:rsid w:val="00D60AB0"/>
    <w:rsid w:val="00D60BA9"/>
    <w:rsid w:val="00D60BB2"/>
    <w:rsid w:val="00D60C26"/>
    <w:rsid w:val="00D60D8F"/>
    <w:rsid w:val="00D60E5A"/>
    <w:rsid w:val="00D60E5E"/>
    <w:rsid w:val="00D60EB8"/>
    <w:rsid w:val="00D60EED"/>
    <w:rsid w:val="00D60F4F"/>
    <w:rsid w:val="00D61054"/>
    <w:rsid w:val="00D610BD"/>
    <w:rsid w:val="00D61194"/>
    <w:rsid w:val="00D61227"/>
    <w:rsid w:val="00D612B4"/>
    <w:rsid w:val="00D61317"/>
    <w:rsid w:val="00D61385"/>
    <w:rsid w:val="00D613AB"/>
    <w:rsid w:val="00D615DD"/>
    <w:rsid w:val="00D61663"/>
    <w:rsid w:val="00D61896"/>
    <w:rsid w:val="00D61979"/>
    <w:rsid w:val="00D61A7B"/>
    <w:rsid w:val="00D61A83"/>
    <w:rsid w:val="00D61A99"/>
    <w:rsid w:val="00D61B47"/>
    <w:rsid w:val="00D61C4B"/>
    <w:rsid w:val="00D61C77"/>
    <w:rsid w:val="00D61C94"/>
    <w:rsid w:val="00D61D23"/>
    <w:rsid w:val="00D61D7C"/>
    <w:rsid w:val="00D61DD5"/>
    <w:rsid w:val="00D61E04"/>
    <w:rsid w:val="00D61E70"/>
    <w:rsid w:val="00D61EDA"/>
    <w:rsid w:val="00D62145"/>
    <w:rsid w:val="00D621E2"/>
    <w:rsid w:val="00D6224E"/>
    <w:rsid w:val="00D622E9"/>
    <w:rsid w:val="00D62360"/>
    <w:rsid w:val="00D623CB"/>
    <w:rsid w:val="00D623F3"/>
    <w:rsid w:val="00D624E9"/>
    <w:rsid w:val="00D625C8"/>
    <w:rsid w:val="00D627AF"/>
    <w:rsid w:val="00D62836"/>
    <w:rsid w:val="00D62851"/>
    <w:rsid w:val="00D62970"/>
    <w:rsid w:val="00D62999"/>
    <w:rsid w:val="00D62A54"/>
    <w:rsid w:val="00D62B44"/>
    <w:rsid w:val="00D62B74"/>
    <w:rsid w:val="00D62B9B"/>
    <w:rsid w:val="00D62BB0"/>
    <w:rsid w:val="00D62BBF"/>
    <w:rsid w:val="00D62CDA"/>
    <w:rsid w:val="00D62DCE"/>
    <w:rsid w:val="00D62E06"/>
    <w:rsid w:val="00D62EC0"/>
    <w:rsid w:val="00D62FD3"/>
    <w:rsid w:val="00D631DF"/>
    <w:rsid w:val="00D631E6"/>
    <w:rsid w:val="00D6322B"/>
    <w:rsid w:val="00D6327C"/>
    <w:rsid w:val="00D6331E"/>
    <w:rsid w:val="00D6349D"/>
    <w:rsid w:val="00D63533"/>
    <w:rsid w:val="00D63565"/>
    <w:rsid w:val="00D63584"/>
    <w:rsid w:val="00D63658"/>
    <w:rsid w:val="00D63684"/>
    <w:rsid w:val="00D63755"/>
    <w:rsid w:val="00D63954"/>
    <w:rsid w:val="00D63AD4"/>
    <w:rsid w:val="00D63C4B"/>
    <w:rsid w:val="00D63C78"/>
    <w:rsid w:val="00D63CE8"/>
    <w:rsid w:val="00D63DF9"/>
    <w:rsid w:val="00D63E2A"/>
    <w:rsid w:val="00D63E92"/>
    <w:rsid w:val="00D64109"/>
    <w:rsid w:val="00D6422E"/>
    <w:rsid w:val="00D64293"/>
    <w:rsid w:val="00D6448A"/>
    <w:rsid w:val="00D645F5"/>
    <w:rsid w:val="00D648D1"/>
    <w:rsid w:val="00D649C4"/>
    <w:rsid w:val="00D64AA5"/>
    <w:rsid w:val="00D64D70"/>
    <w:rsid w:val="00D64E79"/>
    <w:rsid w:val="00D64EB9"/>
    <w:rsid w:val="00D64F96"/>
    <w:rsid w:val="00D650AB"/>
    <w:rsid w:val="00D6524D"/>
    <w:rsid w:val="00D65289"/>
    <w:rsid w:val="00D6530A"/>
    <w:rsid w:val="00D653C4"/>
    <w:rsid w:val="00D65401"/>
    <w:rsid w:val="00D65460"/>
    <w:rsid w:val="00D654E4"/>
    <w:rsid w:val="00D6560F"/>
    <w:rsid w:val="00D6564C"/>
    <w:rsid w:val="00D65668"/>
    <w:rsid w:val="00D65721"/>
    <w:rsid w:val="00D65742"/>
    <w:rsid w:val="00D658A6"/>
    <w:rsid w:val="00D6593C"/>
    <w:rsid w:val="00D6595C"/>
    <w:rsid w:val="00D65C74"/>
    <w:rsid w:val="00D65DA8"/>
    <w:rsid w:val="00D65DDB"/>
    <w:rsid w:val="00D65E3F"/>
    <w:rsid w:val="00D65EE7"/>
    <w:rsid w:val="00D663A6"/>
    <w:rsid w:val="00D663ED"/>
    <w:rsid w:val="00D664BE"/>
    <w:rsid w:val="00D6662A"/>
    <w:rsid w:val="00D66658"/>
    <w:rsid w:val="00D66737"/>
    <w:rsid w:val="00D667F9"/>
    <w:rsid w:val="00D6683B"/>
    <w:rsid w:val="00D66877"/>
    <w:rsid w:val="00D668B6"/>
    <w:rsid w:val="00D668D8"/>
    <w:rsid w:val="00D668EF"/>
    <w:rsid w:val="00D6691D"/>
    <w:rsid w:val="00D66978"/>
    <w:rsid w:val="00D66A40"/>
    <w:rsid w:val="00D66A79"/>
    <w:rsid w:val="00D66AAB"/>
    <w:rsid w:val="00D66B21"/>
    <w:rsid w:val="00D66B5B"/>
    <w:rsid w:val="00D66B72"/>
    <w:rsid w:val="00D66C24"/>
    <w:rsid w:val="00D66D62"/>
    <w:rsid w:val="00D66EAF"/>
    <w:rsid w:val="00D67019"/>
    <w:rsid w:val="00D6725A"/>
    <w:rsid w:val="00D672C9"/>
    <w:rsid w:val="00D67302"/>
    <w:rsid w:val="00D673AD"/>
    <w:rsid w:val="00D67433"/>
    <w:rsid w:val="00D675D6"/>
    <w:rsid w:val="00D6766F"/>
    <w:rsid w:val="00D67672"/>
    <w:rsid w:val="00D677C8"/>
    <w:rsid w:val="00D67938"/>
    <w:rsid w:val="00D67958"/>
    <w:rsid w:val="00D67970"/>
    <w:rsid w:val="00D679AA"/>
    <w:rsid w:val="00D67C2C"/>
    <w:rsid w:val="00D67D23"/>
    <w:rsid w:val="00D67E80"/>
    <w:rsid w:val="00D67F1C"/>
    <w:rsid w:val="00D67F73"/>
    <w:rsid w:val="00D70162"/>
    <w:rsid w:val="00D7023C"/>
    <w:rsid w:val="00D70392"/>
    <w:rsid w:val="00D704FC"/>
    <w:rsid w:val="00D7059C"/>
    <w:rsid w:val="00D705F4"/>
    <w:rsid w:val="00D706D0"/>
    <w:rsid w:val="00D7073C"/>
    <w:rsid w:val="00D70844"/>
    <w:rsid w:val="00D709A6"/>
    <w:rsid w:val="00D709F7"/>
    <w:rsid w:val="00D70C67"/>
    <w:rsid w:val="00D70DB9"/>
    <w:rsid w:val="00D70DCA"/>
    <w:rsid w:val="00D70E9F"/>
    <w:rsid w:val="00D710C0"/>
    <w:rsid w:val="00D71130"/>
    <w:rsid w:val="00D713E4"/>
    <w:rsid w:val="00D71486"/>
    <w:rsid w:val="00D71639"/>
    <w:rsid w:val="00D71682"/>
    <w:rsid w:val="00D7169D"/>
    <w:rsid w:val="00D716D5"/>
    <w:rsid w:val="00D71957"/>
    <w:rsid w:val="00D71A46"/>
    <w:rsid w:val="00D71C61"/>
    <w:rsid w:val="00D71D54"/>
    <w:rsid w:val="00D71DB6"/>
    <w:rsid w:val="00D71F9A"/>
    <w:rsid w:val="00D720DB"/>
    <w:rsid w:val="00D721AC"/>
    <w:rsid w:val="00D72252"/>
    <w:rsid w:val="00D72292"/>
    <w:rsid w:val="00D722CD"/>
    <w:rsid w:val="00D72352"/>
    <w:rsid w:val="00D724E7"/>
    <w:rsid w:val="00D72C58"/>
    <w:rsid w:val="00D72D78"/>
    <w:rsid w:val="00D72D8B"/>
    <w:rsid w:val="00D72DB0"/>
    <w:rsid w:val="00D72E35"/>
    <w:rsid w:val="00D72FD9"/>
    <w:rsid w:val="00D73017"/>
    <w:rsid w:val="00D730E8"/>
    <w:rsid w:val="00D73104"/>
    <w:rsid w:val="00D73408"/>
    <w:rsid w:val="00D734F2"/>
    <w:rsid w:val="00D735A1"/>
    <w:rsid w:val="00D735A2"/>
    <w:rsid w:val="00D7376C"/>
    <w:rsid w:val="00D7381C"/>
    <w:rsid w:val="00D7385C"/>
    <w:rsid w:val="00D738AF"/>
    <w:rsid w:val="00D73936"/>
    <w:rsid w:val="00D739B9"/>
    <w:rsid w:val="00D73AB2"/>
    <w:rsid w:val="00D73AC2"/>
    <w:rsid w:val="00D73B2D"/>
    <w:rsid w:val="00D73CD0"/>
    <w:rsid w:val="00D73CFB"/>
    <w:rsid w:val="00D73D22"/>
    <w:rsid w:val="00D73DBA"/>
    <w:rsid w:val="00D73E3A"/>
    <w:rsid w:val="00D73E63"/>
    <w:rsid w:val="00D73E9D"/>
    <w:rsid w:val="00D73F0D"/>
    <w:rsid w:val="00D741BD"/>
    <w:rsid w:val="00D7429B"/>
    <w:rsid w:val="00D74332"/>
    <w:rsid w:val="00D743BC"/>
    <w:rsid w:val="00D744F0"/>
    <w:rsid w:val="00D7459D"/>
    <w:rsid w:val="00D74816"/>
    <w:rsid w:val="00D7488E"/>
    <w:rsid w:val="00D748B4"/>
    <w:rsid w:val="00D74A03"/>
    <w:rsid w:val="00D74A56"/>
    <w:rsid w:val="00D74B59"/>
    <w:rsid w:val="00D74B67"/>
    <w:rsid w:val="00D74CB4"/>
    <w:rsid w:val="00D74D74"/>
    <w:rsid w:val="00D74D95"/>
    <w:rsid w:val="00D74D99"/>
    <w:rsid w:val="00D74DD5"/>
    <w:rsid w:val="00D74E8A"/>
    <w:rsid w:val="00D75050"/>
    <w:rsid w:val="00D7514D"/>
    <w:rsid w:val="00D751D0"/>
    <w:rsid w:val="00D7541D"/>
    <w:rsid w:val="00D7555A"/>
    <w:rsid w:val="00D755BA"/>
    <w:rsid w:val="00D755D5"/>
    <w:rsid w:val="00D758A3"/>
    <w:rsid w:val="00D7595D"/>
    <w:rsid w:val="00D759F7"/>
    <w:rsid w:val="00D75A02"/>
    <w:rsid w:val="00D75B60"/>
    <w:rsid w:val="00D75BEB"/>
    <w:rsid w:val="00D75C45"/>
    <w:rsid w:val="00D75CCF"/>
    <w:rsid w:val="00D75EF6"/>
    <w:rsid w:val="00D75F27"/>
    <w:rsid w:val="00D75F9C"/>
    <w:rsid w:val="00D7607B"/>
    <w:rsid w:val="00D76149"/>
    <w:rsid w:val="00D76154"/>
    <w:rsid w:val="00D761CA"/>
    <w:rsid w:val="00D761E4"/>
    <w:rsid w:val="00D7625F"/>
    <w:rsid w:val="00D7631C"/>
    <w:rsid w:val="00D7631E"/>
    <w:rsid w:val="00D76471"/>
    <w:rsid w:val="00D76542"/>
    <w:rsid w:val="00D76740"/>
    <w:rsid w:val="00D7676F"/>
    <w:rsid w:val="00D767C1"/>
    <w:rsid w:val="00D767E8"/>
    <w:rsid w:val="00D76805"/>
    <w:rsid w:val="00D7689A"/>
    <w:rsid w:val="00D768E4"/>
    <w:rsid w:val="00D769D2"/>
    <w:rsid w:val="00D76A4D"/>
    <w:rsid w:val="00D76AA2"/>
    <w:rsid w:val="00D76AA9"/>
    <w:rsid w:val="00D76BF9"/>
    <w:rsid w:val="00D76D39"/>
    <w:rsid w:val="00D76DC5"/>
    <w:rsid w:val="00D76E5E"/>
    <w:rsid w:val="00D77164"/>
    <w:rsid w:val="00D772EB"/>
    <w:rsid w:val="00D77370"/>
    <w:rsid w:val="00D77559"/>
    <w:rsid w:val="00D7756E"/>
    <w:rsid w:val="00D775C4"/>
    <w:rsid w:val="00D77646"/>
    <w:rsid w:val="00D77813"/>
    <w:rsid w:val="00D77996"/>
    <w:rsid w:val="00D779BC"/>
    <w:rsid w:val="00D77A26"/>
    <w:rsid w:val="00D77B70"/>
    <w:rsid w:val="00D77BA5"/>
    <w:rsid w:val="00D77BB8"/>
    <w:rsid w:val="00D77C3E"/>
    <w:rsid w:val="00D77D7F"/>
    <w:rsid w:val="00D77DAA"/>
    <w:rsid w:val="00D77E03"/>
    <w:rsid w:val="00D77EBB"/>
    <w:rsid w:val="00D77F16"/>
    <w:rsid w:val="00D80142"/>
    <w:rsid w:val="00D8023A"/>
    <w:rsid w:val="00D8024B"/>
    <w:rsid w:val="00D80325"/>
    <w:rsid w:val="00D803D0"/>
    <w:rsid w:val="00D80520"/>
    <w:rsid w:val="00D805AE"/>
    <w:rsid w:val="00D8071E"/>
    <w:rsid w:val="00D80759"/>
    <w:rsid w:val="00D8086C"/>
    <w:rsid w:val="00D80893"/>
    <w:rsid w:val="00D808D2"/>
    <w:rsid w:val="00D808E0"/>
    <w:rsid w:val="00D80926"/>
    <w:rsid w:val="00D80BFA"/>
    <w:rsid w:val="00D80CAA"/>
    <w:rsid w:val="00D80E18"/>
    <w:rsid w:val="00D80E95"/>
    <w:rsid w:val="00D80EAC"/>
    <w:rsid w:val="00D80FA5"/>
    <w:rsid w:val="00D810C4"/>
    <w:rsid w:val="00D8110D"/>
    <w:rsid w:val="00D81208"/>
    <w:rsid w:val="00D812ED"/>
    <w:rsid w:val="00D813AB"/>
    <w:rsid w:val="00D8144E"/>
    <w:rsid w:val="00D815B7"/>
    <w:rsid w:val="00D81620"/>
    <w:rsid w:val="00D8165F"/>
    <w:rsid w:val="00D81775"/>
    <w:rsid w:val="00D817E6"/>
    <w:rsid w:val="00D818C5"/>
    <w:rsid w:val="00D81A9C"/>
    <w:rsid w:val="00D81AA0"/>
    <w:rsid w:val="00D81AC3"/>
    <w:rsid w:val="00D81CC7"/>
    <w:rsid w:val="00D81CF3"/>
    <w:rsid w:val="00D81EEA"/>
    <w:rsid w:val="00D81FBE"/>
    <w:rsid w:val="00D82086"/>
    <w:rsid w:val="00D8215B"/>
    <w:rsid w:val="00D821CC"/>
    <w:rsid w:val="00D822CA"/>
    <w:rsid w:val="00D822FD"/>
    <w:rsid w:val="00D82580"/>
    <w:rsid w:val="00D825BD"/>
    <w:rsid w:val="00D827B7"/>
    <w:rsid w:val="00D82805"/>
    <w:rsid w:val="00D82913"/>
    <w:rsid w:val="00D82917"/>
    <w:rsid w:val="00D8297E"/>
    <w:rsid w:val="00D82A8D"/>
    <w:rsid w:val="00D82AB0"/>
    <w:rsid w:val="00D82AC0"/>
    <w:rsid w:val="00D82B08"/>
    <w:rsid w:val="00D82B24"/>
    <w:rsid w:val="00D82B8A"/>
    <w:rsid w:val="00D82C3C"/>
    <w:rsid w:val="00D82DCE"/>
    <w:rsid w:val="00D82E47"/>
    <w:rsid w:val="00D82E54"/>
    <w:rsid w:val="00D82F88"/>
    <w:rsid w:val="00D82FB1"/>
    <w:rsid w:val="00D82FDC"/>
    <w:rsid w:val="00D830C9"/>
    <w:rsid w:val="00D830D0"/>
    <w:rsid w:val="00D83105"/>
    <w:rsid w:val="00D8320B"/>
    <w:rsid w:val="00D832D5"/>
    <w:rsid w:val="00D832DA"/>
    <w:rsid w:val="00D8343F"/>
    <w:rsid w:val="00D8344E"/>
    <w:rsid w:val="00D834CA"/>
    <w:rsid w:val="00D83504"/>
    <w:rsid w:val="00D8350D"/>
    <w:rsid w:val="00D8350F"/>
    <w:rsid w:val="00D83695"/>
    <w:rsid w:val="00D836D1"/>
    <w:rsid w:val="00D83A85"/>
    <w:rsid w:val="00D83B4E"/>
    <w:rsid w:val="00D83BE8"/>
    <w:rsid w:val="00D83C53"/>
    <w:rsid w:val="00D83CE8"/>
    <w:rsid w:val="00D83E23"/>
    <w:rsid w:val="00D83E72"/>
    <w:rsid w:val="00D83E73"/>
    <w:rsid w:val="00D840C3"/>
    <w:rsid w:val="00D8411B"/>
    <w:rsid w:val="00D841AE"/>
    <w:rsid w:val="00D8420F"/>
    <w:rsid w:val="00D842C2"/>
    <w:rsid w:val="00D84312"/>
    <w:rsid w:val="00D843BA"/>
    <w:rsid w:val="00D84716"/>
    <w:rsid w:val="00D8480C"/>
    <w:rsid w:val="00D84836"/>
    <w:rsid w:val="00D8499F"/>
    <w:rsid w:val="00D84B17"/>
    <w:rsid w:val="00D84BBD"/>
    <w:rsid w:val="00D84C23"/>
    <w:rsid w:val="00D84D85"/>
    <w:rsid w:val="00D84E0F"/>
    <w:rsid w:val="00D84E5A"/>
    <w:rsid w:val="00D8501D"/>
    <w:rsid w:val="00D85033"/>
    <w:rsid w:val="00D85035"/>
    <w:rsid w:val="00D85175"/>
    <w:rsid w:val="00D85191"/>
    <w:rsid w:val="00D85348"/>
    <w:rsid w:val="00D853B0"/>
    <w:rsid w:val="00D854CF"/>
    <w:rsid w:val="00D85590"/>
    <w:rsid w:val="00D8568D"/>
    <w:rsid w:val="00D8575E"/>
    <w:rsid w:val="00D857E2"/>
    <w:rsid w:val="00D8582F"/>
    <w:rsid w:val="00D8597A"/>
    <w:rsid w:val="00D85A63"/>
    <w:rsid w:val="00D85A81"/>
    <w:rsid w:val="00D85B8F"/>
    <w:rsid w:val="00D85C9C"/>
    <w:rsid w:val="00D85D8F"/>
    <w:rsid w:val="00D85F3C"/>
    <w:rsid w:val="00D860B7"/>
    <w:rsid w:val="00D8611A"/>
    <w:rsid w:val="00D86238"/>
    <w:rsid w:val="00D862A1"/>
    <w:rsid w:val="00D862D8"/>
    <w:rsid w:val="00D863BA"/>
    <w:rsid w:val="00D863C1"/>
    <w:rsid w:val="00D8648A"/>
    <w:rsid w:val="00D864D0"/>
    <w:rsid w:val="00D864DA"/>
    <w:rsid w:val="00D8655E"/>
    <w:rsid w:val="00D8662E"/>
    <w:rsid w:val="00D8663A"/>
    <w:rsid w:val="00D867A0"/>
    <w:rsid w:val="00D867B5"/>
    <w:rsid w:val="00D86A3D"/>
    <w:rsid w:val="00D86B70"/>
    <w:rsid w:val="00D86D0C"/>
    <w:rsid w:val="00D86D96"/>
    <w:rsid w:val="00D86DD0"/>
    <w:rsid w:val="00D86E82"/>
    <w:rsid w:val="00D86F9D"/>
    <w:rsid w:val="00D87388"/>
    <w:rsid w:val="00D87409"/>
    <w:rsid w:val="00D8742C"/>
    <w:rsid w:val="00D87491"/>
    <w:rsid w:val="00D87522"/>
    <w:rsid w:val="00D8752E"/>
    <w:rsid w:val="00D875CD"/>
    <w:rsid w:val="00D877F5"/>
    <w:rsid w:val="00D877FA"/>
    <w:rsid w:val="00D87861"/>
    <w:rsid w:val="00D87938"/>
    <w:rsid w:val="00D879EC"/>
    <w:rsid w:val="00D87B01"/>
    <w:rsid w:val="00D87EEF"/>
    <w:rsid w:val="00D90099"/>
    <w:rsid w:val="00D90304"/>
    <w:rsid w:val="00D9034D"/>
    <w:rsid w:val="00D9036D"/>
    <w:rsid w:val="00D903BA"/>
    <w:rsid w:val="00D90429"/>
    <w:rsid w:val="00D90486"/>
    <w:rsid w:val="00D904E3"/>
    <w:rsid w:val="00D9053D"/>
    <w:rsid w:val="00D90568"/>
    <w:rsid w:val="00D90584"/>
    <w:rsid w:val="00D90688"/>
    <w:rsid w:val="00D90916"/>
    <w:rsid w:val="00D90919"/>
    <w:rsid w:val="00D909A7"/>
    <w:rsid w:val="00D90A1C"/>
    <w:rsid w:val="00D90A89"/>
    <w:rsid w:val="00D90A96"/>
    <w:rsid w:val="00D90ADB"/>
    <w:rsid w:val="00D90C29"/>
    <w:rsid w:val="00D90C77"/>
    <w:rsid w:val="00D90D52"/>
    <w:rsid w:val="00D90D94"/>
    <w:rsid w:val="00D90ECE"/>
    <w:rsid w:val="00D91092"/>
    <w:rsid w:val="00D9109B"/>
    <w:rsid w:val="00D910DF"/>
    <w:rsid w:val="00D91484"/>
    <w:rsid w:val="00D91535"/>
    <w:rsid w:val="00D916C0"/>
    <w:rsid w:val="00D91704"/>
    <w:rsid w:val="00D9172C"/>
    <w:rsid w:val="00D91776"/>
    <w:rsid w:val="00D917B1"/>
    <w:rsid w:val="00D91871"/>
    <w:rsid w:val="00D91983"/>
    <w:rsid w:val="00D91986"/>
    <w:rsid w:val="00D919E9"/>
    <w:rsid w:val="00D91AB7"/>
    <w:rsid w:val="00D91C16"/>
    <w:rsid w:val="00D91D10"/>
    <w:rsid w:val="00D91E65"/>
    <w:rsid w:val="00D91FA5"/>
    <w:rsid w:val="00D92122"/>
    <w:rsid w:val="00D92263"/>
    <w:rsid w:val="00D922A4"/>
    <w:rsid w:val="00D923CD"/>
    <w:rsid w:val="00D92460"/>
    <w:rsid w:val="00D9262C"/>
    <w:rsid w:val="00D9264C"/>
    <w:rsid w:val="00D926B4"/>
    <w:rsid w:val="00D9280B"/>
    <w:rsid w:val="00D928A0"/>
    <w:rsid w:val="00D9295E"/>
    <w:rsid w:val="00D92A00"/>
    <w:rsid w:val="00D92A8A"/>
    <w:rsid w:val="00D92B12"/>
    <w:rsid w:val="00D92B1C"/>
    <w:rsid w:val="00D92B75"/>
    <w:rsid w:val="00D92C38"/>
    <w:rsid w:val="00D92D1A"/>
    <w:rsid w:val="00D92D42"/>
    <w:rsid w:val="00D92E74"/>
    <w:rsid w:val="00D92F99"/>
    <w:rsid w:val="00D92FD8"/>
    <w:rsid w:val="00D92FFE"/>
    <w:rsid w:val="00D93062"/>
    <w:rsid w:val="00D930A9"/>
    <w:rsid w:val="00D93102"/>
    <w:rsid w:val="00D931C7"/>
    <w:rsid w:val="00D9326C"/>
    <w:rsid w:val="00D9327F"/>
    <w:rsid w:val="00D932D8"/>
    <w:rsid w:val="00D934F5"/>
    <w:rsid w:val="00D935AA"/>
    <w:rsid w:val="00D93715"/>
    <w:rsid w:val="00D93845"/>
    <w:rsid w:val="00D93935"/>
    <w:rsid w:val="00D93960"/>
    <w:rsid w:val="00D93AAA"/>
    <w:rsid w:val="00D93AFA"/>
    <w:rsid w:val="00D93B1F"/>
    <w:rsid w:val="00D93B2B"/>
    <w:rsid w:val="00D93BDE"/>
    <w:rsid w:val="00D93D28"/>
    <w:rsid w:val="00D93D71"/>
    <w:rsid w:val="00D93DB8"/>
    <w:rsid w:val="00D93DD8"/>
    <w:rsid w:val="00D93E22"/>
    <w:rsid w:val="00D93E7D"/>
    <w:rsid w:val="00D93F50"/>
    <w:rsid w:val="00D93F80"/>
    <w:rsid w:val="00D93F97"/>
    <w:rsid w:val="00D93FE5"/>
    <w:rsid w:val="00D940E1"/>
    <w:rsid w:val="00D940F9"/>
    <w:rsid w:val="00D941FC"/>
    <w:rsid w:val="00D9424F"/>
    <w:rsid w:val="00D94250"/>
    <w:rsid w:val="00D942AE"/>
    <w:rsid w:val="00D94322"/>
    <w:rsid w:val="00D94381"/>
    <w:rsid w:val="00D9459B"/>
    <w:rsid w:val="00D945C7"/>
    <w:rsid w:val="00D94632"/>
    <w:rsid w:val="00D946C8"/>
    <w:rsid w:val="00D9479F"/>
    <w:rsid w:val="00D948A4"/>
    <w:rsid w:val="00D9496A"/>
    <w:rsid w:val="00D94A27"/>
    <w:rsid w:val="00D94A55"/>
    <w:rsid w:val="00D94D3A"/>
    <w:rsid w:val="00D94DE4"/>
    <w:rsid w:val="00D94E22"/>
    <w:rsid w:val="00D94F81"/>
    <w:rsid w:val="00D950C1"/>
    <w:rsid w:val="00D9522C"/>
    <w:rsid w:val="00D95326"/>
    <w:rsid w:val="00D95354"/>
    <w:rsid w:val="00D953DF"/>
    <w:rsid w:val="00D953E9"/>
    <w:rsid w:val="00D9549E"/>
    <w:rsid w:val="00D954F0"/>
    <w:rsid w:val="00D955B2"/>
    <w:rsid w:val="00D95608"/>
    <w:rsid w:val="00D9572A"/>
    <w:rsid w:val="00D957A8"/>
    <w:rsid w:val="00D957F7"/>
    <w:rsid w:val="00D95879"/>
    <w:rsid w:val="00D958C7"/>
    <w:rsid w:val="00D9596C"/>
    <w:rsid w:val="00D9598E"/>
    <w:rsid w:val="00D95A13"/>
    <w:rsid w:val="00D95A83"/>
    <w:rsid w:val="00D95B32"/>
    <w:rsid w:val="00D95B3C"/>
    <w:rsid w:val="00D95B95"/>
    <w:rsid w:val="00D95C0F"/>
    <w:rsid w:val="00D95E13"/>
    <w:rsid w:val="00D95E81"/>
    <w:rsid w:val="00D96114"/>
    <w:rsid w:val="00D96136"/>
    <w:rsid w:val="00D96217"/>
    <w:rsid w:val="00D96266"/>
    <w:rsid w:val="00D96298"/>
    <w:rsid w:val="00D96324"/>
    <w:rsid w:val="00D9635B"/>
    <w:rsid w:val="00D964F9"/>
    <w:rsid w:val="00D96649"/>
    <w:rsid w:val="00D9665A"/>
    <w:rsid w:val="00D968A7"/>
    <w:rsid w:val="00D968F2"/>
    <w:rsid w:val="00D96947"/>
    <w:rsid w:val="00D96958"/>
    <w:rsid w:val="00D96A3F"/>
    <w:rsid w:val="00D96A83"/>
    <w:rsid w:val="00D96B21"/>
    <w:rsid w:val="00D96B9E"/>
    <w:rsid w:val="00D96C28"/>
    <w:rsid w:val="00D96C56"/>
    <w:rsid w:val="00D96CF2"/>
    <w:rsid w:val="00D96D46"/>
    <w:rsid w:val="00D96E0B"/>
    <w:rsid w:val="00D96E0E"/>
    <w:rsid w:val="00D96E2D"/>
    <w:rsid w:val="00D97417"/>
    <w:rsid w:val="00D9747D"/>
    <w:rsid w:val="00D974D2"/>
    <w:rsid w:val="00D97532"/>
    <w:rsid w:val="00D97632"/>
    <w:rsid w:val="00D976C9"/>
    <w:rsid w:val="00D9779C"/>
    <w:rsid w:val="00D9785F"/>
    <w:rsid w:val="00D9788B"/>
    <w:rsid w:val="00D97982"/>
    <w:rsid w:val="00D97990"/>
    <w:rsid w:val="00D979C9"/>
    <w:rsid w:val="00D97A45"/>
    <w:rsid w:val="00D97ADE"/>
    <w:rsid w:val="00D97CC1"/>
    <w:rsid w:val="00D97DA1"/>
    <w:rsid w:val="00DA004B"/>
    <w:rsid w:val="00DA00FF"/>
    <w:rsid w:val="00DA01E7"/>
    <w:rsid w:val="00DA03E1"/>
    <w:rsid w:val="00DA0401"/>
    <w:rsid w:val="00DA04C7"/>
    <w:rsid w:val="00DA050F"/>
    <w:rsid w:val="00DA0759"/>
    <w:rsid w:val="00DA0760"/>
    <w:rsid w:val="00DA0816"/>
    <w:rsid w:val="00DA08C0"/>
    <w:rsid w:val="00DA08EE"/>
    <w:rsid w:val="00DA0918"/>
    <w:rsid w:val="00DA09CE"/>
    <w:rsid w:val="00DA0B18"/>
    <w:rsid w:val="00DA0B69"/>
    <w:rsid w:val="00DA0C23"/>
    <w:rsid w:val="00DA0EFA"/>
    <w:rsid w:val="00DA0F6D"/>
    <w:rsid w:val="00DA0F8B"/>
    <w:rsid w:val="00DA1056"/>
    <w:rsid w:val="00DA1067"/>
    <w:rsid w:val="00DA10C8"/>
    <w:rsid w:val="00DA119F"/>
    <w:rsid w:val="00DA11CB"/>
    <w:rsid w:val="00DA135E"/>
    <w:rsid w:val="00DA139D"/>
    <w:rsid w:val="00DA17CD"/>
    <w:rsid w:val="00DA18AE"/>
    <w:rsid w:val="00DA18C1"/>
    <w:rsid w:val="00DA1908"/>
    <w:rsid w:val="00DA19A8"/>
    <w:rsid w:val="00DA19E6"/>
    <w:rsid w:val="00DA1A6E"/>
    <w:rsid w:val="00DA1AA8"/>
    <w:rsid w:val="00DA1B83"/>
    <w:rsid w:val="00DA1C4A"/>
    <w:rsid w:val="00DA1DC8"/>
    <w:rsid w:val="00DA1DF2"/>
    <w:rsid w:val="00DA1F1A"/>
    <w:rsid w:val="00DA1F1C"/>
    <w:rsid w:val="00DA1FC6"/>
    <w:rsid w:val="00DA2009"/>
    <w:rsid w:val="00DA2097"/>
    <w:rsid w:val="00DA21BA"/>
    <w:rsid w:val="00DA21FB"/>
    <w:rsid w:val="00DA2284"/>
    <w:rsid w:val="00DA230B"/>
    <w:rsid w:val="00DA2329"/>
    <w:rsid w:val="00DA23C3"/>
    <w:rsid w:val="00DA24CA"/>
    <w:rsid w:val="00DA259B"/>
    <w:rsid w:val="00DA26F5"/>
    <w:rsid w:val="00DA2740"/>
    <w:rsid w:val="00DA279A"/>
    <w:rsid w:val="00DA2950"/>
    <w:rsid w:val="00DA2973"/>
    <w:rsid w:val="00DA29C2"/>
    <w:rsid w:val="00DA2ABF"/>
    <w:rsid w:val="00DA2BC9"/>
    <w:rsid w:val="00DA2D4E"/>
    <w:rsid w:val="00DA2DCB"/>
    <w:rsid w:val="00DA2E11"/>
    <w:rsid w:val="00DA2EAD"/>
    <w:rsid w:val="00DA2EB8"/>
    <w:rsid w:val="00DA2EE2"/>
    <w:rsid w:val="00DA2FF8"/>
    <w:rsid w:val="00DA303A"/>
    <w:rsid w:val="00DA303D"/>
    <w:rsid w:val="00DA3081"/>
    <w:rsid w:val="00DA3086"/>
    <w:rsid w:val="00DA3090"/>
    <w:rsid w:val="00DA31C2"/>
    <w:rsid w:val="00DA3215"/>
    <w:rsid w:val="00DA3512"/>
    <w:rsid w:val="00DA3552"/>
    <w:rsid w:val="00DA35BC"/>
    <w:rsid w:val="00DA36DB"/>
    <w:rsid w:val="00DA36E0"/>
    <w:rsid w:val="00DA36F3"/>
    <w:rsid w:val="00DA3838"/>
    <w:rsid w:val="00DA3853"/>
    <w:rsid w:val="00DA3989"/>
    <w:rsid w:val="00DA39E8"/>
    <w:rsid w:val="00DA3A65"/>
    <w:rsid w:val="00DA3BBD"/>
    <w:rsid w:val="00DA3C16"/>
    <w:rsid w:val="00DA3C4B"/>
    <w:rsid w:val="00DA3C93"/>
    <w:rsid w:val="00DA3D0D"/>
    <w:rsid w:val="00DA3D4A"/>
    <w:rsid w:val="00DA3EE8"/>
    <w:rsid w:val="00DA3FF5"/>
    <w:rsid w:val="00DA4028"/>
    <w:rsid w:val="00DA40FB"/>
    <w:rsid w:val="00DA419B"/>
    <w:rsid w:val="00DA420C"/>
    <w:rsid w:val="00DA4315"/>
    <w:rsid w:val="00DA4394"/>
    <w:rsid w:val="00DA4490"/>
    <w:rsid w:val="00DA4505"/>
    <w:rsid w:val="00DA45CE"/>
    <w:rsid w:val="00DA46DD"/>
    <w:rsid w:val="00DA4736"/>
    <w:rsid w:val="00DA47BF"/>
    <w:rsid w:val="00DA4963"/>
    <w:rsid w:val="00DA4A49"/>
    <w:rsid w:val="00DA4AAF"/>
    <w:rsid w:val="00DA4B21"/>
    <w:rsid w:val="00DA4CA7"/>
    <w:rsid w:val="00DA4CD6"/>
    <w:rsid w:val="00DA4CE4"/>
    <w:rsid w:val="00DA4E18"/>
    <w:rsid w:val="00DA4E86"/>
    <w:rsid w:val="00DA4F94"/>
    <w:rsid w:val="00DA50E6"/>
    <w:rsid w:val="00DA50F0"/>
    <w:rsid w:val="00DA5236"/>
    <w:rsid w:val="00DA525A"/>
    <w:rsid w:val="00DA534D"/>
    <w:rsid w:val="00DA5367"/>
    <w:rsid w:val="00DA53A8"/>
    <w:rsid w:val="00DA5415"/>
    <w:rsid w:val="00DA54EF"/>
    <w:rsid w:val="00DA5687"/>
    <w:rsid w:val="00DA5720"/>
    <w:rsid w:val="00DA58B7"/>
    <w:rsid w:val="00DA58F7"/>
    <w:rsid w:val="00DA593F"/>
    <w:rsid w:val="00DA59C2"/>
    <w:rsid w:val="00DA5A70"/>
    <w:rsid w:val="00DA5BC5"/>
    <w:rsid w:val="00DA5BC9"/>
    <w:rsid w:val="00DA5C4E"/>
    <w:rsid w:val="00DA5D1B"/>
    <w:rsid w:val="00DA5D64"/>
    <w:rsid w:val="00DA5D86"/>
    <w:rsid w:val="00DA5DAF"/>
    <w:rsid w:val="00DA5F3E"/>
    <w:rsid w:val="00DA5F4D"/>
    <w:rsid w:val="00DA608D"/>
    <w:rsid w:val="00DA633A"/>
    <w:rsid w:val="00DA6352"/>
    <w:rsid w:val="00DA6421"/>
    <w:rsid w:val="00DA646C"/>
    <w:rsid w:val="00DA649C"/>
    <w:rsid w:val="00DA65E2"/>
    <w:rsid w:val="00DA65F7"/>
    <w:rsid w:val="00DA6614"/>
    <w:rsid w:val="00DA66FF"/>
    <w:rsid w:val="00DA6707"/>
    <w:rsid w:val="00DA679F"/>
    <w:rsid w:val="00DA67AF"/>
    <w:rsid w:val="00DA6B4F"/>
    <w:rsid w:val="00DA6C36"/>
    <w:rsid w:val="00DA6D7D"/>
    <w:rsid w:val="00DA6E1E"/>
    <w:rsid w:val="00DA6E3E"/>
    <w:rsid w:val="00DA70D9"/>
    <w:rsid w:val="00DA70FD"/>
    <w:rsid w:val="00DA71EE"/>
    <w:rsid w:val="00DA7401"/>
    <w:rsid w:val="00DA74DA"/>
    <w:rsid w:val="00DA753B"/>
    <w:rsid w:val="00DA75B2"/>
    <w:rsid w:val="00DA75B3"/>
    <w:rsid w:val="00DA760A"/>
    <w:rsid w:val="00DA77FA"/>
    <w:rsid w:val="00DA786A"/>
    <w:rsid w:val="00DA787B"/>
    <w:rsid w:val="00DA78A5"/>
    <w:rsid w:val="00DA79C7"/>
    <w:rsid w:val="00DA79FA"/>
    <w:rsid w:val="00DA7C4E"/>
    <w:rsid w:val="00DA7DE4"/>
    <w:rsid w:val="00DA7F9F"/>
    <w:rsid w:val="00DB01DB"/>
    <w:rsid w:val="00DB0277"/>
    <w:rsid w:val="00DB0295"/>
    <w:rsid w:val="00DB02E0"/>
    <w:rsid w:val="00DB03BE"/>
    <w:rsid w:val="00DB03EF"/>
    <w:rsid w:val="00DB05F8"/>
    <w:rsid w:val="00DB06E1"/>
    <w:rsid w:val="00DB0737"/>
    <w:rsid w:val="00DB0960"/>
    <w:rsid w:val="00DB09EA"/>
    <w:rsid w:val="00DB0A89"/>
    <w:rsid w:val="00DB0B23"/>
    <w:rsid w:val="00DB0B6E"/>
    <w:rsid w:val="00DB0D8B"/>
    <w:rsid w:val="00DB0E09"/>
    <w:rsid w:val="00DB0E52"/>
    <w:rsid w:val="00DB0F42"/>
    <w:rsid w:val="00DB0FAE"/>
    <w:rsid w:val="00DB0FEA"/>
    <w:rsid w:val="00DB1157"/>
    <w:rsid w:val="00DB11E6"/>
    <w:rsid w:val="00DB14F2"/>
    <w:rsid w:val="00DB159D"/>
    <w:rsid w:val="00DB178A"/>
    <w:rsid w:val="00DB1791"/>
    <w:rsid w:val="00DB1968"/>
    <w:rsid w:val="00DB1978"/>
    <w:rsid w:val="00DB197C"/>
    <w:rsid w:val="00DB1AF6"/>
    <w:rsid w:val="00DB1AF7"/>
    <w:rsid w:val="00DB1B69"/>
    <w:rsid w:val="00DB1DB7"/>
    <w:rsid w:val="00DB1DE7"/>
    <w:rsid w:val="00DB2022"/>
    <w:rsid w:val="00DB20BA"/>
    <w:rsid w:val="00DB229C"/>
    <w:rsid w:val="00DB2453"/>
    <w:rsid w:val="00DB246C"/>
    <w:rsid w:val="00DB256E"/>
    <w:rsid w:val="00DB25B7"/>
    <w:rsid w:val="00DB25D7"/>
    <w:rsid w:val="00DB2699"/>
    <w:rsid w:val="00DB2741"/>
    <w:rsid w:val="00DB277D"/>
    <w:rsid w:val="00DB27B8"/>
    <w:rsid w:val="00DB281D"/>
    <w:rsid w:val="00DB2891"/>
    <w:rsid w:val="00DB292E"/>
    <w:rsid w:val="00DB294D"/>
    <w:rsid w:val="00DB29BF"/>
    <w:rsid w:val="00DB2BA1"/>
    <w:rsid w:val="00DB2D66"/>
    <w:rsid w:val="00DB2DF7"/>
    <w:rsid w:val="00DB2E5A"/>
    <w:rsid w:val="00DB2F08"/>
    <w:rsid w:val="00DB2F0D"/>
    <w:rsid w:val="00DB3074"/>
    <w:rsid w:val="00DB3092"/>
    <w:rsid w:val="00DB31DB"/>
    <w:rsid w:val="00DB330A"/>
    <w:rsid w:val="00DB345A"/>
    <w:rsid w:val="00DB34BF"/>
    <w:rsid w:val="00DB35CC"/>
    <w:rsid w:val="00DB3883"/>
    <w:rsid w:val="00DB38E3"/>
    <w:rsid w:val="00DB38E7"/>
    <w:rsid w:val="00DB3B0B"/>
    <w:rsid w:val="00DB3B0E"/>
    <w:rsid w:val="00DB3CAD"/>
    <w:rsid w:val="00DB3E17"/>
    <w:rsid w:val="00DB3EC5"/>
    <w:rsid w:val="00DB40D0"/>
    <w:rsid w:val="00DB40E0"/>
    <w:rsid w:val="00DB41D1"/>
    <w:rsid w:val="00DB4295"/>
    <w:rsid w:val="00DB42A8"/>
    <w:rsid w:val="00DB4365"/>
    <w:rsid w:val="00DB44C1"/>
    <w:rsid w:val="00DB4680"/>
    <w:rsid w:val="00DB468E"/>
    <w:rsid w:val="00DB4713"/>
    <w:rsid w:val="00DB47DD"/>
    <w:rsid w:val="00DB4844"/>
    <w:rsid w:val="00DB4A13"/>
    <w:rsid w:val="00DB4A55"/>
    <w:rsid w:val="00DB4AC6"/>
    <w:rsid w:val="00DB4B0E"/>
    <w:rsid w:val="00DB4C11"/>
    <w:rsid w:val="00DB4CBD"/>
    <w:rsid w:val="00DB4D6D"/>
    <w:rsid w:val="00DB5085"/>
    <w:rsid w:val="00DB51A1"/>
    <w:rsid w:val="00DB536E"/>
    <w:rsid w:val="00DB5448"/>
    <w:rsid w:val="00DB548A"/>
    <w:rsid w:val="00DB5651"/>
    <w:rsid w:val="00DB577F"/>
    <w:rsid w:val="00DB58B0"/>
    <w:rsid w:val="00DB593D"/>
    <w:rsid w:val="00DB5AF5"/>
    <w:rsid w:val="00DB5B1B"/>
    <w:rsid w:val="00DB5BCA"/>
    <w:rsid w:val="00DB5BF2"/>
    <w:rsid w:val="00DB5D87"/>
    <w:rsid w:val="00DB5F8F"/>
    <w:rsid w:val="00DB5F97"/>
    <w:rsid w:val="00DB606A"/>
    <w:rsid w:val="00DB61DB"/>
    <w:rsid w:val="00DB61EE"/>
    <w:rsid w:val="00DB6307"/>
    <w:rsid w:val="00DB6436"/>
    <w:rsid w:val="00DB6461"/>
    <w:rsid w:val="00DB64E2"/>
    <w:rsid w:val="00DB6616"/>
    <w:rsid w:val="00DB66ED"/>
    <w:rsid w:val="00DB67C9"/>
    <w:rsid w:val="00DB68D9"/>
    <w:rsid w:val="00DB6987"/>
    <w:rsid w:val="00DB69E8"/>
    <w:rsid w:val="00DB69EE"/>
    <w:rsid w:val="00DB6A5D"/>
    <w:rsid w:val="00DB6A66"/>
    <w:rsid w:val="00DB6AC9"/>
    <w:rsid w:val="00DB6D5D"/>
    <w:rsid w:val="00DB6FA3"/>
    <w:rsid w:val="00DB7107"/>
    <w:rsid w:val="00DB713E"/>
    <w:rsid w:val="00DB72BB"/>
    <w:rsid w:val="00DB7378"/>
    <w:rsid w:val="00DB73C8"/>
    <w:rsid w:val="00DB7464"/>
    <w:rsid w:val="00DB74B5"/>
    <w:rsid w:val="00DB74E1"/>
    <w:rsid w:val="00DB755F"/>
    <w:rsid w:val="00DB767A"/>
    <w:rsid w:val="00DB76FD"/>
    <w:rsid w:val="00DB7835"/>
    <w:rsid w:val="00DB7854"/>
    <w:rsid w:val="00DB78AA"/>
    <w:rsid w:val="00DB7B44"/>
    <w:rsid w:val="00DB7D65"/>
    <w:rsid w:val="00DB7DDA"/>
    <w:rsid w:val="00DB7F5A"/>
    <w:rsid w:val="00DB7F8A"/>
    <w:rsid w:val="00DC0077"/>
    <w:rsid w:val="00DC0108"/>
    <w:rsid w:val="00DC02EC"/>
    <w:rsid w:val="00DC0362"/>
    <w:rsid w:val="00DC043C"/>
    <w:rsid w:val="00DC0481"/>
    <w:rsid w:val="00DC0548"/>
    <w:rsid w:val="00DC05CE"/>
    <w:rsid w:val="00DC06AF"/>
    <w:rsid w:val="00DC0726"/>
    <w:rsid w:val="00DC0743"/>
    <w:rsid w:val="00DC0784"/>
    <w:rsid w:val="00DC07EF"/>
    <w:rsid w:val="00DC08FD"/>
    <w:rsid w:val="00DC0B4C"/>
    <w:rsid w:val="00DC0D1F"/>
    <w:rsid w:val="00DC0EC8"/>
    <w:rsid w:val="00DC0EF7"/>
    <w:rsid w:val="00DC0F84"/>
    <w:rsid w:val="00DC0F92"/>
    <w:rsid w:val="00DC0F95"/>
    <w:rsid w:val="00DC0FBD"/>
    <w:rsid w:val="00DC105C"/>
    <w:rsid w:val="00DC108D"/>
    <w:rsid w:val="00DC10B6"/>
    <w:rsid w:val="00DC10E0"/>
    <w:rsid w:val="00DC10E5"/>
    <w:rsid w:val="00DC1115"/>
    <w:rsid w:val="00DC111C"/>
    <w:rsid w:val="00DC1245"/>
    <w:rsid w:val="00DC12F0"/>
    <w:rsid w:val="00DC131F"/>
    <w:rsid w:val="00DC1323"/>
    <w:rsid w:val="00DC132D"/>
    <w:rsid w:val="00DC158C"/>
    <w:rsid w:val="00DC15BA"/>
    <w:rsid w:val="00DC16C6"/>
    <w:rsid w:val="00DC1727"/>
    <w:rsid w:val="00DC175C"/>
    <w:rsid w:val="00DC1793"/>
    <w:rsid w:val="00DC17A4"/>
    <w:rsid w:val="00DC18BA"/>
    <w:rsid w:val="00DC1987"/>
    <w:rsid w:val="00DC198A"/>
    <w:rsid w:val="00DC1B0D"/>
    <w:rsid w:val="00DC1B4E"/>
    <w:rsid w:val="00DC1B5D"/>
    <w:rsid w:val="00DC1B5F"/>
    <w:rsid w:val="00DC1DC2"/>
    <w:rsid w:val="00DC1F73"/>
    <w:rsid w:val="00DC20B9"/>
    <w:rsid w:val="00DC2115"/>
    <w:rsid w:val="00DC2147"/>
    <w:rsid w:val="00DC21AA"/>
    <w:rsid w:val="00DC21D6"/>
    <w:rsid w:val="00DC2241"/>
    <w:rsid w:val="00DC225E"/>
    <w:rsid w:val="00DC22A1"/>
    <w:rsid w:val="00DC22DA"/>
    <w:rsid w:val="00DC237E"/>
    <w:rsid w:val="00DC23E6"/>
    <w:rsid w:val="00DC259F"/>
    <w:rsid w:val="00DC280B"/>
    <w:rsid w:val="00DC2821"/>
    <w:rsid w:val="00DC29C2"/>
    <w:rsid w:val="00DC2ACB"/>
    <w:rsid w:val="00DC2B2F"/>
    <w:rsid w:val="00DC2B3D"/>
    <w:rsid w:val="00DC2BCA"/>
    <w:rsid w:val="00DC2C3F"/>
    <w:rsid w:val="00DC2CE0"/>
    <w:rsid w:val="00DC2DA2"/>
    <w:rsid w:val="00DC2E49"/>
    <w:rsid w:val="00DC2F36"/>
    <w:rsid w:val="00DC30B5"/>
    <w:rsid w:val="00DC3115"/>
    <w:rsid w:val="00DC32F9"/>
    <w:rsid w:val="00DC335B"/>
    <w:rsid w:val="00DC343D"/>
    <w:rsid w:val="00DC372D"/>
    <w:rsid w:val="00DC3793"/>
    <w:rsid w:val="00DC38B6"/>
    <w:rsid w:val="00DC3986"/>
    <w:rsid w:val="00DC3A4D"/>
    <w:rsid w:val="00DC3DD3"/>
    <w:rsid w:val="00DC3E3F"/>
    <w:rsid w:val="00DC3E44"/>
    <w:rsid w:val="00DC3EB6"/>
    <w:rsid w:val="00DC406F"/>
    <w:rsid w:val="00DC41A2"/>
    <w:rsid w:val="00DC41FC"/>
    <w:rsid w:val="00DC423E"/>
    <w:rsid w:val="00DC42D0"/>
    <w:rsid w:val="00DC42D6"/>
    <w:rsid w:val="00DC4356"/>
    <w:rsid w:val="00DC4433"/>
    <w:rsid w:val="00DC44B0"/>
    <w:rsid w:val="00DC4680"/>
    <w:rsid w:val="00DC46B3"/>
    <w:rsid w:val="00DC47EC"/>
    <w:rsid w:val="00DC482E"/>
    <w:rsid w:val="00DC485B"/>
    <w:rsid w:val="00DC486E"/>
    <w:rsid w:val="00DC48A4"/>
    <w:rsid w:val="00DC4956"/>
    <w:rsid w:val="00DC4974"/>
    <w:rsid w:val="00DC4ACA"/>
    <w:rsid w:val="00DC4BE3"/>
    <w:rsid w:val="00DC4BF3"/>
    <w:rsid w:val="00DC4D0B"/>
    <w:rsid w:val="00DC4D13"/>
    <w:rsid w:val="00DC4D54"/>
    <w:rsid w:val="00DC4D94"/>
    <w:rsid w:val="00DC4E2C"/>
    <w:rsid w:val="00DC505B"/>
    <w:rsid w:val="00DC5123"/>
    <w:rsid w:val="00DC5406"/>
    <w:rsid w:val="00DC555B"/>
    <w:rsid w:val="00DC572A"/>
    <w:rsid w:val="00DC579F"/>
    <w:rsid w:val="00DC58E5"/>
    <w:rsid w:val="00DC5A9D"/>
    <w:rsid w:val="00DC5E26"/>
    <w:rsid w:val="00DC5F4D"/>
    <w:rsid w:val="00DC5FEB"/>
    <w:rsid w:val="00DC6005"/>
    <w:rsid w:val="00DC616D"/>
    <w:rsid w:val="00DC61F2"/>
    <w:rsid w:val="00DC623E"/>
    <w:rsid w:val="00DC646F"/>
    <w:rsid w:val="00DC64DD"/>
    <w:rsid w:val="00DC655B"/>
    <w:rsid w:val="00DC65FB"/>
    <w:rsid w:val="00DC6720"/>
    <w:rsid w:val="00DC67B6"/>
    <w:rsid w:val="00DC67E9"/>
    <w:rsid w:val="00DC67FD"/>
    <w:rsid w:val="00DC6A80"/>
    <w:rsid w:val="00DC6ABC"/>
    <w:rsid w:val="00DC6ABD"/>
    <w:rsid w:val="00DC6AFE"/>
    <w:rsid w:val="00DC6F4F"/>
    <w:rsid w:val="00DC6FC2"/>
    <w:rsid w:val="00DC7249"/>
    <w:rsid w:val="00DC736C"/>
    <w:rsid w:val="00DC7479"/>
    <w:rsid w:val="00DC749E"/>
    <w:rsid w:val="00DC7532"/>
    <w:rsid w:val="00DC77E0"/>
    <w:rsid w:val="00DC77E5"/>
    <w:rsid w:val="00DC7927"/>
    <w:rsid w:val="00DC792D"/>
    <w:rsid w:val="00DC79D0"/>
    <w:rsid w:val="00DC7ACC"/>
    <w:rsid w:val="00DC7AFC"/>
    <w:rsid w:val="00DC7C8F"/>
    <w:rsid w:val="00DC7CA8"/>
    <w:rsid w:val="00DC7E7D"/>
    <w:rsid w:val="00DC7F18"/>
    <w:rsid w:val="00DC7F4D"/>
    <w:rsid w:val="00DD040A"/>
    <w:rsid w:val="00DD041F"/>
    <w:rsid w:val="00DD0572"/>
    <w:rsid w:val="00DD0588"/>
    <w:rsid w:val="00DD061B"/>
    <w:rsid w:val="00DD066C"/>
    <w:rsid w:val="00DD0891"/>
    <w:rsid w:val="00DD0982"/>
    <w:rsid w:val="00DD0A27"/>
    <w:rsid w:val="00DD0A7F"/>
    <w:rsid w:val="00DD0ADF"/>
    <w:rsid w:val="00DD0AE7"/>
    <w:rsid w:val="00DD0C36"/>
    <w:rsid w:val="00DD0DA4"/>
    <w:rsid w:val="00DD0E7E"/>
    <w:rsid w:val="00DD1040"/>
    <w:rsid w:val="00DD1074"/>
    <w:rsid w:val="00DD1095"/>
    <w:rsid w:val="00DD10A9"/>
    <w:rsid w:val="00DD112E"/>
    <w:rsid w:val="00DD122F"/>
    <w:rsid w:val="00DD12B8"/>
    <w:rsid w:val="00DD12E1"/>
    <w:rsid w:val="00DD1382"/>
    <w:rsid w:val="00DD1388"/>
    <w:rsid w:val="00DD1512"/>
    <w:rsid w:val="00DD1539"/>
    <w:rsid w:val="00DD15D3"/>
    <w:rsid w:val="00DD162F"/>
    <w:rsid w:val="00DD1655"/>
    <w:rsid w:val="00DD16AD"/>
    <w:rsid w:val="00DD16D2"/>
    <w:rsid w:val="00DD16E0"/>
    <w:rsid w:val="00DD18ED"/>
    <w:rsid w:val="00DD198E"/>
    <w:rsid w:val="00DD19F9"/>
    <w:rsid w:val="00DD1B74"/>
    <w:rsid w:val="00DD1BBD"/>
    <w:rsid w:val="00DD1CF4"/>
    <w:rsid w:val="00DD1E48"/>
    <w:rsid w:val="00DD1F11"/>
    <w:rsid w:val="00DD1F79"/>
    <w:rsid w:val="00DD1FA7"/>
    <w:rsid w:val="00DD2129"/>
    <w:rsid w:val="00DD215D"/>
    <w:rsid w:val="00DD22F5"/>
    <w:rsid w:val="00DD2301"/>
    <w:rsid w:val="00DD234B"/>
    <w:rsid w:val="00DD23AB"/>
    <w:rsid w:val="00DD241B"/>
    <w:rsid w:val="00DD243C"/>
    <w:rsid w:val="00DD243D"/>
    <w:rsid w:val="00DD255E"/>
    <w:rsid w:val="00DD261D"/>
    <w:rsid w:val="00DD2688"/>
    <w:rsid w:val="00DD2695"/>
    <w:rsid w:val="00DD2754"/>
    <w:rsid w:val="00DD28E9"/>
    <w:rsid w:val="00DD2962"/>
    <w:rsid w:val="00DD2AAD"/>
    <w:rsid w:val="00DD2ACC"/>
    <w:rsid w:val="00DD2BB5"/>
    <w:rsid w:val="00DD2BFF"/>
    <w:rsid w:val="00DD2C59"/>
    <w:rsid w:val="00DD2D85"/>
    <w:rsid w:val="00DD2DF2"/>
    <w:rsid w:val="00DD2F24"/>
    <w:rsid w:val="00DD2FF2"/>
    <w:rsid w:val="00DD3087"/>
    <w:rsid w:val="00DD3242"/>
    <w:rsid w:val="00DD3332"/>
    <w:rsid w:val="00DD333B"/>
    <w:rsid w:val="00DD3389"/>
    <w:rsid w:val="00DD33FE"/>
    <w:rsid w:val="00DD36C1"/>
    <w:rsid w:val="00DD370F"/>
    <w:rsid w:val="00DD3788"/>
    <w:rsid w:val="00DD3948"/>
    <w:rsid w:val="00DD3ABE"/>
    <w:rsid w:val="00DD3B7A"/>
    <w:rsid w:val="00DD3B7C"/>
    <w:rsid w:val="00DD3C71"/>
    <w:rsid w:val="00DD3DDE"/>
    <w:rsid w:val="00DD3F2F"/>
    <w:rsid w:val="00DD3F93"/>
    <w:rsid w:val="00DD3FC4"/>
    <w:rsid w:val="00DD3FFA"/>
    <w:rsid w:val="00DD4095"/>
    <w:rsid w:val="00DD40A0"/>
    <w:rsid w:val="00DD4102"/>
    <w:rsid w:val="00DD41DC"/>
    <w:rsid w:val="00DD4207"/>
    <w:rsid w:val="00DD42A7"/>
    <w:rsid w:val="00DD42AE"/>
    <w:rsid w:val="00DD4577"/>
    <w:rsid w:val="00DD47FB"/>
    <w:rsid w:val="00DD48F5"/>
    <w:rsid w:val="00DD48F8"/>
    <w:rsid w:val="00DD4925"/>
    <w:rsid w:val="00DD4BC4"/>
    <w:rsid w:val="00DD4CD5"/>
    <w:rsid w:val="00DD4D2B"/>
    <w:rsid w:val="00DD4E1B"/>
    <w:rsid w:val="00DD5015"/>
    <w:rsid w:val="00DD517E"/>
    <w:rsid w:val="00DD524F"/>
    <w:rsid w:val="00DD5371"/>
    <w:rsid w:val="00DD5390"/>
    <w:rsid w:val="00DD540B"/>
    <w:rsid w:val="00DD550C"/>
    <w:rsid w:val="00DD5725"/>
    <w:rsid w:val="00DD577D"/>
    <w:rsid w:val="00DD585B"/>
    <w:rsid w:val="00DD5984"/>
    <w:rsid w:val="00DD5A3E"/>
    <w:rsid w:val="00DD5ABA"/>
    <w:rsid w:val="00DD5B2F"/>
    <w:rsid w:val="00DD5D02"/>
    <w:rsid w:val="00DD5DF3"/>
    <w:rsid w:val="00DD5E08"/>
    <w:rsid w:val="00DD5EB2"/>
    <w:rsid w:val="00DD5EEC"/>
    <w:rsid w:val="00DD6041"/>
    <w:rsid w:val="00DD61BA"/>
    <w:rsid w:val="00DD6235"/>
    <w:rsid w:val="00DD642D"/>
    <w:rsid w:val="00DD651F"/>
    <w:rsid w:val="00DD65AD"/>
    <w:rsid w:val="00DD6729"/>
    <w:rsid w:val="00DD677E"/>
    <w:rsid w:val="00DD67CD"/>
    <w:rsid w:val="00DD68EF"/>
    <w:rsid w:val="00DD6A07"/>
    <w:rsid w:val="00DD6B21"/>
    <w:rsid w:val="00DD6BDC"/>
    <w:rsid w:val="00DD6BFD"/>
    <w:rsid w:val="00DD6C74"/>
    <w:rsid w:val="00DD6D37"/>
    <w:rsid w:val="00DD6D3F"/>
    <w:rsid w:val="00DD6D87"/>
    <w:rsid w:val="00DD6E41"/>
    <w:rsid w:val="00DD6F64"/>
    <w:rsid w:val="00DD70F4"/>
    <w:rsid w:val="00DD710D"/>
    <w:rsid w:val="00DD73CA"/>
    <w:rsid w:val="00DD75B2"/>
    <w:rsid w:val="00DD7663"/>
    <w:rsid w:val="00DD7A33"/>
    <w:rsid w:val="00DD7B80"/>
    <w:rsid w:val="00DD7C5E"/>
    <w:rsid w:val="00DD7F17"/>
    <w:rsid w:val="00DD7F7B"/>
    <w:rsid w:val="00DD7F8C"/>
    <w:rsid w:val="00DE0182"/>
    <w:rsid w:val="00DE0208"/>
    <w:rsid w:val="00DE02B5"/>
    <w:rsid w:val="00DE02CD"/>
    <w:rsid w:val="00DE04FA"/>
    <w:rsid w:val="00DE067B"/>
    <w:rsid w:val="00DE072D"/>
    <w:rsid w:val="00DE0750"/>
    <w:rsid w:val="00DE095E"/>
    <w:rsid w:val="00DE0AA3"/>
    <w:rsid w:val="00DE0C2E"/>
    <w:rsid w:val="00DE0CFE"/>
    <w:rsid w:val="00DE0D37"/>
    <w:rsid w:val="00DE0D41"/>
    <w:rsid w:val="00DE0E23"/>
    <w:rsid w:val="00DE0E4E"/>
    <w:rsid w:val="00DE0E95"/>
    <w:rsid w:val="00DE0FE8"/>
    <w:rsid w:val="00DE10BE"/>
    <w:rsid w:val="00DE10C5"/>
    <w:rsid w:val="00DE118A"/>
    <w:rsid w:val="00DE14B0"/>
    <w:rsid w:val="00DE15AB"/>
    <w:rsid w:val="00DE15FC"/>
    <w:rsid w:val="00DE176A"/>
    <w:rsid w:val="00DE181A"/>
    <w:rsid w:val="00DE1830"/>
    <w:rsid w:val="00DE19C3"/>
    <w:rsid w:val="00DE19F8"/>
    <w:rsid w:val="00DE1A31"/>
    <w:rsid w:val="00DE1C46"/>
    <w:rsid w:val="00DE1CCB"/>
    <w:rsid w:val="00DE1D9B"/>
    <w:rsid w:val="00DE1E93"/>
    <w:rsid w:val="00DE1F3F"/>
    <w:rsid w:val="00DE212D"/>
    <w:rsid w:val="00DE21C8"/>
    <w:rsid w:val="00DE24AC"/>
    <w:rsid w:val="00DE24FB"/>
    <w:rsid w:val="00DE2513"/>
    <w:rsid w:val="00DE256A"/>
    <w:rsid w:val="00DE25AE"/>
    <w:rsid w:val="00DE26E2"/>
    <w:rsid w:val="00DE27EF"/>
    <w:rsid w:val="00DE28FA"/>
    <w:rsid w:val="00DE2A81"/>
    <w:rsid w:val="00DE2A96"/>
    <w:rsid w:val="00DE2B2B"/>
    <w:rsid w:val="00DE2BB3"/>
    <w:rsid w:val="00DE2D14"/>
    <w:rsid w:val="00DE2D6C"/>
    <w:rsid w:val="00DE2F9C"/>
    <w:rsid w:val="00DE2FDA"/>
    <w:rsid w:val="00DE2FF8"/>
    <w:rsid w:val="00DE30C5"/>
    <w:rsid w:val="00DE312D"/>
    <w:rsid w:val="00DE3132"/>
    <w:rsid w:val="00DE3250"/>
    <w:rsid w:val="00DE339F"/>
    <w:rsid w:val="00DE341D"/>
    <w:rsid w:val="00DE3591"/>
    <w:rsid w:val="00DE3719"/>
    <w:rsid w:val="00DE378A"/>
    <w:rsid w:val="00DE38AC"/>
    <w:rsid w:val="00DE3A79"/>
    <w:rsid w:val="00DE3AA2"/>
    <w:rsid w:val="00DE3C0C"/>
    <w:rsid w:val="00DE3D2D"/>
    <w:rsid w:val="00DE3DC4"/>
    <w:rsid w:val="00DE3E33"/>
    <w:rsid w:val="00DE3EB0"/>
    <w:rsid w:val="00DE3F4F"/>
    <w:rsid w:val="00DE41E6"/>
    <w:rsid w:val="00DE4270"/>
    <w:rsid w:val="00DE4371"/>
    <w:rsid w:val="00DE4412"/>
    <w:rsid w:val="00DE4587"/>
    <w:rsid w:val="00DE45F2"/>
    <w:rsid w:val="00DE460D"/>
    <w:rsid w:val="00DE496B"/>
    <w:rsid w:val="00DE4A0B"/>
    <w:rsid w:val="00DE4A8E"/>
    <w:rsid w:val="00DE4B2B"/>
    <w:rsid w:val="00DE4BE0"/>
    <w:rsid w:val="00DE4BF7"/>
    <w:rsid w:val="00DE4CF5"/>
    <w:rsid w:val="00DE4DFA"/>
    <w:rsid w:val="00DE4E0B"/>
    <w:rsid w:val="00DE4F1F"/>
    <w:rsid w:val="00DE50E3"/>
    <w:rsid w:val="00DE5212"/>
    <w:rsid w:val="00DE522B"/>
    <w:rsid w:val="00DE5277"/>
    <w:rsid w:val="00DE53A3"/>
    <w:rsid w:val="00DE5639"/>
    <w:rsid w:val="00DE572A"/>
    <w:rsid w:val="00DE57F7"/>
    <w:rsid w:val="00DE5817"/>
    <w:rsid w:val="00DE586F"/>
    <w:rsid w:val="00DE590E"/>
    <w:rsid w:val="00DE596E"/>
    <w:rsid w:val="00DE5A33"/>
    <w:rsid w:val="00DE5D27"/>
    <w:rsid w:val="00DE5D31"/>
    <w:rsid w:val="00DE5EE4"/>
    <w:rsid w:val="00DE5EE8"/>
    <w:rsid w:val="00DE61CF"/>
    <w:rsid w:val="00DE6386"/>
    <w:rsid w:val="00DE64D7"/>
    <w:rsid w:val="00DE6686"/>
    <w:rsid w:val="00DE66DB"/>
    <w:rsid w:val="00DE66F2"/>
    <w:rsid w:val="00DE6734"/>
    <w:rsid w:val="00DE6780"/>
    <w:rsid w:val="00DE69D6"/>
    <w:rsid w:val="00DE6AB9"/>
    <w:rsid w:val="00DE6B96"/>
    <w:rsid w:val="00DE6BCF"/>
    <w:rsid w:val="00DE700A"/>
    <w:rsid w:val="00DE7039"/>
    <w:rsid w:val="00DE709F"/>
    <w:rsid w:val="00DE7291"/>
    <w:rsid w:val="00DE72E4"/>
    <w:rsid w:val="00DE7353"/>
    <w:rsid w:val="00DE746F"/>
    <w:rsid w:val="00DE7533"/>
    <w:rsid w:val="00DE7820"/>
    <w:rsid w:val="00DE7956"/>
    <w:rsid w:val="00DE7B3F"/>
    <w:rsid w:val="00DE7C30"/>
    <w:rsid w:val="00DE7D2E"/>
    <w:rsid w:val="00DE7DC5"/>
    <w:rsid w:val="00DE7E4A"/>
    <w:rsid w:val="00DE7E92"/>
    <w:rsid w:val="00DE7F1C"/>
    <w:rsid w:val="00DE7F3F"/>
    <w:rsid w:val="00DE7F5F"/>
    <w:rsid w:val="00DF0249"/>
    <w:rsid w:val="00DF02AF"/>
    <w:rsid w:val="00DF030D"/>
    <w:rsid w:val="00DF041D"/>
    <w:rsid w:val="00DF0624"/>
    <w:rsid w:val="00DF087F"/>
    <w:rsid w:val="00DF0951"/>
    <w:rsid w:val="00DF0990"/>
    <w:rsid w:val="00DF0A74"/>
    <w:rsid w:val="00DF0AC9"/>
    <w:rsid w:val="00DF0C00"/>
    <w:rsid w:val="00DF0D51"/>
    <w:rsid w:val="00DF0DC2"/>
    <w:rsid w:val="00DF0E70"/>
    <w:rsid w:val="00DF0ED8"/>
    <w:rsid w:val="00DF0F6D"/>
    <w:rsid w:val="00DF1011"/>
    <w:rsid w:val="00DF10EE"/>
    <w:rsid w:val="00DF11B3"/>
    <w:rsid w:val="00DF13BA"/>
    <w:rsid w:val="00DF1673"/>
    <w:rsid w:val="00DF1679"/>
    <w:rsid w:val="00DF16FE"/>
    <w:rsid w:val="00DF1770"/>
    <w:rsid w:val="00DF18E0"/>
    <w:rsid w:val="00DF1949"/>
    <w:rsid w:val="00DF1B39"/>
    <w:rsid w:val="00DF1BC1"/>
    <w:rsid w:val="00DF1BCE"/>
    <w:rsid w:val="00DF1DCB"/>
    <w:rsid w:val="00DF1E46"/>
    <w:rsid w:val="00DF1FB2"/>
    <w:rsid w:val="00DF2007"/>
    <w:rsid w:val="00DF202B"/>
    <w:rsid w:val="00DF2046"/>
    <w:rsid w:val="00DF215F"/>
    <w:rsid w:val="00DF2191"/>
    <w:rsid w:val="00DF2196"/>
    <w:rsid w:val="00DF2247"/>
    <w:rsid w:val="00DF23EB"/>
    <w:rsid w:val="00DF2548"/>
    <w:rsid w:val="00DF26FB"/>
    <w:rsid w:val="00DF27E9"/>
    <w:rsid w:val="00DF27EF"/>
    <w:rsid w:val="00DF2867"/>
    <w:rsid w:val="00DF28EF"/>
    <w:rsid w:val="00DF2993"/>
    <w:rsid w:val="00DF2A54"/>
    <w:rsid w:val="00DF2B56"/>
    <w:rsid w:val="00DF2B9F"/>
    <w:rsid w:val="00DF2C41"/>
    <w:rsid w:val="00DF2E92"/>
    <w:rsid w:val="00DF2EB5"/>
    <w:rsid w:val="00DF2F32"/>
    <w:rsid w:val="00DF302D"/>
    <w:rsid w:val="00DF305F"/>
    <w:rsid w:val="00DF316E"/>
    <w:rsid w:val="00DF328B"/>
    <w:rsid w:val="00DF331E"/>
    <w:rsid w:val="00DF3336"/>
    <w:rsid w:val="00DF3344"/>
    <w:rsid w:val="00DF3380"/>
    <w:rsid w:val="00DF3400"/>
    <w:rsid w:val="00DF354F"/>
    <w:rsid w:val="00DF3984"/>
    <w:rsid w:val="00DF39C2"/>
    <w:rsid w:val="00DF3A1D"/>
    <w:rsid w:val="00DF3CF5"/>
    <w:rsid w:val="00DF3EE1"/>
    <w:rsid w:val="00DF40A3"/>
    <w:rsid w:val="00DF4276"/>
    <w:rsid w:val="00DF42C5"/>
    <w:rsid w:val="00DF4680"/>
    <w:rsid w:val="00DF47FC"/>
    <w:rsid w:val="00DF48D3"/>
    <w:rsid w:val="00DF4ABB"/>
    <w:rsid w:val="00DF4B1F"/>
    <w:rsid w:val="00DF4C41"/>
    <w:rsid w:val="00DF4D0B"/>
    <w:rsid w:val="00DF4DC6"/>
    <w:rsid w:val="00DF4E72"/>
    <w:rsid w:val="00DF4FDD"/>
    <w:rsid w:val="00DF515A"/>
    <w:rsid w:val="00DF5160"/>
    <w:rsid w:val="00DF520B"/>
    <w:rsid w:val="00DF525F"/>
    <w:rsid w:val="00DF538B"/>
    <w:rsid w:val="00DF53D6"/>
    <w:rsid w:val="00DF54FC"/>
    <w:rsid w:val="00DF5533"/>
    <w:rsid w:val="00DF55A0"/>
    <w:rsid w:val="00DF55E2"/>
    <w:rsid w:val="00DF56F0"/>
    <w:rsid w:val="00DF5704"/>
    <w:rsid w:val="00DF57F1"/>
    <w:rsid w:val="00DF5829"/>
    <w:rsid w:val="00DF5890"/>
    <w:rsid w:val="00DF589B"/>
    <w:rsid w:val="00DF58FD"/>
    <w:rsid w:val="00DF59EE"/>
    <w:rsid w:val="00DF5C4C"/>
    <w:rsid w:val="00DF5C53"/>
    <w:rsid w:val="00DF5CD6"/>
    <w:rsid w:val="00DF5DBC"/>
    <w:rsid w:val="00DF5DDC"/>
    <w:rsid w:val="00DF5DFF"/>
    <w:rsid w:val="00DF5E27"/>
    <w:rsid w:val="00DF5F14"/>
    <w:rsid w:val="00DF5F55"/>
    <w:rsid w:val="00DF6000"/>
    <w:rsid w:val="00DF6022"/>
    <w:rsid w:val="00DF60F3"/>
    <w:rsid w:val="00DF6161"/>
    <w:rsid w:val="00DF62E1"/>
    <w:rsid w:val="00DF632F"/>
    <w:rsid w:val="00DF6493"/>
    <w:rsid w:val="00DF64B9"/>
    <w:rsid w:val="00DF64E6"/>
    <w:rsid w:val="00DF65A2"/>
    <w:rsid w:val="00DF6638"/>
    <w:rsid w:val="00DF6672"/>
    <w:rsid w:val="00DF6922"/>
    <w:rsid w:val="00DF6A54"/>
    <w:rsid w:val="00DF6A63"/>
    <w:rsid w:val="00DF6DD8"/>
    <w:rsid w:val="00DF6E51"/>
    <w:rsid w:val="00DF6ECA"/>
    <w:rsid w:val="00DF708C"/>
    <w:rsid w:val="00DF7175"/>
    <w:rsid w:val="00DF7255"/>
    <w:rsid w:val="00DF73E3"/>
    <w:rsid w:val="00DF73E4"/>
    <w:rsid w:val="00DF73EE"/>
    <w:rsid w:val="00DF74A4"/>
    <w:rsid w:val="00DF7530"/>
    <w:rsid w:val="00DF7631"/>
    <w:rsid w:val="00DF7787"/>
    <w:rsid w:val="00DF7811"/>
    <w:rsid w:val="00DF7939"/>
    <w:rsid w:val="00DF796B"/>
    <w:rsid w:val="00DF79B5"/>
    <w:rsid w:val="00DF7A37"/>
    <w:rsid w:val="00DF7A57"/>
    <w:rsid w:val="00DF7AB0"/>
    <w:rsid w:val="00DF7CA9"/>
    <w:rsid w:val="00DF7F2C"/>
    <w:rsid w:val="00DF7F4A"/>
    <w:rsid w:val="00E0005A"/>
    <w:rsid w:val="00E000C1"/>
    <w:rsid w:val="00E00127"/>
    <w:rsid w:val="00E0014C"/>
    <w:rsid w:val="00E00168"/>
    <w:rsid w:val="00E001BA"/>
    <w:rsid w:val="00E002E3"/>
    <w:rsid w:val="00E00340"/>
    <w:rsid w:val="00E003F2"/>
    <w:rsid w:val="00E00472"/>
    <w:rsid w:val="00E00512"/>
    <w:rsid w:val="00E00544"/>
    <w:rsid w:val="00E0061C"/>
    <w:rsid w:val="00E006AD"/>
    <w:rsid w:val="00E006DB"/>
    <w:rsid w:val="00E007F2"/>
    <w:rsid w:val="00E0088C"/>
    <w:rsid w:val="00E00896"/>
    <w:rsid w:val="00E009E8"/>
    <w:rsid w:val="00E00AEC"/>
    <w:rsid w:val="00E00AEE"/>
    <w:rsid w:val="00E00C73"/>
    <w:rsid w:val="00E00C96"/>
    <w:rsid w:val="00E00C9B"/>
    <w:rsid w:val="00E00DF5"/>
    <w:rsid w:val="00E00F06"/>
    <w:rsid w:val="00E00F72"/>
    <w:rsid w:val="00E01057"/>
    <w:rsid w:val="00E0109E"/>
    <w:rsid w:val="00E01212"/>
    <w:rsid w:val="00E01261"/>
    <w:rsid w:val="00E0130B"/>
    <w:rsid w:val="00E01546"/>
    <w:rsid w:val="00E01565"/>
    <w:rsid w:val="00E016F8"/>
    <w:rsid w:val="00E017C4"/>
    <w:rsid w:val="00E01811"/>
    <w:rsid w:val="00E01860"/>
    <w:rsid w:val="00E019F9"/>
    <w:rsid w:val="00E01AD6"/>
    <w:rsid w:val="00E01B14"/>
    <w:rsid w:val="00E01DE0"/>
    <w:rsid w:val="00E01F72"/>
    <w:rsid w:val="00E01F74"/>
    <w:rsid w:val="00E01FA4"/>
    <w:rsid w:val="00E01FF6"/>
    <w:rsid w:val="00E02241"/>
    <w:rsid w:val="00E02417"/>
    <w:rsid w:val="00E025D6"/>
    <w:rsid w:val="00E02658"/>
    <w:rsid w:val="00E0265D"/>
    <w:rsid w:val="00E02686"/>
    <w:rsid w:val="00E02782"/>
    <w:rsid w:val="00E0278D"/>
    <w:rsid w:val="00E02BA5"/>
    <w:rsid w:val="00E02C28"/>
    <w:rsid w:val="00E02C4B"/>
    <w:rsid w:val="00E02C76"/>
    <w:rsid w:val="00E02E2C"/>
    <w:rsid w:val="00E03029"/>
    <w:rsid w:val="00E0312E"/>
    <w:rsid w:val="00E03171"/>
    <w:rsid w:val="00E031F0"/>
    <w:rsid w:val="00E03222"/>
    <w:rsid w:val="00E034DA"/>
    <w:rsid w:val="00E035DE"/>
    <w:rsid w:val="00E037BA"/>
    <w:rsid w:val="00E03873"/>
    <w:rsid w:val="00E038D5"/>
    <w:rsid w:val="00E039EE"/>
    <w:rsid w:val="00E03C0B"/>
    <w:rsid w:val="00E03CDC"/>
    <w:rsid w:val="00E03DA4"/>
    <w:rsid w:val="00E03DA6"/>
    <w:rsid w:val="00E03E3F"/>
    <w:rsid w:val="00E03FF1"/>
    <w:rsid w:val="00E04140"/>
    <w:rsid w:val="00E04158"/>
    <w:rsid w:val="00E04490"/>
    <w:rsid w:val="00E04531"/>
    <w:rsid w:val="00E0458B"/>
    <w:rsid w:val="00E0458E"/>
    <w:rsid w:val="00E0469E"/>
    <w:rsid w:val="00E04710"/>
    <w:rsid w:val="00E04834"/>
    <w:rsid w:val="00E0489D"/>
    <w:rsid w:val="00E04927"/>
    <w:rsid w:val="00E0492E"/>
    <w:rsid w:val="00E049E8"/>
    <w:rsid w:val="00E04A8E"/>
    <w:rsid w:val="00E04BB5"/>
    <w:rsid w:val="00E04C14"/>
    <w:rsid w:val="00E04EC4"/>
    <w:rsid w:val="00E04F84"/>
    <w:rsid w:val="00E04FDD"/>
    <w:rsid w:val="00E051B4"/>
    <w:rsid w:val="00E0521A"/>
    <w:rsid w:val="00E052B8"/>
    <w:rsid w:val="00E053DE"/>
    <w:rsid w:val="00E0542C"/>
    <w:rsid w:val="00E054D8"/>
    <w:rsid w:val="00E055D1"/>
    <w:rsid w:val="00E0564E"/>
    <w:rsid w:val="00E056C3"/>
    <w:rsid w:val="00E056D2"/>
    <w:rsid w:val="00E0583F"/>
    <w:rsid w:val="00E05AB3"/>
    <w:rsid w:val="00E05BBA"/>
    <w:rsid w:val="00E05C12"/>
    <w:rsid w:val="00E05E2B"/>
    <w:rsid w:val="00E05FBA"/>
    <w:rsid w:val="00E0604D"/>
    <w:rsid w:val="00E0605B"/>
    <w:rsid w:val="00E060DB"/>
    <w:rsid w:val="00E0613F"/>
    <w:rsid w:val="00E06231"/>
    <w:rsid w:val="00E0623F"/>
    <w:rsid w:val="00E06299"/>
    <w:rsid w:val="00E06472"/>
    <w:rsid w:val="00E06477"/>
    <w:rsid w:val="00E0661D"/>
    <w:rsid w:val="00E06715"/>
    <w:rsid w:val="00E06968"/>
    <w:rsid w:val="00E0696C"/>
    <w:rsid w:val="00E069A4"/>
    <w:rsid w:val="00E069D6"/>
    <w:rsid w:val="00E06A2F"/>
    <w:rsid w:val="00E06A72"/>
    <w:rsid w:val="00E06B8D"/>
    <w:rsid w:val="00E06C5B"/>
    <w:rsid w:val="00E06D15"/>
    <w:rsid w:val="00E06D7C"/>
    <w:rsid w:val="00E06DFD"/>
    <w:rsid w:val="00E06F07"/>
    <w:rsid w:val="00E06F14"/>
    <w:rsid w:val="00E06F52"/>
    <w:rsid w:val="00E06FF6"/>
    <w:rsid w:val="00E0703A"/>
    <w:rsid w:val="00E071C9"/>
    <w:rsid w:val="00E071EB"/>
    <w:rsid w:val="00E07202"/>
    <w:rsid w:val="00E0727C"/>
    <w:rsid w:val="00E07329"/>
    <w:rsid w:val="00E0748F"/>
    <w:rsid w:val="00E0752E"/>
    <w:rsid w:val="00E07558"/>
    <w:rsid w:val="00E0756E"/>
    <w:rsid w:val="00E07671"/>
    <w:rsid w:val="00E076DB"/>
    <w:rsid w:val="00E076FB"/>
    <w:rsid w:val="00E07740"/>
    <w:rsid w:val="00E07754"/>
    <w:rsid w:val="00E0776C"/>
    <w:rsid w:val="00E0776D"/>
    <w:rsid w:val="00E0785D"/>
    <w:rsid w:val="00E078EB"/>
    <w:rsid w:val="00E0791F"/>
    <w:rsid w:val="00E079F3"/>
    <w:rsid w:val="00E07C82"/>
    <w:rsid w:val="00E07CB8"/>
    <w:rsid w:val="00E07E4B"/>
    <w:rsid w:val="00E07E63"/>
    <w:rsid w:val="00E07F83"/>
    <w:rsid w:val="00E07F87"/>
    <w:rsid w:val="00E07FC9"/>
    <w:rsid w:val="00E07FDB"/>
    <w:rsid w:val="00E10007"/>
    <w:rsid w:val="00E100CB"/>
    <w:rsid w:val="00E1011F"/>
    <w:rsid w:val="00E101C8"/>
    <w:rsid w:val="00E101ED"/>
    <w:rsid w:val="00E104E5"/>
    <w:rsid w:val="00E10577"/>
    <w:rsid w:val="00E10645"/>
    <w:rsid w:val="00E106B3"/>
    <w:rsid w:val="00E107AC"/>
    <w:rsid w:val="00E1087D"/>
    <w:rsid w:val="00E108E8"/>
    <w:rsid w:val="00E108EF"/>
    <w:rsid w:val="00E109E2"/>
    <w:rsid w:val="00E10ABD"/>
    <w:rsid w:val="00E10AD8"/>
    <w:rsid w:val="00E10BE3"/>
    <w:rsid w:val="00E10CC9"/>
    <w:rsid w:val="00E10D37"/>
    <w:rsid w:val="00E10DDA"/>
    <w:rsid w:val="00E10E23"/>
    <w:rsid w:val="00E10ECA"/>
    <w:rsid w:val="00E10F4A"/>
    <w:rsid w:val="00E11064"/>
    <w:rsid w:val="00E1108C"/>
    <w:rsid w:val="00E1142E"/>
    <w:rsid w:val="00E114E2"/>
    <w:rsid w:val="00E11507"/>
    <w:rsid w:val="00E11514"/>
    <w:rsid w:val="00E1177E"/>
    <w:rsid w:val="00E11902"/>
    <w:rsid w:val="00E11A3C"/>
    <w:rsid w:val="00E11A71"/>
    <w:rsid w:val="00E11B4A"/>
    <w:rsid w:val="00E11B52"/>
    <w:rsid w:val="00E11C78"/>
    <w:rsid w:val="00E11D52"/>
    <w:rsid w:val="00E11DED"/>
    <w:rsid w:val="00E11E50"/>
    <w:rsid w:val="00E11ECA"/>
    <w:rsid w:val="00E11FD3"/>
    <w:rsid w:val="00E120C9"/>
    <w:rsid w:val="00E12135"/>
    <w:rsid w:val="00E123BD"/>
    <w:rsid w:val="00E1250E"/>
    <w:rsid w:val="00E12533"/>
    <w:rsid w:val="00E125DC"/>
    <w:rsid w:val="00E125E6"/>
    <w:rsid w:val="00E12827"/>
    <w:rsid w:val="00E12882"/>
    <w:rsid w:val="00E128F1"/>
    <w:rsid w:val="00E12A23"/>
    <w:rsid w:val="00E12A60"/>
    <w:rsid w:val="00E12A7A"/>
    <w:rsid w:val="00E12B29"/>
    <w:rsid w:val="00E12C3C"/>
    <w:rsid w:val="00E12E2D"/>
    <w:rsid w:val="00E12ECE"/>
    <w:rsid w:val="00E13015"/>
    <w:rsid w:val="00E1301A"/>
    <w:rsid w:val="00E13080"/>
    <w:rsid w:val="00E13362"/>
    <w:rsid w:val="00E13425"/>
    <w:rsid w:val="00E13437"/>
    <w:rsid w:val="00E1345F"/>
    <w:rsid w:val="00E135DD"/>
    <w:rsid w:val="00E13682"/>
    <w:rsid w:val="00E1373C"/>
    <w:rsid w:val="00E1381E"/>
    <w:rsid w:val="00E13836"/>
    <w:rsid w:val="00E138F3"/>
    <w:rsid w:val="00E139AF"/>
    <w:rsid w:val="00E13B29"/>
    <w:rsid w:val="00E13C11"/>
    <w:rsid w:val="00E13C1E"/>
    <w:rsid w:val="00E13D1E"/>
    <w:rsid w:val="00E13E20"/>
    <w:rsid w:val="00E13E8A"/>
    <w:rsid w:val="00E13FA9"/>
    <w:rsid w:val="00E140C5"/>
    <w:rsid w:val="00E14124"/>
    <w:rsid w:val="00E14234"/>
    <w:rsid w:val="00E14308"/>
    <w:rsid w:val="00E1444D"/>
    <w:rsid w:val="00E144F4"/>
    <w:rsid w:val="00E1456B"/>
    <w:rsid w:val="00E145FD"/>
    <w:rsid w:val="00E14947"/>
    <w:rsid w:val="00E1494F"/>
    <w:rsid w:val="00E14A12"/>
    <w:rsid w:val="00E14A24"/>
    <w:rsid w:val="00E14AD9"/>
    <w:rsid w:val="00E14B42"/>
    <w:rsid w:val="00E14BE8"/>
    <w:rsid w:val="00E14F81"/>
    <w:rsid w:val="00E14FC1"/>
    <w:rsid w:val="00E15098"/>
    <w:rsid w:val="00E15286"/>
    <w:rsid w:val="00E152B3"/>
    <w:rsid w:val="00E15337"/>
    <w:rsid w:val="00E15445"/>
    <w:rsid w:val="00E15452"/>
    <w:rsid w:val="00E154AD"/>
    <w:rsid w:val="00E1555C"/>
    <w:rsid w:val="00E1560C"/>
    <w:rsid w:val="00E1574A"/>
    <w:rsid w:val="00E1577A"/>
    <w:rsid w:val="00E157F7"/>
    <w:rsid w:val="00E1593D"/>
    <w:rsid w:val="00E15A9F"/>
    <w:rsid w:val="00E15B6F"/>
    <w:rsid w:val="00E15BB2"/>
    <w:rsid w:val="00E15D3D"/>
    <w:rsid w:val="00E15DFE"/>
    <w:rsid w:val="00E15EDA"/>
    <w:rsid w:val="00E15F22"/>
    <w:rsid w:val="00E160EE"/>
    <w:rsid w:val="00E16185"/>
    <w:rsid w:val="00E1619F"/>
    <w:rsid w:val="00E16227"/>
    <w:rsid w:val="00E16296"/>
    <w:rsid w:val="00E16306"/>
    <w:rsid w:val="00E16346"/>
    <w:rsid w:val="00E16350"/>
    <w:rsid w:val="00E163F2"/>
    <w:rsid w:val="00E1647F"/>
    <w:rsid w:val="00E165EE"/>
    <w:rsid w:val="00E166D4"/>
    <w:rsid w:val="00E167B4"/>
    <w:rsid w:val="00E1693D"/>
    <w:rsid w:val="00E16A55"/>
    <w:rsid w:val="00E16C05"/>
    <w:rsid w:val="00E16C4B"/>
    <w:rsid w:val="00E16CF1"/>
    <w:rsid w:val="00E16D1C"/>
    <w:rsid w:val="00E16D71"/>
    <w:rsid w:val="00E16DBB"/>
    <w:rsid w:val="00E16F31"/>
    <w:rsid w:val="00E16FEB"/>
    <w:rsid w:val="00E17134"/>
    <w:rsid w:val="00E17239"/>
    <w:rsid w:val="00E17296"/>
    <w:rsid w:val="00E173D8"/>
    <w:rsid w:val="00E17430"/>
    <w:rsid w:val="00E1767C"/>
    <w:rsid w:val="00E17778"/>
    <w:rsid w:val="00E177F8"/>
    <w:rsid w:val="00E17929"/>
    <w:rsid w:val="00E1799F"/>
    <w:rsid w:val="00E179CA"/>
    <w:rsid w:val="00E17A24"/>
    <w:rsid w:val="00E17A95"/>
    <w:rsid w:val="00E17A9E"/>
    <w:rsid w:val="00E17AAA"/>
    <w:rsid w:val="00E17AB2"/>
    <w:rsid w:val="00E17ACB"/>
    <w:rsid w:val="00E17B31"/>
    <w:rsid w:val="00E17B93"/>
    <w:rsid w:val="00E17F07"/>
    <w:rsid w:val="00E20038"/>
    <w:rsid w:val="00E20042"/>
    <w:rsid w:val="00E2025D"/>
    <w:rsid w:val="00E203B6"/>
    <w:rsid w:val="00E204F1"/>
    <w:rsid w:val="00E20520"/>
    <w:rsid w:val="00E2052C"/>
    <w:rsid w:val="00E20623"/>
    <w:rsid w:val="00E2064B"/>
    <w:rsid w:val="00E2072F"/>
    <w:rsid w:val="00E207EF"/>
    <w:rsid w:val="00E20807"/>
    <w:rsid w:val="00E2081A"/>
    <w:rsid w:val="00E20890"/>
    <w:rsid w:val="00E20928"/>
    <w:rsid w:val="00E20991"/>
    <w:rsid w:val="00E20A08"/>
    <w:rsid w:val="00E20B35"/>
    <w:rsid w:val="00E20B77"/>
    <w:rsid w:val="00E20CDD"/>
    <w:rsid w:val="00E20D61"/>
    <w:rsid w:val="00E20D8A"/>
    <w:rsid w:val="00E20D95"/>
    <w:rsid w:val="00E20DA7"/>
    <w:rsid w:val="00E20DC9"/>
    <w:rsid w:val="00E20DFB"/>
    <w:rsid w:val="00E20E82"/>
    <w:rsid w:val="00E20FD1"/>
    <w:rsid w:val="00E21002"/>
    <w:rsid w:val="00E21055"/>
    <w:rsid w:val="00E2108F"/>
    <w:rsid w:val="00E212A5"/>
    <w:rsid w:val="00E212C8"/>
    <w:rsid w:val="00E21474"/>
    <w:rsid w:val="00E218CB"/>
    <w:rsid w:val="00E218DA"/>
    <w:rsid w:val="00E21AD3"/>
    <w:rsid w:val="00E21C9D"/>
    <w:rsid w:val="00E21CCC"/>
    <w:rsid w:val="00E21CF0"/>
    <w:rsid w:val="00E21DA6"/>
    <w:rsid w:val="00E21E06"/>
    <w:rsid w:val="00E21E78"/>
    <w:rsid w:val="00E21F51"/>
    <w:rsid w:val="00E21F8B"/>
    <w:rsid w:val="00E22067"/>
    <w:rsid w:val="00E22163"/>
    <w:rsid w:val="00E2217B"/>
    <w:rsid w:val="00E2239B"/>
    <w:rsid w:val="00E22450"/>
    <w:rsid w:val="00E2246D"/>
    <w:rsid w:val="00E2254B"/>
    <w:rsid w:val="00E2263C"/>
    <w:rsid w:val="00E226FA"/>
    <w:rsid w:val="00E22708"/>
    <w:rsid w:val="00E227E0"/>
    <w:rsid w:val="00E22A06"/>
    <w:rsid w:val="00E22BD7"/>
    <w:rsid w:val="00E22C0B"/>
    <w:rsid w:val="00E22DDD"/>
    <w:rsid w:val="00E22EBA"/>
    <w:rsid w:val="00E22FE9"/>
    <w:rsid w:val="00E23075"/>
    <w:rsid w:val="00E2307B"/>
    <w:rsid w:val="00E23094"/>
    <w:rsid w:val="00E230F6"/>
    <w:rsid w:val="00E2312B"/>
    <w:rsid w:val="00E2317E"/>
    <w:rsid w:val="00E2321B"/>
    <w:rsid w:val="00E23236"/>
    <w:rsid w:val="00E23289"/>
    <w:rsid w:val="00E236B9"/>
    <w:rsid w:val="00E237BE"/>
    <w:rsid w:val="00E23850"/>
    <w:rsid w:val="00E238C6"/>
    <w:rsid w:val="00E2393C"/>
    <w:rsid w:val="00E239CD"/>
    <w:rsid w:val="00E23AFF"/>
    <w:rsid w:val="00E23B1D"/>
    <w:rsid w:val="00E23B81"/>
    <w:rsid w:val="00E23DF0"/>
    <w:rsid w:val="00E23FAF"/>
    <w:rsid w:val="00E23FB5"/>
    <w:rsid w:val="00E23FF1"/>
    <w:rsid w:val="00E240D8"/>
    <w:rsid w:val="00E241EB"/>
    <w:rsid w:val="00E24309"/>
    <w:rsid w:val="00E244E6"/>
    <w:rsid w:val="00E245B0"/>
    <w:rsid w:val="00E2464F"/>
    <w:rsid w:val="00E24692"/>
    <w:rsid w:val="00E247DB"/>
    <w:rsid w:val="00E247F5"/>
    <w:rsid w:val="00E248D0"/>
    <w:rsid w:val="00E2490F"/>
    <w:rsid w:val="00E2496A"/>
    <w:rsid w:val="00E24A0F"/>
    <w:rsid w:val="00E24B3A"/>
    <w:rsid w:val="00E24B6F"/>
    <w:rsid w:val="00E24BD0"/>
    <w:rsid w:val="00E24BEC"/>
    <w:rsid w:val="00E24C24"/>
    <w:rsid w:val="00E24CAB"/>
    <w:rsid w:val="00E24D58"/>
    <w:rsid w:val="00E24D95"/>
    <w:rsid w:val="00E251A9"/>
    <w:rsid w:val="00E251F6"/>
    <w:rsid w:val="00E251FE"/>
    <w:rsid w:val="00E25244"/>
    <w:rsid w:val="00E25448"/>
    <w:rsid w:val="00E25466"/>
    <w:rsid w:val="00E25528"/>
    <w:rsid w:val="00E25558"/>
    <w:rsid w:val="00E255A1"/>
    <w:rsid w:val="00E25652"/>
    <w:rsid w:val="00E2577D"/>
    <w:rsid w:val="00E257B7"/>
    <w:rsid w:val="00E25845"/>
    <w:rsid w:val="00E258AA"/>
    <w:rsid w:val="00E25907"/>
    <w:rsid w:val="00E25AC4"/>
    <w:rsid w:val="00E25C36"/>
    <w:rsid w:val="00E25DCD"/>
    <w:rsid w:val="00E25E5C"/>
    <w:rsid w:val="00E25ED1"/>
    <w:rsid w:val="00E26018"/>
    <w:rsid w:val="00E26058"/>
    <w:rsid w:val="00E261A5"/>
    <w:rsid w:val="00E26231"/>
    <w:rsid w:val="00E262D7"/>
    <w:rsid w:val="00E262E8"/>
    <w:rsid w:val="00E2645F"/>
    <w:rsid w:val="00E264C0"/>
    <w:rsid w:val="00E26512"/>
    <w:rsid w:val="00E2651A"/>
    <w:rsid w:val="00E26735"/>
    <w:rsid w:val="00E267D6"/>
    <w:rsid w:val="00E268C5"/>
    <w:rsid w:val="00E269BF"/>
    <w:rsid w:val="00E26AB9"/>
    <w:rsid w:val="00E26AE5"/>
    <w:rsid w:val="00E26B8F"/>
    <w:rsid w:val="00E26BFB"/>
    <w:rsid w:val="00E26C35"/>
    <w:rsid w:val="00E26CA2"/>
    <w:rsid w:val="00E26D77"/>
    <w:rsid w:val="00E26F5E"/>
    <w:rsid w:val="00E26FCB"/>
    <w:rsid w:val="00E270F1"/>
    <w:rsid w:val="00E271C4"/>
    <w:rsid w:val="00E27382"/>
    <w:rsid w:val="00E27438"/>
    <w:rsid w:val="00E27507"/>
    <w:rsid w:val="00E27623"/>
    <w:rsid w:val="00E276C3"/>
    <w:rsid w:val="00E276E8"/>
    <w:rsid w:val="00E278E1"/>
    <w:rsid w:val="00E279F8"/>
    <w:rsid w:val="00E27A19"/>
    <w:rsid w:val="00E27B6E"/>
    <w:rsid w:val="00E27C96"/>
    <w:rsid w:val="00E27D03"/>
    <w:rsid w:val="00E27E4F"/>
    <w:rsid w:val="00E27ED3"/>
    <w:rsid w:val="00E27F2B"/>
    <w:rsid w:val="00E27F7F"/>
    <w:rsid w:val="00E27FEB"/>
    <w:rsid w:val="00E300BA"/>
    <w:rsid w:val="00E30431"/>
    <w:rsid w:val="00E3047B"/>
    <w:rsid w:val="00E30574"/>
    <w:rsid w:val="00E30578"/>
    <w:rsid w:val="00E307E0"/>
    <w:rsid w:val="00E30905"/>
    <w:rsid w:val="00E30B0B"/>
    <w:rsid w:val="00E30B3C"/>
    <w:rsid w:val="00E30B97"/>
    <w:rsid w:val="00E30BCA"/>
    <w:rsid w:val="00E30BE7"/>
    <w:rsid w:val="00E30C11"/>
    <w:rsid w:val="00E30C8C"/>
    <w:rsid w:val="00E30D7B"/>
    <w:rsid w:val="00E30EF9"/>
    <w:rsid w:val="00E30F39"/>
    <w:rsid w:val="00E30F8B"/>
    <w:rsid w:val="00E30FA3"/>
    <w:rsid w:val="00E31022"/>
    <w:rsid w:val="00E310B0"/>
    <w:rsid w:val="00E31166"/>
    <w:rsid w:val="00E311DA"/>
    <w:rsid w:val="00E314F5"/>
    <w:rsid w:val="00E31504"/>
    <w:rsid w:val="00E315D7"/>
    <w:rsid w:val="00E3177A"/>
    <w:rsid w:val="00E317D8"/>
    <w:rsid w:val="00E318A4"/>
    <w:rsid w:val="00E318B6"/>
    <w:rsid w:val="00E318FC"/>
    <w:rsid w:val="00E3190E"/>
    <w:rsid w:val="00E31A8D"/>
    <w:rsid w:val="00E31C3E"/>
    <w:rsid w:val="00E31D51"/>
    <w:rsid w:val="00E31E81"/>
    <w:rsid w:val="00E31F99"/>
    <w:rsid w:val="00E320AD"/>
    <w:rsid w:val="00E32103"/>
    <w:rsid w:val="00E321F1"/>
    <w:rsid w:val="00E32242"/>
    <w:rsid w:val="00E32372"/>
    <w:rsid w:val="00E3247F"/>
    <w:rsid w:val="00E3255E"/>
    <w:rsid w:val="00E32610"/>
    <w:rsid w:val="00E326D9"/>
    <w:rsid w:val="00E32779"/>
    <w:rsid w:val="00E32837"/>
    <w:rsid w:val="00E3299B"/>
    <w:rsid w:val="00E32A01"/>
    <w:rsid w:val="00E32ADD"/>
    <w:rsid w:val="00E32BE1"/>
    <w:rsid w:val="00E32C2B"/>
    <w:rsid w:val="00E32C91"/>
    <w:rsid w:val="00E32CD7"/>
    <w:rsid w:val="00E32D78"/>
    <w:rsid w:val="00E32DC7"/>
    <w:rsid w:val="00E32FFE"/>
    <w:rsid w:val="00E3301E"/>
    <w:rsid w:val="00E33115"/>
    <w:rsid w:val="00E332F5"/>
    <w:rsid w:val="00E332FA"/>
    <w:rsid w:val="00E332FE"/>
    <w:rsid w:val="00E3334A"/>
    <w:rsid w:val="00E3343C"/>
    <w:rsid w:val="00E334A8"/>
    <w:rsid w:val="00E334ED"/>
    <w:rsid w:val="00E3353F"/>
    <w:rsid w:val="00E335EE"/>
    <w:rsid w:val="00E3370F"/>
    <w:rsid w:val="00E3378C"/>
    <w:rsid w:val="00E337BC"/>
    <w:rsid w:val="00E3390D"/>
    <w:rsid w:val="00E33A97"/>
    <w:rsid w:val="00E33AB9"/>
    <w:rsid w:val="00E33CA7"/>
    <w:rsid w:val="00E33DB1"/>
    <w:rsid w:val="00E33E5E"/>
    <w:rsid w:val="00E34027"/>
    <w:rsid w:val="00E3419C"/>
    <w:rsid w:val="00E34214"/>
    <w:rsid w:val="00E34535"/>
    <w:rsid w:val="00E3456F"/>
    <w:rsid w:val="00E34575"/>
    <w:rsid w:val="00E34674"/>
    <w:rsid w:val="00E34914"/>
    <w:rsid w:val="00E34972"/>
    <w:rsid w:val="00E349DB"/>
    <w:rsid w:val="00E34AD3"/>
    <w:rsid w:val="00E34B3A"/>
    <w:rsid w:val="00E34B4F"/>
    <w:rsid w:val="00E34B92"/>
    <w:rsid w:val="00E34C4B"/>
    <w:rsid w:val="00E34DA7"/>
    <w:rsid w:val="00E34E38"/>
    <w:rsid w:val="00E34E5D"/>
    <w:rsid w:val="00E3506E"/>
    <w:rsid w:val="00E350CA"/>
    <w:rsid w:val="00E350E1"/>
    <w:rsid w:val="00E351AB"/>
    <w:rsid w:val="00E351DB"/>
    <w:rsid w:val="00E352B0"/>
    <w:rsid w:val="00E352DF"/>
    <w:rsid w:val="00E35315"/>
    <w:rsid w:val="00E35502"/>
    <w:rsid w:val="00E355AF"/>
    <w:rsid w:val="00E3586C"/>
    <w:rsid w:val="00E35AE3"/>
    <w:rsid w:val="00E35B03"/>
    <w:rsid w:val="00E35B71"/>
    <w:rsid w:val="00E35B8A"/>
    <w:rsid w:val="00E35C6F"/>
    <w:rsid w:val="00E35C88"/>
    <w:rsid w:val="00E35CB2"/>
    <w:rsid w:val="00E35D23"/>
    <w:rsid w:val="00E35D30"/>
    <w:rsid w:val="00E35F3C"/>
    <w:rsid w:val="00E35F77"/>
    <w:rsid w:val="00E35FFA"/>
    <w:rsid w:val="00E36173"/>
    <w:rsid w:val="00E361B2"/>
    <w:rsid w:val="00E36295"/>
    <w:rsid w:val="00E365D0"/>
    <w:rsid w:val="00E36691"/>
    <w:rsid w:val="00E3669A"/>
    <w:rsid w:val="00E36753"/>
    <w:rsid w:val="00E367B7"/>
    <w:rsid w:val="00E367BE"/>
    <w:rsid w:val="00E368B3"/>
    <w:rsid w:val="00E368F2"/>
    <w:rsid w:val="00E3699F"/>
    <w:rsid w:val="00E369C4"/>
    <w:rsid w:val="00E36A82"/>
    <w:rsid w:val="00E36B15"/>
    <w:rsid w:val="00E36B28"/>
    <w:rsid w:val="00E36B29"/>
    <w:rsid w:val="00E36BE9"/>
    <w:rsid w:val="00E36D18"/>
    <w:rsid w:val="00E36D7D"/>
    <w:rsid w:val="00E36F27"/>
    <w:rsid w:val="00E36F53"/>
    <w:rsid w:val="00E36F75"/>
    <w:rsid w:val="00E37055"/>
    <w:rsid w:val="00E371B7"/>
    <w:rsid w:val="00E371F8"/>
    <w:rsid w:val="00E37212"/>
    <w:rsid w:val="00E372F8"/>
    <w:rsid w:val="00E3747E"/>
    <w:rsid w:val="00E3753C"/>
    <w:rsid w:val="00E37727"/>
    <w:rsid w:val="00E3780C"/>
    <w:rsid w:val="00E37899"/>
    <w:rsid w:val="00E378E1"/>
    <w:rsid w:val="00E37AF8"/>
    <w:rsid w:val="00E37B53"/>
    <w:rsid w:val="00E37B7B"/>
    <w:rsid w:val="00E37C62"/>
    <w:rsid w:val="00E37D8B"/>
    <w:rsid w:val="00E37E87"/>
    <w:rsid w:val="00E4005E"/>
    <w:rsid w:val="00E400F7"/>
    <w:rsid w:val="00E40171"/>
    <w:rsid w:val="00E40230"/>
    <w:rsid w:val="00E40232"/>
    <w:rsid w:val="00E4039E"/>
    <w:rsid w:val="00E403B5"/>
    <w:rsid w:val="00E403DE"/>
    <w:rsid w:val="00E404EB"/>
    <w:rsid w:val="00E40597"/>
    <w:rsid w:val="00E405B0"/>
    <w:rsid w:val="00E406DB"/>
    <w:rsid w:val="00E40B08"/>
    <w:rsid w:val="00E40BDA"/>
    <w:rsid w:val="00E40C18"/>
    <w:rsid w:val="00E40D28"/>
    <w:rsid w:val="00E40D2A"/>
    <w:rsid w:val="00E40D97"/>
    <w:rsid w:val="00E40EAC"/>
    <w:rsid w:val="00E41052"/>
    <w:rsid w:val="00E410F6"/>
    <w:rsid w:val="00E4128E"/>
    <w:rsid w:val="00E412F6"/>
    <w:rsid w:val="00E4133E"/>
    <w:rsid w:val="00E41362"/>
    <w:rsid w:val="00E41371"/>
    <w:rsid w:val="00E41717"/>
    <w:rsid w:val="00E4191C"/>
    <w:rsid w:val="00E41958"/>
    <w:rsid w:val="00E4198A"/>
    <w:rsid w:val="00E419D7"/>
    <w:rsid w:val="00E41AF6"/>
    <w:rsid w:val="00E41B7E"/>
    <w:rsid w:val="00E41CE6"/>
    <w:rsid w:val="00E41CFA"/>
    <w:rsid w:val="00E41DA7"/>
    <w:rsid w:val="00E41EC1"/>
    <w:rsid w:val="00E41EE5"/>
    <w:rsid w:val="00E41F57"/>
    <w:rsid w:val="00E42028"/>
    <w:rsid w:val="00E420C3"/>
    <w:rsid w:val="00E42117"/>
    <w:rsid w:val="00E42174"/>
    <w:rsid w:val="00E4224E"/>
    <w:rsid w:val="00E4231A"/>
    <w:rsid w:val="00E424EE"/>
    <w:rsid w:val="00E42794"/>
    <w:rsid w:val="00E4285A"/>
    <w:rsid w:val="00E42979"/>
    <w:rsid w:val="00E42A08"/>
    <w:rsid w:val="00E42A87"/>
    <w:rsid w:val="00E42AFA"/>
    <w:rsid w:val="00E42B00"/>
    <w:rsid w:val="00E42BB6"/>
    <w:rsid w:val="00E42C9B"/>
    <w:rsid w:val="00E42D3C"/>
    <w:rsid w:val="00E42D67"/>
    <w:rsid w:val="00E42DD3"/>
    <w:rsid w:val="00E42EBD"/>
    <w:rsid w:val="00E42EE1"/>
    <w:rsid w:val="00E42F7E"/>
    <w:rsid w:val="00E4306C"/>
    <w:rsid w:val="00E43097"/>
    <w:rsid w:val="00E430EC"/>
    <w:rsid w:val="00E43129"/>
    <w:rsid w:val="00E431F0"/>
    <w:rsid w:val="00E432A2"/>
    <w:rsid w:val="00E43372"/>
    <w:rsid w:val="00E43379"/>
    <w:rsid w:val="00E435CD"/>
    <w:rsid w:val="00E43749"/>
    <w:rsid w:val="00E437F9"/>
    <w:rsid w:val="00E4380E"/>
    <w:rsid w:val="00E4388C"/>
    <w:rsid w:val="00E43A7A"/>
    <w:rsid w:val="00E43B20"/>
    <w:rsid w:val="00E43BA1"/>
    <w:rsid w:val="00E43C54"/>
    <w:rsid w:val="00E440B3"/>
    <w:rsid w:val="00E440E9"/>
    <w:rsid w:val="00E4412E"/>
    <w:rsid w:val="00E443D4"/>
    <w:rsid w:val="00E443DE"/>
    <w:rsid w:val="00E44464"/>
    <w:rsid w:val="00E444E3"/>
    <w:rsid w:val="00E445A8"/>
    <w:rsid w:val="00E44B18"/>
    <w:rsid w:val="00E44B42"/>
    <w:rsid w:val="00E44CBD"/>
    <w:rsid w:val="00E44D15"/>
    <w:rsid w:val="00E44E95"/>
    <w:rsid w:val="00E4505F"/>
    <w:rsid w:val="00E450BB"/>
    <w:rsid w:val="00E4517B"/>
    <w:rsid w:val="00E451A9"/>
    <w:rsid w:val="00E452B2"/>
    <w:rsid w:val="00E452E8"/>
    <w:rsid w:val="00E45417"/>
    <w:rsid w:val="00E454B4"/>
    <w:rsid w:val="00E45694"/>
    <w:rsid w:val="00E456A5"/>
    <w:rsid w:val="00E456AD"/>
    <w:rsid w:val="00E45709"/>
    <w:rsid w:val="00E457DB"/>
    <w:rsid w:val="00E458EC"/>
    <w:rsid w:val="00E45A08"/>
    <w:rsid w:val="00E45AD5"/>
    <w:rsid w:val="00E45D13"/>
    <w:rsid w:val="00E45DA0"/>
    <w:rsid w:val="00E45F3A"/>
    <w:rsid w:val="00E45FAD"/>
    <w:rsid w:val="00E46038"/>
    <w:rsid w:val="00E461DB"/>
    <w:rsid w:val="00E46287"/>
    <w:rsid w:val="00E46451"/>
    <w:rsid w:val="00E465F9"/>
    <w:rsid w:val="00E46831"/>
    <w:rsid w:val="00E4687C"/>
    <w:rsid w:val="00E4694D"/>
    <w:rsid w:val="00E46962"/>
    <w:rsid w:val="00E46AA4"/>
    <w:rsid w:val="00E46AC0"/>
    <w:rsid w:val="00E46BB9"/>
    <w:rsid w:val="00E46BC3"/>
    <w:rsid w:val="00E46BC8"/>
    <w:rsid w:val="00E46C57"/>
    <w:rsid w:val="00E46D45"/>
    <w:rsid w:val="00E46D6E"/>
    <w:rsid w:val="00E46EB6"/>
    <w:rsid w:val="00E46F6F"/>
    <w:rsid w:val="00E46FB8"/>
    <w:rsid w:val="00E4712C"/>
    <w:rsid w:val="00E471A4"/>
    <w:rsid w:val="00E47222"/>
    <w:rsid w:val="00E472F5"/>
    <w:rsid w:val="00E47357"/>
    <w:rsid w:val="00E47513"/>
    <w:rsid w:val="00E47783"/>
    <w:rsid w:val="00E47871"/>
    <w:rsid w:val="00E478A1"/>
    <w:rsid w:val="00E47909"/>
    <w:rsid w:val="00E47939"/>
    <w:rsid w:val="00E479A9"/>
    <w:rsid w:val="00E479B8"/>
    <w:rsid w:val="00E47A7F"/>
    <w:rsid w:val="00E47AD4"/>
    <w:rsid w:val="00E47AFE"/>
    <w:rsid w:val="00E47B5D"/>
    <w:rsid w:val="00E47BC2"/>
    <w:rsid w:val="00E47D27"/>
    <w:rsid w:val="00E47DE5"/>
    <w:rsid w:val="00E47ECE"/>
    <w:rsid w:val="00E47F5D"/>
    <w:rsid w:val="00E47FEE"/>
    <w:rsid w:val="00E50154"/>
    <w:rsid w:val="00E5016F"/>
    <w:rsid w:val="00E5024F"/>
    <w:rsid w:val="00E50292"/>
    <w:rsid w:val="00E502B8"/>
    <w:rsid w:val="00E5030A"/>
    <w:rsid w:val="00E50538"/>
    <w:rsid w:val="00E50607"/>
    <w:rsid w:val="00E5062E"/>
    <w:rsid w:val="00E5065F"/>
    <w:rsid w:val="00E506FF"/>
    <w:rsid w:val="00E50842"/>
    <w:rsid w:val="00E50883"/>
    <w:rsid w:val="00E508F7"/>
    <w:rsid w:val="00E50931"/>
    <w:rsid w:val="00E50A50"/>
    <w:rsid w:val="00E50AB2"/>
    <w:rsid w:val="00E50AE2"/>
    <w:rsid w:val="00E50BED"/>
    <w:rsid w:val="00E50CDF"/>
    <w:rsid w:val="00E50E8F"/>
    <w:rsid w:val="00E50F68"/>
    <w:rsid w:val="00E50F76"/>
    <w:rsid w:val="00E510E5"/>
    <w:rsid w:val="00E511F7"/>
    <w:rsid w:val="00E51381"/>
    <w:rsid w:val="00E51434"/>
    <w:rsid w:val="00E51448"/>
    <w:rsid w:val="00E514A5"/>
    <w:rsid w:val="00E514B6"/>
    <w:rsid w:val="00E51580"/>
    <w:rsid w:val="00E51647"/>
    <w:rsid w:val="00E516AB"/>
    <w:rsid w:val="00E5170C"/>
    <w:rsid w:val="00E517AF"/>
    <w:rsid w:val="00E517C8"/>
    <w:rsid w:val="00E51895"/>
    <w:rsid w:val="00E518B7"/>
    <w:rsid w:val="00E51911"/>
    <w:rsid w:val="00E51AC2"/>
    <w:rsid w:val="00E51B34"/>
    <w:rsid w:val="00E51B4C"/>
    <w:rsid w:val="00E51CB0"/>
    <w:rsid w:val="00E51CE4"/>
    <w:rsid w:val="00E51CF0"/>
    <w:rsid w:val="00E51CFC"/>
    <w:rsid w:val="00E51D77"/>
    <w:rsid w:val="00E51DDE"/>
    <w:rsid w:val="00E51E35"/>
    <w:rsid w:val="00E51E4F"/>
    <w:rsid w:val="00E51E94"/>
    <w:rsid w:val="00E51F2B"/>
    <w:rsid w:val="00E52049"/>
    <w:rsid w:val="00E520E7"/>
    <w:rsid w:val="00E521C1"/>
    <w:rsid w:val="00E52209"/>
    <w:rsid w:val="00E5220C"/>
    <w:rsid w:val="00E523D8"/>
    <w:rsid w:val="00E52435"/>
    <w:rsid w:val="00E52466"/>
    <w:rsid w:val="00E524FF"/>
    <w:rsid w:val="00E52517"/>
    <w:rsid w:val="00E5261B"/>
    <w:rsid w:val="00E5265D"/>
    <w:rsid w:val="00E527FA"/>
    <w:rsid w:val="00E5284C"/>
    <w:rsid w:val="00E528CB"/>
    <w:rsid w:val="00E5293D"/>
    <w:rsid w:val="00E52A42"/>
    <w:rsid w:val="00E52B03"/>
    <w:rsid w:val="00E52C60"/>
    <w:rsid w:val="00E52E0D"/>
    <w:rsid w:val="00E52F48"/>
    <w:rsid w:val="00E53183"/>
    <w:rsid w:val="00E531BF"/>
    <w:rsid w:val="00E533FA"/>
    <w:rsid w:val="00E53413"/>
    <w:rsid w:val="00E5342C"/>
    <w:rsid w:val="00E534BB"/>
    <w:rsid w:val="00E53507"/>
    <w:rsid w:val="00E53533"/>
    <w:rsid w:val="00E5368D"/>
    <w:rsid w:val="00E5375F"/>
    <w:rsid w:val="00E53986"/>
    <w:rsid w:val="00E53B42"/>
    <w:rsid w:val="00E53D1A"/>
    <w:rsid w:val="00E53DE4"/>
    <w:rsid w:val="00E53EB1"/>
    <w:rsid w:val="00E53ED0"/>
    <w:rsid w:val="00E54125"/>
    <w:rsid w:val="00E541E7"/>
    <w:rsid w:val="00E5423D"/>
    <w:rsid w:val="00E5445E"/>
    <w:rsid w:val="00E54554"/>
    <w:rsid w:val="00E54584"/>
    <w:rsid w:val="00E546A3"/>
    <w:rsid w:val="00E546B2"/>
    <w:rsid w:val="00E54773"/>
    <w:rsid w:val="00E54AAF"/>
    <w:rsid w:val="00E54ACD"/>
    <w:rsid w:val="00E54B04"/>
    <w:rsid w:val="00E54B44"/>
    <w:rsid w:val="00E54B63"/>
    <w:rsid w:val="00E54D3C"/>
    <w:rsid w:val="00E54D70"/>
    <w:rsid w:val="00E54D73"/>
    <w:rsid w:val="00E54F7B"/>
    <w:rsid w:val="00E55246"/>
    <w:rsid w:val="00E5530D"/>
    <w:rsid w:val="00E55317"/>
    <w:rsid w:val="00E55330"/>
    <w:rsid w:val="00E5547F"/>
    <w:rsid w:val="00E555DD"/>
    <w:rsid w:val="00E558A7"/>
    <w:rsid w:val="00E55A67"/>
    <w:rsid w:val="00E55BFF"/>
    <w:rsid w:val="00E55C3D"/>
    <w:rsid w:val="00E55C41"/>
    <w:rsid w:val="00E55C8A"/>
    <w:rsid w:val="00E55CDB"/>
    <w:rsid w:val="00E55CF4"/>
    <w:rsid w:val="00E55F82"/>
    <w:rsid w:val="00E560A8"/>
    <w:rsid w:val="00E561ED"/>
    <w:rsid w:val="00E56278"/>
    <w:rsid w:val="00E56381"/>
    <w:rsid w:val="00E56393"/>
    <w:rsid w:val="00E563FD"/>
    <w:rsid w:val="00E56444"/>
    <w:rsid w:val="00E564EE"/>
    <w:rsid w:val="00E5653D"/>
    <w:rsid w:val="00E565F4"/>
    <w:rsid w:val="00E56602"/>
    <w:rsid w:val="00E5682C"/>
    <w:rsid w:val="00E5694D"/>
    <w:rsid w:val="00E56AAC"/>
    <w:rsid w:val="00E56B04"/>
    <w:rsid w:val="00E56C31"/>
    <w:rsid w:val="00E56C95"/>
    <w:rsid w:val="00E56D93"/>
    <w:rsid w:val="00E56E6D"/>
    <w:rsid w:val="00E56EB4"/>
    <w:rsid w:val="00E56ECD"/>
    <w:rsid w:val="00E56F23"/>
    <w:rsid w:val="00E56F80"/>
    <w:rsid w:val="00E56FFF"/>
    <w:rsid w:val="00E57003"/>
    <w:rsid w:val="00E57098"/>
    <w:rsid w:val="00E57158"/>
    <w:rsid w:val="00E571D1"/>
    <w:rsid w:val="00E57226"/>
    <w:rsid w:val="00E572FD"/>
    <w:rsid w:val="00E57307"/>
    <w:rsid w:val="00E5737A"/>
    <w:rsid w:val="00E5742D"/>
    <w:rsid w:val="00E57438"/>
    <w:rsid w:val="00E57500"/>
    <w:rsid w:val="00E5754D"/>
    <w:rsid w:val="00E576B8"/>
    <w:rsid w:val="00E5787F"/>
    <w:rsid w:val="00E57B26"/>
    <w:rsid w:val="00E57B2F"/>
    <w:rsid w:val="00E57B7F"/>
    <w:rsid w:val="00E57B81"/>
    <w:rsid w:val="00E57BD8"/>
    <w:rsid w:val="00E57C1B"/>
    <w:rsid w:val="00E57CAD"/>
    <w:rsid w:val="00E57CE2"/>
    <w:rsid w:val="00E57D27"/>
    <w:rsid w:val="00E57D8A"/>
    <w:rsid w:val="00E57D8F"/>
    <w:rsid w:val="00E57F95"/>
    <w:rsid w:val="00E6001D"/>
    <w:rsid w:val="00E60032"/>
    <w:rsid w:val="00E601E2"/>
    <w:rsid w:val="00E6021F"/>
    <w:rsid w:val="00E60286"/>
    <w:rsid w:val="00E602F2"/>
    <w:rsid w:val="00E60362"/>
    <w:rsid w:val="00E606C4"/>
    <w:rsid w:val="00E606D2"/>
    <w:rsid w:val="00E60794"/>
    <w:rsid w:val="00E60A56"/>
    <w:rsid w:val="00E60C16"/>
    <w:rsid w:val="00E60C75"/>
    <w:rsid w:val="00E60D71"/>
    <w:rsid w:val="00E60F39"/>
    <w:rsid w:val="00E60FA6"/>
    <w:rsid w:val="00E61097"/>
    <w:rsid w:val="00E61230"/>
    <w:rsid w:val="00E61271"/>
    <w:rsid w:val="00E61284"/>
    <w:rsid w:val="00E613A1"/>
    <w:rsid w:val="00E613B8"/>
    <w:rsid w:val="00E614B7"/>
    <w:rsid w:val="00E616EA"/>
    <w:rsid w:val="00E617BC"/>
    <w:rsid w:val="00E6192A"/>
    <w:rsid w:val="00E6193A"/>
    <w:rsid w:val="00E61944"/>
    <w:rsid w:val="00E619A5"/>
    <w:rsid w:val="00E619BA"/>
    <w:rsid w:val="00E61BC2"/>
    <w:rsid w:val="00E61C4D"/>
    <w:rsid w:val="00E61CC8"/>
    <w:rsid w:val="00E61F26"/>
    <w:rsid w:val="00E61F9C"/>
    <w:rsid w:val="00E620E4"/>
    <w:rsid w:val="00E6216E"/>
    <w:rsid w:val="00E621FB"/>
    <w:rsid w:val="00E622E0"/>
    <w:rsid w:val="00E622E5"/>
    <w:rsid w:val="00E62400"/>
    <w:rsid w:val="00E624A4"/>
    <w:rsid w:val="00E62651"/>
    <w:rsid w:val="00E627AF"/>
    <w:rsid w:val="00E62817"/>
    <w:rsid w:val="00E62885"/>
    <w:rsid w:val="00E629D8"/>
    <w:rsid w:val="00E62B0D"/>
    <w:rsid w:val="00E62B97"/>
    <w:rsid w:val="00E62DE6"/>
    <w:rsid w:val="00E62DF0"/>
    <w:rsid w:val="00E6319D"/>
    <w:rsid w:val="00E633A2"/>
    <w:rsid w:val="00E635A5"/>
    <w:rsid w:val="00E635B4"/>
    <w:rsid w:val="00E636D9"/>
    <w:rsid w:val="00E63778"/>
    <w:rsid w:val="00E63794"/>
    <w:rsid w:val="00E63878"/>
    <w:rsid w:val="00E63981"/>
    <w:rsid w:val="00E63B8F"/>
    <w:rsid w:val="00E63BCD"/>
    <w:rsid w:val="00E63D85"/>
    <w:rsid w:val="00E63EEC"/>
    <w:rsid w:val="00E63FEB"/>
    <w:rsid w:val="00E64109"/>
    <w:rsid w:val="00E6412D"/>
    <w:rsid w:val="00E641C9"/>
    <w:rsid w:val="00E641CC"/>
    <w:rsid w:val="00E642CE"/>
    <w:rsid w:val="00E644B4"/>
    <w:rsid w:val="00E644D5"/>
    <w:rsid w:val="00E645B8"/>
    <w:rsid w:val="00E645BA"/>
    <w:rsid w:val="00E6468F"/>
    <w:rsid w:val="00E6480C"/>
    <w:rsid w:val="00E64A07"/>
    <w:rsid w:val="00E64B4E"/>
    <w:rsid w:val="00E64C31"/>
    <w:rsid w:val="00E64CCD"/>
    <w:rsid w:val="00E64CDE"/>
    <w:rsid w:val="00E64F2E"/>
    <w:rsid w:val="00E64FF8"/>
    <w:rsid w:val="00E65051"/>
    <w:rsid w:val="00E650F7"/>
    <w:rsid w:val="00E6518D"/>
    <w:rsid w:val="00E651DA"/>
    <w:rsid w:val="00E651E0"/>
    <w:rsid w:val="00E652BF"/>
    <w:rsid w:val="00E65380"/>
    <w:rsid w:val="00E654D5"/>
    <w:rsid w:val="00E6598F"/>
    <w:rsid w:val="00E65B6A"/>
    <w:rsid w:val="00E65C66"/>
    <w:rsid w:val="00E65F5F"/>
    <w:rsid w:val="00E6614A"/>
    <w:rsid w:val="00E66175"/>
    <w:rsid w:val="00E66259"/>
    <w:rsid w:val="00E662BE"/>
    <w:rsid w:val="00E6640D"/>
    <w:rsid w:val="00E6645E"/>
    <w:rsid w:val="00E6646C"/>
    <w:rsid w:val="00E66470"/>
    <w:rsid w:val="00E664B7"/>
    <w:rsid w:val="00E66596"/>
    <w:rsid w:val="00E6660B"/>
    <w:rsid w:val="00E6677F"/>
    <w:rsid w:val="00E66805"/>
    <w:rsid w:val="00E668CE"/>
    <w:rsid w:val="00E669EB"/>
    <w:rsid w:val="00E66A45"/>
    <w:rsid w:val="00E66A6E"/>
    <w:rsid w:val="00E66B78"/>
    <w:rsid w:val="00E66BEB"/>
    <w:rsid w:val="00E66C70"/>
    <w:rsid w:val="00E66C74"/>
    <w:rsid w:val="00E66D44"/>
    <w:rsid w:val="00E66ED8"/>
    <w:rsid w:val="00E66F16"/>
    <w:rsid w:val="00E67197"/>
    <w:rsid w:val="00E671DC"/>
    <w:rsid w:val="00E6734C"/>
    <w:rsid w:val="00E674B4"/>
    <w:rsid w:val="00E674BE"/>
    <w:rsid w:val="00E677B8"/>
    <w:rsid w:val="00E677F8"/>
    <w:rsid w:val="00E6794A"/>
    <w:rsid w:val="00E679F8"/>
    <w:rsid w:val="00E67A09"/>
    <w:rsid w:val="00E67BE3"/>
    <w:rsid w:val="00E67C3A"/>
    <w:rsid w:val="00E67D84"/>
    <w:rsid w:val="00E67ED1"/>
    <w:rsid w:val="00E67F33"/>
    <w:rsid w:val="00E7011A"/>
    <w:rsid w:val="00E7028B"/>
    <w:rsid w:val="00E702B8"/>
    <w:rsid w:val="00E70320"/>
    <w:rsid w:val="00E7039A"/>
    <w:rsid w:val="00E70429"/>
    <w:rsid w:val="00E7043E"/>
    <w:rsid w:val="00E7048F"/>
    <w:rsid w:val="00E70563"/>
    <w:rsid w:val="00E70588"/>
    <w:rsid w:val="00E70637"/>
    <w:rsid w:val="00E7075C"/>
    <w:rsid w:val="00E708F4"/>
    <w:rsid w:val="00E70AB7"/>
    <w:rsid w:val="00E70BD9"/>
    <w:rsid w:val="00E70BF6"/>
    <w:rsid w:val="00E70E1D"/>
    <w:rsid w:val="00E70ED7"/>
    <w:rsid w:val="00E71025"/>
    <w:rsid w:val="00E7125B"/>
    <w:rsid w:val="00E71458"/>
    <w:rsid w:val="00E71522"/>
    <w:rsid w:val="00E715F3"/>
    <w:rsid w:val="00E717F6"/>
    <w:rsid w:val="00E71939"/>
    <w:rsid w:val="00E71998"/>
    <w:rsid w:val="00E719B7"/>
    <w:rsid w:val="00E71A1A"/>
    <w:rsid w:val="00E71A6D"/>
    <w:rsid w:val="00E71AE1"/>
    <w:rsid w:val="00E71BBE"/>
    <w:rsid w:val="00E71E50"/>
    <w:rsid w:val="00E71F1A"/>
    <w:rsid w:val="00E7201C"/>
    <w:rsid w:val="00E7205B"/>
    <w:rsid w:val="00E72124"/>
    <w:rsid w:val="00E72126"/>
    <w:rsid w:val="00E721BF"/>
    <w:rsid w:val="00E7246C"/>
    <w:rsid w:val="00E725D5"/>
    <w:rsid w:val="00E725ED"/>
    <w:rsid w:val="00E72628"/>
    <w:rsid w:val="00E72799"/>
    <w:rsid w:val="00E72A9D"/>
    <w:rsid w:val="00E72B49"/>
    <w:rsid w:val="00E72C24"/>
    <w:rsid w:val="00E72C46"/>
    <w:rsid w:val="00E72DC8"/>
    <w:rsid w:val="00E72DF9"/>
    <w:rsid w:val="00E72EE8"/>
    <w:rsid w:val="00E72F0B"/>
    <w:rsid w:val="00E7305F"/>
    <w:rsid w:val="00E7324B"/>
    <w:rsid w:val="00E73378"/>
    <w:rsid w:val="00E73382"/>
    <w:rsid w:val="00E7346C"/>
    <w:rsid w:val="00E73497"/>
    <w:rsid w:val="00E73555"/>
    <w:rsid w:val="00E736DD"/>
    <w:rsid w:val="00E73745"/>
    <w:rsid w:val="00E73781"/>
    <w:rsid w:val="00E7380E"/>
    <w:rsid w:val="00E7382D"/>
    <w:rsid w:val="00E7386A"/>
    <w:rsid w:val="00E7387C"/>
    <w:rsid w:val="00E739B2"/>
    <w:rsid w:val="00E73ACE"/>
    <w:rsid w:val="00E73B71"/>
    <w:rsid w:val="00E73BDE"/>
    <w:rsid w:val="00E73C80"/>
    <w:rsid w:val="00E73F6D"/>
    <w:rsid w:val="00E74084"/>
    <w:rsid w:val="00E740A6"/>
    <w:rsid w:val="00E74103"/>
    <w:rsid w:val="00E742E1"/>
    <w:rsid w:val="00E7439C"/>
    <w:rsid w:val="00E743D3"/>
    <w:rsid w:val="00E744AF"/>
    <w:rsid w:val="00E745B9"/>
    <w:rsid w:val="00E7462E"/>
    <w:rsid w:val="00E74755"/>
    <w:rsid w:val="00E748C5"/>
    <w:rsid w:val="00E749DB"/>
    <w:rsid w:val="00E74A7C"/>
    <w:rsid w:val="00E74AE7"/>
    <w:rsid w:val="00E74AF4"/>
    <w:rsid w:val="00E74B53"/>
    <w:rsid w:val="00E74C24"/>
    <w:rsid w:val="00E74D62"/>
    <w:rsid w:val="00E74E32"/>
    <w:rsid w:val="00E74E8E"/>
    <w:rsid w:val="00E751EA"/>
    <w:rsid w:val="00E7520E"/>
    <w:rsid w:val="00E75494"/>
    <w:rsid w:val="00E755A8"/>
    <w:rsid w:val="00E75684"/>
    <w:rsid w:val="00E758C4"/>
    <w:rsid w:val="00E758F8"/>
    <w:rsid w:val="00E75A57"/>
    <w:rsid w:val="00E75B2F"/>
    <w:rsid w:val="00E75BD1"/>
    <w:rsid w:val="00E75C45"/>
    <w:rsid w:val="00E75E77"/>
    <w:rsid w:val="00E75EEA"/>
    <w:rsid w:val="00E75FBF"/>
    <w:rsid w:val="00E75FE1"/>
    <w:rsid w:val="00E76117"/>
    <w:rsid w:val="00E76129"/>
    <w:rsid w:val="00E76196"/>
    <w:rsid w:val="00E761BE"/>
    <w:rsid w:val="00E76231"/>
    <w:rsid w:val="00E7629E"/>
    <w:rsid w:val="00E762C8"/>
    <w:rsid w:val="00E76370"/>
    <w:rsid w:val="00E765AB"/>
    <w:rsid w:val="00E765B8"/>
    <w:rsid w:val="00E7681F"/>
    <w:rsid w:val="00E76830"/>
    <w:rsid w:val="00E76862"/>
    <w:rsid w:val="00E76889"/>
    <w:rsid w:val="00E769F8"/>
    <w:rsid w:val="00E76CBF"/>
    <w:rsid w:val="00E76D08"/>
    <w:rsid w:val="00E76DCE"/>
    <w:rsid w:val="00E76DD7"/>
    <w:rsid w:val="00E76EE4"/>
    <w:rsid w:val="00E76F0C"/>
    <w:rsid w:val="00E77047"/>
    <w:rsid w:val="00E7712B"/>
    <w:rsid w:val="00E771BB"/>
    <w:rsid w:val="00E771EA"/>
    <w:rsid w:val="00E774A0"/>
    <w:rsid w:val="00E7763F"/>
    <w:rsid w:val="00E7778C"/>
    <w:rsid w:val="00E77889"/>
    <w:rsid w:val="00E77914"/>
    <w:rsid w:val="00E77945"/>
    <w:rsid w:val="00E77A1E"/>
    <w:rsid w:val="00E77A49"/>
    <w:rsid w:val="00E77A77"/>
    <w:rsid w:val="00E77A79"/>
    <w:rsid w:val="00E77BB5"/>
    <w:rsid w:val="00E77C58"/>
    <w:rsid w:val="00E77CEE"/>
    <w:rsid w:val="00E77CF4"/>
    <w:rsid w:val="00E77E01"/>
    <w:rsid w:val="00E77E17"/>
    <w:rsid w:val="00E77E56"/>
    <w:rsid w:val="00E77F6C"/>
    <w:rsid w:val="00E77F73"/>
    <w:rsid w:val="00E77FF0"/>
    <w:rsid w:val="00E8021B"/>
    <w:rsid w:val="00E8040F"/>
    <w:rsid w:val="00E80430"/>
    <w:rsid w:val="00E804C5"/>
    <w:rsid w:val="00E80667"/>
    <w:rsid w:val="00E80714"/>
    <w:rsid w:val="00E80888"/>
    <w:rsid w:val="00E809C3"/>
    <w:rsid w:val="00E80A34"/>
    <w:rsid w:val="00E80B5F"/>
    <w:rsid w:val="00E80D74"/>
    <w:rsid w:val="00E80D81"/>
    <w:rsid w:val="00E8103B"/>
    <w:rsid w:val="00E8108D"/>
    <w:rsid w:val="00E81107"/>
    <w:rsid w:val="00E812D4"/>
    <w:rsid w:val="00E812EF"/>
    <w:rsid w:val="00E812FC"/>
    <w:rsid w:val="00E8144E"/>
    <w:rsid w:val="00E816ED"/>
    <w:rsid w:val="00E81706"/>
    <w:rsid w:val="00E8185F"/>
    <w:rsid w:val="00E8192E"/>
    <w:rsid w:val="00E81A22"/>
    <w:rsid w:val="00E81A24"/>
    <w:rsid w:val="00E81AA4"/>
    <w:rsid w:val="00E81B40"/>
    <w:rsid w:val="00E81D79"/>
    <w:rsid w:val="00E81E04"/>
    <w:rsid w:val="00E81F34"/>
    <w:rsid w:val="00E821A3"/>
    <w:rsid w:val="00E82270"/>
    <w:rsid w:val="00E8228E"/>
    <w:rsid w:val="00E823F6"/>
    <w:rsid w:val="00E824DC"/>
    <w:rsid w:val="00E82546"/>
    <w:rsid w:val="00E82686"/>
    <w:rsid w:val="00E826B7"/>
    <w:rsid w:val="00E827D4"/>
    <w:rsid w:val="00E82A52"/>
    <w:rsid w:val="00E82A7A"/>
    <w:rsid w:val="00E82AA1"/>
    <w:rsid w:val="00E82C4E"/>
    <w:rsid w:val="00E82C58"/>
    <w:rsid w:val="00E82D58"/>
    <w:rsid w:val="00E82DA5"/>
    <w:rsid w:val="00E82E31"/>
    <w:rsid w:val="00E82F3A"/>
    <w:rsid w:val="00E82FC7"/>
    <w:rsid w:val="00E82FD0"/>
    <w:rsid w:val="00E82FF2"/>
    <w:rsid w:val="00E830CD"/>
    <w:rsid w:val="00E8311F"/>
    <w:rsid w:val="00E83218"/>
    <w:rsid w:val="00E8335C"/>
    <w:rsid w:val="00E833FA"/>
    <w:rsid w:val="00E83442"/>
    <w:rsid w:val="00E83451"/>
    <w:rsid w:val="00E8353F"/>
    <w:rsid w:val="00E8356B"/>
    <w:rsid w:val="00E8357E"/>
    <w:rsid w:val="00E8359B"/>
    <w:rsid w:val="00E83832"/>
    <w:rsid w:val="00E838AB"/>
    <w:rsid w:val="00E839B3"/>
    <w:rsid w:val="00E839D2"/>
    <w:rsid w:val="00E839EF"/>
    <w:rsid w:val="00E83A6F"/>
    <w:rsid w:val="00E83AD1"/>
    <w:rsid w:val="00E83B30"/>
    <w:rsid w:val="00E83B3F"/>
    <w:rsid w:val="00E83D2E"/>
    <w:rsid w:val="00E83D85"/>
    <w:rsid w:val="00E83DEA"/>
    <w:rsid w:val="00E83DF3"/>
    <w:rsid w:val="00E83E55"/>
    <w:rsid w:val="00E83EF1"/>
    <w:rsid w:val="00E83FD1"/>
    <w:rsid w:val="00E84051"/>
    <w:rsid w:val="00E84093"/>
    <w:rsid w:val="00E840DF"/>
    <w:rsid w:val="00E84126"/>
    <w:rsid w:val="00E8413C"/>
    <w:rsid w:val="00E84144"/>
    <w:rsid w:val="00E8421E"/>
    <w:rsid w:val="00E843D8"/>
    <w:rsid w:val="00E843E8"/>
    <w:rsid w:val="00E84416"/>
    <w:rsid w:val="00E844BB"/>
    <w:rsid w:val="00E84557"/>
    <w:rsid w:val="00E845DF"/>
    <w:rsid w:val="00E8470B"/>
    <w:rsid w:val="00E84A07"/>
    <w:rsid w:val="00E84A2B"/>
    <w:rsid w:val="00E84A84"/>
    <w:rsid w:val="00E84AFD"/>
    <w:rsid w:val="00E84E2F"/>
    <w:rsid w:val="00E84ECB"/>
    <w:rsid w:val="00E84F34"/>
    <w:rsid w:val="00E84FA8"/>
    <w:rsid w:val="00E850AE"/>
    <w:rsid w:val="00E85168"/>
    <w:rsid w:val="00E8516B"/>
    <w:rsid w:val="00E851AB"/>
    <w:rsid w:val="00E851ED"/>
    <w:rsid w:val="00E85234"/>
    <w:rsid w:val="00E8528F"/>
    <w:rsid w:val="00E8531A"/>
    <w:rsid w:val="00E85327"/>
    <w:rsid w:val="00E853C4"/>
    <w:rsid w:val="00E85517"/>
    <w:rsid w:val="00E8560D"/>
    <w:rsid w:val="00E856CD"/>
    <w:rsid w:val="00E8582C"/>
    <w:rsid w:val="00E85865"/>
    <w:rsid w:val="00E85882"/>
    <w:rsid w:val="00E85976"/>
    <w:rsid w:val="00E859B6"/>
    <w:rsid w:val="00E859D8"/>
    <w:rsid w:val="00E85B0B"/>
    <w:rsid w:val="00E85B3E"/>
    <w:rsid w:val="00E85C0F"/>
    <w:rsid w:val="00E85C6F"/>
    <w:rsid w:val="00E85D82"/>
    <w:rsid w:val="00E85E05"/>
    <w:rsid w:val="00E85F38"/>
    <w:rsid w:val="00E85F8B"/>
    <w:rsid w:val="00E86144"/>
    <w:rsid w:val="00E862DF"/>
    <w:rsid w:val="00E86302"/>
    <w:rsid w:val="00E86310"/>
    <w:rsid w:val="00E86324"/>
    <w:rsid w:val="00E86562"/>
    <w:rsid w:val="00E8658C"/>
    <w:rsid w:val="00E865E7"/>
    <w:rsid w:val="00E865E8"/>
    <w:rsid w:val="00E869A4"/>
    <w:rsid w:val="00E86AE6"/>
    <w:rsid w:val="00E86B49"/>
    <w:rsid w:val="00E86B7B"/>
    <w:rsid w:val="00E87047"/>
    <w:rsid w:val="00E87079"/>
    <w:rsid w:val="00E870FA"/>
    <w:rsid w:val="00E8714A"/>
    <w:rsid w:val="00E87459"/>
    <w:rsid w:val="00E878D0"/>
    <w:rsid w:val="00E878E0"/>
    <w:rsid w:val="00E87907"/>
    <w:rsid w:val="00E87A19"/>
    <w:rsid w:val="00E87BE5"/>
    <w:rsid w:val="00E87E48"/>
    <w:rsid w:val="00E90045"/>
    <w:rsid w:val="00E90072"/>
    <w:rsid w:val="00E902A9"/>
    <w:rsid w:val="00E9037B"/>
    <w:rsid w:val="00E9038A"/>
    <w:rsid w:val="00E906DD"/>
    <w:rsid w:val="00E906E8"/>
    <w:rsid w:val="00E90718"/>
    <w:rsid w:val="00E9080D"/>
    <w:rsid w:val="00E90815"/>
    <w:rsid w:val="00E90923"/>
    <w:rsid w:val="00E9096E"/>
    <w:rsid w:val="00E90A3C"/>
    <w:rsid w:val="00E90AB4"/>
    <w:rsid w:val="00E90BB4"/>
    <w:rsid w:val="00E90EC8"/>
    <w:rsid w:val="00E91001"/>
    <w:rsid w:val="00E9117D"/>
    <w:rsid w:val="00E9136D"/>
    <w:rsid w:val="00E91441"/>
    <w:rsid w:val="00E91467"/>
    <w:rsid w:val="00E9146E"/>
    <w:rsid w:val="00E914DB"/>
    <w:rsid w:val="00E917AA"/>
    <w:rsid w:val="00E9196F"/>
    <w:rsid w:val="00E91992"/>
    <w:rsid w:val="00E91995"/>
    <w:rsid w:val="00E91AB4"/>
    <w:rsid w:val="00E91ACF"/>
    <w:rsid w:val="00E91B3F"/>
    <w:rsid w:val="00E91CA2"/>
    <w:rsid w:val="00E91CCE"/>
    <w:rsid w:val="00E91CE1"/>
    <w:rsid w:val="00E91D70"/>
    <w:rsid w:val="00E91E53"/>
    <w:rsid w:val="00E91F35"/>
    <w:rsid w:val="00E91F4E"/>
    <w:rsid w:val="00E91F60"/>
    <w:rsid w:val="00E92031"/>
    <w:rsid w:val="00E920B6"/>
    <w:rsid w:val="00E921EE"/>
    <w:rsid w:val="00E922B8"/>
    <w:rsid w:val="00E9260B"/>
    <w:rsid w:val="00E9263B"/>
    <w:rsid w:val="00E927D8"/>
    <w:rsid w:val="00E928CD"/>
    <w:rsid w:val="00E928F9"/>
    <w:rsid w:val="00E929AC"/>
    <w:rsid w:val="00E929F8"/>
    <w:rsid w:val="00E92A3C"/>
    <w:rsid w:val="00E92A6B"/>
    <w:rsid w:val="00E92AD4"/>
    <w:rsid w:val="00E92B52"/>
    <w:rsid w:val="00E92CAA"/>
    <w:rsid w:val="00E92D34"/>
    <w:rsid w:val="00E92D6C"/>
    <w:rsid w:val="00E92DFA"/>
    <w:rsid w:val="00E92E6F"/>
    <w:rsid w:val="00E92ED1"/>
    <w:rsid w:val="00E92ED6"/>
    <w:rsid w:val="00E92F83"/>
    <w:rsid w:val="00E930A6"/>
    <w:rsid w:val="00E930BC"/>
    <w:rsid w:val="00E93102"/>
    <w:rsid w:val="00E93167"/>
    <w:rsid w:val="00E93204"/>
    <w:rsid w:val="00E9346F"/>
    <w:rsid w:val="00E9347E"/>
    <w:rsid w:val="00E9356D"/>
    <w:rsid w:val="00E935F1"/>
    <w:rsid w:val="00E9366E"/>
    <w:rsid w:val="00E93775"/>
    <w:rsid w:val="00E938CD"/>
    <w:rsid w:val="00E939B4"/>
    <w:rsid w:val="00E939F3"/>
    <w:rsid w:val="00E93C58"/>
    <w:rsid w:val="00E93D9C"/>
    <w:rsid w:val="00E93ECF"/>
    <w:rsid w:val="00E93ED4"/>
    <w:rsid w:val="00E94053"/>
    <w:rsid w:val="00E941A9"/>
    <w:rsid w:val="00E94234"/>
    <w:rsid w:val="00E94269"/>
    <w:rsid w:val="00E944BA"/>
    <w:rsid w:val="00E94515"/>
    <w:rsid w:val="00E945AD"/>
    <w:rsid w:val="00E94677"/>
    <w:rsid w:val="00E946C7"/>
    <w:rsid w:val="00E9476B"/>
    <w:rsid w:val="00E94A1F"/>
    <w:rsid w:val="00E94A20"/>
    <w:rsid w:val="00E94CA7"/>
    <w:rsid w:val="00E94D06"/>
    <w:rsid w:val="00E94E1A"/>
    <w:rsid w:val="00E94E22"/>
    <w:rsid w:val="00E94E34"/>
    <w:rsid w:val="00E94E90"/>
    <w:rsid w:val="00E94ECD"/>
    <w:rsid w:val="00E94F78"/>
    <w:rsid w:val="00E94F89"/>
    <w:rsid w:val="00E9511E"/>
    <w:rsid w:val="00E95156"/>
    <w:rsid w:val="00E952F9"/>
    <w:rsid w:val="00E9530E"/>
    <w:rsid w:val="00E95379"/>
    <w:rsid w:val="00E95411"/>
    <w:rsid w:val="00E954E2"/>
    <w:rsid w:val="00E955A1"/>
    <w:rsid w:val="00E95648"/>
    <w:rsid w:val="00E95692"/>
    <w:rsid w:val="00E958F4"/>
    <w:rsid w:val="00E95983"/>
    <w:rsid w:val="00E959A9"/>
    <w:rsid w:val="00E959D9"/>
    <w:rsid w:val="00E95A37"/>
    <w:rsid w:val="00E95C1F"/>
    <w:rsid w:val="00E95C20"/>
    <w:rsid w:val="00E95C41"/>
    <w:rsid w:val="00E95D6E"/>
    <w:rsid w:val="00E95EB2"/>
    <w:rsid w:val="00E9607D"/>
    <w:rsid w:val="00E96128"/>
    <w:rsid w:val="00E9612E"/>
    <w:rsid w:val="00E96197"/>
    <w:rsid w:val="00E961CE"/>
    <w:rsid w:val="00E9632D"/>
    <w:rsid w:val="00E9637F"/>
    <w:rsid w:val="00E963FE"/>
    <w:rsid w:val="00E964AD"/>
    <w:rsid w:val="00E96548"/>
    <w:rsid w:val="00E96643"/>
    <w:rsid w:val="00E9664C"/>
    <w:rsid w:val="00E96677"/>
    <w:rsid w:val="00E966DD"/>
    <w:rsid w:val="00E967E5"/>
    <w:rsid w:val="00E96820"/>
    <w:rsid w:val="00E969AD"/>
    <w:rsid w:val="00E969DF"/>
    <w:rsid w:val="00E969F8"/>
    <w:rsid w:val="00E96C35"/>
    <w:rsid w:val="00E96D30"/>
    <w:rsid w:val="00E96DE8"/>
    <w:rsid w:val="00E96F76"/>
    <w:rsid w:val="00E97186"/>
    <w:rsid w:val="00E9722C"/>
    <w:rsid w:val="00E9735B"/>
    <w:rsid w:val="00E973ED"/>
    <w:rsid w:val="00E9746B"/>
    <w:rsid w:val="00E974E6"/>
    <w:rsid w:val="00E9753E"/>
    <w:rsid w:val="00E97656"/>
    <w:rsid w:val="00E976F0"/>
    <w:rsid w:val="00E9773D"/>
    <w:rsid w:val="00E978FD"/>
    <w:rsid w:val="00E97AA1"/>
    <w:rsid w:val="00E97CF4"/>
    <w:rsid w:val="00E97D5C"/>
    <w:rsid w:val="00E97E01"/>
    <w:rsid w:val="00E97E90"/>
    <w:rsid w:val="00E97F79"/>
    <w:rsid w:val="00EA0003"/>
    <w:rsid w:val="00EA0310"/>
    <w:rsid w:val="00EA052B"/>
    <w:rsid w:val="00EA0575"/>
    <w:rsid w:val="00EA0579"/>
    <w:rsid w:val="00EA05E9"/>
    <w:rsid w:val="00EA060E"/>
    <w:rsid w:val="00EA0610"/>
    <w:rsid w:val="00EA0807"/>
    <w:rsid w:val="00EA08EE"/>
    <w:rsid w:val="00EA099D"/>
    <w:rsid w:val="00EA0B18"/>
    <w:rsid w:val="00EA0C0B"/>
    <w:rsid w:val="00EA0C33"/>
    <w:rsid w:val="00EA0C41"/>
    <w:rsid w:val="00EA0C80"/>
    <w:rsid w:val="00EA0D3A"/>
    <w:rsid w:val="00EA0DB5"/>
    <w:rsid w:val="00EA0EF1"/>
    <w:rsid w:val="00EA0F58"/>
    <w:rsid w:val="00EA1093"/>
    <w:rsid w:val="00EA11CB"/>
    <w:rsid w:val="00EA11FE"/>
    <w:rsid w:val="00EA1227"/>
    <w:rsid w:val="00EA12B5"/>
    <w:rsid w:val="00EA1427"/>
    <w:rsid w:val="00EA1491"/>
    <w:rsid w:val="00EA15CA"/>
    <w:rsid w:val="00EA16FF"/>
    <w:rsid w:val="00EA1907"/>
    <w:rsid w:val="00EA1924"/>
    <w:rsid w:val="00EA1AA4"/>
    <w:rsid w:val="00EA1BAB"/>
    <w:rsid w:val="00EA1E76"/>
    <w:rsid w:val="00EA2140"/>
    <w:rsid w:val="00EA2269"/>
    <w:rsid w:val="00EA2277"/>
    <w:rsid w:val="00EA230B"/>
    <w:rsid w:val="00EA2361"/>
    <w:rsid w:val="00EA239F"/>
    <w:rsid w:val="00EA2403"/>
    <w:rsid w:val="00EA24A2"/>
    <w:rsid w:val="00EA25C1"/>
    <w:rsid w:val="00EA2602"/>
    <w:rsid w:val="00EA2690"/>
    <w:rsid w:val="00EA278C"/>
    <w:rsid w:val="00EA280D"/>
    <w:rsid w:val="00EA2893"/>
    <w:rsid w:val="00EA28EB"/>
    <w:rsid w:val="00EA2961"/>
    <w:rsid w:val="00EA2A75"/>
    <w:rsid w:val="00EA2B0F"/>
    <w:rsid w:val="00EA2B88"/>
    <w:rsid w:val="00EA2DCC"/>
    <w:rsid w:val="00EA2DCD"/>
    <w:rsid w:val="00EA2EA0"/>
    <w:rsid w:val="00EA2FEF"/>
    <w:rsid w:val="00EA3066"/>
    <w:rsid w:val="00EA3188"/>
    <w:rsid w:val="00EA3199"/>
    <w:rsid w:val="00EA32A0"/>
    <w:rsid w:val="00EA32F7"/>
    <w:rsid w:val="00EA33B8"/>
    <w:rsid w:val="00EA340E"/>
    <w:rsid w:val="00EA348C"/>
    <w:rsid w:val="00EA34BE"/>
    <w:rsid w:val="00EA34C6"/>
    <w:rsid w:val="00EA36A6"/>
    <w:rsid w:val="00EA382E"/>
    <w:rsid w:val="00EA385D"/>
    <w:rsid w:val="00EA396B"/>
    <w:rsid w:val="00EA3B28"/>
    <w:rsid w:val="00EA3C5A"/>
    <w:rsid w:val="00EA3D4C"/>
    <w:rsid w:val="00EA3D99"/>
    <w:rsid w:val="00EA3F14"/>
    <w:rsid w:val="00EA3F7F"/>
    <w:rsid w:val="00EA404B"/>
    <w:rsid w:val="00EA4133"/>
    <w:rsid w:val="00EA4400"/>
    <w:rsid w:val="00EA4413"/>
    <w:rsid w:val="00EA4497"/>
    <w:rsid w:val="00EA47EF"/>
    <w:rsid w:val="00EA487A"/>
    <w:rsid w:val="00EA4892"/>
    <w:rsid w:val="00EA48C2"/>
    <w:rsid w:val="00EA4A16"/>
    <w:rsid w:val="00EA4A95"/>
    <w:rsid w:val="00EA4A98"/>
    <w:rsid w:val="00EA4B30"/>
    <w:rsid w:val="00EA4B4E"/>
    <w:rsid w:val="00EA4D44"/>
    <w:rsid w:val="00EA4E19"/>
    <w:rsid w:val="00EA4E48"/>
    <w:rsid w:val="00EA4E81"/>
    <w:rsid w:val="00EA4FA5"/>
    <w:rsid w:val="00EA4FD0"/>
    <w:rsid w:val="00EA4FE1"/>
    <w:rsid w:val="00EA5002"/>
    <w:rsid w:val="00EA506F"/>
    <w:rsid w:val="00EA5146"/>
    <w:rsid w:val="00EA5173"/>
    <w:rsid w:val="00EA5228"/>
    <w:rsid w:val="00EA539C"/>
    <w:rsid w:val="00EA53C0"/>
    <w:rsid w:val="00EA54DD"/>
    <w:rsid w:val="00EA5529"/>
    <w:rsid w:val="00EA562D"/>
    <w:rsid w:val="00EA574B"/>
    <w:rsid w:val="00EA5892"/>
    <w:rsid w:val="00EA58D4"/>
    <w:rsid w:val="00EA59CB"/>
    <w:rsid w:val="00EA5C8A"/>
    <w:rsid w:val="00EA5DC7"/>
    <w:rsid w:val="00EA5ECB"/>
    <w:rsid w:val="00EA5FCC"/>
    <w:rsid w:val="00EA602D"/>
    <w:rsid w:val="00EA60E8"/>
    <w:rsid w:val="00EA6250"/>
    <w:rsid w:val="00EA62D5"/>
    <w:rsid w:val="00EA62EE"/>
    <w:rsid w:val="00EA6450"/>
    <w:rsid w:val="00EA649F"/>
    <w:rsid w:val="00EA64F7"/>
    <w:rsid w:val="00EA6523"/>
    <w:rsid w:val="00EA6524"/>
    <w:rsid w:val="00EA652B"/>
    <w:rsid w:val="00EA6700"/>
    <w:rsid w:val="00EA696C"/>
    <w:rsid w:val="00EA6A10"/>
    <w:rsid w:val="00EA6A40"/>
    <w:rsid w:val="00EA6C3A"/>
    <w:rsid w:val="00EA6CE8"/>
    <w:rsid w:val="00EA6CF8"/>
    <w:rsid w:val="00EA6E3A"/>
    <w:rsid w:val="00EA6E9B"/>
    <w:rsid w:val="00EA6F41"/>
    <w:rsid w:val="00EA7019"/>
    <w:rsid w:val="00EA7028"/>
    <w:rsid w:val="00EA71EB"/>
    <w:rsid w:val="00EA7214"/>
    <w:rsid w:val="00EA7350"/>
    <w:rsid w:val="00EA73B1"/>
    <w:rsid w:val="00EA757C"/>
    <w:rsid w:val="00EA75A7"/>
    <w:rsid w:val="00EA7695"/>
    <w:rsid w:val="00EA76CA"/>
    <w:rsid w:val="00EA770D"/>
    <w:rsid w:val="00EA7957"/>
    <w:rsid w:val="00EA7A23"/>
    <w:rsid w:val="00EA7BAF"/>
    <w:rsid w:val="00EA7BE6"/>
    <w:rsid w:val="00EA7C7B"/>
    <w:rsid w:val="00EA7C96"/>
    <w:rsid w:val="00EA7CA6"/>
    <w:rsid w:val="00EA7CAD"/>
    <w:rsid w:val="00EA7D9E"/>
    <w:rsid w:val="00EA7DB3"/>
    <w:rsid w:val="00EA7DF2"/>
    <w:rsid w:val="00EA7DFA"/>
    <w:rsid w:val="00EA7F73"/>
    <w:rsid w:val="00EA7F7B"/>
    <w:rsid w:val="00EB0100"/>
    <w:rsid w:val="00EB013A"/>
    <w:rsid w:val="00EB013D"/>
    <w:rsid w:val="00EB0145"/>
    <w:rsid w:val="00EB0304"/>
    <w:rsid w:val="00EB03BC"/>
    <w:rsid w:val="00EB0552"/>
    <w:rsid w:val="00EB0564"/>
    <w:rsid w:val="00EB0625"/>
    <w:rsid w:val="00EB0724"/>
    <w:rsid w:val="00EB0730"/>
    <w:rsid w:val="00EB08C2"/>
    <w:rsid w:val="00EB09DB"/>
    <w:rsid w:val="00EB0A07"/>
    <w:rsid w:val="00EB0A70"/>
    <w:rsid w:val="00EB0B2B"/>
    <w:rsid w:val="00EB0BC5"/>
    <w:rsid w:val="00EB0C83"/>
    <w:rsid w:val="00EB0D56"/>
    <w:rsid w:val="00EB0D5E"/>
    <w:rsid w:val="00EB0DE6"/>
    <w:rsid w:val="00EB0E1A"/>
    <w:rsid w:val="00EB0E96"/>
    <w:rsid w:val="00EB0F31"/>
    <w:rsid w:val="00EB0F47"/>
    <w:rsid w:val="00EB0FC1"/>
    <w:rsid w:val="00EB0FE0"/>
    <w:rsid w:val="00EB1069"/>
    <w:rsid w:val="00EB1143"/>
    <w:rsid w:val="00EB11EC"/>
    <w:rsid w:val="00EB1359"/>
    <w:rsid w:val="00EB1466"/>
    <w:rsid w:val="00EB1492"/>
    <w:rsid w:val="00EB1505"/>
    <w:rsid w:val="00EB1789"/>
    <w:rsid w:val="00EB1846"/>
    <w:rsid w:val="00EB1919"/>
    <w:rsid w:val="00EB19C2"/>
    <w:rsid w:val="00EB19EF"/>
    <w:rsid w:val="00EB1B08"/>
    <w:rsid w:val="00EB1B90"/>
    <w:rsid w:val="00EB1C31"/>
    <w:rsid w:val="00EB1CA2"/>
    <w:rsid w:val="00EB1CD9"/>
    <w:rsid w:val="00EB1DF4"/>
    <w:rsid w:val="00EB1F34"/>
    <w:rsid w:val="00EB226C"/>
    <w:rsid w:val="00EB2375"/>
    <w:rsid w:val="00EB237C"/>
    <w:rsid w:val="00EB23C3"/>
    <w:rsid w:val="00EB247E"/>
    <w:rsid w:val="00EB24D5"/>
    <w:rsid w:val="00EB2590"/>
    <w:rsid w:val="00EB271A"/>
    <w:rsid w:val="00EB27E4"/>
    <w:rsid w:val="00EB288F"/>
    <w:rsid w:val="00EB289E"/>
    <w:rsid w:val="00EB2953"/>
    <w:rsid w:val="00EB29FD"/>
    <w:rsid w:val="00EB2A1B"/>
    <w:rsid w:val="00EB2A23"/>
    <w:rsid w:val="00EB2AAA"/>
    <w:rsid w:val="00EB2B02"/>
    <w:rsid w:val="00EB2B6A"/>
    <w:rsid w:val="00EB2BF8"/>
    <w:rsid w:val="00EB2C13"/>
    <w:rsid w:val="00EB2C44"/>
    <w:rsid w:val="00EB2CF4"/>
    <w:rsid w:val="00EB2DD4"/>
    <w:rsid w:val="00EB2EC7"/>
    <w:rsid w:val="00EB2F50"/>
    <w:rsid w:val="00EB2F9D"/>
    <w:rsid w:val="00EB3077"/>
    <w:rsid w:val="00EB3119"/>
    <w:rsid w:val="00EB317C"/>
    <w:rsid w:val="00EB3258"/>
    <w:rsid w:val="00EB333A"/>
    <w:rsid w:val="00EB3354"/>
    <w:rsid w:val="00EB33DE"/>
    <w:rsid w:val="00EB357C"/>
    <w:rsid w:val="00EB365C"/>
    <w:rsid w:val="00EB3660"/>
    <w:rsid w:val="00EB3760"/>
    <w:rsid w:val="00EB3779"/>
    <w:rsid w:val="00EB37BE"/>
    <w:rsid w:val="00EB37FA"/>
    <w:rsid w:val="00EB389C"/>
    <w:rsid w:val="00EB38E1"/>
    <w:rsid w:val="00EB3945"/>
    <w:rsid w:val="00EB39AA"/>
    <w:rsid w:val="00EB39D2"/>
    <w:rsid w:val="00EB3A84"/>
    <w:rsid w:val="00EB3B2E"/>
    <w:rsid w:val="00EB3B30"/>
    <w:rsid w:val="00EB3B33"/>
    <w:rsid w:val="00EB3C05"/>
    <w:rsid w:val="00EB3C36"/>
    <w:rsid w:val="00EB3C39"/>
    <w:rsid w:val="00EB3C4C"/>
    <w:rsid w:val="00EB3CD0"/>
    <w:rsid w:val="00EB3E34"/>
    <w:rsid w:val="00EB3EB5"/>
    <w:rsid w:val="00EB3EBD"/>
    <w:rsid w:val="00EB3EC0"/>
    <w:rsid w:val="00EB3EDA"/>
    <w:rsid w:val="00EB3F33"/>
    <w:rsid w:val="00EB3F5A"/>
    <w:rsid w:val="00EB400A"/>
    <w:rsid w:val="00EB40C7"/>
    <w:rsid w:val="00EB41ED"/>
    <w:rsid w:val="00EB42E3"/>
    <w:rsid w:val="00EB436C"/>
    <w:rsid w:val="00EB448D"/>
    <w:rsid w:val="00EB44AF"/>
    <w:rsid w:val="00EB450D"/>
    <w:rsid w:val="00EB4534"/>
    <w:rsid w:val="00EB4645"/>
    <w:rsid w:val="00EB4800"/>
    <w:rsid w:val="00EB4838"/>
    <w:rsid w:val="00EB49D4"/>
    <w:rsid w:val="00EB4AAB"/>
    <w:rsid w:val="00EB4AE8"/>
    <w:rsid w:val="00EB4C5B"/>
    <w:rsid w:val="00EB4D31"/>
    <w:rsid w:val="00EB4DD0"/>
    <w:rsid w:val="00EB4F0F"/>
    <w:rsid w:val="00EB4F3D"/>
    <w:rsid w:val="00EB4FFE"/>
    <w:rsid w:val="00EB5045"/>
    <w:rsid w:val="00EB5109"/>
    <w:rsid w:val="00EB518C"/>
    <w:rsid w:val="00EB530C"/>
    <w:rsid w:val="00EB540F"/>
    <w:rsid w:val="00EB59EE"/>
    <w:rsid w:val="00EB5A68"/>
    <w:rsid w:val="00EB5D1A"/>
    <w:rsid w:val="00EB5FD7"/>
    <w:rsid w:val="00EB6006"/>
    <w:rsid w:val="00EB6072"/>
    <w:rsid w:val="00EB6076"/>
    <w:rsid w:val="00EB61EA"/>
    <w:rsid w:val="00EB6244"/>
    <w:rsid w:val="00EB624D"/>
    <w:rsid w:val="00EB62D6"/>
    <w:rsid w:val="00EB630D"/>
    <w:rsid w:val="00EB6361"/>
    <w:rsid w:val="00EB64A3"/>
    <w:rsid w:val="00EB6518"/>
    <w:rsid w:val="00EB65D4"/>
    <w:rsid w:val="00EB6749"/>
    <w:rsid w:val="00EB6775"/>
    <w:rsid w:val="00EB682E"/>
    <w:rsid w:val="00EB6906"/>
    <w:rsid w:val="00EB69B0"/>
    <w:rsid w:val="00EB6BEB"/>
    <w:rsid w:val="00EB6D66"/>
    <w:rsid w:val="00EB6D94"/>
    <w:rsid w:val="00EB6F9F"/>
    <w:rsid w:val="00EB7026"/>
    <w:rsid w:val="00EB727C"/>
    <w:rsid w:val="00EB730C"/>
    <w:rsid w:val="00EB74B4"/>
    <w:rsid w:val="00EB7567"/>
    <w:rsid w:val="00EB75F9"/>
    <w:rsid w:val="00EB76E6"/>
    <w:rsid w:val="00EB776D"/>
    <w:rsid w:val="00EB7818"/>
    <w:rsid w:val="00EB7860"/>
    <w:rsid w:val="00EB7996"/>
    <w:rsid w:val="00EB7A6B"/>
    <w:rsid w:val="00EB7C38"/>
    <w:rsid w:val="00EB7C4C"/>
    <w:rsid w:val="00EB7DED"/>
    <w:rsid w:val="00EB7E89"/>
    <w:rsid w:val="00EB7ECC"/>
    <w:rsid w:val="00EB7FEB"/>
    <w:rsid w:val="00EC0014"/>
    <w:rsid w:val="00EC0161"/>
    <w:rsid w:val="00EC0168"/>
    <w:rsid w:val="00EC01DC"/>
    <w:rsid w:val="00EC0213"/>
    <w:rsid w:val="00EC026B"/>
    <w:rsid w:val="00EC0285"/>
    <w:rsid w:val="00EC037F"/>
    <w:rsid w:val="00EC0382"/>
    <w:rsid w:val="00EC0425"/>
    <w:rsid w:val="00EC0466"/>
    <w:rsid w:val="00EC0495"/>
    <w:rsid w:val="00EC0496"/>
    <w:rsid w:val="00EC049A"/>
    <w:rsid w:val="00EC0507"/>
    <w:rsid w:val="00EC05AB"/>
    <w:rsid w:val="00EC05BC"/>
    <w:rsid w:val="00EC05D9"/>
    <w:rsid w:val="00EC06B6"/>
    <w:rsid w:val="00EC07BD"/>
    <w:rsid w:val="00EC08B2"/>
    <w:rsid w:val="00EC0A0D"/>
    <w:rsid w:val="00EC0A39"/>
    <w:rsid w:val="00EC0C31"/>
    <w:rsid w:val="00EC0C6A"/>
    <w:rsid w:val="00EC0CF1"/>
    <w:rsid w:val="00EC0D08"/>
    <w:rsid w:val="00EC0F37"/>
    <w:rsid w:val="00EC101B"/>
    <w:rsid w:val="00EC1039"/>
    <w:rsid w:val="00EC1048"/>
    <w:rsid w:val="00EC1121"/>
    <w:rsid w:val="00EC127D"/>
    <w:rsid w:val="00EC1291"/>
    <w:rsid w:val="00EC12A1"/>
    <w:rsid w:val="00EC12AF"/>
    <w:rsid w:val="00EC12FE"/>
    <w:rsid w:val="00EC1380"/>
    <w:rsid w:val="00EC13D4"/>
    <w:rsid w:val="00EC1472"/>
    <w:rsid w:val="00EC14E9"/>
    <w:rsid w:val="00EC1523"/>
    <w:rsid w:val="00EC152C"/>
    <w:rsid w:val="00EC168C"/>
    <w:rsid w:val="00EC187D"/>
    <w:rsid w:val="00EC1898"/>
    <w:rsid w:val="00EC189B"/>
    <w:rsid w:val="00EC18B0"/>
    <w:rsid w:val="00EC18F6"/>
    <w:rsid w:val="00EC1922"/>
    <w:rsid w:val="00EC19D4"/>
    <w:rsid w:val="00EC1A6A"/>
    <w:rsid w:val="00EC1F80"/>
    <w:rsid w:val="00EC1FD7"/>
    <w:rsid w:val="00EC2070"/>
    <w:rsid w:val="00EC2134"/>
    <w:rsid w:val="00EC2161"/>
    <w:rsid w:val="00EC2232"/>
    <w:rsid w:val="00EC22B9"/>
    <w:rsid w:val="00EC232E"/>
    <w:rsid w:val="00EC240C"/>
    <w:rsid w:val="00EC248C"/>
    <w:rsid w:val="00EC24A6"/>
    <w:rsid w:val="00EC24D1"/>
    <w:rsid w:val="00EC2505"/>
    <w:rsid w:val="00EC2507"/>
    <w:rsid w:val="00EC25A2"/>
    <w:rsid w:val="00EC2637"/>
    <w:rsid w:val="00EC26BA"/>
    <w:rsid w:val="00EC275C"/>
    <w:rsid w:val="00EC287B"/>
    <w:rsid w:val="00EC28CA"/>
    <w:rsid w:val="00EC290C"/>
    <w:rsid w:val="00EC2B4D"/>
    <w:rsid w:val="00EC2B80"/>
    <w:rsid w:val="00EC2B9C"/>
    <w:rsid w:val="00EC2BFD"/>
    <w:rsid w:val="00EC2C81"/>
    <w:rsid w:val="00EC2CFB"/>
    <w:rsid w:val="00EC2E12"/>
    <w:rsid w:val="00EC2E4D"/>
    <w:rsid w:val="00EC310F"/>
    <w:rsid w:val="00EC322D"/>
    <w:rsid w:val="00EC326B"/>
    <w:rsid w:val="00EC327A"/>
    <w:rsid w:val="00EC32F3"/>
    <w:rsid w:val="00EC3486"/>
    <w:rsid w:val="00EC36C8"/>
    <w:rsid w:val="00EC3792"/>
    <w:rsid w:val="00EC3836"/>
    <w:rsid w:val="00EC38C8"/>
    <w:rsid w:val="00EC39DF"/>
    <w:rsid w:val="00EC39E3"/>
    <w:rsid w:val="00EC3BC5"/>
    <w:rsid w:val="00EC3C6A"/>
    <w:rsid w:val="00EC3D1C"/>
    <w:rsid w:val="00EC3E5D"/>
    <w:rsid w:val="00EC3F63"/>
    <w:rsid w:val="00EC4018"/>
    <w:rsid w:val="00EC4049"/>
    <w:rsid w:val="00EC40C4"/>
    <w:rsid w:val="00EC413A"/>
    <w:rsid w:val="00EC4262"/>
    <w:rsid w:val="00EC434C"/>
    <w:rsid w:val="00EC43F2"/>
    <w:rsid w:val="00EC4485"/>
    <w:rsid w:val="00EC4499"/>
    <w:rsid w:val="00EC44EC"/>
    <w:rsid w:val="00EC4534"/>
    <w:rsid w:val="00EC456B"/>
    <w:rsid w:val="00EC456E"/>
    <w:rsid w:val="00EC4771"/>
    <w:rsid w:val="00EC479D"/>
    <w:rsid w:val="00EC47AA"/>
    <w:rsid w:val="00EC47B4"/>
    <w:rsid w:val="00EC47F2"/>
    <w:rsid w:val="00EC4B51"/>
    <w:rsid w:val="00EC4C25"/>
    <w:rsid w:val="00EC4C5B"/>
    <w:rsid w:val="00EC4DED"/>
    <w:rsid w:val="00EC4E31"/>
    <w:rsid w:val="00EC4E9E"/>
    <w:rsid w:val="00EC4F06"/>
    <w:rsid w:val="00EC4F8C"/>
    <w:rsid w:val="00EC4FC2"/>
    <w:rsid w:val="00EC52AF"/>
    <w:rsid w:val="00EC53C6"/>
    <w:rsid w:val="00EC53D2"/>
    <w:rsid w:val="00EC5498"/>
    <w:rsid w:val="00EC5502"/>
    <w:rsid w:val="00EC5551"/>
    <w:rsid w:val="00EC55F7"/>
    <w:rsid w:val="00EC5613"/>
    <w:rsid w:val="00EC56E5"/>
    <w:rsid w:val="00EC5763"/>
    <w:rsid w:val="00EC5780"/>
    <w:rsid w:val="00EC5A79"/>
    <w:rsid w:val="00EC5A82"/>
    <w:rsid w:val="00EC5B67"/>
    <w:rsid w:val="00EC5C96"/>
    <w:rsid w:val="00EC5D88"/>
    <w:rsid w:val="00EC5E46"/>
    <w:rsid w:val="00EC5E55"/>
    <w:rsid w:val="00EC6078"/>
    <w:rsid w:val="00EC60A6"/>
    <w:rsid w:val="00EC618B"/>
    <w:rsid w:val="00EC629A"/>
    <w:rsid w:val="00EC62B1"/>
    <w:rsid w:val="00EC6338"/>
    <w:rsid w:val="00EC634B"/>
    <w:rsid w:val="00EC638A"/>
    <w:rsid w:val="00EC6392"/>
    <w:rsid w:val="00EC6436"/>
    <w:rsid w:val="00EC645D"/>
    <w:rsid w:val="00EC65C4"/>
    <w:rsid w:val="00EC65C8"/>
    <w:rsid w:val="00EC65D8"/>
    <w:rsid w:val="00EC66E1"/>
    <w:rsid w:val="00EC6786"/>
    <w:rsid w:val="00EC6922"/>
    <w:rsid w:val="00EC6A56"/>
    <w:rsid w:val="00EC6C74"/>
    <w:rsid w:val="00EC6D1B"/>
    <w:rsid w:val="00EC6D72"/>
    <w:rsid w:val="00EC6EAE"/>
    <w:rsid w:val="00EC6EC1"/>
    <w:rsid w:val="00EC70E3"/>
    <w:rsid w:val="00EC7223"/>
    <w:rsid w:val="00EC724B"/>
    <w:rsid w:val="00EC7256"/>
    <w:rsid w:val="00EC72E4"/>
    <w:rsid w:val="00EC738D"/>
    <w:rsid w:val="00EC75BF"/>
    <w:rsid w:val="00EC773C"/>
    <w:rsid w:val="00EC776A"/>
    <w:rsid w:val="00EC77A1"/>
    <w:rsid w:val="00EC78AE"/>
    <w:rsid w:val="00EC791F"/>
    <w:rsid w:val="00EC7946"/>
    <w:rsid w:val="00EC7AF0"/>
    <w:rsid w:val="00EC7BEF"/>
    <w:rsid w:val="00EC7C4A"/>
    <w:rsid w:val="00EC7CFD"/>
    <w:rsid w:val="00EC7D7F"/>
    <w:rsid w:val="00EC7F01"/>
    <w:rsid w:val="00ED008A"/>
    <w:rsid w:val="00ED00A2"/>
    <w:rsid w:val="00ED017C"/>
    <w:rsid w:val="00ED02B1"/>
    <w:rsid w:val="00ED02E8"/>
    <w:rsid w:val="00ED03D1"/>
    <w:rsid w:val="00ED04F6"/>
    <w:rsid w:val="00ED0523"/>
    <w:rsid w:val="00ED058B"/>
    <w:rsid w:val="00ED05B2"/>
    <w:rsid w:val="00ED05E7"/>
    <w:rsid w:val="00ED062B"/>
    <w:rsid w:val="00ED07A4"/>
    <w:rsid w:val="00ED07FF"/>
    <w:rsid w:val="00ED085C"/>
    <w:rsid w:val="00ED0980"/>
    <w:rsid w:val="00ED0C72"/>
    <w:rsid w:val="00ED0CB6"/>
    <w:rsid w:val="00ED0CD4"/>
    <w:rsid w:val="00ED0D83"/>
    <w:rsid w:val="00ED0E13"/>
    <w:rsid w:val="00ED0F8F"/>
    <w:rsid w:val="00ED1176"/>
    <w:rsid w:val="00ED11F8"/>
    <w:rsid w:val="00ED1317"/>
    <w:rsid w:val="00ED136B"/>
    <w:rsid w:val="00ED13A5"/>
    <w:rsid w:val="00ED143B"/>
    <w:rsid w:val="00ED14D8"/>
    <w:rsid w:val="00ED151C"/>
    <w:rsid w:val="00ED15F5"/>
    <w:rsid w:val="00ED1658"/>
    <w:rsid w:val="00ED1689"/>
    <w:rsid w:val="00ED16E1"/>
    <w:rsid w:val="00ED16FB"/>
    <w:rsid w:val="00ED16FE"/>
    <w:rsid w:val="00ED17B9"/>
    <w:rsid w:val="00ED18EA"/>
    <w:rsid w:val="00ED1B0E"/>
    <w:rsid w:val="00ED1B47"/>
    <w:rsid w:val="00ED1BE2"/>
    <w:rsid w:val="00ED1D6A"/>
    <w:rsid w:val="00ED1E0E"/>
    <w:rsid w:val="00ED1E72"/>
    <w:rsid w:val="00ED1F90"/>
    <w:rsid w:val="00ED1F95"/>
    <w:rsid w:val="00ED1F99"/>
    <w:rsid w:val="00ED20BA"/>
    <w:rsid w:val="00ED225C"/>
    <w:rsid w:val="00ED2288"/>
    <w:rsid w:val="00ED2347"/>
    <w:rsid w:val="00ED240E"/>
    <w:rsid w:val="00ED2522"/>
    <w:rsid w:val="00ED25ED"/>
    <w:rsid w:val="00ED289C"/>
    <w:rsid w:val="00ED29D7"/>
    <w:rsid w:val="00ED2A19"/>
    <w:rsid w:val="00ED2ABD"/>
    <w:rsid w:val="00ED2AC6"/>
    <w:rsid w:val="00ED2B89"/>
    <w:rsid w:val="00ED2BD1"/>
    <w:rsid w:val="00ED2D29"/>
    <w:rsid w:val="00ED2D63"/>
    <w:rsid w:val="00ED2E04"/>
    <w:rsid w:val="00ED2E9C"/>
    <w:rsid w:val="00ED2F78"/>
    <w:rsid w:val="00ED30B9"/>
    <w:rsid w:val="00ED30F7"/>
    <w:rsid w:val="00ED310C"/>
    <w:rsid w:val="00ED31B9"/>
    <w:rsid w:val="00ED32AB"/>
    <w:rsid w:val="00ED33E1"/>
    <w:rsid w:val="00ED3442"/>
    <w:rsid w:val="00ED34F8"/>
    <w:rsid w:val="00ED3642"/>
    <w:rsid w:val="00ED371E"/>
    <w:rsid w:val="00ED3740"/>
    <w:rsid w:val="00ED378C"/>
    <w:rsid w:val="00ED37BE"/>
    <w:rsid w:val="00ED3993"/>
    <w:rsid w:val="00ED39AC"/>
    <w:rsid w:val="00ED39F3"/>
    <w:rsid w:val="00ED3A30"/>
    <w:rsid w:val="00ED3C5A"/>
    <w:rsid w:val="00ED3DAE"/>
    <w:rsid w:val="00ED3DBD"/>
    <w:rsid w:val="00ED3DC9"/>
    <w:rsid w:val="00ED3E11"/>
    <w:rsid w:val="00ED3E1E"/>
    <w:rsid w:val="00ED3ED1"/>
    <w:rsid w:val="00ED41A1"/>
    <w:rsid w:val="00ED41D8"/>
    <w:rsid w:val="00ED4212"/>
    <w:rsid w:val="00ED4407"/>
    <w:rsid w:val="00ED44EA"/>
    <w:rsid w:val="00ED45F6"/>
    <w:rsid w:val="00ED4659"/>
    <w:rsid w:val="00ED47CB"/>
    <w:rsid w:val="00ED489E"/>
    <w:rsid w:val="00ED4CBC"/>
    <w:rsid w:val="00ED4CF0"/>
    <w:rsid w:val="00ED4DEF"/>
    <w:rsid w:val="00ED4EBA"/>
    <w:rsid w:val="00ED4F00"/>
    <w:rsid w:val="00ED4F09"/>
    <w:rsid w:val="00ED4F17"/>
    <w:rsid w:val="00ED4F70"/>
    <w:rsid w:val="00ED5197"/>
    <w:rsid w:val="00ED51E2"/>
    <w:rsid w:val="00ED531A"/>
    <w:rsid w:val="00ED533B"/>
    <w:rsid w:val="00ED5605"/>
    <w:rsid w:val="00ED56B1"/>
    <w:rsid w:val="00ED57D4"/>
    <w:rsid w:val="00ED5849"/>
    <w:rsid w:val="00ED5ACF"/>
    <w:rsid w:val="00ED5B5D"/>
    <w:rsid w:val="00ED5BCD"/>
    <w:rsid w:val="00ED5C79"/>
    <w:rsid w:val="00ED5DF2"/>
    <w:rsid w:val="00ED5EDD"/>
    <w:rsid w:val="00ED6003"/>
    <w:rsid w:val="00ED603D"/>
    <w:rsid w:val="00ED6073"/>
    <w:rsid w:val="00ED618E"/>
    <w:rsid w:val="00ED6209"/>
    <w:rsid w:val="00ED634C"/>
    <w:rsid w:val="00ED635C"/>
    <w:rsid w:val="00ED63D0"/>
    <w:rsid w:val="00ED6550"/>
    <w:rsid w:val="00ED66B6"/>
    <w:rsid w:val="00ED66DE"/>
    <w:rsid w:val="00ED66E0"/>
    <w:rsid w:val="00ED672F"/>
    <w:rsid w:val="00ED6765"/>
    <w:rsid w:val="00ED6766"/>
    <w:rsid w:val="00ED683B"/>
    <w:rsid w:val="00ED6908"/>
    <w:rsid w:val="00ED694B"/>
    <w:rsid w:val="00ED6B94"/>
    <w:rsid w:val="00ED6C15"/>
    <w:rsid w:val="00ED6C33"/>
    <w:rsid w:val="00ED6D4F"/>
    <w:rsid w:val="00ED6EC6"/>
    <w:rsid w:val="00ED7064"/>
    <w:rsid w:val="00ED709B"/>
    <w:rsid w:val="00ED70A1"/>
    <w:rsid w:val="00ED715C"/>
    <w:rsid w:val="00ED72CB"/>
    <w:rsid w:val="00ED749D"/>
    <w:rsid w:val="00ED76B4"/>
    <w:rsid w:val="00ED76BD"/>
    <w:rsid w:val="00ED7772"/>
    <w:rsid w:val="00ED77D7"/>
    <w:rsid w:val="00ED7824"/>
    <w:rsid w:val="00ED79B6"/>
    <w:rsid w:val="00ED7A8B"/>
    <w:rsid w:val="00ED7B29"/>
    <w:rsid w:val="00ED7B38"/>
    <w:rsid w:val="00ED7B9A"/>
    <w:rsid w:val="00ED7BE6"/>
    <w:rsid w:val="00ED7C5E"/>
    <w:rsid w:val="00ED7CE1"/>
    <w:rsid w:val="00ED7D3E"/>
    <w:rsid w:val="00ED7D81"/>
    <w:rsid w:val="00ED7E31"/>
    <w:rsid w:val="00ED7EFE"/>
    <w:rsid w:val="00ED7F09"/>
    <w:rsid w:val="00EE0018"/>
    <w:rsid w:val="00EE003A"/>
    <w:rsid w:val="00EE009A"/>
    <w:rsid w:val="00EE013D"/>
    <w:rsid w:val="00EE02CF"/>
    <w:rsid w:val="00EE02DA"/>
    <w:rsid w:val="00EE03EF"/>
    <w:rsid w:val="00EE0464"/>
    <w:rsid w:val="00EE06F0"/>
    <w:rsid w:val="00EE071D"/>
    <w:rsid w:val="00EE09E8"/>
    <w:rsid w:val="00EE09F2"/>
    <w:rsid w:val="00EE0A26"/>
    <w:rsid w:val="00EE0AAC"/>
    <w:rsid w:val="00EE0AEE"/>
    <w:rsid w:val="00EE0D03"/>
    <w:rsid w:val="00EE0DCE"/>
    <w:rsid w:val="00EE0E6C"/>
    <w:rsid w:val="00EE0EED"/>
    <w:rsid w:val="00EE1013"/>
    <w:rsid w:val="00EE1071"/>
    <w:rsid w:val="00EE12A7"/>
    <w:rsid w:val="00EE1338"/>
    <w:rsid w:val="00EE1630"/>
    <w:rsid w:val="00EE170C"/>
    <w:rsid w:val="00EE1A83"/>
    <w:rsid w:val="00EE1CD3"/>
    <w:rsid w:val="00EE1D0B"/>
    <w:rsid w:val="00EE1D22"/>
    <w:rsid w:val="00EE1D5E"/>
    <w:rsid w:val="00EE1D75"/>
    <w:rsid w:val="00EE1D78"/>
    <w:rsid w:val="00EE1E4A"/>
    <w:rsid w:val="00EE1E77"/>
    <w:rsid w:val="00EE1EEC"/>
    <w:rsid w:val="00EE1EED"/>
    <w:rsid w:val="00EE229B"/>
    <w:rsid w:val="00EE22FA"/>
    <w:rsid w:val="00EE25DE"/>
    <w:rsid w:val="00EE2600"/>
    <w:rsid w:val="00EE2609"/>
    <w:rsid w:val="00EE2721"/>
    <w:rsid w:val="00EE27B0"/>
    <w:rsid w:val="00EE285B"/>
    <w:rsid w:val="00EE2B23"/>
    <w:rsid w:val="00EE2E2B"/>
    <w:rsid w:val="00EE2EAA"/>
    <w:rsid w:val="00EE2ED0"/>
    <w:rsid w:val="00EE3005"/>
    <w:rsid w:val="00EE30B1"/>
    <w:rsid w:val="00EE3111"/>
    <w:rsid w:val="00EE31C8"/>
    <w:rsid w:val="00EE3310"/>
    <w:rsid w:val="00EE3421"/>
    <w:rsid w:val="00EE34F8"/>
    <w:rsid w:val="00EE3573"/>
    <w:rsid w:val="00EE3751"/>
    <w:rsid w:val="00EE381C"/>
    <w:rsid w:val="00EE38C7"/>
    <w:rsid w:val="00EE3A95"/>
    <w:rsid w:val="00EE3B3C"/>
    <w:rsid w:val="00EE3B7C"/>
    <w:rsid w:val="00EE3CA1"/>
    <w:rsid w:val="00EE3E6E"/>
    <w:rsid w:val="00EE3F6F"/>
    <w:rsid w:val="00EE3FE0"/>
    <w:rsid w:val="00EE3FEC"/>
    <w:rsid w:val="00EE40ED"/>
    <w:rsid w:val="00EE411F"/>
    <w:rsid w:val="00EE41CB"/>
    <w:rsid w:val="00EE425E"/>
    <w:rsid w:val="00EE427F"/>
    <w:rsid w:val="00EE4380"/>
    <w:rsid w:val="00EE43C5"/>
    <w:rsid w:val="00EE441D"/>
    <w:rsid w:val="00EE4438"/>
    <w:rsid w:val="00EE44C7"/>
    <w:rsid w:val="00EE4537"/>
    <w:rsid w:val="00EE464C"/>
    <w:rsid w:val="00EE4844"/>
    <w:rsid w:val="00EE4911"/>
    <w:rsid w:val="00EE496D"/>
    <w:rsid w:val="00EE4A1E"/>
    <w:rsid w:val="00EE4A70"/>
    <w:rsid w:val="00EE4A97"/>
    <w:rsid w:val="00EE4C5B"/>
    <w:rsid w:val="00EE500B"/>
    <w:rsid w:val="00EE52B4"/>
    <w:rsid w:val="00EE539A"/>
    <w:rsid w:val="00EE53B5"/>
    <w:rsid w:val="00EE53E3"/>
    <w:rsid w:val="00EE545F"/>
    <w:rsid w:val="00EE5487"/>
    <w:rsid w:val="00EE5499"/>
    <w:rsid w:val="00EE54CA"/>
    <w:rsid w:val="00EE55AA"/>
    <w:rsid w:val="00EE55FD"/>
    <w:rsid w:val="00EE56A0"/>
    <w:rsid w:val="00EE5700"/>
    <w:rsid w:val="00EE5963"/>
    <w:rsid w:val="00EE5975"/>
    <w:rsid w:val="00EE5A31"/>
    <w:rsid w:val="00EE5A6F"/>
    <w:rsid w:val="00EE5A81"/>
    <w:rsid w:val="00EE5B74"/>
    <w:rsid w:val="00EE5CA0"/>
    <w:rsid w:val="00EE5CE9"/>
    <w:rsid w:val="00EE5D41"/>
    <w:rsid w:val="00EE5E26"/>
    <w:rsid w:val="00EE5E6E"/>
    <w:rsid w:val="00EE5EE5"/>
    <w:rsid w:val="00EE6014"/>
    <w:rsid w:val="00EE612C"/>
    <w:rsid w:val="00EE61C2"/>
    <w:rsid w:val="00EE6271"/>
    <w:rsid w:val="00EE654B"/>
    <w:rsid w:val="00EE65C5"/>
    <w:rsid w:val="00EE6625"/>
    <w:rsid w:val="00EE692C"/>
    <w:rsid w:val="00EE6AC1"/>
    <w:rsid w:val="00EE6C26"/>
    <w:rsid w:val="00EE6CA9"/>
    <w:rsid w:val="00EE6D88"/>
    <w:rsid w:val="00EE6DE2"/>
    <w:rsid w:val="00EE6E7C"/>
    <w:rsid w:val="00EE6E8E"/>
    <w:rsid w:val="00EE7063"/>
    <w:rsid w:val="00EE7073"/>
    <w:rsid w:val="00EE7080"/>
    <w:rsid w:val="00EE70FB"/>
    <w:rsid w:val="00EE717C"/>
    <w:rsid w:val="00EE7281"/>
    <w:rsid w:val="00EE7459"/>
    <w:rsid w:val="00EE7574"/>
    <w:rsid w:val="00EE75A4"/>
    <w:rsid w:val="00EE761D"/>
    <w:rsid w:val="00EE766E"/>
    <w:rsid w:val="00EE7887"/>
    <w:rsid w:val="00EE78A7"/>
    <w:rsid w:val="00EE7980"/>
    <w:rsid w:val="00EE79DA"/>
    <w:rsid w:val="00EE7A6C"/>
    <w:rsid w:val="00EE7A7A"/>
    <w:rsid w:val="00EE7BA7"/>
    <w:rsid w:val="00EE7BEA"/>
    <w:rsid w:val="00EE7E05"/>
    <w:rsid w:val="00EE7E6A"/>
    <w:rsid w:val="00EE7EA4"/>
    <w:rsid w:val="00EE7F8A"/>
    <w:rsid w:val="00EE7F8C"/>
    <w:rsid w:val="00EF017A"/>
    <w:rsid w:val="00EF01DE"/>
    <w:rsid w:val="00EF02DD"/>
    <w:rsid w:val="00EF02FE"/>
    <w:rsid w:val="00EF03E8"/>
    <w:rsid w:val="00EF03F6"/>
    <w:rsid w:val="00EF0400"/>
    <w:rsid w:val="00EF048C"/>
    <w:rsid w:val="00EF054E"/>
    <w:rsid w:val="00EF0655"/>
    <w:rsid w:val="00EF0665"/>
    <w:rsid w:val="00EF0791"/>
    <w:rsid w:val="00EF098F"/>
    <w:rsid w:val="00EF09A7"/>
    <w:rsid w:val="00EF09FC"/>
    <w:rsid w:val="00EF0A15"/>
    <w:rsid w:val="00EF0B09"/>
    <w:rsid w:val="00EF0DB8"/>
    <w:rsid w:val="00EF0DC9"/>
    <w:rsid w:val="00EF0DF0"/>
    <w:rsid w:val="00EF0E54"/>
    <w:rsid w:val="00EF0F79"/>
    <w:rsid w:val="00EF0F89"/>
    <w:rsid w:val="00EF10C6"/>
    <w:rsid w:val="00EF11BB"/>
    <w:rsid w:val="00EF12FA"/>
    <w:rsid w:val="00EF133A"/>
    <w:rsid w:val="00EF1424"/>
    <w:rsid w:val="00EF1495"/>
    <w:rsid w:val="00EF154D"/>
    <w:rsid w:val="00EF163C"/>
    <w:rsid w:val="00EF1718"/>
    <w:rsid w:val="00EF1772"/>
    <w:rsid w:val="00EF17A2"/>
    <w:rsid w:val="00EF1903"/>
    <w:rsid w:val="00EF1DD6"/>
    <w:rsid w:val="00EF1E32"/>
    <w:rsid w:val="00EF1E66"/>
    <w:rsid w:val="00EF1F2C"/>
    <w:rsid w:val="00EF1FD6"/>
    <w:rsid w:val="00EF20CF"/>
    <w:rsid w:val="00EF2140"/>
    <w:rsid w:val="00EF2196"/>
    <w:rsid w:val="00EF219A"/>
    <w:rsid w:val="00EF221B"/>
    <w:rsid w:val="00EF2332"/>
    <w:rsid w:val="00EF2372"/>
    <w:rsid w:val="00EF24F4"/>
    <w:rsid w:val="00EF2653"/>
    <w:rsid w:val="00EF2693"/>
    <w:rsid w:val="00EF2716"/>
    <w:rsid w:val="00EF293D"/>
    <w:rsid w:val="00EF2BC4"/>
    <w:rsid w:val="00EF2BEB"/>
    <w:rsid w:val="00EF2D5D"/>
    <w:rsid w:val="00EF2DE1"/>
    <w:rsid w:val="00EF321A"/>
    <w:rsid w:val="00EF3254"/>
    <w:rsid w:val="00EF3328"/>
    <w:rsid w:val="00EF3412"/>
    <w:rsid w:val="00EF3470"/>
    <w:rsid w:val="00EF3597"/>
    <w:rsid w:val="00EF3709"/>
    <w:rsid w:val="00EF37D3"/>
    <w:rsid w:val="00EF388B"/>
    <w:rsid w:val="00EF39C1"/>
    <w:rsid w:val="00EF3AE2"/>
    <w:rsid w:val="00EF3B58"/>
    <w:rsid w:val="00EF3B9D"/>
    <w:rsid w:val="00EF3CAF"/>
    <w:rsid w:val="00EF3D31"/>
    <w:rsid w:val="00EF3E58"/>
    <w:rsid w:val="00EF3F69"/>
    <w:rsid w:val="00EF3F77"/>
    <w:rsid w:val="00EF437B"/>
    <w:rsid w:val="00EF469B"/>
    <w:rsid w:val="00EF46C3"/>
    <w:rsid w:val="00EF46E8"/>
    <w:rsid w:val="00EF4722"/>
    <w:rsid w:val="00EF4911"/>
    <w:rsid w:val="00EF4970"/>
    <w:rsid w:val="00EF4A3C"/>
    <w:rsid w:val="00EF4C3D"/>
    <w:rsid w:val="00EF4C87"/>
    <w:rsid w:val="00EF4F12"/>
    <w:rsid w:val="00EF5057"/>
    <w:rsid w:val="00EF50A0"/>
    <w:rsid w:val="00EF5235"/>
    <w:rsid w:val="00EF52AA"/>
    <w:rsid w:val="00EF53A8"/>
    <w:rsid w:val="00EF53C6"/>
    <w:rsid w:val="00EF541B"/>
    <w:rsid w:val="00EF5566"/>
    <w:rsid w:val="00EF5593"/>
    <w:rsid w:val="00EF55A7"/>
    <w:rsid w:val="00EF56CB"/>
    <w:rsid w:val="00EF56DD"/>
    <w:rsid w:val="00EF5752"/>
    <w:rsid w:val="00EF57D0"/>
    <w:rsid w:val="00EF58D1"/>
    <w:rsid w:val="00EF58EA"/>
    <w:rsid w:val="00EF5980"/>
    <w:rsid w:val="00EF5A23"/>
    <w:rsid w:val="00EF5A93"/>
    <w:rsid w:val="00EF5B0E"/>
    <w:rsid w:val="00EF5B27"/>
    <w:rsid w:val="00EF5B98"/>
    <w:rsid w:val="00EF5C8C"/>
    <w:rsid w:val="00EF5C92"/>
    <w:rsid w:val="00EF5CB9"/>
    <w:rsid w:val="00EF5CE9"/>
    <w:rsid w:val="00EF5D0D"/>
    <w:rsid w:val="00EF5D52"/>
    <w:rsid w:val="00EF5E6E"/>
    <w:rsid w:val="00EF5F5D"/>
    <w:rsid w:val="00EF605F"/>
    <w:rsid w:val="00EF60BC"/>
    <w:rsid w:val="00EF629E"/>
    <w:rsid w:val="00EF63C9"/>
    <w:rsid w:val="00EF63D5"/>
    <w:rsid w:val="00EF63E4"/>
    <w:rsid w:val="00EF6482"/>
    <w:rsid w:val="00EF6500"/>
    <w:rsid w:val="00EF6522"/>
    <w:rsid w:val="00EF65E5"/>
    <w:rsid w:val="00EF6641"/>
    <w:rsid w:val="00EF667B"/>
    <w:rsid w:val="00EF6874"/>
    <w:rsid w:val="00EF68B5"/>
    <w:rsid w:val="00EF6960"/>
    <w:rsid w:val="00EF6A8F"/>
    <w:rsid w:val="00EF6ACC"/>
    <w:rsid w:val="00EF6B5C"/>
    <w:rsid w:val="00EF6C4D"/>
    <w:rsid w:val="00EF6DDF"/>
    <w:rsid w:val="00EF6F0C"/>
    <w:rsid w:val="00EF70BD"/>
    <w:rsid w:val="00EF71AA"/>
    <w:rsid w:val="00EF71BE"/>
    <w:rsid w:val="00EF728A"/>
    <w:rsid w:val="00EF72DD"/>
    <w:rsid w:val="00EF7348"/>
    <w:rsid w:val="00EF746A"/>
    <w:rsid w:val="00EF7592"/>
    <w:rsid w:val="00EF7643"/>
    <w:rsid w:val="00EF769D"/>
    <w:rsid w:val="00EF7867"/>
    <w:rsid w:val="00EF7915"/>
    <w:rsid w:val="00EF7928"/>
    <w:rsid w:val="00EF7958"/>
    <w:rsid w:val="00EF79A0"/>
    <w:rsid w:val="00EF7C4F"/>
    <w:rsid w:val="00EF7C68"/>
    <w:rsid w:val="00EF7D43"/>
    <w:rsid w:val="00EF7D8B"/>
    <w:rsid w:val="00EF7F17"/>
    <w:rsid w:val="00EF7F23"/>
    <w:rsid w:val="00F001A5"/>
    <w:rsid w:val="00F002E8"/>
    <w:rsid w:val="00F004D1"/>
    <w:rsid w:val="00F004D9"/>
    <w:rsid w:val="00F0053C"/>
    <w:rsid w:val="00F0064C"/>
    <w:rsid w:val="00F0081D"/>
    <w:rsid w:val="00F00854"/>
    <w:rsid w:val="00F0088B"/>
    <w:rsid w:val="00F008BF"/>
    <w:rsid w:val="00F008E9"/>
    <w:rsid w:val="00F0092B"/>
    <w:rsid w:val="00F00A27"/>
    <w:rsid w:val="00F00AC0"/>
    <w:rsid w:val="00F00B09"/>
    <w:rsid w:val="00F00B17"/>
    <w:rsid w:val="00F00C4D"/>
    <w:rsid w:val="00F00F25"/>
    <w:rsid w:val="00F01039"/>
    <w:rsid w:val="00F0105E"/>
    <w:rsid w:val="00F0119A"/>
    <w:rsid w:val="00F011B8"/>
    <w:rsid w:val="00F0130A"/>
    <w:rsid w:val="00F0137E"/>
    <w:rsid w:val="00F0140A"/>
    <w:rsid w:val="00F01417"/>
    <w:rsid w:val="00F01423"/>
    <w:rsid w:val="00F01488"/>
    <w:rsid w:val="00F015A8"/>
    <w:rsid w:val="00F015C7"/>
    <w:rsid w:val="00F01606"/>
    <w:rsid w:val="00F01619"/>
    <w:rsid w:val="00F017E9"/>
    <w:rsid w:val="00F01832"/>
    <w:rsid w:val="00F01B28"/>
    <w:rsid w:val="00F01DB8"/>
    <w:rsid w:val="00F01FED"/>
    <w:rsid w:val="00F02072"/>
    <w:rsid w:val="00F021B7"/>
    <w:rsid w:val="00F022F6"/>
    <w:rsid w:val="00F02313"/>
    <w:rsid w:val="00F023DC"/>
    <w:rsid w:val="00F02400"/>
    <w:rsid w:val="00F02441"/>
    <w:rsid w:val="00F02553"/>
    <w:rsid w:val="00F0262B"/>
    <w:rsid w:val="00F029BD"/>
    <w:rsid w:val="00F02ABC"/>
    <w:rsid w:val="00F02AEA"/>
    <w:rsid w:val="00F02BA2"/>
    <w:rsid w:val="00F02C55"/>
    <w:rsid w:val="00F02C56"/>
    <w:rsid w:val="00F02C85"/>
    <w:rsid w:val="00F02CA2"/>
    <w:rsid w:val="00F02E20"/>
    <w:rsid w:val="00F02FC1"/>
    <w:rsid w:val="00F02FC5"/>
    <w:rsid w:val="00F030E2"/>
    <w:rsid w:val="00F0317B"/>
    <w:rsid w:val="00F03195"/>
    <w:rsid w:val="00F032B6"/>
    <w:rsid w:val="00F032B9"/>
    <w:rsid w:val="00F0338E"/>
    <w:rsid w:val="00F03397"/>
    <w:rsid w:val="00F033EF"/>
    <w:rsid w:val="00F034CD"/>
    <w:rsid w:val="00F034CF"/>
    <w:rsid w:val="00F0351E"/>
    <w:rsid w:val="00F03607"/>
    <w:rsid w:val="00F0372E"/>
    <w:rsid w:val="00F0373B"/>
    <w:rsid w:val="00F037AD"/>
    <w:rsid w:val="00F03831"/>
    <w:rsid w:val="00F0383B"/>
    <w:rsid w:val="00F03890"/>
    <w:rsid w:val="00F038A9"/>
    <w:rsid w:val="00F03915"/>
    <w:rsid w:val="00F03996"/>
    <w:rsid w:val="00F03A5A"/>
    <w:rsid w:val="00F03AAC"/>
    <w:rsid w:val="00F03B7B"/>
    <w:rsid w:val="00F03BF7"/>
    <w:rsid w:val="00F03C12"/>
    <w:rsid w:val="00F03CAC"/>
    <w:rsid w:val="00F03CBF"/>
    <w:rsid w:val="00F03CD2"/>
    <w:rsid w:val="00F03D17"/>
    <w:rsid w:val="00F03DE1"/>
    <w:rsid w:val="00F03E69"/>
    <w:rsid w:val="00F0419C"/>
    <w:rsid w:val="00F041AC"/>
    <w:rsid w:val="00F0423B"/>
    <w:rsid w:val="00F042D9"/>
    <w:rsid w:val="00F0436E"/>
    <w:rsid w:val="00F043F1"/>
    <w:rsid w:val="00F04553"/>
    <w:rsid w:val="00F04800"/>
    <w:rsid w:val="00F0484C"/>
    <w:rsid w:val="00F04A46"/>
    <w:rsid w:val="00F04ABA"/>
    <w:rsid w:val="00F04B2E"/>
    <w:rsid w:val="00F04BE7"/>
    <w:rsid w:val="00F04BFA"/>
    <w:rsid w:val="00F04C00"/>
    <w:rsid w:val="00F04C1E"/>
    <w:rsid w:val="00F04C30"/>
    <w:rsid w:val="00F04C32"/>
    <w:rsid w:val="00F04D7C"/>
    <w:rsid w:val="00F04E55"/>
    <w:rsid w:val="00F04EA3"/>
    <w:rsid w:val="00F04F54"/>
    <w:rsid w:val="00F050FF"/>
    <w:rsid w:val="00F0514E"/>
    <w:rsid w:val="00F051B2"/>
    <w:rsid w:val="00F051BA"/>
    <w:rsid w:val="00F051CB"/>
    <w:rsid w:val="00F0532C"/>
    <w:rsid w:val="00F053BF"/>
    <w:rsid w:val="00F05414"/>
    <w:rsid w:val="00F0541A"/>
    <w:rsid w:val="00F05474"/>
    <w:rsid w:val="00F054D0"/>
    <w:rsid w:val="00F05602"/>
    <w:rsid w:val="00F0561E"/>
    <w:rsid w:val="00F05646"/>
    <w:rsid w:val="00F05769"/>
    <w:rsid w:val="00F059D4"/>
    <w:rsid w:val="00F05ABA"/>
    <w:rsid w:val="00F05AD5"/>
    <w:rsid w:val="00F05AD8"/>
    <w:rsid w:val="00F05AE6"/>
    <w:rsid w:val="00F05C02"/>
    <w:rsid w:val="00F05C74"/>
    <w:rsid w:val="00F05DFB"/>
    <w:rsid w:val="00F05E64"/>
    <w:rsid w:val="00F05F5E"/>
    <w:rsid w:val="00F06031"/>
    <w:rsid w:val="00F06128"/>
    <w:rsid w:val="00F0623B"/>
    <w:rsid w:val="00F0645E"/>
    <w:rsid w:val="00F0667A"/>
    <w:rsid w:val="00F0673F"/>
    <w:rsid w:val="00F06822"/>
    <w:rsid w:val="00F0685C"/>
    <w:rsid w:val="00F0686A"/>
    <w:rsid w:val="00F068DE"/>
    <w:rsid w:val="00F068E9"/>
    <w:rsid w:val="00F069C1"/>
    <w:rsid w:val="00F069C7"/>
    <w:rsid w:val="00F06B7B"/>
    <w:rsid w:val="00F06BC4"/>
    <w:rsid w:val="00F06CE5"/>
    <w:rsid w:val="00F06DF6"/>
    <w:rsid w:val="00F06F9B"/>
    <w:rsid w:val="00F07017"/>
    <w:rsid w:val="00F070FF"/>
    <w:rsid w:val="00F07242"/>
    <w:rsid w:val="00F07254"/>
    <w:rsid w:val="00F07356"/>
    <w:rsid w:val="00F07434"/>
    <w:rsid w:val="00F07589"/>
    <w:rsid w:val="00F076D9"/>
    <w:rsid w:val="00F076F7"/>
    <w:rsid w:val="00F077B1"/>
    <w:rsid w:val="00F077B2"/>
    <w:rsid w:val="00F077F3"/>
    <w:rsid w:val="00F078F7"/>
    <w:rsid w:val="00F07931"/>
    <w:rsid w:val="00F07A4D"/>
    <w:rsid w:val="00F07B8E"/>
    <w:rsid w:val="00F07BF5"/>
    <w:rsid w:val="00F07E6F"/>
    <w:rsid w:val="00F07F6B"/>
    <w:rsid w:val="00F10018"/>
    <w:rsid w:val="00F1021A"/>
    <w:rsid w:val="00F102BA"/>
    <w:rsid w:val="00F102D0"/>
    <w:rsid w:val="00F103C8"/>
    <w:rsid w:val="00F103CE"/>
    <w:rsid w:val="00F104A9"/>
    <w:rsid w:val="00F104D1"/>
    <w:rsid w:val="00F10605"/>
    <w:rsid w:val="00F10783"/>
    <w:rsid w:val="00F10976"/>
    <w:rsid w:val="00F10A79"/>
    <w:rsid w:val="00F10B54"/>
    <w:rsid w:val="00F10C40"/>
    <w:rsid w:val="00F10EF7"/>
    <w:rsid w:val="00F10F14"/>
    <w:rsid w:val="00F10F4A"/>
    <w:rsid w:val="00F11130"/>
    <w:rsid w:val="00F112E4"/>
    <w:rsid w:val="00F113A4"/>
    <w:rsid w:val="00F11486"/>
    <w:rsid w:val="00F115AC"/>
    <w:rsid w:val="00F11858"/>
    <w:rsid w:val="00F118B4"/>
    <w:rsid w:val="00F118FA"/>
    <w:rsid w:val="00F119DB"/>
    <w:rsid w:val="00F11A66"/>
    <w:rsid w:val="00F11B4F"/>
    <w:rsid w:val="00F11B7E"/>
    <w:rsid w:val="00F11B97"/>
    <w:rsid w:val="00F11BE3"/>
    <w:rsid w:val="00F11CCD"/>
    <w:rsid w:val="00F11D77"/>
    <w:rsid w:val="00F11DB5"/>
    <w:rsid w:val="00F11ED1"/>
    <w:rsid w:val="00F11F1F"/>
    <w:rsid w:val="00F11FAC"/>
    <w:rsid w:val="00F120F8"/>
    <w:rsid w:val="00F12114"/>
    <w:rsid w:val="00F1240B"/>
    <w:rsid w:val="00F124F6"/>
    <w:rsid w:val="00F12634"/>
    <w:rsid w:val="00F127E2"/>
    <w:rsid w:val="00F12B55"/>
    <w:rsid w:val="00F130E4"/>
    <w:rsid w:val="00F130E5"/>
    <w:rsid w:val="00F1339B"/>
    <w:rsid w:val="00F133C7"/>
    <w:rsid w:val="00F13744"/>
    <w:rsid w:val="00F13745"/>
    <w:rsid w:val="00F13777"/>
    <w:rsid w:val="00F13A2A"/>
    <w:rsid w:val="00F13D4B"/>
    <w:rsid w:val="00F13DAA"/>
    <w:rsid w:val="00F13DC1"/>
    <w:rsid w:val="00F13EE2"/>
    <w:rsid w:val="00F13F0F"/>
    <w:rsid w:val="00F13FAD"/>
    <w:rsid w:val="00F140A4"/>
    <w:rsid w:val="00F141BD"/>
    <w:rsid w:val="00F1430F"/>
    <w:rsid w:val="00F1432B"/>
    <w:rsid w:val="00F14372"/>
    <w:rsid w:val="00F14852"/>
    <w:rsid w:val="00F14908"/>
    <w:rsid w:val="00F1490E"/>
    <w:rsid w:val="00F14ABF"/>
    <w:rsid w:val="00F14AEE"/>
    <w:rsid w:val="00F14B14"/>
    <w:rsid w:val="00F14BB2"/>
    <w:rsid w:val="00F14CF0"/>
    <w:rsid w:val="00F14E55"/>
    <w:rsid w:val="00F14EA5"/>
    <w:rsid w:val="00F15084"/>
    <w:rsid w:val="00F1519D"/>
    <w:rsid w:val="00F1529D"/>
    <w:rsid w:val="00F15332"/>
    <w:rsid w:val="00F1539C"/>
    <w:rsid w:val="00F15419"/>
    <w:rsid w:val="00F1547D"/>
    <w:rsid w:val="00F1549F"/>
    <w:rsid w:val="00F1554D"/>
    <w:rsid w:val="00F155F9"/>
    <w:rsid w:val="00F157F1"/>
    <w:rsid w:val="00F159C4"/>
    <w:rsid w:val="00F159DB"/>
    <w:rsid w:val="00F15AD3"/>
    <w:rsid w:val="00F15BD2"/>
    <w:rsid w:val="00F15BFE"/>
    <w:rsid w:val="00F15C52"/>
    <w:rsid w:val="00F15D6C"/>
    <w:rsid w:val="00F15E54"/>
    <w:rsid w:val="00F15EB1"/>
    <w:rsid w:val="00F15EE6"/>
    <w:rsid w:val="00F15EFC"/>
    <w:rsid w:val="00F15F55"/>
    <w:rsid w:val="00F15FB2"/>
    <w:rsid w:val="00F1601C"/>
    <w:rsid w:val="00F16202"/>
    <w:rsid w:val="00F162E3"/>
    <w:rsid w:val="00F162E8"/>
    <w:rsid w:val="00F162EA"/>
    <w:rsid w:val="00F16399"/>
    <w:rsid w:val="00F163DE"/>
    <w:rsid w:val="00F163E8"/>
    <w:rsid w:val="00F16498"/>
    <w:rsid w:val="00F164E5"/>
    <w:rsid w:val="00F1650E"/>
    <w:rsid w:val="00F1654C"/>
    <w:rsid w:val="00F1689A"/>
    <w:rsid w:val="00F168E8"/>
    <w:rsid w:val="00F16A9C"/>
    <w:rsid w:val="00F16AB7"/>
    <w:rsid w:val="00F16DF9"/>
    <w:rsid w:val="00F16E12"/>
    <w:rsid w:val="00F16E86"/>
    <w:rsid w:val="00F16F10"/>
    <w:rsid w:val="00F16F87"/>
    <w:rsid w:val="00F170DD"/>
    <w:rsid w:val="00F170EB"/>
    <w:rsid w:val="00F17148"/>
    <w:rsid w:val="00F17172"/>
    <w:rsid w:val="00F1719F"/>
    <w:rsid w:val="00F17272"/>
    <w:rsid w:val="00F17279"/>
    <w:rsid w:val="00F1761F"/>
    <w:rsid w:val="00F1775C"/>
    <w:rsid w:val="00F17872"/>
    <w:rsid w:val="00F17940"/>
    <w:rsid w:val="00F17971"/>
    <w:rsid w:val="00F17B3E"/>
    <w:rsid w:val="00F17B56"/>
    <w:rsid w:val="00F17BF2"/>
    <w:rsid w:val="00F17C2E"/>
    <w:rsid w:val="00F17D58"/>
    <w:rsid w:val="00F17DB8"/>
    <w:rsid w:val="00F17EBC"/>
    <w:rsid w:val="00F17ECB"/>
    <w:rsid w:val="00F17F56"/>
    <w:rsid w:val="00F17FEE"/>
    <w:rsid w:val="00F2023F"/>
    <w:rsid w:val="00F205DF"/>
    <w:rsid w:val="00F20621"/>
    <w:rsid w:val="00F20714"/>
    <w:rsid w:val="00F20748"/>
    <w:rsid w:val="00F20776"/>
    <w:rsid w:val="00F207F4"/>
    <w:rsid w:val="00F209F1"/>
    <w:rsid w:val="00F20B16"/>
    <w:rsid w:val="00F20CFB"/>
    <w:rsid w:val="00F20D5C"/>
    <w:rsid w:val="00F210D6"/>
    <w:rsid w:val="00F21271"/>
    <w:rsid w:val="00F213C0"/>
    <w:rsid w:val="00F214E0"/>
    <w:rsid w:val="00F214F2"/>
    <w:rsid w:val="00F21562"/>
    <w:rsid w:val="00F215B1"/>
    <w:rsid w:val="00F21633"/>
    <w:rsid w:val="00F216CB"/>
    <w:rsid w:val="00F21718"/>
    <w:rsid w:val="00F21749"/>
    <w:rsid w:val="00F2174E"/>
    <w:rsid w:val="00F2184D"/>
    <w:rsid w:val="00F21873"/>
    <w:rsid w:val="00F2191B"/>
    <w:rsid w:val="00F2192C"/>
    <w:rsid w:val="00F21959"/>
    <w:rsid w:val="00F2195D"/>
    <w:rsid w:val="00F21982"/>
    <w:rsid w:val="00F2198A"/>
    <w:rsid w:val="00F21B7B"/>
    <w:rsid w:val="00F21B96"/>
    <w:rsid w:val="00F21D43"/>
    <w:rsid w:val="00F21E21"/>
    <w:rsid w:val="00F21F66"/>
    <w:rsid w:val="00F21FE3"/>
    <w:rsid w:val="00F22264"/>
    <w:rsid w:val="00F22280"/>
    <w:rsid w:val="00F22299"/>
    <w:rsid w:val="00F222F5"/>
    <w:rsid w:val="00F22492"/>
    <w:rsid w:val="00F22612"/>
    <w:rsid w:val="00F22639"/>
    <w:rsid w:val="00F226FE"/>
    <w:rsid w:val="00F227A8"/>
    <w:rsid w:val="00F227B6"/>
    <w:rsid w:val="00F227E3"/>
    <w:rsid w:val="00F228D8"/>
    <w:rsid w:val="00F228D9"/>
    <w:rsid w:val="00F22AE1"/>
    <w:rsid w:val="00F22B18"/>
    <w:rsid w:val="00F22E54"/>
    <w:rsid w:val="00F22EFB"/>
    <w:rsid w:val="00F22F3C"/>
    <w:rsid w:val="00F2307C"/>
    <w:rsid w:val="00F23125"/>
    <w:rsid w:val="00F23143"/>
    <w:rsid w:val="00F23163"/>
    <w:rsid w:val="00F231B8"/>
    <w:rsid w:val="00F23230"/>
    <w:rsid w:val="00F232CE"/>
    <w:rsid w:val="00F232EF"/>
    <w:rsid w:val="00F233C7"/>
    <w:rsid w:val="00F2346D"/>
    <w:rsid w:val="00F23493"/>
    <w:rsid w:val="00F235D3"/>
    <w:rsid w:val="00F23642"/>
    <w:rsid w:val="00F23865"/>
    <w:rsid w:val="00F238F0"/>
    <w:rsid w:val="00F239BB"/>
    <w:rsid w:val="00F23A65"/>
    <w:rsid w:val="00F23ADE"/>
    <w:rsid w:val="00F23AF9"/>
    <w:rsid w:val="00F23B21"/>
    <w:rsid w:val="00F23BCA"/>
    <w:rsid w:val="00F23CA0"/>
    <w:rsid w:val="00F23CD6"/>
    <w:rsid w:val="00F23D2B"/>
    <w:rsid w:val="00F23E2A"/>
    <w:rsid w:val="00F23ED8"/>
    <w:rsid w:val="00F23FE2"/>
    <w:rsid w:val="00F24005"/>
    <w:rsid w:val="00F24026"/>
    <w:rsid w:val="00F240F8"/>
    <w:rsid w:val="00F24406"/>
    <w:rsid w:val="00F24655"/>
    <w:rsid w:val="00F247B9"/>
    <w:rsid w:val="00F247F6"/>
    <w:rsid w:val="00F2486A"/>
    <w:rsid w:val="00F248AB"/>
    <w:rsid w:val="00F248E1"/>
    <w:rsid w:val="00F249B4"/>
    <w:rsid w:val="00F24A8A"/>
    <w:rsid w:val="00F24AB1"/>
    <w:rsid w:val="00F24B2C"/>
    <w:rsid w:val="00F24C74"/>
    <w:rsid w:val="00F24CC3"/>
    <w:rsid w:val="00F24F85"/>
    <w:rsid w:val="00F2530E"/>
    <w:rsid w:val="00F254F0"/>
    <w:rsid w:val="00F25523"/>
    <w:rsid w:val="00F255BC"/>
    <w:rsid w:val="00F255C1"/>
    <w:rsid w:val="00F258C1"/>
    <w:rsid w:val="00F25AC5"/>
    <w:rsid w:val="00F25B24"/>
    <w:rsid w:val="00F25CE1"/>
    <w:rsid w:val="00F25D9E"/>
    <w:rsid w:val="00F25EF2"/>
    <w:rsid w:val="00F25F05"/>
    <w:rsid w:val="00F25F4B"/>
    <w:rsid w:val="00F25F9E"/>
    <w:rsid w:val="00F25FA9"/>
    <w:rsid w:val="00F26056"/>
    <w:rsid w:val="00F26089"/>
    <w:rsid w:val="00F26172"/>
    <w:rsid w:val="00F261C4"/>
    <w:rsid w:val="00F26259"/>
    <w:rsid w:val="00F262AA"/>
    <w:rsid w:val="00F26380"/>
    <w:rsid w:val="00F26404"/>
    <w:rsid w:val="00F26467"/>
    <w:rsid w:val="00F26472"/>
    <w:rsid w:val="00F266BA"/>
    <w:rsid w:val="00F266CC"/>
    <w:rsid w:val="00F2674D"/>
    <w:rsid w:val="00F26C33"/>
    <w:rsid w:val="00F26DF9"/>
    <w:rsid w:val="00F26EC7"/>
    <w:rsid w:val="00F27310"/>
    <w:rsid w:val="00F273C1"/>
    <w:rsid w:val="00F2740E"/>
    <w:rsid w:val="00F274D2"/>
    <w:rsid w:val="00F274DE"/>
    <w:rsid w:val="00F274F3"/>
    <w:rsid w:val="00F2753C"/>
    <w:rsid w:val="00F27627"/>
    <w:rsid w:val="00F27685"/>
    <w:rsid w:val="00F2768D"/>
    <w:rsid w:val="00F27738"/>
    <w:rsid w:val="00F27764"/>
    <w:rsid w:val="00F277A6"/>
    <w:rsid w:val="00F277CE"/>
    <w:rsid w:val="00F27952"/>
    <w:rsid w:val="00F2796F"/>
    <w:rsid w:val="00F279A8"/>
    <w:rsid w:val="00F27B68"/>
    <w:rsid w:val="00F27BFB"/>
    <w:rsid w:val="00F27CB8"/>
    <w:rsid w:val="00F27CF4"/>
    <w:rsid w:val="00F27D24"/>
    <w:rsid w:val="00F27E8B"/>
    <w:rsid w:val="00F27F26"/>
    <w:rsid w:val="00F27F46"/>
    <w:rsid w:val="00F27F49"/>
    <w:rsid w:val="00F30031"/>
    <w:rsid w:val="00F30046"/>
    <w:rsid w:val="00F300DC"/>
    <w:rsid w:val="00F30140"/>
    <w:rsid w:val="00F302A8"/>
    <w:rsid w:val="00F3048F"/>
    <w:rsid w:val="00F3053F"/>
    <w:rsid w:val="00F3059B"/>
    <w:rsid w:val="00F30650"/>
    <w:rsid w:val="00F3065A"/>
    <w:rsid w:val="00F30682"/>
    <w:rsid w:val="00F30738"/>
    <w:rsid w:val="00F3075B"/>
    <w:rsid w:val="00F3088C"/>
    <w:rsid w:val="00F308EE"/>
    <w:rsid w:val="00F30930"/>
    <w:rsid w:val="00F30C36"/>
    <w:rsid w:val="00F30CF3"/>
    <w:rsid w:val="00F30E0A"/>
    <w:rsid w:val="00F30EA5"/>
    <w:rsid w:val="00F30FA4"/>
    <w:rsid w:val="00F31224"/>
    <w:rsid w:val="00F31289"/>
    <w:rsid w:val="00F3134E"/>
    <w:rsid w:val="00F31623"/>
    <w:rsid w:val="00F31674"/>
    <w:rsid w:val="00F31679"/>
    <w:rsid w:val="00F3176A"/>
    <w:rsid w:val="00F318F5"/>
    <w:rsid w:val="00F31939"/>
    <w:rsid w:val="00F31992"/>
    <w:rsid w:val="00F319EB"/>
    <w:rsid w:val="00F31A0B"/>
    <w:rsid w:val="00F31A12"/>
    <w:rsid w:val="00F31B0F"/>
    <w:rsid w:val="00F31C89"/>
    <w:rsid w:val="00F31ECE"/>
    <w:rsid w:val="00F31F40"/>
    <w:rsid w:val="00F31FB6"/>
    <w:rsid w:val="00F320B6"/>
    <w:rsid w:val="00F321C5"/>
    <w:rsid w:val="00F321DE"/>
    <w:rsid w:val="00F3232B"/>
    <w:rsid w:val="00F3235A"/>
    <w:rsid w:val="00F324B8"/>
    <w:rsid w:val="00F325EE"/>
    <w:rsid w:val="00F3267C"/>
    <w:rsid w:val="00F3269A"/>
    <w:rsid w:val="00F327F3"/>
    <w:rsid w:val="00F327FE"/>
    <w:rsid w:val="00F3282D"/>
    <w:rsid w:val="00F3285B"/>
    <w:rsid w:val="00F329A4"/>
    <w:rsid w:val="00F329C9"/>
    <w:rsid w:val="00F32AD9"/>
    <w:rsid w:val="00F32BB1"/>
    <w:rsid w:val="00F32DDE"/>
    <w:rsid w:val="00F32E3D"/>
    <w:rsid w:val="00F32EB6"/>
    <w:rsid w:val="00F33090"/>
    <w:rsid w:val="00F330DA"/>
    <w:rsid w:val="00F3312B"/>
    <w:rsid w:val="00F3343E"/>
    <w:rsid w:val="00F33522"/>
    <w:rsid w:val="00F33569"/>
    <w:rsid w:val="00F335A8"/>
    <w:rsid w:val="00F33843"/>
    <w:rsid w:val="00F33878"/>
    <w:rsid w:val="00F33891"/>
    <w:rsid w:val="00F338D5"/>
    <w:rsid w:val="00F338DF"/>
    <w:rsid w:val="00F339C7"/>
    <w:rsid w:val="00F33A29"/>
    <w:rsid w:val="00F33A7A"/>
    <w:rsid w:val="00F33A92"/>
    <w:rsid w:val="00F33A97"/>
    <w:rsid w:val="00F33B74"/>
    <w:rsid w:val="00F33B90"/>
    <w:rsid w:val="00F33BFE"/>
    <w:rsid w:val="00F33C59"/>
    <w:rsid w:val="00F33D0A"/>
    <w:rsid w:val="00F33D8A"/>
    <w:rsid w:val="00F33DBB"/>
    <w:rsid w:val="00F33DFB"/>
    <w:rsid w:val="00F33ECE"/>
    <w:rsid w:val="00F33FBF"/>
    <w:rsid w:val="00F3408C"/>
    <w:rsid w:val="00F34099"/>
    <w:rsid w:val="00F3409F"/>
    <w:rsid w:val="00F341DB"/>
    <w:rsid w:val="00F3427F"/>
    <w:rsid w:val="00F342FC"/>
    <w:rsid w:val="00F34332"/>
    <w:rsid w:val="00F34478"/>
    <w:rsid w:val="00F34497"/>
    <w:rsid w:val="00F3449D"/>
    <w:rsid w:val="00F344BA"/>
    <w:rsid w:val="00F3474E"/>
    <w:rsid w:val="00F347B0"/>
    <w:rsid w:val="00F347C7"/>
    <w:rsid w:val="00F347CF"/>
    <w:rsid w:val="00F34838"/>
    <w:rsid w:val="00F3495F"/>
    <w:rsid w:val="00F349C0"/>
    <w:rsid w:val="00F349C8"/>
    <w:rsid w:val="00F34AEC"/>
    <w:rsid w:val="00F34D62"/>
    <w:rsid w:val="00F34D82"/>
    <w:rsid w:val="00F34DA7"/>
    <w:rsid w:val="00F34DED"/>
    <w:rsid w:val="00F34E26"/>
    <w:rsid w:val="00F34E8D"/>
    <w:rsid w:val="00F34EF1"/>
    <w:rsid w:val="00F35039"/>
    <w:rsid w:val="00F35075"/>
    <w:rsid w:val="00F35313"/>
    <w:rsid w:val="00F3533C"/>
    <w:rsid w:val="00F3538A"/>
    <w:rsid w:val="00F353EE"/>
    <w:rsid w:val="00F353F7"/>
    <w:rsid w:val="00F35495"/>
    <w:rsid w:val="00F3555E"/>
    <w:rsid w:val="00F35577"/>
    <w:rsid w:val="00F35683"/>
    <w:rsid w:val="00F3577E"/>
    <w:rsid w:val="00F3581F"/>
    <w:rsid w:val="00F35919"/>
    <w:rsid w:val="00F359AE"/>
    <w:rsid w:val="00F359F8"/>
    <w:rsid w:val="00F35A4E"/>
    <w:rsid w:val="00F35BE9"/>
    <w:rsid w:val="00F35D15"/>
    <w:rsid w:val="00F35E37"/>
    <w:rsid w:val="00F35F38"/>
    <w:rsid w:val="00F35FB2"/>
    <w:rsid w:val="00F35FBA"/>
    <w:rsid w:val="00F36236"/>
    <w:rsid w:val="00F36295"/>
    <w:rsid w:val="00F3630A"/>
    <w:rsid w:val="00F36346"/>
    <w:rsid w:val="00F3637A"/>
    <w:rsid w:val="00F364EB"/>
    <w:rsid w:val="00F368CB"/>
    <w:rsid w:val="00F368EE"/>
    <w:rsid w:val="00F3695A"/>
    <w:rsid w:val="00F3698B"/>
    <w:rsid w:val="00F36BB8"/>
    <w:rsid w:val="00F36DF5"/>
    <w:rsid w:val="00F36EB7"/>
    <w:rsid w:val="00F36EEB"/>
    <w:rsid w:val="00F36F34"/>
    <w:rsid w:val="00F37203"/>
    <w:rsid w:val="00F37218"/>
    <w:rsid w:val="00F3721A"/>
    <w:rsid w:val="00F37478"/>
    <w:rsid w:val="00F375CD"/>
    <w:rsid w:val="00F37754"/>
    <w:rsid w:val="00F3778C"/>
    <w:rsid w:val="00F37992"/>
    <w:rsid w:val="00F37A25"/>
    <w:rsid w:val="00F37B9A"/>
    <w:rsid w:val="00F37C6D"/>
    <w:rsid w:val="00F37ED9"/>
    <w:rsid w:val="00F37F1A"/>
    <w:rsid w:val="00F37FB3"/>
    <w:rsid w:val="00F4011D"/>
    <w:rsid w:val="00F4016A"/>
    <w:rsid w:val="00F403F1"/>
    <w:rsid w:val="00F4057E"/>
    <w:rsid w:val="00F4086B"/>
    <w:rsid w:val="00F4088B"/>
    <w:rsid w:val="00F408B5"/>
    <w:rsid w:val="00F408BC"/>
    <w:rsid w:val="00F408DE"/>
    <w:rsid w:val="00F40904"/>
    <w:rsid w:val="00F409B2"/>
    <w:rsid w:val="00F409C1"/>
    <w:rsid w:val="00F40A0D"/>
    <w:rsid w:val="00F40A30"/>
    <w:rsid w:val="00F40DB9"/>
    <w:rsid w:val="00F40E38"/>
    <w:rsid w:val="00F40E52"/>
    <w:rsid w:val="00F40F25"/>
    <w:rsid w:val="00F40FF8"/>
    <w:rsid w:val="00F41052"/>
    <w:rsid w:val="00F410B1"/>
    <w:rsid w:val="00F41104"/>
    <w:rsid w:val="00F4113D"/>
    <w:rsid w:val="00F411DD"/>
    <w:rsid w:val="00F4134F"/>
    <w:rsid w:val="00F4136A"/>
    <w:rsid w:val="00F41617"/>
    <w:rsid w:val="00F41620"/>
    <w:rsid w:val="00F416F9"/>
    <w:rsid w:val="00F41741"/>
    <w:rsid w:val="00F4176A"/>
    <w:rsid w:val="00F417D4"/>
    <w:rsid w:val="00F4182A"/>
    <w:rsid w:val="00F41862"/>
    <w:rsid w:val="00F41895"/>
    <w:rsid w:val="00F41922"/>
    <w:rsid w:val="00F4195C"/>
    <w:rsid w:val="00F41A4C"/>
    <w:rsid w:val="00F41AF4"/>
    <w:rsid w:val="00F41B12"/>
    <w:rsid w:val="00F41BAC"/>
    <w:rsid w:val="00F41BF5"/>
    <w:rsid w:val="00F41C32"/>
    <w:rsid w:val="00F41C85"/>
    <w:rsid w:val="00F41D63"/>
    <w:rsid w:val="00F41D6D"/>
    <w:rsid w:val="00F41F2A"/>
    <w:rsid w:val="00F41F51"/>
    <w:rsid w:val="00F41F8D"/>
    <w:rsid w:val="00F41FD1"/>
    <w:rsid w:val="00F41FF8"/>
    <w:rsid w:val="00F421C9"/>
    <w:rsid w:val="00F4230D"/>
    <w:rsid w:val="00F423F3"/>
    <w:rsid w:val="00F425EF"/>
    <w:rsid w:val="00F426B9"/>
    <w:rsid w:val="00F4281C"/>
    <w:rsid w:val="00F4295A"/>
    <w:rsid w:val="00F42979"/>
    <w:rsid w:val="00F42A57"/>
    <w:rsid w:val="00F42D59"/>
    <w:rsid w:val="00F42EF4"/>
    <w:rsid w:val="00F42F63"/>
    <w:rsid w:val="00F42F79"/>
    <w:rsid w:val="00F43170"/>
    <w:rsid w:val="00F432E0"/>
    <w:rsid w:val="00F435C8"/>
    <w:rsid w:val="00F435F6"/>
    <w:rsid w:val="00F43658"/>
    <w:rsid w:val="00F4366A"/>
    <w:rsid w:val="00F436AA"/>
    <w:rsid w:val="00F438CC"/>
    <w:rsid w:val="00F43B46"/>
    <w:rsid w:val="00F43C11"/>
    <w:rsid w:val="00F43C74"/>
    <w:rsid w:val="00F43D1E"/>
    <w:rsid w:val="00F43DC6"/>
    <w:rsid w:val="00F43E29"/>
    <w:rsid w:val="00F43EA9"/>
    <w:rsid w:val="00F43EBC"/>
    <w:rsid w:val="00F43EC8"/>
    <w:rsid w:val="00F43F20"/>
    <w:rsid w:val="00F4409F"/>
    <w:rsid w:val="00F4425D"/>
    <w:rsid w:val="00F442BE"/>
    <w:rsid w:val="00F444F7"/>
    <w:rsid w:val="00F445F9"/>
    <w:rsid w:val="00F4480B"/>
    <w:rsid w:val="00F44853"/>
    <w:rsid w:val="00F449B6"/>
    <w:rsid w:val="00F449E0"/>
    <w:rsid w:val="00F44B24"/>
    <w:rsid w:val="00F44C04"/>
    <w:rsid w:val="00F44C0A"/>
    <w:rsid w:val="00F44D55"/>
    <w:rsid w:val="00F450C7"/>
    <w:rsid w:val="00F45163"/>
    <w:rsid w:val="00F451CD"/>
    <w:rsid w:val="00F453B2"/>
    <w:rsid w:val="00F454E1"/>
    <w:rsid w:val="00F4553F"/>
    <w:rsid w:val="00F4557C"/>
    <w:rsid w:val="00F456A6"/>
    <w:rsid w:val="00F45725"/>
    <w:rsid w:val="00F4588E"/>
    <w:rsid w:val="00F45A00"/>
    <w:rsid w:val="00F45A01"/>
    <w:rsid w:val="00F45BE6"/>
    <w:rsid w:val="00F45C12"/>
    <w:rsid w:val="00F45D7D"/>
    <w:rsid w:val="00F45D88"/>
    <w:rsid w:val="00F45DF0"/>
    <w:rsid w:val="00F45E0F"/>
    <w:rsid w:val="00F45E2D"/>
    <w:rsid w:val="00F45E53"/>
    <w:rsid w:val="00F45E6C"/>
    <w:rsid w:val="00F45EB7"/>
    <w:rsid w:val="00F45EEF"/>
    <w:rsid w:val="00F45F3E"/>
    <w:rsid w:val="00F45FA0"/>
    <w:rsid w:val="00F46015"/>
    <w:rsid w:val="00F460ED"/>
    <w:rsid w:val="00F46226"/>
    <w:rsid w:val="00F46283"/>
    <w:rsid w:val="00F462A8"/>
    <w:rsid w:val="00F463F6"/>
    <w:rsid w:val="00F465D0"/>
    <w:rsid w:val="00F46628"/>
    <w:rsid w:val="00F466B5"/>
    <w:rsid w:val="00F46724"/>
    <w:rsid w:val="00F46805"/>
    <w:rsid w:val="00F4696C"/>
    <w:rsid w:val="00F46BEC"/>
    <w:rsid w:val="00F46BF7"/>
    <w:rsid w:val="00F46C4F"/>
    <w:rsid w:val="00F46D4F"/>
    <w:rsid w:val="00F46E30"/>
    <w:rsid w:val="00F4704D"/>
    <w:rsid w:val="00F47212"/>
    <w:rsid w:val="00F473D2"/>
    <w:rsid w:val="00F473DB"/>
    <w:rsid w:val="00F474AD"/>
    <w:rsid w:val="00F474CC"/>
    <w:rsid w:val="00F474DE"/>
    <w:rsid w:val="00F474FE"/>
    <w:rsid w:val="00F477C7"/>
    <w:rsid w:val="00F4797E"/>
    <w:rsid w:val="00F479BE"/>
    <w:rsid w:val="00F479CB"/>
    <w:rsid w:val="00F479FE"/>
    <w:rsid w:val="00F47A70"/>
    <w:rsid w:val="00F47B12"/>
    <w:rsid w:val="00F47BE9"/>
    <w:rsid w:val="00F47C0F"/>
    <w:rsid w:val="00F47D4C"/>
    <w:rsid w:val="00F47D90"/>
    <w:rsid w:val="00F47DA6"/>
    <w:rsid w:val="00F47E0E"/>
    <w:rsid w:val="00F47E2D"/>
    <w:rsid w:val="00F47EF3"/>
    <w:rsid w:val="00F47F78"/>
    <w:rsid w:val="00F500B0"/>
    <w:rsid w:val="00F500C2"/>
    <w:rsid w:val="00F500E8"/>
    <w:rsid w:val="00F50144"/>
    <w:rsid w:val="00F50192"/>
    <w:rsid w:val="00F50312"/>
    <w:rsid w:val="00F503A6"/>
    <w:rsid w:val="00F503F3"/>
    <w:rsid w:val="00F50434"/>
    <w:rsid w:val="00F50471"/>
    <w:rsid w:val="00F505CB"/>
    <w:rsid w:val="00F50829"/>
    <w:rsid w:val="00F509C8"/>
    <w:rsid w:val="00F50D37"/>
    <w:rsid w:val="00F50E91"/>
    <w:rsid w:val="00F50F07"/>
    <w:rsid w:val="00F50F21"/>
    <w:rsid w:val="00F50F3F"/>
    <w:rsid w:val="00F50F88"/>
    <w:rsid w:val="00F514C0"/>
    <w:rsid w:val="00F51515"/>
    <w:rsid w:val="00F51666"/>
    <w:rsid w:val="00F516B7"/>
    <w:rsid w:val="00F5172B"/>
    <w:rsid w:val="00F51778"/>
    <w:rsid w:val="00F517E1"/>
    <w:rsid w:val="00F519F6"/>
    <w:rsid w:val="00F51AEE"/>
    <w:rsid w:val="00F51B0A"/>
    <w:rsid w:val="00F51B3F"/>
    <w:rsid w:val="00F51B69"/>
    <w:rsid w:val="00F51B8B"/>
    <w:rsid w:val="00F51D54"/>
    <w:rsid w:val="00F51FC4"/>
    <w:rsid w:val="00F5207D"/>
    <w:rsid w:val="00F52120"/>
    <w:rsid w:val="00F5216A"/>
    <w:rsid w:val="00F521B8"/>
    <w:rsid w:val="00F5238D"/>
    <w:rsid w:val="00F5239E"/>
    <w:rsid w:val="00F5243E"/>
    <w:rsid w:val="00F525AF"/>
    <w:rsid w:val="00F52637"/>
    <w:rsid w:val="00F526B5"/>
    <w:rsid w:val="00F52719"/>
    <w:rsid w:val="00F52732"/>
    <w:rsid w:val="00F5281D"/>
    <w:rsid w:val="00F52950"/>
    <w:rsid w:val="00F52A00"/>
    <w:rsid w:val="00F52AD4"/>
    <w:rsid w:val="00F52BDA"/>
    <w:rsid w:val="00F52C0C"/>
    <w:rsid w:val="00F52EA4"/>
    <w:rsid w:val="00F53007"/>
    <w:rsid w:val="00F5302E"/>
    <w:rsid w:val="00F53054"/>
    <w:rsid w:val="00F531F1"/>
    <w:rsid w:val="00F53230"/>
    <w:rsid w:val="00F532CD"/>
    <w:rsid w:val="00F53353"/>
    <w:rsid w:val="00F533CE"/>
    <w:rsid w:val="00F5345F"/>
    <w:rsid w:val="00F534D8"/>
    <w:rsid w:val="00F53572"/>
    <w:rsid w:val="00F53637"/>
    <w:rsid w:val="00F53693"/>
    <w:rsid w:val="00F536B0"/>
    <w:rsid w:val="00F53754"/>
    <w:rsid w:val="00F53862"/>
    <w:rsid w:val="00F539D4"/>
    <w:rsid w:val="00F53A76"/>
    <w:rsid w:val="00F53BA7"/>
    <w:rsid w:val="00F53D31"/>
    <w:rsid w:val="00F53DAC"/>
    <w:rsid w:val="00F53EB0"/>
    <w:rsid w:val="00F53F7F"/>
    <w:rsid w:val="00F5406C"/>
    <w:rsid w:val="00F54098"/>
    <w:rsid w:val="00F540BC"/>
    <w:rsid w:val="00F540FD"/>
    <w:rsid w:val="00F54120"/>
    <w:rsid w:val="00F541C6"/>
    <w:rsid w:val="00F541E7"/>
    <w:rsid w:val="00F542BF"/>
    <w:rsid w:val="00F54357"/>
    <w:rsid w:val="00F543CD"/>
    <w:rsid w:val="00F543CE"/>
    <w:rsid w:val="00F54578"/>
    <w:rsid w:val="00F546A7"/>
    <w:rsid w:val="00F547DA"/>
    <w:rsid w:val="00F549FE"/>
    <w:rsid w:val="00F54A62"/>
    <w:rsid w:val="00F54ACF"/>
    <w:rsid w:val="00F54BC4"/>
    <w:rsid w:val="00F54D8C"/>
    <w:rsid w:val="00F54EFF"/>
    <w:rsid w:val="00F54F0E"/>
    <w:rsid w:val="00F54F9B"/>
    <w:rsid w:val="00F550A9"/>
    <w:rsid w:val="00F55184"/>
    <w:rsid w:val="00F5518E"/>
    <w:rsid w:val="00F552B3"/>
    <w:rsid w:val="00F55365"/>
    <w:rsid w:val="00F553BA"/>
    <w:rsid w:val="00F5545D"/>
    <w:rsid w:val="00F554FF"/>
    <w:rsid w:val="00F5556C"/>
    <w:rsid w:val="00F55699"/>
    <w:rsid w:val="00F556EF"/>
    <w:rsid w:val="00F55728"/>
    <w:rsid w:val="00F5577F"/>
    <w:rsid w:val="00F557DA"/>
    <w:rsid w:val="00F558E2"/>
    <w:rsid w:val="00F5595B"/>
    <w:rsid w:val="00F55A76"/>
    <w:rsid w:val="00F55B0E"/>
    <w:rsid w:val="00F55B26"/>
    <w:rsid w:val="00F55C38"/>
    <w:rsid w:val="00F55CB1"/>
    <w:rsid w:val="00F55DA2"/>
    <w:rsid w:val="00F55E72"/>
    <w:rsid w:val="00F55EF8"/>
    <w:rsid w:val="00F56058"/>
    <w:rsid w:val="00F560B7"/>
    <w:rsid w:val="00F561E4"/>
    <w:rsid w:val="00F56209"/>
    <w:rsid w:val="00F5620F"/>
    <w:rsid w:val="00F56251"/>
    <w:rsid w:val="00F562F3"/>
    <w:rsid w:val="00F5632E"/>
    <w:rsid w:val="00F5633E"/>
    <w:rsid w:val="00F5639D"/>
    <w:rsid w:val="00F565E2"/>
    <w:rsid w:val="00F56641"/>
    <w:rsid w:val="00F56672"/>
    <w:rsid w:val="00F566F9"/>
    <w:rsid w:val="00F566FB"/>
    <w:rsid w:val="00F56732"/>
    <w:rsid w:val="00F5685B"/>
    <w:rsid w:val="00F568DE"/>
    <w:rsid w:val="00F56972"/>
    <w:rsid w:val="00F569AF"/>
    <w:rsid w:val="00F56A2E"/>
    <w:rsid w:val="00F56B16"/>
    <w:rsid w:val="00F56B1A"/>
    <w:rsid w:val="00F56D35"/>
    <w:rsid w:val="00F56D54"/>
    <w:rsid w:val="00F56EE3"/>
    <w:rsid w:val="00F56FD3"/>
    <w:rsid w:val="00F56FDE"/>
    <w:rsid w:val="00F57386"/>
    <w:rsid w:val="00F574D3"/>
    <w:rsid w:val="00F575E5"/>
    <w:rsid w:val="00F5765B"/>
    <w:rsid w:val="00F576AE"/>
    <w:rsid w:val="00F5789C"/>
    <w:rsid w:val="00F578AF"/>
    <w:rsid w:val="00F57909"/>
    <w:rsid w:val="00F57935"/>
    <w:rsid w:val="00F57944"/>
    <w:rsid w:val="00F57A8B"/>
    <w:rsid w:val="00F57BB8"/>
    <w:rsid w:val="00F57BED"/>
    <w:rsid w:val="00F57C9B"/>
    <w:rsid w:val="00F57E27"/>
    <w:rsid w:val="00F57F47"/>
    <w:rsid w:val="00F57FBF"/>
    <w:rsid w:val="00F6001B"/>
    <w:rsid w:val="00F60064"/>
    <w:rsid w:val="00F6017E"/>
    <w:rsid w:val="00F60215"/>
    <w:rsid w:val="00F60251"/>
    <w:rsid w:val="00F602F2"/>
    <w:rsid w:val="00F60446"/>
    <w:rsid w:val="00F60453"/>
    <w:rsid w:val="00F6055D"/>
    <w:rsid w:val="00F6059C"/>
    <w:rsid w:val="00F606B9"/>
    <w:rsid w:val="00F606FF"/>
    <w:rsid w:val="00F60825"/>
    <w:rsid w:val="00F608B8"/>
    <w:rsid w:val="00F60942"/>
    <w:rsid w:val="00F6095C"/>
    <w:rsid w:val="00F60A20"/>
    <w:rsid w:val="00F60A52"/>
    <w:rsid w:val="00F60A55"/>
    <w:rsid w:val="00F60B77"/>
    <w:rsid w:val="00F60C2F"/>
    <w:rsid w:val="00F60D42"/>
    <w:rsid w:val="00F60DEB"/>
    <w:rsid w:val="00F60FAE"/>
    <w:rsid w:val="00F61000"/>
    <w:rsid w:val="00F61095"/>
    <w:rsid w:val="00F61267"/>
    <w:rsid w:val="00F612CC"/>
    <w:rsid w:val="00F61397"/>
    <w:rsid w:val="00F614B1"/>
    <w:rsid w:val="00F614C4"/>
    <w:rsid w:val="00F61620"/>
    <w:rsid w:val="00F617DC"/>
    <w:rsid w:val="00F6183B"/>
    <w:rsid w:val="00F618F0"/>
    <w:rsid w:val="00F6199A"/>
    <w:rsid w:val="00F61A63"/>
    <w:rsid w:val="00F61AE2"/>
    <w:rsid w:val="00F61B43"/>
    <w:rsid w:val="00F61C1E"/>
    <w:rsid w:val="00F61D4A"/>
    <w:rsid w:val="00F61D7B"/>
    <w:rsid w:val="00F61D9B"/>
    <w:rsid w:val="00F61E4F"/>
    <w:rsid w:val="00F61E68"/>
    <w:rsid w:val="00F6200C"/>
    <w:rsid w:val="00F620CB"/>
    <w:rsid w:val="00F621B5"/>
    <w:rsid w:val="00F62418"/>
    <w:rsid w:val="00F6241B"/>
    <w:rsid w:val="00F624A7"/>
    <w:rsid w:val="00F62523"/>
    <w:rsid w:val="00F62554"/>
    <w:rsid w:val="00F625EC"/>
    <w:rsid w:val="00F62626"/>
    <w:rsid w:val="00F62627"/>
    <w:rsid w:val="00F627B7"/>
    <w:rsid w:val="00F62885"/>
    <w:rsid w:val="00F628AC"/>
    <w:rsid w:val="00F62A38"/>
    <w:rsid w:val="00F62AF2"/>
    <w:rsid w:val="00F62C7C"/>
    <w:rsid w:val="00F62D20"/>
    <w:rsid w:val="00F62DBB"/>
    <w:rsid w:val="00F62DE1"/>
    <w:rsid w:val="00F62E95"/>
    <w:rsid w:val="00F62EC9"/>
    <w:rsid w:val="00F630A8"/>
    <w:rsid w:val="00F631AC"/>
    <w:rsid w:val="00F63208"/>
    <w:rsid w:val="00F632E3"/>
    <w:rsid w:val="00F6358F"/>
    <w:rsid w:val="00F635E2"/>
    <w:rsid w:val="00F6362F"/>
    <w:rsid w:val="00F637D5"/>
    <w:rsid w:val="00F63811"/>
    <w:rsid w:val="00F638B7"/>
    <w:rsid w:val="00F63935"/>
    <w:rsid w:val="00F63DD3"/>
    <w:rsid w:val="00F63E2D"/>
    <w:rsid w:val="00F63FBF"/>
    <w:rsid w:val="00F63FD0"/>
    <w:rsid w:val="00F64171"/>
    <w:rsid w:val="00F64207"/>
    <w:rsid w:val="00F64261"/>
    <w:rsid w:val="00F64367"/>
    <w:rsid w:val="00F643EE"/>
    <w:rsid w:val="00F64471"/>
    <w:rsid w:val="00F6450E"/>
    <w:rsid w:val="00F64535"/>
    <w:rsid w:val="00F6465C"/>
    <w:rsid w:val="00F64800"/>
    <w:rsid w:val="00F6487D"/>
    <w:rsid w:val="00F648B9"/>
    <w:rsid w:val="00F648FE"/>
    <w:rsid w:val="00F64926"/>
    <w:rsid w:val="00F64A15"/>
    <w:rsid w:val="00F64A66"/>
    <w:rsid w:val="00F64ADC"/>
    <w:rsid w:val="00F64B59"/>
    <w:rsid w:val="00F64B5F"/>
    <w:rsid w:val="00F64BBE"/>
    <w:rsid w:val="00F64CB3"/>
    <w:rsid w:val="00F64D0E"/>
    <w:rsid w:val="00F64E3D"/>
    <w:rsid w:val="00F6506B"/>
    <w:rsid w:val="00F6507A"/>
    <w:rsid w:val="00F65163"/>
    <w:rsid w:val="00F65197"/>
    <w:rsid w:val="00F651A4"/>
    <w:rsid w:val="00F65215"/>
    <w:rsid w:val="00F65318"/>
    <w:rsid w:val="00F653F1"/>
    <w:rsid w:val="00F65499"/>
    <w:rsid w:val="00F655EC"/>
    <w:rsid w:val="00F6568A"/>
    <w:rsid w:val="00F65928"/>
    <w:rsid w:val="00F65A8C"/>
    <w:rsid w:val="00F65B0F"/>
    <w:rsid w:val="00F65BC9"/>
    <w:rsid w:val="00F65C98"/>
    <w:rsid w:val="00F65D58"/>
    <w:rsid w:val="00F65E31"/>
    <w:rsid w:val="00F65F2D"/>
    <w:rsid w:val="00F65F5F"/>
    <w:rsid w:val="00F65F66"/>
    <w:rsid w:val="00F65FDD"/>
    <w:rsid w:val="00F66064"/>
    <w:rsid w:val="00F66115"/>
    <w:rsid w:val="00F662E1"/>
    <w:rsid w:val="00F66302"/>
    <w:rsid w:val="00F66393"/>
    <w:rsid w:val="00F66595"/>
    <w:rsid w:val="00F667D6"/>
    <w:rsid w:val="00F668A5"/>
    <w:rsid w:val="00F668A7"/>
    <w:rsid w:val="00F668E8"/>
    <w:rsid w:val="00F66912"/>
    <w:rsid w:val="00F66A85"/>
    <w:rsid w:val="00F66BD1"/>
    <w:rsid w:val="00F66BE3"/>
    <w:rsid w:val="00F66E18"/>
    <w:rsid w:val="00F67042"/>
    <w:rsid w:val="00F6710D"/>
    <w:rsid w:val="00F67284"/>
    <w:rsid w:val="00F67334"/>
    <w:rsid w:val="00F67535"/>
    <w:rsid w:val="00F675E7"/>
    <w:rsid w:val="00F675E9"/>
    <w:rsid w:val="00F67609"/>
    <w:rsid w:val="00F6761A"/>
    <w:rsid w:val="00F6766B"/>
    <w:rsid w:val="00F6768A"/>
    <w:rsid w:val="00F67706"/>
    <w:rsid w:val="00F6785B"/>
    <w:rsid w:val="00F678E2"/>
    <w:rsid w:val="00F6798D"/>
    <w:rsid w:val="00F67A02"/>
    <w:rsid w:val="00F67AC0"/>
    <w:rsid w:val="00F67B35"/>
    <w:rsid w:val="00F67B8D"/>
    <w:rsid w:val="00F67BB7"/>
    <w:rsid w:val="00F67BF9"/>
    <w:rsid w:val="00F67F40"/>
    <w:rsid w:val="00F67F9B"/>
    <w:rsid w:val="00F70128"/>
    <w:rsid w:val="00F70390"/>
    <w:rsid w:val="00F70431"/>
    <w:rsid w:val="00F7069F"/>
    <w:rsid w:val="00F70794"/>
    <w:rsid w:val="00F7089F"/>
    <w:rsid w:val="00F708D7"/>
    <w:rsid w:val="00F70A8E"/>
    <w:rsid w:val="00F70C18"/>
    <w:rsid w:val="00F70C6A"/>
    <w:rsid w:val="00F70C6D"/>
    <w:rsid w:val="00F70DCA"/>
    <w:rsid w:val="00F70DFA"/>
    <w:rsid w:val="00F70E2F"/>
    <w:rsid w:val="00F70E7C"/>
    <w:rsid w:val="00F70EA3"/>
    <w:rsid w:val="00F70EF9"/>
    <w:rsid w:val="00F70EFF"/>
    <w:rsid w:val="00F70F1F"/>
    <w:rsid w:val="00F70F20"/>
    <w:rsid w:val="00F70FD5"/>
    <w:rsid w:val="00F71015"/>
    <w:rsid w:val="00F71155"/>
    <w:rsid w:val="00F7127E"/>
    <w:rsid w:val="00F712CA"/>
    <w:rsid w:val="00F71460"/>
    <w:rsid w:val="00F714F7"/>
    <w:rsid w:val="00F7157C"/>
    <w:rsid w:val="00F71717"/>
    <w:rsid w:val="00F71719"/>
    <w:rsid w:val="00F7188D"/>
    <w:rsid w:val="00F71AB1"/>
    <w:rsid w:val="00F71C05"/>
    <w:rsid w:val="00F71CA1"/>
    <w:rsid w:val="00F71CAF"/>
    <w:rsid w:val="00F71D42"/>
    <w:rsid w:val="00F71D90"/>
    <w:rsid w:val="00F71E65"/>
    <w:rsid w:val="00F72117"/>
    <w:rsid w:val="00F72166"/>
    <w:rsid w:val="00F722F4"/>
    <w:rsid w:val="00F72313"/>
    <w:rsid w:val="00F72369"/>
    <w:rsid w:val="00F72396"/>
    <w:rsid w:val="00F7249C"/>
    <w:rsid w:val="00F72517"/>
    <w:rsid w:val="00F72518"/>
    <w:rsid w:val="00F72578"/>
    <w:rsid w:val="00F726A0"/>
    <w:rsid w:val="00F727A0"/>
    <w:rsid w:val="00F72923"/>
    <w:rsid w:val="00F72995"/>
    <w:rsid w:val="00F72A38"/>
    <w:rsid w:val="00F72A9B"/>
    <w:rsid w:val="00F72CA7"/>
    <w:rsid w:val="00F72CCB"/>
    <w:rsid w:val="00F72D22"/>
    <w:rsid w:val="00F72D34"/>
    <w:rsid w:val="00F72D36"/>
    <w:rsid w:val="00F72D5D"/>
    <w:rsid w:val="00F72D9B"/>
    <w:rsid w:val="00F72E21"/>
    <w:rsid w:val="00F72E66"/>
    <w:rsid w:val="00F72E98"/>
    <w:rsid w:val="00F72EF3"/>
    <w:rsid w:val="00F72F99"/>
    <w:rsid w:val="00F73040"/>
    <w:rsid w:val="00F73059"/>
    <w:rsid w:val="00F7313F"/>
    <w:rsid w:val="00F73179"/>
    <w:rsid w:val="00F73356"/>
    <w:rsid w:val="00F73388"/>
    <w:rsid w:val="00F733CA"/>
    <w:rsid w:val="00F7355F"/>
    <w:rsid w:val="00F73650"/>
    <w:rsid w:val="00F737B7"/>
    <w:rsid w:val="00F737DF"/>
    <w:rsid w:val="00F73865"/>
    <w:rsid w:val="00F738AC"/>
    <w:rsid w:val="00F73971"/>
    <w:rsid w:val="00F73988"/>
    <w:rsid w:val="00F73B28"/>
    <w:rsid w:val="00F73C94"/>
    <w:rsid w:val="00F73EF1"/>
    <w:rsid w:val="00F73F9B"/>
    <w:rsid w:val="00F73F9F"/>
    <w:rsid w:val="00F7405B"/>
    <w:rsid w:val="00F7415D"/>
    <w:rsid w:val="00F741CC"/>
    <w:rsid w:val="00F741D1"/>
    <w:rsid w:val="00F742B8"/>
    <w:rsid w:val="00F742C4"/>
    <w:rsid w:val="00F7433C"/>
    <w:rsid w:val="00F74499"/>
    <w:rsid w:val="00F7450D"/>
    <w:rsid w:val="00F74511"/>
    <w:rsid w:val="00F74550"/>
    <w:rsid w:val="00F74684"/>
    <w:rsid w:val="00F746BE"/>
    <w:rsid w:val="00F74771"/>
    <w:rsid w:val="00F74791"/>
    <w:rsid w:val="00F747BA"/>
    <w:rsid w:val="00F74817"/>
    <w:rsid w:val="00F748C3"/>
    <w:rsid w:val="00F74A30"/>
    <w:rsid w:val="00F74A3B"/>
    <w:rsid w:val="00F74A57"/>
    <w:rsid w:val="00F74C0F"/>
    <w:rsid w:val="00F74DB8"/>
    <w:rsid w:val="00F74EA9"/>
    <w:rsid w:val="00F74F7A"/>
    <w:rsid w:val="00F74FBD"/>
    <w:rsid w:val="00F74FCF"/>
    <w:rsid w:val="00F7506E"/>
    <w:rsid w:val="00F750B1"/>
    <w:rsid w:val="00F75174"/>
    <w:rsid w:val="00F752AD"/>
    <w:rsid w:val="00F752B9"/>
    <w:rsid w:val="00F75506"/>
    <w:rsid w:val="00F7552E"/>
    <w:rsid w:val="00F755E3"/>
    <w:rsid w:val="00F755ED"/>
    <w:rsid w:val="00F7560C"/>
    <w:rsid w:val="00F75656"/>
    <w:rsid w:val="00F75677"/>
    <w:rsid w:val="00F7584C"/>
    <w:rsid w:val="00F758A1"/>
    <w:rsid w:val="00F75946"/>
    <w:rsid w:val="00F75AAF"/>
    <w:rsid w:val="00F75B9D"/>
    <w:rsid w:val="00F75BC0"/>
    <w:rsid w:val="00F75C4D"/>
    <w:rsid w:val="00F75E79"/>
    <w:rsid w:val="00F75F6F"/>
    <w:rsid w:val="00F75F93"/>
    <w:rsid w:val="00F75FBB"/>
    <w:rsid w:val="00F7601B"/>
    <w:rsid w:val="00F76114"/>
    <w:rsid w:val="00F762C7"/>
    <w:rsid w:val="00F76329"/>
    <w:rsid w:val="00F7632B"/>
    <w:rsid w:val="00F7632E"/>
    <w:rsid w:val="00F7639B"/>
    <w:rsid w:val="00F763CB"/>
    <w:rsid w:val="00F76450"/>
    <w:rsid w:val="00F765CB"/>
    <w:rsid w:val="00F765D8"/>
    <w:rsid w:val="00F76665"/>
    <w:rsid w:val="00F766F7"/>
    <w:rsid w:val="00F76794"/>
    <w:rsid w:val="00F767AB"/>
    <w:rsid w:val="00F767AD"/>
    <w:rsid w:val="00F767C8"/>
    <w:rsid w:val="00F7682F"/>
    <w:rsid w:val="00F7690A"/>
    <w:rsid w:val="00F7696A"/>
    <w:rsid w:val="00F76B1E"/>
    <w:rsid w:val="00F76BE4"/>
    <w:rsid w:val="00F76D14"/>
    <w:rsid w:val="00F76D49"/>
    <w:rsid w:val="00F76D99"/>
    <w:rsid w:val="00F76E8C"/>
    <w:rsid w:val="00F76EAB"/>
    <w:rsid w:val="00F76EE5"/>
    <w:rsid w:val="00F76EFD"/>
    <w:rsid w:val="00F77073"/>
    <w:rsid w:val="00F770B4"/>
    <w:rsid w:val="00F77107"/>
    <w:rsid w:val="00F77270"/>
    <w:rsid w:val="00F772D5"/>
    <w:rsid w:val="00F773E1"/>
    <w:rsid w:val="00F77457"/>
    <w:rsid w:val="00F7753A"/>
    <w:rsid w:val="00F7754C"/>
    <w:rsid w:val="00F775CD"/>
    <w:rsid w:val="00F77669"/>
    <w:rsid w:val="00F77750"/>
    <w:rsid w:val="00F777BF"/>
    <w:rsid w:val="00F77945"/>
    <w:rsid w:val="00F77A8A"/>
    <w:rsid w:val="00F77B7C"/>
    <w:rsid w:val="00F77BA4"/>
    <w:rsid w:val="00F77BF5"/>
    <w:rsid w:val="00F77EC4"/>
    <w:rsid w:val="00F80355"/>
    <w:rsid w:val="00F804CB"/>
    <w:rsid w:val="00F8063D"/>
    <w:rsid w:val="00F80844"/>
    <w:rsid w:val="00F80876"/>
    <w:rsid w:val="00F80A54"/>
    <w:rsid w:val="00F80AE1"/>
    <w:rsid w:val="00F80B1D"/>
    <w:rsid w:val="00F80B68"/>
    <w:rsid w:val="00F80BE1"/>
    <w:rsid w:val="00F80C1A"/>
    <w:rsid w:val="00F80C7B"/>
    <w:rsid w:val="00F80C93"/>
    <w:rsid w:val="00F80F9B"/>
    <w:rsid w:val="00F81086"/>
    <w:rsid w:val="00F8127D"/>
    <w:rsid w:val="00F813B4"/>
    <w:rsid w:val="00F81582"/>
    <w:rsid w:val="00F81771"/>
    <w:rsid w:val="00F81778"/>
    <w:rsid w:val="00F818C1"/>
    <w:rsid w:val="00F81915"/>
    <w:rsid w:val="00F819EB"/>
    <w:rsid w:val="00F81AEF"/>
    <w:rsid w:val="00F81CE4"/>
    <w:rsid w:val="00F81D9C"/>
    <w:rsid w:val="00F81FCB"/>
    <w:rsid w:val="00F82064"/>
    <w:rsid w:val="00F821D7"/>
    <w:rsid w:val="00F822A2"/>
    <w:rsid w:val="00F82316"/>
    <w:rsid w:val="00F82399"/>
    <w:rsid w:val="00F82409"/>
    <w:rsid w:val="00F8240F"/>
    <w:rsid w:val="00F824EB"/>
    <w:rsid w:val="00F82610"/>
    <w:rsid w:val="00F82725"/>
    <w:rsid w:val="00F8296D"/>
    <w:rsid w:val="00F82A06"/>
    <w:rsid w:val="00F82C46"/>
    <w:rsid w:val="00F82C94"/>
    <w:rsid w:val="00F82D37"/>
    <w:rsid w:val="00F82F63"/>
    <w:rsid w:val="00F82F93"/>
    <w:rsid w:val="00F83048"/>
    <w:rsid w:val="00F830A4"/>
    <w:rsid w:val="00F830EA"/>
    <w:rsid w:val="00F8323A"/>
    <w:rsid w:val="00F8331D"/>
    <w:rsid w:val="00F8333E"/>
    <w:rsid w:val="00F8336A"/>
    <w:rsid w:val="00F83386"/>
    <w:rsid w:val="00F834D1"/>
    <w:rsid w:val="00F8360F"/>
    <w:rsid w:val="00F83654"/>
    <w:rsid w:val="00F837ED"/>
    <w:rsid w:val="00F837F9"/>
    <w:rsid w:val="00F838B5"/>
    <w:rsid w:val="00F838D9"/>
    <w:rsid w:val="00F83A79"/>
    <w:rsid w:val="00F83AA0"/>
    <w:rsid w:val="00F83AAF"/>
    <w:rsid w:val="00F83AB4"/>
    <w:rsid w:val="00F83AFA"/>
    <w:rsid w:val="00F83B32"/>
    <w:rsid w:val="00F83D94"/>
    <w:rsid w:val="00F83DD9"/>
    <w:rsid w:val="00F83E7D"/>
    <w:rsid w:val="00F84036"/>
    <w:rsid w:val="00F840C0"/>
    <w:rsid w:val="00F84209"/>
    <w:rsid w:val="00F8425B"/>
    <w:rsid w:val="00F8444F"/>
    <w:rsid w:val="00F84549"/>
    <w:rsid w:val="00F845B4"/>
    <w:rsid w:val="00F8466D"/>
    <w:rsid w:val="00F846F4"/>
    <w:rsid w:val="00F849D0"/>
    <w:rsid w:val="00F849ED"/>
    <w:rsid w:val="00F84A19"/>
    <w:rsid w:val="00F84B00"/>
    <w:rsid w:val="00F84B37"/>
    <w:rsid w:val="00F84B78"/>
    <w:rsid w:val="00F84D25"/>
    <w:rsid w:val="00F84EBF"/>
    <w:rsid w:val="00F84FDD"/>
    <w:rsid w:val="00F85028"/>
    <w:rsid w:val="00F85094"/>
    <w:rsid w:val="00F85112"/>
    <w:rsid w:val="00F8516A"/>
    <w:rsid w:val="00F851DD"/>
    <w:rsid w:val="00F85227"/>
    <w:rsid w:val="00F8526C"/>
    <w:rsid w:val="00F85338"/>
    <w:rsid w:val="00F85607"/>
    <w:rsid w:val="00F856EA"/>
    <w:rsid w:val="00F85812"/>
    <w:rsid w:val="00F858EE"/>
    <w:rsid w:val="00F859D9"/>
    <w:rsid w:val="00F85A03"/>
    <w:rsid w:val="00F85A4B"/>
    <w:rsid w:val="00F85B3F"/>
    <w:rsid w:val="00F85BEC"/>
    <w:rsid w:val="00F85D20"/>
    <w:rsid w:val="00F85E9C"/>
    <w:rsid w:val="00F85F3E"/>
    <w:rsid w:val="00F85F69"/>
    <w:rsid w:val="00F86039"/>
    <w:rsid w:val="00F86083"/>
    <w:rsid w:val="00F86141"/>
    <w:rsid w:val="00F86262"/>
    <w:rsid w:val="00F8631C"/>
    <w:rsid w:val="00F8639C"/>
    <w:rsid w:val="00F863F2"/>
    <w:rsid w:val="00F86581"/>
    <w:rsid w:val="00F8658C"/>
    <w:rsid w:val="00F865C3"/>
    <w:rsid w:val="00F865E4"/>
    <w:rsid w:val="00F865F1"/>
    <w:rsid w:val="00F866EE"/>
    <w:rsid w:val="00F86809"/>
    <w:rsid w:val="00F869F4"/>
    <w:rsid w:val="00F86C8B"/>
    <w:rsid w:val="00F86DAF"/>
    <w:rsid w:val="00F86F52"/>
    <w:rsid w:val="00F86FB7"/>
    <w:rsid w:val="00F87188"/>
    <w:rsid w:val="00F871B5"/>
    <w:rsid w:val="00F87241"/>
    <w:rsid w:val="00F8756F"/>
    <w:rsid w:val="00F87594"/>
    <w:rsid w:val="00F87679"/>
    <w:rsid w:val="00F8771F"/>
    <w:rsid w:val="00F878B3"/>
    <w:rsid w:val="00F87A8F"/>
    <w:rsid w:val="00F87B70"/>
    <w:rsid w:val="00F87C0B"/>
    <w:rsid w:val="00F87C80"/>
    <w:rsid w:val="00F87C84"/>
    <w:rsid w:val="00F87D04"/>
    <w:rsid w:val="00F87D09"/>
    <w:rsid w:val="00F87D1D"/>
    <w:rsid w:val="00F87E0E"/>
    <w:rsid w:val="00F87E13"/>
    <w:rsid w:val="00F87ECC"/>
    <w:rsid w:val="00F87F4F"/>
    <w:rsid w:val="00F87FC6"/>
    <w:rsid w:val="00F90093"/>
    <w:rsid w:val="00F901C7"/>
    <w:rsid w:val="00F90220"/>
    <w:rsid w:val="00F902D6"/>
    <w:rsid w:val="00F9042F"/>
    <w:rsid w:val="00F90456"/>
    <w:rsid w:val="00F904EB"/>
    <w:rsid w:val="00F904FF"/>
    <w:rsid w:val="00F90575"/>
    <w:rsid w:val="00F90642"/>
    <w:rsid w:val="00F907E5"/>
    <w:rsid w:val="00F90821"/>
    <w:rsid w:val="00F90885"/>
    <w:rsid w:val="00F9098A"/>
    <w:rsid w:val="00F909A1"/>
    <w:rsid w:val="00F909DD"/>
    <w:rsid w:val="00F90A2D"/>
    <w:rsid w:val="00F90A5D"/>
    <w:rsid w:val="00F90A61"/>
    <w:rsid w:val="00F90CC0"/>
    <w:rsid w:val="00F90CD5"/>
    <w:rsid w:val="00F90E0A"/>
    <w:rsid w:val="00F90E14"/>
    <w:rsid w:val="00F90E49"/>
    <w:rsid w:val="00F90E65"/>
    <w:rsid w:val="00F90EC9"/>
    <w:rsid w:val="00F90F34"/>
    <w:rsid w:val="00F91203"/>
    <w:rsid w:val="00F91463"/>
    <w:rsid w:val="00F914EC"/>
    <w:rsid w:val="00F91589"/>
    <w:rsid w:val="00F915CF"/>
    <w:rsid w:val="00F91A0B"/>
    <w:rsid w:val="00F91B69"/>
    <w:rsid w:val="00F91BA5"/>
    <w:rsid w:val="00F91CF3"/>
    <w:rsid w:val="00F91E12"/>
    <w:rsid w:val="00F91EDE"/>
    <w:rsid w:val="00F91F01"/>
    <w:rsid w:val="00F91FBA"/>
    <w:rsid w:val="00F9206D"/>
    <w:rsid w:val="00F920D9"/>
    <w:rsid w:val="00F921C8"/>
    <w:rsid w:val="00F9242B"/>
    <w:rsid w:val="00F9245D"/>
    <w:rsid w:val="00F9269D"/>
    <w:rsid w:val="00F92751"/>
    <w:rsid w:val="00F929D3"/>
    <w:rsid w:val="00F929F5"/>
    <w:rsid w:val="00F92A30"/>
    <w:rsid w:val="00F92A35"/>
    <w:rsid w:val="00F92B27"/>
    <w:rsid w:val="00F92C05"/>
    <w:rsid w:val="00F92D06"/>
    <w:rsid w:val="00F92E80"/>
    <w:rsid w:val="00F92F0A"/>
    <w:rsid w:val="00F92FCB"/>
    <w:rsid w:val="00F930E6"/>
    <w:rsid w:val="00F930F2"/>
    <w:rsid w:val="00F9318E"/>
    <w:rsid w:val="00F93260"/>
    <w:rsid w:val="00F9326E"/>
    <w:rsid w:val="00F932CE"/>
    <w:rsid w:val="00F932FC"/>
    <w:rsid w:val="00F9338D"/>
    <w:rsid w:val="00F9338F"/>
    <w:rsid w:val="00F9342F"/>
    <w:rsid w:val="00F93528"/>
    <w:rsid w:val="00F93546"/>
    <w:rsid w:val="00F935DE"/>
    <w:rsid w:val="00F935E9"/>
    <w:rsid w:val="00F936DC"/>
    <w:rsid w:val="00F9378A"/>
    <w:rsid w:val="00F938D0"/>
    <w:rsid w:val="00F93A3D"/>
    <w:rsid w:val="00F93BB5"/>
    <w:rsid w:val="00F93DA0"/>
    <w:rsid w:val="00F93ED7"/>
    <w:rsid w:val="00F9401A"/>
    <w:rsid w:val="00F94048"/>
    <w:rsid w:val="00F940E2"/>
    <w:rsid w:val="00F941AE"/>
    <w:rsid w:val="00F941BD"/>
    <w:rsid w:val="00F94213"/>
    <w:rsid w:val="00F94252"/>
    <w:rsid w:val="00F94277"/>
    <w:rsid w:val="00F9429D"/>
    <w:rsid w:val="00F943AB"/>
    <w:rsid w:val="00F9449F"/>
    <w:rsid w:val="00F945B3"/>
    <w:rsid w:val="00F945BE"/>
    <w:rsid w:val="00F94678"/>
    <w:rsid w:val="00F946BD"/>
    <w:rsid w:val="00F94704"/>
    <w:rsid w:val="00F947D5"/>
    <w:rsid w:val="00F94A12"/>
    <w:rsid w:val="00F94AAF"/>
    <w:rsid w:val="00F94BC2"/>
    <w:rsid w:val="00F94CAE"/>
    <w:rsid w:val="00F94CC3"/>
    <w:rsid w:val="00F94DFE"/>
    <w:rsid w:val="00F94F77"/>
    <w:rsid w:val="00F9505A"/>
    <w:rsid w:val="00F950DF"/>
    <w:rsid w:val="00F95161"/>
    <w:rsid w:val="00F951C3"/>
    <w:rsid w:val="00F95257"/>
    <w:rsid w:val="00F9541D"/>
    <w:rsid w:val="00F954A8"/>
    <w:rsid w:val="00F9552C"/>
    <w:rsid w:val="00F95556"/>
    <w:rsid w:val="00F957E5"/>
    <w:rsid w:val="00F9592E"/>
    <w:rsid w:val="00F95BCA"/>
    <w:rsid w:val="00F95C73"/>
    <w:rsid w:val="00F95E1F"/>
    <w:rsid w:val="00F95E5F"/>
    <w:rsid w:val="00F95EF3"/>
    <w:rsid w:val="00F96001"/>
    <w:rsid w:val="00F9604F"/>
    <w:rsid w:val="00F9609D"/>
    <w:rsid w:val="00F961CA"/>
    <w:rsid w:val="00F96245"/>
    <w:rsid w:val="00F96349"/>
    <w:rsid w:val="00F96471"/>
    <w:rsid w:val="00F964AA"/>
    <w:rsid w:val="00F9656A"/>
    <w:rsid w:val="00F96602"/>
    <w:rsid w:val="00F96615"/>
    <w:rsid w:val="00F9663F"/>
    <w:rsid w:val="00F96705"/>
    <w:rsid w:val="00F9681E"/>
    <w:rsid w:val="00F9688B"/>
    <w:rsid w:val="00F969F2"/>
    <w:rsid w:val="00F96A14"/>
    <w:rsid w:val="00F96B1A"/>
    <w:rsid w:val="00F96CBA"/>
    <w:rsid w:val="00F96CED"/>
    <w:rsid w:val="00F96E29"/>
    <w:rsid w:val="00F96E33"/>
    <w:rsid w:val="00F96E53"/>
    <w:rsid w:val="00F96F59"/>
    <w:rsid w:val="00F96FE3"/>
    <w:rsid w:val="00F971CB"/>
    <w:rsid w:val="00F972A5"/>
    <w:rsid w:val="00F972B5"/>
    <w:rsid w:val="00F9734A"/>
    <w:rsid w:val="00F9738E"/>
    <w:rsid w:val="00F974BF"/>
    <w:rsid w:val="00F974DC"/>
    <w:rsid w:val="00F974F4"/>
    <w:rsid w:val="00F975B0"/>
    <w:rsid w:val="00F976B4"/>
    <w:rsid w:val="00F97729"/>
    <w:rsid w:val="00F978E1"/>
    <w:rsid w:val="00F97915"/>
    <w:rsid w:val="00F97994"/>
    <w:rsid w:val="00F97AAA"/>
    <w:rsid w:val="00F97B20"/>
    <w:rsid w:val="00F97B2A"/>
    <w:rsid w:val="00F97BFD"/>
    <w:rsid w:val="00F97E28"/>
    <w:rsid w:val="00F97E52"/>
    <w:rsid w:val="00F97EB1"/>
    <w:rsid w:val="00F97EED"/>
    <w:rsid w:val="00FA004B"/>
    <w:rsid w:val="00FA020A"/>
    <w:rsid w:val="00FA022E"/>
    <w:rsid w:val="00FA03A7"/>
    <w:rsid w:val="00FA03B1"/>
    <w:rsid w:val="00FA0400"/>
    <w:rsid w:val="00FA0424"/>
    <w:rsid w:val="00FA0469"/>
    <w:rsid w:val="00FA04EB"/>
    <w:rsid w:val="00FA058A"/>
    <w:rsid w:val="00FA0704"/>
    <w:rsid w:val="00FA076F"/>
    <w:rsid w:val="00FA0880"/>
    <w:rsid w:val="00FA093B"/>
    <w:rsid w:val="00FA0ACE"/>
    <w:rsid w:val="00FA0BBD"/>
    <w:rsid w:val="00FA0C05"/>
    <w:rsid w:val="00FA0FAD"/>
    <w:rsid w:val="00FA108D"/>
    <w:rsid w:val="00FA11CC"/>
    <w:rsid w:val="00FA1263"/>
    <w:rsid w:val="00FA132E"/>
    <w:rsid w:val="00FA1333"/>
    <w:rsid w:val="00FA13A9"/>
    <w:rsid w:val="00FA1412"/>
    <w:rsid w:val="00FA14AA"/>
    <w:rsid w:val="00FA17D3"/>
    <w:rsid w:val="00FA17EC"/>
    <w:rsid w:val="00FA1A55"/>
    <w:rsid w:val="00FA1ACF"/>
    <w:rsid w:val="00FA1AF6"/>
    <w:rsid w:val="00FA1AF8"/>
    <w:rsid w:val="00FA1B92"/>
    <w:rsid w:val="00FA1D34"/>
    <w:rsid w:val="00FA1F65"/>
    <w:rsid w:val="00FA1F7B"/>
    <w:rsid w:val="00FA1FA4"/>
    <w:rsid w:val="00FA1FE0"/>
    <w:rsid w:val="00FA2051"/>
    <w:rsid w:val="00FA2150"/>
    <w:rsid w:val="00FA219B"/>
    <w:rsid w:val="00FA234F"/>
    <w:rsid w:val="00FA243D"/>
    <w:rsid w:val="00FA25B9"/>
    <w:rsid w:val="00FA28FF"/>
    <w:rsid w:val="00FA29FB"/>
    <w:rsid w:val="00FA2A88"/>
    <w:rsid w:val="00FA2B2E"/>
    <w:rsid w:val="00FA2B4A"/>
    <w:rsid w:val="00FA2B88"/>
    <w:rsid w:val="00FA2BDE"/>
    <w:rsid w:val="00FA2C0C"/>
    <w:rsid w:val="00FA2C80"/>
    <w:rsid w:val="00FA2CA6"/>
    <w:rsid w:val="00FA2D1C"/>
    <w:rsid w:val="00FA2D5F"/>
    <w:rsid w:val="00FA2D69"/>
    <w:rsid w:val="00FA302A"/>
    <w:rsid w:val="00FA30DF"/>
    <w:rsid w:val="00FA3276"/>
    <w:rsid w:val="00FA32FE"/>
    <w:rsid w:val="00FA332F"/>
    <w:rsid w:val="00FA33B6"/>
    <w:rsid w:val="00FA354E"/>
    <w:rsid w:val="00FA3574"/>
    <w:rsid w:val="00FA3662"/>
    <w:rsid w:val="00FA371A"/>
    <w:rsid w:val="00FA3837"/>
    <w:rsid w:val="00FA3844"/>
    <w:rsid w:val="00FA397F"/>
    <w:rsid w:val="00FA3983"/>
    <w:rsid w:val="00FA39FF"/>
    <w:rsid w:val="00FA3A26"/>
    <w:rsid w:val="00FA3B78"/>
    <w:rsid w:val="00FA3C08"/>
    <w:rsid w:val="00FA3DF5"/>
    <w:rsid w:val="00FA3E4F"/>
    <w:rsid w:val="00FA3E93"/>
    <w:rsid w:val="00FA3FD4"/>
    <w:rsid w:val="00FA405B"/>
    <w:rsid w:val="00FA411C"/>
    <w:rsid w:val="00FA41CB"/>
    <w:rsid w:val="00FA4271"/>
    <w:rsid w:val="00FA429C"/>
    <w:rsid w:val="00FA4422"/>
    <w:rsid w:val="00FA44F8"/>
    <w:rsid w:val="00FA4599"/>
    <w:rsid w:val="00FA4626"/>
    <w:rsid w:val="00FA4697"/>
    <w:rsid w:val="00FA4799"/>
    <w:rsid w:val="00FA47AA"/>
    <w:rsid w:val="00FA487C"/>
    <w:rsid w:val="00FA48A6"/>
    <w:rsid w:val="00FA4913"/>
    <w:rsid w:val="00FA4A50"/>
    <w:rsid w:val="00FA4CC1"/>
    <w:rsid w:val="00FA4CD5"/>
    <w:rsid w:val="00FA4D95"/>
    <w:rsid w:val="00FA4E24"/>
    <w:rsid w:val="00FA4E75"/>
    <w:rsid w:val="00FA4EED"/>
    <w:rsid w:val="00FA5022"/>
    <w:rsid w:val="00FA50D8"/>
    <w:rsid w:val="00FA50F2"/>
    <w:rsid w:val="00FA5144"/>
    <w:rsid w:val="00FA5205"/>
    <w:rsid w:val="00FA5481"/>
    <w:rsid w:val="00FA54AD"/>
    <w:rsid w:val="00FA55D5"/>
    <w:rsid w:val="00FA56DE"/>
    <w:rsid w:val="00FA56EE"/>
    <w:rsid w:val="00FA5790"/>
    <w:rsid w:val="00FA58B4"/>
    <w:rsid w:val="00FA5B46"/>
    <w:rsid w:val="00FA5C44"/>
    <w:rsid w:val="00FA5D42"/>
    <w:rsid w:val="00FA5D5E"/>
    <w:rsid w:val="00FA5DD1"/>
    <w:rsid w:val="00FA5E6B"/>
    <w:rsid w:val="00FA6026"/>
    <w:rsid w:val="00FA60AF"/>
    <w:rsid w:val="00FA60FC"/>
    <w:rsid w:val="00FA6140"/>
    <w:rsid w:val="00FA6166"/>
    <w:rsid w:val="00FA61A9"/>
    <w:rsid w:val="00FA6288"/>
    <w:rsid w:val="00FA633A"/>
    <w:rsid w:val="00FA63E1"/>
    <w:rsid w:val="00FA6430"/>
    <w:rsid w:val="00FA65AD"/>
    <w:rsid w:val="00FA65B4"/>
    <w:rsid w:val="00FA65DF"/>
    <w:rsid w:val="00FA65EC"/>
    <w:rsid w:val="00FA6603"/>
    <w:rsid w:val="00FA67EE"/>
    <w:rsid w:val="00FA68CA"/>
    <w:rsid w:val="00FA6943"/>
    <w:rsid w:val="00FA6A0B"/>
    <w:rsid w:val="00FA6A13"/>
    <w:rsid w:val="00FA6B27"/>
    <w:rsid w:val="00FA6B95"/>
    <w:rsid w:val="00FA6BFB"/>
    <w:rsid w:val="00FA6C89"/>
    <w:rsid w:val="00FA6EDE"/>
    <w:rsid w:val="00FA6F7B"/>
    <w:rsid w:val="00FA715E"/>
    <w:rsid w:val="00FA7375"/>
    <w:rsid w:val="00FA7421"/>
    <w:rsid w:val="00FA74E2"/>
    <w:rsid w:val="00FA758F"/>
    <w:rsid w:val="00FA7625"/>
    <w:rsid w:val="00FA771D"/>
    <w:rsid w:val="00FA772E"/>
    <w:rsid w:val="00FA7746"/>
    <w:rsid w:val="00FA7794"/>
    <w:rsid w:val="00FA7A32"/>
    <w:rsid w:val="00FA7B8B"/>
    <w:rsid w:val="00FA7C31"/>
    <w:rsid w:val="00FA7CC5"/>
    <w:rsid w:val="00FA7E7F"/>
    <w:rsid w:val="00FA7F9C"/>
    <w:rsid w:val="00FB0335"/>
    <w:rsid w:val="00FB0448"/>
    <w:rsid w:val="00FB049E"/>
    <w:rsid w:val="00FB04F4"/>
    <w:rsid w:val="00FB056D"/>
    <w:rsid w:val="00FB063D"/>
    <w:rsid w:val="00FB06A3"/>
    <w:rsid w:val="00FB072D"/>
    <w:rsid w:val="00FB07E1"/>
    <w:rsid w:val="00FB086F"/>
    <w:rsid w:val="00FB08A7"/>
    <w:rsid w:val="00FB08AF"/>
    <w:rsid w:val="00FB08B5"/>
    <w:rsid w:val="00FB099C"/>
    <w:rsid w:val="00FB0A95"/>
    <w:rsid w:val="00FB0B04"/>
    <w:rsid w:val="00FB0B24"/>
    <w:rsid w:val="00FB0B6E"/>
    <w:rsid w:val="00FB0B96"/>
    <w:rsid w:val="00FB0BB1"/>
    <w:rsid w:val="00FB0BE5"/>
    <w:rsid w:val="00FB0CAF"/>
    <w:rsid w:val="00FB0E54"/>
    <w:rsid w:val="00FB0E74"/>
    <w:rsid w:val="00FB10D5"/>
    <w:rsid w:val="00FB118C"/>
    <w:rsid w:val="00FB170A"/>
    <w:rsid w:val="00FB179A"/>
    <w:rsid w:val="00FB1824"/>
    <w:rsid w:val="00FB1912"/>
    <w:rsid w:val="00FB196B"/>
    <w:rsid w:val="00FB1A60"/>
    <w:rsid w:val="00FB1CA7"/>
    <w:rsid w:val="00FB1CED"/>
    <w:rsid w:val="00FB1D50"/>
    <w:rsid w:val="00FB1DC6"/>
    <w:rsid w:val="00FB1DDF"/>
    <w:rsid w:val="00FB1E08"/>
    <w:rsid w:val="00FB1EA5"/>
    <w:rsid w:val="00FB1F49"/>
    <w:rsid w:val="00FB205F"/>
    <w:rsid w:val="00FB210F"/>
    <w:rsid w:val="00FB2146"/>
    <w:rsid w:val="00FB21DE"/>
    <w:rsid w:val="00FB221B"/>
    <w:rsid w:val="00FB22A7"/>
    <w:rsid w:val="00FB22AC"/>
    <w:rsid w:val="00FB2363"/>
    <w:rsid w:val="00FB2452"/>
    <w:rsid w:val="00FB24E9"/>
    <w:rsid w:val="00FB256E"/>
    <w:rsid w:val="00FB2650"/>
    <w:rsid w:val="00FB26C3"/>
    <w:rsid w:val="00FB26DD"/>
    <w:rsid w:val="00FB26E8"/>
    <w:rsid w:val="00FB2702"/>
    <w:rsid w:val="00FB2782"/>
    <w:rsid w:val="00FB282B"/>
    <w:rsid w:val="00FB293B"/>
    <w:rsid w:val="00FB2983"/>
    <w:rsid w:val="00FB2AAF"/>
    <w:rsid w:val="00FB2ADB"/>
    <w:rsid w:val="00FB2AE6"/>
    <w:rsid w:val="00FB2CFB"/>
    <w:rsid w:val="00FB2CFD"/>
    <w:rsid w:val="00FB2E56"/>
    <w:rsid w:val="00FB2FCE"/>
    <w:rsid w:val="00FB2FDE"/>
    <w:rsid w:val="00FB31C5"/>
    <w:rsid w:val="00FB31D8"/>
    <w:rsid w:val="00FB3290"/>
    <w:rsid w:val="00FB32EC"/>
    <w:rsid w:val="00FB3303"/>
    <w:rsid w:val="00FB3423"/>
    <w:rsid w:val="00FB36E8"/>
    <w:rsid w:val="00FB37D3"/>
    <w:rsid w:val="00FB37FC"/>
    <w:rsid w:val="00FB3809"/>
    <w:rsid w:val="00FB3832"/>
    <w:rsid w:val="00FB3872"/>
    <w:rsid w:val="00FB38AF"/>
    <w:rsid w:val="00FB39D6"/>
    <w:rsid w:val="00FB3A59"/>
    <w:rsid w:val="00FB3ABB"/>
    <w:rsid w:val="00FB3B47"/>
    <w:rsid w:val="00FB3B65"/>
    <w:rsid w:val="00FB3BB1"/>
    <w:rsid w:val="00FB3C1A"/>
    <w:rsid w:val="00FB3C79"/>
    <w:rsid w:val="00FB3D58"/>
    <w:rsid w:val="00FB3DC8"/>
    <w:rsid w:val="00FB3E53"/>
    <w:rsid w:val="00FB3E7F"/>
    <w:rsid w:val="00FB3EDC"/>
    <w:rsid w:val="00FB3EE8"/>
    <w:rsid w:val="00FB3EE9"/>
    <w:rsid w:val="00FB409D"/>
    <w:rsid w:val="00FB40FB"/>
    <w:rsid w:val="00FB410C"/>
    <w:rsid w:val="00FB4368"/>
    <w:rsid w:val="00FB46A4"/>
    <w:rsid w:val="00FB478B"/>
    <w:rsid w:val="00FB4906"/>
    <w:rsid w:val="00FB4997"/>
    <w:rsid w:val="00FB4ACF"/>
    <w:rsid w:val="00FB4D3F"/>
    <w:rsid w:val="00FB4DA4"/>
    <w:rsid w:val="00FB4F0B"/>
    <w:rsid w:val="00FB4F4B"/>
    <w:rsid w:val="00FB5075"/>
    <w:rsid w:val="00FB507B"/>
    <w:rsid w:val="00FB50A5"/>
    <w:rsid w:val="00FB510D"/>
    <w:rsid w:val="00FB5157"/>
    <w:rsid w:val="00FB519D"/>
    <w:rsid w:val="00FB5211"/>
    <w:rsid w:val="00FB52AE"/>
    <w:rsid w:val="00FB54BF"/>
    <w:rsid w:val="00FB5548"/>
    <w:rsid w:val="00FB562E"/>
    <w:rsid w:val="00FB56B0"/>
    <w:rsid w:val="00FB578E"/>
    <w:rsid w:val="00FB57C9"/>
    <w:rsid w:val="00FB57E7"/>
    <w:rsid w:val="00FB58A6"/>
    <w:rsid w:val="00FB58E1"/>
    <w:rsid w:val="00FB593A"/>
    <w:rsid w:val="00FB5C0F"/>
    <w:rsid w:val="00FB5D4D"/>
    <w:rsid w:val="00FB5D95"/>
    <w:rsid w:val="00FB5DF4"/>
    <w:rsid w:val="00FB5E53"/>
    <w:rsid w:val="00FB6229"/>
    <w:rsid w:val="00FB63DB"/>
    <w:rsid w:val="00FB63EF"/>
    <w:rsid w:val="00FB6562"/>
    <w:rsid w:val="00FB65AA"/>
    <w:rsid w:val="00FB668D"/>
    <w:rsid w:val="00FB672C"/>
    <w:rsid w:val="00FB6884"/>
    <w:rsid w:val="00FB6971"/>
    <w:rsid w:val="00FB6A87"/>
    <w:rsid w:val="00FB6CD7"/>
    <w:rsid w:val="00FB6D9D"/>
    <w:rsid w:val="00FB6E5A"/>
    <w:rsid w:val="00FB6E96"/>
    <w:rsid w:val="00FB6FB1"/>
    <w:rsid w:val="00FB7025"/>
    <w:rsid w:val="00FB7039"/>
    <w:rsid w:val="00FB70C4"/>
    <w:rsid w:val="00FB714A"/>
    <w:rsid w:val="00FB7169"/>
    <w:rsid w:val="00FB71A7"/>
    <w:rsid w:val="00FB71AE"/>
    <w:rsid w:val="00FB7409"/>
    <w:rsid w:val="00FB747C"/>
    <w:rsid w:val="00FB74C0"/>
    <w:rsid w:val="00FB74D1"/>
    <w:rsid w:val="00FB74E5"/>
    <w:rsid w:val="00FB74F9"/>
    <w:rsid w:val="00FB7515"/>
    <w:rsid w:val="00FB75DA"/>
    <w:rsid w:val="00FB77CC"/>
    <w:rsid w:val="00FB780D"/>
    <w:rsid w:val="00FB78A7"/>
    <w:rsid w:val="00FB7925"/>
    <w:rsid w:val="00FB7A72"/>
    <w:rsid w:val="00FB7E2E"/>
    <w:rsid w:val="00FB7EEC"/>
    <w:rsid w:val="00FB7F7E"/>
    <w:rsid w:val="00FB7FAC"/>
    <w:rsid w:val="00FC0063"/>
    <w:rsid w:val="00FC0283"/>
    <w:rsid w:val="00FC02BF"/>
    <w:rsid w:val="00FC030F"/>
    <w:rsid w:val="00FC032C"/>
    <w:rsid w:val="00FC0348"/>
    <w:rsid w:val="00FC0408"/>
    <w:rsid w:val="00FC059F"/>
    <w:rsid w:val="00FC05AF"/>
    <w:rsid w:val="00FC06BA"/>
    <w:rsid w:val="00FC074C"/>
    <w:rsid w:val="00FC08BF"/>
    <w:rsid w:val="00FC08DE"/>
    <w:rsid w:val="00FC0917"/>
    <w:rsid w:val="00FC09D0"/>
    <w:rsid w:val="00FC0A87"/>
    <w:rsid w:val="00FC0A88"/>
    <w:rsid w:val="00FC0B10"/>
    <w:rsid w:val="00FC0B5D"/>
    <w:rsid w:val="00FC0CFF"/>
    <w:rsid w:val="00FC1074"/>
    <w:rsid w:val="00FC1138"/>
    <w:rsid w:val="00FC139E"/>
    <w:rsid w:val="00FC13E2"/>
    <w:rsid w:val="00FC13F7"/>
    <w:rsid w:val="00FC148D"/>
    <w:rsid w:val="00FC14AA"/>
    <w:rsid w:val="00FC14E5"/>
    <w:rsid w:val="00FC1519"/>
    <w:rsid w:val="00FC1524"/>
    <w:rsid w:val="00FC155B"/>
    <w:rsid w:val="00FC16A7"/>
    <w:rsid w:val="00FC1755"/>
    <w:rsid w:val="00FC1812"/>
    <w:rsid w:val="00FC1818"/>
    <w:rsid w:val="00FC1907"/>
    <w:rsid w:val="00FC1967"/>
    <w:rsid w:val="00FC198C"/>
    <w:rsid w:val="00FC1A6A"/>
    <w:rsid w:val="00FC1B0F"/>
    <w:rsid w:val="00FC1B2B"/>
    <w:rsid w:val="00FC1B72"/>
    <w:rsid w:val="00FC1C88"/>
    <w:rsid w:val="00FC1D46"/>
    <w:rsid w:val="00FC1DB1"/>
    <w:rsid w:val="00FC2186"/>
    <w:rsid w:val="00FC21E5"/>
    <w:rsid w:val="00FC22F4"/>
    <w:rsid w:val="00FC2344"/>
    <w:rsid w:val="00FC24E1"/>
    <w:rsid w:val="00FC24FC"/>
    <w:rsid w:val="00FC258A"/>
    <w:rsid w:val="00FC25DB"/>
    <w:rsid w:val="00FC2936"/>
    <w:rsid w:val="00FC2998"/>
    <w:rsid w:val="00FC29E6"/>
    <w:rsid w:val="00FC2ABB"/>
    <w:rsid w:val="00FC2AE9"/>
    <w:rsid w:val="00FC2B22"/>
    <w:rsid w:val="00FC2B41"/>
    <w:rsid w:val="00FC2BE7"/>
    <w:rsid w:val="00FC2C26"/>
    <w:rsid w:val="00FC2C74"/>
    <w:rsid w:val="00FC2D33"/>
    <w:rsid w:val="00FC2D9F"/>
    <w:rsid w:val="00FC2E31"/>
    <w:rsid w:val="00FC2ED4"/>
    <w:rsid w:val="00FC2F47"/>
    <w:rsid w:val="00FC2F5F"/>
    <w:rsid w:val="00FC3019"/>
    <w:rsid w:val="00FC337E"/>
    <w:rsid w:val="00FC338E"/>
    <w:rsid w:val="00FC33B1"/>
    <w:rsid w:val="00FC348F"/>
    <w:rsid w:val="00FC350C"/>
    <w:rsid w:val="00FC3618"/>
    <w:rsid w:val="00FC361A"/>
    <w:rsid w:val="00FC3638"/>
    <w:rsid w:val="00FC370D"/>
    <w:rsid w:val="00FC376D"/>
    <w:rsid w:val="00FC37B8"/>
    <w:rsid w:val="00FC38BE"/>
    <w:rsid w:val="00FC399B"/>
    <w:rsid w:val="00FC3AD1"/>
    <w:rsid w:val="00FC3C05"/>
    <w:rsid w:val="00FC3EE4"/>
    <w:rsid w:val="00FC3FF8"/>
    <w:rsid w:val="00FC4009"/>
    <w:rsid w:val="00FC4034"/>
    <w:rsid w:val="00FC41A9"/>
    <w:rsid w:val="00FC41D4"/>
    <w:rsid w:val="00FC43E7"/>
    <w:rsid w:val="00FC4408"/>
    <w:rsid w:val="00FC4451"/>
    <w:rsid w:val="00FC4461"/>
    <w:rsid w:val="00FC448B"/>
    <w:rsid w:val="00FC448F"/>
    <w:rsid w:val="00FC44B9"/>
    <w:rsid w:val="00FC44D2"/>
    <w:rsid w:val="00FC4508"/>
    <w:rsid w:val="00FC4518"/>
    <w:rsid w:val="00FC471C"/>
    <w:rsid w:val="00FC474B"/>
    <w:rsid w:val="00FC487D"/>
    <w:rsid w:val="00FC48FE"/>
    <w:rsid w:val="00FC498E"/>
    <w:rsid w:val="00FC49B1"/>
    <w:rsid w:val="00FC49F8"/>
    <w:rsid w:val="00FC4A98"/>
    <w:rsid w:val="00FC4D7D"/>
    <w:rsid w:val="00FC4DE0"/>
    <w:rsid w:val="00FC4EA5"/>
    <w:rsid w:val="00FC50A8"/>
    <w:rsid w:val="00FC5148"/>
    <w:rsid w:val="00FC52F4"/>
    <w:rsid w:val="00FC5343"/>
    <w:rsid w:val="00FC538E"/>
    <w:rsid w:val="00FC53C3"/>
    <w:rsid w:val="00FC53D9"/>
    <w:rsid w:val="00FC5441"/>
    <w:rsid w:val="00FC556D"/>
    <w:rsid w:val="00FC565E"/>
    <w:rsid w:val="00FC567B"/>
    <w:rsid w:val="00FC56F1"/>
    <w:rsid w:val="00FC5763"/>
    <w:rsid w:val="00FC589A"/>
    <w:rsid w:val="00FC5A2A"/>
    <w:rsid w:val="00FC5A30"/>
    <w:rsid w:val="00FC5B6B"/>
    <w:rsid w:val="00FC5BA0"/>
    <w:rsid w:val="00FC5C1E"/>
    <w:rsid w:val="00FC5CE4"/>
    <w:rsid w:val="00FC5D5B"/>
    <w:rsid w:val="00FC5DE9"/>
    <w:rsid w:val="00FC6014"/>
    <w:rsid w:val="00FC621C"/>
    <w:rsid w:val="00FC62D1"/>
    <w:rsid w:val="00FC6349"/>
    <w:rsid w:val="00FC6379"/>
    <w:rsid w:val="00FC6462"/>
    <w:rsid w:val="00FC6513"/>
    <w:rsid w:val="00FC660A"/>
    <w:rsid w:val="00FC660F"/>
    <w:rsid w:val="00FC666F"/>
    <w:rsid w:val="00FC6702"/>
    <w:rsid w:val="00FC67D5"/>
    <w:rsid w:val="00FC67FB"/>
    <w:rsid w:val="00FC68BC"/>
    <w:rsid w:val="00FC6935"/>
    <w:rsid w:val="00FC696D"/>
    <w:rsid w:val="00FC69C0"/>
    <w:rsid w:val="00FC6B83"/>
    <w:rsid w:val="00FC6C0B"/>
    <w:rsid w:val="00FC6D1B"/>
    <w:rsid w:val="00FC6DDD"/>
    <w:rsid w:val="00FC6E9D"/>
    <w:rsid w:val="00FC6ED4"/>
    <w:rsid w:val="00FC6FC2"/>
    <w:rsid w:val="00FC70C6"/>
    <w:rsid w:val="00FC70EB"/>
    <w:rsid w:val="00FC7126"/>
    <w:rsid w:val="00FC717D"/>
    <w:rsid w:val="00FC7266"/>
    <w:rsid w:val="00FC7346"/>
    <w:rsid w:val="00FC7461"/>
    <w:rsid w:val="00FC7497"/>
    <w:rsid w:val="00FC75C9"/>
    <w:rsid w:val="00FC764F"/>
    <w:rsid w:val="00FC76F0"/>
    <w:rsid w:val="00FC772F"/>
    <w:rsid w:val="00FC777A"/>
    <w:rsid w:val="00FC7784"/>
    <w:rsid w:val="00FC784E"/>
    <w:rsid w:val="00FC7930"/>
    <w:rsid w:val="00FC79F0"/>
    <w:rsid w:val="00FC7A1C"/>
    <w:rsid w:val="00FC7A8F"/>
    <w:rsid w:val="00FC7B70"/>
    <w:rsid w:val="00FC7BA2"/>
    <w:rsid w:val="00FC7BFD"/>
    <w:rsid w:val="00FC7C3E"/>
    <w:rsid w:val="00FC7C47"/>
    <w:rsid w:val="00FC7C4D"/>
    <w:rsid w:val="00FC7C72"/>
    <w:rsid w:val="00FC7D17"/>
    <w:rsid w:val="00FC7F18"/>
    <w:rsid w:val="00FC7F59"/>
    <w:rsid w:val="00FC7FAC"/>
    <w:rsid w:val="00FD0021"/>
    <w:rsid w:val="00FD0131"/>
    <w:rsid w:val="00FD0240"/>
    <w:rsid w:val="00FD0289"/>
    <w:rsid w:val="00FD03C2"/>
    <w:rsid w:val="00FD047D"/>
    <w:rsid w:val="00FD04B0"/>
    <w:rsid w:val="00FD0552"/>
    <w:rsid w:val="00FD084B"/>
    <w:rsid w:val="00FD08EA"/>
    <w:rsid w:val="00FD0B91"/>
    <w:rsid w:val="00FD0BD5"/>
    <w:rsid w:val="00FD0E79"/>
    <w:rsid w:val="00FD0E81"/>
    <w:rsid w:val="00FD0EEA"/>
    <w:rsid w:val="00FD0F05"/>
    <w:rsid w:val="00FD0F65"/>
    <w:rsid w:val="00FD0FA2"/>
    <w:rsid w:val="00FD10EA"/>
    <w:rsid w:val="00FD122E"/>
    <w:rsid w:val="00FD1231"/>
    <w:rsid w:val="00FD1257"/>
    <w:rsid w:val="00FD1334"/>
    <w:rsid w:val="00FD1339"/>
    <w:rsid w:val="00FD135D"/>
    <w:rsid w:val="00FD1394"/>
    <w:rsid w:val="00FD13EC"/>
    <w:rsid w:val="00FD1404"/>
    <w:rsid w:val="00FD1502"/>
    <w:rsid w:val="00FD1614"/>
    <w:rsid w:val="00FD165B"/>
    <w:rsid w:val="00FD16B5"/>
    <w:rsid w:val="00FD16E0"/>
    <w:rsid w:val="00FD17C1"/>
    <w:rsid w:val="00FD1820"/>
    <w:rsid w:val="00FD18D9"/>
    <w:rsid w:val="00FD19EE"/>
    <w:rsid w:val="00FD1A03"/>
    <w:rsid w:val="00FD1A64"/>
    <w:rsid w:val="00FD1CAA"/>
    <w:rsid w:val="00FD1D71"/>
    <w:rsid w:val="00FD1D77"/>
    <w:rsid w:val="00FD1E7D"/>
    <w:rsid w:val="00FD1E92"/>
    <w:rsid w:val="00FD1FA4"/>
    <w:rsid w:val="00FD1FB7"/>
    <w:rsid w:val="00FD2029"/>
    <w:rsid w:val="00FD225B"/>
    <w:rsid w:val="00FD2348"/>
    <w:rsid w:val="00FD23A6"/>
    <w:rsid w:val="00FD23CA"/>
    <w:rsid w:val="00FD23E5"/>
    <w:rsid w:val="00FD2426"/>
    <w:rsid w:val="00FD24E0"/>
    <w:rsid w:val="00FD24EC"/>
    <w:rsid w:val="00FD2632"/>
    <w:rsid w:val="00FD2658"/>
    <w:rsid w:val="00FD2759"/>
    <w:rsid w:val="00FD293F"/>
    <w:rsid w:val="00FD2950"/>
    <w:rsid w:val="00FD297D"/>
    <w:rsid w:val="00FD29BE"/>
    <w:rsid w:val="00FD2A29"/>
    <w:rsid w:val="00FD2AC8"/>
    <w:rsid w:val="00FD2AE4"/>
    <w:rsid w:val="00FD2B9D"/>
    <w:rsid w:val="00FD2ECF"/>
    <w:rsid w:val="00FD2FF3"/>
    <w:rsid w:val="00FD30B6"/>
    <w:rsid w:val="00FD3202"/>
    <w:rsid w:val="00FD326C"/>
    <w:rsid w:val="00FD32BB"/>
    <w:rsid w:val="00FD32F1"/>
    <w:rsid w:val="00FD330F"/>
    <w:rsid w:val="00FD3390"/>
    <w:rsid w:val="00FD339D"/>
    <w:rsid w:val="00FD33B8"/>
    <w:rsid w:val="00FD347D"/>
    <w:rsid w:val="00FD3552"/>
    <w:rsid w:val="00FD367A"/>
    <w:rsid w:val="00FD36A9"/>
    <w:rsid w:val="00FD36B5"/>
    <w:rsid w:val="00FD394D"/>
    <w:rsid w:val="00FD395F"/>
    <w:rsid w:val="00FD39C9"/>
    <w:rsid w:val="00FD3A91"/>
    <w:rsid w:val="00FD3AE6"/>
    <w:rsid w:val="00FD3B23"/>
    <w:rsid w:val="00FD3B88"/>
    <w:rsid w:val="00FD3BF5"/>
    <w:rsid w:val="00FD3C45"/>
    <w:rsid w:val="00FD3C71"/>
    <w:rsid w:val="00FD3CAD"/>
    <w:rsid w:val="00FD3DCD"/>
    <w:rsid w:val="00FD3E87"/>
    <w:rsid w:val="00FD3F33"/>
    <w:rsid w:val="00FD4079"/>
    <w:rsid w:val="00FD415F"/>
    <w:rsid w:val="00FD43AF"/>
    <w:rsid w:val="00FD4429"/>
    <w:rsid w:val="00FD4434"/>
    <w:rsid w:val="00FD452C"/>
    <w:rsid w:val="00FD457A"/>
    <w:rsid w:val="00FD46BF"/>
    <w:rsid w:val="00FD474B"/>
    <w:rsid w:val="00FD4810"/>
    <w:rsid w:val="00FD4831"/>
    <w:rsid w:val="00FD4911"/>
    <w:rsid w:val="00FD49E5"/>
    <w:rsid w:val="00FD4A37"/>
    <w:rsid w:val="00FD4BD7"/>
    <w:rsid w:val="00FD4CF0"/>
    <w:rsid w:val="00FD4DCB"/>
    <w:rsid w:val="00FD4E5C"/>
    <w:rsid w:val="00FD4EA9"/>
    <w:rsid w:val="00FD4EC5"/>
    <w:rsid w:val="00FD4EEB"/>
    <w:rsid w:val="00FD4FBB"/>
    <w:rsid w:val="00FD5059"/>
    <w:rsid w:val="00FD50E6"/>
    <w:rsid w:val="00FD50FC"/>
    <w:rsid w:val="00FD510D"/>
    <w:rsid w:val="00FD51D2"/>
    <w:rsid w:val="00FD5266"/>
    <w:rsid w:val="00FD52E5"/>
    <w:rsid w:val="00FD5715"/>
    <w:rsid w:val="00FD574E"/>
    <w:rsid w:val="00FD584B"/>
    <w:rsid w:val="00FD595D"/>
    <w:rsid w:val="00FD5A14"/>
    <w:rsid w:val="00FD5A86"/>
    <w:rsid w:val="00FD5AD4"/>
    <w:rsid w:val="00FD5B56"/>
    <w:rsid w:val="00FD5CC9"/>
    <w:rsid w:val="00FD5D18"/>
    <w:rsid w:val="00FD5D3B"/>
    <w:rsid w:val="00FD5E4F"/>
    <w:rsid w:val="00FD5F01"/>
    <w:rsid w:val="00FD5F52"/>
    <w:rsid w:val="00FD611A"/>
    <w:rsid w:val="00FD61FB"/>
    <w:rsid w:val="00FD626E"/>
    <w:rsid w:val="00FD63A2"/>
    <w:rsid w:val="00FD63CE"/>
    <w:rsid w:val="00FD644E"/>
    <w:rsid w:val="00FD64AC"/>
    <w:rsid w:val="00FD6529"/>
    <w:rsid w:val="00FD657C"/>
    <w:rsid w:val="00FD65D6"/>
    <w:rsid w:val="00FD6713"/>
    <w:rsid w:val="00FD689E"/>
    <w:rsid w:val="00FD6A1C"/>
    <w:rsid w:val="00FD6BA3"/>
    <w:rsid w:val="00FD6BBA"/>
    <w:rsid w:val="00FD6D11"/>
    <w:rsid w:val="00FD6D7B"/>
    <w:rsid w:val="00FD6EA6"/>
    <w:rsid w:val="00FD7137"/>
    <w:rsid w:val="00FD7189"/>
    <w:rsid w:val="00FD7191"/>
    <w:rsid w:val="00FD71BF"/>
    <w:rsid w:val="00FD7221"/>
    <w:rsid w:val="00FD723C"/>
    <w:rsid w:val="00FD7522"/>
    <w:rsid w:val="00FD75F3"/>
    <w:rsid w:val="00FD765E"/>
    <w:rsid w:val="00FD772A"/>
    <w:rsid w:val="00FD777D"/>
    <w:rsid w:val="00FD7979"/>
    <w:rsid w:val="00FD7A19"/>
    <w:rsid w:val="00FD7AA9"/>
    <w:rsid w:val="00FD7C89"/>
    <w:rsid w:val="00FD7CC8"/>
    <w:rsid w:val="00FD7D8B"/>
    <w:rsid w:val="00FD7E5A"/>
    <w:rsid w:val="00FD7FC6"/>
    <w:rsid w:val="00FDBBAB"/>
    <w:rsid w:val="00FE0040"/>
    <w:rsid w:val="00FE005A"/>
    <w:rsid w:val="00FE016C"/>
    <w:rsid w:val="00FE02A0"/>
    <w:rsid w:val="00FE0354"/>
    <w:rsid w:val="00FE03F3"/>
    <w:rsid w:val="00FE0422"/>
    <w:rsid w:val="00FE04C5"/>
    <w:rsid w:val="00FE064B"/>
    <w:rsid w:val="00FE06B0"/>
    <w:rsid w:val="00FE0787"/>
    <w:rsid w:val="00FE07A3"/>
    <w:rsid w:val="00FE0882"/>
    <w:rsid w:val="00FE0904"/>
    <w:rsid w:val="00FE09BB"/>
    <w:rsid w:val="00FE09C4"/>
    <w:rsid w:val="00FE09CE"/>
    <w:rsid w:val="00FE0C8A"/>
    <w:rsid w:val="00FE0CCB"/>
    <w:rsid w:val="00FE0D8C"/>
    <w:rsid w:val="00FE0DEB"/>
    <w:rsid w:val="00FE0EF7"/>
    <w:rsid w:val="00FE0F0C"/>
    <w:rsid w:val="00FE0F5D"/>
    <w:rsid w:val="00FE0F65"/>
    <w:rsid w:val="00FE0FCC"/>
    <w:rsid w:val="00FE0FE3"/>
    <w:rsid w:val="00FE111C"/>
    <w:rsid w:val="00FE127B"/>
    <w:rsid w:val="00FE13CE"/>
    <w:rsid w:val="00FE1505"/>
    <w:rsid w:val="00FE1685"/>
    <w:rsid w:val="00FE1781"/>
    <w:rsid w:val="00FE1799"/>
    <w:rsid w:val="00FE19C6"/>
    <w:rsid w:val="00FE1B3E"/>
    <w:rsid w:val="00FE1F91"/>
    <w:rsid w:val="00FE1FA8"/>
    <w:rsid w:val="00FE1FFC"/>
    <w:rsid w:val="00FE201F"/>
    <w:rsid w:val="00FE2076"/>
    <w:rsid w:val="00FE2115"/>
    <w:rsid w:val="00FE21D9"/>
    <w:rsid w:val="00FE223B"/>
    <w:rsid w:val="00FE249B"/>
    <w:rsid w:val="00FE2531"/>
    <w:rsid w:val="00FE2635"/>
    <w:rsid w:val="00FE2654"/>
    <w:rsid w:val="00FE2844"/>
    <w:rsid w:val="00FE2883"/>
    <w:rsid w:val="00FE28A8"/>
    <w:rsid w:val="00FE2926"/>
    <w:rsid w:val="00FE29B1"/>
    <w:rsid w:val="00FE2A8C"/>
    <w:rsid w:val="00FE2BC8"/>
    <w:rsid w:val="00FE2BD3"/>
    <w:rsid w:val="00FE2C16"/>
    <w:rsid w:val="00FE2DB7"/>
    <w:rsid w:val="00FE2EC3"/>
    <w:rsid w:val="00FE2EFC"/>
    <w:rsid w:val="00FE2F3E"/>
    <w:rsid w:val="00FE2F6C"/>
    <w:rsid w:val="00FE2FA2"/>
    <w:rsid w:val="00FE303E"/>
    <w:rsid w:val="00FE313E"/>
    <w:rsid w:val="00FE31A7"/>
    <w:rsid w:val="00FE321C"/>
    <w:rsid w:val="00FE3430"/>
    <w:rsid w:val="00FE3524"/>
    <w:rsid w:val="00FE363A"/>
    <w:rsid w:val="00FE363F"/>
    <w:rsid w:val="00FE376B"/>
    <w:rsid w:val="00FE37E8"/>
    <w:rsid w:val="00FE39C5"/>
    <w:rsid w:val="00FE3AFA"/>
    <w:rsid w:val="00FE3AFF"/>
    <w:rsid w:val="00FE3B91"/>
    <w:rsid w:val="00FE3CF9"/>
    <w:rsid w:val="00FE3DE1"/>
    <w:rsid w:val="00FE3DE9"/>
    <w:rsid w:val="00FE3FC2"/>
    <w:rsid w:val="00FE42B5"/>
    <w:rsid w:val="00FE42D2"/>
    <w:rsid w:val="00FE430E"/>
    <w:rsid w:val="00FE4386"/>
    <w:rsid w:val="00FE43A1"/>
    <w:rsid w:val="00FE4457"/>
    <w:rsid w:val="00FE448B"/>
    <w:rsid w:val="00FE459C"/>
    <w:rsid w:val="00FE45AB"/>
    <w:rsid w:val="00FE48D4"/>
    <w:rsid w:val="00FE4908"/>
    <w:rsid w:val="00FE4AF7"/>
    <w:rsid w:val="00FE4BDA"/>
    <w:rsid w:val="00FE4DFB"/>
    <w:rsid w:val="00FE4DFE"/>
    <w:rsid w:val="00FE4E87"/>
    <w:rsid w:val="00FE4E97"/>
    <w:rsid w:val="00FE4FE1"/>
    <w:rsid w:val="00FE5042"/>
    <w:rsid w:val="00FE515F"/>
    <w:rsid w:val="00FE520A"/>
    <w:rsid w:val="00FE52EE"/>
    <w:rsid w:val="00FE5327"/>
    <w:rsid w:val="00FE5347"/>
    <w:rsid w:val="00FE536D"/>
    <w:rsid w:val="00FE53AB"/>
    <w:rsid w:val="00FE54F9"/>
    <w:rsid w:val="00FE5540"/>
    <w:rsid w:val="00FE5808"/>
    <w:rsid w:val="00FE5863"/>
    <w:rsid w:val="00FE5909"/>
    <w:rsid w:val="00FE5990"/>
    <w:rsid w:val="00FE5B94"/>
    <w:rsid w:val="00FE5C54"/>
    <w:rsid w:val="00FE5CE1"/>
    <w:rsid w:val="00FE5D81"/>
    <w:rsid w:val="00FE5E61"/>
    <w:rsid w:val="00FE5F45"/>
    <w:rsid w:val="00FE5F78"/>
    <w:rsid w:val="00FE5F8D"/>
    <w:rsid w:val="00FE6103"/>
    <w:rsid w:val="00FE6290"/>
    <w:rsid w:val="00FE6301"/>
    <w:rsid w:val="00FE6455"/>
    <w:rsid w:val="00FE646F"/>
    <w:rsid w:val="00FE655C"/>
    <w:rsid w:val="00FE6641"/>
    <w:rsid w:val="00FE66D0"/>
    <w:rsid w:val="00FE6792"/>
    <w:rsid w:val="00FE684D"/>
    <w:rsid w:val="00FE689A"/>
    <w:rsid w:val="00FE68E9"/>
    <w:rsid w:val="00FE68F2"/>
    <w:rsid w:val="00FE6915"/>
    <w:rsid w:val="00FE694E"/>
    <w:rsid w:val="00FE6991"/>
    <w:rsid w:val="00FE6ADC"/>
    <w:rsid w:val="00FE6AEB"/>
    <w:rsid w:val="00FE6C5C"/>
    <w:rsid w:val="00FE6D00"/>
    <w:rsid w:val="00FE6D79"/>
    <w:rsid w:val="00FE6DDB"/>
    <w:rsid w:val="00FE6DF5"/>
    <w:rsid w:val="00FE6E2A"/>
    <w:rsid w:val="00FE6FEC"/>
    <w:rsid w:val="00FE702E"/>
    <w:rsid w:val="00FE70E2"/>
    <w:rsid w:val="00FE70FD"/>
    <w:rsid w:val="00FE737E"/>
    <w:rsid w:val="00FE73CA"/>
    <w:rsid w:val="00FE740C"/>
    <w:rsid w:val="00FE743F"/>
    <w:rsid w:val="00FE746B"/>
    <w:rsid w:val="00FE7509"/>
    <w:rsid w:val="00FE759E"/>
    <w:rsid w:val="00FE75BB"/>
    <w:rsid w:val="00FE76E8"/>
    <w:rsid w:val="00FE780A"/>
    <w:rsid w:val="00FE785A"/>
    <w:rsid w:val="00FE7940"/>
    <w:rsid w:val="00FE7B99"/>
    <w:rsid w:val="00FE7BA8"/>
    <w:rsid w:val="00FE7D86"/>
    <w:rsid w:val="00FE7E66"/>
    <w:rsid w:val="00FF00B1"/>
    <w:rsid w:val="00FF0200"/>
    <w:rsid w:val="00FF0381"/>
    <w:rsid w:val="00FF0395"/>
    <w:rsid w:val="00FF0419"/>
    <w:rsid w:val="00FF04AE"/>
    <w:rsid w:val="00FF05B2"/>
    <w:rsid w:val="00FF061B"/>
    <w:rsid w:val="00FF0647"/>
    <w:rsid w:val="00FF0740"/>
    <w:rsid w:val="00FF079F"/>
    <w:rsid w:val="00FF07FA"/>
    <w:rsid w:val="00FF08D7"/>
    <w:rsid w:val="00FF0983"/>
    <w:rsid w:val="00FF0997"/>
    <w:rsid w:val="00FF0A78"/>
    <w:rsid w:val="00FF0B02"/>
    <w:rsid w:val="00FF0B14"/>
    <w:rsid w:val="00FF0B4A"/>
    <w:rsid w:val="00FF0C1E"/>
    <w:rsid w:val="00FF0CB2"/>
    <w:rsid w:val="00FF0E39"/>
    <w:rsid w:val="00FF0EF6"/>
    <w:rsid w:val="00FF10A1"/>
    <w:rsid w:val="00FF1314"/>
    <w:rsid w:val="00FF1351"/>
    <w:rsid w:val="00FF1368"/>
    <w:rsid w:val="00FF14D3"/>
    <w:rsid w:val="00FF15AF"/>
    <w:rsid w:val="00FF15F3"/>
    <w:rsid w:val="00FF1663"/>
    <w:rsid w:val="00FF16A9"/>
    <w:rsid w:val="00FF16BD"/>
    <w:rsid w:val="00FF186D"/>
    <w:rsid w:val="00FF1971"/>
    <w:rsid w:val="00FF19CB"/>
    <w:rsid w:val="00FF1A1C"/>
    <w:rsid w:val="00FF1AAA"/>
    <w:rsid w:val="00FF1C3F"/>
    <w:rsid w:val="00FF1D12"/>
    <w:rsid w:val="00FF1D1F"/>
    <w:rsid w:val="00FF1E66"/>
    <w:rsid w:val="00FF1F22"/>
    <w:rsid w:val="00FF1F8C"/>
    <w:rsid w:val="00FF22ED"/>
    <w:rsid w:val="00FF2418"/>
    <w:rsid w:val="00FF25B0"/>
    <w:rsid w:val="00FF25C8"/>
    <w:rsid w:val="00FF2A9F"/>
    <w:rsid w:val="00FF2ADA"/>
    <w:rsid w:val="00FF2BB0"/>
    <w:rsid w:val="00FF2BD4"/>
    <w:rsid w:val="00FF2D6A"/>
    <w:rsid w:val="00FF2E43"/>
    <w:rsid w:val="00FF2E50"/>
    <w:rsid w:val="00FF31AD"/>
    <w:rsid w:val="00FF322C"/>
    <w:rsid w:val="00FF339B"/>
    <w:rsid w:val="00FF33E3"/>
    <w:rsid w:val="00FF3406"/>
    <w:rsid w:val="00FF3407"/>
    <w:rsid w:val="00FF3620"/>
    <w:rsid w:val="00FF370F"/>
    <w:rsid w:val="00FF382E"/>
    <w:rsid w:val="00FF382F"/>
    <w:rsid w:val="00FF386F"/>
    <w:rsid w:val="00FF3A27"/>
    <w:rsid w:val="00FF3C7A"/>
    <w:rsid w:val="00FF3CF9"/>
    <w:rsid w:val="00FF3D59"/>
    <w:rsid w:val="00FF3D95"/>
    <w:rsid w:val="00FF3E48"/>
    <w:rsid w:val="00FF403D"/>
    <w:rsid w:val="00FF408B"/>
    <w:rsid w:val="00FF4090"/>
    <w:rsid w:val="00FF414E"/>
    <w:rsid w:val="00FF41FA"/>
    <w:rsid w:val="00FF439A"/>
    <w:rsid w:val="00FF43BC"/>
    <w:rsid w:val="00FF443D"/>
    <w:rsid w:val="00FF4440"/>
    <w:rsid w:val="00FF45CD"/>
    <w:rsid w:val="00FF4604"/>
    <w:rsid w:val="00FF474B"/>
    <w:rsid w:val="00FF496C"/>
    <w:rsid w:val="00FF4998"/>
    <w:rsid w:val="00FF4A0F"/>
    <w:rsid w:val="00FF4A28"/>
    <w:rsid w:val="00FF4B78"/>
    <w:rsid w:val="00FF4BCE"/>
    <w:rsid w:val="00FF4CBD"/>
    <w:rsid w:val="00FF4FBF"/>
    <w:rsid w:val="00FF5091"/>
    <w:rsid w:val="00FF5106"/>
    <w:rsid w:val="00FF5107"/>
    <w:rsid w:val="00FF5154"/>
    <w:rsid w:val="00FF5204"/>
    <w:rsid w:val="00FF525B"/>
    <w:rsid w:val="00FF52EA"/>
    <w:rsid w:val="00FF5305"/>
    <w:rsid w:val="00FF5345"/>
    <w:rsid w:val="00FF536A"/>
    <w:rsid w:val="00FF53F6"/>
    <w:rsid w:val="00FF55A0"/>
    <w:rsid w:val="00FF5605"/>
    <w:rsid w:val="00FF5646"/>
    <w:rsid w:val="00FF565F"/>
    <w:rsid w:val="00FF56E4"/>
    <w:rsid w:val="00FF5812"/>
    <w:rsid w:val="00FF59BC"/>
    <w:rsid w:val="00FF59F8"/>
    <w:rsid w:val="00FF5ACD"/>
    <w:rsid w:val="00FF5B54"/>
    <w:rsid w:val="00FF5B93"/>
    <w:rsid w:val="00FF5C74"/>
    <w:rsid w:val="00FF5CBA"/>
    <w:rsid w:val="00FF5D32"/>
    <w:rsid w:val="00FF5E37"/>
    <w:rsid w:val="00FF5EE3"/>
    <w:rsid w:val="00FF5EEE"/>
    <w:rsid w:val="00FF5F10"/>
    <w:rsid w:val="00FF5F12"/>
    <w:rsid w:val="00FF5F37"/>
    <w:rsid w:val="00FF5F88"/>
    <w:rsid w:val="00FF5FD4"/>
    <w:rsid w:val="00FF60D4"/>
    <w:rsid w:val="00FF60FD"/>
    <w:rsid w:val="00FF6104"/>
    <w:rsid w:val="00FF61C4"/>
    <w:rsid w:val="00FF6280"/>
    <w:rsid w:val="00FF63E7"/>
    <w:rsid w:val="00FF64A2"/>
    <w:rsid w:val="00FF64B6"/>
    <w:rsid w:val="00FF6502"/>
    <w:rsid w:val="00FF6631"/>
    <w:rsid w:val="00FF68DE"/>
    <w:rsid w:val="00FF693B"/>
    <w:rsid w:val="00FF6980"/>
    <w:rsid w:val="00FF6AB2"/>
    <w:rsid w:val="00FF6C53"/>
    <w:rsid w:val="00FF6D18"/>
    <w:rsid w:val="00FF6D34"/>
    <w:rsid w:val="00FF6D8F"/>
    <w:rsid w:val="00FF6F55"/>
    <w:rsid w:val="00FF7015"/>
    <w:rsid w:val="00FF71D3"/>
    <w:rsid w:val="00FF71D7"/>
    <w:rsid w:val="00FF7215"/>
    <w:rsid w:val="00FF72CA"/>
    <w:rsid w:val="00FF7359"/>
    <w:rsid w:val="00FF7455"/>
    <w:rsid w:val="00FF767D"/>
    <w:rsid w:val="00FF7718"/>
    <w:rsid w:val="00FF7721"/>
    <w:rsid w:val="00FF7724"/>
    <w:rsid w:val="00FF7960"/>
    <w:rsid w:val="00FF7ADC"/>
    <w:rsid w:val="00FF7B17"/>
    <w:rsid w:val="00FF7CF9"/>
    <w:rsid w:val="00FF7D04"/>
    <w:rsid w:val="00FF7E9F"/>
    <w:rsid w:val="00FF7FAA"/>
    <w:rsid w:val="0100704A"/>
    <w:rsid w:val="014BFF96"/>
    <w:rsid w:val="015A0E93"/>
    <w:rsid w:val="01676E12"/>
    <w:rsid w:val="0167A94B"/>
    <w:rsid w:val="017903CB"/>
    <w:rsid w:val="018A3AF0"/>
    <w:rsid w:val="01A52841"/>
    <w:rsid w:val="01AC2566"/>
    <w:rsid w:val="01E4F9FE"/>
    <w:rsid w:val="01EA9762"/>
    <w:rsid w:val="01EEA034"/>
    <w:rsid w:val="021213FB"/>
    <w:rsid w:val="024636F3"/>
    <w:rsid w:val="02500BC6"/>
    <w:rsid w:val="02515693"/>
    <w:rsid w:val="028D12AC"/>
    <w:rsid w:val="029F1A09"/>
    <w:rsid w:val="02A47F63"/>
    <w:rsid w:val="02A7705F"/>
    <w:rsid w:val="02B1E227"/>
    <w:rsid w:val="02D6D9B9"/>
    <w:rsid w:val="02F3D704"/>
    <w:rsid w:val="030AFB17"/>
    <w:rsid w:val="03232AD0"/>
    <w:rsid w:val="036FACE8"/>
    <w:rsid w:val="0383BAF9"/>
    <w:rsid w:val="039513D5"/>
    <w:rsid w:val="03A19B1F"/>
    <w:rsid w:val="03AE7CE1"/>
    <w:rsid w:val="03C23733"/>
    <w:rsid w:val="03C3809B"/>
    <w:rsid w:val="03D4770C"/>
    <w:rsid w:val="03E072C0"/>
    <w:rsid w:val="040A1398"/>
    <w:rsid w:val="04156245"/>
    <w:rsid w:val="04348844"/>
    <w:rsid w:val="04434628"/>
    <w:rsid w:val="04914D37"/>
    <w:rsid w:val="0493C125"/>
    <w:rsid w:val="04A6F34C"/>
    <w:rsid w:val="04E6D25E"/>
    <w:rsid w:val="04EE856B"/>
    <w:rsid w:val="04F908B5"/>
    <w:rsid w:val="051002B7"/>
    <w:rsid w:val="051458FD"/>
    <w:rsid w:val="0553B73B"/>
    <w:rsid w:val="05592608"/>
    <w:rsid w:val="057222E1"/>
    <w:rsid w:val="0587B742"/>
    <w:rsid w:val="0593D14E"/>
    <w:rsid w:val="059E3390"/>
    <w:rsid w:val="05A26DC3"/>
    <w:rsid w:val="05A9086E"/>
    <w:rsid w:val="05A93765"/>
    <w:rsid w:val="05BE2328"/>
    <w:rsid w:val="05DE8EC1"/>
    <w:rsid w:val="05EC2C0D"/>
    <w:rsid w:val="05F4146A"/>
    <w:rsid w:val="061115C8"/>
    <w:rsid w:val="061D75C4"/>
    <w:rsid w:val="061F2F89"/>
    <w:rsid w:val="065B5373"/>
    <w:rsid w:val="066448CA"/>
    <w:rsid w:val="067A88FB"/>
    <w:rsid w:val="0681EAB0"/>
    <w:rsid w:val="068636C5"/>
    <w:rsid w:val="0697FFCA"/>
    <w:rsid w:val="06A29D44"/>
    <w:rsid w:val="06ABAB0E"/>
    <w:rsid w:val="06B40C37"/>
    <w:rsid w:val="06BA3C77"/>
    <w:rsid w:val="06C3F18E"/>
    <w:rsid w:val="06FED6D1"/>
    <w:rsid w:val="073A6CC8"/>
    <w:rsid w:val="076E2299"/>
    <w:rsid w:val="07B5BD05"/>
    <w:rsid w:val="07C15584"/>
    <w:rsid w:val="07DB0299"/>
    <w:rsid w:val="07E1D098"/>
    <w:rsid w:val="07ECB883"/>
    <w:rsid w:val="081C549F"/>
    <w:rsid w:val="08235EB1"/>
    <w:rsid w:val="084CC025"/>
    <w:rsid w:val="08622C0E"/>
    <w:rsid w:val="086519A3"/>
    <w:rsid w:val="0874F1B0"/>
    <w:rsid w:val="08844808"/>
    <w:rsid w:val="0884A196"/>
    <w:rsid w:val="08B09ECC"/>
    <w:rsid w:val="08B882B4"/>
    <w:rsid w:val="08CB8595"/>
    <w:rsid w:val="08CE53A8"/>
    <w:rsid w:val="08F68591"/>
    <w:rsid w:val="0904CEB4"/>
    <w:rsid w:val="09107552"/>
    <w:rsid w:val="094A62D4"/>
    <w:rsid w:val="094DD3EE"/>
    <w:rsid w:val="095D1B76"/>
    <w:rsid w:val="09B601B4"/>
    <w:rsid w:val="09DFE7E2"/>
    <w:rsid w:val="09E03D9C"/>
    <w:rsid w:val="09ECF06D"/>
    <w:rsid w:val="09FAD9AB"/>
    <w:rsid w:val="0A23EE05"/>
    <w:rsid w:val="0A57DAEA"/>
    <w:rsid w:val="0A741CE6"/>
    <w:rsid w:val="0A7EDD2E"/>
    <w:rsid w:val="0A85D555"/>
    <w:rsid w:val="0A955564"/>
    <w:rsid w:val="0A986294"/>
    <w:rsid w:val="0AB568CC"/>
    <w:rsid w:val="0AF78546"/>
    <w:rsid w:val="0B09EDB4"/>
    <w:rsid w:val="0B0D51B2"/>
    <w:rsid w:val="0B0DD482"/>
    <w:rsid w:val="0B1DBDE6"/>
    <w:rsid w:val="0B2E8379"/>
    <w:rsid w:val="0B4472AD"/>
    <w:rsid w:val="0B58AE33"/>
    <w:rsid w:val="0BA7D3F0"/>
    <w:rsid w:val="0BB599FF"/>
    <w:rsid w:val="0BD7CE27"/>
    <w:rsid w:val="0BEEBC21"/>
    <w:rsid w:val="0C04E4F9"/>
    <w:rsid w:val="0C3189B4"/>
    <w:rsid w:val="0C425170"/>
    <w:rsid w:val="0C560DAB"/>
    <w:rsid w:val="0C6802BD"/>
    <w:rsid w:val="0C71E3A8"/>
    <w:rsid w:val="0C722AC9"/>
    <w:rsid w:val="0C8090B5"/>
    <w:rsid w:val="0C9AC7EC"/>
    <w:rsid w:val="0CB664B1"/>
    <w:rsid w:val="0CDA9A2D"/>
    <w:rsid w:val="0CF7ADA1"/>
    <w:rsid w:val="0D2EE0AF"/>
    <w:rsid w:val="0D4A9718"/>
    <w:rsid w:val="0D73939B"/>
    <w:rsid w:val="0D7C7B8D"/>
    <w:rsid w:val="0D88A76D"/>
    <w:rsid w:val="0D8F8692"/>
    <w:rsid w:val="0DB50807"/>
    <w:rsid w:val="0DD55680"/>
    <w:rsid w:val="0DD8B713"/>
    <w:rsid w:val="0DDED029"/>
    <w:rsid w:val="0DE68755"/>
    <w:rsid w:val="0DEB139D"/>
    <w:rsid w:val="0DF0A270"/>
    <w:rsid w:val="0DFD3837"/>
    <w:rsid w:val="0E0238B6"/>
    <w:rsid w:val="0E08BF0B"/>
    <w:rsid w:val="0E0B8182"/>
    <w:rsid w:val="0E12179B"/>
    <w:rsid w:val="0E21EE3E"/>
    <w:rsid w:val="0E62E502"/>
    <w:rsid w:val="0EA95BA0"/>
    <w:rsid w:val="0EAC8B08"/>
    <w:rsid w:val="0EBA829A"/>
    <w:rsid w:val="0ED3560A"/>
    <w:rsid w:val="0ED98A8A"/>
    <w:rsid w:val="0EDF9469"/>
    <w:rsid w:val="0EE4325C"/>
    <w:rsid w:val="0F0CAF1E"/>
    <w:rsid w:val="0F123BF0"/>
    <w:rsid w:val="0F2A5720"/>
    <w:rsid w:val="0F3D7AEC"/>
    <w:rsid w:val="0F4C05CC"/>
    <w:rsid w:val="0F642721"/>
    <w:rsid w:val="0F681FB9"/>
    <w:rsid w:val="0F98F464"/>
    <w:rsid w:val="0FA8C96F"/>
    <w:rsid w:val="0FB1D9EF"/>
    <w:rsid w:val="0FBB42AA"/>
    <w:rsid w:val="0FBB9D9D"/>
    <w:rsid w:val="0FC13298"/>
    <w:rsid w:val="0FDD93DE"/>
    <w:rsid w:val="10418029"/>
    <w:rsid w:val="104CB963"/>
    <w:rsid w:val="10534174"/>
    <w:rsid w:val="10745A23"/>
    <w:rsid w:val="10A383D2"/>
    <w:rsid w:val="10C00061"/>
    <w:rsid w:val="10E5FA57"/>
    <w:rsid w:val="111E2CBD"/>
    <w:rsid w:val="115A2BCF"/>
    <w:rsid w:val="115A48FA"/>
    <w:rsid w:val="1167B16B"/>
    <w:rsid w:val="116EF399"/>
    <w:rsid w:val="118B6315"/>
    <w:rsid w:val="1194FF2A"/>
    <w:rsid w:val="11AE54A4"/>
    <w:rsid w:val="11B56419"/>
    <w:rsid w:val="11C1294B"/>
    <w:rsid w:val="11C27F01"/>
    <w:rsid w:val="11F635C4"/>
    <w:rsid w:val="120275F5"/>
    <w:rsid w:val="120E811B"/>
    <w:rsid w:val="12152CDF"/>
    <w:rsid w:val="1253D619"/>
    <w:rsid w:val="1256CA46"/>
    <w:rsid w:val="1257E40A"/>
    <w:rsid w:val="12B03BA8"/>
    <w:rsid w:val="13085FF9"/>
    <w:rsid w:val="1332DC2C"/>
    <w:rsid w:val="136CA3BF"/>
    <w:rsid w:val="137B5431"/>
    <w:rsid w:val="13824349"/>
    <w:rsid w:val="1383DAD8"/>
    <w:rsid w:val="13874AA1"/>
    <w:rsid w:val="13AA0C84"/>
    <w:rsid w:val="13CB33EF"/>
    <w:rsid w:val="13D7BB63"/>
    <w:rsid w:val="14048C7B"/>
    <w:rsid w:val="141618B5"/>
    <w:rsid w:val="141FF0EE"/>
    <w:rsid w:val="142B836A"/>
    <w:rsid w:val="14301ED6"/>
    <w:rsid w:val="146118AB"/>
    <w:rsid w:val="1472FB22"/>
    <w:rsid w:val="147BF317"/>
    <w:rsid w:val="14AC6A7E"/>
    <w:rsid w:val="14BC6EAE"/>
    <w:rsid w:val="14C40FCB"/>
    <w:rsid w:val="14D0C91E"/>
    <w:rsid w:val="14E16A4B"/>
    <w:rsid w:val="14F0D1E3"/>
    <w:rsid w:val="1518E04E"/>
    <w:rsid w:val="151D41B8"/>
    <w:rsid w:val="15262FAD"/>
    <w:rsid w:val="153FFB91"/>
    <w:rsid w:val="154B3DE1"/>
    <w:rsid w:val="1593F8FB"/>
    <w:rsid w:val="159795EE"/>
    <w:rsid w:val="159DF21E"/>
    <w:rsid w:val="15A338F7"/>
    <w:rsid w:val="15F23B4E"/>
    <w:rsid w:val="15F4C655"/>
    <w:rsid w:val="165DA2AE"/>
    <w:rsid w:val="169057F9"/>
    <w:rsid w:val="169C483A"/>
    <w:rsid w:val="16A6B3B1"/>
    <w:rsid w:val="16C6293B"/>
    <w:rsid w:val="16D4EC44"/>
    <w:rsid w:val="16D96BFD"/>
    <w:rsid w:val="1718BDC0"/>
    <w:rsid w:val="174382A9"/>
    <w:rsid w:val="1743EDD3"/>
    <w:rsid w:val="17472293"/>
    <w:rsid w:val="176B92EA"/>
    <w:rsid w:val="178775E7"/>
    <w:rsid w:val="178DFF0D"/>
    <w:rsid w:val="17ACB44B"/>
    <w:rsid w:val="17C8CABB"/>
    <w:rsid w:val="17C91DF5"/>
    <w:rsid w:val="17EAF54C"/>
    <w:rsid w:val="1855D5FB"/>
    <w:rsid w:val="18858CBF"/>
    <w:rsid w:val="189B79A7"/>
    <w:rsid w:val="18A51292"/>
    <w:rsid w:val="18B14340"/>
    <w:rsid w:val="18C0FAA4"/>
    <w:rsid w:val="18C3F015"/>
    <w:rsid w:val="19017CAE"/>
    <w:rsid w:val="190ADBE5"/>
    <w:rsid w:val="19110023"/>
    <w:rsid w:val="199A82CE"/>
    <w:rsid w:val="19A831EC"/>
    <w:rsid w:val="19CF5F27"/>
    <w:rsid w:val="19E6FCD6"/>
    <w:rsid w:val="19F3E7DF"/>
    <w:rsid w:val="19F6A319"/>
    <w:rsid w:val="1A510846"/>
    <w:rsid w:val="1A71AAA3"/>
    <w:rsid w:val="1A72970A"/>
    <w:rsid w:val="1A9C0BA3"/>
    <w:rsid w:val="1A9FE6ED"/>
    <w:rsid w:val="1AA83254"/>
    <w:rsid w:val="1ACE34B3"/>
    <w:rsid w:val="1AD71DFD"/>
    <w:rsid w:val="1B013499"/>
    <w:rsid w:val="1B091B1D"/>
    <w:rsid w:val="1B09E320"/>
    <w:rsid w:val="1B0F990E"/>
    <w:rsid w:val="1B167A7E"/>
    <w:rsid w:val="1B3C5325"/>
    <w:rsid w:val="1B8D7DA6"/>
    <w:rsid w:val="1B9E8042"/>
    <w:rsid w:val="1BA91BB5"/>
    <w:rsid w:val="1BB7CB05"/>
    <w:rsid w:val="1BBBB358"/>
    <w:rsid w:val="1C1A7EDC"/>
    <w:rsid w:val="1C23D4C6"/>
    <w:rsid w:val="1C581A5D"/>
    <w:rsid w:val="1C5B8225"/>
    <w:rsid w:val="1C67370C"/>
    <w:rsid w:val="1C7C3332"/>
    <w:rsid w:val="1CA69345"/>
    <w:rsid w:val="1CC16197"/>
    <w:rsid w:val="1CD6A05E"/>
    <w:rsid w:val="1CFCA117"/>
    <w:rsid w:val="1CFF007C"/>
    <w:rsid w:val="1D1EFA9A"/>
    <w:rsid w:val="1D2FDC93"/>
    <w:rsid w:val="1D36CE65"/>
    <w:rsid w:val="1D3AEE38"/>
    <w:rsid w:val="1D58C06C"/>
    <w:rsid w:val="1D66A5F4"/>
    <w:rsid w:val="1D6A2DD3"/>
    <w:rsid w:val="1D6B0C05"/>
    <w:rsid w:val="1D741213"/>
    <w:rsid w:val="1D93FBD1"/>
    <w:rsid w:val="1D9B1424"/>
    <w:rsid w:val="1D9B522B"/>
    <w:rsid w:val="1DB271AE"/>
    <w:rsid w:val="1DD166A2"/>
    <w:rsid w:val="1DD322B9"/>
    <w:rsid w:val="1E19AB61"/>
    <w:rsid w:val="1E1BED95"/>
    <w:rsid w:val="1E74A614"/>
    <w:rsid w:val="1E7BE80B"/>
    <w:rsid w:val="1EAE729F"/>
    <w:rsid w:val="1EBECE9F"/>
    <w:rsid w:val="1F345809"/>
    <w:rsid w:val="1F49514A"/>
    <w:rsid w:val="1F4AA8C3"/>
    <w:rsid w:val="1F6E8E6E"/>
    <w:rsid w:val="1F7A1EF8"/>
    <w:rsid w:val="1F825D29"/>
    <w:rsid w:val="1F8977B9"/>
    <w:rsid w:val="1F8D6002"/>
    <w:rsid w:val="1F935A16"/>
    <w:rsid w:val="1FB8463C"/>
    <w:rsid w:val="1FB88935"/>
    <w:rsid w:val="1FD62CF9"/>
    <w:rsid w:val="1FED2C4D"/>
    <w:rsid w:val="1FED5AFC"/>
    <w:rsid w:val="1FF7E45D"/>
    <w:rsid w:val="201B46A7"/>
    <w:rsid w:val="203648F4"/>
    <w:rsid w:val="204D897F"/>
    <w:rsid w:val="2054D031"/>
    <w:rsid w:val="205EA4CA"/>
    <w:rsid w:val="20667857"/>
    <w:rsid w:val="207EA3CF"/>
    <w:rsid w:val="2092F73D"/>
    <w:rsid w:val="20A5DDC4"/>
    <w:rsid w:val="210BB780"/>
    <w:rsid w:val="218F56B1"/>
    <w:rsid w:val="21A1BFB6"/>
    <w:rsid w:val="21B7FF94"/>
    <w:rsid w:val="2238D541"/>
    <w:rsid w:val="22434AAB"/>
    <w:rsid w:val="224466F9"/>
    <w:rsid w:val="225DBFF8"/>
    <w:rsid w:val="228B520F"/>
    <w:rsid w:val="22A0C03A"/>
    <w:rsid w:val="22ABA6C6"/>
    <w:rsid w:val="22B90F0C"/>
    <w:rsid w:val="22C3874C"/>
    <w:rsid w:val="22D4BD88"/>
    <w:rsid w:val="22DBEC25"/>
    <w:rsid w:val="22DEEE99"/>
    <w:rsid w:val="22EB1858"/>
    <w:rsid w:val="23108768"/>
    <w:rsid w:val="235631FC"/>
    <w:rsid w:val="23613490"/>
    <w:rsid w:val="23695334"/>
    <w:rsid w:val="237B31BC"/>
    <w:rsid w:val="237D7ECA"/>
    <w:rsid w:val="238F9FC8"/>
    <w:rsid w:val="23A9A695"/>
    <w:rsid w:val="23B4BB18"/>
    <w:rsid w:val="23D6A578"/>
    <w:rsid w:val="2425BBC2"/>
    <w:rsid w:val="242FCDED"/>
    <w:rsid w:val="2470F3BD"/>
    <w:rsid w:val="247EF0E3"/>
    <w:rsid w:val="2482348F"/>
    <w:rsid w:val="2485B080"/>
    <w:rsid w:val="248A0A23"/>
    <w:rsid w:val="248BAE4D"/>
    <w:rsid w:val="24A09486"/>
    <w:rsid w:val="24A5A21B"/>
    <w:rsid w:val="24B3BFD7"/>
    <w:rsid w:val="24B3FF70"/>
    <w:rsid w:val="24DB0D8A"/>
    <w:rsid w:val="25079B0C"/>
    <w:rsid w:val="25095458"/>
    <w:rsid w:val="250DC6E5"/>
    <w:rsid w:val="251AA33C"/>
    <w:rsid w:val="252845B6"/>
    <w:rsid w:val="254FCB5B"/>
    <w:rsid w:val="2557574B"/>
    <w:rsid w:val="2580EC56"/>
    <w:rsid w:val="2586739C"/>
    <w:rsid w:val="259E242A"/>
    <w:rsid w:val="25AAE42A"/>
    <w:rsid w:val="25DC5B75"/>
    <w:rsid w:val="26162C87"/>
    <w:rsid w:val="262E12C9"/>
    <w:rsid w:val="26668BDA"/>
    <w:rsid w:val="267716BE"/>
    <w:rsid w:val="26C450F1"/>
    <w:rsid w:val="26E5CEB9"/>
    <w:rsid w:val="2728331F"/>
    <w:rsid w:val="2737F5C4"/>
    <w:rsid w:val="273E974E"/>
    <w:rsid w:val="275AC36A"/>
    <w:rsid w:val="277CFA8C"/>
    <w:rsid w:val="27877075"/>
    <w:rsid w:val="27B4686C"/>
    <w:rsid w:val="27CE76FF"/>
    <w:rsid w:val="27FB631B"/>
    <w:rsid w:val="28139051"/>
    <w:rsid w:val="283F5508"/>
    <w:rsid w:val="283FF7CD"/>
    <w:rsid w:val="284AF1B6"/>
    <w:rsid w:val="28535BD2"/>
    <w:rsid w:val="28556005"/>
    <w:rsid w:val="2857E474"/>
    <w:rsid w:val="286C8DDC"/>
    <w:rsid w:val="2871B6B5"/>
    <w:rsid w:val="28972234"/>
    <w:rsid w:val="28CCB877"/>
    <w:rsid w:val="28D1A580"/>
    <w:rsid w:val="28D2E3A4"/>
    <w:rsid w:val="29097A38"/>
    <w:rsid w:val="2921E5C7"/>
    <w:rsid w:val="292B2C2A"/>
    <w:rsid w:val="2948771A"/>
    <w:rsid w:val="297B2D7F"/>
    <w:rsid w:val="29F83B30"/>
    <w:rsid w:val="2A10533A"/>
    <w:rsid w:val="2A12AFC3"/>
    <w:rsid w:val="2A23B4D7"/>
    <w:rsid w:val="2A3340A6"/>
    <w:rsid w:val="2A5059D6"/>
    <w:rsid w:val="2A5DF4B8"/>
    <w:rsid w:val="2A6C12D3"/>
    <w:rsid w:val="2A7DFE7D"/>
    <w:rsid w:val="2A7FA05E"/>
    <w:rsid w:val="2A9D0A22"/>
    <w:rsid w:val="2AF8F116"/>
    <w:rsid w:val="2B039817"/>
    <w:rsid w:val="2B0655E3"/>
    <w:rsid w:val="2B0E4330"/>
    <w:rsid w:val="2B39B0E5"/>
    <w:rsid w:val="2B3AC2D1"/>
    <w:rsid w:val="2B434986"/>
    <w:rsid w:val="2B6D437F"/>
    <w:rsid w:val="2B723E98"/>
    <w:rsid w:val="2B764662"/>
    <w:rsid w:val="2BC08CB6"/>
    <w:rsid w:val="2BCCAEBB"/>
    <w:rsid w:val="2BD935D9"/>
    <w:rsid w:val="2BE2DE6C"/>
    <w:rsid w:val="2C10F1B3"/>
    <w:rsid w:val="2C222D6C"/>
    <w:rsid w:val="2C26ABAD"/>
    <w:rsid w:val="2C36207D"/>
    <w:rsid w:val="2C61F725"/>
    <w:rsid w:val="2C6BBA53"/>
    <w:rsid w:val="2C701143"/>
    <w:rsid w:val="2C77A836"/>
    <w:rsid w:val="2C808E70"/>
    <w:rsid w:val="2C8458F3"/>
    <w:rsid w:val="2CB43E27"/>
    <w:rsid w:val="2CC9F8AF"/>
    <w:rsid w:val="2D1E2F5C"/>
    <w:rsid w:val="2D3E7E13"/>
    <w:rsid w:val="2D52711B"/>
    <w:rsid w:val="2D728D64"/>
    <w:rsid w:val="2D7654F8"/>
    <w:rsid w:val="2D9608F6"/>
    <w:rsid w:val="2D98B710"/>
    <w:rsid w:val="2DA45E20"/>
    <w:rsid w:val="2DB9F609"/>
    <w:rsid w:val="2DBB0405"/>
    <w:rsid w:val="2DD3688A"/>
    <w:rsid w:val="2DE8EEB8"/>
    <w:rsid w:val="2DE996C3"/>
    <w:rsid w:val="2E0C46D9"/>
    <w:rsid w:val="2E1F9DA3"/>
    <w:rsid w:val="2E2F676A"/>
    <w:rsid w:val="2E59BBF2"/>
    <w:rsid w:val="2E6334CD"/>
    <w:rsid w:val="2E71B224"/>
    <w:rsid w:val="2E881009"/>
    <w:rsid w:val="2E88A3B7"/>
    <w:rsid w:val="2E91445D"/>
    <w:rsid w:val="2E98B835"/>
    <w:rsid w:val="2E9AC9E8"/>
    <w:rsid w:val="2E9E89EA"/>
    <w:rsid w:val="2E9FDFD2"/>
    <w:rsid w:val="2EA1DB52"/>
    <w:rsid w:val="2EBCF439"/>
    <w:rsid w:val="2EC1B8F2"/>
    <w:rsid w:val="2ECB9AB2"/>
    <w:rsid w:val="2EDEB86F"/>
    <w:rsid w:val="2EE3AF8F"/>
    <w:rsid w:val="2EF23D7A"/>
    <w:rsid w:val="2EF78ACE"/>
    <w:rsid w:val="2EFB0CA6"/>
    <w:rsid w:val="2EFB7BD9"/>
    <w:rsid w:val="2F016592"/>
    <w:rsid w:val="2F0DF25C"/>
    <w:rsid w:val="2F163C6C"/>
    <w:rsid w:val="2F5A80D3"/>
    <w:rsid w:val="2F6588CA"/>
    <w:rsid w:val="2F8DA75D"/>
    <w:rsid w:val="2F989904"/>
    <w:rsid w:val="2FAB0327"/>
    <w:rsid w:val="2FCD41A7"/>
    <w:rsid w:val="2FD4AEF9"/>
    <w:rsid w:val="2FE70D1C"/>
    <w:rsid w:val="301370F2"/>
    <w:rsid w:val="3022FA88"/>
    <w:rsid w:val="3056A945"/>
    <w:rsid w:val="305918CA"/>
    <w:rsid w:val="307DA1F3"/>
    <w:rsid w:val="309493F0"/>
    <w:rsid w:val="30B50A84"/>
    <w:rsid w:val="30BADCE2"/>
    <w:rsid w:val="30D8EAFE"/>
    <w:rsid w:val="31027DB7"/>
    <w:rsid w:val="3103AF3D"/>
    <w:rsid w:val="310BE699"/>
    <w:rsid w:val="311897F6"/>
    <w:rsid w:val="312C9B2E"/>
    <w:rsid w:val="318E92C8"/>
    <w:rsid w:val="31A476B2"/>
    <w:rsid w:val="31D939C8"/>
    <w:rsid w:val="31DA6AC2"/>
    <w:rsid w:val="31FF9BCE"/>
    <w:rsid w:val="32632034"/>
    <w:rsid w:val="326800E8"/>
    <w:rsid w:val="3278B498"/>
    <w:rsid w:val="3280E818"/>
    <w:rsid w:val="32BCA194"/>
    <w:rsid w:val="32C7AE79"/>
    <w:rsid w:val="32EBC3ED"/>
    <w:rsid w:val="32EE81C7"/>
    <w:rsid w:val="330A0C36"/>
    <w:rsid w:val="3336A76A"/>
    <w:rsid w:val="3338CC1F"/>
    <w:rsid w:val="334A77F0"/>
    <w:rsid w:val="33783861"/>
    <w:rsid w:val="339C4D28"/>
    <w:rsid w:val="33A13248"/>
    <w:rsid w:val="33C0201A"/>
    <w:rsid w:val="33D0C996"/>
    <w:rsid w:val="33DAF9B5"/>
    <w:rsid w:val="33DE7F96"/>
    <w:rsid w:val="34127365"/>
    <w:rsid w:val="3459566A"/>
    <w:rsid w:val="346A9C0B"/>
    <w:rsid w:val="3483F168"/>
    <w:rsid w:val="349D9EFA"/>
    <w:rsid w:val="349FB6F3"/>
    <w:rsid w:val="34E7DBE3"/>
    <w:rsid w:val="353D8AB8"/>
    <w:rsid w:val="3567F4CB"/>
    <w:rsid w:val="357CE9FE"/>
    <w:rsid w:val="357DB4AB"/>
    <w:rsid w:val="3581DBF5"/>
    <w:rsid w:val="35A2C8F4"/>
    <w:rsid w:val="35CC0554"/>
    <w:rsid w:val="35D91D32"/>
    <w:rsid w:val="35E48062"/>
    <w:rsid w:val="361E4FA6"/>
    <w:rsid w:val="363CADF0"/>
    <w:rsid w:val="36600CED"/>
    <w:rsid w:val="367C4F6F"/>
    <w:rsid w:val="36B91D30"/>
    <w:rsid w:val="36BDEE0A"/>
    <w:rsid w:val="36F99ADE"/>
    <w:rsid w:val="371006ED"/>
    <w:rsid w:val="375B2487"/>
    <w:rsid w:val="375D0047"/>
    <w:rsid w:val="378B99F6"/>
    <w:rsid w:val="3792357E"/>
    <w:rsid w:val="3794F1E7"/>
    <w:rsid w:val="379ACCB7"/>
    <w:rsid w:val="37A67C22"/>
    <w:rsid w:val="37A6EE2F"/>
    <w:rsid w:val="37AA4097"/>
    <w:rsid w:val="37EE099A"/>
    <w:rsid w:val="37FAC8C4"/>
    <w:rsid w:val="37FD41B6"/>
    <w:rsid w:val="38008C8A"/>
    <w:rsid w:val="381B981C"/>
    <w:rsid w:val="381E16B0"/>
    <w:rsid w:val="38573CF5"/>
    <w:rsid w:val="386F8C92"/>
    <w:rsid w:val="38BA1F38"/>
    <w:rsid w:val="38C47A70"/>
    <w:rsid w:val="38D86F38"/>
    <w:rsid w:val="393F952A"/>
    <w:rsid w:val="3940AE8B"/>
    <w:rsid w:val="39558E22"/>
    <w:rsid w:val="39593969"/>
    <w:rsid w:val="399A4052"/>
    <w:rsid w:val="39AAEDC6"/>
    <w:rsid w:val="39B0442D"/>
    <w:rsid w:val="39D95036"/>
    <w:rsid w:val="39E5F06B"/>
    <w:rsid w:val="39ED9547"/>
    <w:rsid w:val="3A0A9D94"/>
    <w:rsid w:val="3A10FC98"/>
    <w:rsid w:val="3A224285"/>
    <w:rsid w:val="3A3D9E1D"/>
    <w:rsid w:val="3A490C57"/>
    <w:rsid w:val="3A4AAF9C"/>
    <w:rsid w:val="3A6BAB88"/>
    <w:rsid w:val="3A7060F3"/>
    <w:rsid w:val="3A87EEC2"/>
    <w:rsid w:val="3ADC3BE2"/>
    <w:rsid w:val="3AEDECB5"/>
    <w:rsid w:val="3AF70582"/>
    <w:rsid w:val="3B10E4A9"/>
    <w:rsid w:val="3B2A8418"/>
    <w:rsid w:val="3B5B2555"/>
    <w:rsid w:val="3B98E194"/>
    <w:rsid w:val="3BAC52E3"/>
    <w:rsid w:val="3BE44E78"/>
    <w:rsid w:val="3BF78EAF"/>
    <w:rsid w:val="3C2361AC"/>
    <w:rsid w:val="3C3EE80D"/>
    <w:rsid w:val="3C5FDA2F"/>
    <w:rsid w:val="3C95158F"/>
    <w:rsid w:val="3CBADEB3"/>
    <w:rsid w:val="3CC79018"/>
    <w:rsid w:val="3CCF9796"/>
    <w:rsid w:val="3CE92982"/>
    <w:rsid w:val="3CEB0562"/>
    <w:rsid w:val="3CFB5294"/>
    <w:rsid w:val="3D25C747"/>
    <w:rsid w:val="3D389B2B"/>
    <w:rsid w:val="3D58488E"/>
    <w:rsid w:val="3D6C14C2"/>
    <w:rsid w:val="3D708455"/>
    <w:rsid w:val="3D7BF7C7"/>
    <w:rsid w:val="3D84596B"/>
    <w:rsid w:val="3D883041"/>
    <w:rsid w:val="3DDBE208"/>
    <w:rsid w:val="3DF40EEC"/>
    <w:rsid w:val="3E0DF5C6"/>
    <w:rsid w:val="3E418914"/>
    <w:rsid w:val="3E526C9D"/>
    <w:rsid w:val="3E5BAA99"/>
    <w:rsid w:val="3E63CF34"/>
    <w:rsid w:val="3E8A4369"/>
    <w:rsid w:val="3E8DA8DD"/>
    <w:rsid w:val="3E92B48E"/>
    <w:rsid w:val="3E948F9A"/>
    <w:rsid w:val="3E9B8EAE"/>
    <w:rsid w:val="3EA6EC58"/>
    <w:rsid w:val="3EB9E2D2"/>
    <w:rsid w:val="3ED1A4E0"/>
    <w:rsid w:val="3EE0116E"/>
    <w:rsid w:val="3EE271B2"/>
    <w:rsid w:val="3EE7ECFB"/>
    <w:rsid w:val="3F0FEB93"/>
    <w:rsid w:val="3F192C5F"/>
    <w:rsid w:val="3F245279"/>
    <w:rsid w:val="3F247B60"/>
    <w:rsid w:val="3F306E76"/>
    <w:rsid w:val="3F4CBBB6"/>
    <w:rsid w:val="3FBD2D94"/>
    <w:rsid w:val="3FC616DF"/>
    <w:rsid w:val="3FD234D4"/>
    <w:rsid w:val="3FF9F5B7"/>
    <w:rsid w:val="40103C27"/>
    <w:rsid w:val="40419A03"/>
    <w:rsid w:val="4047E975"/>
    <w:rsid w:val="40527C82"/>
    <w:rsid w:val="40550F64"/>
    <w:rsid w:val="408C0CC2"/>
    <w:rsid w:val="40958672"/>
    <w:rsid w:val="409910B0"/>
    <w:rsid w:val="40AA1302"/>
    <w:rsid w:val="40B4056D"/>
    <w:rsid w:val="40B810D1"/>
    <w:rsid w:val="40C299F0"/>
    <w:rsid w:val="40D98775"/>
    <w:rsid w:val="40DAB6B0"/>
    <w:rsid w:val="40F28C92"/>
    <w:rsid w:val="41000AD6"/>
    <w:rsid w:val="410798CF"/>
    <w:rsid w:val="4133E924"/>
    <w:rsid w:val="414B96BF"/>
    <w:rsid w:val="4168FB1B"/>
    <w:rsid w:val="417641D6"/>
    <w:rsid w:val="41812952"/>
    <w:rsid w:val="418BD9F8"/>
    <w:rsid w:val="41981157"/>
    <w:rsid w:val="41B9FF12"/>
    <w:rsid w:val="41D33D8B"/>
    <w:rsid w:val="41E4A028"/>
    <w:rsid w:val="41EFAFDA"/>
    <w:rsid w:val="4211458E"/>
    <w:rsid w:val="4215B3A1"/>
    <w:rsid w:val="421BB8A8"/>
    <w:rsid w:val="422F9BD1"/>
    <w:rsid w:val="4230A623"/>
    <w:rsid w:val="42558D6B"/>
    <w:rsid w:val="4262C438"/>
    <w:rsid w:val="42676FBD"/>
    <w:rsid w:val="426CB1E0"/>
    <w:rsid w:val="4274F8DB"/>
    <w:rsid w:val="42A33059"/>
    <w:rsid w:val="42A92DA1"/>
    <w:rsid w:val="42D05F76"/>
    <w:rsid w:val="42DFCB34"/>
    <w:rsid w:val="42E8E3AB"/>
    <w:rsid w:val="42F4E361"/>
    <w:rsid w:val="4316BA4F"/>
    <w:rsid w:val="433F1093"/>
    <w:rsid w:val="4366FD09"/>
    <w:rsid w:val="436C7CF9"/>
    <w:rsid w:val="437FD0FA"/>
    <w:rsid w:val="43871C91"/>
    <w:rsid w:val="438B9F41"/>
    <w:rsid w:val="4397701E"/>
    <w:rsid w:val="43AEFBBF"/>
    <w:rsid w:val="43D9764D"/>
    <w:rsid w:val="43E5D01B"/>
    <w:rsid w:val="43F0DD87"/>
    <w:rsid w:val="440F5126"/>
    <w:rsid w:val="4466CADB"/>
    <w:rsid w:val="446EEE76"/>
    <w:rsid w:val="4487DB95"/>
    <w:rsid w:val="449ACE07"/>
    <w:rsid w:val="44AFE8AA"/>
    <w:rsid w:val="44B92378"/>
    <w:rsid w:val="44CEBBAD"/>
    <w:rsid w:val="44D601E6"/>
    <w:rsid w:val="44E06BC2"/>
    <w:rsid w:val="44FA2C56"/>
    <w:rsid w:val="44FF187A"/>
    <w:rsid w:val="4501DDF6"/>
    <w:rsid w:val="4511E28A"/>
    <w:rsid w:val="45152DCA"/>
    <w:rsid w:val="451AF3FC"/>
    <w:rsid w:val="451D4ACD"/>
    <w:rsid w:val="455975E7"/>
    <w:rsid w:val="456A4E6B"/>
    <w:rsid w:val="45A87563"/>
    <w:rsid w:val="45B5A3AB"/>
    <w:rsid w:val="45B9821C"/>
    <w:rsid w:val="45CAA14D"/>
    <w:rsid w:val="45D31C35"/>
    <w:rsid w:val="460585CF"/>
    <w:rsid w:val="4627C5C7"/>
    <w:rsid w:val="46299713"/>
    <w:rsid w:val="462CE6FD"/>
    <w:rsid w:val="462ED73C"/>
    <w:rsid w:val="46385EA1"/>
    <w:rsid w:val="465F1B0B"/>
    <w:rsid w:val="469C9991"/>
    <w:rsid w:val="46B54D0F"/>
    <w:rsid w:val="46CCC628"/>
    <w:rsid w:val="47015F97"/>
    <w:rsid w:val="47192897"/>
    <w:rsid w:val="4724702D"/>
    <w:rsid w:val="474152D2"/>
    <w:rsid w:val="47626AD8"/>
    <w:rsid w:val="47709443"/>
    <w:rsid w:val="477F2045"/>
    <w:rsid w:val="4788E936"/>
    <w:rsid w:val="4793AB60"/>
    <w:rsid w:val="47AE99E2"/>
    <w:rsid w:val="47FFAB06"/>
    <w:rsid w:val="480D9DA6"/>
    <w:rsid w:val="48311D70"/>
    <w:rsid w:val="48556209"/>
    <w:rsid w:val="489339BB"/>
    <w:rsid w:val="4893B3AC"/>
    <w:rsid w:val="48981AD1"/>
    <w:rsid w:val="48ABBFB7"/>
    <w:rsid w:val="48AE4147"/>
    <w:rsid w:val="48E55CF8"/>
    <w:rsid w:val="48EBED03"/>
    <w:rsid w:val="49072D5B"/>
    <w:rsid w:val="491F0739"/>
    <w:rsid w:val="4942FC1F"/>
    <w:rsid w:val="49591131"/>
    <w:rsid w:val="496AC891"/>
    <w:rsid w:val="4970FC31"/>
    <w:rsid w:val="49798EFA"/>
    <w:rsid w:val="498BD65D"/>
    <w:rsid w:val="49B36F7E"/>
    <w:rsid w:val="49CDA52D"/>
    <w:rsid w:val="49D59194"/>
    <w:rsid w:val="49DE62E5"/>
    <w:rsid w:val="49DFA301"/>
    <w:rsid w:val="49E131D9"/>
    <w:rsid w:val="49FC83F9"/>
    <w:rsid w:val="4A1AC6A1"/>
    <w:rsid w:val="4A2F24E9"/>
    <w:rsid w:val="4A4FD67D"/>
    <w:rsid w:val="4A6519AA"/>
    <w:rsid w:val="4A6ADA01"/>
    <w:rsid w:val="4A6D3562"/>
    <w:rsid w:val="4A7BCCB5"/>
    <w:rsid w:val="4A99DDAE"/>
    <w:rsid w:val="4ADE9C63"/>
    <w:rsid w:val="4B052929"/>
    <w:rsid w:val="4B1A271F"/>
    <w:rsid w:val="4B517C50"/>
    <w:rsid w:val="4B541481"/>
    <w:rsid w:val="4B7041B0"/>
    <w:rsid w:val="4B746D49"/>
    <w:rsid w:val="4B7AD301"/>
    <w:rsid w:val="4B82F526"/>
    <w:rsid w:val="4B8779EE"/>
    <w:rsid w:val="4B9A47F4"/>
    <w:rsid w:val="4BA3B312"/>
    <w:rsid w:val="4BAB5EF8"/>
    <w:rsid w:val="4BADF9B1"/>
    <w:rsid w:val="4BC410A0"/>
    <w:rsid w:val="4C0433DA"/>
    <w:rsid w:val="4C112E48"/>
    <w:rsid w:val="4C2B713C"/>
    <w:rsid w:val="4C311E69"/>
    <w:rsid w:val="4C5043E2"/>
    <w:rsid w:val="4C538588"/>
    <w:rsid w:val="4CA6953D"/>
    <w:rsid w:val="4CA82962"/>
    <w:rsid w:val="4CC6E46D"/>
    <w:rsid w:val="4CDA4D74"/>
    <w:rsid w:val="4CDA935C"/>
    <w:rsid w:val="4D1CE5A6"/>
    <w:rsid w:val="4D2058BC"/>
    <w:rsid w:val="4D38819F"/>
    <w:rsid w:val="4D6556C1"/>
    <w:rsid w:val="4D6798C0"/>
    <w:rsid w:val="4D8485F7"/>
    <w:rsid w:val="4D8B885A"/>
    <w:rsid w:val="4D9CD71D"/>
    <w:rsid w:val="4DB2E3C6"/>
    <w:rsid w:val="4DD37F14"/>
    <w:rsid w:val="4DEB8E6C"/>
    <w:rsid w:val="4DF90D05"/>
    <w:rsid w:val="4DF96676"/>
    <w:rsid w:val="4E33F398"/>
    <w:rsid w:val="4E36B9C3"/>
    <w:rsid w:val="4E50D930"/>
    <w:rsid w:val="4E650634"/>
    <w:rsid w:val="4E6752E6"/>
    <w:rsid w:val="4E6D88F0"/>
    <w:rsid w:val="4EAB00BE"/>
    <w:rsid w:val="4EDAE2EE"/>
    <w:rsid w:val="4EE2F32C"/>
    <w:rsid w:val="4EFC3E10"/>
    <w:rsid w:val="4F1A5C48"/>
    <w:rsid w:val="4F1F4317"/>
    <w:rsid w:val="4F206946"/>
    <w:rsid w:val="4F29E0CB"/>
    <w:rsid w:val="4F38FD5D"/>
    <w:rsid w:val="4F393249"/>
    <w:rsid w:val="4F3A9CA3"/>
    <w:rsid w:val="4F758B8B"/>
    <w:rsid w:val="4F7C1DAA"/>
    <w:rsid w:val="4F844AB0"/>
    <w:rsid w:val="4FA47613"/>
    <w:rsid w:val="4FAC4D0F"/>
    <w:rsid w:val="4FBF81C9"/>
    <w:rsid w:val="4FCA4D74"/>
    <w:rsid w:val="503CF24B"/>
    <w:rsid w:val="5049E0EA"/>
    <w:rsid w:val="50787B76"/>
    <w:rsid w:val="507904D1"/>
    <w:rsid w:val="507926A7"/>
    <w:rsid w:val="5092AE3B"/>
    <w:rsid w:val="50A7B303"/>
    <w:rsid w:val="50E5B01C"/>
    <w:rsid w:val="51080824"/>
    <w:rsid w:val="510DA373"/>
    <w:rsid w:val="513348A9"/>
    <w:rsid w:val="513D6A1F"/>
    <w:rsid w:val="514B8113"/>
    <w:rsid w:val="5190BAE6"/>
    <w:rsid w:val="51A33252"/>
    <w:rsid w:val="51A82F16"/>
    <w:rsid w:val="51AC84A1"/>
    <w:rsid w:val="51B5922C"/>
    <w:rsid w:val="51B94BCB"/>
    <w:rsid w:val="51E68C6E"/>
    <w:rsid w:val="51FF3DD6"/>
    <w:rsid w:val="520D3796"/>
    <w:rsid w:val="521C77CF"/>
    <w:rsid w:val="5221A638"/>
    <w:rsid w:val="522B5036"/>
    <w:rsid w:val="5239C295"/>
    <w:rsid w:val="524DD1B0"/>
    <w:rsid w:val="525986A6"/>
    <w:rsid w:val="52BBCA16"/>
    <w:rsid w:val="52C7D9F7"/>
    <w:rsid w:val="52EE911D"/>
    <w:rsid w:val="530967D9"/>
    <w:rsid w:val="53193768"/>
    <w:rsid w:val="532057F2"/>
    <w:rsid w:val="532530FE"/>
    <w:rsid w:val="5327021C"/>
    <w:rsid w:val="533610B8"/>
    <w:rsid w:val="535F4D8B"/>
    <w:rsid w:val="53A62839"/>
    <w:rsid w:val="53A70480"/>
    <w:rsid w:val="53D30B23"/>
    <w:rsid w:val="53D87F66"/>
    <w:rsid w:val="542000A6"/>
    <w:rsid w:val="5474CA95"/>
    <w:rsid w:val="54B554F3"/>
    <w:rsid w:val="550EEC34"/>
    <w:rsid w:val="5526A3C4"/>
    <w:rsid w:val="5541E708"/>
    <w:rsid w:val="55528776"/>
    <w:rsid w:val="556070E3"/>
    <w:rsid w:val="5560E55D"/>
    <w:rsid w:val="55637369"/>
    <w:rsid w:val="55719886"/>
    <w:rsid w:val="5578C2F4"/>
    <w:rsid w:val="559B54D7"/>
    <w:rsid w:val="55C5F640"/>
    <w:rsid w:val="55C76352"/>
    <w:rsid w:val="55D63469"/>
    <w:rsid w:val="55E7F1EB"/>
    <w:rsid w:val="55EB0483"/>
    <w:rsid w:val="5606754C"/>
    <w:rsid w:val="562C9A39"/>
    <w:rsid w:val="5631A095"/>
    <w:rsid w:val="564A0B6F"/>
    <w:rsid w:val="5658B2F2"/>
    <w:rsid w:val="567E9E2A"/>
    <w:rsid w:val="569B2BCA"/>
    <w:rsid w:val="56D24B0C"/>
    <w:rsid w:val="56DB30A4"/>
    <w:rsid w:val="56E81E5D"/>
    <w:rsid w:val="57032967"/>
    <w:rsid w:val="571F79F9"/>
    <w:rsid w:val="57665F8D"/>
    <w:rsid w:val="57670A17"/>
    <w:rsid w:val="577CA56F"/>
    <w:rsid w:val="5794049F"/>
    <w:rsid w:val="57B73F02"/>
    <w:rsid w:val="57C56DCD"/>
    <w:rsid w:val="57D15657"/>
    <w:rsid w:val="5833200D"/>
    <w:rsid w:val="583F9B76"/>
    <w:rsid w:val="584C442E"/>
    <w:rsid w:val="58500D51"/>
    <w:rsid w:val="58782B1F"/>
    <w:rsid w:val="588ACDBB"/>
    <w:rsid w:val="58CFD55B"/>
    <w:rsid w:val="58D20AB5"/>
    <w:rsid w:val="58E41720"/>
    <w:rsid w:val="58F8062F"/>
    <w:rsid w:val="592586BF"/>
    <w:rsid w:val="593D689E"/>
    <w:rsid w:val="594F8EA8"/>
    <w:rsid w:val="59521C80"/>
    <w:rsid w:val="597128C3"/>
    <w:rsid w:val="59AFE3BD"/>
    <w:rsid w:val="59C48A44"/>
    <w:rsid w:val="59D78880"/>
    <w:rsid w:val="59FABEA2"/>
    <w:rsid w:val="5A419B6A"/>
    <w:rsid w:val="5A44681E"/>
    <w:rsid w:val="5A4FE76C"/>
    <w:rsid w:val="5A557BB1"/>
    <w:rsid w:val="5AA3E059"/>
    <w:rsid w:val="5ABB83B1"/>
    <w:rsid w:val="5AD1F695"/>
    <w:rsid w:val="5ADEEB30"/>
    <w:rsid w:val="5B2FAB28"/>
    <w:rsid w:val="5B7FA9C8"/>
    <w:rsid w:val="5B898D30"/>
    <w:rsid w:val="5BB6E9AA"/>
    <w:rsid w:val="5C002745"/>
    <w:rsid w:val="5C04CC93"/>
    <w:rsid w:val="5C1C3261"/>
    <w:rsid w:val="5C3562AC"/>
    <w:rsid w:val="5C39FA8E"/>
    <w:rsid w:val="5C3F6803"/>
    <w:rsid w:val="5C63E21E"/>
    <w:rsid w:val="5C68B6AC"/>
    <w:rsid w:val="5C696773"/>
    <w:rsid w:val="5C6A2535"/>
    <w:rsid w:val="5C6F6C19"/>
    <w:rsid w:val="5C8EF6EE"/>
    <w:rsid w:val="5C983EE8"/>
    <w:rsid w:val="5CB25ED2"/>
    <w:rsid w:val="5CBB78C0"/>
    <w:rsid w:val="5CC37CD1"/>
    <w:rsid w:val="5D2BF26D"/>
    <w:rsid w:val="5D6EBF4A"/>
    <w:rsid w:val="5D6FC45E"/>
    <w:rsid w:val="5D94FA64"/>
    <w:rsid w:val="5D9849A5"/>
    <w:rsid w:val="5DAA7C96"/>
    <w:rsid w:val="5DC14BB3"/>
    <w:rsid w:val="5DD43857"/>
    <w:rsid w:val="5DE346F1"/>
    <w:rsid w:val="5DF296C7"/>
    <w:rsid w:val="5E0D35DB"/>
    <w:rsid w:val="5E144960"/>
    <w:rsid w:val="5E1C8B7C"/>
    <w:rsid w:val="5E248014"/>
    <w:rsid w:val="5E373F6D"/>
    <w:rsid w:val="5E691FBC"/>
    <w:rsid w:val="5E7AF765"/>
    <w:rsid w:val="5E994AB7"/>
    <w:rsid w:val="5EA17A62"/>
    <w:rsid w:val="5EA95591"/>
    <w:rsid w:val="5EEE6CE0"/>
    <w:rsid w:val="5EF2C347"/>
    <w:rsid w:val="5F0EA7CE"/>
    <w:rsid w:val="5F2A464F"/>
    <w:rsid w:val="5F2A8109"/>
    <w:rsid w:val="5F36C07C"/>
    <w:rsid w:val="5F3FA02F"/>
    <w:rsid w:val="5F4BA006"/>
    <w:rsid w:val="5F6CC4E5"/>
    <w:rsid w:val="5F85DB07"/>
    <w:rsid w:val="5F88FA66"/>
    <w:rsid w:val="5F9DE79D"/>
    <w:rsid w:val="5F9EC42F"/>
    <w:rsid w:val="5FA14FCF"/>
    <w:rsid w:val="5FC1B713"/>
    <w:rsid w:val="5FCA3442"/>
    <w:rsid w:val="5FD15109"/>
    <w:rsid w:val="5FDC8FB5"/>
    <w:rsid w:val="5FE34546"/>
    <w:rsid w:val="601917E8"/>
    <w:rsid w:val="603384BF"/>
    <w:rsid w:val="6040A395"/>
    <w:rsid w:val="605BBD1B"/>
    <w:rsid w:val="60853EC6"/>
    <w:rsid w:val="6085CC6F"/>
    <w:rsid w:val="60A8E8DF"/>
    <w:rsid w:val="60B0B1DE"/>
    <w:rsid w:val="60B3D286"/>
    <w:rsid w:val="60C7B998"/>
    <w:rsid w:val="610F5A87"/>
    <w:rsid w:val="611AE1B3"/>
    <w:rsid w:val="61279644"/>
    <w:rsid w:val="612D64D7"/>
    <w:rsid w:val="614CCC39"/>
    <w:rsid w:val="61772A52"/>
    <w:rsid w:val="6179C74B"/>
    <w:rsid w:val="617F3C9E"/>
    <w:rsid w:val="61A7285E"/>
    <w:rsid w:val="61D03938"/>
    <w:rsid w:val="61D9B1EE"/>
    <w:rsid w:val="61E0959F"/>
    <w:rsid w:val="61E4041D"/>
    <w:rsid w:val="61EFE6C3"/>
    <w:rsid w:val="62386973"/>
    <w:rsid w:val="623EE39C"/>
    <w:rsid w:val="625F4B20"/>
    <w:rsid w:val="6260A435"/>
    <w:rsid w:val="626C8691"/>
    <w:rsid w:val="62981AB7"/>
    <w:rsid w:val="62AD4E2A"/>
    <w:rsid w:val="62AED58A"/>
    <w:rsid w:val="62BCE490"/>
    <w:rsid w:val="62EA6C00"/>
    <w:rsid w:val="62EFA093"/>
    <w:rsid w:val="62FB7F73"/>
    <w:rsid w:val="6336ED9B"/>
    <w:rsid w:val="634317FB"/>
    <w:rsid w:val="63647395"/>
    <w:rsid w:val="637A823E"/>
    <w:rsid w:val="639E5E0D"/>
    <w:rsid w:val="63B116C9"/>
    <w:rsid w:val="63BF3BD2"/>
    <w:rsid w:val="63E5309D"/>
    <w:rsid w:val="63F0EF64"/>
    <w:rsid w:val="6410BA67"/>
    <w:rsid w:val="6410DE58"/>
    <w:rsid w:val="6415F5F5"/>
    <w:rsid w:val="6427D664"/>
    <w:rsid w:val="644F38DE"/>
    <w:rsid w:val="6463D901"/>
    <w:rsid w:val="648F1FE2"/>
    <w:rsid w:val="64ADDA3B"/>
    <w:rsid w:val="64B34134"/>
    <w:rsid w:val="64B879D6"/>
    <w:rsid w:val="64BDD6B4"/>
    <w:rsid w:val="64C1F455"/>
    <w:rsid w:val="64E7D501"/>
    <w:rsid w:val="6514867D"/>
    <w:rsid w:val="65397331"/>
    <w:rsid w:val="653B7821"/>
    <w:rsid w:val="65426020"/>
    <w:rsid w:val="65469776"/>
    <w:rsid w:val="657BC014"/>
    <w:rsid w:val="6589F101"/>
    <w:rsid w:val="658E0E70"/>
    <w:rsid w:val="6591A048"/>
    <w:rsid w:val="6591CCC6"/>
    <w:rsid w:val="65D33615"/>
    <w:rsid w:val="65D4904A"/>
    <w:rsid w:val="6639C443"/>
    <w:rsid w:val="663F6D60"/>
    <w:rsid w:val="666AFF90"/>
    <w:rsid w:val="6671DF92"/>
    <w:rsid w:val="66808E20"/>
    <w:rsid w:val="669189ED"/>
    <w:rsid w:val="66AE1520"/>
    <w:rsid w:val="66BBFC09"/>
    <w:rsid w:val="66BEE579"/>
    <w:rsid w:val="66D61469"/>
    <w:rsid w:val="66E581DE"/>
    <w:rsid w:val="6709A00F"/>
    <w:rsid w:val="6714C569"/>
    <w:rsid w:val="6768B9D0"/>
    <w:rsid w:val="676C2033"/>
    <w:rsid w:val="677AE99F"/>
    <w:rsid w:val="67D91BC3"/>
    <w:rsid w:val="68079279"/>
    <w:rsid w:val="682298B2"/>
    <w:rsid w:val="683E7A4A"/>
    <w:rsid w:val="685CB86F"/>
    <w:rsid w:val="6861B348"/>
    <w:rsid w:val="687095F6"/>
    <w:rsid w:val="688A9F62"/>
    <w:rsid w:val="68A87186"/>
    <w:rsid w:val="68A89A9C"/>
    <w:rsid w:val="68B2BF76"/>
    <w:rsid w:val="68BB99DB"/>
    <w:rsid w:val="68C1788B"/>
    <w:rsid w:val="690251C7"/>
    <w:rsid w:val="6915D097"/>
    <w:rsid w:val="692554D3"/>
    <w:rsid w:val="693243DE"/>
    <w:rsid w:val="693D539A"/>
    <w:rsid w:val="698D8D5A"/>
    <w:rsid w:val="69ABA06B"/>
    <w:rsid w:val="69BEA2DC"/>
    <w:rsid w:val="69C41C4C"/>
    <w:rsid w:val="69CBC49C"/>
    <w:rsid w:val="69D3D9F4"/>
    <w:rsid w:val="69D74BF0"/>
    <w:rsid w:val="69EB1AC1"/>
    <w:rsid w:val="69EF62FD"/>
    <w:rsid w:val="6A186FBE"/>
    <w:rsid w:val="6A512A47"/>
    <w:rsid w:val="6A67723E"/>
    <w:rsid w:val="6A7C474D"/>
    <w:rsid w:val="6A7D8DCB"/>
    <w:rsid w:val="6AA92B2C"/>
    <w:rsid w:val="6ABF9200"/>
    <w:rsid w:val="6AC192CD"/>
    <w:rsid w:val="6ADB08B8"/>
    <w:rsid w:val="6AE718CA"/>
    <w:rsid w:val="6B28CA0B"/>
    <w:rsid w:val="6B4F7EEC"/>
    <w:rsid w:val="6B727F8A"/>
    <w:rsid w:val="6B7D26D3"/>
    <w:rsid w:val="6B8AAC13"/>
    <w:rsid w:val="6B99F188"/>
    <w:rsid w:val="6BE9DCF8"/>
    <w:rsid w:val="6BF41D72"/>
    <w:rsid w:val="6C7E10F9"/>
    <w:rsid w:val="6C7FC4F1"/>
    <w:rsid w:val="6CC1540A"/>
    <w:rsid w:val="6CC8CE79"/>
    <w:rsid w:val="6CFBAEA4"/>
    <w:rsid w:val="6D1238C7"/>
    <w:rsid w:val="6D171D2B"/>
    <w:rsid w:val="6D27A8FF"/>
    <w:rsid w:val="6D3BFD6E"/>
    <w:rsid w:val="6D60BE57"/>
    <w:rsid w:val="6D7408CF"/>
    <w:rsid w:val="6D8C81A7"/>
    <w:rsid w:val="6D8D0422"/>
    <w:rsid w:val="6DA9C489"/>
    <w:rsid w:val="6DAFD2E9"/>
    <w:rsid w:val="6DF03C65"/>
    <w:rsid w:val="6E29E130"/>
    <w:rsid w:val="6E2A18B8"/>
    <w:rsid w:val="6E2CD33D"/>
    <w:rsid w:val="6E30E817"/>
    <w:rsid w:val="6E4AD201"/>
    <w:rsid w:val="6E51C96D"/>
    <w:rsid w:val="6E62BEE7"/>
    <w:rsid w:val="6E67D554"/>
    <w:rsid w:val="6E7C5F57"/>
    <w:rsid w:val="6E87A8D6"/>
    <w:rsid w:val="6EA0B05E"/>
    <w:rsid w:val="6ECFAB27"/>
    <w:rsid w:val="6EE3D820"/>
    <w:rsid w:val="6EF63960"/>
    <w:rsid w:val="6F09BBBF"/>
    <w:rsid w:val="6F0B7736"/>
    <w:rsid w:val="6F59D67C"/>
    <w:rsid w:val="6F6E67EA"/>
    <w:rsid w:val="6F7C9544"/>
    <w:rsid w:val="6F9CE4BB"/>
    <w:rsid w:val="6FA946BA"/>
    <w:rsid w:val="6FB553C9"/>
    <w:rsid w:val="6FDB37FB"/>
    <w:rsid w:val="700E8DA9"/>
    <w:rsid w:val="701E3C73"/>
    <w:rsid w:val="7024E7BE"/>
    <w:rsid w:val="702C0B9C"/>
    <w:rsid w:val="702EB2D1"/>
    <w:rsid w:val="70302C15"/>
    <w:rsid w:val="70367FB5"/>
    <w:rsid w:val="703783BD"/>
    <w:rsid w:val="705AE1DF"/>
    <w:rsid w:val="70685011"/>
    <w:rsid w:val="708A4A72"/>
    <w:rsid w:val="70AB99C5"/>
    <w:rsid w:val="70E4950C"/>
    <w:rsid w:val="70F75F2D"/>
    <w:rsid w:val="70FFE719"/>
    <w:rsid w:val="7110E69F"/>
    <w:rsid w:val="7114A39F"/>
    <w:rsid w:val="711C81F8"/>
    <w:rsid w:val="713401C7"/>
    <w:rsid w:val="713A3445"/>
    <w:rsid w:val="714102FD"/>
    <w:rsid w:val="7149C690"/>
    <w:rsid w:val="71537101"/>
    <w:rsid w:val="718DA62B"/>
    <w:rsid w:val="71AFEDC5"/>
    <w:rsid w:val="71CB047B"/>
    <w:rsid w:val="71E8AA8B"/>
    <w:rsid w:val="71FDB038"/>
    <w:rsid w:val="71FEF9F6"/>
    <w:rsid w:val="72194832"/>
    <w:rsid w:val="7248B33C"/>
    <w:rsid w:val="72775268"/>
    <w:rsid w:val="727AAA11"/>
    <w:rsid w:val="7287C35A"/>
    <w:rsid w:val="728A54D2"/>
    <w:rsid w:val="729201FC"/>
    <w:rsid w:val="72981E7F"/>
    <w:rsid w:val="72A1CEEF"/>
    <w:rsid w:val="72B66BF1"/>
    <w:rsid w:val="72F43E04"/>
    <w:rsid w:val="731FD790"/>
    <w:rsid w:val="732186CD"/>
    <w:rsid w:val="7330AC68"/>
    <w:rsid w:val="7336BF79"/>
    <w:rsid w:val="73400448"/>
    <w:rsid w:val="735079B4"/>
    <w:rsid w:val="73597B88"/>
    <w:rsid w:val="736A41E3"/>
    <w:rsid w:val="736E001F"/>
    <w:rsid w:val="738CBE36"/>
    <w:rsid w:val="738F8AD3"/>
    <w:rsid w:val="7393A0D7"/>
    <w:rsid w:val="73AABA35"/>
    <w:rsid w:val="73BA7194"/>
    <w:rsid w:val="73D88411"/>
    <w:rsid w:val="74032CC2"/>
    <w:rsid w:val="74087CBE"/>
    <w:rsid w:val="740957CD"/>
    <w:rsid w:val="7432EF9E"/>
    <w:rsid w:val="7457D477"/>
    <w:rsid w:val="7467876E"/>
    <w:rsid w:val="747F1721"/>
    <w:rsid w:val="74B846B7"/>
    <w:rsid w:val="74BC19FD"/>
    <w:rsid w:val="74F0883E"/>
    <w:rsid w:val="74F66816"/>
    <w:rsid w:val="7500E6E5"/>
    <w:rsid w:val="7523034B"/>
    <w:rsid w:val="7534DEC5"/>
    <w:rsid w:val="7558B7B6"/>
    <w:rsid w:val="75697977"/>
    <w:rsid w:val="7581DB28"/>
    <w:rsid w:val="75824497"/>
    <w:rsid w:val="7585E1CE"/>
    <w:rsid w:val="758989DB"/>
    <w:rsid w:val="758BB328"/>
    <w:rsid w:val="7597E327"/>
    <w:rsid w:val="75B8D2E7"/>
    <w:rsid w:val="75C1C2D0"/>
    <w:rsid w:val="75CC4861"/>
    <w:rsid w:val="75E7F80C"/>
    <w:rsid w:val="75FE1D8B"/>
    <w:rsid w:val="7602BD64"/>
    <w:rsid w:val="7611C701"/>
    <w:rsid w:val="767AF59F"/>
    <w:rsid w:val="7702E669"/>
    <w:rsid w:val="770860B6"/>
    <w:rsid w:val="77093620"/>
    <w:rsid w:val="77369090"/>
    <w:rsid w:val="77414562"/>
    <w:rsid w:val="775BCE34"/>
    <w:rsid w:val="775C0D93"/>
    <w:rsid w:val="7794C58C"/>
    <w:rsid w:val="77AAD890"/>
    <w:rsid w:val="77BC8537"/>
    <w:rsid w:val="77C730FB"/>
    <w:rsid w:val="77D08BB9"/>
    <w:rsid w:val="7814C88C"/>
    <w:rsid w:val="782BA007"/>
    <w:rsid w:val="7838A82D"/>
    <w:rsid w:val="7888DE1A"/>
    <w:rsid w:val="78957EF4"/>
    <w:rsid w:val="789C6CF1"/>
    <w:rsid w:val="789F6345"/>
    <w:rsid w:val="78BCEEAC"/>
    <w:rsid w:val="78D45338"/>
    <w:rsid w:val="78D492B2"/>
    <w:rsid w:val="78DC564D"/>
    <w:rsid w:val="78DFC84F"/>
    <w:rsid w:val="78E3765E"/>
    <w:rsid w:val="78FA273B"/>
    <w:rsid w:val="79061978"/>
    <w:rsid w:val="7913E3E4"/>
    <w:rsid w:val="792806B8"/>
    <w:rsid w:val="792E14E1"/>
    <w:rsid w:val="795311CC"/>
    <w:rsid w:val="7957295F"/>
    <w:rsid w:val="7968D76D"/>
    <w:rsid w:val="7976DF6A"/>
    <w:rsid w:val="79783EF7"/>
    <w:rsid w:val="799E27C9"/>
    <w:rsid w:val="79B52FC9"/>
    <w:rsid w:val="79C8DDF4"/>
    <w:rsid w:val="79CA9434"/>
    <w:rsid w:val="79E3BA46"/>
    <w:rsid w:val="79EDD4CA"/>
    <w:rsid w:val="79EECAFA"/>
    <w:rsid w:val="7A0EB308"/>
    <w:rsid w:val="7A14270B"/>
    <w:rsid w:val="7A22AF65"/>
    <w:rsid w:val="7A4D2397"/>
    <w:rsid w:val="7A5C730F"/>
    <w:rsid w:val="7A66373F"/>
    <w:rsid w:val="7A74193A"/>
    <w:rsid w:val="7A9485A8"/>
    <w:rsid w:val="7AA0CEE8"/>
    <w:rsid w:val="7AABE7F3"/>
    <w:rsid w:val="7AB3A73D"/>
    <w:rsid w:val="7AB749D8"/>
    <w:rsid w:val="7AB8692C"/>
    <w:rsid w:val="7B36B6FC"/>
    <w:rsid w:val="7B4D3CFD"/>
    <w:rsid w:val="7B62F438"/>
    <w:rsid w:val="7B69EBDF"/>
    <w:rsid w:val="7B7D663C"/>
    <w:rsid w:val="7B9E2400"/>
    <w:rsid w:val="7BA28827"/>
    <w:rsid w:val="7BD7F025"/>
    <w:rsid w:val="7BF40E27"/>
    <w:rsid w:val="7C5386E1"/>
    <w:rsid w:val="7C627485"/>
    <w:rsid w:val="7C69DC98"/>
    <w:rsid w:val="7C9FACED"/>
    <w:rsid w:val="7CA9C32E"/>
    <w:rsid w:val="7CB47823"/>
    <w:rsid w:val="7CBA6C72"/>
    <w:rsid w:val="7CD70033"/>
    <w:rsid w:val="7D2DEFE3"/>
    <w:rsid w:val="7D30E29E"/>
    <w:rsid w:val="7D3F1474"/>
    <w:rsid w:val="7D4FA962"/>
    <w:rsid w:val="7D737A23"/>
    <w:rsid w:val="7D89E651"/>
    <w:rsid w:val="7DC4F7C5"/>
    <w:rsid w:val="7DC69F16"/>
    <w:rsid w:val="7DCC47E5"/>
    <w:rsid w:val="7DCEF1AC"/>
    <w:rsid w:val="7E09BAE2"/>
    <w:rsid w:val="7E0AA8BF"/>
    <w:rsid w:val="7E28F89C"/>
    <w:rsid w:val="7E375F1B"/>
    <w:rsid w:val="7E5B4FD8"/>
    <w:rsid w:val="7E661938"/>
    <w:rsid w:val="7E670D56"/>
    <w:rsid w:val="7E7E759B"/>
    <w:rsid w:val="7E9FC5E5"/>
    <w:rsid w:val="7EB35DA2"/>
    <w:rsid w:val="7EC0F939"/>
    <w:rsid w:val="7EF07785"/>
    <w:rsid w:val="7EF29DEA"/>
    <w:rsid w:val="7F07B1F9"/>
    <w:rsid w:val="7F07D2C1"/>
    <w:rsid w:val="7F0DCF1F"/>
    <w:rsid w:val="7F185AC1"/>
    <w:rsid w:val="7F1ABC37"/>
    <w:rsid w:val="7F221607"/>
    <w:rsid w:val="7F6CFE49"/>
    <w:rsid w:val="7F7670D4"/>
    <w:rsid w:val="7F89BE58"/>
    <w:rsid w:val="7F924A5C"/>
    <w:rsid w:val="7FAED39E"/>
    <w:rsid w:val="7FBB281D"/>
    <w:rsid w:val="7FC31801"/>
    <w:rsid w:val="7FEC4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605B"/>
  <w15:chartTrackingRefBased/>
  <w15:docId w15:val="{9E91C45A-DB29-42C7-A6AF-E6F8414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8F9"/>
  </w:style>
  <w:style w:type="paragraph" w:styleId="Heading1">
    <w:name w:val="heading 1"/>
    <w:basedOn w:val="Normal"/>
    <w:next w:val="Normal"/>
    <w:link w:val="Heading1Char"/>
    <w:uiPriority w:val="9"/>
    <w:qFormat/>
    <w:rsid w:val="00BC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C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C4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A74"/>
    <w:rPr>
      <w:rFonts w:eastAsiaTheme="majorEastAsia" w:cstheme="majorBidi"/>
      <w:color w:val="272727" w:themeColor="text1" w:themeTint="D8"/>
    </w:rPr>
  </w:style>
  <w:style w:type="paragraph" w:styleId="Title">
    <w:name w:val="Title"/>
    <w:basedOn w:val="Normal"/>
    <w:next w:val="Normal"/>
    <w:link w:val="TitleChar"/>
    <w:uiPriority w:val="10"/>
    <w:qFormat/>
    <w:rsid w:val="00BC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A74"/>
    <w:pPr>
      <w:spacing w:before="160"/>
      <w:jc w:val="center"/>
    </w:pPr>
    <w:rPr>
      <w:i/>
      <w:iCs/>
      <w:color w:val="404040" w:themeColor="text1" w:themeTint="BF"/>
    </w:rPr>
  </w:style>
  <w:style w:type="character" w:customStyle="1" w:styleId="QuoteChar">
    <w:name w:val="Quote Char"/>
    <w:basedOn w:val="DefaultParagraphFont"/>
    <w:link w:val="Quote"/>
    <w:uiPriority w:val="29"/>
    <w:rsid w:val="00BC4A74"/>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C4A74"/>
    <w:pPr>
      <w:ind w:left="720"/>
      <w:contextualSpacing/>
    </w:pPr>
  </w:style>
  <w:style w:type="character" w:styleId="IntenseEmphasis">
    <w:name w:val="Intense Emphasis"/>
    <w:basedOn w:val="DefaultParagraphFont"/>
    <w:uiPriority w:val="21"/>
    <w:qFormat/>
    <w:rsid w:val="00BC4A74"/>
    <w:rPr>
      <w:i/>
      <w:iCs/>
      <w:color w:val="0F4761" w:themeColor="accent1" w:themeShade="BF"/>
    </w:rPr>
  </w:style>
  <w:style w:type="paragraph" w:styleId="IntenseQuote">
    <w:name w:val="Intense Quote"/>
    <w:basedOn w:val="Normal"/>
    <w:next w:val="Normal"/>
    <w:link w:val="IntenseQuoteChar"/>
    <w:uiPriority w:val="30"/>
    <w:qFormat/>
    <w:rsid w:val="00BC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A74"/>
    <w:rPr>
      <w:i/>
      <w:iCs/>
      <w:color w:val="0F4761" w:themeColor="accent1" w:themeShade="BF"/>
    </w:rPr>
  </w:style>
  <w:style w:type="character" w:styleId="IntenseReference">
    <w:name w:val="Intense Reference"/>
    <w:basedOn w:val="DefaultParagraphFont"/>
    <w:uiPriority w:val="32"/>
    <w:qFormat/>
    <w:rsid w:val="00BC4A74"/>
    <w:rPr>
      <w:b/>
      <w:bCs/>
      <w:smallCaps/>
      <w:color w:val="0F4761" w:themeColor="accent1" w:themeShade="BF"/>
      <w:spacing w:val="5"/>
    </w:rPr>
  </w:style>
  <w:style w:type="paragraph" w:styleId="TOC1">
    <w:name w:val="toc 1"/>
    <w:basedOn w:val="Normal"/>
    <w:next w:val="Normal"/>
    <w:autoRedefine/>
    <w:uiPriority w:val="39"/>
    <w:unhideWhenUsed/>
    <w:rsid w:val="00433049"/>
    <w:pPr>
      <w:spacing w:before="120" w:after="0"/>
    </w:pPr>
    <w:rPr>
      <w:b/>
      <w:bCs/>
      <w:i/>
      <w:iCs/>
    </w:rPr>
  </w:style>
  <w:style w:type="paragraph" w:styleId="TOC2">
    <w:name w:val="toc 2"/>
    <w:basedOn w:val="Normal"/>
    <w:next w:val="Normal"/>
    <w:autoRedefine/>
    <w:uiPriority w:val="39"/>
    <w:unhideWhenUsed/>
    <w:rsid w:val="00433049"/>
    <w:pPr>
      <w:spacing w:before="120" w:after="0"/>
      <w:ind w:left="240"/>
    </w:pPr>
    <w:rPr>
      <w:b/>
      <w:bCs/>
      <w:sz w:val="22"/>
      <w:szCs w:val="22"/>
    </w:rPr>
  </w:style>
  <w:style w:type="character" w:styleId="Hyperlink">
    <w:name w:val="Hyperlink"/>
    <w:basedOn w:val="DefaultParagraphFont"/>
    <w:uiPriority w:val="99"/>
    <w:unhideWhenUsed/>
    <w:rsid w:val="00C563B2"/>
    <w:rPr>
      <w:color w:val="000000" w:themeColor="text1"/>
      <w:u w:val="none"/>
    </w:rPr>
  </w:style>
  <w:style w:type="paragraph" w:styleId="CommentText">
    <w:name w:val="annotation text"/>
    <w:basedOn w:val="Normal"/>
    <w:link w:val="CommentTextChar"/>
    <w:uiPriority w:val="99"/>
    <w:unhideWhenUsed/>
    <w:rsid w:val="00F473DB"/>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F473DB"/>
    <w:rPr>
      <w:rFonts w:eastAsiaTheme="minorEastAsia"/>
      <w:kern w:val="0"/>
      <w:sz w:val="20"/>
      <w:szCs w:val="20"/>
      <w:lang w:eastAsia="ja-JP"/>
      <w14:ligatures w14:val="none"/>
    </w:rPr>
  </w:style>
  <w:style w:type="character" w:styleId="CommentReference">
    <w:name w:val="annotation reference"/>
    <w:basedOn w:val="DefaultParagraphFont"/>
    <w:uiPriority w:val="99"/>
    <w:unhideWhenUsed/>
    <w:rsid w:val="00F473DB"/>
    <w:rPr>
      <w:sz w:val="16"/>
      <w:szCs w:val="1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F473DB"/>
    <w:pPr>
      <w:spacing w:after="0" w:line="240" w:lineRule="auto"/>
    </w:pPr>
    <w:rPr>
      <w:rFonts w:eastAsiaTheme="minorEastAsia"/>
      <w:kern w:val="0"/>
      <w:sz w:val="20"/>
      <w:szCs w:val="20"/>
      <w:lang w:eastAsia="ja-JP"/>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473DB"/>
    <w:rPr>
      <w:rFonts w:eastAsiaTheme="minorEastAsia"/>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473DB"/>
    <w:rPr>
      <w:vertAlign w:val="superscript"/>
    </w:rPr>
  </w:style>
  <w:style w:type="paragraph" w:styleId="Caption">
    <w:name w:val="caption"/>
    <w:basedOn w:val="Normal"/>
    <w:next w:val="Normal"/>
    <w:uiPriority w:val="35"/>
    <w:unhideWhenUsed/>
    <w:qFormat/>
    <w:rsid w:val="00F473DB"/>
    <w:pPr>
      <w:spacing w:after="200" w:line="240" w:lineRule="auto"/>
    </w:pPr>
    <w:rPr>
      <w:rFonts w:eastAsiaTheme="minorEastAsia"/>
      <w:i/>
      <w:iCs/>
      <w:color w:val="0E2841" w:themeColor="text2"/>
      <w:kern w:val="0"/>
      <w:sz w:val="18"/>
      <w:szCs w:val="18"/>
      <w:lang w:eastAsia="ja-JP"/>
      <w14:ligatures w14:val="none"/>
    </w:rPr>
  </w:style>
  <w:style w:type="paragraph" w:styleId="Bibliography">
    <w:name w:val="Bibliography"/>
    <w:basedOn w:val="Normal"/>
    <w:next w:val="Normal"/>
    <w:uiPriority w:val="37"/>
    <w:unhideWhenUsed/>
    <w:rsid w:val="005F36BD"/>
    <w:pPr>
      <w:tabs>
        <w:tab w:val="left" w:pos="380"/>
      </w:tabs>
      <w:spacing w:after="0" w:line="240" w:lineRule="auto"/>
      <w:ind w:left="720" w:hanging="720"/>
    </w:pPr>
  </w:style>
  <w:style w:type="paragraph" w:styleId="TOC3">
    <w:name w:val="toc 3"/>
    <w:basedOn w:val="Normal"/>
    <w:next w:val="Normal"/>
    <w:autoRedefine/>
    <w:uiPriority w:val="39"/>
    <w:unhideWhenUsed/>
    <w:rsid w:val="00C62BBD"/>
    <w:pPr>
      <w:tabs>
        <w:tab w:val="right" w:leader="dot" w:pos="9350"/>
      </w:tabs>
      <w:spacing w:after="0"/>
      <w:ind w:left="540"/>
    </w:pPr>
    <w:rPr>
      <w:sz w:val="20"/>
      <w:szCs w:val="20"/>
    </w:rPr>
  </w:style>
  <w:style w:type="paragraph" w:styleId="Header">
    <w:name w:val="header"/>
    <w:basedOn w:val="Normal"/>
    <w:link w:val="HeaderChar"/>
    <w:uiPriority w:val="99"/>
    <w:unhideWhenUsed/>
    <w:rsid w:val="0001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82F"/>
  </w:style>
  <w:style w:type="paragraph" w:styleId="Footer">
    <w:name w:val="footer"/>
    <w:basedOn w:val="Normal"/>
    <w:link w:val="FooterChar"/>
    <w:uiPriority w:val="99"/>
    <w:unhideWhenUsed/>
    <w:rsid w:val="0001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82F"/>
  </w:style>
  <w:style w:type="paragraph" w:styleId="TOC4">
    <w:name w:val="toc 4"/>
    <w:basedOn w:val="Normal"/>
    <w:next w:val="Normal"/>
    <w:autoRedefine/>
    <w:uiPriority w:val="39"/>
    <w:unhideWhenUsed/>
    <w:rsid w:val="005A5901"/>
    <w:pPr>
      <w:spacing w:after="0"/>
      <w:ind w:left="720"/>
    </w:pPr>
    <w:rPr>
      <w:sz w:val="20"/>
      <w:szCs w:val="20"/>
    </w:rPr>
  </w:style>
  <w:style w:type="paragraph" w:customStyle="1" w:styleId="p1">
    <w:name w:val="p1"/>
    <w:basedOn w:val="Normal"/>
    <w:rsid w:val="00D1642D"/>
    <w:pPr>
      <w:spacing w:after="0" w:line="240" w:lineRule="auto"/>
    </w:pPr>
    <w:rPr>
      <w:rFonts w:ascii="Times New Roman" w:eastAsia="Times New Roman" w:hAnsi="Times New Roman" w:cs="Times New Roman"/>
      <w:color w:val="000000"/>
      <w:kern w:val="0"/>
      <w:sz w:val="17"/>
      <w:szCs w:val="17"/>
      <w:lang w:eastAsia="en-GB"/>
      <w14:ligatures w14:val="none"/>
    </w:rPr>
  </w:style>
  <w:style w:type="table" w:styleId="TableGrid">
    <w:name w:val="Table Grid"/>
    <w:basedOn w:val="TableNormal"/>
    <w:uiPriority w:val="39"/>
    <w:qFormat/>
    <w:rsid w:val="00EC2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82E74"/>
    <w:pPr>
      <w:spacing w:after="0"/>
      <w:ind w:left="960"/>
    </w:pPr>
    <w:rPr>
      <w:sz w:val="20"/>
      <w:szCs w:val="20"/>
    </w:rPr>
  </w:style>
  <w:style w:type="paragraph" w:styleId="TOCHeading">
    <w:name w:val="TOC Heading"/>
    <w:basedOn w:val="Heading1"/>
    <w:next w:val="Normal"/>
    <w:uiPriority w:val="39"/>
    <w:unhideWhenUsed/>
    <w:qFormat/>
    <w:rsid w:val="00BF7817"/>
    <w:pPr>
      <w:spacing w:before="480" w:after="0" w:line="276" w:lineRule="auto"/>
      <w:outlineLvl w:val="9"/>
    </w:pPr>
    <w:rPr>
      <w:b/>
      <w:bCs/>
      <w:kern w:val="0"/>
      <w:sz w:val="28"/>
      <w:szCs w:val="28"/>
      <w14:ligatures w14:val="none"/>
    </w:rPr>
  </w:style>
  <w:style w:type="paragraph" w:styleId="TOC6">
    <w:name w:val="toc 6"/>
    <w:basedOn w:val="Normal"/>
    <w:next w:val="Normal"/>
    <w:autoRedefine/>
    <w:uiPriority w:val="39"/>
    <w:unhideWhenUsed/>
    <w:rsid w:val="00BF7817"/>
    <w:pPr>
      <w:spacing w:after="0"/>
      <w:ind w:left="1200"/>
    </w:pPr>
    <w:rPr>
      <w:sz w:val="20"/>
      <w:szCs w:val="20"/>
    </w:rPr>
  </w:style>
  <w:style w:type="paragraph" w:styleId="TOC7">
    <w:name w:val="toc 7"/>
    <w:basedOn w:val="Normal"/>
    <w:next w:val="Normal"/>
    <w:autoRedefine/>
    <w:uiPriority w:val="39"/>
    <w:unhideWhenUsed/>
    <w:rsid w:val="00BF7817"/>
    <w:pPr>
      <w:spacing w:after="0"/>
      <w:ind w:left="1440"/>
    </w:pPr>
    <w:rPr>
      <w:sz w:val="20"/>
      <w:szCs w:val="20"/>
    </w:rPr>
  </w:style>
  <w:style w:type="paragraph" w:styleId="TOC8">
    <w:name w:val="toc 8"/>
    <w:basedOn w:val="Normal"/>
    <w:next w:val="Normal"/>
    <w:autoRedefine/>
    <w:uiPriority w:val="39"/>
    <w:unhideWhenUsed/>
    <w:rsid w:val="00BF7817"/>
    <w:pPr>
      <w:spacing w:after="0"/>
      <w:ind w:left="1680"/>
    </w:pPr>
    <w:rPr>
      <w:sz w:val="20"/>
      <w:szCs w:val="20"/>
    </w:rPr>
  </w:style>
  <w:style w:type="paragraph" w:styleId="TOC9">
    <w:name w:val="toc 9"/>
    <w:basedOn w:val="Normal"/>
    <w:next w:val="Normal"/>
    <w:autoRedefine/>
    <w:uiPriority w:val="39"/>
    <w:unhideWhenUsed/>
    <w:rsid w:val="00BF7817"/>
    <w:pPr>
      <w:spacing w:after="0"/>
      <w:ind w:left="1920"/>
    </w:pPr>
    <w:rPr>
      <w:sz w:val="20"/>
      <w:szCs w:val="20"/>
    </w:rPr>
  </w:style>
  <w:style w:type="paragraph" w:customStyle="1" w:styleId="CBDNormalNumber">
    <w:name w:val="CBD_Normal_Number"/>
    <w:basedOn w:val="Normal"/>
    <w:qFormat/>
    <w:rsid w:val="00550E7A"/>
    <w:p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14:ligatures w14:val="none"/>
    </w:rPr>
  </w:style>
  <w:style w:type="numbering" w:customStyle="1" w:styleId="ImportedStyle2">
    <w:name w:val="Imported Style 2"/>
    <w:rsid w:val="00550E7A"/>
    <w:pPr>
      <w:numPr>
        <w:numId w:val="7"/>
      </w:numPr>
    </w:pPr>
  </w:style>
  <w:style w:type="numbering" w:customStyle="1" w:styleId="ListCBD">
    <w:name w:val="ListCBD"/>
    <w:basedOn w:val="NoList"/>
    <w:uiPriority w:val="99"/>
    <w:rsid w:val="00550E7A"/>
    <w:pPr>
      <w:numPr>
        <w:numId w:val="4"/>
      </w:numPr>
    </w:pPr>
  </w:style>
  <w:style w:type="character" w:customStyle="1" w:styleId="normaltextrun">
    <w:name w:val="normaltextrun"/>
    <w:basedOn w:val="DefaultParagraphFont"/>
    <w:rsid w:val="00977CF9"/>
  </w:style>
  <w:style w:type="character" w:customStyle="1" w:styleId="eop">
    <w:name w:val="eop"/>
    <w:basedOn w:val="DefaultParagraphFont"/>
    <w:rsid w:val="00977CF9"/>
  </w:style>
  <w:style w:type="character" w:customStyle="1" w:styleId="UnresolvedMention1">
    <w:name w:val="Unresolved Mention1"/>
    <w:basedOn w:val="DefaultParagraphFont"/>
    <w:uiPriority w:val="99"/>
    <w:semiHidden/>
    <w:unhideWhenUsed/>
    <w:rsid w:val="007743FE"/>
    <w:rPr>
      <w:color w:val="605E5C"/>
      <w:shd w:val="clear" w:color="auto" w:fill="E1DFDD"/>
    </w:rPr>
  </w:style>
  <w:style w:type="character" w:styleId="FollowedHyperlink">
    <w:name w:val="FollowedHyperlink"/>
    <w:basedOn w:val="DefaultParagraphFont"/>
    <w:uiPriority w:val="99"/>
    <w:semiHidden/>
    <w:unhideWhenUsed/>
    <w:rsid w:val="00416DCE"/>
    <w:rPr>
      <w:color w:val="96607D" w:themeColor="followedHyperlink"/>
      <w:u w:val="single"/>
    </w:rPr>
  </w:style>
  <w:style w:type="paragraph" w:styleId="TableofFigures">
    <w:name w:val="table of figures"/>
    <w:basedOn w:val="Normal"/>
    <w:next w:val="Normal"/>
    <w:uiPriority w:val="99"/>
    <w:unhideWhenUsed/>
    <w:rsid w:val="00406738"/>
    <w:pPr>
      <w:spacing w:after="0"/>
    </w:pPr>
  </w:style>
  <w:style w:type="paragraph" w:styleId="CommentSubject">
    <w:name w:val="annotation subject"/>
    <w:basedOn w:val="CommentText"/>
    <w:next w:val="CommentText"/>
    <w:link w:val="CommentSubjectChar"/>
    <w:uiPriority w:val="99"/>
    <w:semiHidden/>
    <w:unhideWhenUsed/>
    <w:rsid w:val="00694BB9"/>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694BB9"/>
    <w:rPr>
      <w:rFonts w:eastAsiaTheme="minorEastAsia"/>
      <w:b/>
      <w:bCs/>
      <w:kern w:val="0"/>
      <w:sz w:val="20"/>
      <w:szCs w:val="20"/>
      <w:lang w:eastAsia="ja-JP"/>
      <w14:ligatures w14:val="none"/>
    </w:rPr>
  </w:style>
  <w:style w:type="paragraph" w:styleId="NormalWeb">
    <w:name w:val="Normal (Web)"/>
    <w:basedOn w:val="Normal"/>
    <w:uiPriority w:val="99"/>
    <w:unhideWhenUsed/>
    <w:rsid w:val="00BD32C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ention1">
    <w:name w:val="Mention1"/>
    <w:basedOn w:val="DefaultParagraphFont"/>
    <w:uiPriority w:val="99"/>
    <w:unhideWhenUsed/>
    <w:rsid w:val="003421A5"/>
    <w:rPr>
      <w:color w:val="2B579A"/>
      <w:shd w:val="clear" w:color="auto" w:fill="E1DFDD"/>
    </w:rPr>
  </w:style>
  <w:style w:type="character" w:customStyle="1" w:styleId="apple-converted-space">
    <w:name w:val="apple-converted-space"/>
    <w:basedOn w:val="DefaultParagraphFont"/>
    <w:rsid w:val="008B5B6D"/>
  </w:style>
  <w:style w:type="paragraph" w:customStyle="1" w:styleId="paragraph">
    <w:name w:val="paragraph"/>
    <w:basedOn w:val="Normal"/>
    <w:rsid w:val="008B5B6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532280"/>
    <w:pPr>
      <w:autoSpaceDE w:val="0"/>
      <w:autoSpaceDN w:val="0"/>
      <w:adjustRightInd w:val="0"/>
      <w:spacing w:after="0" w:line="240" w:lineRule="auto"/>
    </w:pPr>
    <w:rPr>
      <w:rFonts w:ascii="Times New Roman" w:hAnsi="Times New Roman" w:cs="Times New Roman"/>
      <w:color w:val="000000"/>
      <w:kern w:val="0"/>
    </w:rPr>
  </w:style>
  <w:style w:type="character" w:customStyle="1" w:styleId="wacimagecontainer">
    <w:name w:val="wacimagecontainer"/>
    <w:basedOn w:val="DefaultParagraphFont"/>
    <w:rsid w:val="00FD3C45"/>
  </w:style>
  <w:style w:type="character" w:styleId="Strong">
    <w:name w:val="Strong"/>
    <w:basedOn w:val="DefaultParagraphFont"/>
    <w:uiPriority w:val="22"/>
    <w:qFormat/>
    <w:rsid w:val="00664465"/>
    <w:rPr>
      <w:b/>
      <w:bCs/>
      <w:lang w:val="es-UY"/>
    </w:rPr>
  </w:style>
  <w:style w:type="paragraph" w:customStyle="1" w:styleId="Normalnumber">
    <w:name w:val="Normal_number"/>
    <w:basedOn w:val="Normal"/>
    <w:link w:val="NormalnumberChar"/>
    <w:qFormat/>
    <w:rsid w:val="0043487E"/>
    <w:pPr>
      <w:keepNext/>
      <w:keepLines/>
      <w:tabs>
        <w:tab w:val="left" w:pos="1247"/>
        <w:tab w:val="left" w:pos="1871"/>
        <w:tab w:val="left" w:pos="2495"/>
        <w:tab w:val="left" w:pos="3119"/>
        <w:tab w:val="left" w:pos="3742"/>
        <w:tab w:val="left" w:pos="4366"/>
        <w:tab w:val="left" w:pos="4990"/>
      </w:tabs>
      <w:suppressAutoHyphens/>
      <w:spacing w:before="320" w:after="120" w:line="240" w:lineRule="auto"/>
      <w:ind w:right="567"/>
    </w:pPr>
    <w:rPr>
      <w:rFonts w:ascii="Times New Roman" w:eastAsia="Times New Roman" w:hAnsi="Times New Roman" w:cs="Times New Roman"/>
      <w:kern w:val="0"/>
      <w:sz w:val="20"/>
      <w:szCs w:val="20"/>
      <w14:ligatures w14:val="none"/>
    </w:rPr>
  </w:style>
  <w:style w:type="character" w:customStyle="1" w:styleId="NormalnumberChar">
    <w:name w:val="Normal_number Char"/>
    <w:link w:val="Normalnumber"/>
    <w:qFormat/>
    <w:rsid w:val="0043487E"/>
    <w:rPr>
      <w:rFonts w:ascii="Times New Roman" w:eastAsia="Times New Roman" w:hAnsi="Times New Roman" w:cs="Times New Roman"/>
      <w:kern w:val="0"/>
      <w:sz w:val="20"/>
      <w:szCs w:val="20"/>
      <w:lang w:val="es-UY"/>
      <w14:ligatures w14:val="none"/>
    </w:rPr>
  </w:style>
  <w:style w:type="paragraph" w:customStyle="1" w:styleId="TableParagraph">
    <w:name w:val="Table Paragraph"/>
    <w:basedOn w:val="Normal"/>
    <w:uiPriority w:val="1"/>
    <w:qFormat/>
    <w:rsid w:val="00A051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479"/>
    <w:pPr>
      <w:spacing w:line="240" w:lineRule="exact"/>
    </w:pPr>
    <w:rPr>
      <w:vertAlign w:val="superscript"/>
    </w:rPr>
  </w:style>
  <w:style w:type="character" w:styleId="LineNumber">
    <w:name w:val="line number"/>
    <w:basedOn w:val="DefaultParagraphFont"/>
    <w:uiPriority w:val="99"/>
    <w:semiHidden/>
    <w:unhideWhenUsed/>
    <w:rsid w:val="00761B8E"/>
  </w:style>
  <w:style w:type="paragraph" w:customStyle="1" w:styleId="pf0">
    <w:name w:val="pf0"/>
    <w:basedOn w:val="Normal"/>
    <w:rsid w:val="008E548F"/>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cf01">
    <w:name w:val="cf01"/>
    <w:basedOn w:val="DefaultParagraphFont"/>
    <w:rsid w:val="008E548F"/>
    <w:rPr>
      <w:rFonts w:ascii="Segoe UI" w:hAnsi="Segoe UI" w:cs="Segoe UI" w:hint="default"/>
      <w:sz w:val="18"/>
      <w:szCs w:val="18"/>
    </w:rPr>
  </w:style>
  <w:style w:type="paragraph" w:styleId="Revision">
    <w:name w:val="Revision"/>
    <w:hidden/>
    <w:uiPriority w:val="99"/>
    <w:semiHidden/>
    <w:rsid w:val="008E548F"/>
    <w:pPr>
      <w:spacing w:after="0" w:line="240" w:lineRule="auto"/>
    </w:pPr>
    <w:rPr>
      <w:rFonts w:eastAsiaTheme="minorEastAsia"/>
      <w:lang w:eastAsia="zh-CN"/>
    </w:rPr>
  </w:style>
  <w:style w:type="character" w:customStyle="1" w:styleId="findhit">
    <w:name w:val="findhit"/>
    <w:basedOn w:val="DefaultParagraphFont"/>
    <w:rsid w:val="008E548F"/>
  </w:style>
  <w:style w:type="character" w:customStyle="1" w:styleId="nobreakhyphenblob">
    <w:name w:val="nobreakhyphenblob"/>
    <w:basedOn w:val="DefaultParagraphFont"/>
    <w:rsid w:val="008E548F"/>
  </w:style>
  <w:style w:type="character" w:styleId="Emphasis">
    <w:name w:val="Emphasis"/>
    <w:basedOn w:val="DefaultParagraphFont"/>
    <w:uiPriority w:val="20"/>
    <w:qFormat/>
    <w:rsid w:val="009973F1"/>
    <w:rPr>
      <w:i/>
      <w:iCs/>
    </w:rPr>
  </w:style>
  <w:style w:type="character" w:customStyle="1" w:styleId="citation-23">
    <w:name w:val="citation-23"/>
    <w:basedOn w:val="DefaultParagraphFont"/>
    <w:rsid w:val="00243A4B"/>
  </w:style>
  <w:style w:type="character" w:customStyle="1" w:styleId="citation-22">
    <w:name w:val="citation-22"/>
    <w:basedOn w:val="DefaultParagraphFont"/>
    <w:rsid w:val="00243A4B"/>
  </w:style>
  <w:style w:type="character" w:customStyle="1" w:styleId="citation-21">
    <w:name w:val="citation-21"/>
    <w:basedOn w:val="DefaultParagraphFont"/>
    <w:rsid w:val="00243A4B"/>
  </w:style>
  <w:style w:type="character" w:customStyle="1" w:styleId="citation-20">
    <w:name w:val="citation-20"/>
    <w:basedOn w:val="DefaultParagraphFont"/>
    <w:rsid w:val="00243A4B"/>
  </w:style>
  <w:style w:type="character" w:customStyle="1" w:styleId="citation-19">
    <w:name w:val="citation-19"/>
    <w:basedOn w:val="DefaultParagraphFont"/>
    <w:rsid w:val="00243A4B"/>
  </w:style>
  <w:style w:type="character" w:customStyle="1" w:styleId="citation-18">
    <w:name w:val="citation-18"/>
    <w:basedOn w:val="DefaultParagraphFont"/>
    <w:rsid w:val="00243A4B"/>
  </w:style>
  <w:style w:type="character" w:customStyle="1" w:styleId="agcmg">
    <w:name w:val="a_gcmg"/>
    <w:basedOn w:val="DefaultParagraphFont"/>
    <w:rsid w:val="00B50240"/>
  </w:style>
  <w:style w:type="paragraph" w:customStyle="1" w:styleId="CBDNormalNoNumber">
    <w:name w:val="CBD_Normal_NoNumber"/>
    <w:basedOn w:val="Normal"/>
    <w:qFormat/>
    <w:rsid w:val="00230AA3"/>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cs="Times New Roman"/>
      <w:kern w:val="0"/>
      <w:sz w:val="22"/>
      <w:szCs w:val="22"/>
      <w14:ligatures w14:val="none"/>
    </w:rPr>
  </w:style>
  <w:style w:type="paragraph" w:customStyle="1" w:styleId="CBDH2">
    <w:name w:val="CBD_H2"/>
    <w:basedOn w:val="Normal"/>
    <w:qFormat/>
    <w:rsid w:val="00733002"/>
    <w:pPr>
      <w:keepNext/>
      <w:keepLines/>
      <w:tabs>
        <w:tab w:val="left" w:pos="567"/>
        <w:tab w:val="left" w:pos="1134"/>
        <w:tab w:val="left" w:pos="1701"/>
        <w:tab w:val="left" w:pos="2268"/>
        <w:tab w:val="left" w:pos="2835"/>
        <w:tab w:val="left" w:pos="3402"/>
      </w:tabs>
      <w:spacing w:after="0" w:line="240" w:lineRule="auto"/>
      <w:ind w:left="567" w:hanging="567"/>
      <w:jc w:val="both"/>
    </w:pPr>
    <w:rPr>
      <w:rFonts w:ascii="Times New Roman" w:eastAsia="SimSun" w:hAnsi="Times New Roman" w:cs="Times New Roman"/>
      <w:b/>
      <w:kern w:val="0"/>
      <w:szCs w:val="2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33002"/>
  </w:style>
  <w:style w:type="paragraph" w:customStyle="1" w:styleId="ds-markdown-paragraph">
    <w:name w:val="ds-markdown-paragraph"/>
    <w:basedOn w:val="Normal"/>
    <w:rsid w:val="00267FD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wordsection1">
    <w:name w:val="wordsection1"/>
    <w:basedOn w:val="Normal"/>
    <w:uiPriority w:val="99"/>
    <w:rsid w:val="000323E4"/>
    <w:pPr>
      <w:spacing w:before="100" w:beforeAutospacing="1" w:after="100" w:afterAutospacing="1" w:line="240" w:lineRule="auto"/>
    </w:pPr>
    <w:rPr>
      <w:rFonts w:ascii="Times New Roman" w:hAnsi="Times New Roman" w:cs="Times New Roman"/>
      <w:kern w:val="0"/>
      <w14:ligatures w14:val="none"/>
    </w:rPr>
  </w:style>
  <w:style w:type="paragraph" w:styleId="BalloonText">
    <w:name w:val="Balloon Text"/>
    <w:basedOn w:val="Normal"/>
    <w:link w:val="BalloonTextChar"/>
    <w:uiPriority w:val="99"/>
    <w:semiHidden/>
    <w:unhideWhenUsed/>
    <w:rsid w:val="002E12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218"/>
    <w:rPr>
      <w:rFonts w:ascii="Segoe UI" w:hAnsi="Segoe UI" w:cs="Segoe UI"/>
      <w:sz w:val="18"/>
      <w:szCs w:val="18"/>
    </w:rPr>
  </w:style>
  <w:style w:type="numbering" w:customStyle="1" w:styleId="NoList1">
    <w:name w:val="No List1"/>
    <w:next w:val="NoList"/>
    <w:uiPriority w:val="99"/>
    <w:semiHidden/>
    <w:unhideWhenUsed/>
    <w:rsid w:val="008F15F1"/>
  </w:style>
  <w:style w:type="table" w:customStyle="1" w:styleId="TableGrid1">
    <w:name w:val="Table Grid1"/>
    <w:basedOn w:val="TableNormal"/>
    <w:next w:val="TableGrid"/>
    <w:uiPriority w:val="39"/>
    <w:qFormat/>
    <w:rsid w:val="008F15F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EB2953"/>
    <w:pPr>
      <w:numPr>
        <w:numId w:val="57"/>
      </w:numPr>
      <w:tabs>
        <w:tab w:val="clear" w:pos="360"/>
        <w:tab w:val="left" w:pos="567"/>
        <w:tab w:val="left" w:pos="1134"/>
        <w:tab w:val="left" w:pos="1701"/>
        <w:tab w:val="left" w:pos="2268"/>
      </w:tabs>
      <w:spacing w:before="120" w:after="120" w:line="240" w:lineRule="auto"/>
      <w:ind w:left="567"/>
      <w:jc w:val="both"/>
    </w:pPr>
    <w:rPr>
      <w:rFonts w:ascii="Times New Roman" w:eastAsia="SimSun" w:hAnsi="Times New Roman" w:cs="Times New Roman"/>
      <w:snapToGrid w:val="0"/>
      <w:kern w:val="0"/>
      <w:sz w:val="22"/>
      <w:szCs w:val="18"/>
      <w:lang w:val="es-ES"/>
      <w14:ligatures w14:val="none"/>
    </w:rPr>
  </w:style>
  <w:style w:type="character" w:customStyle="1" w:styleId="Para1Char">
    <w:name w:val="Para1 Char"/>
    <w:link w:val="Para1"/>
    <w:locked/>
    <w:rsid w:val="00EB2953"/>
    <w:rPr>
      <w:rFonts w:ascii="Times New Roman" w:eastAsia="SimSun" w:hAnsi="Times New Roman" w:cs="Times New Roman"/>
      <w:snapToGrid w:val="0"/>
      <w:kern w:val="0"/>
      <w:sz w:val="22"/>
      <w:szCs w:val="18"/>
      <w:lang w:val="es-ES"/>
      <w14:ligatures w14:val="none"/>
    </w:rPr>
  </w:style>
  <w:style w:type="paragraph" w:customStyle="1" w:styleId="ABSymbol">
    <w:name w:val="AB_Symbol"/>
    <w:basedOn w:val="Normal"/>
    <w:qFormat/>
    <w:rsid w:val="00EB2953"/>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val="es-ES"/>
      <w14:ligatures w14:val="none"/>
    </w:rPr>
  </w:style>
  <w:style w:type="paragraph" w:customStyle="1" w:styleId="AFCorNNormal">
    <w:name w:val="AF_CorNNormal"/>
    <w:basedOn w:val="Normal"/>
    <w:unhideWhenUsed/>
    <w:rsid w:val="00EB2953"/>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s-ES"/>
      <w14:ligatures w14:val="none"/>
    </w:rPr>
  </w:style>
  <w:style w:type="paragraph" w:customStyle="1" w:styleId="AEDistrNormal">
    <w:name w:val="AE_DistrNormal"/>
    <w:basedOn w:val="Normal"/>
    <w:unhideWhenUsed/>
    <w:rsid w:val="00EB2953"/>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s-ES"/>
      <w14:ligatures w14:val="none"/>
    </w:rPr>
  </w:style>
  <w:style w:type="paragraph" w:customStyle="1" w:styleId="AASmallLogo">
    <w:name w:val="AA_SmallLogo"/>
    <w:basedOn w:val="AEDistrNormal"/>
    <w:unhideWhenUsed/>
    <w:rsid w:val="00EB2953"/>
    <w:pPr>
      <w:spacing w:before="40"/>
    </w:pPr>
    <w:rPr>
      <w:sz w:val="4"/>
    </w:rPr>
  </w:style>
  <w:style w:type="paragraph" w:customStyle="1" w:styleId="ACLargeLogo">
    <w:name w:val="AC_LargeLogo"/>
    <w:basedOn w:val="AFCorNNormal"/>
    <w:next w:val="AISpacer"/>
    <w:unhideWhenUsed/>
    <w:rsid w:val="00EB2953"/>
    <w:pPr>
      <w:spacing w:before="120"/>
      <w:contextualSpacing/>
    </w:pPr>
    <w:rPr>
      <w:sz w:val="8"/>
    </w:rPr>
  </w:style>
  <w:style w:type="paragraph" w:customStyle="1" w:styleId="CBDNormal">
    <w:name w:val="CBD_Normal"/>
    <w:unhideWhenUsed/>
    <w:qFormat/>
    <w:rsid w:val="00EB295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s-ES"/>
      <w14:ligatures w14:val="none"/>
    </w:rPr>
  </w:style>
  <w:style w:type="paragraph" w:customStyle="1" w:styleId="AISpacer">
    <w:name w:val="AI_Spacer"/>
    <w:next w:val="Normal"/>
    <w:unhideWhenUsed/>
    <w:qFormat/>
    <w:rsid w:val="00EB2953"/>
    <w:pPr>
      <w:spacing w:after="0" w:line="240" w:lineRule="auto"/>
    </w:pPr>
    <w:rPr>
      <w:rFonts w:ascii="Times New Roman" w:eastAsia="SimSun" w:hAnsi="Times New Roman" w:cs="Times New Roman"/>
      <w:kern w:val="0"/>
      <w:sz w:val="2"/>
      <w:szCs w:val="22"/>
      <w:lang w:val="es-ES"/>
      <w14:ligatures w14:val="none"/>
    </w:rPr>
  </w:style>
  <w:style w:type="paragraph" w:customStyle="1" w:styleId="AEDistrNormal6pt">
    <w:name w:val="AE_DistrNormal6pt"/>
    <w:basedOn w:val="AEDistrNormal"/>
    <w:next w:val="AFCorNNormal"/>
    <w:unhideWhenUsed/>
    <w:qFormat/>
    <w:rsid w:val="00EB2953"/>
    <w:pPr>
      <w:spacing w:before="120"/>
    </w:pPr>
  </w:style>
  <w:style w:type="paragraph" w:customStyle="1" w:styleId="AFCorNBold">
    <w:name w:val="AF_CorNBold"/>
    <w:basedOn w:val="AFCorNNormal"/>
    <w:next w:val="AFCorNNormal"/>
    <w:unhideWhenUsed/>
    <w:qFormat/>
    <w:rsid w:val="00EB2953"/>
    <w:rPr>
      <w:b/>
    </w:rPr>
  </w:style>
  <w:style w:type="paragraph" w:customStyle="1" w:styleId="AFCorN12Bold">
    <w:name w:val="AF_CorN12Bold"/>
    <w:basedOn w:val="AFCorNNormal"/>
    <w:next w:val="AFCorNNormal"/>
    <w:unhideWhenUsed/>
    <w:qFormat/>
    <w:rsid w:val="00EB2953"/>
    <w:rPr>
      <w:b/>
      <w:sz w:val="24"/>
    </w:rPr>
  </w:style>
  <w:style w:type="paragraph" w:customStyle="1" w:styleId="CBDSubTitle">
    <w:name w:val="CBD_SubTitle"/>
    <w:basedOn w:val="CBDNormal"/>
    <w:qFormat/>
    <w:rsid w:val="00EB2953"/>
    <w:pPr>
      <w:keepNext/>
      <w:keepLines/>
      <w:spacing w:before="240" w:after="240"/>
      <w:ind w:left="567"/>
      <w:jc w:val="left"/>
    </w:pPr>
    <w:rPr>
      <w:b/>
    </w:rPr>
  </w:style>
  <w:style w:type="paragraph" w:customStyle="1" w:styleId="CBDTitle">
    <w:name w:val="CBD_Title"/>
    <w:basedOn w:val="CBDNormal"/>
    <w:next w:val="CBDSubTitle"/>
    <w:qFormat/>
    <w:rsid w:val="00EB2953"/>
    <w:pPr>
      <w:keepNext/>
      <w:keepLines/>
      <w:spacing w:before="240" w:after="240"/>
      <w:ind w:left="567"/>
      <w:jc w:val="left"/>
    </w:pPr>
    <w:rPr>
      <w:b/>
      <w:sz w:val="28"/>
    </w:rPr>
  </w:style>
  <w:style w:type="character" w:styleId="PlaceholderText">
    <w:name w:val="Placeholder Text"/>
    <w:basedOn w:val="DefaultParagraphFont"/>
    <w:uiPriority w:val="99"/>
    <w:semiHidden/>
    <w:rsid w:val="00EB2953"/>
    <w:rPr>
      <w:color w:val="808080"/>
    </w:rPr>
  </w:style>
  <w:style w:type="table" w:customStyle="1" w:styleId="TableGrid2">
    <w:name w:val="Table Grid2"/>
    <w:basedOn w:val="TableNormal"/>
    <w:next w:val="TableGrid"/>
    <w:uiPriority w:val="39"/>
    <w:rsid w:val="00B005F1"/>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6214A"/>
    <w:pPr>
      <w:spacing w:after="0" w:line="240" w:lineRule="auto"/>
    </w:pPr>
    <w:rPr>
      <w:rFonts w:eastAsiaTheme="minorEastAsia"/>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2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9966">
      <w:bodyDiv w:val="1"/>
      <w:marLeft w:val="0"/>
      <w:marRight w:val="0"/>
      <w:marTop w:val="0"/>
      <w:marBottom w:val="0"/>
      <w:divBdr>
        <w:top w:val="none" w:sz="0" w:space="0" w:color="auto"/>
        <w:left w:val="none" w:sz="0" w:space="0" w:color="auto"/>
        <w:bottom w:val="none" w:sz="0" w:space="0" w:color="auto"/>
        <w:right w:val="none" w:sz="0" w:space="0" w:color="auto"/>
      </w:divBdr>
    </w:div>
    <w:div w:id="184053460">
      <w:bodyDiv w:val="1"/>
      <w:marLeft w:val="0"/>
      <w:marRight w:val="0"/>
      <w:marTop w:val="0"/>
      <w:marBottom w:val="0"/>
      <w:divBdr>
        <w:top w:val="none" w:sz="0" w:space="0" w:color="auto"/>
        <w:left w:val="none" w:sz="0" w:space="0" w:color="auto"/>
        <w:bottom w:val="none" w:sz="0" w:space="0" w:color="auto"/>
        <w:right w:val="none" w:sz="0" w:space="0" w:color="auto"/>
      </w:divBdr>
    </w:div>
    <w:div w:id="193659178">
      <w:bodyDiv w:val="1"/>
      <w:marLeft w:val="0"/>
      <w:marRight w:val="0"/>
      <w:marTop w:val="0"/>
      <w:marBottom w:val="0"/>
      <w:divBdr>
        <w:top w:val="none" w:sz="0" w:space="0" w:color="auto"/>
        <w:left w:val="none" w:sz="0" w:space="0" w:color="auto"/>
        <w:bottom w:val="none" w:sz="0" w:space="0" w:color="auto"/>
        <w:right w:val="none" w:sz="0" w:space="0" w:color="auto"/>
      </w:divBdr>
    </w:div>
    <w:div w:id="433985553">
      <w:bodyDiv w:val="1"/>
      <w:marLeft w:val="0"/>
      <w:marRight w:val="0"/>
      <w:marTop w:val="0"/>
      <w:marBottom w:val="0"/>
      <w:divBdr>
        <w:top w:val="none" w:sz="0" w:space="0" w:color="auto"/>
        <w:left w:val="none" w:sz="0" w:space="0" w:color="auto"/>
        <w:bottom w:val="none" w:sz="0" w:space="0" w:color="auto"/>
        <w:right w:val="none" w:sz="0" w:space="0" w:color="auto"/>
      </w:divBdr>
    </w:div>
    <w:div w:id="541942385">
      <w:bodyDiv w:val="1"/>
      <w:marLeft w:val="0"/>
      <w:marRight w:val="0"/>
      <w:marTop w:val="0"/>
      <w:marBottom w:val="0"/>
      <w:divBdr>
        <w:top w:val="none" w:sz="0" w:space="0" w:color="auto"/>
        <w:left w:val="none" w:sz="0" w:space="0" w:color="auto"/>
        <w:bottom w:val="none" w:sz="0" w:space="0" w:color="auto"/>
        <w:right w:val="none" w:sz="0" w:space="0" w:color="auto"/>
      </w:divBdr>
    </w:div>
    <w:div w:id="1015766113">
      <w:bodyDiv w:val="1"/>
      <w:marLeft w:val="0"/>
      <w:marRight w:val="0"/>
      <w:marTop w:val="0"/>
      <w:marBottom w:val="0"/>
      <w:divBdr>
        <w:top w:val="none" w:sz="0" w:space="0" w:color="auto"/>
        <w:left w:val="none" w:sz="0" w:space="0" w:color="auto"/>
        <w:bottom w:val="none" w:sz="0" w:space="0" w:color="auto"/>
        <w:right w:val="none" w:sz="0" w:space="0" w:color="auto"/>
      </w:divBdr>
    </w:div>
    <w:div w:id="1289511469">
      <w:bodyDiv w:val="1"/>
      <w:marLeft w:val="0"/>
      <w:marRight w:val="0"/>
      <w:marTop w:val="0"/>
      <w:marBottom w:val="0"/>
      <w:divBdr>
        <w:top w:val="none" w:sz="0" w:space="0" w:color="auto"/>
        <w:left w:val="none" w:sz="0" w:space="0" w:color="auto"/>
        <w:bottom w:val="none" w:sz="0" w:space="0" w:color="auto"/>
        <w:right w:val="none" w:sz="0" w:space="0" w:color="auto"/>
      </w:divBdr>
    </w:div>
    <w:div w:id="1674720165">
      <w:marLeft w:val="0"/>
      <w:marRight w:val="0"/>
      <w:marTop w:val="0"/>
      <w:marBottom w:val="0"/>
      <w:divBdr>
        <w:top w:val="none" w:sz="0" w:space="0" w:color="auto"/>
        <w:left w:val="none" w:sz="0" w:space="0" w:color="auto"/>
        <w:bottom w:val="none" w:sz="0" w:space="0" w:color="auto"/>
        <w:right w:val="none" w:sz="0" w:space="0" w:color="auto"/>
      </w:divBdr>
    </w:div>
    <w:div w:id="1798180644">
      <w:bodyDiv w:val="1"/>
      <w:marLeft w:val="0"/>
      <w:marRight w:val="0"/>
      <w:marTop w:val="0"/>
      <w:marBottom w:val="0"/>
      <w:divBdr>
        <w:top w:val="none" w:sz="0" w:space="0" w:color="auto"/>
        <w:left w:val="none" w:sz="0" w:space="0" w:color="auto"/>
        <w:bottom w:val="none" w:sz="0" w:space="0" w:color="auto"/>
        <w:right w:val="none" w:sz="0" w:space="0" w:color="auto"/>
      </w:divBdr>
    </w:div>
    <w:div w:id="1922762197">
      <w:bodyDiv w:val="1"/>
      <w:marLeft w:val="0"/>
      <w:marRight w:val="0"/>
      <w:marTop w:val="0"/>
      <w:marBottom w:val="0"/>
      <w:divBdr>
        <w:top w:val="none" w:sz="0" w:space="0" w:color="auto"/>
        <w:left w:val="none" w:sz="0" w:space="0" w:color="auto"/>
        <w:bottom w:val="none" w:sz="0" w:space="0" w:color="auto"/>
        <w:right w:val="none" w:sz="0" w:space="0" w:color="auto"/>
      </w:divBdr>
    </w:div>
    <w:div w:id="1946812913">
      <w:bodyDiv w:val="1"/>
      <w:marLeft w:val="0"/>
      <w:marRight w:val="0"/>
      <w:marTop w:val="0"/>
      <w:marBottom w:val="0"/>
      <w:divBdr>
        <w:top w:val="none" w:sz="0" w:space="0" w:color="auto"/>
        <w:left w:val="none" w:sz="0" w:space="0" w:color="auto"/>
        <w:bottom w:val="none" w:sz="0" w:space="0" w:color="auto"/>
        <w:right w:val="none" w:sz="0" w:space="0" w:color="auto"/>
      </w:divBdr>
    </w:div>
    <w:div w:id="208078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c/ea34/8414/8c5e6797d291af15f33d6e40/cop-16-inf-03-rev1-en.pdf" TargetMode="External"/><Relationship Id="rId299" Type="http://schemas.openxmlformats.org/officeDocument/2006/relationships/hyperlink" Target="https://unesdoc.unesco.org/ark:/48223/pf0000395354" TargetMode="External"/><Relationship Id="rId21" Type="http://schemas.openxmlformats.org/officeDocument/2006/relationships/hyperlink" Target="https://www.cbd.int/doc/c/2bca/cda4/adde2746861f8ded6864c4d2/sbstta-28-inf-11-en.pdf" TargetMode="External"/><Relationship Id="rId63" Type="http://schemas.openxmlformats.org/officeDocument/2006/relationships/hyperlink" Target="http://www.globalmangrovewatch.org/" TargetMode="External"/><Relationship Id="rId159" Type="http://schemas.openxmlformats.org/officeDocument/2006/relationships/hyperlink" Target="https://www.cbd.int/doc/c/ea34/8414/8c5e6797d291af15f33d6e40/cop-16-inf-03-rev1-en.pdf" TargetMode="External"/><Relationship Id="rId324" Type="http://schemas.openxmlformats.org/officeDocument/2006/relationships/hyperlink" Target="https://doi.org/10.4060/cd0709es" TargetMode="External"/><Relationship Id="rId366" Type="http://schemas.openxmlformats.org/officeDocument/2006/relationships/hyperlink" Target="https://doi.org/10.1787/20865f29-en" TargetMode="External"/><Relationship Id="rId170" Type="http://schemas.openxmlformats.org/officeDocument/2006/relationships/hyperlink" Target="https://www.diesco.com/compromisos/medio-ambiente/" TargetMode="External"/><Relationship Id="rId226" Type="http://schemas.openxmlformats.org/officeDocument/2006/relationships/image" Target="media/image104.png"/><Relationship Id="rId268" Type="http://schemas.openxmlformats.org/officeDocument/2006/relationships/hyperlink" Target="https://www.cbd.int/doc/meetings/cop/cop-12/official/cop-12-29-es.pdf" TargetMode="External"/><Relationship Id="rId32" Type="http://schemas.openxmlformats.org/officeDocument/2006/relationships/hyperlink" Target="https://www.cbd.int/doc/c/ea34/8414/8c5e6797d291af15f33d6e40/cop-16-inf-03-rev1-en.pdf" TargetMode="External"/><Relationship Id="rId74" Type="http://schemas.openxmlformats.org/officeDocument/2006/relationships/image" Target="media/image23.png"/><Relationship Id="rId128" Type="http://schemas.openxmlformats.org/officeDocument/2006/relationships/image" Target="media/image52.png"/><Relationship Id="rId335" Type="http://schemas.openxmlformats.org/officeDocument/2006/relationships/hyperlink" Target="https://www.prc.cm/en/news/the-acts/laws/7719-law-no-2025-006-of-25-april-2025-governing-biosecurity-in-cameroon" TargetMode="External"/><Relationship Id="rId377" Type="http://schemas.openxmlformats.org/officeDocument/2006/relationships/hyperlink" Target="https://wedocs.unep.org/handle/20.500.11822/36703" TargetMode="External"/><Relationship Id="rId5" Type="http://schemas.openxmlformats.org/officeDocument/2006/relationships/numbering" Target="numbering.xml"/><Relationship Id="rId181" Type="http://schemas.openxmlformats.org/officeDocument/2006/relationships/image" Target="media/image79.png"/><Relationship Id="rId237" Type="http://schemas.openxmlformats.org/officeDocument/2006/relationships/hyperlink" Target="https://www.cbd.int/doc/c/e965/07b1/1f9cdfb3fe94d857291a9ff2/sbstta-28-inf-09-en.pdf" TargetMode="External"/><Relationship Id="rId402" Type="http://schemas.openxmlformats.org/officeDocument/2006/relationships/hyperlink" Target="https://www.cbd.int/notifications/2025-099" TargetMode="External"/><Relationship Id="rId279" Type="http://schemas.openxmlformats.org/officeDocument/2006/relationships/hyperlink" Target="https://unece.org/sites/default/files/2021-05/1979%20CLRTAP.e.pdf" TargetMode="External"/><Relationship Id="rId43" Type="http://schemas.openxmlformats.org/officeDocument/2006/relationships/hyperlink" Target="https://www.cbd.int/doc/c/85eb/18f4/797b0b3e3accf4f07746e773/cop-16-inf-04-en.pdf" TargetMode="External"/><Relationship Id="rId139" Type="http://schemas.openxmlformats.org/officeDocument/2006/relationships/image" Target="media/image58.png"/><Relationship Id="rId290" Type="http://schemas.openxmlformats.org/officeDocument/2006/relationships/hyperlink" Target="https://www.cbd.int/notifications/2025-099" TargetMode="External"/><Relationship Id="rId304" Type="http://schemas.openxmlformats.org/officeDocument/2006/relationships/hyperlink" Target="https://www.cbd.int/notifications/2025-099" TargetMode="External"/><Relationship Id="rId346" Type="http://schemas.openxmlformats.org/officeDocument/2006/relationships/hyperlink" Target="https://doi.org/10.5281/zenodo.11382215" TargetMode="External"/><Relationship Id="rId388" Type="http://schemas.openxmlformats.org/officeDocument/2006/relationships/hyperlink" Target="https://www.unep.org/gef/index.php/projects/implementation-and-institutionalization-national-monitoring-and-management-frameworks" TargetMode="External"/><Relationship Id="rId85" Type="http://schemas.openxmlformats.org/officeDocument/2006/relationships/image" Target="media/image30.png"/><Relationship Id="rId150" Type="http://schemas.openxmlformats.org/officeDocument/2006/relationships/image" Target="media/image64.png"/><Relationship Id="rId192" Type="http://schemas.openxmlformats.org/officeDocument/2006/relationships/image" Target="media/image86.png"/><Relationship Id="rId206" Type="http://schemas.openxmlformats.org/officeDocument/2006/relationships/image" Target="media/image93.png"/><Relationship Id="rId413" Type="http://schemas.openxmlformats.org/officeDocument/2006/relationships/hyperlink" Target="https://doi.org/10.1038/sdata.2016.18" TargetMode="External"/><Relationship Id="rId248" Type="http://schemas.openxmlformats.org/officeDocument/2006/relationships/hyperlink" Target="https://doi.org/10.1038/s41559-024-02566-7" TargetMode="External"/><Relationship Id="rId12" Type="http://schemas.openxmlformats.org/officeDocument/2006/relationships/image" Target="media/image2.png"/><Relationship Id="rId108" Type="http://schemas.openxmlformats.org/officeDocument/2006/relationships/hyperlink" Target="https://www.cbd.int/doc/c/ddd1/d3ca/1703a90a7d1c00ef8796ee79/sbi-07-inf-22-en.pdf" TargetMode="External"/><Relationship Id="rId315" Type="http://schemas.openxmlformats.org/officeDocument/2006/relationships/hyperlink" Target="https://doi.org/10.2779/652219" TargetMode="External"/><Relationship Id="rId357" Type="http://schemas.openxmlformats.org/officeDocument/2006/relationships/hyperlink" Target="https://doi.org/10.5061/DRYAD.BK3J9KDKM" TargetMode="External"/><Relationship Id="rId54" Type="http://schemas.openxmlformats.org/officeDocument/2006/relationships/hyperlink" Target="https://www.cbd.int/doc/c/ea34/8414/8c5e6797d291af15f33d6e40/cop-16-inf-03-rev1-en.pdf" TargetMode="External"/><Relationship Id="rId96" Type="http://schemas.openxmlformats.org/officeDocument/2006/relationships/hyperlink" Target="https://www.cbd.int/doc/c/ddd1/d3ca/1703a90a7d1c00ef8796ee79/sbi-07-inf-22-en.pdf" TargetMode="External"/><Relationship Id="rId161" Type="http://schemas.openxmlformats.org/officeDocument/2006/relationships/image" Target="media/image70.png"/><Relationship Id="rId217" Type="http://schemas.openxmlformats.org/officeDocument/2006/relationships/hyperlink" Target="https://ort.cbd.int/database/287720" TargetMode="External"/><Relationship Id="rId399" Type="http://schemas.openxmlformats.org/officeDocument/2006/relationships/hyperlink" Target="https://portals.iucn.org/library/node/46319" TargetMode="External"/><Relationship Id="rId259" Type="http://schemas.openxmlformats.org/officeDocument/2006/relationships/hyperlink" Target="https://www.cbd.int/notifications/2025-099" TargetMode="External"/><Relationship Id="rId23" Type="http://schemas.openxmlformats.org/officeDocument/2006/relationships/hyperlink" Target="https://www.cbd.int/doc/c/9b68/9425/93f17281d4d5538a1d06cf06/sbi-07-inf-13-en.pdf" TargetMode="External"/><Relationship Id="rId119" Type="http://schemas.openxmlformats.org/officeDocument/2006/relationships/image" Target="media/image44.png"/><Relationship Id="rId270" Type="http://schemas.openxmlformats.org/officeDocument/2006/relationships/hyperlink" Target="https://www.cbd.int/doc/c/7a6d/7ffd/3a300a2bde77d33fe3d80c6a/cop-14-14-es.pdf" TargetMode="External"/><Relationship Id="rId326" Type="http://schemas.openxmlformats.org/officeDocument/2006/relationships/hyperlink" Target="https://doi.org/10.4060/cd6709es" TargetMode="External"/><Relationship Id="rId65" Type="http://schemas.openxmlformats.org/officeDocument/2006/relationships/hyperlink" Target="https://www.cbd.int/doc/c/ddd1/d3ca/1703a90a7d1c00ef8796ee79/sbi-07-inf-22-en.pdf" TargetMode="External"/><Relationship Id="rId130" Type="http://schemas.openxmlformats.org/officeDocument/2006/relationships/hyperlink" Target="https://www.cbd.int/doc/c/85eb/18f4/797b0b3e3accf4f07746e773/cop-16-inf-04-en.pdf" TargetMode="External"/><Relationship Id="rId368" Type="http://schemas.openxmlformats.org/officeDocument/2006/relationships/hyperlink" Target="https://www.cbd.int/notifications/2025-099" TargetMode="External"/><Relationship Id="rId172" Type="http://schemas.openxmlformats.org/officeDocument/2006/relationships/hyperlink" Target="https://www.cbd.int/doc/c/ddd1/d3ca/1703a90a7d1c00ef8796ee79/sbi-07-inf-22-en.pdf" TargetMode="External"/><Relationship Id="rId228" Type="http://schemas.openxmlformats.org/officeDocument/2006/relationships/image" Target="media/image106.png"/><Relationship Id="rId281" Type="http://schemas.openxmlformats.org/officeDocument/2006/relationships/hyperlink" Target="https://www.cbd.int/notifications/2025-099" TargetMode="External"/><Relationship Id="rId337" Type="http://schemas.openxmlformats.org/officeDocument/2006/relationships/hyperlink" Target="https://www.cbd.int/notifications/2025-099" TargetMode="External"/><Relationship Id="rId34" Type="http://schemas.openxmlformats.org/officeDocument/2006/relationships/image" Target="media/image8.png"/><Relationship Id="rId76" Type="http://schemas.openxmlformats.org/officeDocument/2006/relationships/image" Target="media/image25.png"/><Relationship Id="rId141" Type="http://schemas.openxmlformats.org/officeDocument/2006/relationships/image" Target="media/image59.png"/><Relationship Id="rId379" Type="http://schemas.openxmlformats.org/officeDocument/2006/relationships/hyperlink" Target="https://wedocs.unep.org/items/0acdac69-9e34-47da-8f2c-fbf77b78895a" TargetMode="External"/><Relationship Id="rId7" Type="http://schemas.openxmlformats.org/officeDocument/2006/relationships/settings" Target="settings.xml"/><Relationship Id="rId183" Type="http://schemas.openxmlformats.org/officeDocument/2006/relationships/hyperlink" Target="http://www.mase.gov.it/portale/catalogo-dei-sussidi-ambientalmente-dannosi-e-dei-sussidi-ambientalmente-favorevoli" TargetMode="External"/><Relationship Id="rId239" Type="http://schemas.openxmlformats.org/officeDocument/2006/relationships/hyperlink" Target="https://www.cbd.int/doc/c/6ce5/8282/1614be4aeabfe830aceaa8d6/sbstta-26-inf-09-rev1-en.pdf" TargetMode="External"/><Relationship Id="rId390" Type="http://schemas.openxmlformats.org/officeDocument/2006/relationships/hyperlink" Target="https://assets.ippc.int/static/media/files/publication/es/2024/07/R-06_Es_2024_Sea_Containers_Post-CPM-18_2024-07-27_Combined.pdf" TargetMode="External"/><Relationship Id="rId404" Type="http://schemas.openxmlformats.org/officeDocument/2006/relationships/hyperlink" Target="https://www.undrr.org/publication/global-platform-2025-co-chairs-summary-geneva-call-disaster-risk-reduction" TargetMode="External"/><Relationship Id="rId250" Type="http://schemas.openxmlformats.org/officeDocument/2006/relationships/hyperlink" Target="https://docs.un.org/es/a/res/78/155" TargetMode="External"/><Relationship Id="rId292" Type="http://schemas.openxmlformats.org/officeDocument/2006/relationships/hyperlink" Target="https://unfccc.int/sites/default/files/resource/cma2023_16a01S.pdf" TargetMode="External"/><Relationship Id="rId306" Type="http://schemas.openxmlformats.org/officeDocument/2006/relationships/hyperlink" Target="https://www.ramsar.org/sites/default/files/2025-05/COP15_inf_3_full_restoration_assessment_report_e.pdf" TargetMode="External"/><Relationship Id="rId45" Type="http://schemas.openxmlformats.org/officeDocument/2006/relationships/hyperlink" Target="https://www.cbd.int/doc/c/e965/07b1/1f9cdfb3fe94d857291a9ff2/sbstta-28-inf-09-en.pdf" TargetMode="External"/><Relationship Id="rId87" Type="http://schemas.openxmlformats.org/officeDocument/2006/relationships/hyperlink" Target="https://www.cbd.int/doc/c/85eb/18f4/797b0b3e3accf4f07746e773/cop-16-inf-04-en.pdf" TargetMode="External"/><Relationship Id="rId110" Type="http://schemas.openxmlformats.org/officeDocument/2006/relationships/hyperlink" Target="https://www.cbd.int/doc/c/ea34/8414/8c5e6797d291af15f33d6e40/cop-16-inf-03-rev1-en.pdf" TargetMode="External"/><Relationship Id="rId348" Type="http://schemas.openxmlformats.org/officeDocument/2006/relationships/hyperlink" Target="https://www.ipbes.net/resource-file/105949" TargetMode="External"/><Relationship Id="rId152" Type="http://schemas.openxmlformats.org/officeDocument/2006/relationships/image" Target="media/image65.png"/><Relationship Id="rId194" Type="http://schemas.openxmlformats.org/officeDocument/2006/relationships/image" Target="media/image87.png"/><Relationship Id="rId208" Type="http://schemas.openxmlformats.org/officeDocument/2006/relationships/image" Target="media/image94.png"/><Relationship Id="rId415" Type="http://schemas.openxmlformats.org/officeDocument/2006/relationships/header" Target="header3.xml"/><Relationship Id="rId261" Type="http://schemas.openxmlformats.org/officeDocument/2006/relationships/hyperlink" Target="https://www.cbd.int/gbo" TargetMode="External"/><Relationship Id="rId14" Type="http://schemas.openxmlformats.org/officeDocument/2006/relationships/hyperlink" Target="https://www.cbd.int/decisions/cop/?m=cop-16" TargetMode="External"/><Relationship Id="rId56" Type="http://schemas.openxmlformats.org/officeDocument/2006/relationships/hyperlink" Target="https://www.cbd.int/doc/c/85eb/18f4/797b0b3e3accf4f07746e773/cop-16-inf-04-en.pdf" TargetMode="External"/><Relationship Id="rId317" Type="http://schemas.openxmlformats.org/officeDocument/2006/relationships/hyperlink" Target="https://doi.org/10.2779/521877" TargetMode="External"/><Relationship Id="rId359" Type="http://schemas.openxmlformats.org/officeDocument/2006/relationships/hyperlink" Target="https://www.hacienda.cl/english/work-areas/international-finance/public-debt-office/esg-bonds/sustainability-linked-bonds" TargetMode="External"/><Relationship Id="rId98" Type="http://schemas.openxmlformats.org/officeDocument/2006/relationships/image" Target="media/image37.png"/><Relationship Id="rId121" Type="http://schemas.openxmlformats.org/officeDocument/2006/relationships/image" Target="media/image45.png"/><Relationship Id="rId163" Type="http://schemas.openxmlformats.org/officeDocument/2006/relationships/hyperlink" Target="https://www.cbd.int/doc/c/85eb/18f4/797b0b3e3accf4f07746e773/cop-16-inf-04-en.pdf" TargetMode="External"/><Relationship Id="rId219" Type="http://schemas.openxmlformats.org/officeDocument/2006/relationships/hyperlink" Target="https://ort.cbd.int/database/287719" TargetMode="External"/><Relationship Id="rId370" Type="http://schemas.openxmlformats.org/officeDocument/2006/relationships/hyperlink" Target="https://wwwcdn.imo.org/localresources/en/OurWork/Environment/Documents/Biofouling%20pages/BWM.2-Circ.13-Rev.5.pdf" TargetMode="External"/><Relationship Id="rId230" Type="http://schemas.openxmlformats.org/officeDocument/2006/relationships/image" Target="media/image107.png"/><Relationship Id="rId25" Type="http://schemas.openxmlformats.org/officeDocument/2006/relationships/hyperlink" Target="https://ort.cbd.int/" TargetMode="External"/><Relationship Id="rId67" Type="http://schemas.openxmlformats.org/officeDocument/2006/relationships/image" Target="media/image19.png"/><Relationship Id="rId272" Type="http://schemas.openxmlformats.org/officeDocument/2006/relationships/hyperlink" Target="https://www.cbd.int/doc/c/0a39/b06a/29773739bb67640a77ffe835/cop-15-17-es.pdf" TargetMode="External"/><Relationship Id="rId328" Type="http://schemas.openxmlformats.org/officeDocument/2006/relationships/hyperlink" Target="https://doi.org/10.4060/cd8357es" TargetMode="External"/><Relationship Id="rId132" Type="http://schemas.openxmlformats.org/officeDocument/2006/relationships/image" Target="media/image53.png"/><Relationship Id="rId174" Type="http://schemas.openxmlformats.org/officeDocument/2006/relationships/hyperlink" Target="https://www.cbd.int/doc/c/ea34/8414/8c5e6797d291af15f33d6e40/cop-16-inf-03-rev1-en.pdf" TargetMode="External"/><Relationship Id="rId381" Type="http://schemas.openxmlformats.org/officeDocument/2006/relationships/hyperlink" Target="https://wedocs.unep.org/items/51420dde-87c9-41af-b192-2c1a701f1ac3" TargetMode="External"/><Relationship Id="rId241" Type="http://schemas.openxmlformats.org/officeDocument/2006/relationships/hyperlink" Target="https://www.cbd.int/doc/c/e965/07b1/1f9cdfb3fe94d857291a9ff2/sbstta-28-inf-09-en.pdf" TargetMode="External"/><Relationship Id="rId36" Type="http://schemas.openxmlformats.org/officeDocument/2006/relationships/hyperlink" Target="https://www.cbd.int/doc/c/4fc4/fb7a/aee60317b2bf743207635649/sbi-06-inf-05-en.pdf" TargetMode="External"/><Relationship Id="rId283" Type="http://schemas.openxmlformats.org/officeDocument/2006/relationships/hyperlink" Target="https://cites.org/eng/res/index.php" TargetMode="External"/><Relationship Id="rId339" Type="http://schemas.openxmlformats.org/officeDocument/2006/relationships/hyperlink" Target="https://www.pbl.nl/en/publications/from-global-ambition-to-national-commitments-national-target-setting-under-the-global-biodiversity-framework" TargetMode="External"/><Relationship Id="rId78" Type="http://schemas.openxmlformats.org/officeDocument/2006/relationships/image" Target="media/image27.png"/><Relationship Id="rId101" Type="http://schemas.openxmlformats.org/officeDocument/2006/relationships/hyperlink" Target="https://ort.cbd.int/database/287714" TargetMode="External"/><Relationship Id="rId143" Type="http://schemas.openxmlformats.org/officeDocument/2006/relationships/hyperlink" Target="https://www.cbd.int/doc/c/85eb/18f4/797b0b3e3accf4f07746e773/cop-16-inf-04-en.pdf" TargetMode="External"/><Relationship Id="rId185" Type="http://schemas.openxmlformats.org/officeDocument/2006/relationships/hyperlink" Target="https://www.cbd.int/doc/c/ddd1/d3ca/1703a90a7d1c00ef8796ee79/sbi-07-inf-22-en.pdf" TargetMode="External"/><Relationship Id="rId350" Type="http://schemas.openxmlformats.org/officeDocument/2006/relationships/hyperlink" Target="https://www.cbd.int/notifications/2025-099" TargetMode="External"/><Relationship Id="rId406" Type="http://schemas.openxmlformats.org/officeDocument/2006/relationships/hyperlink" Target="https://whc.unesco.org/en/decisions/8681" TargetMode="External"/><Relationship Id="rId9" Type="http://schemas.openxmlformats.org/officeDocument/2006/relationships/footnotes" Target="footnotes.xml"/><Relationship Id="rId210" Type="http://schemas.openxmlformats.org/officeDocument/2006/relationships/hyperlink" Target="https://ort.cbd.int/database/293963" TargetMode="External"/><Relationship Id="rId392" Type="http://schemas.openxmlformats.org/officeDocument/2006/relationships/hyperlink" Target="https://www.cbd.int/notifications/2025-099" TargetMode="External"/><Relationship Id="rId252" Type="http://schemas.openxmlformats.org/officeDocument/2006/relationships/hyperlink" Target="https://terayoshi-gyosei.com/absreport13/" TargetMode="External"/><Relationship Id="rId294" Type="http://schemas.openxmlformats.org/officeDocument/2006/relationships/hyperlink" Target="https://saiga.cms.int/document/medium-term-international-work-programme-saiga-antelope-2021-2025" TargetMode="External"/><Relationship Id="rId308" Type="http://schemas.openxmlformats.org/officeDocument/2006/relationships/hyperlink" Target="https://www.ramsar.org/sites/default/files/2025-05/cop15_8_1_sg_report_global_implementation_s.pdf" TargetMode="External"/><Relationship Id="rId47" Type="http://schemas.openxmlformats.org/officeDocument/2006/relationships/hyperlink" Target="https://www.cbd.int/doc/c/e965/07b1/1f9cdfb3fe94d857291a9ff2/sbstta-28-inf-09-en.pdf" TargetMode="External"/><Relationship Id="rId89" Type="http://schemas.openxmlformats.org/officeDocument/2006/relationships/image" Target="media/image32.png"/><Relationship Id="rId112" Type="http://schemas.openxmlformats.org/officeDocument/2006/relationships/image" Target="media/image40.png"/><Relationship Id="rId154" Type="http://schemas.openxmlformats.org/officeDocument/2006/relationships/hyperlink" Target="https://www.cbd.int/doc/c/85eb/18f4/797b0b3e3accf4f07746e773/cop-16-inf-04-en.pdf" TargetMode="External"/><Relationship Id="rId361" Type="http://schemas.openxmlformats.org/officeDocument/2006/relationships/hyperlink" Target="https://doi.org/10.32942/X22Q3M" TargetMode="External"/><Relationship Id="rId196" Type="http://schemas.openxmlformats.org/officeDocument/2006/relationships/hyperlink" Target="https://www.cbd.int/doc/c/85eb/18f4/797b0b3e3accf4f07746e773/cop-16-inf-04-en.pdf" TargetMode="External"/><Relationship Id="rId417" Type="http://schemas.openxmlformats.org/officeDocument/2006/relationships/fontTable" Target="fontTable.xml"/><Relationship Id="rId16" Type="http://schemas.openxmlformats.org/officeDocument/2006/relationships/image" Target="media/image4.emf"/><Relationship Id="rId221" Type="http://schemas.openxmlformats.org/officeDocument/2006/relationships/image" Target="media/image99.png"/><Relationship Id="rId263" Type="http://schemas.openxmlformats.org/officeDocument/2006/relationships/hyperlink" Target="https://www.cbd.int/doc/meetings/cop/cop-09/official/cop-09-29-corr1-rev1-en.pdf" TargetMode="External"/><Relationship Id="rId319" Type="http://schemas.openxmlformats.org/officeDocument/2006/relationships/hyperlink" Target="https://www.cbd.int/notifications/2025-099" TargetMode="External"/><Relationship Id="rId58" Type="http://schemas.openxmlformats.org/officeDocument/2006/relationships/image" Target="media/image15.png"/><Relationship Id="rId123" Type="http://schemas.openxmlformats.org/officeDocument/2006/relationships/image" Target="media/image47.png"/><Relationship Id="rId330" Type="http://schemas.openxmlformats.org/officeDocument/2006/relationships/hyperlink" Target="https://www.adaptation-undp.org/sites/default/files/resources/Mongolia%20SLA%20Policy%20Brief%20%281%29.pdf" TargetMode="External"/><Relationship Id="rId165" Type="http://schemas.openxmlformats.org/officeDocument/2006/relationships/image" Target="media/image71.png"/><Relationship Id="rId372" Type="http://schemas.openxmlformats.org/officeDocument/2006/relationships/hyperlink" Target="https://www.cbd.int/notifications/2025-099" TargetMode="External"/><Relationship Id="rId232" Type="http://schemas.openxmlformats.org/officeDocument/2006/relationships/image" Target="media/image109.png"/><Relationship Id="rId274" Type="http://schemas.openxmlformats.org/officeDocument/2006/relationships/hyperlink" Target="https://www.cbd.int/doc/recommendations/sb8j-01/sb8j-01-rec-05-es.pdf" TargetMode="External"/><Relationship Id="rId27" Type="http://schemas.openxmlformats.org/officeDocument/2006/relationships/hyperlink" Target="https://www.cbd.int/notifications/2025-100" TargetMode="External"/><Relationship Id="rId69" Type="http://schemas.openxmlformats.org/officeDocument/2006/relationships/image" Target="media/image21.png"/><Relationship Id="rId134" Type="http://schemas.openxmlformats.org/officeDocument/2006/relationships/image" Target="media/image55.png"/><Relationship Id="rId80" Type="http://schemas.openxmlformats.org/officeDocument/2006/relationships/hyperlink" Target="https://www.cbd.int/doc/c/85eb/18f4/797b0b3e3accf4f07746e773/cop-16-inf-04-en.pdf" TargetMode="External"/><Relationship Id="rId176" Type="http://schemas.openxmlformats.org/officeDocument/2006/relationships/image" Target="media/image76.png"/><Relationship Id="rId341" Type="http://schemas.openxmlformats.org/officeDocument/2006/relationships/hyperlink" Target="https://doi.org/10.5281/ZENODO.6417333" TargetMode="External"/><Relationship Id="rId383" Type="http://schemas.openxmlformats.org/officeDocument/2006/relationships/hyperlink" Target="https://wedocs.unep.org/rest/api/core/bitstreams/da768e39-2249-4b08-92ff-89bddf4c7b60/content" TargetMode="External"/><Relationship Id="rId201" Type="http://schemas.openxmlformats.org/officeDocument/2006/relationships/hyperlink" Target="http://www.gob.mx/conabio" TargetMode="External"/><Relationship Id="rId222" Type="http://schemas.openxmlformats.org/officeDocument/2006/relationships/image" Target="media/image100.png"/><Relationship Id="rId243" Type="http://schemas.openxmlformats.org/officeDocument/2006/relationships/image" Target="media/image113.png"/><Relationship Id="rId264" Type="http://schemas.openxmlformats.org/officeDocument/2006/relationships/hyperlink" Target="https://www.cbd.int/gbo" TargetMode="External"/><Relationship Id="rId285" Type="http://schemas.openxmlformats.org/officeDocument/2006/relationships/hyperlink" Target="https://cites.org/sites/default/files/notifications/S-Notif-2026-005_0.pdf" TargetMode="External"/><Relationship Id="rId17" Type="http://schemas.openxmlformats.org/officeDocument/2006/relationships/hyperlink" Target="https://www.cbd.int/doc/c/e965/07b1/1f9cdfb3fe94d857291a9ff2/sbstta-28-inf-09-en.pdf" TargetMode="External"/><Relationship Id="rId38" Type="http://schemas.openxmlformats.org/officeDocument/2006/relationships/image" Target="media/image9.png"/><Relationship Id="rId59" Type="http://schemas.openxmlformats.org/officeDocument/2006/relationships/image" Target="media/image16.png"/><Relationship Id="rId103" Type="http://schemas.openxmlformats.org/officeDocument/2006/relationships/hyperlink" Target="https://ort.cbd.int/database/287710" TargetMode="External"/><Relationship Id="rId124" Type="http://schemas.openxmlformats.org/officeDocument/2006/relationships/image" Target="media/image48.png"/><Relationship Id="rId310" Type="http://schemas.openxmlformats.org/officeDocument/2006/relationships/hyperlink" Target="https://minamataconvention.org/es/resources/mercury-and-biodiversity" TargetMode="External"/><Relationship Id="rId70" Type="http://schemas.openxmlformats.org/officeDocument/2006/relationships/image" Target="media/image22.png"/><Relationship Id="rId91" Type="http://schemas.openxmlformats.org/officeDocument/2006/relationships/hyperlink" Target="https://www.cbd.int/doc/c/ea34/8414/8c5e6797d291af15f33d6e40/cop-16-inf-03-rev1-en.pdf" TargetMode="External"/><Relationship Id="rId145" Type="http://schemas.openxmlformats.org/officeDocument/2006/relationships/image" Target="media/image61.png"/><Relationship Id="rId166" Type="http://schemas.openxmlformats.org/officeDocument/2006/relationships/hyperlink" Target="https://www.cbd.int/doc/c/ea34/8414/8c5e6797d291af15f33d6e40/cop-16-inf-03-rev1-en.pdf" TargetMode="External"/><Relationship Id="rId187" Type="http://schemas.openxmlformats.org/officeDocument/2006/relationships/image" Target="media/image82.png"/><Relationship Id="rId331" Type="http://schemas.openxmlformats.org/officeDocument/2006/relationships/hyperlink" Target="https://localbiodiversityoutlooks.net/publications/" TargetMode="External"/><Relationship Id="rId352" Type="http://schemas.openxmlformats.org/officeDocument/2006/relationships/hyperlink" Target="https://doi.org/10.1111/csp2.70321" TargetMode="External"/><Relationship Id="rId373" Type="http://schemas.openxmlformats.org/officeDocument/2006/relationships/hyperlink" Target="https://www.wipo.int/edocs/mdocs/tk/es/gratk_dc/gratk_dc_7.pdf" TargetMode="External"/><Relationship Id="rId394" Type="http://schemas.openxmlformats.org/officeDocument/2006/relationships/hyperlink" Target="https://wdpa.s3.eu-west-1.amazonaws.com/PAME/METT/METT_4_Handbook.pdf" TargetMode="External"/><Relationship Id="rId408" Type="http://schemas.openxmlformats.org/officeDocument/2006/relationships/hyperlink" Target="https://www.unesco.org/es/mab" TargetMode="External"/><Relationship Id="rId1" Type="http://schemas.openxmlformats.org/officeDocument/2006/relationships/customXml" Target="../customXml/item1.xml"/><Relationship Id="rId212" Type="http://schemas.openxmlformats.org/officeDocument/2006/relationships/hyperlink" Target="https://www.cbd.int/doc/c/ddd1/d3ca/1703a90a7d1c00ef8796ee79/sbi-07-inf-22-en.pdf" TargetMode="External"/><Relationship Id="rId233" Type="http://schemas.openxmlformats.org/officeDocument/2006/relationships/image" Target="media/image110.png"/><Relationship Id="rId254" Type="http://schemas.openxmlformats.org/officeDocument/2006/relationships/hyperlink" Target="https://www.cbd.int/notifications/2025-100" TargetMode="External"/><Relationship Id="rId28" Type="http://schemas.openxmlformats.org/officeDocument/2006/relationships/hyperlink" Target="https://www.cbd.int/doc/c/e965/07b1/1f9cdfb3fe94d857291a9ff2/sbstta-28-inf-09-en.pdf" TargetMode="External"/><Relationship Id="rId49" Type="http://schemas.openxmlformats.org/officeDocument/2006/relationships/hyperlink" Target="https://www.cbd.int/doc/c/85eb/18f4/797b0b3e3accf4f07746e773/cop-16-inf-04-en.pdf" TargetMode="External"/><Relationship Id="rId114" Type="http://schemas.openxmlformats.org/officeDocument/2006/relationships/hyperlink" Target="https://www.cbd.int/doc/c/ddd1/d3ca/1703a90a7d1c00ef8796ee79/sbi-07-inf-22-en.pdf" TargetMode="External"/><Relationship Id="rId275" Type="http://schemas.openxmlformats.org/officeDocument/2006/relationships/hyperlink" Target="https://www.cbd.int/doc/publications/cbd-bbnj-booklet-en.pdf" TargetMode="External"/><Relationship Id="rId296" Type="http://schemas.openxmlformats.org/officeDocument/2006/relationships/hyperlink" Target="https://www.cbd.int/notifications/2025-099" TargetMode="External"/><Relationship Id="rId300" Type="http://schemas.openxmlformats.org/officeDocument/2006/relationships/hyperlink" Target="https://www.cepal.org/es/publicaciones/43595-acuerdo-regional-acceso-la-informacion-la-participacion-publica-acceso-la" TargetMode="External"/><Relationship Id="rId60" Type="http://schemas.openxmlformats.org/officeDocument/2006/relationships/image" Target="media/image17.png"/><Relationship Id="rId81" Type="http://schemas.openxmlformats.org/officeDocument/2006/relationships/hyperlink" Target="https://www.cbd.int/doc/c/ddd1/d3ca/1703a90a7d1c00ef8796ee79/sbi-07-inf-22-en.pdf" TargetMode="External"/><Relationship Id="rId135" Type="http://schemas.openxmlformats.org/officeDocument/2006/relationships/image" Target="media/image56.png"/><Relationship Id="rId156" Type="http://schemas.openxmlformats.org/officeDocument/2006/relationships/image" Target="media/image67.png"/><Relationship Id="rId177" Type="http://schemas.openxmlformats.org/officeDocument/2006/relationships/hyperlink" Target="https://www.cbd.int/doc/c/85eb/18f4/797b0b3e3accf4f07746e773/cop-16-inf-04-en.pdf" TargetMode="External"/><Relationship Id="rId198" Type="http://schemas.openxmlformats.org/officeDocument/2006/relationships/image" Target="media/image89.png"/><Relationship Id="rId321" Type="http://schemas.openxmlformats.org/officeDocument/2006/relationships/hyperlink" Target="https://doi.org/10.4060/ca7722es" TargetMode="External"/><Relationship Id="rId342" Type="http://schemas.openxmlformats.org/officeDocument/2006/relationships/hyperlink" Target="https://doi.org/10.5281/zenodo.6522522" TargetMode="External"/><Relationship Id="rId363" Type="http://schemas.openxmlformats.org/officeDocument/2006/relationships/hyperlink" Target="https://doi.org/10.1038/s41559-021-01538-5" TargetMode="External"/><Relationship Id="rId384" Type="http://schemas.openxmlformats.org/officeDocument/2006/relationships/hyperlink" Target="https://www.basel.int/Implementation/HouseholdWastePartnership/OverallGuidanceDocument/tabid/8227/Default.aspx" TargetMode="External"/><Relationship Id="rId419" Type="http://schemas.openxmlformats.org/officeDocument/2006/relationships/theme" Target="theme/theme1.xml"/><Relationship Id="rId202" Type="http://schemas.openxmlformats.org/officeDocument/2006/relationships/hyperlink" Target="https://catalogo.inpi.gob.mx/" TargetMode="External"/><Relationship Id="rId223" Type="http://schemas.openxmlformats.org/officeDocument/2006/relationships/image" Target="media/image101.png"/><Relationship Id="rId244" Type="http://schemas.openxmlformats.org/officeDocument/2006/relationships/header" Target="header1.xml"/><Relationship Id="rId18" Type="http://schemas.openxmlformats.org/officeDocument/2006/relationships/image" Target="media/image5.png"/><Relationship Id="rId39" Type="http://schemas.openxmlformats.org/officeDocument/2006/relationships/image" Target="media/image10.png"/><Relationship Id="rId265" Type="http://schemas.openxmlformats.org/officeDocument/2006/relationships/hyperlink" Target="https://www.cbd.int/doc/meetings/cop/cop-10/official/cop-10-27-corr1-en.pdf" TargetMode="External"/><Relationship Id="rId286" Type="http://schemas.openxmlformats.org/officeDocument/2006/relationships/hyperlink" Target="https://www.unccd.int/sites/default/files/sessions/documents/ICCD_COP12_20_Add.1/20add1spa.pdf" TargetMode="External"/><Relationship Id="rId50" Type="http://schemas.openxmlformats.org/officeDocument/2006/relationships/hyperlink" Target="https://www.cbd.int/doc/c/ddd1/d3ca/1703a90a7d1c00ef8796ee79/sbi-07-inf-22-en.pdf" TargetMode="External"/><Relationship Id="rId104" Type="http://schemas.openxmlformats.org/officeDocument/2006/relationships/hyperlink" Target="https://ort.cbd.int/database/287711" TargetMode="External"/><Relationship Id="rId125" Type="http://schemas.openxmlformats.org/officeDocument/2006/relationships/image" Target="media/image49.png"/><Relationship Id="rId146" Type="http://schemas.openxmlformats.org/officeDocument/2006/relationships/hyperlink" Target="https://www.cbd.int/doc/c/ea34/8414/8c5e6797d291af15f33d6e40/cop-16-inf-03-rev1-en.pdf" TargetMode="External"/><Relationship Id="rId167" Type="http://schemas.openxmlformats.org/officeDocument/2006/relationships/image" Target="media/image72.png"/><Relationship Id="rId188" Type="http://schemas.openxmlformats.org/officeDocument/2006/relationships/image" Target="media/image83.png"/><Relationship Id="rId311" Type="http://schemas.openxmlformats.org/officeDocument/2006/relationships/hyperlink" Target="https://minamataconvention.org/sites/default/files/documents/working_document/UNEP-MC-COP6-20-Roadmap-Biodiversity_Spanish.pdf" TargetMode="External"/><Relationship Id="rId332" Type="http://schemas.openxmlformats.org/officeDocument/2006/relationships/hyperlink" Target="https://localbiodiversityoutlooks.net/publications/" TargetMode="External"/><Relationship Id="rId353" Type="http://schemas.openxmlformats.org/officeDocument/2006/relationships/hyperlink" Target="https://landmarkmap.org/" TargetMode="External"/><Relationship Id="rId374" Type="http://schemas.openxmlformats.org/officeDocument/2006/relationships/hyperlink" Target="https://oceanpanel.org/wp-content/uploads/2024/09/OP_Progress_2024-Final.pdf" TargetMode="External"/><Relationship Id="rId395" Type="http://schemas.openxmlformats.org/officeDocument/2006/relationships/hyperlink" Target="https://openknowledge.fao.org/items/5d12a599-8c1b-40ce-ba11-125954d09657" TargetMode="External"/><Relationship Id="rId409" Type="http://schemas.openxmlformats.org/officeDocument/2006/relationships/hyperlink" Target="https://eur-lex.europa.eu/legal-content/Es/TXT/?uri=CELEX:52023DC0035" TargetMode="External"/><Relationship Id="rId71" Type="http://schemas.openxmlformats.org/officeDocument/2006/relationships/hyperlink" Target="https://ort.cbd.int/database/293966" TargetMode="External"/><Relationship Id="rId92" Type="http://schemas.openxmlformats.org/officeDocument/2006/relationships/image" Target="media/image34.png"/><Relationship Id="rId213" Type="http://schemas.openxmlformats.org/officeDocument/2006/relationships/image" Target="media/image96.png"/><Relationship Id="rId234" Type="http://schemas.openxmlformats.org/officeDocument/2006/relationships/image" Target="media/image111.png"/><Relationship Id="rId2" Type="http://schemas.openxmlformats.org/officeDocument/2006/relationships/customXml" Target="../customXml/item2.xml"/><Relationship Id="rId29" Type="http://schemas.openxmlformats.org/officeDocument/2006/relationships/hyperlink" Target="https://www.cbd.int/doc/c/2bca/cda4/adde2746861f8ded6864c4d2/sbstta-28-inf-11-en.pdf" TargetMode="External"/><Relationship Id="rId255" Type="http://schemas.openxmlformats.org/officeDocument/2006/relationships/hyperlink" Target="https://doi.org/10.1016/j.biocon.2010.02.015" TargetMode="External"/><Relationship Id="rId276" Type="http://schemas.openxmlformats.org/officeDocument/2006/relationships/hyperlink" Target="https://www.cbd.int/doc/c/a461/eac8/b064e3a0654ee41a656bade9/cop-16-13-rev1-es.pdf" TargetMode="External"/><Relationship Id="rId297" Type="http://schemas.openxmlformats.org/officeDocument/2006/relationships/hyperlink" Target="https://doi.org/10.25607/4WBG-D349" TargetMode="External"/><Relationship Id="rId40" Type="http://schemas.openxmlformats.org/officeDocument/2006/relationships/hyperlink" Target="https://www.cbd.int/doc/c/9b68/9425/93f17281d4d5538a1d06cf06/sbi-07-inf-13-en.pdf" TargetMode="External"/><Relationship Id="rId115" Type="http://schemas.openxmlformats.org/officeDocument/2006/relationships/image" Target="media/image41.png"/><Relationship Id="rId136" Type="http://schemas.openxmlformats.org/officeDocument/2006/relationships/hyperlink" Target="https://www.cbd.int/doc/c/85eb/18f4/797b0b3e3accf4f07746e773/cop-16-inf-04-en.pdf" TargetMode="External"/><Relationship Id="rId157" Type="http://schemas.openxmlformats.org/officeDocument/2006/relationships/hyperlink" Target="http://www.cdp.net/en/data/monitoring-gbf" TargetMode="External"/><Relationship Id="rId178" Type="http://schemas.openxmlformats.org/officeDocument/2006/relationships/hyperlink" Target="https://www.cbd.int/doc/c/ddd1/d3ca/1703a90a7d1c00ef8796ee79/sbi-07-inf-22-en.pdf" TargetMode="External"/><Relationship Id="rId301" Type="http://schemas.openxmlformats.org/officeDocument/2006/relationships/hyperlink" Target="https://whc.unesco.org/en/decisions/8082/" TargetMode="External"/><Relationship Id="rId322" Type="http://schemas.openxmlformats.org/officeDocument/2006/relationships/hyperlink" Target="https://doi.org/10.4060/cb8338es" TargetMode="External"/><Relationship Id="rId343" Type="http://schemas.openxmlformats.org/officeDocument/2006/relationships/hyperlink" Target="https://doi.org/10.5281/zenodo.7430682" TargetMode="External"/><Relationship Id="rId364" Type="http://schemas.openxmlformats.org/officeDocument/2006/relationships/hyperlink" Target="https://doi.org/10.1038/s41559-023-02320-5" TargetMode="External"/><Relationship Id="rId61" Type="http://schemas.openxmlformats.org/officeDocument/2006/relationships/hyperlink" Target="https://moor.fnr.de/moore-schuetzen/moorbodenschutz" TargetMode="External"/><Relationship Id="rId82" Type="http://schemas.openxmlformats.org/officeDocument/2006/relationships/image" Target="media/image28.png"/><Relationship Id="rId199" Type="http://schemas.openxmlformats.org/officeDocument/2006/relationships/image" Target="media/image90.png"/><Relationship Id="rId203" Type="http://schemas.openxmlformats.org/officeDocument/2006/relationships/hyperlink" Target="https://www.cbd.int/doc/c/85eb/18f4/797b0b3e3accf4f07746e773/cop-16-inf-04-en.pdf" TargetMode="External"/><Relationship Id="rId385" Type="http://schemas.openxmlformats.org/officeDocument/2006/relationships/hyperlink" Target="https://documents.un.org/doc/undoc/gen/k25/017/95/pdf/k2501795.pdf" TargetMode="External"/><Relationship Id="rId19" Type="http://schemas.openxmlformats.org/officeDocument/2006/relationships/image" Target="media/image6.png"/><Relationship Id="rId224" Type="http://schemas.openxmlformats.org/officeDocument/2006/relationships/image" Target="media/image102.png"/><Relationship Id="rId245" Type="http://schemas.openxmlformats.org/officeDocument/2006/relationships/header" Target="header2.xml"/><Relationship Id="rId266" Type="http://schemas.openxmlformats.org/officeDocument/2006/relationships/hyperlink" Target="https://www.cbd.int/doc/meetings/cop/cop-11/official/cop-11-35-es.pdf" TargetMode="External"/><Relationship Id="rId287" Type="http://schemas.openxmlformats.org/officeDocument/2006/relationships/hyperlink" Target="https://data.unccd.int/land-degradation?grouping=UNCCD&amp;region=aprL8rz" TargetMode="External"/><Relationship Id="rId410" Type="http://schemas.openxmlformats.org/officeDocument/2006/relationships/hyperlink" Target="https://eur-lex.europa.eu/legal-content/Es/TXT/?uri=CELEX%3A32024R1991&amp;qid=1722240349976" TargetMode="External"/><Relationship Id="rId30" Type="http://schemas.openxmlformats.org/officeDocument/2006/relationships/hyperlink" Target="https://www.cbd.int/doc/c/2bca/cda4/adde2746861f8ded6864c4d2/sbstta-28-inf-11-en.pdf" TargetMode="External"/><Relationship Id="rId105" Type="http://schemas.openxmlformats.org/officeDocument/2006/relationships/hyperlink" Target="https://ort.cbd.int/database/287707" TargetMode="External"/><Relationship Id="rId126" Type="http://schemas.openxmlformats.org/officeDocument/2006/relationships/image" Target="media/image50.png"/><Relationship Id="rId147" Type="http://schemas.openxmlformats.org/officeDocument/2006/relationships/image" Target="media/image62.png"/><Relationship Id="rId168" Type="http://schemas.openxmlformats.org/officeDocument/2006/relationships/image" Target="media/image73.png"/><Relationship Id="rId312" Type="http://schemas.openxmlformats.org/officeDocument/2006/relationships/hyperlink" Target="https://www.cbd.int/notifications/2025-099" TargetMode="External"/><Relationship Id="rId333" Type="http://schemas.openxmlformats.org/officeDocument/2006/relationships/hyperlink" Target="https://thedocs.worldbank.org/en/doc/4b347cebf3722a5af3500909c71ea022-0320052025/original/7-CREMA.pdf" TargetMode="External"/><Relationship Id="rId354" Type="http://schemas.openxmlformats.org/officeDocument/2006/relationships/hyperlink" Target="https://www.landmarkmap.org/" TargetMode="External"/><Relationship Id="rId51" Type="http://schemas.openxmlformats.org/officeDocument/2006/relationships/hyperlink" Target="https://www.cbd.int/doc/c/ea34/8414/8c5e6797d291af15f33d6e40/cop-16-inf-03-rev1-en.pdf" TargetMode="External"/><Relationship Id="rId72" Type="http://schemas.openxmlformats.org/officeDocument/2006/relationships/hyperlink" Target="https://www.cbd.int/doc/c/85eb/18f4/797b0b3e3accf4f07746e773/cop-16-inf-04-en.pdf" TargetMode="External"/><Relationship Id="rId93" Type="http://schemas.openxmlformats.org/officeDocument/2006/relationships/image" Target="media/image35.png"/><Relationship Id="rId189" Type="http://schemas.openxmlformats.org/officeDocument/2006/relationships/image" Target="media/image84.png"/><Relationship Id="rId375" Type="http://schemas.openxmlformats.org/officeDocument/2006/relationships/hyperlink" Target="https://www.undp.org/publications/integrated-spatial-planning-workbook" TargetMode="External"/><Relationship Id="rId396" Type="http://schemas.openxmlformats.org/officeDocument/2006/relationships/hyperlink" Target="https://openknowledge.fao.org/server/api/core/bitstreams/e6c4b0e2-fd3c-4f6c-b071-1eb7d1d2f012/content" TargetMode="External"/><Relationship Id="rId3" Type="http://schemas.openxmlformats.org/officeDocument/2006/relationships/customXml" Target="../customXml/item3.xml"/><Relationship Id="rId214" Type="http://schemas.openxmlformats.org/officeDocument/2006/relationships/hyperlink" Target="https://www.cbd.int/doc/c/ea34/8414/8c5e6797d291af15f33d6e40/cop-16-inf-03-rev1-en.pdf" TargetMode="External"/><Relationship Id="rId235" Type="http://schemas.openxmlformats.org/officeDocument/2006/relationships/image" Target="media/image112.png"/><Relationship Id="rId256" Type="http://schemas.openxmlformats.org/officeDocument/2006/relationships/hyperlink" Target="https://www.cbd.int/notifications/2025-099" TargetMode="External"/><Relationship Id="rId277" Type="http://schemas.openxmlformats.org/officeDocument/2006/relationships/hyperlink" Target="https://www.cbd.int/doc/c/9064/7ac2/28ce9b98f96e723a731f3361/cop-16-inf-19-en.pdf" TargetMode="External"/><Relationship Id="rId298" Type="http://schemas.openxmlformats.org/officeDocument/2006/relationships/hyperlink" Target="https://unesdoc.unesco.org/ark:/48223/pf0000385718" TargetMode="External"/><Relationship Id="rId400" Type="http://schemas.openxmlformats.org/officeDocument/2006/relationships/hyperlink" Target="https://iucn.org/red-list-ecosystems-inventory" TargetMode="External"/><Relationship Id="rId116" Type="http://schemas.openxmlformats.org/officeDocument/2006/relationships/image" Target="media/image42.png"/><Relationship Id="rId137" Type="http://schemas.openxmlformats.org/officeDocument/2006/relationships/hyperlink" Target="https://www.cbd.int/doc/c/ddd1/d3ca/1703a90a7d1c00ef8796ee79/sbi-07-inf-22-en.pdf" TargetMode="External"/><Relationship Id="rId158" Type="http://schemas.openxmlformats.org/officeDocument/2006/relationships/image" Target="media/image68.png"/><Relationship Id="rId302" Type="http://schemas.openxmlformats.org/officeDocument/2006/relationships/hyperlink" Target="https://www.ifrs.org/issued-standards/ifrs-sustainability-standards-navigator/" TargetMode="External"/><Relationship Id="rId323" Type="http://schemas.openxmlformats.org/officeDocument/2006/relationships/hyperlink" Target="https://openknowledge.fao.org/server/api/core/bitstreams/ae770cf6-96a0-4305-a70a-db2d0ef20a84/content" TargetMode="External"/><Relationship Id="rId344" Type="http://schemas.openxmlformats.org/officeDocument/2006/relationships/hyperlink" Target="https://www.ipbes.net/resource-file/104979" TargetMode="External"/><Relationship Id="rId20" Type="http://schemas.openxmlformats.org/officeDocument/2006/relationships/image" Target="media/image7.png"/><Relationship Id="rId41" Type="http://schemas.openxmlformats.org/officeDocument/2006/relationships/hyperlink" Target="https://www.cbd.int/doc/c/0ba6/2af2/5681881c85df782c3219f347/sbi-06-inf-06-en.pdf" TargetMode="External"/><Relationship Id="rId62" Type="http://schemas.openxmlformats.org/officeDocument/2006/relationships/hyperlink" Target="https://ort.cbd.int/database/293975" TargetMode="External"/><Relationship Id="rId83" Type="http://schemas.openxmlformats.org/officeDocument/2006/relationships/image" Target="media/image29.png"/><Relationship Id="rId179" Type="http://schemas.openxmlformats.org/officeDocument/2006/relationships/image" Target="media/image77.png"/><Relationship Id="rId365" Type="http://schemas.openxmlformats.org/officeDocument/2006/relationships/hyperlink" Target="https://oecd-main.shinyapps.io/pinedatabase" TargetMode="External"/><Relationship Id="rId386" Type="http://schemas.openxmlformats.org/officeDocument/2006/relationships/hyperlink" Target="https://docs.un.org/en/UNEP/EA.7/INF/6" TargetMode="External"/><Relationship Id="rId190" Type="http://schemas.openxmlformats.org/officeDocument/2006/relationships/image" Target="media/image85.png"/><Relationship Id="rId204" Type="http://schemas.openxmlformats.org/officeDocument/2006/relationships/hyperlink" Target="https://www.cbd.int/doc/c/ddd1/d3ca/1703a90a7d1c00ef8796ee79/sbi-07-inf-22-en.pdf" TargetMode="External"/><Relationship Id="rId225" Type="http://schemas.openxmlformats.org/officeDocument/2006/relationships/image" Target="media/image103.png"/><Relationship Id="rId246" Type="http://schemas.openxmlformats.org/officeDocument/2006/relationships/footer" Target="footer1.xml"/><Relationship Id="rId267" Type="http://schemas.openxmlformats.org/officeDocument/2006/relationships/hyperlink" Target="https://www.cbd.int/gbo" TargetMode="External"/><Relationship Id="rId288" Type="http://schemas.openxmlformats.org/officeDocument/2006/relationships/hyperlink" Target="https://www.unccd.int/sites/default/files/2025-03/2424652S.pdf" TargetMode="External"/><Relationship Id="rId411" Type="http://schemas.openxmlformats.org/officeDocument/2006/relationships/hyperlink" Target="https://eur-lex.europa.eu/legal-content/Es/TXT/?uri=OJ:L_202502188" TargetMode="External"/><Relationship Id="rId106" Type="http://schemas.openxmlformats.org/officeDocument/2006/relationships/hyperlink" Target="https://ort.cbd.int/database/287715" TargetMode="External"/><Relationship Id="rId127" Type="http://schemas.openxmlformats.org/officeDocument/2006/relationships/image" Target="media/image51.png"/><Relationship Id="rId313" Type="http://schemas.openxmlformats.org/officeDocument/2006/relationships/hyperlink" Target="https://www.dcceew.gov.au/environment/protection/circular-economy/framework" TargetMode="External"/><Relationship Id="rId10" Type="http://schemas.openxmlformats.org/officeDocument/2006/relationships/endnotes" Target="endnotes.xml"/><Relationship Id="rId31" Type="http://schemas.openxmlformats.org/officeDocument/2006/relationships/hyperlink" Target="https://www.cbd.int/doc/c/2bca/cda4/adde2746861f8ded6864c4d2/sbstta-28-inf-11-en.pdf" TargetMode="External"/><Relationship Id="rId52" Type="http://schemas.openxmlformats.org/officeDocument/2006/relationships/image" Target="media/image12.png"/><Relationship Id="rId73" Type="http://schemas.openxmlformats.org/officeDocument/2006/relationships/hyperlink" Target="https://www.cbd.int/doc/c/ddd1/d3ca/1703a90a7d1c00ef8796ee79/sbi-07-inf-22-en.pdf" TargetMode="External"/><Relationship Id="rId94" Type="http://schemas.openxmlformats.org/officeDocument/2006/relationships/hyperlink" Target="https://ort.cbd.int/database/293918" TargetMode="External"/><Relationship Id="rId148" Type="http://schemas.openxmlformats.org/officeDocument/2006/relationships/image" Target="media/image63.png"/><Relationship Id="rId169" Type="http://schemas.openxmlformats.org/officeDocument/2006/relationships/hyperlink" Target="https://issdngo.com/en/projects/ongoing/compost-academy/" TargetMode="External"/><Relationship Id="rId334" Type="http://schemas.openxmlformats.org/officeDocument/2006/relationships/hyperlink" Target="https://www.mybis.gov.my/pb/3567" TargetMode="External"/><Relationship Id="rId355" Type="http://schemas.openxmlformats.org/officeDocument/2006/relationships/hyperlink" Target="https://doi.org/10.1126/science.adj6598" TargetMode="External"/><Relationship Id="rId376" Type="http://schemas.openxmlformats.org/officeDocument/2006/relationships/hyperlink" Target="https://unece.org/sites/default/files/2026-03/UZB_JET_Roadmap_Final%20REV_with_Govnt.logo_.pdf" TargetMode="External"/><Relationship Id="rId397" Type="http://schemas.openxmlformats.org/officeDocument/2006/relationships/hyperlink" Target="https://openknowledge.fao.org/server/api/core/bitstreams/c77029c4-a75e-4733-b350-1af6f0f380aa/content" TargetMode="External"/><Relationship Id="rId4" Type="http://schemas.openxmlformats.org/officeDocument/2006/relationships/customXml" Target="../customXml/item4.xml"/><Relationship Id="rId180" Type="http://schemas.openxmlformats.org/officeDocument/2006/relationships/image" Target="media/image78.png"/><Relationship Id="rId215" Type="http://schemas.openxmlformats.org/officeDocument/2006/relationships/image" Target="media/image97.png"/><Relationship Id="rId236" Type="http://schemas.openxmlformats.org/officeDocument/2006/relationships/hyperlink" Target="https://www.cbd.int/doc/c/ddd1/d3ca/1703a90a7d1c00ef8796ee79/sbi-07-inf-22-en.pdf" TargetMode="External"/><Relationship Id="rId257" Type="http://schemas.openxmlformats.org/officeDocument/2006/relationships/hyperlink" Target="https://oaarchive.arctic-council.org/items/287297c8-cdec-46e1-8022-2c240242d1ad" TargetMode="External"/><Relationship Id="rId278" Type="http://schemas.openxmlformats.org/officeDocument/2006/relationships/hyperlink" Target="https://www.cdp.net/en/data/monitoring-gbf" TargetMode="External"/><Relationship Id="rId401" Type="http://schemas.openxmlformats.org/officeDocument/2006/relationships/hyperlink" Target="https://www.undrr.org/publication/sendai-framework-disaster-risk-reduction-2015-2030" TargetMode="External"/><Relationship Id="rId303" Type="http://schemas.openxmlformats.org/officeDocument/2006/relationships/hyperlink" Target="https://doi.org/10.69556/strp.tr12.24" TargetMode="External"/><Relationship Id="rId42" Type="http://schemas.openxmlformats.org/officeDocument/2006/relationships/hyperlink" Target="https://www.cbd.int/doc/c/e965/07b1/1f9cdfb3fe94d857291a9ff2/sbstta-28-inf-09-en.pdf" TargetMode="External"/><Relationship Id="rId84" Type="http://schemas.openxmlformats.org/officeDocument/2006/relationships/hyperlink" Target="https://www.cbd.int/doc/c/ea34/8414/8c5e6797d291af15f33d6e40/cop-16-inf-03-rev1-en.pdf" TargetMode="External"/><Relationship Id="rId138" Type="http://schemas.openxmlformats.org/officeDocument/2006/relationships/image" Target="media/image57.png"/><Relationship Id="rId345" Type="http://schemas.openxmlformats.org/officeDocument/2006/relationships/hyperlink" Target="https://www.ipbes.net/resource-file/104979" TargetMode="External"/><Relationship Id="rId387" Type="http://schemas.openxmlformats.org/officeDocument/2006/relationships/hyperlink" Target="https://www.unep.org/resources/report/horizon-scan-possible-linkages-between-bbnj-agreement-and-biodiversity-related" TargetMode="External"/><Relationship Id="rId191" Type="http://schemas.openxmlformats.org/officeDocument/2006/relationships/hyperlink" Target="https://ort.cbd.int/database/284131" TargetMode="External"/><Relationship Id="rId205" Type="http://schemas.openxmlformats.org/officeDocument/2006/relationships/image" Target="media/image92.png"/><Relationship Id="rId247" Type="http://schemas.openxmlformats.org/officeDocument/2006/relationships/footer" Target="footer2.xml"/><Relationship Id="rId412" Type="http://schemas.openxmlformats.org/officeDocument/2006/relationships/hyperlink" Target="https://www.unccd.int/resources/reports/contribution-integrated-land-use-planning-and-integrated-landscape-management" TargetMode="External"/><Relationship Id="rId107" Type="http://schemas.openxmlformats.org/officeDocument/2006/relationships/hyperlink" Target="https://www.cbd.int/doc/c/85eb/18f4/797b0b3e3accf4f07746e773/cop-16-inf-04-en.pdf" TargetMode="External"/><Relationship Id="rId289" Type="http://schemas.openxmlformats.org/officeDocument/2006/relationships/hyperlink" Target="https://www.unccd.int/sites/default/files/2025-03/2424652S.pdf" TargetMode="External"/><Relationship Id="rId11" Type="http://schemas.openxmlformats.org/officeDocument/2006/relationships/image" Target="media/image1.png"/><Relationship Id="rId53" Type="http://schemas.openxmlformats.org/officeDocument/2006/relationships/image" Target="media/image13.png"/><Relationship Id="rId149" Type="http://schemas.openxmlformats.org/officeDocument/2006/relationships/hyperlink" Target="https://www.cbd.int/doc/c/85eb/18f4/797b0b3e3accf4f07746e773/cop-16-inf-04-en.pdf" TargetMode="External"/><Relationship Id="rId314" Type="http://schemas.openxmlformats.org/officeDocument/2006/relationships/hyperlink" Target="https://whc.unesco.org/en/tentativelists/6640/" TargetMode="External"/><Relationship Id="rId356" Type="http://schemas.openxmlformats.org/officeDocument/2006/relationships/hyperlink" Target="https://doi.org/10.1038/s41586-020-2705-y" TargetMode="External"/><Relationship Id="rId398" Type="http://schemas.openxmlformats.org/officeDocument/2006/relationships/hyperlink" Target="https://www.cbd.int/notifications/2025-099" TargetMode="External"/><Relationship Id="rId95" Type="http://schemas.openxmlformats.org/officeDocument/2006/relationships/hyperlink" Target="https://www.cbd.int/doc/c/85eb/18f4/797b0b3e3accf4f07746e773/cop-16-inf-04-en.pdf" TargetMode="External"/><Relationship Id="rId160" Type="http://schemas.openxmlformats.org/officeDocument/2006/relationships/image" Target="media/image69.png"/><Relationship Id="rId216" Type="http://schemas.openxmlformats.org/officeDocument/2006/relationships/image" Target="media/image98.png"/><Relationship Id="rId258" Type="http://schemas.openxmlformats.org/officeDocument/2006/relationships/hyperlink" Target="https://crm.iwc.int/data/node/9832" TargetMode="External"/><Relationship Id="rId22" Type="http://schemas.openxmlformats.org/officeDocument/2006/relationships/hyperlink" Target="https://www.cbd.int/doc/c/4fc4/fb7a/aee60317b2bf743207635649/sbi-06-inf-05-en.pdf" TargetMode="External"/><Relationship Id="rId64" Type="http://schemas.openxmlformats.org/officeDocument/2006/relationships/hyperlink" Target="https://www.cbd.int/doc/c/85eb/18f4/797b0b3e3accf4f07746e773/cop-16-inf-04-en.pdf" TargetMode="External"/><Relationship Id="rId118" Type="http://schemas.openxmlformats.org/officeDocument/2006/relationships/image" Target="media/image43.png"/><Relationship Id="rId325" Type="http://schemas.openxmlformats.org/officeDocument/2006/relationships/hyperlink" Target="https://www.cbd.int/notifications/2025-099" TargetMode="External"/><Relationship Id="rId367"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171" Type="http://schemas.openxmlformats.org/officeDocument/2006/relationships/hyperlink" Target="https://www.cbd.int/doc/c/85eb/18f4/797b0b3e3accf4f07746e773/cop-16-inf-04-en.pdf" TargetMode="External"/><Relationship Id="rId227" Type="http://schemas.openxmlformats.org/officeDocument/2006/relationships/image" Target="media/image105.png"/><Relationship Id="rId269" Type="http://schemas.openxmlformats.org/officeDocument/2006/relationships/hyperlink" Target="https://www.cbd.int/doc/c/049d/59ca/66f0ef3b745e68ae7ed0a673/cop-13-25-es.pdf" TargetMode="External"/><Relationship Id="rId33" Type="http://schemas.openxmlformats.org/officeDocument/2006/relationships/hyperlink" Target="https://www.cbd.int/doc/c/4fc4/fb7a/aee60317b2bf743207635649/sbi-06-inf-05-en.pdf" TargetMode="External"/><Relationship Id="rId129" Type="http://schemas.openxmlformats.org/officeDocument/2006/relationships/hyperlink" Target="https://ort.cbd.int/es/database/293339" TargetMode="External"/><Relationship Id="rId280" Type="http://schemas.openxmlformats.org/officeDocument/2006/relationships/hyperlink" Target="https://unece.org/environment-policy/public-participation/aarhus-convention/text" TargetMode="External"/><Relationship Id="rId336" Type="http://schemas.openxmlformats.org/officeDocument/2006/relationships/hyperlink" Target="https://iucn.org/sites/default/files/2024-10/iucn-wcpa-issues-paper-4.pdf" TargetMode="External"/><Relationship Id="rId75" Type="http://schemas.openxmlformats.org/officeDocument/2006/relationships/image" Target="media/image24.png"/><Relationship Id="rId140" Type="http://schemas.openxmlformats.org/officeDocument/2006/relationships/hyperlink" Target="https://www.cbd.int/doc/c/ea34/8414/8c5e6797d291af15f33d6e40/cop-16-inf-03-rev1-en.pdf" TargetMode="External"/><Relationship Id="rId182" Type="http://schemas.openxmlformats.org/officeDocument/2006/relationships/image" Target="media/image80.png"/><Relationship Id="rId378" Type="http://schemas.openxmlformats.org/officeDocument/2006/relationships/hyperlink" Target="https://wedocs.unep.org/items/9e7e3bcd-0eda-40cd-a116-5057e1725e72" TargetMode="External"/><Relationship Id="rId403" Type="http://schemas.openxmlformats.org/officeDocument/2006/relationships/hyperlink" Target="https://www.undrr.org/publication/documents-and-publications/integrating-disaster-risk-reduction-and-biodiversity" TargetMode="External"/><Relationship Id="rId6" Type="http://schemas.openxmlformats.org/officeDocument/2006/relationships/styles" Target="styles.xml"/><Relationship Id="rId238" Type="http://schemas.openxmlformats.org/officeDocument/2006/relationships/hyperlink" Target="https://www.cbd.int/doc/c/9b68/9425/93f17281d4d5538a1d06cf06/sbi-07-inf-13-en.pdf" TargetMode="External"/><Relationship Id="rId291" Type="http://schemas.openxmlformats.org/officeDocument/2006/relationships/hyperlink" Target="https://unfccc.int/documents/642847" TargetMode="External"/><Relationship Id="rId305" Type="http://schemas.openxmlformats.org/officeDocument/2006/relationships/hyperlink" Target="https://doi.org/10.69556/GWO-2025-eng" TargetMode="External"/><Relationship Id="rId347" Type="http://schemas.openxmlformats.org/officeDocument/2006/relationships/hyperlink" Target="https://doi.org/10.5281/zenodo.13850054" TargetMode="External"/><Relationship Id="rId44" Type="http://schemas.openxmlformats.org/officeDocument/2006/relationships/hyperlink" Target="https://www.cbd.int/doc/c/ddd1/d3ca/1703a90a7d1c00ef8796ee79/sbi-07-inf-22-en.pdf" TargetMode="External"/><Relationship Id="rId86" Type="http://schemas.openxmlformats.org/officeDocument/2006/relationships/image" Target="media/image31.png"/><Relationship Id="rId151" Type="http://schemas.openxmlformats.org/officeDocument/2006/relationships/hyperlink" Target="https://www.cbd.int/doc/c/ea34/8414/8c5e6797d291af15f33d6e40/cop-16-inf-03-rev1-en.pdf" TargetMode="External"/><Relationship Id="rId389" Type="http://schemas.openxmlformats.org/officeDocument/2006/relationships/hyperlink" Target="https://www.sanbi.org/wp-content/uploads/2024/10/2024-Mapping-Biodiversity-Priorities.pdf" TargetMode="External"/><Relationship Id="rId193" Type="http://schemas.openxmlformats.org/officeDocument/2006/relationships/hyperlink" Target="https://www.cbd.int/doc/c/ea34/8414/8c5e6797d291af15f33d6e40/cop-16-inf-03-rev1-en.pdf" TargetMode="External"/><Relationship Id="rId207" Type="http://schemas.openxmlformats.org/officeDocument/2006/relationships/hyperlink" Target="https://www.cbd.int/doc/c/ea34/8414/8c5e6797d291af15f33d6e40/cop-16-inf-03-rev1-en.pdf" TargetMode="External"/><Relationship Id="rId249" Type="http://schemas.openxmlformats.org/officeDocument/2006/relationships/hyperlink" Target="https://doi.org/10.1038/s41559-025-02718-3" TargetMode="External"/><Relationship Id="rId414" Type="http://schemas.openxmlformats.org/officeDocument/2006/relationships/hyperlink" Target="https://doi.org/10.1038/s43247-026-03256-x" TargetMode="External"/><Relationship Id="rId13" Type="http://schemas.openxmlformats.org/officeDocument/2006/relationships/image" Target="media/image3.png"/><Relationship Id="rId109" Type="http://schemas.openxmlformats.org/officeDocument/2006/relationships/image" Target="media/image38.png"/><Relationship Id="rId260" Type="http://schemas.openxmlformats.org/officeDocument/2006/relationships/hyperlink" Target="https://www.cbd.int/gbo" TargetMode="External"/><Relationship Id="rId316" Type="http://schemas.openxmlformats.org/officeDocument/2006/relationships/hyperlink" Target="https://doi.org/10.2779/1280375" TargetMode="External"/><Relationship Id="rId55" Type="http://schemas.openxmlformats.org/officeDocument/2006/relationships/image" Target="media/image14.png"/><Relationship Id="rId97" Type="http://schemas.openxmlformats.org/officeDocument/2006/relationships/image" Target="media/image36.png"/><Relationship Id="rId120" Type="http://schemas.openxmlformats.org/officeDocument/2006/relationships/hyperlink" Target="https://www.cbd.int/doc/c/85eb/18f4/797b0b3e3accf4f07746e773/cop-16-inf-04-en.pdf" TargetMode="External"/><Relationship Id="rId358" Type="http://schemas.openxmlformats.org/officeDocument/2006/relationships/hyperlink" Target="https://transparencia-climatica.miambiente.gob.pa/wp-content/uploads/2025/11/Pacto-de-Panama-con-la-Naturaleza-Nature-Pledge.pdf" TargetMode="External"/><Relationship Id="rId162" Type="http://schemas.openxmlformats.org/officeDocument/2006/relationships/hyperlink" Target="https://ort.cbd.int/database/293333" TargetMode="External"/><Relationship Id="rId218" Type="http://schemas.openxmlformats.org/officeDocument/2006/relationships/hyperlink" Target="https://ort.cbd.int/database/287718" TargetMode="External"/><Relationship Id="rId271" Type="http://schemas.openxmlformats.org/officeDocument/2006/relationships/hyperlink" Target="https://www.cbd.int/gbo" TargetMode="External"/><Relationship Id="rId24" Type="http://schemas.openxmlformats.org/officeDocument/2006/relationships/hyperlink" Target="https://www.cbd.int/doc/c/0ba6/2af2/5681881c85df782c3219f347/sbi-06-inf-06-en.pdf" TargetMode="External"/><Relationship Id="rId66" Type="http://schemas.openxmlformats.org/officeDocument/2006/relationships/image" Target="media/image18.png"/><Relationship Id="rId131" Type="http://schemas.openxmlformats.org/officeDocument/2006/relationships/hyperlink" Target="https://www.cbd.int/doc/c/ddd1/d3ca/1703a90a7d1c00ef8796ee79/sbi-07-inf-22-en.pdf" TargetMode="External"/><Relationship Id="rId327" Type="http://schemas.openxmlformats.org/officeDocument/2006/relationships/hyperlink" Target="https://openknowledge.fao.org/items/49ba9733-2160-464c-a7e4-608f78519d5d" TargetMode="External"/><Relationship Id="rId369" Type="http://schemas.openxmlformats.org/officeDocument/2006/relationships/hyperlink" Target="https://docs.wto.org/dol2fe/Pages/SS/directdoc.aspx?filename=q:/WT/MIN22/33.pdf" TargetMode="External"/><Relationship Id="rId173" Type="http://schemas.openxmlformats.org/officeDocument/2006/relationships/image" Target="media/image74.png"/><Relationship Id="rId229" Type="http://schemas.openxmlformats.org/officeDocument/2006/relationships/hyperlink" Target="https://www.cbd.int/doc/c/ea34/8414/8c5e6797d291af15f33d6e40/cop-16-inf-03-rev1-en.pdf" TargetMode="External"/><Relationship Id="rId380" Type="http://schemas.openxmlformats.org/officeDocument/2006/relationships/hyperlink" Target="https://wedocs.unep.org/items/6b928e4c-63e8-49ef-b06d-59216092dbf6" TargetMode="External"/><Relationship Id="rId240" Type="http://schemas.openxmlformats.org/officeDocument/2006/relationships/hyperlink" Target="https://www.cbd.int/doc/c/ddd1/d3ca/1703a90a7d1c00ef8796ee79/sbi-07-inf-22-en.pdf" TargetMode="External"/><Relationship Id="rId35" Type="http://schemas.openxmlformats.org/officeDocument/2006/relationships/hyperlink" Target="https://www.cbd.int/doc/c/0ba6/2af2/5681881c85df782c3219f347/sbi-06-inf-06-en.pdf" TargetMode="External"/><Relationship Id="rId77" Type="http://schemas.openxmlformats.org/officeDocument/2006/relationships/image" Target="media/image26.png"/><Relationship Id="rId100" Type="http://schemas.openxmlformats.org/officeDocument/2006/relationships/hyperlink" Target="https://ort.cbd.int/database/287712" TargetMode="External"/><Relationship Id="rId282" Type="http://schemas.openxmlformats.org/officeDocument/2006/relationships/hyperlink" Target="https://cites.org/esp/sc/79/agenda-documents" TargetMode="External"/><Relationship Id="rId338" Type="http://schemas.openxmlformats.org/officeDocument/2006/relationships/hyperlink" Target="https://tnfd.global/recommendations/" TargetMode="External"/><Relationship Id="rId8" Type="http://schemas.openxmlformats.org/officeDocument/2006/relationships/webSettings" Target="webSettings.xml"/><Relationship Id="rId142" Type="http://schemas.openxmlformats.org/officeDocument/2006/relationships/image" Target="media/image60.png"/><Relationship Id="rId184" Type="http://schemas.openxmlformats.org/officeDocument/2006/relationships/hyperlink" Target="https://www.cbd.int/doc/c/85eb/18f4/797b0b3e3accf4f07746e773/cop-16-inf-04-en.pdf" TargetMode="External"/><Relationship Id="rId391" Type="http://schemas.openxmlformats.org/officeDocument/2006/relationships/hyperlink" Target="https://www.cbd.int/notifications/2025-099" TargetMode="External"/><Relationship Id="rId405" Type="http://schemas.openxmlformats.org/officeDocument/2006/relationships/hyperlink" Target="https://www.cbd.int/notifications/2025-099" TargetMode="External"/><Relationship Id="rId251" Type="http://schemas.openxmlformats.org/officeDocument/2006/relationships/hyperlink" Target="https://docs.un.org/es/A/RES/77/289" TargetMode="External"/><Relationship Id="rId46" Type="http://schemas.openxmlformats.org/officeDocument/2006/relationships/hyperlink" Target="https://www.cbd.int/doc/c/e965/07b1/1f9cdfb3fe94d857291a9ff2/sbstta-28-inf-09-en.pdf" TargetMode="External"/><Relationship Id="rId293" Type="http://schemas.openxmlformats.org/officeDocument/2006/relationships/hyperlink" Target="https://unfccc.int/documents/650664" TargetMode="External"/><Relationship Id="rId307" Type="http://schemas.openxmlformats.org/officeDocument/2006/relationships/hyperlink" Target="https://www.ramsar.org/document/cop15-doc9-rev1-report-secretariat-pursuant-article-82-list-wetlands-international" TargetMode="External"/><Relationship Id="rId349" Type="http://schemas.openxmlformats.org/officeDocument/2006/relationships/hyperlink" Target="https://doi.org/10.5281/zenodo.17185116" TargetMode="External"/><Relationship Id="rId88" Type="http://schemas.openxmlformats.org/officeDocument/2006/relationships/hyperlink" Target="https://www.cbd.int/doc/c/ddd1/d3ca/1703a90a7d1c00ef8796ee79/sbi-07-inf-22-en.pdf" TargetMode="External"/><Relationship Id="rId111" Type="http://schemas.openxmlformats.org/officeDocument/2006/relationships/image" Target="media/image39.png"/><Relationship Id="rId153" Type="http://schemas.openxmlformats.org/officeDocument/2006/relationships/image" Target="media/image66.png"/><Relationship Id="rId195" Type="http://schemas.openxmlformats.org/officeDocument/2006/relationships/image" Target="media/image88.png"/><Relationship Id="rId209" Type="http://schemas.openxmlformats.org/officeDocument/2006/relationships/image" Target="media/image95.png"/><Relationship Id="rId360" Type="http://schemas.openxmlformats.org/officeDocument/2006/relationships/hyperlink" Target="https://www.gov.br/mma/pt-br/composicao/sbio/dflo/plano-nacional-de-recuperacao-da-vegetacao-nativa-planaveg/planaveg_2025-2028_2dez2024.pdf" TargetMode="External"/><Relationship Id="rId416" Type="http://schemas.openxmlformats.org/officeDocument/2006/relationships/footer" Target="footer3.xml"/><Relationship Id="rId220" Type="http://schemas.openxmlformats.org/officeDocument/2006/relationships/hyperlink" Target="https://www.cbd.int/doc/c/e965/07b1/1f9cdfb3fe94d857291a9ff2/sbstta-28-inf-09-en.pdf" TargetMode="External"/><Relationship Id="rId15" Type="http://schemas.openxmlformats.org/officeDocument/2006/relationships/hyperlink" Target="https://www.cbd.int/documents/CBD/SBSTTA/28/2/ADD1/REV1" TargetMode="External"/><Relationship Id="rId57" Type="http://schemas.openxmlformats.org/officeDocument/2006/relationships/hyperlink" Target="https://www.cbd.int/doc/c/ddd1/d3ca/1703a90a7d1c00ef8796ee79/sbi-07-inf-22-en.pdf" TargetMode="External"/><Relationship Id="rId262" Type="http://schemas.openxmlformats.org/officeDocument/2006/relationships/hyperlink" Target="https://www.cbd.int/doc/meetings/cop/cop-08/official/cop-08-31-es.pdf" TargetMode="External"/><Relationship Id="rId318" Type="http://schemas.openxmlformats.org/officeDocument/2006/relationships/hyperlink" Target="https://doi.org/10.2779/6590787" TargetMode="External"/><Relationship Id="rId99" Type="http://schemas.openxmlformats.org/officeDocument/2006/relationships/hyperlink" Target="https://ort.cbd.int/database/287708" TargetMode="External"/><Relationship Id="rId122" Type="http://schemas.openxmlformats.org/officeDocument/2006/relationships/image" Target="media/image46.png"/><Relationship Id="rId164" Type="http://schemas.openxmlformats.org/officeDocument/2006/relationships/hyperlink" Target="https://www.cbd.int/doc/c/ddd1/d3ca/1703a90a7d1c00ef8796ee79/sbi-07-inf-22-en.pdf" TargetMode="External"/><Relationship Id="rId371" Type="http://schemas.openxmlformats.org/officeDocument/2006/relationships/hyperlink" Target="https://wwwcdn.imo.org/localresources/es/MediaCentre/Documents/DIRECTRICES%20DE%202023%20PARA%20EL%20CONTROL%20Y%20LA%20GESTION%20DE%20LAS%20INCRUSTACIONES.pdf" TargetMode="External"/><Relationship Id="rId26" Type="http://schemas.openxmlformats.org/officeDocument/2006/relationships/hyperlink" Target="https://www.cbd.int/notifications/2025-099" TargetMode="External"/><Relationship Id="rId231" Type="http://schemas.openxmlformats.org/officeDocument/2006/relationships/image" Target="media/image108.png"/><Relationship Id="rId273" Type="http://schemas.openxmlformats.org/officeDocument/2006/relationships/hyperlink" Target="https://www.cbd.int/doc/c/e897/1bb2/bf83c3c058034c7256ad2cc5/sbstta-27-10-es.pdf" TargetMode="External"/><Relationship Id="rId329" Type="http://schemas.openxmlformats.org/officeDocument/2006/relationships/hyperlink" Target="https://doi.org/10.4060/cd2925es" TargetMode="External"/><Relationship Id="rId68" Type="http://schemas.openxmlformats.org/officeDocument/2006/relationships/image" Target="media/image20.png"/><Relationship Id="rId133" Type="http://schemas.openxmlformats.org/officeDocument/2006/relationships/image" Target="media/image54.png"/><Relationship Id="rId175" Type="http://schemas.openxmlformats.org/officeDocument/2006/relationships/image" Target="media/image75.png"/><Relationship Id="rId340" Type="http://schemas.openxmlformats.org/officeDocument/2006/relationships/hyperlink" Target="https://www.inms.international/" TargetMode="External"/><Relationship Id="rId200" Type="http://schemas.openxmlformats.org/officeDocument/2006/relationships/image" Target="media/image91.png"/><Relationship Id="rId382" Type="http://schemas.openxmlformats.org/officeDocument/2006/relationships/hyperlink" Target="https://www.cbd.int/notifications/2025-099" TargetMode="External"/><Relationship Id="rId242" Type="http://schemas.openxmlformats.org/officeDocument/2006/relationships/hyperlink" Target="https://www.cbd.int/doc/c/e965/07b1/1f9cdfb3fe94d857291a9ff2/sbstta-28-inf-09-en.pdf" TargetMode="External"/><Relationship Id="rId284" Type="http://schemas.openxmlformats.org/officeDocument/2006/relationships/hyperlink" Target="https://cites.org/eng/res/index.php" TargetMode="External"/><Relationship Id="rId37" Type="http://schemas.openxmlformats.org/officeDocument/2006/relationships/hyperlink" Target="https://www.cbd.int/doc/c/2bca/cda4/adde2746861f8ded6864c4d2/sbstta-28-inf-11-en.pdf" TargetMode="External"/><Relationship Id="rId79" Type="http://schemas.openxmlformats.org/officeDocument/2006/relationships/hyperlink" Target="https://ort.cbd.int/database/286541" TargetMode="External"/><Relationship Id="rId102" Type="http://schemas.openxmlformats.org/officeDocument/2006/relationships/hyperlink" Target="https://ort.cbd.int/database/287709" TargetMode="External"/><Relationship Id="rId144" Type="http://schemas.openxmlformats.org/officeDocument/2006/relationships/hyperlink" Target="https://www.cbd.int/doc/c/ddd1/d3ca/1703a90a7d1c00ef8796ee79/sbi-07-inf-22-en.pdf" TargetMode="External"/><Relationship Id="rId90" Type="http://schemas.openxmlformats.org/officeDocument/2006/relationships/image" Target="media/image33.png"/><Relationship Id="rId186" Type="http://schemas.openxmlformats.org/officeDocument/2006/relationships/image" Target="media/image81.png"/><Relationship Id="rId351" Type="http://schemas.openxmlformats.org/officeDocument/2006/relationships/hyperlink" Target="https://doi.org/10.2305/IUCN.CH.2020.13.en" TargetMode="External"/><Relationship Id="rId393" Type="http://schemas.openxmlformats.org/officeDocument/2006/relationships/hyperlink" Target="https://www.cbd.int/notifications/2025-100" TargetMode="External"/><Relationship Id="rId407" Type="http://schemas.openxmlformats.org/officeDocument/2006/relationships/hyperlink" Target="https://www.cbd.int/notifications/2025-099" TargetMode="External"/><Relationship Id="rId211" Type="http://schemas.openxmlformats.org/officeDocument/2006/relationships/hyperlink" Target="https://www.cbd.int/doc/c/85eb/18f4/797b0b3e3accf4f07746e773/cop-16-inf-04-en.pdf" TargetMode="External"/><Relationship Id="rId253" Type="http://schemas.openxmlformats.org/officeDocument/2006/relationships/hyperlink" Target="https://doi.org/10.1007/s4418330315" TargetMode="External"/><Relationship Id="rId295" Type="http://schemas.openxmlformats.org/officeDocument/2006/relationships/hyperlink" Target="https://www.cms.int/document/cms-contribution-kunming-montreal-global-biodiversity-framework-1" TargetMode="External"/><Relationship Id="rId309" Type="http://schemas.openxmlformats.org/officeDocument/2006/relationships/hyperlink" Target="https://www.ramsar.org/sites/default/files/2025-09/Convention_on_Wetlands_fifth_strategic_plan_s.pdf" TargetMode="External"/><Relationship Id="rId48" Type="http://schemas.openxmlformats.org/officeDocument/2006/relationships/image" Target="media/image11.emf"/><Relationship Id="rId113" Type="http://schemas.openxmlformats.org/officeDocument/2006/relationships/hyperlink" Target="https://www.cbd.int/doc/c/85eb/18f4/797b0b3e3accf4f07746e773/cop-16-inf-04-en.pdf" TargetMode="External"/><Relationship Id="rId320" Type="http://schemas.openxmlformats.org/officeDocument/2006/relationships/hyperlink" Target="https://doi.org/10.1007/s10646-024-02748-w" TargetMode="External"/><Relationship Id="rId155" Type="http://schemas.openxmlformats.org/officeDocument/2006/relationships/hyperlink" Target="https://www.cbd.int/doc/c/ddd1/d3ca/1703a90a7d1c00ef8796ee79/sbi-07-inf-22-en.pdf" TargetMode="External"/><Relationship Id="rId197" Type="http://schemas.openxmlformats.org/officeDocument/2006/relationships/hyperlink" Target="https://www.cbd.int/doc/c/ddd1/d3ca/1703a90a7d1c00ef8796ee79/sbi-07-inf-22-en.pdf" TargetMode="External"/><Relationship Id="rId362" Type="http://schemas.openxmlformats.org/officeDocument/2006/relationships/hyperlink" Target="https://digitallibrary.un.org/record/3923923" TargetMode="External"/><Relationship Id="rId418"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ginamo.org/" TargetMode="External"/><Relationship Id="rId3" Type="http://schemas.openxmlformats.org/officeDocument/2006/relationships/hyperlink" Target="https://www.cbd.int/doc/c/ddd1/d3ca/1703a90a7d1c00ef8796ee79/sbi-07-inf-22-en.pdf" TargetMode="External"/><Relationship Id="rId7" Type="http://schemas.openxmlformats.org/officeDocument/2006/relationships/hyperlink" Target="http://www.biodiversa.eu/2024/04/15/ginamo/" TargetMode="External"/><Relationship Id="rId2" Type="http://schemas.openxmlformats.org/officeDocument/2006/relationships/hyperlink" Target="https://www.un.org/dgacm/es/content/regional-groups" TargetMode="External"/><Relationship Id="rId1" Type="http://schemas.openxmlformats.org/officeDocument/2006/relationships/hyperlink" Target="https://www.cbd.int/documents/CBD/COP/17/1/REV1" TargetMode="External"/><Relationship Id="rId6" Type="http://schemas.openxmlformats.org/officeDocument/2006/relationships/hyperlink" Target="http://www.fao.org/forestry-fao/wildlife-partnership/en/" TargetMode="External"/><Relationship Id="rId5" Type="http://schemas.openxmlformats.org/officeDocument/2006/relationships/hyperlink" Target="https://rsis.ramsar.org/" TargetMode="External"/><Relationship Id="rId4" Type="http://schemas.openxmlformats.org/officeDocument/2006/relationships/hyperlink" Target="https://www.cms.int/topics/atlas-animal-migration" TargetMode="External"/><Relationship Id="rId9" Type="http://schemas.openxmlformats.org/officeDocument/2006/relationships/hyperlink" Target="file:///D:\https:\www.cbd.int\notifications\2025-09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D86BB1DF184B2F82D58810AF2B9F6C"/>
        <w:category>
          <w:name w:val="General"/>
          <w:gallery w:val="placeholder"/>
        </w:category>
        <w:types>
          <w:type w:val="bbPlcHdr"/>
        </w:types>
        <w:behaviors>
          <w:behavior w:val="content"/>
        </w:behaviors>
        <w:guid w:val="{C8568E4E-A3F9-4E30-A42C-520F83B8CFD8}"/>
      </w:docPartPr>
      <w:docPartBody>
        <w:p w:rsidR="003929F3" w:rsidRDefault="00721095" w:rsidP="00721095">
          <w:pPr>
            <w:pStyle w:val="92D86BB1DF184B2F82D58810AF2B9F6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Helvetica">
    <w:panose1 w:val="020B0604020202020204"/>
    <w:charset w:val="CC"/>
    <w:family w:val="swiss"/>
    <w:pitch w:val="variable"/>
    <w:sig w:usb0="E0002AFF" w:usb1="C0007843" w:usb2="00000009" w:usb3="00000000" w:csb0="0000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95"/>
    <w:rsid w:val="000B620D"/>
    <w:rsid w:val="002D58FB"/>
    <w:rsid w:val="003929F3"/>
    <w:rsid w:val="003B65D1"/>
    <w:rsid w:val="003C01C8"/>
    <w:rsid w:val="00422146"/>
    <w:rsid w:val="004978C0"/>
    <w:rsid w:val="005821FA"/>
    <w:rsid w:val="005F3471"/>
    <w:rsid w:val="00721095"/>
    <w:rsid w:val="00F22E54"/>
    <w:rsid w:val="00FE43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1095"/>
    <w:rPr>
      <w:color w:val="808080"/>
    </w:rPr>
  </w:style>
  <w:style w:type="paragraph" w:customStyle="1" w:styleId="92D86BB1DF184B2F82D58810AF2B9F6C">
    <w:name w:val="92D86BB1DF184B2F82D58810AF2B9F6C"/>
    <w:rsid w:val="007210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A4A394-3B5A-4C57-A1F7-F0859FD4E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3C3D24-1DD4-4B51-AC5A-7E99607613CC}">
  <ds:schemaRefs>
    <ds:schemaRef ds:uri="http://schemas.openxmlformats.org/officeDocument/2006/bibliography"/>
  </ds:schemaRefs>
</ds:datastoreItem>
</file>

<file path=customXml/itemProps3.xml><?xml version="1.0" encoding="utf-8"?>
<ds:datastoreItem xmlns:ds="http://schemas.openxmlformats.org/officeDocument/2006/customXml" ds:itemID="{618CDEE4-EFB7-4022-A848-496F9D13070B}">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customXml/itemProps4.xml><?xml version="1.0" encoding="utf-8"?>
<ds:datastoreItem xmlns:ds="http://schemas.openxmlformats.org/officeDocument/2006/customXml" ds:itemID="{B1AC26B3-CD26-473D-B04B-A32CA59BD947}">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292</TotalTime>
  <Pages>499</Pages>
  <Words>178844</Words>
  <Characters>1019413</Characters>
  <Application>Microsoft Office Word</Application>
  <DocSecurity>0</DocSecurity>
  <Lines>8495</Lines>
  <Paragraphs>2391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Prólogo</vt:lpstr>
      <vt:lpstr>Agradecimientos</vt:lpstr>
      <vt:lpstr>Lista de abreviaciones y siglas</vt:lpstr>
      <vt:lpstr>Resumen de las conclusiones y mensajes principales del informe mundial</vt:lpstr>
      <vt:lpstr>Parte I: Introducción</vt:lpstr>
      <vt:lpstr>    I.A Introducción al Marco Mundial de Biodiversidad de Kunming-Montreal y al info</vt:lpstr>
      <vt:lpstr>        El Marco</vt:lpstr>
      <vt:lpstr>        Planificación, seguimiento, presentación de informes y revisión</vt:lpstr>
      <vt:lpstr>        </vt:lpstr>
      <vt:lpstr>        Finalidad del informe mundial </vt:lpstr>
      <vt:lpstr>        Fuentes y metodología del informe mundial </vt:lpstr>
      <vt:lpstr>        Limitaciones y supuestos metodológicos</vt:lpstr>
      <vt:lpstr>    I.B Estado y tendencias mundiales </vt:lpstr>
      <vt:lpstr>Parte II: Progresos colectivos en la implementación del Marco Mundial de Biodive</vt:lpstr>
      <vt:lpstr>    II.A Resumen del estado de la presentación de las estrategias y planes de acción</vt:lpstr>
      <vt:lpstr>        Panorama general de la presentación de las estrategias y planes de acción nacion</vt:lpstr>
      <vt:lpstr>        Apoyo prestado a las Partes con respecto a las estrategias y planes de acción na</vt:lpstr>
    </vt:vector>
  </TitlesOfParts>
  <Company/>
  <LinksUpToDate>false</LinksUpToDate>
  <CharactersWithSpaces>1195866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Mundial sobre los Progresos Colectivos en la Implementación del Marco Mundial de Biodiversidad de Kunming-Montreal</dc:title>
  <dc:subject/>
  <dc:creator>Tim Hirsch</dc:creator>
  <cp:keywords/>
  <dc:description/>
  <cp:lastModifiedBy>Annie Cung</cp:lastModifiedBy>
  <cp:revision>171</cp:revision>
  <dcterms:created xsi:type="dcterms:W3CDTF">2026-10-14T13:19:00Z</dcterms:created>
  <dcterms:modified xsi:type="dcterms:W3CDTF">2026-10-14T19:09:00Z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ZOTERO_PREF_2">
    <vt:lpwstr>ournalAbbreviations" value="true"/&gt;&lt;pref name="dontAskDelayCitationUpdates" value="true"/&gt;&lt;/prefs&gt;&lt;/data&gt;</vt:lpwstr>
  </property>
  <property fmtid="{D5CDD505-2E9C-101B-9397-08002B2CF9AE}" pid="5" name="ZOTERO_PREF_1">
    <vt:lpwstr>&lt;data data-version="3" zotero-version="9.0.6"&gt;&lt;session id="x6YQVlo7"/&gt;&lt;style id="http://www.zotero.org/styles/cbd-global-report-final" hasBibliography="1" bibliographyStyleHasBeenSet="1"/&gt;&lt;prefs&gt;&lt;pref name="fieldType" value="Field"/&gt;&lt;pref name="automaticJ</vt:lpwstr>
  </property>
</Properties>
</file>